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DCBAB" w14:textId="77777777" w:rsidR="00D6056B" w:rsidRPr="006F5D71" w:rsidRDefault="002B1268" w:rsidP="00755891">
      <w:pPr>
        <w:pStyle w:val="NoSpacing"/>
        <w:spacing w:after="240" w:line="360" w:lineRule="auto"/>
        <w:jc w:val="center"/>
        <w:rPr>
          <w:b/>
          <w:bCs/>
          <w:color w:val="000000" w:themeColor="text1"/>
          <w:sz w:val="28"/>
          <w:szCs w:val="24"/>
        </w:rPr>
      </w:pPr>
      <w:r w:rsidRPr="006F5D71">
        <w:rPr>
          <w:b/>
          <w:bCs/>
          <w:color w:val="000000" w:themeColor="text1"/>
          <w:sz w:val="28"/>
          <w:szCs w:val="24"/>
        </w:rPr>
        <w:t xml:space="preserve">The </w:t>
      </w:r>
      <w:r w:rsidR="00EF33F7" w:rsidRPr="006F5D71">
        <w:rPr>
          <w:b/>
          <w:bCs/>
          <w:color w:val="000000" w:themeColor="text1"/>
          <w:sz w:val="28"/>
          <w:szCs w:val="24"/>
        </w:rPr>
        <w:t xml:space="preserve">survival </w:t>
      </w:r>
      <w:r w:rsidR="00BC27FA" w:rsidRPr="006F5D71">
        <w:rPr>
          <w:b/>
          <w:bCs/>
          <w:color w:val="000000" w:themeColor="text1"/>
          <w:sz w:val="28"/>
          <w:szCs w:val="24"/>
        </w:rPr>
        <w:t xml:space="preserve">of outward investments </w:t>
      </w:r>
      <w:r w:rsidR="00EF33F7" w:rsidRPr="006F5D71">
        <w:rPr>
          <w:b/>
          <w:bCs/>
          <w:color w:val="000000" w:themeColor="text1"/>
          <w:sz w:val="28"/>
          <w:szCs w:val="24"/>
        </w:rPr>
        <w:t>from China and India: is there a North</w:t>
      </w:r>
      <w:r w:rsidR="00F06452" w:rsidRPr="006F5D71">
        <w:rPr>
          <w:b/>
          <w:bCs/>
          <w:color w:val="000000" w:themeColor="text1"/>
          <w:sz w:val="28"/>
          <w:szCs w:val="24"/>
        </w:rPr>
        <w:t>-</w:t>
      </w:r>
      <w:r w:rsidR="00EF33F7" w:rsidRPr="006F5D71">
        <w:rPr>
          <w:b/>
          <w:bCs/>
          <w:color w:val="000000" w:themeColor="text1"/>
          <w:sz w:val="28"/>
          <w:szCs w:val="24"/>
        </w:rPr>
        <w:t>South divide?</w:t>
      </w:r>
      <w:r w:rsidR="00BD4CDB">
        <w:rPr>
          <w:rStyle w:val="FootnoteReference"/>
          <w:b/>
          <w:bCs/>
          <w:color w:val="000000" w:themeColor="text1"/>
          <w:sz w:val="28"/>
          <w:szCs w:val="24"/>
        </w:rPr>
        <w:footnoteReference w:id="1"/>
      </w:r>
    </w:p>
    <w:p w14:paraId="32AB4566" w14:textId="77777777" w:rsidR="00F55D88" w:rsidRPr="006F5D71" w:rsidRDefault="00F55D88" w:rsidP="00F55D88">
      <w:pPr>
        <w:rPr>
          <w:b/>
          <w:bCs/>
          <w:iCs/>
          <w:color w:val="000000" w:themeColor="text1"/>
          <w:sz w:val="28"/>
          <w:szCs w:val="24"/>
        </w:rPr>
      </w:pPr>
      <w:r w:rsidRPr="006F5D71">
        <w:rPr>
          <w:b/>
          <w:bCs/>
          <w:iCs/>
          <w:color w:val="000000" w:themeColor="text1"/>
          <w:sz w:val="28"/>
          <w:szCs w:val="24"/>
        </w:rPr>
        <w:t>Abstract</w:t>
      </w:r>
    </w:p>
    <w:p w14:paraId="6F9231A5" w14:textId="77777777" w:rsidR="00A94349" w:rsidRPr="006F5D71" w:rsidRDefault="00A94349" w:rsidP="00F55D88">
      <w:pPr>
        <w:spacing w:line="360" w:lineRule="auto"/>
        <w:jc w:val="both"/>
        <w:rPr>
          <w:bCs/>
          <w:iCs/>
          <w:color w:val="000000" w:themeColor="text1"/>
          <w:szCs w:val="24"/>
        </w:rPr>
      </w:pPr>
    </w:p>
    <w:p w14:paraId="56876DBE" w14:textId="77777777" w:rsidR="00327622" w:rsidRPr="006F5D71" w:rsidRDefault="00F55D88" w:rsidP="00F55D88">
      <w:pPr>
        <w:spacing w:line="360" w:lineRule="auto"/>
        <w:jc w:val="both"/>
        <w:rPr>
          <w:bCs/>
          <w:iCs/>
          <w:color w:val="000000" w:themeColor="text1"/>
          <w:szCs w:val="24"/>
        </w:rPr>
      </w:pPr>
      <w:r w:rsidRPr="006F5D71">
        <w:rPr>
          <w:bCs/>
          <w:iCs/>
          <w:color w:val="000000" w:themeColor="text1"/>
          <w:szCs w:val="24"/>
        </w:rPr>
        <w:t>Multinationals from China and India courted the economies of both the North and the South and they had different advantages in doing so. After</w:t>
      </w:r>
      <w:r w:rsidR="002C4D98" w:rsidRPr="006F5D71">
        <w:rPr>
          <w:bCs/>
          <w:iCs/>
          <w:color w:val="000000" w:themeColor="text1"/>
          <w:szCs w:val="24"/>
        </w:rPr>
        <w:t xml:space="preserve"> </w:t>
      </w:r>
      <w:r w:rsidR="00327622" w:rsidRPr="006F5D71">
        <w:rPr>
          <w:bCs/>
          <w:iCs/>
          <w:color w:val="000000" w:themeColor="text1"/>
          <w:szCs w:val="24"/>
        </w:rPr>
        <w:t xml:space="preserve">more than two decades of </w:t>
      </w:r>
      <w:r w:rsidR="002C4D98" w:rsidRPr="006F5D71">
        <w:rPr>
          <w:bCs/>
          <w:iCs/>
          <w:color w:val="000000" w:themeColor="text1"/>
          <w:szCs w:val="24"/>
        </w:rPr>
        <w:t>successful internationalization</w:t>
      </w:r>
      <w:r w:rsidRPr="006F5D71">
        <w:rPr>
          <w:bCs/>
          <w:iCs/>
          <w:color w:val="000000" w:themeColor="text1"/>
          <w:szCs w:val="24"/>
        </w:rPr>
        <w:t xml:space="preserve">, can the survival of Chinese and Indian investments reveal the factors that are associated with the success of EMNC investments in the North and the South? This is the main question we explore in this paper. We </w:t>
      </w:r>
      <w:r w:rsidR="00327622" w:rsidRPr="006F5D71">
        <w:rPr>
          <w:bCs/>
          <w:iCs/>
          <w:color w:val="000000" w:themeColor="text1"/>
          <w:szCs w:val="24"/>
        </w:rPr>
        <w:t>find</w:t>
      </w:r>
      <w:r w:rsidRPr="006F5D71">
        <w:rPr>
          <w:bCs/>
          <w:iCs/>
          <w:color w:val="000000" w:themeColor="text1"/>
          <w:szCs w:val="24"/>
        </w:rPr>
        <w:t xml:space="preserve"> that there is a North-South divide in </w:t>
      </w:r>
      <w:r w:rsidR="00A94349" w:rsidRPr="006F5D71">
        <w:rPr>
          <w:bCs/>
          <w:iCs/>
          <w:color w:val="000000" w:themeColor="text1"/>
          <w:szCs w:val="24"/>
        </w:rPr>
        <w:t xml:space="preserve">the survival of </w:t>
      </w:r>
      <w:r w:rsidRPr="006F5D71">
        <w:rPr>
          <w:bCs/>
          <w:iCs/>
          <w:color w:val="000000" w:themeColor="text1"/>
          <w:szCs w:val="24"/>
        </w:rPr>
        <w:t xml:space="preserve">Chinese and Indian outward investments. </w:t>
      </w:r>
      <w:r w:rsidR="00A94349" w:rsidRPr="006F5D71">
        <w:rPr>
          <w:bCs/>
          <w:iCs/>
          <w:color w:val="000000" w:themeColor="text1"/>
          <w:szCs w:val="24"/>
        </w:rPr>
        <w:t>I</w:t>
      </w:r>
      <w:r w:rsidRPr="006F5D71">
        <w:rPr>
          <w:bCs/>
          <w:iCs/>
          <w:color w:val="000000" w:themeColor="text1"/>
          <w:szCs w:val="24"/>
        </w:rPr>
        <w:t>nvestments in the North are subject to more intense competitive pressure due to the stronger technological and managerial abilities of domestic firms</w:t>
      </w:r>
      <w:r w:rsidR="00A94349" w:rsidRPr="006F5D71">
        <w:rPr>
          <w:bCs/>
          <w:iCs/>
          <w:color w:val="000000" w:themeColor="text1"/>
          <w:szCs w:val="24"/>
        </w:rPr>
        <w:t xml:space="preserve"> and </w:t>
      </w:r>
      <w:r w:rsidR="00327622" w:rsidRPr="006F5D71">
        <w:rPr>
          <w:bCs/>
          <w:iCs/>
          <w:color w:val="000000" w:themeColor="text1"/>
          <w:szCs w:val="24"/>
        </w:rPr>
        <w:t>survival is markedly weaker there</w:t>
      </w:r>
      <w:r w:rsidRPr="006F5D71">
        <w:rPr>
          <w:bCs/>
          <w:iCs/>
          <w:color w:val="000000" w:themeColor="text1"/>
          <w:szCs w:val="24"/>
        </w:rPr>
        <w:t xml:space="preserve">. In Southern locations, </w:t>
      </w:r>
      <w:r w:rsidR="00A94349" w:rsidRPr="006F5D71">
        <w:rPr>
          <w:bCs/>
          <w:iCs/>
          <w:color w:val="000000" w:themeColor="text1"/>
          <w:szCs w:val="24"/>
        </w:rPr>
        <w:t xml:space="preserve">where </w:t>
      </w:r>
      <w:r w:rsidRPr="006F5D71">
        <w:rPr>
          <w:bCs/>
          <w:iCs/>
          <w:color w:val="000000" w:themeColor="text1"/>
          <w:szCs w:val="24"/>
        </w:rPr>
        <w:t xml:space="preserve">Chinese and Indian firms enjoy competitive advantages and </w:t>
      </w:r>
      <w:r w:rsidR="00327622" w:rsidRPr="006F5D71">
        <w:rPr>
          <w:bCs/>
          <w:iCs/>
          <w:color w:val="000000" w:themeColor="text1"/>
          <w:szCs w:val="24"/>
        </w:rPr>
        <w:t xml:space="preserve">industrial </w:t>
      </w:r>
      <w:r w:rsidRPr="006F5D71">
        <w:rPr>
          <w:bCs/>
          <w:iCs/>
          <w:color w:val="000000" w:themeColor="text1"/>
          <w:szCs w:val="24"/>
        </w:rPr>
        <w:t>leadership in several areas</w:t>
      </w:r>
      <w:r w:rsidR="00A94349" w:rsidRPr="006F5D71">
        <w:rPr>
          <w:bCs/>
          <w:iCs/>
          <w:color w:val="000000" w:themeColor="text1"/>
          <w:szCs w:val="24"/>
        </w:rPr>
        <w:t>, they also have</w:t>
      </w:r>
      <w:r w:rsidR="00327622" w:rsidRPr="006F5D71">
        <w:rPr>
          <w:bCs/>
          <w:iCs/>
          <w:color w:val="000000" w:themeColor="text1"/>
          <w:szCs w:val="24"/>
        </w:rPr>
        <w:t xml:space="preserve"> better rates of survival</w:t>
      </w:r>
      <w:r w:rsidRPr="006F5D71">
        <w:rPr>
          <w:bCs/>
          <w:iCs/>
          <w:color w:val="000000" w:themeColor="text1"/>
          <w:szCs w:val="24"/>
        </w:rPr>
        <w:t>.</w:t>
      </w:r>
      <w:r w:rsidR="00F72D31">
        <w:rPr>
          <w:bCs/>
          <w:iCs/>
          <w:color w:val="000000" w:themeColor="text1"/>
          <w:szCs w:val="24"/>
        </w:rPr>
        <w:t xml:space="preserve"> </w:t>
      </w:r>
      <w:r w:rsidR="00A94349" w:rsidRPr="006F5D71">
        <w:rPr>
          <w:bCs/>
          <w:iCs/>
          <w:color w:val="000000" w:themeColor="text1"/>
          <w:szCs w:val="24"/>
        </w:rPr>
        <w:t xml:space="preserve">Apart from highlighting </w:t>
      </w:r>
      <w:r w:rsidR="00327622" w:rsidRPr="006F5D71">
        <w:rPr>
          <w:bCs/>
          <w:iCs/>
          <w:color w:val="000000" w:themeColor="text1"/>
          <w:szCs w:val="24"/>
        </w:rPr>
        <w:t xml:space="preserve">the role of relative </w:t>
      </w:r>
      <w:r w:rsidR="00A94349" w:rsidRPr="006F5D71">
        <w:rPr>
          <w:bCs/>
          <w:iCs/>
          <w:color w:val="000000" w:themeColor="text1"/>
          <w:szCs w:val="24"/>
        </w:rPr>
        <w:t xml:space="preserve">(to </w:t>
      </w:r>
      <w:r w:rsidR="0028368B" w:rsidRPr="006F5D71">
        <w:rPr>
          <w:bCs/>
          <w:iCs/>
          <w:color w:val="000000" w:themeColor="text1"/>
          <w:szCs w:val="24"/>
        </w:rPr>
        <w:t>host country firms</w:t>
      </w:r>
      <w:r w:rsidR="00A94349" w:rsidRPr="006F5D71">
        <w:rPr>
          <w:bCs/>
          <w:iCs/>
          <w:color w:val="000000" w:themeColor="text1"/>
          <w:szCs w:val="24"/>
        </w:rPr>
        <w:t>) firm</w:t>
      </w:r>
      <w:r w:rsidR="006D066C">
        <w:rPr>
          <w:bCs/>
          <w:iCs/>
          <w:color w:val="000000" w:themeColor="text1"/>
          <w:szCs w:val="24"/>
        </w:rPr>
        <w:t>-</w:t>
      </w:r>
      <w:r w:rsidR="00A94349" w:rsidRPr="006F5D71">
        <w:rPr>
          <w:bCs/>
          <w:iCs/>
          <w:color w:val="000000" w:themeColor="text1"/>
          <w:szCs w:val="24"/>
        </w:rPr>
        <w:t xml:space="preserve">specific advantages </w:t>
      </w:r>
      <w:r w:rsidR="00327622" w:rsidRPr="006F5D71">
        <w:rPr>
          <w:bCs/>
          <w:iCs/>
          <w:color w:val="000000" w:themeColor="text1"/>
          <w:szCs w:val="24"/>
        </w:rPr>
        <w:t xml:space="preserve">in </w:t>
      </w:r>
      <w:r w:rsidR="00A94349" w:rsidRPr="006F5D71">
        <w:rPr>
          <w:bCs/>
          <w:iCs/>
          <w:color w:val="000000" w:themeColor="text1"/>
          <w:szCs w:val="24"/>
        </w:rPr>
        <w:t xml:space="preserve">explaining </w:t>
      </w:r>
      <w:r w:rsidR="00327622" w:rsidRPr="006F5D71">
        <w:rPr>
          <w:bCs/>
          <w:iCs/>
          <w:color w:val="000000" w:themeColor="text1"/>
          <w:szCs w:val="24"/>
        </w:rPr>
        <w:t>survi</w:t>
      </w:r>
      <w:r w:rsidR="00A94349" w:rsidRPr="006F5D71">
        <w:rPr>
          <w:bCs/>
          <w:iCs/>
          <w:color w:val="000000" w:themeColor="text1"/>
          <w:szCs w:val="24"/>
        </w:rPr>
        <w:t>val in the North and South, we</w:t>
      </w:r>
      <w:r w:rsidRPr="006F5D71">
        <w:rPr>
          <w:bCs/>
          <w:iCs/>
          <w:color w:val="000000" w:themeColor="text1"/>
          <w:szCs w:val="24"/>
        </w:rPr>
        <w:t xml:space="preserve"> </w:t>
      </w:r>
      <w:r w:rsidR="00327622" w:rsidRPr="006F5D71">
        <w:rPr>
          <w:bCs/>
          <w:iCs/>
          <w:color w:val="000000" w:themeColor="text1"/>
          <w:szCs w:val="24"/>
        </w:rPr>
        <w:t xml:space="preserve">also </w:t>
      </w:r>
      <w:r w:rsidRPr="006F5D71">
        <w:rPr>
          <w:bCs/>
          <w:iCs/>
          <w:color w:val="000000" w:themeColor="text1"/>
          <w:szCs w:val="24"/>
        </w:rPr>
        <w:t>find</w:t>
      </w:r>
      <w:r w:rsidR="006A50E3" w:rsidRPr="006F5D71">
        <w:rPr>
          <w:bCs/>
          <w:iCs/>
          <w:color w:val="000000" w:themeColor="text1"/>
          <w:szCs w:val="24"/>
        </w:rPr>
        <w:t xml:space="preserve"> that a</w:t>
      </w:r>
      <w:r w:rsidRPr="006F5D71">
        <w:rPr>
          <w:bCs/>
          <w:iCs/>
          <w:color w:val="000000" w:themeColor="text1"/>
          <w:szCs w:val="24"/>
        </w:rPr>
        <w:t xml:space="preserve"> </w:t>
      </w:r>
      <w:r w:rsidR="00A94349" w:rsidRPr="006F5D71">
        <w:rPr>
          <w:bCs/>
          <w:iCs/>
          <w:color w:val="000000" w:themeColor="text1"/>
          <w:szCs w:val="24"/>
        </w:rPr>
        <w:t xml:space="preserve">larger </w:t>
      </w:r>
      <w:r w:rsidRPr="006F5D71">
        <w:rPr>
          <w:bCs/>
          <w:iCs/>
          <w:color w:val="000000" w:themeColor="text1"/>
          <w:szCs w:val="24"/>
        </w:rPr>
        <w:t xml:space="preserve">diaspora in Southern locations </w:t>
      </w:r>
      <w:r w:rsidR="006A50E3" w:rsidRPr="006F5D71">
        <w:rPr>
          <w:bCs/>
          <w:iCs/>
          <w:color w:val="000000" w:themeColor="text1"/>
          <w:szCs w:val="24"/>
        </w:rPr>
        <w:t>is</w:t>
      </w:r>
      <w:r w:rsidR="00327622" w:rsidRPr="006F5D71">
        <w:rPr>
          <w:bCs/>
          <w:iCs/>
          <w:color w:val="000000" w:themeColor="text1"/>
          <w:szCs w:val="24"/>
        </w:rPr>
        <w:t xml:space="preserve"> associated with greater survival</w:t>
      </w:r>
      <w:r w:rsidRPr="006F5D71">
        <w:rPr>
          <w:bCs/>
          <w:iCs/>
          <w:color w:val="000000" w:themeColor="text1"/>
          <w:szCs w:val="24"/>
        </w:rPr>
        <w:t>.</w:t>
      </w:r>
      <w:r w:rsidR="00F72D31">
        <w:rPr>
          <w:bCs/>
          <w:iCs/>
          <w:color w:val="000000" w:themeColor="text1"/>
          <w:szCs w:val="24"/>
        </w:rPr>
        <w:t xml:space="preserve"> </w:t>
      </w:r>
    </w:p>
    <w:p w14:paraId="2489F3F5" w14:textId="77777777" w:rsidR="00327622" w:rsidRPr="006F5D71" w:rsidRDefault="00327622" w:rsidP="00F55D88">
      <w:pPr>
        <w:spacing w:line="360" w:lineRule="auto"/>
        <w:jc w:val="both"/>
        <w:rPr>
          <w:bCs/>
          <w:iCs/>
          <w:color w:val="000000" w:themeColor="text1"/>
          <w:szCs w:val="24"/>
        </w:rPr>
      </w:pPr>
    </w:p>
    <w:p w14:paraId="5B60C0FD" w14:textId="77777777" w:rsidR="00F55D88" w:rsidRPr="006F5D71" w:rsidRDefault="00327622" w:rsidP="00F55D88">
      <w:pPr>
        <w:spacing w:line="360" w:lineRule="auto"/>
        <w:jc w:val="both"/>
        <w:rPr>
          <w:bCs/>
          <w:iCs/>
          <w:color w:val="000000" w:themeColor="text1"/>
          <w:szCs w:val="24"/>
        </w:rPr>
      </w:pPr>
      <w:r w:rsidRPr="006F5D71">
        <w:rPr>
          <w:b/>
          <w:bCs/>
          <w:iCs/>
          <w:color w:val="000000" w:themeColor="text1"/>
          <w:szCs w:val="24"/>
        </w:rPr>
        <w:t>Keywords:</w:t>
      </w:r>
      <w:r w:rsidRPr="006F5D71">
        <w:rPr>
          <w:bCs/>
          <w:iCs/>
          <w:color w:val="000000" w:themeColor="text1"/>
          <w:szCs w:val="24"/>
        </w:rPr>
        <w:t xml:space="preserve"> </w:t>
      </w:r>
      <w:r w:rsidR="004C7443" w:rsidRPr="006F5D71">
        <w:rPr>
          <w:bCs/>
          <w:iCs/>
          <w:color w:val="000000" w:themeColor="text1"/>
          <w:szCs w:val="24"/>
        </w:rPr>
        <w:t>Outward investment; firm-specific advantages; North and South; emerging markets enterprises</w:t>
      </w:r>
      <w:r w:rsidR="00F55D88" w:rsidRPr="006F5D71">
        <w:rPr>
          <w:bCs/>
          <w:iCs/>
          <w:color w:val="000000" w:themeColor="text1"/>
          <w:szCs w:val="24"/>
        </w:rPr>
        <w:t xml:space="preserve"> </w:t>
      </w:r>
    </w:p>
    <w:p w14:paraId="29D89296" w14:textId="77777777" w:rsidR="00F55D88" w:rsidRPr="006F5D71" w:rsidRDefault="00F55D88" w:rsidP="00F55D88">
      <w:pPr>
        <w:spacing w:line="360" w:lineRule="auto"/>
        <w:jc w:val="both"/>
        <w:rPr>
          <w:bCs/>
          <w:iCs/>
          <w:color w:val="000000" w:themeColor="text1"/>
          <w:szCs w:val="24"/>
        </w:rPr>
      </w:pPr>
      <w:r w:rsidRPr="006F5D71">
        <w:rPr>
          <w:bCs/>
          <w:iCs/>
          <w:color w:val="000000" w:themeColor="text1"/>
          <w:szCs w:val="24"/>
        </w:rPr>
        <w:br w:type="page"/>
      </w:r>
    </w:p>
    <w:p w14:paraId="747C54D0" w14:textId="77777777" w:rsidR="00905929" w:rsidRPr="006F5D71" w:rsidRDefault="00905929" w:rsidP="00357273">
      <w:pPr>
        <w:pStyle w:val="NoSpacing"/>
        <w:spacing w:after="240" w:line="360" w:lineRule="auto"/>
        <w:jc w:val="both"/>
        <w:rPr>
          <w:b/>
          <w:bCs/>
          <w:iCs/>
          <w:color w:val="000000" w:themeColor="text1"/>
          <w:sz w:val="28"/>
          <w:szCs w:val="24"/>
        </w:rPr>
      </w:pPr>
      <w:r w:rsidRPr="006F5D71">
        <w:rPr>
          <w:b/>
          <w:bCs/>
          <w:iCs/>
          <w:color w:val="000000" w:themeColor="text1"/>
          <w:sz w:val="28"/>
          <w:szCs w:val="24"/>
        </w:rPr>
        <w:lastRenderedPageBreak/>
        <w:t>1. Introduction</w:t>
      </w:r>
    </w:p>
    <w:p w14:paraId="60CEA4F9" w14:textId="77777777" w:rsidR="00A94349" w:rsidRPr="006F5D71" w:rsidRDefault="006A50E3" w:rsidP="00060AEE">
      <w:pPr>
        <w:pStyle w:val="NoSpacing"/>
        <w:spacing w:line="360" w:lineRule="auto"/>
        <w:jc w:val="both"/>
        <w:rPr>
          <w:color w:val="000000" w:themeColor="text1"/>
        </w:rPr>
      </w:pPr>
      <w:r w:rsidRPr="006F5D71">
        <w:rPr>
          <w:color w:val="000000" w:themeColor="text1"/>
        </w:rPr>
        <w:t>O</w:t>
      </w:r>
      <w:r w:rsidR="00AD02C1" w:rsidRPr="006F5D71">
        <w:rPr>
          <w:color w:val="000000" w:themeColor="text1"/>
        </w:rPr>
        <w:t>utward foreign direct investment (OFDI) from emerging markets</w:t>
      </w:r>
      <w:r w:rsidRPr="006F5D71">
        <w:rPr>
          <w:color w:val="000000" w:themeColor="text1"/>
        </w:rPr>
        <w:t xml:space="preserve">, has witnessed a sharp increase </w:t>
      </w:r>
      <w:r w:rsidR="003628B9" w:rsidRPr="006F5D71">
        <w:rPr>
          <w:color w:val="000000" w:themeColor="text1"/>
        </w:rPr>
        <w:t>in the last decade</w:t>
      </w:r>
      <w:r w:rsidR="006D066C">
        <w:rPr>
          <w:color w:val="000000" w:themeColor="text1"/>
        </w:rPr>
        <w:t>;</w:t>
      </w:r>
      <w:r w:rsidR="006D066C" w:rsidRPr="006F5D71">
        <w:rPr>
          <w:color w:val="000000" w:themeColor="text1"/>
        </w:rPr>
        <w:t xml:space="preserve"> </w:t>
      </w:r>
      <w:r w:rsidRPr="006F5D71">
        <w:rPr>
          <w:color w:val="000000" w:themeColor="text1"/>
        </w:rPr>
        <w:t>more than one-third of global outward investment in 2019 was from emerging markets, up from 13 percent in 2007 (UNCTAD, 2007, 2020). Investments from China and India alone have increased</w:t>
      </w:r>
      <w:r w:rsidR="003628B9" w:rsidRPr="006F5D71">
        <w:rPr>
          <w:color w:val="000000" w:themeColor="text1"/>
        </w:rPr>
        <w:t xml:space="preserve"> from $123 billion in 2007 to $503</w:t>
      </w:r>
      <w:r w:rsidR="00AD02C1" w:rsidRPr="006F5D71">
        <w:rPr>
          <w:color w:val="000000" w:themeColor="text1"/>
        </w:rPr>
        <w:t xml:space="preserve"> billion in 20</w:t>
      </w:r>
      <w:r w:rsidR="003628B9" w:rsidRPr="006F5D71">
        <w:rPr>
          <w:color w:val="000000" w:themeColor="text1"/>
        </w:rPr>
        <w:t>19</w:t>
      </w:r>
      <w:r w:rsidR="00AD02C1" w:rsidRPr="006F5D71">
        <w:rPr>
          <w:color w:val="000000" w:themeColor="text1"/>
        </w:rPr>
        <w:t xml:space="preserve">. </w:t>
      </w:r>
      <w:r w:rsidR="003628B9" w:rsidRPr="006F5D71">
        <w:rPr>
          <w:color w:val="000000" w:themeColor="text1"/>
        </w:rPr>
        <w:t>The</w:t>
      </w:r>
      <w:r w:rsidR="00AD02C1" w:rsidRPr="006F5D71">
        <w:rPr>
          <w:color w:val="000000" w:themeColor="text1"/>
        </w:rPr>
        <w:t xml:space="preserve"> unprecedented growth in emerging market multinational corporations’ (EMNCs) investmen</w:t>
      </w:r>
      <w:r w:rsidR="003628B9" w:rsidRPr="006F5D71">
        <w:rPr>
          <w:color w:val="000000" w:themeColor="text1"/>
        </w:rPr>
        <w:t>ts</w:t>
      </w:r>
      <w:r w:rsidR="00AD02C1" w:rsidRPr="006F5D71">
        <w:rPr>
          <w:color w:val="000000" w:themeColor="text1"/>
        </w:rPr>
        <w:t xml:space="preserve"> </w:t>
      </w:r>
      <w:r w:rsidR="003628B9" w:rsidRPr="006F5D71">
        <w:rPr>
          <w:color w:val="000000" w:themeColor="text1"/>
        </w:rPr>
        <w:t>from China and India</w:t>
      </w:r>
      <w:r w:rsidR="00AD02C1" w:rsidRPr="006F5D71">
        <w:rPr>
          <w:color w:val="000000" w:themeColor="text1"/>
        </w:rPr>
        <w:t xml:space="preserve"> has prompted researchers to examine how these firms enter and subsequently </w:t>
      </w:r>
      <w:r w:rsidR="003401B7" w:rsidRPr="006F5D71">
        <w:rPr>
          <w:color w:val="000000" w:themeColor="text1"/>
        </w:rPr>
        <w:t>survive</w:t>
      </w:r>
      <w:r w:rsidR="00AD02C1" w:rsidRPr="006F5D71">
        <w:rPr>
          <w:color w:val="000000" w:themeColor="text1"/>
        </w:rPr>
        <w:t xml:space="preserve"> in foreign markets (Gu, Yang,</w:t>
      </w:r>
      <w:r w:rsidR="00592518" w:rsidRPr="006F5D71">
        <w:rPr>
          <w:color w:val="000000" w:themeColor="text1"/>
        </w:rPr>
        <w:t xml:space="preserve"> &amp;</w:t>
      </w:r>
      <w:r w:rsidR="00AD02C1" w:rsidRPr="006F5D71">
        <w:rPr>
          <w:color w:val="000000" w:themeColor="text1"/>
        </w:rPr>
        <w:t xml:space="preserve"> Strange, 2018; </w:t>
      </w:r>
      <w:proofErr w:type="spellStart"/>
      <w:r w:rsidR="00592518" w:rsidRPr="006F5D71">
        <w:rPr>
          <w:color w:val="000000" w:themeColor="text1"/>
        </w:rPr>
        <w:t>Puthusserry</w:t>
      </w:r>
      <w:proofErr w:type="spellEnd"/>
      <w:r w:rsidR="00592518" w:rsidRPr="006F5D71">
        <w:rPr>
          <w:color w:val="000000" w:themeColor="text1"/>
        </w:rPr>
        <w:t>, Khan, Knight, &amp; Miller, 2020</w:t>
      </w:r>
      <w:r w:rsidR="00A94349" w:rsidRPr="006F5D71">
        <w:rPr>
          <w:color w:val="000000" w:themeColor="text1"/>
        </w:rPr>
        <w:t xml:space="preserve">, </w:t>
      </w:r>
      <w:proofErr w:type="spellStart"/>
      <w:r w:rsidR="00A94349" w:rsidRPr="006F5D71">
        <w:rPr>
          <w:color w:val="000000" w:themeColor="text1"/>
        </w:rPr>
        <w:t>Athreye</w:t>
      </w:r>
      <w:proofErr w:type="spellEnd"/>
      <w:r w:rsidR="00A94349" w:rsidRPr="006F5D71">
        <w:rPr>
          <w:color w:val="000000" w:themeColor="text1"/>
        </w:rPr>
        <w:t>, Saeed, &amp; Baloch, 2021</w:t>
      </w:r>
      <w:r w:rsidR="00AD02C1" w:rsidRPr="006F5D71">
        <w:rPr>
          <w:color w:val="000000" w:themeColor="text1"/>
        </w:rPr>
        <w:t xml:space="preserve">). </w:t>
      </w:r>
    </w:p>
    <w:p w14:paraId="729BD692" w14:textId="77777777" w:rsidR="00F8732F" w:rsidRPr="006F5D71" w:rsidRDefault="00AD02C1" w:rsidP="00236E35">
      <w:pPr>
        <w:pStyle w:val="NoSpacing"/>
        <w:spacing w:line="360" w:lineRule="auto"/>
        <w:ind w:firstLine="720"/>
        <w:jc w:val="both"/>
        <w:rPr>
          <w:color w:val="000000" w:themeColor="text1"/>
        </w:rPr>
      </w:pPr>
      <w:r w:rsidRPr="006F5D71">
        <w:rPr>
          <w:color w:val="000000" w:themeColor="text1"/>
        </w:rPr>
        <w:t xml:space="preserve">The </w:t>
      </w:r>
      <w:r w:rsidR="003401B7" w:rsidRPr="006F5D71">
        <w:rPr>
          <w:color w:val="000000" w:themeColor="text1"/>
        </w:rPr>
        <w:t>survival</w:t>
      </w:r>
      <w:r w:rsidRPr="006F5D71">
        <w:rPr>
          <w:color w:val="000000" w:themeColor="text1"/>
        </w:rPr>
        <w:t xml:space="preserve"> of OFDI is as important as </w:t>
      </w:r>
      <w:r w:rsidR="00236E35" w:rsidRPr="006F5D71">
        <w:rPr>
          <w:color w:val="000000" w:themeColor="text1"/>
        </w:rPr>
        <w:t xml:space="preserve">an </w:t>
      </w:r>
      <w:r w:rsidRPr="006F5D71">
        <w:rPr>
          <w:color w:val="000000" w:themeColor="text1"/>
        </w:rPr>
        <w:t>entry in</w:t>
      </w:r>
      <w:r w:rsidR="00236E35" w:rsidRPr="006F5D71">
        <w:rPr>
          <w:color w:val="000000" w:themeColor="text1"/>
        </w:rPr>
        <w:t>to</w:t>
      </w:r>
      <w:r w:rsidRPr="006F5D71">
        <w:rPr>
          <w:color w:val="000000" w:themeColor="text1"/>
        </w:rPr>
        <w:t xml:space="preserve"> new locations</w:t>
      </w:r>
      <w:r w:rsidR="00A94349" w:rsidRPr="006F5D71">
        <w:rPr>
          <w:color w:val="000000" w:themeColor="text1"/>
        </w:rPr>
        <w:t xml:space="preserve"> for both managers and policy makers</w:t>
      </w:r>
      <w:r w:rsidRPr="006F5D71">
        <w:rPr>
          <w:color w:val="000000" w:themeColor="text1"/>
        </w:rPr>
        <w:t>.</w:t>
      </w:r>
      <w:r w:rsidR="00F72D31">
        <w:rPr>
          <w:color w:val="000000" w:themeColor="text1"/>
        </w:rPr>
        <w:t xml:space="preserve"> </w:t>
      </w:r>
      <w:r w:rsidR="00A94349" w:rsidRPr="006F5D71">
        <w:rPr>
          <w:color w:val="000000" w:themeColor="text1"/>
        </w:rPr>
        <w:t>Setting up a new subsidiary absorbs considerable financial and managerial resources and firms close down subsidiaries only when they feel they do not foresee future growth.</w:t>
      </w:r>
      <w:r w:rsidR="00F72D31">
        <w:rPr>
          <w:color w:val="000000" w:themeColor="text1"/>
        </w:rPr>
        <w:t xml:space="preserve"> </w:t>
      </w:r>
      <w:r w:rsidR="00A94349" w:rsidRPr="006F5D71">
        <w:rPr>
          <w:color w:val="000000" w:themeColor="text1"/>
        </w:rPr>
        <w:t>Policy makers also look toward foreign investments as a means to increase employment and industrial growth and the divestment of subsidiaries can create problems for host economies</w:t>
      </w:r>
      <w:r w:rsidR="0028368B" w:rsidRPr="006F5D71">
        <w:rPr>
          <w:color w:val="000000" w:themeColor="text1"/>
        </w:rPr>
        <w:t>, while survival has the potential to contribute to growth and employment</w:t>
      </w:r>
      <w:r w:rsidR="00A94349" w:rsidRPr="006F5D71">
        <w:rPr>
          <w:color w:val="000000" w:themeColor="text1"/>
        </w:rPr>
        <w:t>.</w:t>
      </w:r>
      <w:r w:rsidR="00F72D31">
        <w:rPr>
          <w:color w:val="000000" w:themeColor="text1"/>
        </w:rPr>
        <w:t xml:space="preserve"> </w:t>
      </w:r>
      <w:r w:rsidR="00F45DC6" w:rsidRPr="006F5D71">
        <w:rPr>
          <w:color w:val="000000" w:themeColor="text1"/>
        </w:rPr>
        <w:t>T</w:t>
      </w:r>
      <w:r w:rsidR="006A50E3" w:rsidRPr="006F5D71">
        <w:rPr>
          <w:color w:val="000000" w:themeColor="text1"/>
        </w:rPr>
        <w:t>h</w:t>
      </w:r>
      <w:r w:rsidR="00F45DC6" w:rsidRPr="006F5D71">
        <w:rPr>
          <w:color w:val="000000" w:themeColor="text1"/>
        </w:rPr>
        <w:t>us, understanding the factors associated with survival is an important issue</w:t>
      </w:r>
      <w:r w:rsidR="0028368B" w:rsidRPr="006F5D71">
        <w:rPr>
          <w:color w:val="000000" w:themeColor="text1"/>
        </w:rPr>
        <w:t xml:space="preserve"> in itself</w:t>
      </w:r>
      <w:r w:rsidR="00F45DC6" w:rsidRPr="006F5D71">
        <w:rPr>
          <w:color w:val="000000" w:themeColor="text1"/>
        </w:rPr>
        <w:t>.</w:t>
      </w:r>
      <w:r w:rsidR="00F72D31">
        <w:rPr>
          <w:color w:val="000000" w:themeColor="text1"/>
        </w:rPr>
        <w:t xml:space="preserve"> </w:t>
      </w:r>
      <w:r w:rsidR="00F45DC6" w:rsidRPr="006F5D71">
        <w:rPr>
          <w:color w:val="000000" w:themeColor="text1"/>
        </w:rPr>
        <w:t xml:space="preserve">Furthermore, </w:t>
      </w:r>
      <w:r w:rsidR="0028368B" w:rsidRPr="006F5D71">
        <w:rPr>
          <w:color w:val="000000" w:themeColor="text1"/>
        </w:rPr>
        <w:t>current research</w:t>
      </w:r>
      <w:r w:rsidR="00210B56" w:rsidRPr="006F5D71">
        <w:rPr>
          <w:color w:val="000000" w:themeColor="text1"/>
        </w:rPr>
        <w:t xml:space="preserve"> </w:t>
      </w:r>
      <w:r w:rsidR="00F8732F" w:rsidRPr="006F5D71">
        <w:rPr>
          <w:color w:val="000000" w:themeColor="text1"/>
        </w:rPr>
        <w:t>acknowledges</w:t>
      </w:r>
      <w:r w:rsidR="00210B56" w:rsidRPr="006F5D71">
        <w:rPr>
          <w:color w:val="000000" w:themeColor="text1"/>
        </w:rPr>
        <w:t xml:space="preserve"> that</w:t>
      </w:r>
      <w:r w:rsidR="00F8732F" w:rsidRPr="006F5D71">
        <w:rPr>
          <w:color w:val="000000" w:themeColor="text1"/>
        </w:rPr>
        <w:t xml:space="preserve"> EMNC</w:t>
      </w:r>
      <w:r w:rsidR="007D6290" w:rsidRPr="006F5D71">
        <w:rPr>
          <w:color w:val="000000" w:themeColor="text1"/>
        </w:rPr>
        <w:t>s</w:t>
      </w:r>
      <w:r w:rsidR="00F8732F" w:rsidRPr="006F5D71">
        <w:rPr>
          <w:color w:val="000000" w:themeColor="text1"/>
        </w:rPr>
        <w:t>, particularly from China and India, courted the economies of both the North and the South and they had different advantages and motivations in doing so</w:t>
      </w:r>
      <w:r w:rsidR="00221380" w:rsidRPr="006F5D71">
        <w:rPr>
          <w:color w:val="000000" w:themeColor="text1"/>
        </w:rPr>
        <w:t xml:space="preserve"> (</w:t>
      </w:r>
      <w:proofErr w:type="spellStart"/>
      <w:r w:rsidR="00BE7590" w:rsidRPr="006F5D71">
        <w:rPr>
          <w:color w:val="000000" w:themeColor="text1"/>
        </w:rPr>
        <w:t>Athreye</w:t>
      </w:r>
      <w:proofErr w:type="spellEnd"/>
      <w:r w:rsidR="00BE7590" w:rsidRPr="006F5D71">
        <w:rPr>
          <w:color w:val="000000" w:themeColor="text1"/>
        </w:rPr>
        <w:t xml:space="preserve"> &amp; </w:t>
      </w:r>
      <w:proofErr w:type="spellStart"/>
      <w:r w:rsidR="00BE7590" w:rsidRPr="006F5D71">
        <w:rPr>
          <w:color w:val="000000" w:themeColor="text1"/>
        </w:rPr>
        <w:t>Kapur</w:t>
      </w:r>
      <w:proofErr w:type="spellEnd"/>
      <w:r w:rsidR="00BE7590" w:rsidRPr="006F5D71">
        <w:rPr>
          <w:color w:val="000000" w:themeColor="text1"/>
        </w:rPr>
        <w:t>, 2009</w:t>
      </w:r>
      <w:r w:rsidR="00A94349" w:rsidRPr="006F5D71">
        <w:rPr>
          <w:color w:val="000000" w:themeColor="text1"/>
        </w:rPr>
        <w:t>; Park, &amp; Lee, 2021</w:t>
      </w:r>
      <w:r w:rsidR="00221380" w:rsidRPr="006F5D71">
        <w:rPr>
          <w:color w:val="000000" w:themeColor="text1"/>
        </w:rPr>
        <w:t>)</w:t>
      </w:r>
      <w:r w:rsidR="00F8732F" w:rsidRPr="006F5D71">
        <w:rPr>
          <w:color w:val="000000" w:themeColor="text1"/>
        </w:rPr>
        <w:t xml:space="preserve">. After </w:t>
      </w:r>
      <w:r w:rsidR="00A94349" w:rsidRPr="006F5D71">
        <w:rPr>
          <w:color w:val="000000" w:themeColor="text1"/>
        </w:rPr>
        <w:t>more than</w:t>
      </w:r>
      <w:r w:rsidR="00F8732F" w:rsidRPr="006F5D71">
        <w:rPr>
          <w:color w:val="000000" w:themeColor="text1"/>
        </w:rPr>
        <w:t xml:space="preserve"> two decades of EMNC investment, can the survival of EMNC investments reveal the factors that are associated with the success of EMNC investments in the North and the South? This is the main question we explore in this paper.</w:t>
      </w:r>
      <w:r w:rsidR="00F72D31">
        <w:rPr>
          <w:color w:val="000000" w:themeColor="text1"/>
        </w:rPr>
        <w:t xml:space="preserve"> </w:t>
      </w:r>
    </w:p>
    <w:p w14:paraId="5F839161" w14:textId="77777777" w:rsidR="00FC0260" w:rsidRPr="006F5D71" w:rsidRDefault="003D6D47" w:rsidP="00D9499F">
      <w:pPr>
        <w:pStyle w:val="NoSpacing"/>
        <w:spacing w:line="360" w:lineRule="auto"/>
        <w:ind w:firstLine="720"/>
        <w:jc w:val="both"/>
        <w:rPr>
          <w:color w:val="000000" w:themeColor="text1"/>
        </w:rPr>
      </w:pPr>
      <w:r w:rsidRPr="006F5D71">
        <w:rPr>
          <w:color w:val="000000" w:themeColor="text1"/>
        </w:rPr>
        <w:t xml:space="preserve">Research examining </w:t>
      </w:r>
      <w:r w:rsidR="005E6BDE" w:rsidRPr="006F5D71">
        <w:rPr>
          <w:color w:val="000000" w:themeColor="text1"/>
        </w:rPr>
        <w:t>EMNCs</w:t>
      </w:r>
      <w:r w:rsidR="006D341F" w:rsidRPr="006F5D71">
        <w:rPr>
          <w:color w:val="000000" w:themeColor="text1"/>
        </w:rPr>
        <w:t>’ survival</w:t>
      </w:r>
      <w:r w:rsidR="005E6BDE" w:rsidRPr="006F5D71">
        <w:rPr>
          <w:color w:val="000000" w:themeColor="text1"/>
        </w:rPr>
        <w:t xml:space="preserve"> </w:t>
      </w:r>
      <w:r w:rsidR="006A50E3" w:rsidRPr="006F5D71">
        <w:rPr>
          <w:color w:val="000000" w:themeColor="text1"/>
        </w:rPr>
        <w:t xml:space="preserve">is relatively recent and </w:t>
      </w:r>
      <w:r w:rsidRPr="006F5D71">
        <w:rPr>
          <w:color w:val="000000" w:themeColor="text1"/>
        </w:rPr>
        <w:t>has evolved in two di</w:t>
      </w:r>
      <w:r w:rsidR="009D6D67" w:rsidRPr="006F5D71">
        <w:rPr>
          <w:color w:val="000000" w:themeColor="text1"/>
        </w:rPr>
        <w:t>rection</w:t>
      </w:r>
      <w:r w:rsidRPr="006F5D71">
        <w:rPr>
          <w:color w:val="000000" w:themeColor="text1"/>
        </w:rPr>
        <w:t xml:space="preserve">s. </w:t>
      </w:r>
      <w:r w:rsidR="004B78EA" w:rsidRPr="006F5D71">
        <w:rPr>
          <w:color w:val="000000" w:themeColor="text1"/>
        </w:rPr>
        <w:t>One</w:t>
      </w:r>
      <w:r w:rsidRPr="006F5D71">
        <w:rPr>
          <w:color w:val="000000" w:themeColor="text1"/>
        </w:rPr>
        <w:t xml:space="preserve"> stream of studies focuses on entry mode-specific </w:t>
      </w:r>
      <w:r w:rsidR="00F45DC6" w:rsidRPr="006F5D71">
        <w:rPr>
          <w:color w:val="000000" w:themeColor="text1"/>
        </w:rPr>
        <w:t xml:space="preserve">performance </w:t>
      </w:r>
      <w:r w:rsidRPr="006F5D71">
        <w:rPr>
          <w:color w:val="000000" w:themeColor="text1"/>
        </w:rPr>
        <w:t>outcomes and examines the profitability of foreign merger</w:t>
      </w:r>
      <w:r w:rsidR="005E6BDE" w:rsidRPr="006F5D71">
        <w:rPr>
          <w:color w:val="000000" w:themeColor="text1"/>
        </w:rPr>
        <w:t>s</w:t>
      </w:r>
      <w:r w:rsidRPr="006F5D71">
        <w:rPr>
          <w:color w:val="000000" w:themeColor="text1"/>
        </w:rPr>
        <w:t xml:space="preserve"> </w:t>
      </w:r>
      <w:r w:rsidR="00B97285">
        <w:rPr>
          <w:color w:val="000000" w:themeColor="text1"/>
        </w:rPr>
        <w:t>and</w:t>
      </w:r>
      <w:r w:rsidR="00B97285" w:rsidRPr="006F5D71">
        <w:rPr>
          <w:color w:val="000000" w:themeColor="text1"/>
        </w:rPr>
        <w:t xml:space="preserve"> </w:t>
      </w:r>
      <w:r w:rsidRPr="006F5D71">
        <w:rPr>
          <w:color w:val="000000" w:themeColor="text1"/>
        </w:rPr>
        <w:t>acquisition</w:t>
      </w:r>
      <w:r w:rsidR="005E6BDE" w:rsidRPr="006F5D71">
        <w:rPr>
          <w:color w:val="000000" w:themeColor="text1"/>
        </w:rPr>
        <w:t>s</w:t>
      </w:r>
      <w:r w:rsidRPr="006F5D71">
        <w:rPr>
          <w:color w:val="000000" w:themeColor="text1"/>
        </w:rPr>
        <w:t xml:space="preserve"> undertaken by </w:t>
      </w:r>
      <w:r w:rsidR="00FC0260" w:rsidRPr="006F5D71">
        <w:rPr>
          <w:color w:val="000000" w:themeColor="text1"/>
        </w:rPr>
        <w:t>EMNCs</w:t>
      </w:r>
      <w:r w:rsidRPr="006F5D71">
        <w:rPr>
          <w:color w:val="000000" w:themeColor="text1"/>
        </w:rPr>
        <w:t xml:space="preserve"> (</w:t>
      </w:r>
      <w:r w:rsidR="006A50E3" w:rsidRPr="006F5D71">
        <w:rPr>
          <w:color w:val="000000" w:themeColor="text1"/>
        </w:rPr>
        <w:t xml:space="preserve">Li et al., 2016; </w:t>
      </w:r>
      <w:r w:rsidR="00E276BD" w:rsidRPr="006F5D71">
        <w:rPr>
          <w:color w:val="000000" w:themeColor="text1"/>
        </w:rPr>
        <w:t>Tao, Liu, Gao, &amp; Xia</w:t>
      </w:r>
      <w:r w:rsidRPr="006F5D71">
        <w:rPr>
          <w:color w:val="000000" w:themeColor="text1"/>
        </w:rPr>
        <w:t xml:space="preserve">, 2017; </w:t>
      </w:r>
      <w:r w:rsidR="00E276BD" w:rsidRPr="006F5D71">
        <w:rPr>
          <w:color w:val="000000" w:themeColor="text1"/>
        </w:rPr>
        <w:t xml:space="preserve">Qian, Wang, </w:t>
      </w:r>
      <w:proofErr w:type="spellStart"/>
      <w:r w:rsidR="00E276BD" w:rsidRPr="006F5D71">
        <w:rPr>
          <w:color w:val="000000" w:themeColor="text1"/>
        </w:rPr>
        <w:t>Geng</w:t>
      </w:r>
      <w:proofErr w:type="spellEnd"/>
      <w:r w:rsidR="00E276BD" w:rsidRPr="006F5D71">
        <w:rPr>
          <w:color w:val="000000" w:themeColor="text1"/>
        </w:rPr>
        <w:t>, &amp; Yu</w:t>
      </w:r>
      <w:r w:rsidRPr="006F5D71">
        <w:rPr>
          <w:color w:val="000000" w:themeColor="text1"/>
        </w:rPr>
        <w:t xml:space="preserve">, 2017; </w:t>
      </w:r>
      <w:r w:rsidR="0072476A" w:rsidRPr="006F5D71">
        <w:rPr>
          <w:color w:val="000000" w:themeColor="text1"/>
        </w:rPr>
        <w:t>Ahsan, Fuad, &amp; Sinha, 2021</w:t>
      </w:r>
      <w:r w:rsidRPr="006F5D71">
        <w:rPr>
          <w:color w:val="000000" w:themeColor="text1"/>
        </w:rPr>
        <w:t>).</w:t>
      </w:r>
      <w:r w:rsidR="00625725" w:rsidRPr="006F5D71">
        <w:rPr>
          <w:color w:val="000000" w:themeColor="text1"/>
        </w:rPr>
        <w:t xml:space="preserve"> </w:t>
      </w:r>
      <w:r w:rsidR="00F45DC6" w:rsidRPr="006F5D71">
        <w:rPr>
          <w:color w:val="000000" w:themeColor="text1"/>
        </w:rPr>
        <w:t xml:space="preserve">Another outcome studied is EMNC </w:t>
      </w:r>
      <w:r w:rsidR="00625725" w:rsidRPr="006F5D71">
        <w:rPr>
          <w:color w:val="000000" w:themeColor="text1"/>
        </w:rPr>
        <w:t>innovative performance and how internationalization enable</w:t>
      </w:r>
      <w:r w:rsidR="00E85B1B" w:rsidRPr="006F5D71">
        <w:rPr>
          <w:color w:val="000000" w:themeColor="text1"/>
        </w:rPr>
        <w:t>s</w:t>
      </w:r>
      <w:r w:rsidR="00625725" w:rsidRPr="006F5D71">
        <w:rPr>
          <w:color w:val="000000" w:themeColor="text1"/>
        </w:rPr>
        <w:t xml:space="preserve"> EMNCs to improve their innovativeness (</w:t>
      </w:r>
      <w:proofErr w:type="spellStart"/>
      <w:r w:rsidR="006A50E3" w:rsidRPr="006F5D71">
        <w:rPr>
          <w:color w:val="000000" w:themeColor="text1"/>
        </w:rPr>
        <w:t>Awate</w:t>
      </w:r>
      <w:proofErr w:type="spellEnd"/>
      <w:r w:rsidR="006A50E3" w:rsidRPr="006F5D71">
        <w:rPr>
          <w:color w:val="000000" w:themeColor="text1"/>
        </w:rPr>
        <w:t xml:space="preserve"> et al., 2015; Wu et al., 2016; </w:t>
      </w:r>
      <w:proofErr w:type="spellStart"/>
      <w:r w:rsidR="00A21F40" w:rsidRPr="006F5D71">
        <w:rPr>
          <w:color w:val="000000" w:themeColor="text1"/>
        </w:rPr>
        <w:t>Piperopoulos</w:t>
      </w:r>
      <w:proofErr w:type="spellEnd"/>
      <w:r w:rsidR="00A21F40" w:rsidRPr="006F5D71">
        <w:rPr>
          <w:color w:val="000000" w:themeColor="text1"/>
        </w:rPr>
        <w:t xml:space="preserve"> et al., 2018; Thakur-</w:t>
      </w:r>
      <w:proofErr w:type="spellStart"/>
      <w:r w:rsidR="00A21F40" w:rsidRPr="006F5D71">
        <w:rPr>
          <w:color w:val="000000" w:themeColor="text1"/>
        </w:rPr>
        <w:t>Wernz</w:t>
      </w:r>
      <w:proofErr w:type="spellEnd"/>
      <w:r w:rsidR="00A21F40" w:rsidRPr="006F5D71">
        <w:rPr>
          <w:color w:val="000000" w:themeColor="text1"/>
        </w:rPr>
        <w:t xml:space="preserve"> &amp; </w:t>
      </w:r>
      <w:proofErr w:type="spellStart"/>
      <w:r w:rsidR="00A21F40" w:rsidRPr="006F5D71">
        <w:rPr>
          <w:color w:val="000000" w:themeColor="text1"/>
        </w:rPr>
        <w:t>Samant</w:t>
      </w:r>
      <w:proofErr w:type="spellEnd"/>
      <w:r w:rsidR="00A21F40" w:rsidRPr="006F5D71">
        <w:rPr>
          <w:color w:val="000000" w:themeColor="text1"/>
        </w:rPr>
        <w:t>, 2019</w:t>
      </w:r>
      <w:r w:rsidR="00625725" w:rsidRPr="006F5D71">
        <w:rPr>
          <w:color w:val="000000" w:themeColor="text1"/>
        </w:rPr>
        <w:t>).</w:t>
      </w:r>
      <w:r w:rsidRPr="006F5D71">
        <w:rPr>
          <w:color w:val="000000" w:themeColor="text1"/>
        </w:rPr>
        <w:t xml:space="preserve"> </w:t>
      </w:r>
      <w:r w:rsidR="0028368B" w:rsidRPr="006F5D71">
        <w:rPr>
          <w:color w:val="000000" w:themeColor="text1"/>
        </w:rPr>
        <w:t>A</w:t>
      </w:r>
      <w:r w:rsidR="004B78EA" w:rsidRPr="006F5D71">
        <w:rPr>
          <w:color w:val="000000" w:themeColor="text1"/>
        </w:rPr>
        <w:t xml:space="preserve"> second</w:t>
      </w:r>
      <w:r w:rsidRPr="006F5D71">
        <w:rPr>
          <w:color w:val="000000" w:themeColor="text1"/>
        </w:rPr>
        <w:t xml:space="preserve"> strand of scholarship focuses on process-based outcomes, such as knowledge absorption, productivity spillovers, capability enhancement</w:t>
      </w:r>
      <w:r w:rsidR="005E6BDE" w:rsidRPr="006F5D71">
        <w:rPr>
          <w:color w:val="000000" w:themeColor="text1"/>
        </w:rPr>
        <w:t>,</w:t>
      </w:r>
      <w:r w:rsidRPr="006F5D71">
        <w:rPr>
          <w:color w:val="000000" w:themeColor="text1"/>
        </w:rPr>
        <w:t xml:space="preserve"> and learning of managerial know-how (</w:t>
      </w:r>
      <w:r w:rsidR="0028368B" w:rsidRPr="006F5D71">
        <w:rPr>
          <w:color w:val="000000" w:themeColor="text1"/>
        </w:rPr>
        <w:t xml:space="preserve">Nair, </w:t>
      </w:r>
      <w:proofErr w:type="spellStart"/>
      <w:r w:rsidR="0028368B" w:rsidRPr="006F5D71">
        <w:rPr>
          <w:color w:val="000000" w:themeColor="text1"/>
        </w:rPr>
        <w:t>Demirbag</w:t>
      </w:r>
      <w:proofErr w:type="spellEnd"/>
      <w:r w:rsidR="0028368B" w:rsidRPr="006F5D71">
        <w:rPr>
          <w:color w:val="000000" w:themeColor="text1"/>
        </w:rPr>
        <w:t xml:space="preserve">, and </w:t>
      </w:r>
      <w:proofErr w:type="spellStart"/>
      <w:r w:rsidR="0028368B" w:rsidRPr="006F5D71">
        <w:rPr>
          <w:color w:val="000000" w:themeColor="text1"/>
        </w:rPr>
        <w:t>Mellahi</w:t>
      </w:r>
      <w:proofErr w:type="spellEnd"/>
      <w:r w:rsidR="0028368B" w:rsidRPr="006F5D71">
        <w:rPr>
          <w:color w:val="000000" w:themeColor="text1"/>
        </w:rPr>
        <w:t xml:space="preserve">, 2016; </w:t>
      </w:r>
      <w:r w:rsidRPr="006F5D71">
        <w:rPr>
          <w:color w:val="000000" w:themeColor="text1"/>
        </w:rPr>
        <w:t xml:space="preserve">Liu and Meyer, 2020; </w:t>
      </w:r>
      <w:r w:rsidR="00F63ABA" w:rsidRPr="006F5D71">
        <w:rPr>
          <w:color w:val="000000" w:themeColor="text1"/>
        </w:rPr>
        <w:t>Guo &amp; Clougherty, 2020</w:t>
      </w:r>
      <w:r w:rsidRPr="006F5D71">
        <w:rPr>
          <w:color w:val="000000" w:themeColor="text1"/>
        </w:rPr>
        <w:t xml:space="preserve">). </w:t>
      </w:r>
    </w:p>
    <w:p w14:paraId="556D1745" w14:textId="77777777" w:rsidR="003D6D47" w:rsidRPr="006F5D71" w:rsidRDefault="00FC0260" w:rsidP="00D9499F">
      <w:pPr>
        <w:pStyle w:val="NoSpacing"/>
        <w:spacing w:line="360" w:lineRule="auto"/>
        <w:ind w:firstLine="720"/>
        <w:jc w:val="both"/>
        <w:rPr>
          <w:color w:val="000000" w:themeColor="text1"/>
        </w:rPr>
      </w:pPr>
      <w:r w:rsidRPr="006F5D71">
        <w:rPr>
          <w:color w:val="000000" w:themeColor="text1"/>
        </w:rPr>
        <w:lastRenderedPageBreak/>
        <w:t>T</w:t>
      </w:r>
      <w:r w:rsidR="004B78EA" w:rsidRPr="006F5D71">
        <w:rPr>
          <w:color w:val="000000" w:themeColor="text1"/>
        </w:rPr>
        <w:t xml:space="preserve">he effects of both </w:t>
      </w:r>
      <w:r w:rsidR="00B97285">
        <w:rPr>
          <w:color w:val="000000" w:themeColor="text1"/>
        </w:rPr>
        <w:t xml:space="preserve">the </w:t>
      </w:r>
      <w:r w:rsidR="004B78EA" w:rsidRPr="006F5D71">
        <w:rPr>
          <w:color w:val="000000" w:themeColor="text1"/>
        </w:rPr>
        <w:t xml:space="preserve">mode of entry and process-based outcomes </w:t>
      </w:r>
      <w:r w:rsidR="003D6D47" w:rsidRPr="006F5D71">
        <w:rPr>
          <w:color w:val="000000" w:themeColor="text1"/>
        </w:rPr>
        <w:t xml:space="preserve">ultimately </w:t>
      </w:r>
      <w:r w:rsidR="000C2412">
        <w:rPr>
          <w:color w:val="000000" w:themeColor="text1"/>
        </w:rPr>
        <w:t xml:space="preserve">influence </w:t>
      </w:r>
      <w:r w:rsidR="003D6D47" w:rsidRPr="006F5D71">
        <w:rPr>
          <w:color w:val="000000" w:themeColor="text1"/>
        </w:rPr>
        <w:t>the survival of investments</w:t>
      </w:r>
      <w:r w:rsidR="004B78EA" w:rsidRPr="006F5D71">
        <w:rPr>
          <w:color w:val="000000" w:themeColor="text1"/>
        </w:rPr>
        <w:t xml:space="preserve">, </w:t>
      </w:r>
      <w:r w:rsidR="000C2412">
        <w:rPr>
          <w:color w:val="000000" w:themeColor="text1"/>
        </w:rPr>
        <w:t>yet</w:t>
      </w:r>
      <w:r w:rsidR="000C2412" w:rsidRPr="006F5D71">
        <w:rPr>
          <w:color w:val="000000" w:themeColor="text1"/>
        </w:rPr>
        <w:t xml:space="preserve"> </w:t>
      </w:r>
      <w:r w:rsidR="004B78EA" w:rsidRPr="006F5D71">
        <w:rPr>
          <w:color w:val="000000" w:themeColor="text1"/>
        </w:rPr>
        <w:t>w</w:t>
      </w:r>
      <w:r w:rsidR="003D6D47" w:rsidRPr="006F5D71">
        <w:rPr>
          <w:color w:val="000000" w:themeColor="text1"/>
        </w:rPr>
        <w:t>e lack empirical evidence on the survival of outward investments of EMNCs</w:t>
      </w:r>
      <w:r w:rsidR="00387029" w:rsidRPr="006F5D71">
        <w:rPr>
          <w:color w:val="000000" w:themeColor="text1"/>
        </w:rPr>
        <w:t>. Gu</w:t>
      </w:r>
      <w:r w:rsidR="003D6D47" w:rsidRPr="006F5D71">
        <w:rPr>
          <w:color w:val="000000" w:themeColor="text1"/>
        </w:rPr>
        <w:t xml:space="preserve"> </w:t>
      </w:r>
      <w:r w:rsidR="000A4526" w:rsidRPr="006F5D71">
        <w:rPr>
          <w:color w:val="000000" w:themeColor="text1"/>
        </w:rPr>
        <w:t>et al.</w:t>
      </w:r>
      <w:r w:rsidR="003D6D47" w:rsidRPr="006F5D71">
        <w:rPr>
          <w:color w:val="000000" w:themeColor="text1"/>
        </w:rPr>
        <w:t xml:space="preserve"> (2018) </w:t>
      </w:r>
      <w:r w:rsidR="00413620" w:rsidRPr="006F5D71">
        <w:rPr>
          <w:color w:val="000000" w:themeColor="text1"/>
        </w:rPr>
        <w:t xml:space="preserve">find </w:t>
      </w:r>
      <w:r w:rsidR="003D6D47" w:rsidRPr="006F5D71">
        <w:rPr>
          <w:color w:val="000000" w:themeColor="text1"/>
        </w:rPr>
        <w:t xml:space="preserve">that </w:t>
      </w:r>
      <w:r w:rsidR="00EC124F" w:rsidRPr="006F5D71">
        <w:rPr>
          <w:color w:val="000000" w:themeColor="text1"/>
        </w:rPr>
        <w:t xml:space="preserve">the </w:t>
      </w:r>
      <w:r w:rsidR="003D6D47" w:rsidRPr="006F5D71">
        <w:rPr>
          <w:color w:val="000000" w:themeColor="text1"/>
        </w:rPr>
        <w:t xml:space="preserve">positive effect </w:t>
      </w:r>
      <w:r w:rsidR="00AA5968" w:rsidRPr="006F5D71">
        <w:rPr>
          <w:color w:val="000000" w:themeColor="text1"/>
        </w:rPr>
        <w:t xml:space="preserve">of </w:t>
      </w:r>
      <w:proofErr w:type="spellStart"/>
      <w:r w:rsidR="00AA5968" w:rsidRPr="006F5D71">
        <w:rPr>
          <w:color w:val="000000" w:themeColor="text1"/>
        </w:rPr>
        <w:t>multinationality</w:t>
      </w:r>
      <w:proofErr w:type="spellEnd"/>
      <w:r w:rsidR="00497840" w:rsidRPr="006F5D71">
        <w:rPr>
          <w:color w:val="000000" w:themeColor="text1"/>
        </w:rPr>
        <w:t xml:space="preserve"> on performance</w:t>
      </w:r>
      <w:r w:rsidR="00EC124F" w:rsidRPr="006F5D71">
        <w:rPr>
          <w:color w:val="000000" w:themeColor="text1"/>
        </w:rPr>
        <w:t xml:space="preserve"> </w:t>
      </w:r>
      <w:r w:rsidR="00413620" w:rsidRPr="006F5D71">
        <w:rPr>
          <w:color w:val="000000" w:themeColor="text1"/>
        </w:rPr>
        <w:t>(measured by the return on assets</w:t>
      </w:r>
      <w:r w:rsidR="00BA14F9" w:rsidRPr="006F5D71">
        <w:rPr>
          <w:color w:val="000000" w:themeColor="text1"/>
        </w:rPr>
        <w:t xml:space="preserve">) </w:t>
      </w:r>
      <w:r w:rsidR="003D6D47" w:rsidRPr="006F5D71">
        <w:rPr>
          <w:color w:val="000000" w:themeColor="text1"/>
        </w:rPr>
        <w:t xml:space="preserve">is larger </w:t>
      </w:r>
      <w:r w:rsidR="000E5E50" w:rsidRPr="006F5D71">
        <w:rPr>
          <w:color w:val="000000" w:themeColor="text1"/>
        </w:rPr>
        <w:t xml:space="preserve">(but non-monotonic) </w:t>
      </w:r>
      <w:r w:rsidR="003D6D47" w:rsidRPr="006F5D71">
        <w:rPr>
          <w:color w:val="000000" w:themeColor="text1"/>
        </w:rPr>
        <w:t xml:space="preserve">for EMNC investments in </w:t>
      </w:r>
      <w:r w:rsidR="0028368B" w:rsidRPr="006F5D71">
        <w:rPr>
          <w:color w:val="000000" w:themeColor="text1"/>
        </w:rPr>
        <w:t xml:space="preserve">developed economies </w:t>
      </w:r>
      <w:r w:rsidR="003D6D47" w:rsidRPr="006F5D71">
        <w:rPr>
          <w:color w:val="000000" w:themeColor="text1"/>
        </w:rPr>
        <w:t xml:space="preserve">than in </w:t>
      </w:r>
      <w:r w:rsidRPr="006F5D71">
        <w:rPr>
          <w:color w:val="000000" w:themeColor="text1"/>
        </w:rPr>
        <w:t>developing economies</w:t>
      </w:r>
      <w:r w:rsidR="003D6D47" w:rsidRPr="006F5D71">
        <w:rPr>
          <w:color w:val="000000" w:themeColor="text1"/>
        </w:rPr>
        <w:t>.</w:t>
      </w:r>
      <w:r w:rsidR="00A21F40" w:rsidRPr="006F5D71">
        <w:rPr>
          <w:color w:val="000000" w:themeColor="text1"/>
        </w:rPr>
        <w:t xml:space="preserve"> These studies shed limited light on survival outcomes, as return</w:t>
      </w:r>
      <w:r w:rsidR="00BA14F9" w:rsidRPr="006F5D71">
        <w:rPr>
          <w:color w:val="000000" w:themeColor="text1"/>
        </w:rPr>
        <w:t xml:space="preserve"> on assets </w:t>
      </w:r>
      <w:r w:rsidR="00A21F40" w:rsidRPr="006F5D71">
        <w:rPr>
          <w:color w:val="000000" w:themeColor="text1"/>
        </w:rPr>
        <w:t>might be</w:t>
      </w:r>
      <w:r w:rsidR="00BA14F9" w:rsidRPr="006F5D71">
        <w:rPr>
          <w:color w:val="000000" w:themeColor="text1"/>
        </w:rPr>
        <w:t xml:space="preserve"> </w:t>
      </w:r>
      <w:r w:rsidR="00A21F40" w:rsidRPr="006F5D71">
        <w:rPr>
          <w:color w:val="000000" w:themeColor="text1"/>
        </w:rPr>
        <w:t>un</w:t>
      </w:r>
      <w:r w:rsidR="00BA14F9" w:rsidRPr="006F5D71">
        <w:rPr>
          <w:color w:val="000000" w:themeColor="text1"/>
        </w:rPr>
        <w:t>correlated with survival</w:t>
      </w:r>
      <w:r w:rsidR="00F45DC6" w:rsidRPr="006F5D71">
        <w:rPr>
          <w:color w:val="000000" w:themeColor="text1"/>
        </w:rPr>
        <w:t xml:space="preserve">, </w:t>
      </w:r>
      <w:r w:rsidR="00A21F40" w:rsidRPr="006F5D71">
        <w:rPr>
          <w:color w:val="000000" w:themeColor="text1"/>
        </w:rPr>
        <w:t>when</w:t>
      </w:r>
      <w:r w:rsidR="00F45DC6" w:rsidRPr="006F5D71">
        <w:rPr>
          <w:color w:val="000000" w:themeColor="text1"/>
        </w:rPr>
        <w:t xml:space="preserve"> investment in subsidiaries</w:t>
      </w:r>
      <w:r w:rsidR="00A21F40" w:rsidRPr="006F5D71">
        <w:rPr>
          <w:color w:val="000000" w:themeColor="text1"/>
        </w:rPr>
        <w:t xml:space="preserve"> is</w:t>
      </w:r>
      <w:r w:rsidR="00F45DC6" w:rsidRPr="006F5D71">
        <w:rPr>
          <w:color w:val="000000" w:themeColor="text1"/>
        </w:rPr>
        <w:t xml:space="preserve"> for strategic reasons</w:t>
      </w:r>
      <w:r w:rsidRPr="006F5D71">
        <w:rPr>
          <w:color w:val="000000" w:themeColor="text1"/>
        </w:rPr>
        <w:t xml:space="preserve"> or in expectation of future profitability</w:t>
      </w:r>
      <w:r w:rsidR="00BA14F9" w:rsidRPr="006F5D71">
        <w:rPr>
          <w:color w:val="000000" w:themeColor="text1"/>
        </w:rPr>
        <w:t>.</w:t>
      </w:r>
    </w:p>
    <w:p w14:paraId="55229485" w14:textId="77777777" w:rsidR="00EC124F" w:rsidRPr="006F5D71" w:rsidRDefault="00BA14F9" w:rsidP="00D9499F">
      <w:pPr>
        <w:pStyle w:val="NoSpacing"/>
        <w:spacing w:line="360" w:lineRule="auto"/>
        <w:ind w:firstLine="720"/>
        <w:jc w:val="both"/>
        <w:rPr>
          <w:rFonts w:eastAsia="Calibri" w:cs="Times New Roman"/>
          <w:color w:val="000000" w:themeColor="text1"/>
          <w:szCs w:val="24"/>
          <w:lang w:eastAsia="en-GB"/>
        </w:rPr>
      </w:pPr>
      <w:r w:rsidRPr="006F5D71">
        <w:rPr>
          <w:color w:val="000000" w:themeColor="text1"/>
        </w:rPr>
        <w:t>W</w:t>
      </w:r>
      <w:r w:rsidR="00AD4026" w:rsidRPr="006F5D71">
        <w:rPr>
          <w:color w:val="000000" w:themeColor="text1"/>
        </w:rPr>
        <w:t xml:space="preserve">e argue that </w:t>
      </w:r>
      <w:r w:rsidR="00F52463" w:rsidRPr="006F5D71">
        <w:rPr>
          <w:color w:val="000000" w:themeColor="text1"/>
        </w:rPr>
        <w:t xml:space="preserve">the </w:t>
      </w:r>
      <w:r w:rsidR="00AD4026" w:rsidRPr="006F5D71">
        <w:rPr>
          <w:color w:val="000000" w:themeColor="text1"/>
        </w:rPr>
        <w:t xml:space="preserve">survival likelihood of </w:t>
      </w:r>
      <w:r w:rsidRPr="006F5D71">
        <w:rPr>
          <w:color w:val="000000" w:themeColor="text1"/>
        </w:rPr>
        <w:t>EMNCs</w:t>
      </w:r>
      <w:r w:rsidR="00AD4026" w:rsidRPr="006F5D71">
        <w:rPr>
          <w:color w:val="000000" w:themeColor="text1"/>
        </w:rPr>
        <w:t xml:space="preserve"> </w:t>
      </w:r>
      <w:r w:rsidR="00F52463" w:rsidRPr="006F5D71">
        <w:rPr>
          <w:color w:val="000000" w:themeColor="text1"/>
        </w:rPr>
        <w:t>is</w:t>
      </w:r>
      <w:r w:rsidR="00AD4026" w:rsidRPr="006F5D71">
        <w:rPr>
          <w:color w:val="000000" w:themeColor="text1"/>
        </w:rPr>
        <w:t xml:space="preserve"> different in North</w:t>
      </w:r>
      <w:r w:rsidR="00A21F40" w:rsidRPr="006F5D71">
        <w:rPr>
          <w:color w:val="000000" w:themeColor="text1"/>
        </w:rPr>
        <w:t>ern</w:t>
      </w:r>
      <w:r w:rsidR="00AD4026" w:rsidRPr="006F5D71">
        <w:rPr>
          <w:color w:val="000000" w:themeColor="text1"/>
        </w:rPr>
        <w:t xml:space="preserve"> and South</w:t>
      </w:r>
      <w:r w:rsidR="00A21F40" w:rsidRPr="006F5D71">
        <w:rPr>
          <w:color w:val="000000" w:themeColor="text1"/>
        </w:rPr>
        <w:t>ern</w:t>
      </w:r>
      <w:r w:rsidR="00AD4026" w:rsidRPr="006F5D71">
        <w:rPr>
          <w:color w:val="000000" w:themeColor="text1"/>
        </w:rPr>
        <w:t xml:space="preserve"> </w:t>
      </w:r>
      <w:r w:rsidR="00A21F40" w:rsidRPr="006F5D71">
        <w:rPr>
          <w:color w:val="000000" w:themeColor="text1"/>
        </w:rPr>
        <w:t xml:space="preserve">locations </w:t>
      </w:r>
      <w:r w:rsidR="00AD4026" w:rsidRPr="006F5D71">
        <w:rPr>
          <w:color w:val="000000" w:themeColor="text1"/>
        </w:rPr>
        <w:t>due to the differences in their relative firm-specific advantages (FSAs)</w:t>
      </w:r>
      <w:r w:rsidRPr="006F5D71">
        <w:rPr>
          <w:color w:val="000000" w:themeColor="text1"/>
        </w:rPr>
        <w:t xml:space="preserve"> when </w:t>
      </w:r>
      <w:r w:rsidR="00AD4026" w:rsidRPr="006F5D71">
        <w:rPr>
          <w:color w:val="000000" w:themeColor="text1"/>
        </w:rPr>
        <w:t xml:space="preserve">compared to domestic firms in host countries. </w:t>
      </w:r>
      <w:r w:rsidR="00F45DC6" w:rsidRPr="006F5D71">
        <w:rPr>
          <w:color w:val="000000" w:themeColor="text1"/>
        </w:rPr>
        <w:t>Furthermore, we can understand t</w:t>
      </w:r>
      <w:r w:rsidR="00F13410" w:rsidRPr="006F5D71">
        <w:rPr>
          <w:color w:val="000000" w:themeColor="text1"/>
        </w:rPr>
        <w:t>his differential</w:t>
      </w:r>
      <w:r w:rsidR="00903FE7" w:rsidRPr="006F5D71">
        <w:rPr>
          <w:strike/>
          <w:color w:val="000000" w:themeColor="text1"/>
        </w:rPr>
        <w:t xml:space="preserve"> </w:t>
      </w:r>
      <w:r w:rsidR="00903FE7" w:rsidRPr="006F5D71">
        <w:rPr>
          <w:color w:val="000000" w:themeColor="text1"/>
        </w:rPr>
        <w:t>survival likelihood</w:t>
      </w:r>
      <w:r w:rsidR="003D6D47" w:rsidRPr="006F5D71">
        <w:rPr>
          <w:color w:val="000000" w:themeColor="text1"/>
        </w:rPr>
        <w:t xml:space="preserve"> </w:t>
      </w:r>
      <w:r w:rsidR="004B78EA" w:rsidRPr="006F5D71">
        <w:rPr>
          <w:color w:val="000000" w:themeColor="text1"/>
        </w:rPr>
        <w:t>of</w:t>
      </w:r>
      <w:r w:rsidR="003D6D47" w:rsidRPr="006F5D71">
        <w:rPr>
          <w:color w:val="000000" w:themeColor="text1"/>
        </w:rPr>
        <w:t xml:space="preserve"> investments in the North and the </w:t>
      </w:r>
      <w:r w:rsidR="00F13410" w:rsidRPr="006F5D71">
        <w:rPr>
          <w:color w:val="000000" w:themeColor="text1"/>
        </w:rPr>
        <w:t>South</w:t>
      </w:r>
      <w:r w:rsidR="003D6D47" w:rsidRPr="006F5D71">
        <w:rPr>
          <w:color w:val="000000" w:themeColor="text1"/>
        </w:rPr>
        <w:t xml:space="preserve"> </w:t>
      </w:r>
      <w:r w:rsidR="004C7443" w:rsidRPr="006F5D71">
        <w:rPr>
          <w:color w:val="000000" w:themeColor="text1"/>
        </w:rPr>
        <w:t>from</w:t>
      </w:r>
      <w:r w:rsidRPr="006F5D71">
        <w:rPr>
          <w:color w:val="000000" w:themeColor="text1"/>
        </w:rPr>
        <w:t xml:space="preserve"> </w:t>
      </w:r>
      <w:r w:rsidR="003D6D47" w:rsidRPr="006F5D71">
        <w:rPr>
          <w:color w:val="000000" w:themeColor="text1"/>
        </w:rPr>
        <w:t xml:space="preserve">a real options perspective. </w:t>
      </w:r>
      <w:r w:rsidR="004B78EA" w:rsidRPr="006F5D71">
        <w:rPr>
          <w:rFonts w:eastAsia="Calibri" w:cs="Times New Roman"/>
          <w:color w:val="000000" w:themeColor="text1"/>
          <w:szCs w:val="24"/>
          <w:lang w:eastAsia="en-GB"/>
        </w:rPr>
        <w:t>Chinese and Indian</w:t>
      </w:r>
      <w:r w:rsidR="003D6D47" w:rsidRPr="006F5D71">
        <w:rPr>
          <w:rFonts w:eastAsia="Calibri" w:cs="Times New Roman"/>
          <w:color w:val="000000" w:themeColor="text1"/>
          <w:szCs w:val="24"/>
          <w:lang w:eastAsia="en-GB"/>
        </w:rPr>
        <w:t xml:space="preserve"> </w:t>
      </w:r>
      <w:r w:rsidR="00C57F70" w:rsidRPr="006F5D71">
        <w:rPr>
          <w:rFonts w:eastAsia="Calibri" w:cs="Times New Roman"/>
          <w:color w:val="000000" w:themeColor="text1"/>
          <w:szCs w:val="24"/>
          <w:lang w:eastAsia="en-GB"/>
        </w:rPr>
        <w:t xml:space="preserve">early </w:t>
      </w:r>
      <w:r w:rsidR="003D6D47" w:rsidRPr="006F5D71">
        <w:rPr>
          <w:rFonts w:eastAsia="Calibri" w:cs="Times New Roman"/>
          <w:color w:val="000000" w:themeColor="text1"/>
          <w:szCs w:val="24"/>
          <w:lang w:eastAsia="en-GB"/>
        </w:rPr>
        <w:t xml:space="preserve">outward investments </w:t>
      </w:r>
      <w:r w:rsidR="00F45DC6" w:rsidRPr="006F5D71">
        <w:rPr>
          <w:rFonts w:eastAsia="Calibri" w:cs="Times New Roman"/>
          <w:color w:val="000000" w:themeColor="text1"/>
          <w:szCs w:val="24"/>
          <w:lang w:eastAsia="en-GB"/>
        </w:rPr>
        <w:t>we</w:t>
      </w:r>
      <w:r w:rsidR="003D6D47" w:rsidRPr="006F5D71">
        <w:rPr>
          <w:rFonts w:eastAsia="Calibri" w:cs="Times New Roman"/>
          <w:color w:val="000000" w:themeColor="text1"/>
          <w:szCs w:val="24"/>
          <w:lang w:eastAsia="en-GB"/>
        </w:rPr>
        <w:t xml:space="preserve">re </w:t>
      </w:r>
      <w:r w:rsidR="009D6D67" w:rsidRPr="006F5D71">
        <w:rPr>
          <w:rFonts w:eastAsia="Calibri" w:cs="Times New Roman"/>
          <w:color w:val="000000" w:themeColor="text1"/>
          <w:szCs w:val="24"/>
          <w:lang w:eastAsia="en-GB"/>
        </w:rPr>
        <w:t xml:space="preserve">often </w:t>
      </w:r>
      <w:r w:rsidR="003D6D47" w:rsidRPr="006F5D71">
        <w:rPr>
          <w:rFonts w:eastAsia="Calibri" w:cs="Times New Roman"/>
          <w:color w:val="000000" w:themeColor="text1"/>
          <w:szCs w:val="24"/>
          <w:lang w:eastAsia="en-GB"/>
        </w:rPr>
        <w:t>exploratory in nature</w:t>
      </w:r>
      <w:r w:rsidR="009D6D67" w:rsidRPr="006F5D71">
        <w:rPr>
          <w:rFonts w:eastAsia="Calibri" w:cs="Times New Roman"/>
          <w:color w:val="000000" w:themeColor="text1"/>
          <w:szCs w:val="24"/>
          <w:lang w:eastAsia="en-GB"/>
        </w:rPr>
        <w:t xml:space="preserve"> </w:t>
      </w:r>
      <w:r w:rsidR="00776463" w:rsidRPr="006F5D71">
        <w:rPr>
          <w:rFonts w:eastAsia="Calibri" w:cs="Times New Roman"/>
          <w:color w:val="000000" w:themeColor="text1"/>
          <w:szCs w:val="24"/>
          <w:lang w:eastAsia="en-GB"/>
        </w:rPr>
        <w:t>- trying</w:t>
      </w:r>
      <w:r w:rsidR="003D6D47" w:rsidRPr="006F5D71">
        <w:rPr>
          <w:rFonts w:eastAsia="Calibri" w:cs="Times New Roman"/>
          <w:color w:val="000000" w:themeColor="text1"/>
          <w:szCs w:val="24"/>
          <w:lang w:eastAsia="en-GB"/>
        </w:rPr>
        <w:t xml:space="preserve"> to discover those markets and locations where they could leverage their ownership advantages</w:t>
      </w:r>
      <w:r w:rsidR="009D6D67" w:rsidRPr="006F5D71">
        <w:rPr>
          <w:rFonts w:eastAsia="Calibri" w:cs="Times New Roman"/>
          <w:color w:val="000000" w:themeColor="text1"/>
          <w:szCs w:val="24"/>
          <w:lang w:eastAsia="en-GB"/>
        </w:rPr>
        <w:t xml:space="preserve"> or augment them</w:t>
      </w:r>
      <w:r w:rsidR="00D45B4A" w:rsidRPr="006F5D71">
        <w:rPr>
          <w:rFonts w:eastAsia="Calibri" w:cs="Times New Roman"/>
          <w:color w:val="000000" w:themeColor="text1"/>
          <w:szCs w:val="24"/>
          <w:lang w:eastAsia="en-GB"/>
        </w:rPr>
        <w:t xml:space="preserve"> (</w:t>
      </w:r>
      <w:proofErr w:type="spellStart"/>
      <w:r w:rsidR="00D45B4A" w:rsidRPr="006F5D71">
        <w:rPr>
          <w:rFonts w:eastAsia="Calibri" w:cs="Times New Roman"/>
          <w:color w:val="000000" w:themeColor="text1"/>
          <w:szCs w:val="24"/>
          <w:lang w:eastAsia="en-GB"/>
        </w:rPr>
        <w:t>Athreye</w:t>
      </w:r>
      <w:proofErr w:type="spellEnd"/>
      <w:r w:rsidR="00D45B4A" w:rsidRPr="006F5D71">
        <w:rPr>
          <w:rFonts w:eastAsia="Calibri" w:cs="Times New Roman"/>
          <w:color w:val="000000" w:themeColor="text1"/>
          <w:szCs w:val="24"/>
          <w:lang w:eastAsia="en-GB"/>
        </w:rPr>
        <w:t xml:space="preserve"> and </w:t>
      </w:r>
      <w:proofErr w:type="spellStart"/>
      <w:r w:rsidR="00D45B4A" w:rsidRPr="006F5D71">
        <w:rPr>
          <w:rFonts w:eastAsia="Calibri" w:cs="Times New Roman"/>
          <w:color w:val="000000" w:themeColor="text1"/>
          <w:szCs w:val="24"/>
          <w:lang w:eastAsia="en-GB"/>
        </w:rPr>
        <w:t>Kapur</w:t>
      </w:r>
      <w:proofErr w:type="spellEnd"/>
      <w:r w:rsidR="00D45B4A" w:rsidRPr="006F5D71">
        <w:rPr>
          <w:rFonts w:eastAsia="Calibri" w:cs="Times New Roman"/>
          <w:color w:val="000000" w:themeColor="text1"/>
          <w:szCs w:val="24"/>
          <w:lang w:eastAsia="en-GB"/>
        </w:rPr>
        <w:t>, 2009)</w:t>
      </w:r>
      <w:r w:rsidR="003D6D47" w:rsidRPr="006F5D71">
        <w:rPr>
          <w:rFonts w:eastAsia="Calibri" w:cs="Times New Roman"/>
          <w:color w:val="000000" w:themeColor="text1"/>
          <w:szCs w:val="24"/>
          <w:lang w:eastAsia="en-GB"/>
        </w:rPr>
        <w:t xml:space="preserve">. In this </w:t>
      </w:r>
      <w:r w:rsidR="00C57F70" w:rsidRPr="006F5D71">
        <w:rPr>
          <w:rFonts w:eastAsia="Calibri" w:cs="Times New Roman"/>
          <w:color w:val="000000" w:themeColor="text1"/>
          <w:szCs w:val="24"/>
          <w:lang w:eastAsia="en-GB"/>
        </w:rPr>
        <w:t>quest,</w:t>
      </w:r>
      <w:r w:rsidR="003D6D47" w:rsidRPr="006F5D71">
        <w:rPr>
          <w:rFonts w:eastAsia="Calibri" w:cs="Times New Roman"/>
          <w:color w:val="000000" w:themeColor="text1"/>
          <w:szCs w:val="24"/>
          <w:lang w:eastAsia="en-GB"/>
        </w:rPr>
        <w:t xml:space="preserve"> they face</w:t>
      </w:r>
      <w:r w:rsidR="004B78EA" w:rsidRPr="006F5D71">
        <w:rPr>
          <w:rFonts w:eastAsia="Calibri" w:cs="Times New Roman"/>
          <w:color w:val="000000" w:themeColor="text1"/>
          <w:szCs w:val="24"/>
          <w:lang w:eastAsia="en-GB"/>
        </w:rPr>
        <w:t>d</w:t>
      </w:r>
      <w:r w:rsidR="003D6D47" w:rsidRPr="006F5D71">
        <w:rPr>
          <w:rFonts w:eastAsia="Calibri" w:cs="Times New Roman"/>
          <w:color w:val="000000" w:themeColor="text1"/>
          <w:szCs w:val="24"/>
          <w:lang w:eastAsia="en-GB"/>
        </w:rPr>
        <w:t xml:space="preserve"> uncertainty on various counts: due to institutional </w:t>
      </w:r>
      <w:r w:rsidR="007D682B" w:rsidRPr="006F5D71">
        <w:rPr>
          <w:rFonts w:eastAsia="Calibri" w:cs="Times New Roman"/>
          <w:color w:val="000000" w:themeColor="text1"/>
          <w:szCs w:val="24"/>
          <w:lang w:eastAsia="en-GB"/>
        </w:rPr>
        <w:t xml:space="preserve">differences and </w:t>
      </w:r>
      <w:r w:rsidR="00EC124F" w:rsidRPr="006F5D71">
        <w:rPr>
          <w:rFonts w:eastAsia="Calibri" w:cs="Times New Roman"/>
          <w:color w:val="000000" w:themeColor="text1"/>
          <w:szCs w:val="24"/>
          <w:lang w:eastAsia="en-GB"/>
        </w:rPr>
        <w:t>disruptions</w:t>
      </w:r>
      <w:r w:rsidR="003D6D47" w:rsidRPr="006F5D71">
        <w:rPr>
          <w:rFonts w:eastAsia="Calibri" w:cs="Times New Roman"/>
          <w:color w:val="000000" w:themeColor="text1"/>
          <w:szCs w:val="24"/>
          <w:lang w:eastAsia="en-GB"/>
        </w:rPr>
        <w:t>, fluctuations in currency value</w:t>
      </w:r>
      <w:r w:rsidR="00357273" w:rsidRPr="006F5D71">
        <w:rPr>
          <w:rFonts w:eastAsia="Calibri" w:cs="Times New Roman"/>
          <w:color w:val="000000" w:themeColor="text1"/>
          <w:szCs w:val="24"/>
          <w:lang w:eastAsia="en-GB"/>
        </w:rPr>
        <w:t>,</w:t>
      </w:r>
      <w:r w:rsidR="003D6D47" w:rsidRPr="006F5D71">
        <w:rPr>
          <w:rFonts w:eastAsia="Calibri" w:cs="Times New Roman"/>
          <w:color w:val="000000" w:themeColor="text1"/>
          <w:szCs w:val="24"/>
          <w:lang w:eastAsia="en-GB"/>
        </w:rPr>
        <w:t xml:space="preserve"> and unexpected changes in demand. The real options framework </w:t>
      </w:r>
      <w:r w:rsidR="007D682B" w:rsidRPr="006F5D71">
        <w:rPr>
          <w:rFonts w:eastAsia="Calibri" w:cs="Times New Roman"/>
          <w:color w:val="000000" w:themeColor="text1"/>
          <w:szCs w:val="24"/>
          <w:lang w:eastAsia="en-GB"/>
        </w:rPr>
        <w:t xml:space="preserve">is </w:t>
      </w:r>
      <w:r w:rsidR="004B78EA" w:rsidRPr="006F5D71">
        <w:rPr>
          <w:rFonts w:eastAsia="Calibri" w:cs="Times New Roman"/>
          <w:color w:val="000000" w:themeColor="text1"/>
          <w:szCs w:val="24"/>
          <w:lang w:eastAsia="en-GB"/>
        </w:rPr>
        <w:t>a</w:t>
      </w:r>
      <w:r w:rsidR="003D6D47" w:rsidRPr="006F5D71">
        <w:rPr>
          <w:rFonts w:eastAsia="Calibri" w:cs="Times New Roman"/>
          <w:color w:val="000000" w:themeColor="text1"/>
          <w:szCs w:val="24"/>
          <w:lang w:eastAsia="en-GB"/>
        </w:rPr>
        <w:t xml:space="preserve"> useful lens to </w:t>
      </w:r>
      <w:r w:rsidR="00EC124F" w:rsidRPr="006F5D71">
        <w:rPr>
          <w:rFonts w:eastAsia="Calibri" w:cs="Times New Roman"/>
          <w:color w:val="000000" w:themeColor="text1"/>
          <w:szCs w:val="24"/>
          <w:lang w:eastAsia="en-GB"/>
        </w:rPr>
        <w:t>analyze</w:t>
      </w:r>
      <w:r w:rsidR="004B78EA" w:rsidRPr="006F5D71">
        <w:rPr>
          <w:rFonts w:eastAsia="Calibri" w:cs="Times New Roman"/>
          <w:color w:val="000000" w:themeColor="text1"/>
          <w:szCs w:val="24"/>
          <w:lang w:eastAsia="en-GB"/>
        </w:rPr>
        <w:t xml:space="preserve"> </w:t>
      </w:r>
      <w:r w:rsidR="003D6D47" w:rsidRPr="006F5D71">
        <w:rPr>
          <w:rFonts w:eastAsia="Calibri" w:cs="Times New Roman"/>
          <w:color w:val="000000" w:themeColor="text1"/>
          <w:szCs w:val="24"/>
          <w:lang w:eastAsia="en-GB"/>
        </w:rPr>
        <w:t xml:space="preserve">MNC strategic </w:t>
      </w:r>
      <w:r w:rsidR="00776463" w:rsidRPr="006F5D71">
        <w:rPr>
          <w:rFonts w:eastAsia="Calibri" w:cs="Times New Roman"/>
          <w:color w:val="000000" w:themeColor="text1"/>
          <w:szCs w:val="24"/>
          <w:lang w:eastAsia="en-GB"/>
        </w:rPr>
        <w:t>behavior</w:t>
      </w:r>
      <w:r w:rsidR="003D6D47" w:rsidRPr="006F5D71">
        <w:rPr>
          <w:rFonts w:eastAsia="Calibri" w:cs="Times New Roman"/>
          <w:color w:val="000000" w:themeColor="text1"/>
          <w:szCs w:val="24"/>
          <w:lang w:eastAsia="en-GB"/>
        </w:rPr>
        <w:t xml:space="preserve"> when (irreversible) international investments </w:t>
      </w:r>
      <w:r w:rsidRPr="006F5D71">
        <w:rPr>
          <w:rFonts w:eastAsia="Calibri" w:cs="Times New Roman"/>
          <w:color w:val="000000" w:themeColor="text1"/>
          <w:szCs w:val="24"/>
          <w:lang w:eastAsia="en-GB"/>
        </w:rPr>
        <w:t xml:space="preserve">are made </w:t>
      </w:r>
      <w:r w:rsidR="003D6D47" w:rsidRPr="006F5D71">
        <w:rPr>
          <w:rFonts w:eastAsia="Calibri" w:cs="Times New Roman"/>
          <w:color w:val="000000" w:themeColor="text1"/>
          <w:szCs w:val="24"/>
          <w:lang w:eastAsia="en-GB"/>
        </w:rPr>
        <w:t xml:space="preserve">with a strategic intent but encounter uncertainties </w:t>
      </w:r>
      <w:r w:rsidR="005E6BDE" w:rsidRPr="006F5D71">
        <w:rPr>
          <w:rFonts w:eastAsia="Calibri" w:cs="Times New Roman"/>
          <w:color w:val="000000" w:themeColor="text1"/>
          <w:szCs w:val="24"/>
          <w:lang w:eastAsia="en-GB"/>
        </w:rPr>
        <w:t>that</w:t>
      </w:r>
      <w:r w:rsidR="003D6D47" w:rsidRPr="006F5D71">
        <w:rPr>
          <w:rFonts w:eastAsia="Calibri" w:cs="Times New Roman"/>
          <w:color w:val="000000" w:themeColor="text1"/>
          <w:szCs w:val="24"/>
          <w:lang w:eastAsia="en-GB"/>
        </w:rPr>
        <w:t xml:space="preserve"> may force </w:t>
      </w:r>
      <w:r w:rsidRPr="006F5D71">
        <w:rPr>
          <w:rFonts w:eastAsia="Calibri" w:cs="Times New Roman"/>
          <w:color w:val="000000" w:themeColor="text1"/>
          <w:szCs w:val="24"/>
          <w:lang w:eastAsia="en-GB"/>
        </w:rPr>
        <w:t>MNCs</w:t>
      </w:r>
      <w:r w:rsidR="003D6D47" w:rsidRPr="006F5D71">
        <w:rPr>
          <w:rFonts w:eastAsia="Calibri" w:cs="Times New Roman"/>
          <w:color w:val="000000" w:themeColor="text1"/>
          <w:szCs w:val="24"/>
          <w:lang w:eastAsia="en-GB"/>
        </w:rPr>
        <w:t xml:space="preserve"> to “keep their options open” in pursuit of their strategic objectives (</w:t>
      </w:r>
      <w:r w:rsidR="00A21F40" w:rsidRPr="006F5D71">
        <w:rPr>
          <w:rFonts w:eastAsia="Calibri" w:cs="Times New Roman"/>
          <w:color w:val="000000" w:themeColor="text1"/>
          <w:szCs w:val="24"/>
          <w:lang w:eastAsia="en-GB"/>
        </w:rPr>
        <w:t xml:space="preserve">Dixit and </w:t>
      </w:r>
      <w:proofErr w:type="spellStart"/>
      <w:r w:rsidR="00A21F40" w:rsidRPr="006F5D71">
        <w:rPr>
          <w:rFonts w:eastAsia="Calibri" w:cs="Times New Roman"/>
          <w:color w:val="000000" w:themeColor="text1"/>
          <w:szCs w:val="24"/>
          <w:lang w:eastAsia="en-GB"/>
        </w:rPr>
        <w:t>Pindyck</w:t>
      </w:r>
      <w:proofErr w:type="spellEnd"/>
      <w:r w:rsidR="00A21F40" w:rsidRPr="006F5D71">
        <w:rPr>
          <w:rFonts w:eastAsia="Calibri" w:cs="Times New Roman"/>
          <w:color w:val="000000" w:themeColor="text1"/>
          <w:szCs w:val="24"/>
          <w:lang w:eastAsia="en-GB"/>
        </w:rPr>
        <w:t xml:space="preserve"> 1994; </w:t>
      </w:r>
      <w:r w:rsidR="009D4CE9" w:rsidRPr="006F5D71">
        <w:rPr>
          <w:rFonts w:eastAsia="Calibri" w:cs="Times New Roman"/>
          <w:color w:val="000000" w:themeColor="text1"/>
          <w:szCs w:val="24"/>
          <w:lang w:eastAsia="en-GB"/>
        </w:rPr>
        <w:t>Song</w:t>
      </w:r>
      <w:r w:rsidR="00662CDE" w:rsidRPr="006F5D71">
        <w:rPr>
          <w:rFonts w:eastAsia="Calibri" w:cs="Times New Roman"/>
          <w:color w:val="000000" w:themeColor="text1"/>
          <w:szCs w:val="24"/>
          <w:lang w:eastAsia="en-GB"/>
        </w:rPr>
        <w:t>,</w:t>
      </w:r>
      <w:r w:rsidR="009D4CE9" w:rsidRPr="006F5D71">
        <w:rPr>
          <w:rFonts w:eastAsia="Calibri" w:cs="Times New Roman"/>
          <w:color w:val="000000" w:themeColor="text1"/>
          <w:szCs w:val="24"/>
          <w:lang w:eastAsia="en-GB"/>
        </w:rPr>
        <w:t xml:space="preserve"> 2021</w:t>
      </w:r>
      <w:r w:rsidR="003D6D47" w:rsidRPr="006F5D71">
        <w:rPr>
          <w:rFonts w:eastAsia="Calibri" w:cs="Times New Roman"/>
          <w:color w:val="000000" w:themeColor="text1"/>
          <w:szCs w:val="24"/>
          <w:lang w:eastAsia="en-GB"/>
        </w:rPr>
        <w:t xml:space="preserve">; </w:t>
      </w:r>
      <w:proofErr w:type="spellStart"/>
      <w:r w:rsidR="004E47D9" w:rsidRPr="006F5D71">
        <w:rPr>
          <w:rFonts w:eastAsia="Calibri" w:cs="Times New Roman"/>
          <w:color w:val="000000" w:themeColor="text1"/>
          <w:szCs w:val="24"/>
          <w:lang w:eastAsia="en-GB"/>
        </w:rPr>
        <w:t>Ioulianou</w:t>
      </w:r>
      <w:proofErr w:type="spellEnd"/>
      <w:r w:rsidR="004E47D9" w:rsidRPr="006F5D71">
        <w:rPr>
          <w:rFonts w:eastAsia="Calibri" w:cs="Times New Roman"/>
          <w:color w:val="000000" w:themeColor="text1"/>
          <w:szCs w:val="24"/>
          <w:lang w:eastAsia="en-GB"/>
        </w:rPr>
        <w:t xml:space="preserve">, </w:t>
      </w:r>
      <w:proofErr w:type="spellStart"/>
      <w:r w:rsidR="004E47D9" w:rsidRPr="006F5D71">
        <w:rPr>
          <w:rFonts w:eastAsia="Calibri" w:cs="Times New Roman"/>
          <w:color w:val="000000" w:themeColor="text1"/>
          <w:szCs w:val="24"/>
          <w:lang w:eastAsia="en-GB"/>
        </w:rPr>
        <w:t>Leiblein</w:t>
      </w:r>
      <w:proofErr w:type="spellEnd"/>
      <w:r w:rsidR="004E47D9" w:rsidRPr="006F5D71">
        <w:rPr>
          <w:rFonts w:eastAsia="Calibri" w:cs="Times New Roman"/>
          <w:color w:val="000000" w:themeColor="text1"/>
          <w:szCs w:val="24"/>
          <w:lang w:eastAsia="en-GB"/>
        </w:rPr>
        <w:t xml:space="preserve">, &amp; </w:t>
      </w:r>
      <w:proofErr w:type="spellStart"/>
      <w:r w:rsidR="004E47D9" w:rsidRPr="006F5D71">
        <w:rPr>
          <w:rFonts w:eastAsia="Calibri" w:cs="Times New Roman"/>
          <w:color w:val="000000" w:themeColor="text1"/>
          <w:szCs w:val="24"/>
          <w:lang w:eastAsia="en-GB"/>
        </w:rPr>
        <w:t>Trigeorgis</w:t>
      </w:r>
      <w:proofErr w:type="spellEnd"/>
      <w:r w:rsidR="004E47D9" w:rsidRPr="006F5D71">
        <w:rPr>
          <w:rFonts w:eastAsia="Calibri" w:cs="Times New Roman"/>
          <w:color w:val="000000" w:themeColor="text1"/>
          <w:szCs w:val="24"/>
          <w:lang w:eastAsia="en-GB"/>
        </w:rPr>
        <w:t>, 2021</w:t>
      </w:r>
      <w:r w:rsidR="00C57F70" w:rsidRPr="006F5D71">
        <w:rPr>
          <w:rFonts w:eastAsia="Calibri" w:cs="Times New Roman"/>
          <w:color w:val="000000" w:themeColor="text1"/>
          <w:szCs w:val="24"/>
          <w:lang w:eastAsia="en-GB"/>
        </w:rPr>
        <w:t xml:space="preserve">). </w:t>
      </w:r>
      <w:r w:rsidR="0028368B" w:rsidRPr="006F5D71">
        <w:rPr>
          <w:rFonts w:eastAsia="Calibri" w:cs="Times New Roman"/>
          <w:color w:val="000000" w:themeColor="text1"/>
          <w:szCs w:val="24"/>
          <w:lang w:eastAsia="en-GB"/>
        </w:rPr>
        <w:t>We use</w:t>
      </w:r>
      <w:r w:rsidRPr="006F5D71">
        <w:rPr>
          <w:rFonts w:eastAsia="Calibri" w:cs="Times New Roman"/>
          <w:color w:val="000000" w:themeColor="text1"/>
          <w:szCs w:val="24"/>
          <w:lang w:eastAsia="en-GB"/>
        </w:rPr>
        <w:t xml:space="preserve"> </w:t>
      </w:r>
      <w:r w:rsidR="004B78EA" w:rsidRPr="006F5D71">
        <w:rPr>
          <w:rFonts w:eastAsia="Calibri" w:cs="Times New Roman"/>
          <w:color w:val="000000" w:themeColor="text1"/>
          <w:szCs w:val="24"/>
          <w:lang w:eastAsia="en-GB"/>
        </w:rPr>
        <w:t>th</w:t>
      </w:r>
      <w:r w:rsidRPr="006F5D71">
        <w:rPr>
          <w:rFonts w:eastAsia="Calibri" w:cs="Times New Roman"/>
          <w:color w:val="000000" w:themeColor="text1"/>
          <w:szCs w:val="24"/>
          <w:lang w:eastAsia="en-GB"/>
        </w:rPr>
        <w:t>e</w:t>
      </w:r>
      <w:r w:rsidR="004B78EA" w:rsidRPr="006F5D71">
        <w:rPr>
          <w:rFonts w:eastAsia="Calibri" w:cs="Times New Roman"/>
          <w:color w:val="000000" w:themeColor="text1"/>
          <w:szCs w:val="24"/>
          <w:lang w:eastAsia="en-GB"/>
        </w:rPr>
        <w:t xml:space="preserve"> framework </w:t>
      </w:r>
      <w:r w:rsidRPr="006F5D71">
        <w:rPr>
          <w:rFonts w:eastAsia="Calibri" w:cs="Times New Roman"/>
          <w:color w:val="000000" w:themeColor="text1"/>
          <w:szCs w:val="24"/>
          <w:lang w:eastAsia="en-GB"/>
        </w:rPr>
        <w:t xml:space="preserve">of real options theory </w:t>
      </w:r>
      <w:r w:rsidR="0028368B" w:rsidRPr="006F5D71">
        <w:rPr>
          <w:rFonts w:eastAsia="Calibri" w:cs="Times New Roman"/>
          <w:color w:val="000000" w:themeColor="text1"/>
          <w:szCs w:val="24"/>
          <w:lang w:eastAsia="en-GB"/>
        </w:rPr>
        <w:t>to</w:t>
      </w:r>
      <w:r w:rsidRPr="006F5D71">
        <w:rPr>
          <w:rFonts w:eastAsia="Calibri" w:cs="Times New Roman"/>
          <w:color w:val="000000" w:themeColor="text1"/>
          <w:szCs w:val="24"/>
          <w:lang w:eastAsia="en-GB"/>
        </w:rPr>
        <w:t xml:space="preserve"> study </w:t>
      </w:r>
      <w:r w:rsidR="004B78EA" w:rsidRPr="006F5D71">
        <w:rPr>
          <w:rFonts w:eastAsia="Calibri" w:cs="Times New Roman"/>
          <w:color w:val="000000" w:themeColor="text1"/>
          <w:szCs w:val="24"/>
          <w:lang w:eastAsia="en-GB"/>
        </w:rPr>
        <w:t>the factors that might have influenced the survival of EMNC investments.</w:t>
      </w:r>
    </w:p>
    <w:p w14:paraId="2AA8A615" w14:textId="77777777" w:rsidR="00FC0260" w:rsidRPr="006F5D71" w:rsidRDefault="0028368B" w:rsidP="00B763D3">
      <w:pPr>
        <w:pStyle w:val="NoSpacing"/>
        <w:spacing w:line="360" w:lineRule="auto"/>
        <w:ind w:firstLine="720"/>
        <w:jc w:val="both"/>
        <w:rPr>
          <w:color w:val="000000" w:themeColor="text1"/>
        </w:rPr>
      </w:pPr>
      <w:r w:rsidRPr="006F5D71">
        <w:rPr>
          <w:color w:val="000000" w:themeColor="text1"/>
        </w:rPr>
        <w:t>I</w:t>
      </w:r>
      <w:r w:rsidR="00B763D3" w:rsidRPr="006F5D71">
        <w:rPr>
          <w:color w:val="000000" w:themeColor="text1"/>
        </w:rPr>
        <w:t xml:space="preserve">nstitutional </w:t>
      </w:r>
      <w:r w:rsidR="007D682B" w:rsidRPr="006F5D71">
        <w:rPr>
          <w:color w:val="000000" w:themeColor="text1"/>
        </w:rPr>
        <w:t xml:space="preserve">differences </w:t>
      </w:r>
      <w:r w:rsidR="00B763D3" w:rsidRPr="006F5D71">
        <w:rPr>
          <w:color w:val="000000" w:themeColor="text1"/>
        </w:rPr>
        <w:t xml:space="preserve">and economic development </w:t>
      </w:r>
      <w:r w:rsidR="000C2412">
        <w:rPr>
          <w:color w:val="000000" w:themeColor="text1"/>
        </w:rPr>
        <w:t>are two</w:t>
      </w:r>
      <w:r w:rsidR="00B763D3" w:rsidRPr="006F5D71">
        <w:rPr>
          <w:color w:val="000000" w:themeColor="text1"/>
        </w:rPr>
        <w:t xml:space="preserve"> of the </w:t>
      </w:r>
      <w:r w:rsidRPr="006F5D71">
        <w:rPr>
          <w:color w:val="000000" w:themeColor="text1"/>
        </w:rPr>
        <w:t xml:space="preserve">most </w:t>
      </w:r>
      <w:r w:rsidR="00B763D3" w:rsidRPr="006F5D71">
        <w:rPr>
          <w:color w:val="000000" w:themeColor="text1"/>
        </w:rPr>
        <w:t xml:space="preserve">important factors </w:t>
      </w:r>
      <w:r w:rsidR="007D682B" w:rsidRPr="006F5D71">
        <w:rPr>
          <w:color w:val="000000" w:themeColor="text1"/>
        </w:rPr>
        <w:t>associated with</w:t>
      </w:r>
      <w:r w:rsidR="00B763D3" w:rsidRPr="006F5D71">
        <w:rPr>
          <w:color w:val="000000" w:themeColor="text1"/>
        </w:rPr>
        <w:t xml:space="preserve"> firm survival (</w:t>
      </w:r>
      <w:r w:rsidRPr="006F5D71">
        <w:rPr>
          <w:color w:val="000000" w:themeColor="text1"/>
        </w:rPr>
        <w:t xml:space="preserve">Gaur et al., 2019; </w:t>
      </w:r>
      <w:r w:rsidR="00B763D3" w:rsidRPr="006F5D71">
        <w:rPr>
          <w:color w:val="000000" w:themeColor="text1"/>
        </w:rPr>
        <w:t>Getachew &amp; Beamish, 2021; Sartor &amp; Beamis</w:t>
      </w:r>
      <w:r w:rsidRPr="006F5D71">
        <w:rPr>
          <w:color w:val="000000" w:themeColor="text1"/>
        </w:rPr>
        <w:t>h, 2020</w:t>
      </w:r>
      <w:r w:rsidR="00B763D3" w:rsidRPr="006F5D71">
        <w:rPr>
          <w:color w:val="000000" w:themeColor="text1"/>
        </w:rPr>
        <w:t>). The pattern of institutional and economic development generates regional differences, commonly captured in the trade literature by the classifications of North and South regions (</w:t>
      </w:r>
      <w:proofErr w:type="spellStart"/>
      <w:r w:rsidR="00FC0260" w:rsidRPr="006F5D71">
        <w:rPr>
          <w:color w:val="000000" w:themeColor="text1"/>
        </w:rPr>
        <w:t>Therien</w:t>
      </w:r>
      <w:proofErr w:type="spellEnd"/>
      <w:r w:rsidR="00FC0260" w:rsidRPr="006F5D71">
        <w:rPr>
          <w:color w:val="000000" w:themeColor="text1"/>
        </w:rPr>
        <w:t xml:space="preserve">, 1999; </w:t>
      </w:r>
      <w:proofErr w:type="spellStart"/>
      <w:r w:rsidR="00FC0260" w:rsidRPr="006F5D71">
        <w:rPr>
          <w:color w:val="000000" w:themeColor="text1"/>
        </w:rPr>
        <w:t>Schamp</w:t>
      </w:r>
      <w:proofErr w:type="spellEnd"/>
      <w:r w:rsidR="00FC0260" w:rsidRPr="006F5D71">
        <w:rPr>
          <w:color w:val="000000" w:themeColor="text1"/>
        </w:rPr>
        <w:t xml:space="preserve"> &amp; </w:t>
      </w:r>
      <w:proofErr w:type="spellStart"/>
      <w:r w:rsidR="00FC0260" w:rsidRPr="006F5D71">
        <w:rPr>
          <w:color w:val="000000" w:themeColor="text1"/>
        </w:rPr>
        <w:t>Stamm</w:t>
      </w:r>
      <w:proofErr w:type="spellEnd"/>
      <w:r w:rsidR="00FC0260" w:rsidRPr="006F5D71">
        <w:rPr>
          <w:color w:val="000000" w:themeColor="text1"/>
        </w:rPr>
        <w:t>, 2012</w:t>
      </w:r>
      <w:r w:rsidR="00B763D3" w:rsidRPr="006F5D71">
        <w:rPr>
          <w:color w:val="000000" w:themeColor="text1"/>
        </w:rPr>
        <w:t>). The differences between North</w:t>
      </w:r>
      <w:r w:rsidR="007D682B" w:rsidRPr="006F5D71">
        <w:rPr>
          <w:color w:val="000000" w:themeColor="text1"/>
        </w:rPr>
        <w:t xml:space="preserve">ern </w:t>
      </w:r>
      <w:r w:rsidR="00B763D3" w:rsidRPr="006F5D71">
        <w:rPr>
          <w:color w:val="000000" w:themeColor="text1"/>
        </w:rPr>
        <w:t>and South</w:t>
      </w:r>
      <w:r w:rsidR="007D682B" w:rsidRPr="006F5D71">
        <w:rPr>
          <w:color w:val="000000" w:themeColor="text1"/>
        </w:rPr>
        <w:t>ern locations</w:t>
      </w:r>
      <w:r w:rsidR="00B763D3" w:rsidRPr="006F5D71">
        <w:rPr>
          <w:color w:val="000000" w:themeColor="text1"/>
        </w:rPr>
        <w:t xml:space="preserve"> lie in </w:t>
      </w:r>
      <w:r w:rsidR="007D682B" w:rsidRPr="006F5D71">
        <w:rPr>
          <w:color w:val="000000" w:themeColor="text1"/>
        </w:rPr>
        <w:t xml:space="preserve">the different </w:t>
      </w:r>
      <w:r w:rsidR="00B763D3" w:rsidRPr="006F5D71">
        <w:rPr>
          <w:color w:val="000000" w:themeColor="text1"/>
        </w:rPr>
        <w:t xml:space="preserve">stages of industrialization, adoption of technology, and level of institutional development. In international trade, </w:t>
      </w:r>
      <w:r w:rsidR="007D682B" w:rsidRPr="006F5D71">
        <w:rPr>
          <w:color w:val="000000" w:themeColor="text1"/>
        </w:rPr>
        <w:t xml:space="preserve">the </w:t>
      </w:r>
      <w:r w:rsidR="00B763D3" w:rsidRPr="006F5D71">
        <w:rPr>
          <w:color w:val="000000" w:themeColor="text1"/>
        </w:rPr>
        <w:t>North-South divide is central to the explanation of world trade and growth patterns (</w:t>
      </w:r>
      <w:proofErr w:type="spellStart"/>
      <w:r w:rsidR="00B763D3" w:rsidRPr="006F5D71">
        <w:rPr>
          <w:color w:val="000000" w:themeColor="text1"/>
        </w:rPr>
        <w:t>Therien</w:t>
      </w:r>
      <w:proofErr w:type="spellEnd"/>
      <w:r w:rsidR="00B763D3" w:rsidRPr="006F5D71">
        <w:rPr>
          <w:color w:val="000000" w:themeColor="text1"/>
        </w:rPr>
        <w:t>, 1999). The classic work</w:t>
      </w:r>
      <w:r w:rsidR="00B97285">
        <w:rPr>
          <w:color w:val="000000" w:themeColor="text1"/>
        </w:rPr>
        <w:t>s</w:t>
      </w:r>
      <w:r w:rsidR="00B763D3" w:rsidRPr="006F5D71">
        <w:rPr>
          <w:color w:val="000000" w:themeColor="text1"/>
        </w:rPr>
        <w:t xml:space="preserve"> of Findlay (1980, 1984), </w:t>
      </w:r>
      <w:proofErr w:type="spellStart"/>
      <w:r w:rsidR="00B763D3" w:rsidRPr="006F5D71">
        <w:rPr>
          <w:color w:val="000000" w:themeColor="text1"/>
        </w:rPr>
        <w:t>Chichilnisky</w:t>
      </w:r>
      <w:proofErr w:type="spellEnd"/>
      <w:r w:rsidR="00B763D3" w:rsidRPr="006F5D71">
        <w:rPr>
          <w:color w:val="000000" w:themeColor="text1"/>
        </w:rPr>
        <w:t xml:space="preserve"> (1981), and Taylor (1981) focus on the contrasting economic structures of North and South economies that determine the outward-looking trade policy and </w:t>
      </w:r>
      <w:r w:rsidR="007D682B" w:rsidRPr="006F5D71">
        <w:rPr>
          <w:color w:val="000000" w:themeColor="text1"/>
        </w:rPr>
        <w:t xml:space="preserve">patterns of economic </w:t>
      </w:r>
      <w:r w:rsidR="00B763D3" w:rsidRPr="006F5D71">
        <w:rPr>
          <w:color w:val="000000" w:themeColor="text1"/>
        </w:rPr>
        <w:t xml:space="preserve">development. </w:t>
      </w:r>
    </w:p>
    <w:p w14:paraId="22F83F75" w14:textId="77777777" w:rsidR="00B763D3" w:rsidRPr="006F5D71" w:rsidRDefault="007D682B" w:rsidP="00B763D3">
      <w:pPr>
        <w:pStyle w:val="NoSpacing"/>
        <w:spacing w:line="360" w:lineRule="auto"/>
        <w:ind w:firstLine="720"/>
        <w:jc w:val="both"/>
        <w:rPr>
          <w:color w:val="000000" w:themeColor="text1"/>
        </w:rPr>
      </w:pPr>
      <w:r w:rsidRPr="006F5D71">
        <w:rPr>
          <w:color w:val="000000" w:themeColor="text1"/>
        </w:rPr>
        <w:lastRenderedPageBreak/>
        <w:t xml:space="preserve">The </w:t>
      </w:r>
      <w:r w:rsidR="00B763D3" w:rsidRPr="006F5D71">
        <w:rPr>
          <w:color w:val="000000" w:themeColor="text1"/>
        </w:rPr>
        <w:t xml:space="preserve">North-South </w:t>
      </w:r>
      <w:r w:rsidRPr="006F5D71">
        <w:rPr>
          <w:color w:val="000000" w:themeColor="text1"/>
        </w:rPr>
        <w:t>distinction</w:t>
      </w:r>
      <w:r w:rsidR="00B763D3" w:rsidRPr="006F5D71">
        <w:rPr>
          <w:color w:val="000000" w:themeColor="text1"/>
        </w:rPr>
        <w:t xml:space="preserve"> is also closely related to the IMF’s </w:t>
      </w:r>
      <w:r w:rsidRPr="006F5D71">
        <w:rPr>
          <w:color w:val="000000" w:themeColor="text1"/>
        </w:rPr>
        <w:t xml:space="preserve">distinction </w:t>
      </w:r>
      <w:r w:rsidR="00B763D3" w:rsidRPr="006F5D71">
        <w:rPr>
          <w:color w:val="000000" w:themeColor="text1"/>
        </w:rPr>
        <w:t>between developed and developing countries, which splits the world between the wealthy industrialized developed countries and the poor developing countries based on per capita income, and degree of integration into the global financial system. There is a large overlap between countries of the North and developed economies</w:t>
      </w:r>
      <w:r w:rsidR="00FB2552">
        <w:rPr>
          <w:color w:val="000000" w:themeColor="text1"/>
        </w:rPr>
        <w:t>,</w:t>
      </w:r>
      <w:r w:rsidR="00B763D3" w:rsidRPr="006F5D71">
        <w:rPr>
          <w:color w:val="000000" w:themeColor="text1"/>
        </w:rPr>
        <w:t xml:space="preserve"> and countries of the South and developing economies (e.g., Herzer, 2011; Narula, 2012). </w:t>
      </w:r>
      <w:r w:rsidR="00FC0260" w:rsidRPr="006F5D71">
        <w:rPr>
          <w:color w:val="000000" w:themeColor="text1"/>
        </w:rPr>
        <w:t>In this paper, w</w:t>
      </w:r>
      <w:r w:rsidR="00B763D3" w:rsidRPr="006F5D71">
        <w:rPr>
          <w:color w:val="000000" w:themeColor="text1"/>
        </w:rPr>
        <w:t>e use the two terms interchangeably.</w:t>
      </w:r>
      <w:r w:rsidR="00B763D3" w:rsidRPr="006F5D71">
        <w:rPr>
          <w:rStyle w:val="FootnoteReference"/>
          <w:color w:val="000000" w:themeColor="text1"/>
        </w:rPr>
        <w:footnoteReference w:id="2"/>
      </w:r>
      <w:r w:rsidR="00F72D31">
        <w:rPr>
          <w:color w:val="000000" w:themeColor="text1"/>
        </w:rPr>
        <w:t xml:space="preserve"> </w:t>
      </w:r>
    </w:p>
    <w:p w14:paraId="28A73E74" w14:textId="77777777" w:rsidR="00B86CAA" w:rsidRPr="006F5D71" w:rsidRDefault="00FC0260" w:rsidP="00D9499F">
      <w:pPr>
        <w:pStyle w:val="NoSpacing"/>
        <w:spacing w:line="360" w:lineRule="auto"/>
        <w:ind w:firstLine="720"/>
        <w:jc w:val="both"/>
        <w:rPr>
          <w:color w:val="000000" w:themeColor="text1"/>
        </w:rPr>
      </w:pPr>
      <w:r w:rsidRPr="006F5D71">
        <w:rPr>
          <w:color w:val="000000" w:themeColor="text1"/>
        </w:rPr>
        <w:t>W</w:t>
      </w:r>
      <w:r w:rsidR="00923BB5" w:rsidRPr="006F5D71">
        <w:rPr>
          <w:color w:val="000000" w:themeColor="text1"/>
        </w:rPr>
        <w:t>e argue that i</w:t>
      </w:r>
      <w:r w:rsidR="00C57F70" w:rsidRPr="006F5D71">
        <w:rPr>
          <w:color w:val="000000" w:themeColor="text1"/>
        </w:rPr>
        <w:t>nvestment</w:t>
      </w:r>
      <w:r w:rsidR="00BA14F9" w:rsidRPr="006F5D71">
        <w:rPr>
          <w:color w:val="000000" w:themeColor="text1"/>
        </w:rPr>
        <w:t>s</w:t>
      </w:r>
      <w:r w:rsidR="00C57F70" w:rsidRPr="006F5D71">
        <w:rPr>
          <w:color w:val="000000" w:themeColor="text1"/>
        </w:rPr>
        <w:t xml:space="preserve"> in the North and the South</w:t>
      </w:r>
      <w:r w:rsidR="00A80A53" w:rsidRPr="006F5D71">
        <w:rPr>
          <w:color w:val="000000" w:themeColor="text1"/>
        </w:rPr>
        <w:t xml:space="preserve"> offer different risk-reward bundle</w:t>
      </w:r>
      <w:r w:rsidRPr="006F5D71">
        <w:rPr>
          <w:color w:val="000000" w:themeColor="text1"/>
        </w:rPr>
        <w:t>s</w:t>
      </w:r>
      <w:r w:rsidR="00A80A53" w:rsidRPr="006F5D71">
        <w:rPr>
          <w:color w:val="000000" w:themeColor="text1"/>
        </w:rPr>
        <w:t xml:space="preserve"> </w:t>
      </w:r>
      <w:r w:rsidR="00BA14F9" w:rsidRPr="006F5D71">
        <w:rPr>
          <w:color w:val="000000" w:themeColor="text1"/>
        </w:rPr>
        <w:t>for EMNCs</w:t>
      </w:r>
      <w:r w:rsidR="00A80A53" w:rsidRPr="006F5D71">
        <w:rPr>
          <w:color w:val="000000" w:themeColor="text1"/>
        </w:rPr>
        <w:t>.</w:t>
      </w:r>
      <w:r w:rsidR="00C57F70" w:rsidRPr="006F5D71">
        <w:rPr>
          <w:color w:val="000000" w:themeColor="text1"/>
        </w:rPr>
        <w:t xml:space="preserve"> </w:t>
      </w:r>
      <w:r w:rsidR="0044473A" w:rsidRPr="006F5D71">
        <w:rPr>
          <w:color w:val="000000" w:themeColor="text1"/>
        </w:rPr>
        <w:t>In the South, EMNC firms</w:t>
      </w:r>
      <w:r w:rsidR="00923BB5" w:rsidRPr="006F5D71">
        <w:rPr>
          <w:color w:val="000000" w:themeColor="text1"/>
        </w:rPr>
        <w:t xml:space="preserve"> have</w:t>
      </w:r>
      <w:r w:rsidR="00855D3E" w:rsidRPr="006F5D71">
        <w:rPr>
          <w:color w:val="000000" w:themeColor="text1"/>
        </w:rPr>
        <w:t xml:space="preserve"> strong ownership advantages over their </w:t>
      </w:r>
      <w:r w:rsidR="004B78EA" w:rsidRPr="006F5D71">
        <w:rPr>
          <w:color w:val="000000" w:themeColor="text1"/>
        </w:rPr>
        <w:t>host country</w:t>
      </w:r>
      <w:r w:rsidR="00C57F70" w:rsidRPr="006F5D71">
        <w:rPr>
          <w:color w:val="000000" w:themeColor="text1"/>
        </w:rPr>
        <w:t xml:space="preserve"> </w:t>
      </w:r>
      <w:r w:rsidR="00855D3E" w:rsidRPr="006F5D71">
        <w:rPr>
          <w:color w:val="000000" w:themeColor="text1"/>
        </w:rPr>
        <w:t>rivals</w:t>
      </w:r>
      <w:r w:rsidR="006A7347" w:rsidRPr="006F5D71">
        <w:rPr>
          <w:color w:val="000000" w:themeColor="text1"/>
        </w:rPr>
        <w:t xml:space="preserve"> due to superior organizational and human resources (Cook, 2014</w:t>
      </w:r>
      <w:r w:rsidR="00CF13B5">
        <w:rPr>
          <w:color w:val="000000" w:themeColor="text1"/>
        </w:rPr>
        <w:t xml:space="preserve">) </w:t>
      </w:r>
      <w:r w:rsidRPr="006F5D71">
        <w:rPr>
          <w:color w:val="000000" w:themeColor="text1"/>
        </w:rPr>
        <w:t xml:space="preserve">but </w:t>
      </w:r>
      <w:r w:rsidR="00B86CAA" w:rsidRPr="006F5D71">
        <w:rPr>
          <w:color w:val="000000" w:themeColor="text1"/>
        </w:rPr>
        <w:t>also operat</w:t>
      </w:r>
      <w:r w:rsidR="0044473A" w:rsidRPr="006F5D71">
        <w:rPr>
          <w:color w:val="000000" w:themeColor="text1"/>
        </w:rPr>
        <w:t>e</w:t>
      </w:r>
      <w:r w:rsidR="00B86CAA" w:rsidRPr="006F5D71">
        <w:rPr>
          <w:color w:val="000000" w:themeColor="text1"/>
        </w:rPr>
        <w:t xml:space="preserve"> in a volatile environment with poor governance and an institutional framework sometimes worse than in their home markets</w:t>
      </w:r>
      <w:r w:rsidR="00923BB5" w:rsidRPr="006F5D71">
        <w:rPr>
          <w:color w:val="000000" w:themeColor="text1"/>
        </w:rPr>
        <w:t xml:space="preserve"> (</w:t>
      </w:r>
      <w:r w:rsidR="00830689" w:rsidRPr="006F5D71">
        <w:rPr>
          <w:color w:val="000000" w:themeColor="text1"/>
        </w:rPr>
        <w:t xml:space="preserve">Getachew </w:t>
      </w:r>
      <w:r w:rsidR="00C95487" w:rsidRPr="006F5D71">
        <w:rPr>
          <w:color w:val="000000" w:themeColor="text1"/>
        </w:rPr>
        <w:t>&amp;</w:t>
      </w:r>
      <w:r w:rsidR="00830689" w:rsidRPr="006F5D71">
        <w:rPr>
          <w:color w:val="000000" w:themeColor="text1"/>
        </w:rPr>
        <w:t xml:space="preserve"> Beamish, 2017</w:t>
      </w:r>
      <w:r w:rsidR="00923BB5" w:rsidRPr="006F5D71">
        <w:rPr>
          <w:color w:val="000000" w:themeColor="text1"/>
        </w:rPr>
        <w:t>)</w:t>
      </w:r>
      <w:r w:rsidR="00B86CAA" w:rsidRPr="006F5D71">
        <w:rPr>
          <w:color w:val="000000" w:themeColor="text1"/>
        </w:rPr>
        <w:t>.</w:t>
      </w:r>
      <w:r w:rsidR="00855D3E" w:rsidRPr="006F5D71">
        <w:rPr>
          <w:color w:val="000000" w:themeColor="text1"/>
        </w:rPr>
        <w:t xml:space="preserve"> </w:t>
      </w:r>
      <w:r w:rsidR="006A7347" w:rsidRPr="006F5D71">
        <w:rPr>
          <w:color w:val="000000" w:themeColor="text1"/>
        </w:rPr>
        <w:t xml:space="preserve">The institutional similarity between </w:t>
      </w:r>
      <w:r w:rsidR="00C46089">
        <w:rPr>
          <w:color w:val="000000" w:themeColor="text1"/>
        </w:rPr>
        <w:t xml:space="preserve">the </w:t>
      </w:r>
      <w:r w:rsidR="006A7347" w:rsidRPr="006F5D71">
        <w:rPr>
          <w:color w:val="000000" w:themeColor="text1"/>
        </w:rPr>
        <w:t xml:space="preserve">home market conditions </w:t>
      </w:r>
      <w:r w:rsidR="00BA14F9" w:rsidRPr="006F5D71">
        <w:rPr>
          <w:color w:val="000000" w:themeColor="text1"/>
        </w:rPr>
        <w:t xml:space="preserve">of EMNCs in </w:t>
      </w:r>
      <w:r w:rsidR="006A7347" w:rsidRPr="006F5D71">
        <w:rPr>
          <w:color w:val="000000" w:themeColor="text1"/>
        </w:rPr>
        <w:t>Southern economies</w:t>
      </w:r>
      <w:r w:rsidR="003D0A7C" w:rsidRPr="006F5D71">
        <w:rPr>
          <w:color w:val="000000" w:themeColor="text1"/>
        </w:rPr>
        <w:t xml:space="preserve"> </w:t>
      </w:r>
      <w:r w:rsidRPr="006F5D71">
        <w:rPr>
          <w:color w:val="000000" w:themeColor="text1"/>
        </w:rPr>
        <w:t>may have</w:t>
      </w:r>
      <w:r w:rsidR="007D682B" w:rsidRPr="006F5D71">
        <w:rPr>
          <w:color w:val="000000" w:themeColor="text1"/>
        </w:rPr>
        <w:t xml:space="preserve"> </w:t>
      </w:r>
      <w:r w:rsidR="006A7347" w:rsidRPr="006F5D71">
        <w:rPr>
          <w:color w:val="000000" w:themeColor="text1"/>
        </w:rPr>
        <w:t>help</w:t>
      </w:r>
      <w:r w:rsidR="00BA14F9" w:rsidRPr="006F5D71">
        <w:rPr>
          <w:color w:val="000000" w:themeColor="text1"/>
        </w:rPr>
        <w:t>ed</w:t>
      </w:r>
      <w:r w:rsidR="006A7347" w:rsidRPr="006F5D71">
        <w:rPr>
          <w:color w:val="000000" w:themeColor="text1"/>
        </w:rPr>
        <w:t xml:space="preserve"> </w:t>
      </w:r>
      <w:r w:rsidR="00BA14F9" w:rsidRPr="006F5D71">
        <w:rPr>
          <w:color w:val="000000" w:themeColor="text1"/>
        </w:rPr>
        <w:t>EMNCs</w:t>
      </w:r>
      <w:r w:rsidR="006A7347" w:rsidRPr="006F5D71">
        <w:rPr>
          <w:color w:val="000000" w:themeColor="text1"/>
        </w:rPr>
        <w:t xml:space="preserve"> to navigate these risks</w:t>
      </w:r>
      <w:r w:rsidR="003D0A7C" w:rsidRPr="006F5D71">
        <w:rPr>
          <w:color w:val="000000" w:themeColor="text1"/>
        </w:rPr>
        <w:t xml:space="preserve"> as the</w:t>
      </w:r>
      <w:r w:rsidR="00BA14F9" w:rsidRPr="006F5D71">
        <w:rPr>
          <w:color w:val="000000" w:themeColor="text1"/>
        </w:rPr>
        <w:t>ir</w:t>
      </w:r>
      <w:r w:rsidR="003D0A7C" w:rsidRPr="006F5D71">
        <w:rPr>
          <w:color w:val="000000" w:themeColor="text1"/>
        </w:rPr>
        <w:t xml:space="preserve"> </w:t>
      </w:r>
      <w:r w:rsidR="00BA14F9" w:rsidRPr="006F5D71">
        <w:rPr>
          <w:color w:val="000000" w:themeColor="text1"/>
        </w:rPr>
        <w:t>own</w:t>
      </w:r>
      <w:r w:rsidR="003D0A7C" w:rsidRPr="006F5D71">
        <w:rPr>
          <w:color w:val="000000" w:themeColor="text1"/>
        </w:rPr>
        <w:t xml:space="preserve"> capabilities </w:t>
      </w:r>
      <w:r w:rsidR="00BA14F9" w:rsidRPr="006F5D71">
        <w:rPr>
          <w:color w:val="000000" w:themeColor="text1"/>
        </w:rPr>
        <w:t xml:space="preserve">were honed </w:t>
      </w:r>
      <w:r w:rsidR="007D682B" w:rsidRPr="006F5D71">
        <w:rPr>
          <w:color w:val="000000" w:themeColor="text1"/>
        </w:rPr>
        <w:t xml:space="preserve">in </w:t>
      </w:r>
      <w:r w:rsidR="00F13410" w:rsidRPr="006F5D71">
        <w:rPr>
          <w:color w:val="000000" w:themeColor="text1"/>
        </w:rPr>
        <w:t xml:space="preserve">similar </w:t>
      </w:r>
      <w:r w:rsidR="007D682B" w:rsidRPr="006F5D71">
        <w:rPr>
          <w:color w:val="000000" w:themeColor="text1"/>
        </w:rPr>
        <w:t xml:space="preserve">institutional </w:t>
      </w:r>
      <w:r w:rsidR="00F13410" w:rsidRPr="006F5D71">
        <w:rPr>
          <w:color w:val="000000" w:themeColor="text1"/>
        </w:rPr>
        <w:t>context</w:t>
      </w:r>
      <w:r w:rsidR="007D682B" w:rsidRPr="006F5D71">
        <w:rPr>
          <w:color w:val="000000" w:themeColor="text1"/>
        </w:rPr>
        <w:t>s</w:t>
      </w:r>
      <w:r w:rsidR="006A7347" w:rsidRPr="006F5D71">
        <w:rPr>
          <w:color w:val="000000" w:themeColor="text1"/>
        </w:rPr>
        <w:t>.</w:t>
      </w:r>
      <w:r w:rsidR="00F72D31">
        <w:rPr>
          <w:color w:val="000000" w:themeColor="text1"/>
        </w:rPr>
        <w:t xml:space="preserve"> </w:t>
      </w:r>
      <w:r w:rsidR="00FD1A67" w:rsidRPr="006F5D71">
        <w:rPr>
          <w:color w:val="000000" w:themeColor="text1"/>
        </w:rPr>
        <w:t xml:space="preserve">Moreover, </w:t>
      </w:r>
      <w:r w:rsidR="00BA14F9" w:rsidRPr="006F5D71">
        <w:rPr>
          <w:color w:val="000000" w:themeColor="text1"/>
        </w:rPr>
        <w:t xml:space="preserve">Indian MNCs </w:t>
      </w:r>
      <w:r w:rsidR="00236E35" w:rsidRPr="006F5D71">
        <w:rPr>
          <w:color w:val="000000" w:themeColor="text1"/>
        </w:rPr>
        <w:t>ar</w:t>
      </w:r>
      <w:r w:rsidR="00BA14F9" w:rsidRPr="006F5D71">
        <w:rPr>
          <w:color w:val="000000" w:themeColor="text1"/>
        </w:rPr>
        <w:t xml:space="preserve">e </w:t>
      </w:r>
      <w:r w:rsidR="00EC124F" w:rsidRPr="006F5D71">
        <w:rPr>
          <w:color w:val="000000" w:themeColor="text1"/>
        </w:rPr>
        <w:t>drawn to</w:t>
      </w:r>
      <w:r w:rsidR="00C57F70" w:rsidRPr="006F5D71">
        <w:rPr>
          <w:color w:val="000000" w:themeColor="text1"/>
        </w:rPr>
        <w:t xml:space="preserve"> a steady demand due to the large</w:t>
      </w:r>
      <w:r w:rsidR="004B78EA" w:rsidRPr="006F5D71">
        <w:rPr>
          <w:color w:val="000000" w:themeColor="text1"/>
        </w:rPr>
        <w:t xml:space="preserve"> and influential </w:t>
      </w:r>
      <w:r w:rsidR="0044473A" w:rsidRPr="006F5D71">
        <w:rPr>
          <w:color w:val="000000" w:themeColor="text1"/>
        </w:rPr>
        <w:t xml:space="preserve">Indian diaspora in </w:t>
      </w:r>
      <w:r w:rsidR="00CF13B5">
        <w:rPr>
          <w:color w:val="000000" w:themeColor="text1"/>
        </w:rPr>
        <w:t xml:space="preserve">the </w:t>
      </w:r>
      <w:r w:rsidR="0044473A" w:rsidRPr="006F5D71">
        <w:rPr>
          <w:color w:val="000000" w:themeColor="text1"/>
        </w:rPr>
        <w:t>South</w:t>
      </w:r>
      <w:r w:rsidR="00EB23A5" w:rsidRPr="006F5D71">
        <w:rPr>
          <w:color w:val="000000" w:themeColor="text1"/>
        </w:rPr>
        <w:t xml:space="preserve"> (</w:t>
      </w:r>
      <w:proofErr w:type="spellStart"/>
      <w:r w:rsidR="00EB23A5" w:rsidRPr="006F5D71">
        <w:rPr>
          <w:color w:val="000000" w:themeColor="text1"/>
        </w:rPr>
        <w:t>Bordilovska</w:t>
      </w:r>
      <w:proofErr w:type="spellEnd"/>
      <w:r w:rsidR="00EB23A5" w:rsidRPr="006F5D71">
        <w:rPr>
          <w:color w:val="000000" w:themeColor="text1"/>
        </w:rPr>
        <w:t xml:space="preserve"> &amp; </w:t>
      </w:r>
      <w:proofErr w:type="spellStart"/>
      <w:r w:rsidR="00EB23A5" w:rsidRPr="006F5D71">
        <w:rPr>
          <w:color w:val="000000" w:themeColor="text1"/>
        </w:rPr>
        <w:t>Ugwu</w:t>
      </w:r>
      <w:proofErr w:type="spellEnd"/>
      <w:r w:rsidR="00EB23A5" w:rsidRPr="006F5D71">
        <w:rPr>
          <w:color w:val="000000" w:themeColor="text1"/>
        </w:rPr>
        <w:t>, 2018)</w:t>
      </w:r>
      <w:r w:rsidR="00B86CAA" w:rsidRPr="006F5D71">
        <w:rPr>
          <w:color w:val="000000" w:themeColor="text1"/>
        </w:rPr>
        <w:t xml:space="preserve">, who may also act as brokers to help Indian firms navigate the different institutional </w:t>
      </w:r>
      <w:r w:rsidR="00C07319" w:rsidRPr="006F5D71">
        <w:rPr>
          <w:color w:val="000000" w:themeColor="text1"/>
        </w:rPr>
        <w:t>uncertainties</w:t>
      </w:r>
      <w:r w:rsidR="00B86CAA" w:rsidRPr="006F5D71">
        <w:rPr>
          <w:color w:val="000000" w:themeColor="text1"/>
        </w:rPr>
        <w:t xml:space="preserve"> in </w:t>
      </w:r>
      <w:r w:rsidR="00C07319" w:rsidRPr="006F5D71">
        <w:rPr>
          <w:color w:val="000000" w:themeColor="text1"/>
        </w:rPr>
        <w:t>less developed countries</w:t>
      </w:r>
      <w:r w:rsidR="0044473A" w:rsidRPr="006F5D71">
        <w:rPr>
          <w:color w:val="000000" w:themeColor="text1"/>
        </w:rPr>
        <w:t xml:space="preserve">. </w:t>
      </w:r>
      <w:r w:rsidR="00FE59A4" w:rsidRPr="006F5D71">
        <w:rPr>
          <w:color w:val="000000" w:themeColor="text1"/>
        </w:rPr>
        <w:t>Thus,</w:t>
      </w:r>
      <w:r w:rsidR="0044473A" w:rsidRPr="006F5D71">
        <w:rPr>
          <w:color w:val="000000" w:themeColor="text1"/>
        </w:rPr>
        <w:t xml:space="preserve"> returns from the South</w:t>
      </w:r>
      <w:r w:rsidR="00B86CAA" w:rsidRPr="006F5D71">
        <w:rPr>
          <w:color w:val="000000" w:themeColor="text1"/>
        </w:rPr>
        <w:t xml:space="preserve"> </w:t>
      </w:r>
      <w:r w:rsidR="00923BB5" w:rsidRPr="006F5D71">
        <w:rPr>
          <w:color w:val="000000" w:themeColor="text1"/>
        </w:rPr>
        <w:t xml:space="preserve">tend to be </w:t>
      </w:r>
      <w:r w:rsidR="0044473A" w:rsidRPr="006F5D71">
        <w:rPr>
          <w:color w:val="000000" w:themeColor="text1"/>
        </w:rPr>
        <w:t>steady and</w:t>
      </w:r>
      <w:r w:rsidR="00B86CAA" w:rsidRPr="006F5D71">
        <w:rPr>
          <w:color w:val="000000" w:themeColor="text1"/>
        </w:rPr>
        <w:t xml:space="preserve"> </w:t>
      </w:r>
      <w:r w:rsidR="007D682B" w:rsidRPr="006F5D71">
        <w:rPr>
          <w:color w:val="000000" w:themeColor="text1"/>
        </w:rPr>
        <w:t>the associated risk mitigated</w:t>
      </w:r>
      <w:r w:rsidR="00B86CAA" w:rsidRPr="006F5D71">
        <w:rPr>
          <w:color w:val="000000" w:themeColor="text1"/>
        </w:rPr>
        <w:t xml:space="preserve"> through these mechanisms.</w:t>
      </w:r>
      <w:r w:rsidR="00830689" w:rsidRPr="006F5D71">
        <w:rPr>
          <w:color w:val="000000" w:themeColor="text1"/>
        </w:rPr>
        <w:t xml:space="preserve"> </w:t>
      </w:r>
    </w:p>
    <w:p w14:paraId="33139E8A" w14:textId="77777777" w:rsidR="00334F63" w:rsidRPr="006F5D71" w:rsidRDefault="00855D3E" w:rsidP="00060AEE">
      <w:pPr>
        <w:pStyle w:val="NoSpacing"/>
        <w:spacing w:line="360" w:lineRule="auto"/>
        <w:ind w:firstLine="720"/>
        <w:jc w:val="both"/>
        <w:rPr>
          <w:color w:val="000000" w:themeColor="text1"/>
        </w:rPr>
      </w:pPr>
      <w:r w:rsidRPr="006F5D71">
        <w:rPr>
          <w:color w:val="000000" w:themeColor="text1"/>
        </w:rPr>
        <w:t>In North</w:t>
      </w:r>
      <w:r w:rsidR="007D682B" w:rsidRPr="006F5D71">
        <w:rPr>
          <w:color w:val="000000" w:themeColor="text1"/>
        </w:rPr>
        <w:t>ern locations</w:t>
      </w:r>
      <w:r w:rsidR="004A36E3" w:rsidRPr="006F5D71">
        <w:rPr>
          <w:color w:val="000000" w:themeColor="text1"/>
        </w:rPr>
        <w:t xml:space="preserve">, EMNC subsidiaries </w:t>
      </w:r>
      <w:r w:rsidRPr="006F5D71">
        <w:rPr>
          <w:color w:val="000000" w:themeColor="text1"/>
        </w:rPr>
        <w:t>were more like firms scouting for the best technology or market niche, with weak ownership</w:t>
      </w:r>
      <w:r w:rsidR="00F52463" w:rsidRPr="006F5D71">
        <w:rPr>
          <w:color w:val="000000" w:themeColor="text1"/>
        </w:rPr>
        <w:t xml:space="preserve"> </w:t>
      </w:r>
      <w:r w:rsidRPr="006F5D71">
        <w:rPr>
          <w:color w:val="000000" w:themeColor="text1"/>
        </w:rPr>
        <w:t>advantages compared to their rivals</w:t>
      </w:r>
      <w:r w:rsidR="00923BB5" w:rsidRPr="006F5D71">
        <w:rPr>
          <w:color w:val="000000" w:themeColor="text1"/>
        </w:rPr>
        <w:t xml:space="preserve"> (</w:t>
      </w:r>
      <w:r w:rsidR="00830689" w:rsidRPr="006F5D71">
        <w:rPr>
          <w:color w:val="000000" w:themeColor="text1"/>
        </w:rPr>
        <w:t xml:space="preserve">Madhok &amp; </w:t>
      </w:r>
      <w:proofErr w:type="spellStart"/>
      <w:r w:rsidR="00830689" w:rsidRPr="006F5D71">
        <w:rPr>
          <w:color w:val="000000" w:themeColor="text1"/>
        </w:rPr>
        <w:t>Keyhani</w:t>
      </w:r>
      <w:proofErr w:type="spellEnd"/>
      <w:r w:rsidR="00830689" w:rsidRPr="006F5D71">
        <w:rPr>
          <w:color w:val="000000" w:themeColor="text1"/>
        </w:rPr>
        <w:t>, 20</w:t>
      </w:r>
      <w:r w:rsidR="003D0167" w:rsidRPr="006F5D71">
        <w:rPr>
          <w:color w:val="000000" w:themeColor="text1"/>
        </w:rPr>
        <w:t>12</w:t>
      </w:r>
      <w:r w:rsidR="00923BB5" w:rsidRPr="006F5D71">
        <w:rPr>
          <w:color w:val="000000" w:themeColor="text1"/>
        </w:rPr>
        <w:t>)</w:t>
      </w:r>
      <w:r w:rsidRPr="006F5D71">
        <w:rPr>
          <w:color w:val="000000" w:themeColor="text1"/>
        </w:rPr>
        <w:t xml:space="preserve">. </w:t>
      </w:r>
      <w:r w:rsidR="00F52463" w:rsidRPr="006F5D71">
        <w:rPr>
          <w:color w:val="000000" w:themeColor="text1"/>
        </w:rPr>
        <w:t>With t</w:t>
      </w:r>
      <w:r w:rsidR="00903FE7" w:rsidRPr="006F5D71">
        <w:rPr>
          <w:color w:val="000000" w:themeColor="text1"/>
        </w:rPr>
        <w:t xml:space="preserve">he lack of sophisticated product </w:t>
      </w:r>
      <w:r w:rsidR="00C46089">
        <w:rPr>
          <w:color w:val="000000" w:themeColor="text1"/>
        </w:rPr>
        <w:t>and</w:t>
      </w:r>
      <w:r w:rsidR="00C46089" w:rsidRPr="006F5D71">
        <w:rPr>
          <w:color w:val="000000" w:themeColor="text1"/>
        </w:rPr>
        <w:t xml:space="preserve"> </w:t>
      </w:r>
      <w:r w:rsidR="00903FE7" w:rsidRPr="006F5D71">
        <w:rPr>
          <w:color w:val="000000" w:themeColor="text1"/>
        </w:rPr>
        <w:t>input markets</w:t>
      </w:r>
      <w:r w:rsidR="00C46089">
        <w:rPr>
          <w:color w:val="000000" w:themeColor="text1"/>
        </w:rPr>
        <w:t>,</w:t>
      </w:r>
      <w:r w:rsidR="00903FE7" w:rsidRPr="006F5D71">
        <w:rPr>
          <w:color w:val="000000" w:themeColor="text1"/>
        </w:rPr>
        <w:t xml:space="preserve"> and </w:t>
      </w:r>
      <w:r w:rsidR="005E4FEA">
        <w:rPr>
          <w:color w:val="000000" w:themeColor="text1"/>
        </w:rPr>
        <w:t xml:space="preserve">immature </w:t>
      </w:r>
      <w:r w:rsidR="00903FE7" w:rsidRPr="006F5D71">
        <w:rPr>
          <w:color w:val="000000" w:themeColor="text1"/>
        </w:rPr>
        <w:t xml:space="preserve">R&amp;D organizations, EMNCs are deficient in internal knowledge as compared to host country firms in </w:t>
      </w:r>
      <w:r w:rsidR="00CF13B5">
        <w:rPr>
          <w:color w:val="000000" w:themeColor="text1"/>
        </w:rPr>
        <w:t xml:space="preserve">the </w:t>
      </w:r>
      <w:r w:rsidR="00903FE7" w:rsidRPr="006F5D71">
        <w:rPr>
          <w:color w:val="000000" w:themeColor="text1"/>
        </w:rPr>
        <w:t>North that have well-developed knowledge bases (</w:t>
      </w:r>
      <w:r w:rsidR="00FF72DE" w:rsidRPr="006F5D71">
        <w:rPr>
          <w:color w:val="000000" w:themeColor="text1"/>
        </w:rPr>
        <w:t xml:space="preserve">James, Sawant, &amp; </w:t>
      </w:r>
      <w:proofErr w:type="spellStart"/>
      <w:r w:rsidR="00FF72DE" w:rsidRPr="006F5D71">
        <w:rPr>
          <w:color w:val="000000" w:themeColor="text1"/>
        </w:rPr>
        <w:t>Bendickson</w:t>
      </w:r>
      <w:proofErr w:type="spellEnd"/>
      <w:r w:rsidR="00FF72DE" w:rsidRPr="006F5D71">
        <w:rPr>
          <w:color w:val="000000" w:themeColor="text1"/>
        </w:rPr>
        <w:t>,</w:t>
      </w:r>
      <w:r w:rsidR="00903FE7" w:rsidRPr="006F5D71">
        <w:rPr>
          <w:color w:val="000000" w:themeColor="text1"/>
        </w:rPr>
        <w:t xml:space="preserve"> 2020). Here, they face</w:t>
      </w:r>
      <w:r w:rsidR="00B646D4" w:rsidRPr="006F5D71">
        <w:rPr>
          <w:color w:val="000000" w:themeColor="text1"/>
        </w:rPr>
        <w:t xml:space="preserve"> more competitive conditions </w:t>
      </w:r>
      <w:r w:rsidR="00B86CAA" w:rsidRPr="006F5D71">
        <w:rPr>
          <w:color w:val="000000" w:themeColor="text1"/>
        </w:rPr>
        <w:t>but</w:t>
      </w:r>
      <w:r w:rsidR="00CF13B5">
        <w:rPr>
          <w:color w:val="000000" w:themeColor="text1"/>
        </w:rPr>
        <w:t>,</w:t>
      </w:r>
      <w:r w:rsidR="00B86CAA" w:rsidRPr="006F5D71">
        <w:rPr>
          <w:color w:val="000000" w:themeColor="text1"/>
        </w:rPr>
        <w:t xml:space="preserve"> </w:t>
      </w:r>
      <w:r w:rsidR="00903FE7" w:rsidRPr="006F5D71">
        <w:rPr>
          <w:color w:val="000000" w:themeColor="text1"/>
        </w:rPr>
        <w:t>at the same time</w:t>
      </w:r>
      <w:r w:rsidR="00F52463" w:rsidRPr="006F5D71">
        <w:rPr>
          <w:color w:val="000000" w:themeColor="text1"/>
        </w:rPr>
        <w:t>,</w:t>
      </w:r>
      <w:r w:rsidR="00903FE7" w:rsidRPr="006F5D71">
        <w:rPr>
          <w:color w:val="000000" w:themeColor="text1"/>
        </w:rPr>
        <w:t xml:space="preserve"> </w:t>
      </w:r>
      <w:r w:rsidR="00B646D4" w:rsidRPr="006F5D71">
        <w:rPr>
          <w:color w:val="000000" w:themeColor="text1"/>
        </w:rPr>
        <w:t>t</w:t>
      </w:r>
      <w:r w:rsidR="004A36E3" w:rsidRPr="006F5D71">
        <w:rPr>
          <w:color w:val="000000" w:themeColor="text1"/>
        </w:rPr>
        <w:t xml:space="preserve">he </w:t>
      </w:r>
      <w:r w:rsidR="0044473A" w:rsidRPr="006F5D71">
        <w:rPr>
          <w:color w:val="000000" w:themeColor="text1"/>
        </w:rPr>
        <w:t>North offer</w:t>
      </w:r>
      <w:r w:rsidR="00F52463" w:rsidRPr="006F5D71">
        <w:rPr>
          <w:color w:val="000000" w:themeColor="text1"/>
        </w:rPr>
        <w:t>s</w:t>
      </w:r>
      <w:r w:rsidR="004A36E3" w:rsidRPr="006F5D71">
        <w:rPr>
          <w:color w:val="000000" w:themeColor="text1"/>
        </w:rPr>
        <w:t xml:space="preserve"> a more </w:t>
      </w:r>
      <w:r w:rsidR="00B646D4" w:rsidRPr="006F5D71">
        <w:rPr>
          <w:color w:val="000000" w:themeColor="text1"/>
        </w:rPr>
        <w:t>st</w:t>
      </w:r>
      <w:r w:rsidR="004A36E3" w:rsidRPr="006F5D71">
        <w:rPr>
          <w:color w:val="000000" w:themeColor="text1"/>
        </w:rPr>
        <w:t>able institutional environment where many firms could escape their country</w:t>
      </w:r>
      <w:r w:rsidR="00357273" w:rsidRPr="006F5D71">
        <w:rPr>
          <w:color w:val="000000" w:themeColor="text1"/>
        </w:rPr>
        <w:t>-</w:t>
      </w:r>
      <w:r w:rsidR="004A36E3" w:rsidRPr="006F5D71">
        <w:rPr>
          <w:color w:val="000000" w:themeColor="text1"/>
        </w:rPr>
        <w:t xml:space="preserve">specific </w:t>
      </w:r>
      <w:r w:rsidR="0056322D" w:rsidRPr="006F5D71">
        <w:rPr>
          <w:color w:val="000000" w:themeColor="text1"/>
        </w:rPr>
        <w:t>disadvantages</w:t>
      </w:r>
      <w:r w:rsidR="0091037A" w:rsidRPr="006F5D71">
        <w:rPr>
          <w:color w:val="000000" w:themeColor="text1"/>
        </w:rPr>
        <w:t xml:space="preserve"> (</w:t>
      </w:r>
      <w:r w:rsidR="00830689" w:rsidRPr="006F5D71">
        <w:rPr>
          <w:color w:val="000000" w:themeColor="text1"/>
        </w:rPr>
        <w:t>Nair et al., 2016</w:t>
      </w:r>
      <w:r w:rsidR="0091037A" w:rsidRPr="006F5D71">
        <w:rPr>
          <w:color w:val="000000" w:themeColor="text1"/>
        </w:rPr>
        <w:t>)</w:t>
      </w:r>
      <w:r w:rsidR="00B86CAA" w:rsidRPr="006F5D71">
        <w:rPr>
          <w:color w:val="000000" w:themeColor="text1"/>
        </w:rPr>
        <w:t xml:space="preserve"> and hope to acquire strategic assets that augment</w:t>
      </w:r>
      <w:r w:rsidR="00334F63" w:rsidRPr="006F5D71">
        <w:rPr>
          <w:color w:val="000000" w:themeColor="text1"/>
        </w:rPr>
        <w:t xml:space="preserve"> </w:t>
      </w:r>
      <w:r w:rsidR="00B86CAA" w:rsidRPr="006F5D71">
        <w:rPr>
          <w:color w:val="000000" w:themeColor="text1"/>
        </w:rPr>
        <w:t>their firm</w:t>
      </w:r>
      <w:r w:rsidR="00F06452" w:rsidRPr="006F5D71">
        <w:rPr>
          <w:color w:val="000000" w:themeColor="text1"/>
        </w:rPr>
        <w:t>-</w:t>
      </w:r>
      <w:r w:rsidR="00B86CAA" w:rsidRPr="006F5D71">
        <w:rPr>
          <w:color w:val="000000" w:themeColor="text1"/>
        </w:rPr>
        <w:t xml:space="preserve">specific </w:t>
      </w:r>
      <w:r w:rsidR="008B0E26" w:rsidRPr="006F5D71">
        <w:rPr>
          <w:color w:val="000000" w:themeColor="text1"/>
        </w:rPr>
        <w:t>advantages</w:t>
      </w:r>
      <w:r w:rsidR="0091037A" w:rsidRPr="006F5D71">
        <w:rPr>
          <w:color w:val="000000" w:themeColor="text1"/>
        </w:rPr>
        <w:t xml:space="preserve"> (</w:t>
      </w:r>
      <w:r w:rsidR="00FD1A67" w:rsidRPr="006F5D71">
        <w:rPr>
          <w:color w:val="000000" w:themeColor="text1"/>
        </w:rPr>
        <w:t>Mathews, 2006</w:t>
      </w:r>
      <w:r w:rsidR="0091037A" w:rsidRPr="006F5D71">
        <w:rPr>
          <w:color w:val="000000" w:themeColor="text1"/>
        </w:rPr>
        <w:t>)</w:t>
      </w:r>
      <w:r w:rsidR="00B86CAA" w:rsidRPr="006F5D71">
        <w:rPr>
          <w:color w:val="000000" w:themeColor="text1"/>
        </w:rPr>
        <w:t>.</w:t>
      </w:r>
      <w:r w:rsidR="000E5E50" w:rsidRPr="006F5D71">
        <w:rPr>
          <w:color w:val="000000" w:themeColor="text1"/>
        </w:rPr>
        <w:t xml:space="preserve"> </w:t>
      </w:r>
      <w:r w:rsidR="00334F63" w:rsidRPr="006F5D71">
        <w:rPr>
          <w:color w:val="000000" w:themeColor="text1"/>
        </w:rPr>
        <w:t>T</w:t>
      </w:r>
      <w:r w:rsidR="009D6D67" w:rsidRPr="006F5D71">
        <w:rPr>
          <w:color w:val="000000" w:themeColor="text1"/>
        </w:rPr>
        <w:t>he sources of uncertainty in North</w:t>
      </w:r>
      <w:r w:rsidR="00334F63" w:rsidRPr="006F5D71">
        <w:rPr>
          <w:color w:val="000000" w:themeColor="text1"/>
        </w:rPr>
        <w:t>ern locations</w:t>
      </w:r>
      <w:r w:rsidR="009D6D67" w:rsidRPr="006F5D71">
        <w:rPr>
          <w:color w:val="000000" w:themeColor="text1"/>
        </w:rPr>
        <w:t xml:space="preserve"> </w:t>
      </w:r>
      <w:r w:rsidR="00FC0260" w:rsidRPr="006F5D71">
        <w:rPr>
          <w:color w:val="000000" w:themeColor="text1"/>
        </w:rPr>
        <w:t xml:space="preserve">have </w:t>
      </w:r>
      <w:r w:rsidR="009D6D67" w:rsidRPr="006F5D71">
        <w:rPr>
          <w:color w:val="000000" w:themeColor="text1"/>
        </w:rPr>
        <w:t xml:space="preserve">changed over time. In the early phase, adapting to institutional difference was </w:t>
      </w:r>
      <w:r w:rsidR="00EC124F" w:rsidRPr="006F5D71">
        <w:rPr>
          <w:color w:val="000000" w:themeColor="text1"/>
        </w:rPr>
        <w:t>a source of disruption,</w:t>
      </w:r>
      <w:r w:rsidR="009D6D67" w:rsidRPr="006F5D71">
        <w:rPr>
          <w:color w:val="000000" w:themeColor="text1"/>
        </w:rPr>
        <w:t xml:space="preserve"> but si</w:t>
      </w:r>
      <w:r w:rsidR="00E03C6D" w:rsidRPr="006F5D71">
        <w:rPr>
          <w:color w:val="000000" w:themeColor="text1"/>
        </w:rPr>
        <w:t>nce the financial crisis in 2008</w:t>
      </w:r>
      <w:r w:rsidR="009D6D67" w:rsidRPr="006F5D71">
        <w:rPr>
          <w:color w:val="000000" w:themeColor="text1"/>
        </w:rPr>
        <w:t xml:space="preserve">, </w:t>
      </w:r>
      <w:r w:rsidR="00357273" w:rsidRPr="006F5D71">
        <w:rPr>
          <w:color w:val="000000" w:themeColor="text1"/>
        </w:rPr>
        <w:t xml:space="preserve">the </w:t>
      </w:r>
      <w:r w:rsidR="009D6D67" w:rsidRPr="006F5D71">
        <w:rPr>
          <w:color w:val="000000" w:themeColor="text1"/>
        </w:rPr>
        <w:t xml:space="preserve">volatility of returns </w:t>
      </w:r>
      <w:r w:rsidR="00EC124F" w:rsidRPr="006F5D71">
        <w:rPr>
          <w:color w:val="000000" w:themeColor="text1"/>
        </w:rPr>
        <w:t>from</w:t>
      </w:r>
      <w:r w:rsidR="009D6D67" w:rsidRPr="006F5D71">
        <w:rPr>
          <w:color w:val="000000" w:themeColor="text1"/>
        </w:rPr>
        <w:t xml:space="preserve"> Northern investments have increased due to changing exchange rates and shrinking demand</w:t>
      </w:r>
      <w:r w:rsidR="0091037A" w:rsidRPr="006F5D71">
        <w:rPr>
          <w:color w:val="000000" w:themeColor="text1"/>
        </w:rPr>
        <w:t xml:space="preserve"> </w:t>
      </w:r>
      <w:r w:rsidR="005E4FEA">
        <w:rPr>
          <w:color w:val="000000" w:themeColor="text1"/>
        </w:rPr>
        <w:t xml:space="preserve">making </w:t>
      </w:r>
      <w:r w:rsidR="005E4FEA" w:rsidRPr="006F5D71">
        <w:rPr>
          <w:color w:val="000000" w:themeColor="text1"/>
        </w:rPr>
        <w:t xml:space="preserve"> </w:t>
      </w:r>
      <w:r w:rsidR="00FC0260" w:rsidRPr="006F5D71">
        <w:rPr>
          <w:color w:val="000000" w:themeColor="text1"/>
        </w:rPr>
        <w:t>s</w:t>
      </w:r>
      <w:r w:rsidR="00396AFE" w:rsidRPr="006F5D71">
        <w:rPr>
          <w:color w:val="000000" w:themeColor="text1"/>
        </w:rPr>
        <w:t xml:space="preserve">urvival in the North </w:t>
      </w:r>
      <w:r w:rsidR="00334F63" w:rsidRPr="006F5D71">
        <w:rPr>
          <w:color w:val="000000" w:themeColor="text1"/>
        </w:rPr>
        <w:t>became</w:t>
      </w:r>
      <w:r w:rsidR="00396AFE" w:rsidRPr="006F5D71">
        <w:rPr>
          <w:color w:val="000000" w:themeColor="text1"/>
        </w:rPr>
        <w:t xml:space="preserve"> much harder </w:t>
      </w:r>
      <w:r w:rsidR="00FC0260" w:rsidRPr="006F5D71">
        <w:rPr>
          <w:color w:val="000000" w:themeColor="text1"/>
        </w:rPr>
        <w:t>(</w:t>
      </w:r>
      <w:proofErr w:type="spellStart"/>
      <w:r w:rsidR="00FC0260" w:rsidRPr="006F5D71">
        <w:rPr>
          <w:color w:val="000000" w:themeColor="text1"/>
        </w:rPr>
        <w:t>Athreye</w:t>
      </w:r>
      <w:proofErr w:type="spellEnd"/>
      <w:r w:rsidR="00FC0260" w:rsidRPr="006F5D71">
        <w:rPr>
          <w:color w:val="000000" w:themeColor="text1"/>
        </w:rPr>
        <w:t xml:space="preserve"> et al., 2021).</w:t>
      </w:r>
      <w:r w:rsidR="00396AFE" w:rsidRPr="006F5D71">
        <w:rPr>
          <w:color w:val="000000" w:themeColor="text1"/>
        </w:rPr>
        <w:t xml:space="preserve"> </w:t>
      </w:r>
    </w:p>
    <w:p w14:paraId="12B5E908" w14:textId="77777777" w:rsidR="0091037A" w:rsidRPr="006F5D71" w:rsidRDefault="00396AFE" w:rsidP="00060AEE">
      <w:pPr>
        <w:pStyle w:val="NoSpacing"/>
        <w:spacing w:line="360" w:lineRule="auto"/>
        <w:ind w:firstLine="720"/>
        <w:jc w:val="both"/>
        <w:rPr>
          <w:color w:val="000000" w:themeColor="text1"/>
        </w:rPr>
      </w:pPr>
      <w:r w:rsidRPr="006F5D71">
        <w:rPr>
          <w:color w:val="000000" w:themeColor="text1"/>
        </w:rPr>
        <w:lastRenderedPageBreak/>
        <w:t>W</w:t>
      </w:r>
      <w:r w:rsidR="00EB23A5" w:rsidRPr="006F5D71">
        <w:rPr>
          <w:color w:val="000000" w:themeColor="text1"/>
        </w:rPr>
        <w:t>e empirically test these</w:t>
      </w:r>
      <w:r w:rsidR="0091037A" w:rsidRPr="006F5D71">
        <w:rPr>
          <w:color w:val="000000" w:themeColor="text1"/>
        </w:rPr>
        <w:t xml:space="preserve"> </w:t>
      </w:r>
      <w:r w:rsidRPr="006F5D71">
        <w:rPr>
          <w:color w:val="000000" w:themeColor="text1"/>
        </w:rPr>
        <w:t>propositions</w:t>
      </w:r>
      <w:r w:rsidR="0091037A" w:rsidRPr="006F5D71">
        <w:rPr>
          <w:color w:val="000000" w:themeColor="text1"/>
        </w:rPr>
        <w:t xml:space="preserve"> </w:t>
      </w:r>
      <w:r w:rsidRPr="006F5D71">
        <w:rPr>
          <w:color w:val="000000" w:themeColor="text1"/>
        </w:rPr>
        <w:t>u</w:t>
      </w:r>
      <w:r w:rsidR="00821679" w:rsidRPr="006F5D71">
        <w:rPr>
          <w:color w:val="000000" w:themeColor="text1"/>
        </w:rPr>
        <w:t>sing a</w:t>
      </w:r>
      <w:r w:rsidR="0091037A" w:rsidRPr="006F5D71">
        <w:rPr>
          <w:color w:val="000000" w:themeColor="text1"/>
        </w:rPr>
        <w:t xml:space="preserve"> sample of </w:t>
      </w:r>
      <w:r w:rsidR="00BE6BF3" w:rsidRPr="006F5D71">
        <w:rPr>
          <w:color w:val="000000" w:themeColor="text1"/>
        </w:rPr>
        <w:t>747 Chinese and Indian foreign subsidiaries</w:t>
      </w:r>
      <w:r w:rsidR="00821679" w:rsidRPr="006F5D71">
        <w:rPr>
          <w:color w:val="000000" w:themeColor="text1"/>
        </w:rPr>
        <w:t xml:space="preserve"> </w:t>
      </w:r>
      <w:r w:rsidR="00FC0260" w:rsidRPr="006F5D71">
        <w:rPr>
          <w:color w:val="000000" w:themeColor="text1"/>
        </w:rPr>
        <w:t xml:space="preserve">belonging to 218 Chinese and 176 Indian firms </w:t>
      </w:r>
      <w:r w:rsidR="00BE6BF3" w:rsidRPr="006F5D71">
        <w:rPr>
          <w:color w:val="000000" w:themeColor="text1"/>
        </w:rPr>
        <w:t>over the period 2005</w:t>
      </w:r>
      <w:r w:rsidR="009961A3" w:rsidRPr="006F5D71">
        <w:rPr>
          <w:color w:val="000000" w:themeColor="text1"/>
        </w:rPr>
        <w:t>-2018</w:t>
      </w:r>
      <w:r w:rsidRPr="006F5D71">
        <w:rPr>
          <w:color w:val="000000" w:themeColor="text1"/>
        </w:rPr>
        <w:t>.</w:t>
      </w:r>
      <w:r w:rsidR="00F72D31">
        <w:rPr>
          <w:color w:val="000000" w:themeColor="text1"/>
        </w:rPr>
        <w:t xml:space="preserve"> </w:t>
      </w:r>
      <w:r w:rsidRPr="006F5D71">
        <w:rPr>
          <w:color w:val="000000" w:themeColor="text1"/>
        </w:rPr>
        <w:t>O</w:t>
      </w:r>
      <w:r w:rsidR="00821679" w:rsidRPr="006F5D71">
        <w:rPr>
          <w:color w:val="000000" w:themeColor="text1"/>
        </w:rPr>
        <w:t>ur empirical results</w:t>
      </w:r>
      <w:r w:rsidR="0091037A" w:rsidRPr="006F5D71">
        <w:rPr>
          <w:color w:val="000000" w:themeColor="text1"/>
        </w:rPr>
        <w:t xml:space="preserve"> </w:t>
      </w:r>
      <w:r w:rsidR="00334F63" w:rsidRPr="006F5D71">
        <w:rPr>
          <w:color w:val="000000" w:themeColor="text1"/>
        </w:rPr>
        <w:t>confirm</w:t>
      </w:r>
      <w:r w:rsidR="0091037A" w:rsidRPr="006F5D71">
        <w:rPr>
          <w:color w:val="000000" w:themeColor="text1"/>
        </w:rPr>
        <w:t xml:space="preserve"> that survival was easier for investments in the South when compared to investments in the North. </w:t>
      </w:r>
      <w:r w:rsidR="007771A8" w:rsidRPr="006F5D71">
        <w:rPr>
          <w:color w:val="000000" w:themeColor="text1"/>
        </w:rPr>
        <w:t>We</w:t>
      </w:r>
      <w:r w:rsidR="00D9499F" w:rsidRPr="006F5D71">
        <w:rPr>
          <w:color w:val="000000" w:themeColor="text1"/>
        </w:rPr>
        <w:t xml:space="preserve"> further ex</w:t>
      </w:r>
      <w:r w:rsidR="00C021CE" w:rsidRPr="006F5D71">
        <w:rPr>
          <w:color w:val="000000" w:themeColor="text1"/>
        </w:rPr>
        <w:t>amine the contingency effect of</w:t>
      </w:r>
      <w:r w:rsidR="00D9499F" w:rsidRPr="006F5D71">
        <w:rPr>
          <w:color w:val="000000" w:themeColor="text1"/>
        </w:rPr>
        <w:t xml:space="preserve"> diaspora on</w:t>
      </w:r>
      <w:r w:rsidRPr="006F5D71">
        <w:rPr>
          <w:color w:val="000000" w:themeColor="text1"/>
        </w:rPr>
        <w:t xml:space="preserve"> EMNCs’ survival. T</w:t>
      </w:r>
      <w:r w:rsidR="007771A8" w:rsidRPr="006F5D71">
        <w:rPr>
          <w:color w:val="000000" w:themeColor="text1"/>
        </w:rPr>
        <w:t>he diaspora ha</w:t>
      </w:r>
      <w:r w:rsidR="00F52463" w:rsidRPr="006F5D71">
        <w:rPr>
          <w:color w:val="000000" w:themeColor="text1"/>
        </w:rPr>
        <w:t>s</w:t>
      </w:r>
      <w:r w:rsidR="007771A8" w:rsidRPr="006F5D71">
        <w:rPr>
          <w:color w:val="000000" w:themeColor="text1"/>
        </w:rPr>
        <w:t xml:space="preserve"> </w:t>
      </w:r>
      <w:r w:rsidR="00F52463" w:rsidRPr="006F5D71">
        <w:rPr>
          <w:color w:val="000000" w:themeColor="text1"/>
        </w:rPr>
        <w:t>helped provide ready markets and mitigate</w:t>
      </w:r>
      <w:r w:rsidR="00334F63" w:rsidRPr="006F5D71">
        <w:rPr>
          <w:color w:val="000000" w:themeColor="text1"/>
        </w:rPr>
        <w:t xml:space="preserve"> endogenous risks </w:t>
      </w:r>
      <w:r w:rsidRPr="006F5D71">
        <w:rPr>
          <w:color w:val="000000" w:themeColor="text1"/>
        </w:rPr>
        <w:t xml:space="preserve">for </w:t>
      </w:r>
      <w:r w:rsidRPr="006F5D71">
        <w:rPr>
          <w:i/>
          <w:color w:val="000000" w:themeColor="text1"/>
        </w:rPr>
        <w:t>both</w:t>
      </w:r>
      <w:r w:rsidRPr="006F5D71">
        <w:rPr>
          <w:color w:val="000000" w:themeColor="text1"/>
        </w:rPr>
        <w:t xml:space="preserve"> Indian and Chinese firms </w:t>
      </w:r>
      <w:r w:rsidR="00334F63" w:rsidRPr="006F5D71">
        <w:rPr>
          <w:i/>
          <w:color w:val="000000" w:themeColor="text1"/>
        </w:rPr>
        <w:t>but</w:t>
      </w:r>
      <w:r w:rsidRPr="006F5D71">
        <w:rPr>
          <w:i/>
          <w:color w:val="000000" w:themeColor="text1"/>
        </w:rPr>
        <w:t xml:space="preserve"> </w:t>
      </w:r>
      <w:r w:rsidR="00D9499F" w:rsidRPr="006F5D71">
        <w:rPr>
          <w:i/>
          <w:color w:val="000000" w:themeColor="text1"/>
        </w:rPr>
        <w:t>only in</w:t>
      </w:r>
      <w:r w:rsidRPr="006F5D71">
        <w:rPr>
          <w:color w:val="000000" w:themeColor="text1"/>
        </w:rPr>
        <w:t xml:space="preserve"> Southern locations</w:t>
      </w:r>
      <w:r w:rsidR="0091037A" w:rsidRPr="006F5D71">
        <w:rPr>
          <w:color w:val="000000" w:themeColor="text1"/>
        </w:rPr>
        <w:t xml:space="preserve">. </w:t>
      </w:r>
    </w:p>
    <w:p w14:paraId="67B983AA" w14:textId="77777777" w:rsidR="00C36B4E" w:rsidRPr="006F5D71" w:rsidRDefault="00B6308A" w:rsidP="00D9499F">
      <w:pPr>
        <w:pStyle w:val="NoSpacing"/>
        <w:spacing w:after="240" w:line="360" w:lineRule="auto"/>
        <w:ind w:firstLine="720"/>
        <w:jc w:val="both"/>
        <w:rPr>
          <w:color w:val="000000" w:themeColor="text1"/>
        </w:rPr>
      </w:pPr>
      <w:r w:rsidRPr="006F5D71">
        <w:rPr>
          <w:color w:val="000000" w:themeColor="text1"/>
        </w:rPr>
        <w:t xml:space="preserve">This study makes </w:t>
      </w:r>
      <w:r w:rsidR="00B62A97" w:rsidRPr="006F5D71">
        <w:rPr>
          <w:color w:val="000000" w:themeColor="text1"/>
        </w:rPr>
        <w:t>four</w:t>
      </w:r>
      <w:r w:rsidR="00396AFE" w:rsidRPr="006F5D71">
        <w:rPr>
          <w:color w:val="000000" w:themeColor="text1"/>
        </w:rPr>
        <w:t xml:space="preserve"> </w:t>
      </w:r>
      <w:r w:rsidR="0091037A" w:rsidRPr="006F5D71">
        <w:rPr>
          <w:color w:val="000000" w:themeColor="text1"/>
        </w:rPr>
        <w:t xml:space="preserve">important contributions to the literature on OFDI from emerging markets. </w:t>
      </w:r>
      <w:r w:rsidR="00501736" w:rsidRPr="006F5D71">
        <w:rPr>
          <w:color w:val="000000" w:themeColor="text1"/>
        </w:rPr>
        <w:t xml:space="preserve">First, </w:t>
      </w:r>
      <w:r w:rsidR="00F879B6" w:rsidRPr="006F5D71">
        <w:rPr>
          <w:rFonts w:eastAsia="Calibri" w:cs="Times New Roman"/>
          <w:color w:val="000000" w:themeColor="text1"/>
          <w:szCs w:val="24"/>
        </w:rPr>
        <w:t>by considering FSAs</w:t>
      </w:r>
      <w:r w:rsidR="00501736" w:rsidRPr="006F5D71">
        <w:rPr>
          <w:rFonts w:eastAsia="Calibri" w:cs="Times New Roman"/>
          <w:color w:val="000000" w:themeColor="text1"/>
          <w:szCs w:val="24"/>
        </w:rPr>
        <w:t xml:space="preserve"> </w:t>
      </w:r>
      <w:r w:rsidR="00F879B6" w:rsidRPr="006F5D71">
        <w:rPr>
          <w:rFonts w:eastAsia="Calibri" w:cs="Times New Roman"/>
          <w:color w:val="000000" w:themeColor="text1"/>
          <w:szCs w:val="24"/>
        </w:rPr>
        <w:t xml:space="preserve">relative to domestic firms in host markets </w:t>
      </w:r>
      <w:r w:rsidR="00501736" w:rsidRPr="006F5D71">
        <w:rPr>
          <w:rFonts w:eastAsia="Calibri" w:cs="Times New Roman"/>
          <w:color w:val="000000" w:themeColor="text1"/>
          <w:szCs w:val="24"/>
        </w:rPr>
        <w:t xml:space="preserve">with particular reference to </w:t>
      </w:r>
      <w:r w:rsidR="00396AFE" w:rsidRPr="006F5D71">
        <w:rPr>
          <w:rFonts w:eastAsia="Calibri" w:cs="Times New Roman"/>
          <w:color w:val="000000" w:themeColor="text1"/>
          <w:szCs w:val="24"/>
        </w:rPr>
        <w:t xml:space="preserve">EMNCs, </w:t>
      </w:r>
      <w:r w:rsidR="00F879B6" w:rsidRPr="006F5D71">
        <w:rPr>
          <w:rFonts w:eastAsia="Calibri" w:cs="Times New Roman"/>
          <w:color w:val="000000" w:themeColor="text1"/>
          <w:szCs w:val="24"/>
        </w:rPr>
        <w:t xml:space="preserve">our study extends the work of </w:t>
      </w:r>
      <w:r w:rsidR="003628B9" w:rsidRPr="006F5D71">
        <w:rPr>
          <w:rFonts w:eastAsia="Calibri" w:cs="Times New Roman"/>
          <w:color w:val="000000" w:themeColor="text1"/>
          <w:szCs w:val="24"/>
        </w:rPr>
        <w:t xml:space="preserve">Rugman and Verbeke (2003) </w:t>
      </w:r>
      <w:r w:rsidR="00F879B6" w:rsidRPr="006F5D71">
        <w:rPr>
          <w:rFonts w:eastAsia="Calibri" w:cs="Times New Roman"/>
          <w:color w:val="000000" w:themeColor="text1"/>
          <w:szCs w:val="24"/>
        </w:rPr>
        <w:t>Buckley (2016)</w:t>
      </w:r>
      <w:r w:rsidR="00236E35" w:rsidRPr="006F5D71">
        <w:rPr>
          <w:rFonts w:eastAsia="Calibri" w:cs="Times New Roman"/>
          <w:color w:val="000000" w:themeColor="text1"/>
          <w:szCs w:val="24"/>
        </w:rPr>
        <w:t>,</w:t>
      </w:r>
      <w:r w:rsidR="00F879B6" w:rsidRPr="006F5D71">
        <w:rPr>
          <w:rFonts w:eastAsia="Calibri" w:cs="Times New Roman"/>
          <w:color w:val="000000" w:themeColor="text1"/>
          <w:szCs w:val="24"/>
        </w:rPr>
        <w:t xml:space="preserve"> and</w:t>
      </w:r>
      <w:r w:rsidR="00F879B6" w:rsidRPr="006F5D71">
        <w:rPr>
          <w:color w:val="000000" w:themeColor="text1"/>
          <w:szCs w:val="24"/>
        </w:rPr>
        <w:t xml:space="preserve"> </w:t>
      </w:r>
      <w:r w:rsidR="00F879B6" w:rsidRPr="006F5D71">
        <w:rPr>
          <w:rFonts w:eastAsia="Calibri" w:cs="Times New Roman"/>
          <w:color w:val="000000" w:themeColor="text1"/>
          <w:szCs w:val="24"/>
        </w:rPr>
        <w:t xml:space="preserve">Narula (2012) </w:t>
      </w:r>
      <w:r w:rsidR="00423BAE" w:rsidRPr="006F5D71">
        <w:rPr>
          <w:rFonts w:eastAsia="Calibri" w:cs="Times New Roman"/>
          <w:color w:val="000000" w:themeColor="text1"/>
          <w:szCs w:val="24"/>
        </w:rPr>
        <w:t xml:space="preserve">by highlighting that the location boundedness </w:t>
      </w:r>
      <w:r w:rsidR="00396AFE" w:rsidRPr="006F5D71">
        <w:rPr>
          <w:rFonts w:eastAsia="Calibri" w:cs="Times New Roman"/>
          <w:color w:val="000000" w:themeColor="text1"/>
          <w:szCs w:val="24"/>
        </w:rPr>
        <w:t xml:space="preserve">of FSA </w:t>
      </w:r>
      <w:r w:rsidR="00423BAE" w:rsidRPr="006F5D71">
        <w:rPr>
          <w:rFonts w:eastAsia="Calibri" w:cs="Times New Roman"/>
          <w:color w:val="000000" w:themeColor="text1"/>
          <w:szCs w:val="24"/>
        </w:rPr>
        <w:t xml:space="preserve">is also influenced by the </w:t>
      </w:r>
      <w:r w:rsidR="00874D9F" w:rsidRPr="006F5D71">
        <w:rPr>
          <w:color w:val="000000" w:themeColor="text1"/>
        </w:rPr>
        <w:t xml:space="preserve">capabilities of </w:t>
      </w:r>
      <w:r w:rsidR="00334F63" w:rsidRPr="006F5D71">
        <w:rPr>
          <w:color w:val="000000" w:themeColor="text1"/>
        </w:rPr>
        <w:t xml:space="preserve">rival </w:t>
      </w:r>
      <w:r w:rsidR="00874D9F" w:rsidRPr="006F5D71">
        <w:rPr>
          <w:color w:val="000000" w:themeColor="text1"/>
        </w:rPr>
        <w:t>domestic firms</w:t>
      </w:r>
      <w:r w:rsidR="00F879B6" w:rsidRPr="006F5D71">
        <w:rPr>
          <w:rFonts w:eastAsia="Calibri" w:cs="Times New Roman"/>
          <w:color w:val="000000" w:themeColor="text1"/>
          <w:szCs w:val="24"/>
        </w:rPr>
        <w:t>.</w:t>
      </w:r>
      <w:r w:rsidR="00501736" w:rsidRPr="006F5D71">
        <w:rPr>
          <w:rFonts w:eastAsia="Calibri" w:cs="Times New Roman"/>
          <w:color w:val="000000" w:themeColor="text1"/>
          <w:szCs w:val="24"/>
        </w:rPr>
        <w:t xml:space="preserve"> </w:t>
      </w:r>
      <w:r w:rsidRPr="006F5D71">
        <w:rPr>
          <w:color w:val="000000" w:themeColor="text1"/>
        </w:rPr>
        <w:t>Second</w:t>
      </w:r>
      <w:r w:rsidR="0091037A" w:rsidRPr="006F5D71">
        <w:rPr>
          <w:color w:val="000000" w:themeColor="text1"/>
        </w:rPr>
        <w:t>, t</w:t>
      </w:r>
      <w:r w:rsidR="00052827" w:rsidRPr="006F5D71">
        <w:rPr>
          <w:color w:val="000000" w:themeColor="text1"/>
        </w:rPr>
        <w:t xml:space="preserve">hrough a comparative assessment of the survival of </w:t>
      </w:r>
      <w:r w:rsidR="00334F63" w:rsidRPr="006F5D71">
        <w:rPr>
          <w:color w:val="000000" w:themeColor="text1"/>
        </w:rPr>
        <w:t xml:space="preserve">EMNE </w:t>
      </w:r>
      <w:r w:rsidR="00052827" w:rsidRPr="006F5D71">
        <w:rPr>
          <w:color w:val="000000" w:themeColor="text1"/>
        </w:rPr>
        <w:t xml:space="preserve">investments </w:t>
      </w:r>
      <w:r w:rsidR="00B86CAA" w:rsidRPr="006F5D71">
        <w:rPr>
          <w:color w:val="000000" w:themeColor="text1"/>
        </w:rPr>
        <w:t>in the</w:t>
      </w:r>
      <w:r w:rsidR="00052827" w:rsidRPr="006F5D71">
        <w:rPr>
          <w:color w:val="000000" w:themeColor="text1"/>
        </w:rPr>
        <w:t xml:space="preserve"> North and South, we </w:t>
      </w:r>
      <w:r w:rsidR="00B86CAA" w:rsidRPr="006F5D71">
        <w:rPr>
          <w:color w:val="000000" w:themeColor="text1"/>
        </w:rPr>
        <w:t xml:space="preserve">show that different factors predict </w:t>
      </w:r>
      <w:r w:rsidR="00F06452" w:rsidRPr="006F5D71">
        <w:rPr>
          <w:color w:val="000000" w:themeColor="text1"/>
        </w:rPr>
        <w:t xml:space="preserve">the </w:t>
      </w:r>
      <w:r w:rsidR="00B86CAA" w:rsidRPr="006F5D71">
        <w:rPr>
          <w:color w:val="000000" w:themeColor="text1"/>
        </w:rPr>
        <w:t xml:space="preserve">survival </w:t>
      </w:r>
      <w:r w:rsidR="00FC32C6" w:rsidRPr="006F5D71">
        <w:rPr>
          <w:color w:val="000000" w:themeColor="text1"/>
        </w:rPr>
        <w:t xml:space="preserve">of investments in the North </w:t>
      </w:r>
      <w:r w:rsidR="00B86CAA" w:rsidRPr="006F5D71">
        <w:rPr>
          <w:color w:val="000000" w:themeColor="text1"/>
        </w:rPr>
        <w:t xml:space="preserve">when compared </w:t>
      </w:r>
      <w:r w:rsidR="00FC32C6" w:rsidRPr="006F5D71">
        <w:rPr>
          <w:color w:val="000000" w:themeColor="text1"/>
        </w:rPr>
        <w:t xml:space="preserve">to the survival of </w:t>
      </w:r>
      <w:r w:rsidR="008B0E26" w:rsidRPr="006F5D71">
        <w:rPr>
          <w:color w:val="000000" w:themeColor="text1"/>
        </w:rPr>
        <w:t>investments</w:t>
      </w:r>
      <w:r w:rsidR="00FC32C6" w:rsidRPr="006F5D71">
        <w:rPr>
          <w:color w:val="000000" w:themeColor="text1"/>
        </w:rPr>
        <w:t xml:space="preserve"> in the South</w:t>
      </w:r>
      <w:r w:rsidR="008C3304" w:rsidRPr="006F5D71">
        <w:rPr>
          <w:color w:val="000000" w:themeColor="text1"/>
        </w:rPr>
        <w:t>.</w:t>
      </w:r>
      <w:r w:rsidR="0091037A" w:rsidRPr="006F5D71">
        <w:rPr>
          <w:color w:val="000000" w:themeColor="text1"/>
        </w:rPr>
        <w:t xml:space="preserve"> </w:t>
      </w:r>
      <w:r w:rsidRPr="006F5D71">
        <w:rPr>
          <w:color w:val="000000" w:themeColor="text1"/>
        </w:rPr>
        <w:t>Third</w:t>
      </w:r>
      <w:r w:rsidR="00D1170C" w:rsidRPr="006F5D71">
        <w:rPr>
          <w:color w:val="000000" w:themeColor="text1"/>
        </w:rPr>
        <w:t xml:space="preserve">, we examine </w:t>
      </w:r>
      <w:r w:rsidR="00AE657D" w:rsidRPr="006F5D71">
        <w:rPr>
          <w:color w:val="000000" w:themeColor="text1"/>
        </w:rPr>
        <w:t xml:space="preserve">an important </w:t>
      </w:r>
      <w:r w:rsidR="00052EF0" w:rsidRPr="006F5D71">
        <w:rPr>
          <w:color w:val="000000" w:themeColor="text1"/>
        </w:rPr>
        <w:t xml:space="preserve">boundary </w:t>
      </w:r>
      <w:r w:rsidR="00AE657D" w:rsidRPr="006F5D71">
        <w:rPr>
          <w:color w:val="000000" w:themeColor="text1"/>
        </w:rPr>
        <w:t>condition</w:t>
      </w:r>
      <w:r w:rsidR="00D1170C" w:rsidRPr="006F5D71">
        <w:rPr>
          <w:color w:val="000000" w:themeColor="text1"/>
        </w:rPr>
        <w:t xml:space="preserve">, namely, </w:t>
      </w:r>
      <w:r w:rsidR="00560C54" w:rsidRPr="006F5D71">
        <w:rPr>
          <w:color w:val="000000" w:themeColor="text1"/>
        </w:rPr>
        <w:t>immigrant diaspora</w:t>
      </w:r>
      <w:r w:rsidR="00AE657D" w:rsidRPr="006F5D71">
        <w:rPr>
          <w:color w:val="000000" w:themeColor="text1"/>
        </w:rPr>
        <w:t>,</w:t>
      </w:r>
      <w:r w:rsidR="00D1170C" w:rsidRPr="006F5D71">
        <w:rPr>
          <w:color w:val="000000" w:themeColor="text1"/>
        </w:rPr>
        <w:t xml:space="preserve"> </w:t>
      </w:r>
      <w:r w:rsidR="00AE657D" w:rsidRPr="006F5D71">
        <w:rPr>
          <w:color w:val="000000" w:themeColor="text1"/>
        </w:rPr>
        <w:t>which</w:t>
      </w:r>
      <w:r w:rsidR="00052EF0" w:rsidRPr="006F5D71">
        <w:rPr>
          <w:color w:val="000000" w:themeColor="text1"/>
        </w:rPr>
        <w:t xml:space="preserve"> influence</w:t>
      </w:r>
      <w:r w:rsidR="00AE657D" w:rsidRPr="006F5D71">
        <w:rPr>
          <w:color w:val="000000" w:themeColor="text1"/>
        </w:rPr>
        <w:t>s</w:t>
      </w:r>
      <w:r w:rsidR="00052EF0" w:rsidRPr="006F5D71">
        <w:rPr>
          <w:color w:val="000000" w:themeColor="text1"/>
        </w:rPr>
        <w:t xml:space="preserve"> survival </w:t>
      </w:r>
      <w:r w:rsidR="00396AFE" w:rsidRPr="006F5D71">
        <w:rPr>
          <w:color w:val="000000" w:themeColor="text1"/>
        </w:rPr>
        <w:t>in North</w:t>
      </w:r>
      <w:r w:rsidR="00334F63" w:rsidRPr="006F5D71">
        <w:rPr>
          <w:color w:val="000000" w:themeColor="text1"/>
        </w:rPr>
        <w:t>ern</w:t>
      </w:r>
      <w:r w:rsidR="00396AFE" w:rsidRPr="006F5D71">
        <w:rPr>
          <w:color w:val="000000" w:themeColor="text1"/>
        </w:rPr>
        <w:t xml:space="preserve"> and South</w:t>
      </w:r>
      <w:r w:rsidR="00334F63" w:rsidRPr="006F5D71">
        <w:rPr>
          <w:color w:val="000000" w:themeColor="text1"/>
        </w:rPr>
        <w:t>ern</w:t>
      </w:r>
      <w:r w:rsidR="00396AFE" w:rsidRPr="006F5D71">
        <w:rPr>
          <w:color w:val="000000" w:themeColor="text1"/>
        </w:rPr>
        <w:t xml:space="preserve"> </w:t>
      </w:r>
      <w:r w:rsidR="00334F63" w:rsidRPr="006F5D71">
        <w:rPr>
          <w:color w:val="000000" w:themeColor="text1"/>
        </w:rPr>
        <w:t xml:space="preserve">locations </w:t>
      </w:r>
      <w:r w:rsidR="00396AFE" w:rsidRPr="006F5D71">
        <w:rPr>
          <w:color w:val="000000" w:themeColor="text1"/>
        </w:rPr>
        <w:t>differently.</w:t>
      </w:r>
      <w:r w:rsidR="00F72D31">
        <w:rPr>
          <w:color w:val="000000" w:themeColor="text1"/>
        </w:rPr>
        <w:t xml:space="preserve"> </w:t>
      </w:r>
      <w:r w:rsidR="00396AFE" w:rsidRPr="006F5D71">
        <w:rPr>
          <w:color w:val="000000" w:themeColor="text1"/>
        </w:rPr>
        <w:t xml:space="preserve">Lastly, although we explored </w:t>
      </w:r>
      <w:r w:rsidR="00B62A97" w:rsidRPr="006F5D71">
        <w:rPr>
          <w:color w:val="000000" w:themeColor="text1"/>
        </w:rPr>
        <w:t xml:space="preserve">differences in the factors influencing the survival of Chinese and Indian firms we found no statistically significant differences. This is reassuring as it </w:t>
      </w:r>
      <w:r w:rsidR="001D4320" w:rsidRPr="006F5D71">
        <w:rPr>
          <w:color w:val="000000" w:themeColor="text1"/>
        </w:rPr>
        <w:t>confirms that</w:t>
      </w:r>
      <w:r w:rsidR="00B62A97" w:rsidRPr="006F5D71">
        <w:rPr>
          <w:color w:val="000000" w:themeColor="text1"/>
        </w:rPr>
        <w:t xml:space="preserve"> our framework</w:t>
      </w:r>
      <w:r w:rsidR="00AE56C4">
        <w:rPr>
          <w:color w:val="000000" w:themeColor="text1"/>
        </w:rPr>
        <w:t>,</w:t>
      </w:r>
      <w:r w:rsidR="00B62A97" w:rsidRPr="006F5D71">
        <w:rPr>
          <w:color w:val="000000" w:themeColor="text1"/>
        </w:rPr>
        <w:t xml:space="preserve"> based on real options theory</w:t>
      </w:r>
      <w:r w:rsidR="00AE56C4">
        <w:rPr>
          <w:color w:val="000000" w:themeColor="text1"/>
        </w:rPr>
        <w:t>,</w:t>
      </w:r>
      <w:r w:rsidR="00B62A97" w:rsidRPr="006F5D71">
        <w:rPr>
          <w:color w:val="000000" w:themeColor="text1"/>
        </w:rPr>
        <w:t xml:space="preserve"> </w:t>
      </w:r>
      <w:r w:rsidR="001D4320" w:rsidRPr="006F5D71">
        <w:rPr>
          <w:color w:val="000000" w:themeColor="text1"/>
        </w:rPr>
        <w:t>is a generalizable framework</w:t>
      </w:r>
      <w:r w:rsidR="0009777E" w:rsidRPr="006F5D71">
        <w:rPr>
          <w:color w:val="000000" w:themeColor="text1"/>
        </w:rPr>
        <w:t>.</w:t>
      </w:r>
      <w:r w:rsidR="00FA380B" w:rsidRPr="006F5D71">
        <w:rPr>
          <w:color w:val="000000" w:themeColor="text1"/>
        </w:rPr>
        <w:t xml:space="preserve"> </w:t>
      </w:r>
    </w:p>
    <w:p w14:paraId="52FCED98" w14:textId="77777777" w:rsidR="002B5807" w:rsidRPr="006F5D71" w:rsidRDefault="00FC0260" w:rsidP="00B326C5">
      <w:pPr>
        <w:pStyle w:val="NoSpacing"/>
        <w:spacing w:after="240"/>
        <w:ind w:left="540" w:hanging="540"/>
        <w:jc w:val="both"/>
        <w:rPr>
          <w:b/>
          <w:bCs/>
          <w:color w:val="000000" w:themeColor="text1"/>
          <w:sz w:val="28"/>
          <w:szCs w:val="24"/>
        </w:rPr>
      </w:pPr>
      <w:r w:rsidRPr="006F5D71">
        <w:rPr>
          <w:b/>
          <w:bCs/>
          <w:color w:val="000000" w:themeColor="text1"/>
          <w:sz w:val="28"/>
          <w:szCs w:val="24"/>
        </w:rPr>
        <w:tab/>
      </w:r>
      <w:r w:rsidR="005471FE" w:rsidRPr="006F5D71">
        <w:rPr>
          <w:b/>
          <w:bCs/>
          <w:color w:val="000000" w:themeColor="text1"/>
          <w:sz w:val="28"/>
          <w:szCs w:val="24"/>
        </w:rPr>
        <w:t xml:space="preserve">2. </w:t>
      </w:r>
      <w:r w:rsidR="00427F07" w:rsidRPr="006F5D71">
        <w:rPr>
          <w:b/>
          <w:bCs/>
          <w:color w:val="000000" w:themeColor="text1"/>
          <w:sz w:val="28"/>
          <w:szCs w:val="24"/>
        </w:rPr>
        <w:t>Theory and h</w:t>
      </w:r>
      <w:r w:rsidR="00937DAC" w:rsidRPr="006F5D71">
        <w:rPr>
          <w:b/>
          <w:bCs/>
          <w:color w:val="000000" w:themeColor="text1"/>
          <w:sz w:val="28"/>
          <w:szCs w:val="24"/>
        </w:rPr>
        <w:t xml:space="preserve">ypotheses </w:t>
      </w:r>
      <w:r w:rsidR="00B62A97" w:rsidRPr="006F5D71">
        <w:rPr>
          <w:b/>
          <w:bCs/>
          <w:color w:val="000000" w:themeColor="text1"/>
          <w:sz w:val="28"/>
          <w:szCs w:val="24"/>
        </w:rPr>
        <w:t>development</w:t>
      </w:r>
    </w:p>
    <w:p w14:paraId="4C33BC15" w14:textId="77777777" w:rsidR="001A4C16" w:rsidRPr="006F5D71" w:rsidRDefault="00FC0260" w:rsidP="00413BF4">
      <w:pPr>
        <w:spacing w:after="0" w:line="360" w:lineRule="auto"/>
        <w:jc w:val="both"/>
        <w:rPr>
          <w:color w:val="000000" w:themeColor="text1"/>
        </w:rPr>
      </w:pPr>
      <w:r w:rsidRPr="006F5D71">
        <w:rPr>
          <w:color w:val="000000" w:themeColor="text1"/>
        </w:rPr>
        <w:tab/>
      </w:r>
      <w:r w:rsidR="00FC32C6" w:rsidRPr="006F5D71">
        <w:rPr>
          <w:color w:val="000000" w:themeColor="text1"/>
        </w:rPr>
        <w:t>Real option</w:t>
      </w:r>
      <w:r w:rsidR="004C7443" w:rsidRPr="006F5D71">
        <w:rPr>
          <w:color w:val="000000" w:themeColor="text1"/>
        </w:rPr>
        <w:t>s</w:t>
      </w:r>
      <w:r w:rsidR="00FC32C6" w:rsidRPr="006F5D71">
        <w:rPr>
          <w:color w:val="000000" w:themeColor="text1"/>
        </w:rPr>
        <w:t xml:space="preserve"> theory helps us </w:t>
      </w:r>
      <w:r w:rsidR="001A4C16" w:rsidRPr="006F5D71">
        <w:rPr>
          <w:color w:val="000000" w:themeColor="text1"/>
        </w:rPr>
        <w:t>to understand</w:t>
      </w:r>
      <w:r w:rsidR="00FC32C6" w:rsidRPr="006F5D71">
        <w:rPr>
          <w:color w:val="000000" w:themeColor="text1"/>
        </w:rPr>
        <w:t xml:space="preserve"> the role of FSAs and uncertainty in firm survival across different locations. Bowman and Hurry (1993) define real options as discretionary investments, in that they offer firms the right, but not the obligation, to take future action. Such options are particularly valuable in times of uncertainty as they provide flexibility to firm investments. </w:t>
      </w:r>
      <w:proofErr w:type="spellStart"/>
      <w:r w:rsidR="00FC32C6" w:rsidRPr="006F5D71">
        <w:rPr>
          <w:color w:val="000000" w:themeColor="text1"/>
        </w:rPr>
        <w:t>Kogut</w:t>
      </w:r>
      <w:proofErr w:type="spellEnd"/>
      <w:r w:rsidR="00FC32C6" w:rsidRPr="006F5D71">
        <w:rPr>
          <w:color w:val="000000" w:themeColor="text1"/>
        </w:rPr>
        <w:t xml:space="preserve"> and </w:t>
      </w:r>
      <w:proofErr w:type="spellStart"/>
      <w:r w:rsidR="00FC32C6" w:rsidRPr="006F5D71">
        <w:rPr>
          <w:color w:val="000000" w:themeColor="text1"/>
        </w:rPr>
        <w:t>Kulatilaka</w:t>
      </w:r>
      <w:proofErr w:type="spellEnd"/>
      <w:r w:rsidR="00FC32C6" w:rsidRPr="006F5D71">
        <w:rPr>
          <w:color w:val="000000" w:themeColor="text1"/>
        </w:rPr>
        <w:t xml:space="preserve"> (1994) suggest that foreign investments can effectively serve as a platform for future expansion, creating real growth options that the multinational firm otherwise would not be able to obtain. If the expansion opportunities materialize, and uncertainty is resolved, the foreign investment serves as a stepping-stone for further expansion of operations in the target country.</w:t>
      </w:r>
    </w:p>
    <w:p w14:paraId="77C33FA0" w14:textId="77777777" w:rsidR="00797B87" w:rsidRPr="006F5D71" w:rsidRDefault="0070056E" w:rsidP="00236E35">
      <w:pPr>
        <w:spacing w:after="0" w:line="360" w:lineRule="auto"/>
        <w:ind w:firstLine="720"/>
        <w:jc w:val="both"/>
        <w:rPr>
          <w:color w:val="000000" w:themeColor="text1"/>
        </w:rPr>
      </w:pPr>
      <w:r w:rsidRPr="006F5D71">
        <w:rPr>
          <w:color w:val="000000" w:themeColor="text1"/>
        </w:rPr>
        <w:t>In contrast to the conventional view of uncertainty, the real option</w:t>
      </w:r>
      <w:r w:rsidR="00F52463" w:rsidRPr="006F5D71">
        <w:rPr>
          <w:color w:val="000000" w:themeColor="text1"/>
        </w:rPr>
        <w:t>s</w:t>
      </w:r>
      <w:r w:rsidRPr="006F5D71">
        <w:rPr>
          <w:color w:val="000000" w:themeColor="text1"/>
        </w:rPr>
        <w:t xml:space="preserve"> framework developed by Dixit (1989) and Dixit and </w:t>
      </w:r>
      <w:proofErr w:type="spellStart"/>
      <w:r w:rsidRPr="006F5D71">
        <w:rPr>
          <w:color w:val="000000" w:themeColor="text1"/>
        </w:rPr>
        <w:t>Pindyck</w:t>
      </w:r>
      <w:proofErr w:type="spellEnd"/>
      <w:r w:rsidRPr="006F5D71">
        <w:rPr>
          <w:color w:val="000000" w:themeColor="text1"/>
        </w:rPr>
        <w:t xml:space="preserve"> (1994), consider</w:t>
      </w:r>
      <w:r w:rsidR="00F52463" w:rsidRPr="006F5D71">
        <w:rPr>
          <w:color w:val="000000" w:themeColor="text1"/>
        </w:rPr>
        <w:t>s</w:t>
      </w:r>
      <w:r w:rsidRPr="006F5D71">
        <w:rPr>
          <w:color w:val="000000" w:themeColor="text1"/>
        </w:rPr>
        <w:t xml:space="preserve"> uncertainty in the host market not necessarily as a threat to </w:t>
      </w:r>
      <w:r w:rsidR="00F52463" w:rsidRPr="006F5D71">
        <w:rPr>
          <w:color w:val="000000" w:themeColor="text1"/>
        </w:rPr>
        <w:t xml:space="preserve">a </w:t>
      </w:r>
      <w:r w:rsidRPr="006F5D71">
        <w:rPr>
          <w:color w:val="000000" w:themeColor="text1"/>
        </w:rPr>
        <w:t xml:space="preserve">firm’s survival but </w:t>
      </w:r>
      <w:r w:rsidR="00C86F98">
        <w:rPr>
          <w:color w:val="000000" w:themeColor="text1"/>
        </w:rPr>
        <w:t>as</w:t>
      </w:r>
      <w:r w:rsidR="00C86F98" w:rsidRPr="006F5D71">
        <w:rPr>
          <w:color w:val="000000" w:themeColor="text1"/>
        </w:rPr>
        <w:t xml:space="preserve"> </w:t>
      </w:r>
      <w:r w:rsidRPr="006F5D71">
        <w:rPr>
          <w:color w:val="000000" w:themeColor="text1"/>
        </w:rPr>
        <w:t xml:space="preserve">a valuable opportunity for </w:t>
      </w:r>
      <w:r w:rsidR="00F52463" w:rsidRPr="006F5D71">
        <w:rPr>
          <w:color w:val="000000" w:themeColor="text1"/>
        </w:rPr>
        <w:t xml:space="preserve">the </w:t>
      </w:r>
      <w:r w:rsidR="0058523C" w:rsidRPr="006F5D71">
        <w:rPr>
          <w:color w:val="000000" w:themeColor="text1"/>
        </w:rPr>
        <w:t>firm</w:t>
      </w:r>
      <w:r w:rsidRPr="006F5D71">
        <w:rPr>
          <w:color w:val="000000" w:themeColor="text1"/>
        </w:rPr>
        <w:t xml:space="preserve"> to exploit. A firm</w:t>
      </w:r>
      <w:r w:rsidR="00C86F98">
        <w:rPr>
          <w:color w:val="000000" w:themeColor="text1"/>
        </w:rPr>
        <w:t>,</w:t>
      </w:r>
      <w:r w:rsidRPr="006F5D71">
        <w:rPr>
          <w:color w:val="000000" w:themeColor="text1"/>
        </w:rPr>
        <w:t xml:space="preserve"> therefore</w:t>
      </w:r>
      <w:r w:rsidR="00C86F98">
        <w:rPr>
          <w:color w:val="000000" w:themeColor="text1"/>
        </w:rPr>
        <w:t>,</w:t>
      </w:r>
      <w:r w:rsidRPr="006F5D71">
        <w:rPr>
          <w:color w:val="000000" w:themeColor="text1"/>
        </w:rPr>
        <w:t xml:space="preserve"> may choose to either invest in </w:t>
      </w:r>
      <w:r w:rsidR="001D4320" w:rsidRPr="006F5D71">
        <w:rPr>
          <w:color w:val="000000" w:themeColor="text1"/>
        </w:rPr>
        <w:t xml:space="preserve">the </w:t>
      </w:r>
      <w:r w:rsidRPr="006F5D71">
        <w:rPr>
          <w:color w:val="000000" w:themeColor="text1"/>
        </w:rPr>
        <w:t xml:space="preserve">present or delay </w:t>
      </w:r>
      <w:r w:rsidR="001D4320" w:rsidRPr="006F5D71">
        <w:rPr>
          <w:color w:val="000000" w:themeColor="text1"/>
        </w:rPr>
        <w:t>investment</w:t>
      </w:r>
      <w:r w:rsidRPr="006F5D71">
        <w:rPr>
          <w:color w:val="000000" w:themeColor="text1"/>
        </w:rPr>
        <w:t xml:space="preserve"> by </w:t>
      </w:r>
      <w:r w:rsidR="001D4320" w:rsidRPr="006F5D71">
        <w:rPr>
          <w:color w:val="000000" w:themeColor="text1"/>
        </w:rPr>
        <w:t>evaluating</w:t>
      </w:r>
      <w:r w:rsidRPr="006F5D71">
        <w:rPr>
          <w:color w:val="000000" w:themeColor="text1"/>
        </w:rPr>
        <w:t xml:space="preserve"> the investment</w:t>
      </w:r>
      <w:r w:rsidR="00F52463" w:rsidRPr="006F5D71">
        <w:rPr>
          <w:color w:val="000000" w:themeColor="text1"/>
        </w:rPr>
        <w:t xml:space="preserve"> </w:t>
      </w:r>
      <w:r w:rsidRPr="006F5D71">
        <w:rPr>
          <w:color w:val="000000" w:themeColor="text1"/>
        </w:rPr>
        <w:t>payoff (Casson, 1994).</w:t>
      </w:r>
      <w:r w:rsidR="00413BF4" w:rsidRPr="006F5D71">
        <w:rPr>
          <w:color w:val="000000" w:themeColor="text1"/>
        </w:rPr>
        <w:t xml:space="preserve"> </w:t>
      </w:r>
      <w:r w:rsidR="00797B87" w:rsidRPr="006F5D71">
        <w:rPr>
          <w:color w:val="000000" w:themeColor="text1"/>
        </w:rPr>
        <w:t xml:space="preserve">Faced with exogenous </w:t>
      </w:r>
      <w:r w:rsidR="002C0902" w:rsidRPr="006F5D71">
        <w:rPr>
          <w:color w:val="000000" w:themeColor="text1"/>
        </w:rPr>
        <w:lastRenderedPageBreak/>
        <w:t>uncertainty, which</w:t>
      </w:r>
      <w:r w:rsidR="00797B87" w:rsidRPr="006F5D71">
        <w:rPr>
          <w:color w:val="000000" w:themeColor="text1"/>
        </w:rPr>
        <w:t xml:space="preserve"> comes from the macroeconomic business environment and </w:t>
      </w:r>
      <w:r w:rsidR="00C46089">
        <w:rPr>
          <w:color w:val="000000" w:themeColor="text1"/>
        </w:rPr>
        <w:t xml:space="preserve">which </w:t>
      </w:r>
      <w:r w:rsidR="00797B87" w:rsidRPr="006F5D71">
        <w:rPr>
          <w:color w:val="000000" w:themeColor="text1"/>
        </w:rPr>
        <w:t xml:space="preserve">is beyond the firm’s control, delaying and </w:t>
      </w:r>
      <w:r w:rsidR="004C7443" w:rsidRPr="006F5D71">
        <w:rPr>
          <w:color w:val="000000" w:themeColor="text1"/>
        </w:rPr>
        <w:t>reversing</w:t>
      </w:r>
      <w:r w:rsidR="00797B87" w:rsidRPr="006F5D71">
        <w:rPr>
          <w:color w:val="000000" w:themeColor="text1"/>
        </w:rPr>
        <w:t xml:space="preserve"> investment are the two plausible options that MNCs may adopt (Tong and Li, 2008</w:t>
      </w:r>
      <w:r w:rsidR="002C0902" w:rsidRPr="006F5D71">
        <w:rPr>
          <w:color w:val="000000" w:themeColor="text1"/>
        </w:rPr>
        <w:t>; Song, 2014</w:t>
      </w:r>
      <w:r w:rsidR="00797B87" w:rsidRPr="006F5D71">
        <w:rPr>
          <w:color w:val="000000" w:themeColor="text1"/>
        </w:rPr>
        <w:t xml:space="preserve">). Faced with endogenous uncertainty, in contrast, firms can take </w:t>
      </w:r>
      <w:r w:rsidR="00C46089">
        <w:rPr>
          <w:color w:val="000000" w:themeColor="text1"/>
        </w:rPr>
        <w:t>mitigatin</w:t>
      </w:r>
      <w:r w:rsidR="005E4FEA">
        <w:rPr>
          <w:color w:val="000000" w:themeColor="text1"/>
        </w:rPr>
        <w:t>g</w:t>
      </w:r>
      <w:r w:rsidR="00C46089">
        <w:rPr>
          <w:color w:val="000000" w:themeColor="text1"/>
        </w:rPr>
        <w:t xml:space="preserve"> </w:t>
      </w:r>
      <w:r w:rsidR="00797B87" w:rsidRPr="006F5D71">
        <w:rPr>
          <w:color w:val="000000" w:themeColor="text1"/>
        </w:rPr>
        <w:t>actions, for example, adopting an incremental strategy through sequential investments</w:t>
      </w:r>
      <w:r w:rsidR="002C0902" w:rsidRPr="006F5D71">
        <w:rPr>
          <w:color w:val="000000" w:themeColor="text1"/>
        </w:rPr>
        <w:t xml:space="preserve"> (Xu, Zhou, &amp; Phan, 2010) or</w:t>
      </w:r>
      <w:r w:rsidR="00797B87" w:rsidRPr="006F5D71">
        <w:rPr>
          <w:color w:val="000000" w:themeColor="text1"/>
        </w:rPr>
        <w:t xml:space="preserve"> MNCs may make a small initial commitment through a joint venture </w:t>
      </w:r>
      <w:r w:rsidR="001A4C16" w:rsidRPr="006F5D71">
        <w:rPr>
          <w:color w:val="000000" w:themeColor="text1"/>
        </w:rPr>
        <w:t>as a</w:t>
      </w:r>
      <w:r w:rsidR="00797B87" w:rsidRPr="006F5D71">
        <w:rPr>
          <w:color w:val="000000" w:themeColor="text1"/>
        </w:rPr>
        <w:t xml:space="preserve"> possible way to reduce the uncertainty related to investment partner risk (Buckley, Chen, Clegg, &amp; Voss, 2020).</w:t>
      </w:r>
    </w:p>
    <w:p w14:paraId="186CE0B4" w14:textId="77777777" w:rsidR="009C69CD" w:rsidRPr="006F5D71" w:rsidRDefault="0059482F" w:rsidP="00413BF4">
      <w:pPr>
        <w:spacing w:after="0" w:line="360" w:lineRule="auto"/>
        <w:jc w:val="both"/>
        <w:rPr>
          <w:color w:val="000000" w:themeColor="text1"/>
        </w:rPr>
      </w:pPr>
      <w:r w:rsidRPr="006F5D71">
        <w:rPr>
          <w:color w:val="000000" w:themeColor="text1"/>
        </w:rPr>
        <w:t xml:space="preserve"> </w:t>
      </w:r>
      <w:r w:rsidR="00413BF4" w:rsidRPr="006F5D71">
        <w:rPr>
          <w:color w:val="000000" w:themeColor="text1"/>
        </w:rPr>
        <w:tab/>
      </w:r>
      <w:r w:rsidR="007C45E6" w:rsidRPr="006F5D71">
        <w:rPr>
          <w:color w:val="000000" w:themeColor="text1"/>
        </w:rPr>
        <w:t xml:space="preserve">Earlier studies have frequently adopted </w:t>
      </w:r>
      <w:r w:rsidR="00F52463" w:rsidRPr="006F5D71">
        <w:rPr>
          <w:color w:val="000000" w:themeColor="text1"/>
        </w:rPr>
        <w:t xml:space="preserve">a </w:t>
      </w:r>
      <w:r w:rsidR="007C45E6" w:rsidRPr="006F5D71">
        <w:rPr>
          <w:color w:val="000000" w:themeColor="text1"/>
        </w:rPr>
        <w:t xml:space="preserve">real-option framework to study the outward investment behavior of EMNCs. </w:t>
      </w:r>
      <w:r w:rsidR="0070056E" w:rsidRPr="006F5D71">
        <w:rPr>
          <w:color w:val="000000" w:themeColor="text1"/>
        </w:rPr>
        <w:t>Using the sample of Korean multinational firms, Song (2014) f</w:t>
      </w:r>
      <w:r w:rsidR="002C0902" w:rsidRPr="006F5D71">
        <w:rPr>
          <w:color w:val="000000" w:themeColor="text1"/>
        </w:rPr>
        <w:t>ound</w:t>
      </w:r>
      <w:r w:rsidR="0070056E" w:rsidRPr="006F5D71">
        <w:rPr>
          <w:color w:val="000000" w:themeColor="text1"/>
        </w:rPr>
        <w:t xml:space="preserve"> that intra-firm product shift within the same network of a multinational firm </w:t>
      </w:r>
      <w:r w:rsidR="00262CAB" w:rsidRPr="006F5D71">
        <w:rPr>
          <w:color w:val="000000" w:themeColor="text1"/>
        </w:rPr>
        <w:t>lower</w:t>
      </w:r>
      <w:r w:rsidR="002C0902" w:rsidRPr="006F5D71">
        <w:rPr>
          <w:color w:val="000000" w:themeColor="text1"/>
        </w:rPr>
        <w:t>ed</w:t>
      </w:r>
      <w:r w:rsidR="0070056E" w:rsidRPr="006F5D71">
        <w:rPr>
          <w:color w:val="000000" w:themeColor="text1"/>
        </w:rPr>
        <w:t xml:space="preserve"> the uncertainty</w:t>
      </w:r>
      <w:r w:rsidR="00262CAB" w:rsidRPr="006F5D71">
        <w:rPr>
          <w:color w:val="000000" w:themeColor="text1"/>
        </w:rPr>
        <w:t xml:space="preserve"> </w:t>
      </w:r>
      <w:r w:rsidR="002C0902" w:rsidRPr="006F5D71">
        <w:rPr>
          <w:color w:val="000000" w:themeColor="text1"/>
        </w:rPr>
        <w:t>that a subsidiary</w:t>
      </w:r>
      <w:r w:rsidR="00262CAB" w:rsidRPr="006F5D71">
        <w:rPr>
          <w:color w:val="000000" w:themeColor="text1"/>
        </w:rPr>
        <w:t xml:space="preserve"> </w:t>
      </w:r>
      <w:r w:rsidR="002C0902" w:rsidRPr="006F5D71">
        <w:rPr>
          <w:color w:val="000000" w:themeColor="text1"/>
        </w:rPr>
        <w:t>wa</w:t>
      </w:r>
      <w:r w:rsidR="00F52463" w:rsidRPr="006F5D71">
        <w:rPr>
          <w:color w:val="000000" w:themeColor="text1"/>
        </w:rPr>
        <w:t xml:space="preserve">s </w:t>
      </w:r>
      <w:r w:rsidR="00262CAB" w:rsidRPr="006F5D71">
        <w:rPr>
          <w:color w:val="000000" w:themeColor="text1"/>
        </w:rPr>
        <w:t>exposed to due to</w:t>
      </w:r>
      <w:r w:rsidR="0070056E" w:rsidRPr="006F5D71">
        <w:rPr>
          <w:color w:val="000000" w:themeColor="text1"/>
        </w:rPr>
        <w:t xml:space="preserve"> rising cross-country labor cost differentials.</w:t>
      </w:r>
      <w:r w:rsidR="00F067C8" w:rsidRPr="006F5D71">
        <w:rPr>
          <w:color w:val="000000" w:themeColor="text1"/>
        </w:rPr>
        <w:t xml:space="preserve"> </w:t>
      </w:r>
      <w:r w:rsidR="007C45E6" w:rsidRPr="006F5D71">
        <w:rPr>
          <w:color w:val="000000" w:themeColor="text1"/>
        </w:rPr>
        <w:t xml:space="preserve">Tong and Li (2008) </w:t>
      </w:r>
      <w:r w:rsidR="002C0902" w:rsidRPr="006F5D71">
        <w:rPr>
          <w:color w:val="000000" w:themeColor="text1"/>
        </w:rPr>
        <w:t>argue</w:t>
      </w:r>
      <w:r w:rsidR="007C45E6" w:rsidRPr="006F5D71">
        <w:rPr>
          <w:color w:val="000000" w:themeColor="text1"/>
        </w:rPr>
        <w:t xml:space="preserve"> that Chinese firms accumulate foreign market knowledge that provides real options</w:t>
      </w:r>
      <w:r w:rsidR="00EF5F59" w:rsidRPr="006F5D71">
        <w:rPr>
          <w:color w:val="000000" w:themeColor="text1"/>
        </w:rPr>
        <w:t xml:space="preserve"> </w:t>
      </w:r>
      <w:r w:rsidR="002C0902" w:rsidRPr="006F5D71">
        <w:rPr>
          <w:color w:val="000000" w:themeColor="text1"/>
        </w:rPr>
        <w:t>for outward investments</w:t>
      </w:r>
      <w:r w:rsidR="00EF5F59" w:rsidRPr="006F5D71">
        <w:rPr>
          <w:color w:val="000000" w:themeColor="text1"/>
        </w:rPr>
        <w:t xml:space="preserve"> in </w:t>
      </w:r>
      <w:r w:rsidR="00F52463" w:rsidRPr="006F5D71">
        <w:rPr>
          <w:color w:val="000000" w:themeColor="text1"/>
        </w:rPr>
        <w:t xml:space="preserve">the </w:t>
      </w:r>
      <w:r w:rsidR="00EF5F59" w:rsidRPr="006F5D71">
        <w:rPr>
          <w:color w:val="000000" w:themeColor="text1"/>
        </w:rPr>
        <w:t>future.</w:t>
      </w:r>
      <w:r w:rsidR="00F067C8" w:rsidRPr="006F5D71">
        <w:rPr>
          <w:color w:val="000000" w:themeColor="text1"/>
        </w:rPr>
        <w:t xml:space="preserve"> Buckley (2007) find that Chinese firms are financially better positioned to deal with the political </w:t>
      </w:r>
      <w:r w:rsidRPr="006F5D71">
        <w:rPr>
          <w:color w:val="000000" w:themeColor="text1"/>
        </w:rPr>
        <w:t>uncertainty</w:t>
      </w:r>
      <w:r w:rsidR="00F067C8" w:rsidRPr="006F5D71">
        <w:rPr>
          <w:color w:val="000000" w:themeColor="text1"/>
        </w:rPr>
        <w:t xml:space="preserve"> in highly vulnerable markets.</w:t>
      </w:r>
      <w:r w:rsidR="0070056E" w:rsidRPr="006F5D71">
        <w:rPr>
          <w:color w:val="000000" w:themeColor="text1"/>
        </w:rPr>
        <w:t xml:space="preserve"> </w:t>
      </w:r>
      <w:r w:rsidR="000035E4" w:rsidRPr="006F5D71">
        <w:rPr>
          <w:color w:val="000000" w:themeColor="text1"/>
        </w:rPr>
        <w:t>Chen, Hu, &amp; Hu</w:t>
      </w:r>
      <w:r w:rsidR="00EF5F59" w:rsidRPr="006F5D71">
        <w:rPr>
          <w:color w:val="000000" w:themeColor="text1"/>
        </w:rPr>
        <w:t xml:space="preserve"> (2002) find that Asian MNCs prefer </w:t>
      </w:r>
      <w:r w:rsidR="000E0A8E">
        <w:rPr>
          <w:color w:val="000000" w:themeColor="text1"/>
        </w:rPr>
        <w:t xml:space="preserve">the </w:t>
      </w:r>
      <w:r w:rsidR="00EF5F59" w:rsidRPr="006F5D71">
        <w:rPr>
          <w:color w:val="000000" w:themeColor="text1"/>
        </w:rPr>
        <w:t xml:space="preserve">joint venture mode of entry in </w:t>
      </w:r>
      <w:r w:rsidR="007E3709" w:rsidRPr="006F5D71">
        <w:rPr>
          <w:color w:val="000000" w:themeColor="text1"/>
        </w:rPr>
        <w:t>foreign</w:t>
      </w:r>
      <w:r w:rsidR="00EF5F59" w:rsidRPr="006F5D71">
        <w:rPr>
          <w:color w:val="000000" w:themeColor="text1"/>
        </w:rPr>
        <w:t xml:space="preserve"> market</w:t>
      </w:r>
      <w:r w:rsidR="007E3709" w:rsidRPr="006F5D71">
        <w:rPr>
          <w:color w:val="000000" w:themeColor="text1"/>
        </w:rPr>
        <w:t xml:space="preserve">s to reduce the </w:t>
      </w:r>
      <w:r w:rsidR="009C69CD" w:rsidRPr="006F5D71">
        <w:rPr>
          <w:color w:val="000000" w:themeColor="text1"/>
        </w:rPr>
        <w:t xml:space="preserve">environmental </w:t>
      </w:r>
      <w:r w:rsidR="009745AE" w:rsidRPr="006F5D71">
        <w:rPr>
          <w:color w:val="000000" w:themeColor="text1"/>
        </w:rPr>
        <w:t>uncertainties associated with their liability of foreignness and liability of origin</w:t>
      </w:r>
      <w:r w:rsidR="00EF5F59" w:rsidRPr="006F5D71">
        <w:rPr>
          <w:color w:val="000000" w:themeColor="text1"/>
        </w:rPr>
        <w:t xml:space="preserve">. </w:t>
      </w:r>
      <w:r w:rsidR="0005782D" w:rsidRPr="006F5D71">
        <w:rPr>
          <w:color w:val="000000" w:themeColor="text1"/>
        </w:rPr>
        <w:t xml:space="preserve">Shen and Puig (2018) show that Chinese firms choose </w:t>
      </w:r>
      <w:r w:rsidR="007E3709" w:rsidRPr="006F5D71">
        <w:rPr>
          <w:color w:val="000000" w:themeColor="text1"/>
        </w:rPr>
        <w:t>Greenfield</w:t>
      </w:r>
      <w:r w:rsidR="0005782D" w:rsidRPr="006F5D71">
        <w:rPr>
          <w:color w:val="000000" w:themeColor="text1"/>
        </w:rPr>
        <w:t xml:space="preserve"> investments when they locate investment in country-of-origin</w:t>
      </w:r>
      <w:r w:rsidR="00F52463" w:rsidRPr="006F5D71">
        <w:rPr>
          <w:color w:val="000000" w:themeColor="text1"/>
        </w:rPr>
        <w:t xml:space="preserve"> </w:t>
      </w:r>
      <w:r w:rsidR="0005782D" w:rsidRPr="006F5D71">
        <w:rPr>
          <w:color w:val="000000" w:themeColor="text1"/>
        </w:rPr>
        <w:t xml:space="preserve">clusters which </w:t>
      </w:r>
      <w:r w:rsidR="00EF5F59" w:rsidRPr="006F5D71">
        <w:rPr>
          <w:color w:val="000000" w:themeColor="text1"/>
        </w:rPr>
        <w:t xml:space="preserve">provide </w:t>
      </w:r>
      <w:r w:rsidR="0005782D" w:rsidRPr="006F5D71">
        <w:rPr>
          <w:color w:val="000000" w:themeColor="text1"/>
        </w:rPr>
        <w:t>these MNCs</w:t>
      </w:r>
      <w:r w:rsidR="00EF5F59" w:rsidRPr="006F5D71">
        <w:rPr>
          <w:color w:val="000000" w:themeColor="text1"/>
        </w:rPr>
        <w:t xml:space="preserve"> </w:t>
      </w:r>
      <w:r w:rsidR="000E0A8E">
        <w:rPr>
          <w:color w:val="000000" w:themeColor="text1"/>
        </w:rPr>
        <w:t xml:space="preserve">with </w:t>
      </w:r>
      <w:r w:rsidR="00EF5F59" w:rsidRPr="006F5D71">
        <w:rPr>
          <w:color w:val="000000" w:themeColor="text1"/>
        </w:rPr>
        <w:t>a</w:t>
      </w:r>
      <w:r w:rsidR="007E3709" w:rsidRPr="006F5D71">
        <w:rPr>
          <w:color w:val="000000" w:themeColor="text1"/>
        </w:rPr>
        <w:t>n environment</w:t>
      </w:r>
      <w:r w:rsidR="00EF5F59" w:rsidRPr="006F5D71">
        <w:rPr>
          <w:color w:val="000000" w:themeColor="text1"/>
        </w:rPr>
        <w:t xml:space="preserve"> to learn about the host context to overcome </w:t>
      </w:r>
      <w:r w:rsidR="0005782D" w:rsidRPr="006F5D71">
        <w:rPr>
          <w:color w:val="000000" w:themeColor="text1"/>
        </w:rPr>
        <w:t xml:space="preserve">uncertainty stemming from </w:t>
      </w:r>
      <w:r w:rsidR="00EF5F59" w:rsidRPr="006F5D71">
        <w:rPr>
          <w:color w:val="000000" w:themeColor="text1"/>
        </w:rPr>
        <w:t xml:space="preserve">the liability of </w:t>
      </w:r>
      <w:r w:rsidR="009745AE" w:rsidRPr="006F5D71">
        <w:rPr>
          <w:color w:val="000000" w:themeColor="text1"/>
        </w:rPr>
        <w:t>origin</w:t>
      </w:r>
      <w:r w:rsidR="00EF5F59" w:rsidRPr="006F5D71">
        <w:rPr>
          <w:color w:val="000000" w:themeColor="text1"/>
        </w:rPr>
        <w:t>.</w:t>
      </w:r>
      <w:r w:rsidR="0005782D" w:rsidRPr="006F5D71">
        <w:rPr>
          <w:color w:val="000000" w:themeColor="text1"/>
        </w:rPr>
        <w:t xml:space="preserve"> </w:t>
      </w:r>
      <w:r w:rsidR="000035E4" w:rsidRPr="006F5D71">
        <w:rPr>
          <w:color w:val="000000" w:themeColor="text1"/>
        </w:rPr>
        <w:t>Li, Guo, and Xu</w:t>
      </w:r>
      <w:r w:rsidR="00532687" w:rsidRPr="006F5D71">
        <w:rPr>
          <w:color w:val="000000" w:themeColor="text1"/>
        </w:rPr>
        <w:t xml:space="preserve"> (2017) find that EMNCs with stronger learning and linking capabilities tend to overcome </w:t>
      </w:r>
      <w:r w:rsidR="009745AE" w:rsidRPr="006F5D71">
        <w:rPr>
          <w:color w:val="000000" w:themeColor="text1"/>
        </w:rPr>
        <w:t xml:space="preserve">both </w:t>
      </w:r>
      <w:r w:rsidR="00532687" w:rsidRPr="006F5D71">
        <w:rPr>
          <w:color w:val="000000" w:themeColor="text1"/>
        </w:rPr>
        <w:t>external and internal uncertainties more quickly</w:t>
      </w:r>
      <w:r w:rsidR="000E0A8E">
        <w:rPr>
          <w:color w:val="000000" w:themeColor="text1"/>
        </w:rPr>
        <w:t xml:space="preserve"> and</w:t>
      </w:r>
      <w:r w:rsidR="00F52463" w:rsidRPr="006F5D71">
        <w:rPr>
          <w:color w:val="000000" w:themeColor="text1"/>
        </w:rPr>
        <w:t>, therefore,</w:t>
      </w:r>
      <w:r w:rsidR="00532687" w:rsidRPr="006F5D71">
        <w:rPr>
          <w:color w:val="000000" w:themeColor="text1"/>
        </w:rPr>
        <w:t xml:space="preserve"> choose the </w:t>
      </w:r>
      <w:r w:rsidR="004C7443" w:rsidRPr="006F5D71">
        <w:rPr>
          <w:color w:val="000000" w:themeColor="text1"/>
        </w:rPr>
        <w:t>wholly-</w:t>
      </w:r>
      <w:r w:rsidR="000035E4" w:rsidRPr="006F5D71">
        <w:rPr>
          <w:color w:val="000000" w:themeColor="text1"/>
        </w:rPr>
        <w:t>owned</w:t>
      </w:r>
      <w:r w:rsidR="00532687" w:rsidRPr="006F5D71">
        <w:rPr>
          <w:color w:val="000000" w:themeColor="text1"/>
        </w:rPr>
        <w:t xml:space="preserve"> mode in foreign entries. </w:t>
      </w:r>
    </w:p>
    <w:p w14:paraId="23F50B5F" w14:textId="77777777" w:rsidR="0072246F" w:rsidRPr="006F5D71" w:rsidRDefault="002C0902" w:rsidP="0053097E">
      <w:pPr>
        <w:spacing w:line="360" w:lineRule="auto"/>
        <w:ind w:firstLine="720"/>
        <w:jc w:val="both"/>
        <w:rPr>
          <w:color w:val="000000" w:themeColor="text1"/>
          <w:szCs w:val="24"/>
        </w:rPr>
      </w:pPr>
      <w:r w:rsidRPr="006F5D71">
        <w:rPr>
          <w:color w:val="000000" w:themeColor="text1"/>
          <w:szCs w:val="24"/>
        </w:rPr>
        <w:t>Foreign investment is inherently risky, and investments have no guaranteed return (</w:t>
      </w:r>
      <w:proofErr w:type="spellStart"/>
      <w:r w:rsidRPr="006F5D71">
        <w:rPr>
          <w:color w:val="000000" w:themeColor="text1"/>
          <w:szCs w:val="24"/>
        </w:rPr>
        <w:t>Vassolo</w:t>
      </w:r>
      <w:proofErr w:type="spellEnd"/>
      <w:r w:rsidRPr="006F5D71">
        <w:rPr>
          <w:color w:val="000000" w:themeColor="text1"/>
          <w:szCs w:val="24"/>
        </w:rPr>
        <w:t xml:space="preserve">, Anand, &amp; </w:t>
      </w:r>
      <w:proofErr w:type="spellStart"/>
      <w:r w:rsidRPr="006F5D71">
        <w:rPr>
          <w:color w:val="000000" w:themeColor="text1"/>
          <w:szCs w:val="24"/>
        </w:rPr>
        <w:t>Folta</w:t>
      </w:r>
      <w:proofErr w:type="spellEnd"/>
      <w:r w:rsidRPr="006F5D71">
        <w:rPr>
          <w:color w:val="000000" w:themeColor="text1"/>
          <w:szCs w:val="24"/>
        </w:rPr>
        <w:t xml:space="preserve">, 2004). </w:t>
      </w:r>
      <w:r w:rsidR="00FC32C6" w:rsidRPr="006F5D71">
        <w:rPr>
          <w:color w:val="000000" w:themeColor="text1"/>
        </w:rPr>
        <w:t xml:space="preserve">A key requirement for using the real options approach is to identify both the rewards and the </w:t>
      </w:r>
      <w:r w:rsidR="0045753B" w:rsidRPr="006F5D71">
        <w:rPr>
          <w:color w:val="000000" w:themeColor="text1"/>
        </w:rPr>
        <w:t xml:space="preserve">sources of risk. </w:t>
      </w:r>
      <w:r w:rsidR="00C65790" w:rsidRPr="006F5D71">
        <w:rPr>
          <w:color w:val="000000" w:themeColor="text1"/>
        </w:rPr>
        <w:t xml:space="preserve">We develop the argument that EMNC FSA (relative to </w:t>
      </w:r>
      <w:r w:rsidR="001A4C16" w:rsidRPr="006F5D71">
        <w:rPr>
          <w:color w:val="000000" w:themeColor="text1"/>
        </w:rPr>
        <w:t>rival firms in the host economy</w:t>
      </w:r>
      <w:r w:rsidR="00C65790" w:rsidRPr="006F5D71">
        <w:rPr>
          <w:color w:val="000000" w:themeColor="text1"/>
        </w:rPr>
        <w:t xml:space="preserve">) </w:t>
      </w:r>
      <w:r w:rsidR="008D40B7" w:rsidRPr="006F5D71">
        <w:rPr>
          <w:color w:val="000000" w:themeColor="text1"/>
        </w:rPr>
        <w:t>influences</w:t>
      </w:r>
      <w:r w:rsidR="00C65790" w:rsidRPr="006F5D71">
        <w:rPr>
          <w:color w:val="000000" w:themeColor="text1"/>
        </w:rPr>
        <w:t xml:space="preserve"> the rewards to investment but whether such rewards can act as a platform for future growth depends upon endogenous and exogenous sources of uncertainty. Uncertainty can </w:t>
      </w:r>
      <w:r w:rsidR="00FC32C6" w:rsidRPr="006F5D71">
        <w:rPr>
          <w:color w:val="000000" w:themeColor="text1"/>
        </w:rPr>
        <w:t>give rise to strategies that keep options open</w:t>
      </w:r>
      <w:r w:rsidR="00797B87" w:rsidRPr="006F5D71">
        <w:rPr>
          <w:color w:val="000000" w:themeColor="text1"/>
        </w:rPr>
        <w:t xml:space="preserve"> for the EMNE</w:t>
      </w:r>
      <w:r w:rsidR="00FC32C6" w:rsidRPr="006F5D71">
        <w:rPr>
          <w:color w:val="000000" w:themeColor="text1"/>
        </w:rPr>
        <w:t>: either by increasing investment in some activity lines or locations, switching investment across activity line</w:t>
      </w:r>
      <w:r w:rsidR="004C7443" w:rsidRPr="006F5D71">
        <w:rPr>
          <w:color w:val="000000" w:themeColor="text1"/>
        </w:rPr>
        <w:t>s</w:t>
      </w:r>
      <w:r w:rsidR="00FC32C6" w:rsidRPr="006F5D71">
        <w:rPr>
          <w:color w:val="000000" w:themeColor="text1"/>
        </w:rPr>
        <w:t>/locations</w:t>
      </w:r>
      <w:r w:rsidR="00F06452" w:rsidRPr="006F5D71">
        <w:rPr>
          <w:color w:val="000000" w:themeColor="text1"/>
        </w:rPr>
        <w:t>,</w:t>
      </w:r>
      <w:r w:rsidR="00FC32C6" w:rsidRPr="006F5D71">
        <w:rPr>
          <w:color w:val="000000" w:themeColor="text1"/>
        </w:rPr>
        <w:t xml:space="preserve"> </w:t>
      </w:r>
      <w:r w:rsidR="00797B87" w:rsidRPr="006F5D71">
        <w:rPr>
          <w:color w:val="000000" w:themeColor="text1"/>
        </w:rPr>
        <w:t xml:space="preserve">or </w:t>
      </w:r>
      <w:r w:rsidR="00FC32C6" w:rsidRPr="006F5D71">
        <w:rPr>
          <w:color w:val="000000" w:themeColor="text1"/>
        </w:rPr>
        <w:t>withdrawing from activity lines/locations.</w:t>
      </w:r>
      <w:r w:rsidR="00C65790" w:rsidRPr="006F5D71">
        <w:rPr>
          <w:color w:val="000000" w:themeColor="text1"/>
        </w:rPr>
        <w:t xml:space="preserve"> By focusing on </w:t>
      </w:r>
      <w:r w:rsidR="00F06452" w:rsidRPr="006F5D71">
        <w:rPr>
          <w:color w:val="000000" w:themeColor="text1"/>
        </w:rPr>
        <w:t xml:space="preserve">the </w:t>
      </w:r>
      <w:r w:rsidR="00C65790" w:rsidRPr="006F5D71">
        <w:rPr>
          <w:color w:val="000000" w:themeColor="text1"/>
        </w:rPr>
        <w:t xml:space="preserve">survival of </w:t>
      </w:r>
      <w:r w:rsidR="00853459" w:rsidRPr="006F5D71">
        <w:rPr>
          <w:color w:val="000000" w:themeColor="text1"/>
        </w:rPr>
        <w:t>investments,</w:t>
      </w:r>
      <w:r w:rsidR="00C65790" w:rsidRPr="006F5D71">
        <w:rPr>
          <w:color w:val="000000" w:themeColor="text1"/>
        </w:rPr>
        <w:t xml:space="preserve"> we </w:t>
      </w:r>
      <w:r w:rsidR="00F52463" w:rsidRPr="006F5D71">
        <w:rPr>
          <w:color w:val="000000" w:themeColor="text1"/>
        </w:rPr>
        <w:t>can</w:t>
      </w:r>
      <w:r w:rsidR="00C65790" w:rsidRPr="006F5D71">
        <w:rPr>
          <w:color w:val="000000" w:themeColor="text1"/>
        </w:rPr>
        <w:t xml:space="preserve"> study </w:t>
      </w:r>
      <w:r w:rsidR="005E4FEA">
        <w:rPr>
          <w:color w:val="000000" w:themeColor="text1"/>
        </w:rPr>
        <w:t xml:space="preserve">use of </w:t>
      </w:r>
      <w:r w:rsidR="00C65790" w:rsidRPr="006F5D71">
        <w:rPr>
          <w:color w:val="000000" w:themeColor="text1"/>
        </w:rPr>
        <w:t xml:space="preserve">the stay versus exit options. The stay option </w:t>
      </w:r>
      <w:r w:rsidRPr="006F5D71">
        <w:rPr>
          <w:color w:val="000000" w:themeColor="text1"/>
        </w:rPr>
        <w:t xml:space="preserve">is reflected in survival, which </w:t>
      </w:r>
      <w:r w:rsidR="00FA26A5" w:rsidRPr="006F5D71">
        <w:rPr>
          <w:color w:val="000000" w:themeColor="text1"/>
        </w:rPr>
        <w:t>tells us</w:t>
      </w:r>
      <w:r w:rsidR="0045753B" w:rsidRPr="006F5D71">
        <w:rPr>
          <w:color w:val="000000" w:themeColor="text1"/>
        </w:rPr>
        <w:t xml:space="preserve"> that the </w:t>
      </w:r>
      <w:r w:rsidR="00FA26A5" w:rsidRPr="006F5D71">
        <w:rPr>
          <w:color w:val="000000" w:themeColor="text1"/>
        </w:rPr>
        <w:t>EMNE</w:t>
      </w:r>
      <w:r w:rsidR="0045753B" w:rsidRPr="006F5D71">
        <w:rPr>
          <w:color w:val="000000" w:themeColor="text1"/>
        </w:rPr>
        <w:t xml:space="preserve"> </w:t>
      </w:r>
      <w:r w:rsidR="0045753B" w:rsidRPr="006F5D71">
        <w:rPr>
          <w:color w:val="000000" w:themeColor="text1"/>
        </w:rPr>
        <w:lastRenderedPageBreak/>
        <w:t xml:space="preserve">intends to build upon the </w:t>
      </w:r>
      <w:r w:rsidR="00FA26A5" w:rsidRPr="006F5D71">
        <w:rPr>
          <w:color w:val="000000" w:themeColor="text1"/>
        </w:rPr>
        <w:t>investment</w:t>
      </w:r>
      <w:r w:rsidR="0045753B" w:rsidRPr="006F5D71">
        <w:rPr>
          <w:color w:val="000000" w:themeColor="text1"/>
        </w:rPr>
        <w:t xml:space="preserve"> in the future.</w:t>
      </w:r>
      <w:r w:rsidR="00B65C14" w:rsidRPr="006F5D71">
        <w:rPr>
          <w:color w:val="000000" w:themeColor="text1"/>
        </w:rPr>
        <w:t xml:space="preserve"> </w:t>
      </w:r>
      <w:r w:rsidR="00FA26A5" w:rsidRPr="006F5D71">
        <w:rPr>
          <w:color w:val="000000" w:themeColor="text1"/>
        </w:rPr>
        <w:t>Divestment</w:t>
      </w:r>
      <w:r w:rsidR="008D7FF6" w:rsidRPr="006F5D71">
        <w:rPr>
          <w:color w:val="000000" w:themeColor="text1"/>
        </w:rPr>
        <w:t>,</w:t>
      </w:r>
      <w:r w:rsidR="00FA26A5" w:rsidRPr="006F5D71">
        <w:rPr>
          <w:color w:val="000000" w:themeColor="text1"/>
        </w:rPr>
        <w:t xml:space="preserve"> on the other hand</w:t>
      </w:r>
      <w:r w:rsidR="008D7FF6" w:rsidRPr="006F5D71">
        <w:rPr>
          <w:color w:val="000000" w:themeColor="text1"/>
        </w:rPr>
        <w:t>,</w:t>
      </w:r>
      <w:r w:rsidR="00FA26A5" w:rsidRPr="006F5D71">
        <w:rPr>
          <w:color w:val="000000" w:themeColor="text1"/>
        </w:rPr>
        <w:t xml:space="preserve"> </w:t>
      </w:r>
      <w:r w:rsidRPr="006F5D71">
        <w:rPr>
          <w:color w:val="000000" w:themeColor="text1"/>
        </w:rPr>
        <w:t xml:space="preserve">reflects an exit decision as </w:t>
      </w:r>
      <w:r w:rsidR="00FA26A5" w:rsidRPr="006F5D71">
        <w:rPr>
          <w:color w:val="000000" w:themeColor="text1"/>
        </w:rPr>
        <w:t xml:space="preserve">the EMNE has </w:t>
      </w:r>
      <w:r w:rsidR="008D7FF6" w:rsidRPr="006F5D71">
        <w:rPr>
          <w:color w:val="000000" w:themeColor="text1"/>
        </w:rPr>
        <w:t>decided</w:t>
      </w:r>
      <w:r w:rsidR="00FA26A5" w:rsidRPr="006F5D71">
        <w:rPr>
          <w:color w:val="000000" w:themeColor="text1"/>
        </w:rPr>
        <w:t xml:space="preserve"> </w:t>
      </w:r>
      <w:r w:rsidR="008D7FF6" w:rsidRPr="006F5D71">
        <w:rPr>
          <w:color w:val="000000" w:themeColor="text1"/>
        </w:rPr>
        <w:t xml:space="preserve">that </w:t>
      </w:r>
      <w:r w:rsidR="00FA26A5" w:rsidRPr="006F5D71">
        <w:rPr>
          <w:color w:val="000000" w:themeColor="text1"/>
        </w:rPr>
        <w:t>the investment is no longer viable</w:t>
      </w:r>
      <w:r w:rsidR="0045753B" w:rsidRPr="006F5D71">
        <w:rPr>
          <w:color w:val="000000" w:themeColor="text1"/>
          <w:szCs w:val="24"/>
        </w:rPr>
        <w:t xml:space="preserve">. </w:t>
      </w:r>
    </w:p>
    <w:p w14:paraId="0AC1F4E9" w14:textId="77777777" w:rsidR="00207875" w:rsidRPr="006F5D71" w:rsidRDefault="005471FE" w:rsidP="0053097E">
      <w:pPr>
        <w:pStyle w:val="NoSpacing"/>
        <w:spacing w:before="240" w:after="240"/>
        <w:jc w:val="both"/>
        <w:rPr>
          <w:i/>
          <w:iCs/>
          <w:color w:val="000000" w:themeColor="text1"/>
          <w:szCs w:val="24"/>
        </w:rPr>
      </w:pPr>
      <w:r w:rsidRPr="006F5D71">
        <w:rPr>
          <w:i/>
          <w:iCs/>
          <w:color w:val="000000" w:themeColor="text1"/>
          <w:szCs w:val="24"/>
        </w:rPr>
        <w:t xml:space="preserve">2.1. </w:t>
      </w:r>
      <w:r w:rsidR="00FC32C6" w:rsidRPr="006F5D71">
        <w:rPr>
          <w:i/>
          <w:iCs/>
          <w:color w:val="000000" w:themeColor="text1"/>
          <w:szCs w:val="24"/>
        </w:rPr>
        <w:t xml:space="preserve">Defining the rewards of investment: </w:t>
      </w:r>
      <w:r w:rsidR="00207875" w:rsidRPr="006F5D71">
        <w:rPr>
          <w:i/>
          <w:iCs/>
          <w:color w:val="000000" w:themeColor="text1"/>
          <w:szCs w:val="24"/>
        </w:rPr>
        <w:t>Firm</w:t>
      </w:r>
      <w:r w:rsidR="000E0A8E">
        <w:rPr>
          <w:i/>
          <w:iCs/>
          <w:color w:val="000000" w:themeColor="text1"/>
          <w:szCs w:val="24"/>
        </w:rPr>
        <w:t>-</w:t>
      </w:r>
      <w:r w:rsidR="00207875" w:rsidRPr="006F5D71">
        <w:rPr>
          <w:i/>
          <w:iCs/>
          <w:color w:val="000000" w:themeColor="text1"/>
          <w:szCs w:val="24"/>
        </w:rPr>
        <w:t>specific advantages of EMNCs</w:t>
      </w:r>
    </w:p>
    <w:p w14:paraId="4DDD475D" w14:textId="77777777" w:rsidR="009F7C8E" w:rsidRPr="006F5D71" w:rsidRDefault="007E48CA" w:rsidP="0053097E">
      <w:pPr>
        <w:pStyle w:val="NoSpacing"/>
        <w:spacing w:before="240" w:line="360" w:lineRule="auto"/>
        <w:jc w:val="both"/>
        <w:rPr>
          <w:color w:val="000000" w:themeColor="text1"/>
          <w:szCs w:val="24"/>
        </w:rPr>
      </w:pPr>
      <w:r w:rsidRPr="006F5D71">
        <w:rPr>
          <w:color w:val="000000" w:themeColor="text1"/>
          <w:szCs w:val="24"/>
        </w:rPr>
        <w:t xml:space="preserve">The </w:t>
      </w:r>
      <w:r w:rsidR="00FA26A5" w:rsidRPr="006F5D71">
        <w:rPr>
          <w:color w:val="000000" w:themeColor="text1"/>
          <w:szCs w:val="24"/>
        </w:rPr>
        <w:t>central</w:t>
      </w:r>
      <w:r w:rsidRPr="006F5D71">
        <w:rPr>
          <w:color w:val="000000" w:themeColor="text1"/>
          <w:szCs w:val="24"/>
        </w:rPr>
        <w:t xml:space="preserve"> tenet of IB literature is that</w:t>
      </w:r>
      <w:r w:rsidR="00937DAC" w:rsidRPr="006F5D71">
        <w:rPr>
          <w:color w:val="000000" w:themeColor="text1"/>
          <w:szCs w:val="24"/>
        </w:rPr>
        <w:t xml:space="preserve"> </w:t>
      </w:r>
      <w:r w:rsidRPr="006F5D71">
        <w:rPr>
          <w:color w:val="000000" w:themeColor="text1"/>
          <w:szCs w:val="24"/>
        </w:rPr>
        <w:t xml:space="preserve">to internationalize and survive in foreign markets </w:t>
      </w:r>
      <w:r w:rsidR="00937DAC" w:rsidRPr="006F5D71">
        <w:rPr>
          <w:color w:val="000000" w:themeColor="text1"/>
          <w:szCs w:val="24"/>
        </w:rPr>
        <w:t xml:space="preserve">MNCs </w:t>
      </w:r>
      <w:r w:rsidRPr="006F5D71">
        <w:rPr>
          <w:color w:val="000000" w:themeColor="text1"/>
          <w:szCs w:val="24"/>
        </w:rPr>
        <w:t>must possess significant</w:t>
      </w:r>
      <w:r w:rsidR="00937DAC" w:rsidRPr="006F5D71">
        <w:rPr>
          <w:color w:val="000000" w:themeColor="text1"/>
          <w:szCs w:val="24"/>
        </w:rPr>
        <w:t xml:space="preserve"> FSAs</w:t>
      </w:r>
      <w:r w:rsidRPr="006F5D71">
        <w:rPr>
          <w:color w:val="000000" w:themeColor="text1"/>
          <w:szCs w:val="24"/>
        </w:rPr>
        <w:t xml:space="preserve"> over their local competitors</w:t>
      </w:r>
      <w:r w:rsidR="00937DAC" w:rsidRPr="006F5D71">
        <w:rPr>
          <w:color w:val="000000" w:themeColor="text1"/>
          <w:szCs w:val="24"/>
        </w:rPr>
        <w:t xml:space="preserve"> </w:t>
      </w:r>
      <w:r w:rsidR="007C48F3" w:rsidRPr="006F5D71">
        <w:rPr>
          <w:color w:val="000000" w:themeColor="text1"/>
          <w:szCs w:val="24"/>
        </w:rPr>
        <w:t>which</w:t>
      </w:r>
      <w:r w:rsidRPr="006F5D71">
        <w:rPr>
          <w:color w:val="000000" w:themeColor="text1"/>
          <w:szCs w:val="24"/>
        </w:rPr>
        <w:t xml:space="preserve"> can enable them to offset the disadvantages </w:t>
      </w:r>
      <w:r w:rsidR="001A4C16" w:rsidRPr="006F5D71">
        <w:rPr>
          <w:color w:val="000000" w:themeColor="text1"/>
          <w:szCs w:val="24"/>
        </w:rPr>
        <w:t>they encounter when</w:t>
      </w:r>
      <w:r w:rsidRPr="006F5D71">
        <w:rPr>
          <w:color w:val="000000" w:themeColor="text1"/>
          <w:szCs w:val="24"/>
        </w:rPr>
        <w:t xml:space="preserve"> competing in foreign markets (</w:t>
      </w:r>
      <w:proofErr w:type="spellStart"/>
      <w:r w:rsidRPr="006F5D71">
        <w:rPr>
          <w:color w:val="000000" w:themeColor="text1"/>
          <w:szCs w:val="24"/>
        </w:rPr>
        <w:t>Adarkwah</w:t>
      </w:r>
      <w:proofErr w:type="spellEnd"/>
      <w:r w:rsidRPr="006F5D71">
        <w:rPr>
          <w:color w:val="000000" w:themeColor="text1"/>
          <w:szCs w:val="24"/>
        </w:rPr>
        <w:t xml:space="preserve"> and </w:t>
      </w:r>
      <w:proofErr w:type="spellStart"/>
      <w:r w:rsidRPr="006F5D71">
        <w:rPr>
          <w:color w:val="000000" w:themeColor="text1"/>
          <w:szCs w:val="24"/>
        </w:rPr>
        <w:t>M</w:t>
      </w:r>
      <w:r w:rsidR="0033018B" w:rsidRPr="006F5D71">
        <w:rPr>
          <w:color w:val="000000" w:themeColor="text1"/>
          <w:szCs w:val="24"/>
        </w:rPr>
        <w:t>alonaes</w:t>
      </w:r>
      <w:proofErr w:type="spellEnd"/>
      <w:r w:rsidR="0033018B" w:rsidRPr="006F5D71">
        <w:rPr>
          <w:color w:val="000000" w:themeColor="text1"/>
          <w:szCs w:val="24"/>
        </w:rPr>
        <w:t>, 2020</w:t>
      </w:r>
      <w:r w:rsidR="00A05536" w:rsidRPr="006F5D71">
        <w:rPr>
          <w:color w:val="000000" w:themeColor="text1"/>
          <w:szCs w:val="24"/>
        </w:rPr>
        <w:t xml:space="preserve">; </w:t>
      </w:r>
      <w:proofErr w:type="spellStart"/>
      <w:r w:rsidR="000E57A9" w:rsidRPr="006F5D71">
        <w:rPr>
          <w:color w:val="000000" w:themeColor="text1"/>
          <w:szCs w:val="24"/>
        </w:rPr>
        <w:t>Bhaumik</w:t>
      </w:r>
      <w:proofErr w:type="spellEnd"/>
      <w:r w:rsidR="000E57A9" w:rsidRPr="006F5D71">
        <w:rPr>
          <w:color w:val="000000" w:themeColor="text1"/>
          <w:szCs w:val="24"/>
        </w:rPr>
        <w:t>, Driffield, &amp; Zhou, 2016;</w:t>
      </w:r>
      <w:r w:rsidR="008B0E26" w:rsidRPr="006F5D71">
        <w:rPr>
          <w:color w:val="000000" w:themeColor="text1"/>
          <w:szCs w:val="24"/>
        </w:rPr>
        <w:t xml:space="preserve"> </w:t>
      </w:r>
      <w:r w:rsidR="00F37ED0" w:rsidRPr="006F5D71">
        <w:rPr>
          <w:color w:val="000000" w:themeColor="text1"/>
          <w:szCs w:val="24"/>
        </w:rPr>
        <w:t>Barnard, 2021</w:t>
      </w:r>
      <w:r w:rsidRPr="006F5D71">
        <w:rPr>
          <w:color w:val="000000" w:themeColor="text1"/>
          <w:szCs w:val="24"/>
        </w:rPr>
        <w:t xml:space="preserve">). </w:t>
      </w:r>
      <w:r w:rsidR="00FA26A5" w:rsidRPr="006F5D71">
        <w:rPr>
          <w:color w:val="000000" w:themeColor="text1"/>
          <w:szCs w:val="24"/>
        </w:rPr>
        <w:t xml:space="preserve">Due to the unconventional nature of EMNE </w:t>
      </w:r>
      <w:r w:rsidR="00F13410" w:rsidRPr="006F5D71">
        <w:rPr>
          <w:color w:val="000000" w:themeColor="text1"/>
          <w:szCs w:val="24"/>
        </w:rPr>
        <w:t>internationalization,</w:t>
      </w:r>
      <w:r w:rsidR="00FA26A5" w:rsidRPr="006F5D71">
        <w:rPr>
          <w:color w:val="000000" w:themeColor="text1"/>
          <w:szCs w:val="24"/>
        </w:rPr>
        <w:t xml:space="preserve"> where firms had few strong FSA</w:t>
      </w:r>
      <w:r w:rsidR="000E0A8E">
        <w:rPr>
          <w:color w:val="000000" w:themeColor="text1"/>
          <w:szCs w:val="24"/>
        </w:rPr>
        <w:t>s</w:t>
      </w:r>
      <w:r w:rsidR="00FA26A5" w:rsidRPr="006F5D71">
        <w:rPr>
          <w:color w:val="000000" w:themeColor="text1"/>
          <w:szCs w:val="24"/>
        </w:rPr>
        <w:t xml:space="preserve"> to start with, a rich literature has emerged that explores the nature of FSA</w:t>
      </w:r>
      <w:r w:rsidR="000E0A8E">
        <w:rPr>
          <w:color w:val="000000" w:themeColor="text1"/>
          <w:szCs w:val="24"/>
        </w:rPr>
        <w:t>s</w:t>
      </w:r>
      <w:r w:rsidR="00FA26A5" w:rsidRPr="006F5D71">
        <w:rPr>
          <w:color w:val="000000" w:themeColor="text1"/>
          <w:szCs w:val="24"/>
        </w:rPr>
        <w:t xml:space="preserve"> in EMNE and this literature has three main strands.</w:t>
      </w:r>
    </w:p>
    <w:p w14:paraId="3D07A7E2" w14:textId="77777777" w:rsidR="00B0173A" w:rsidRPr="006F5D71" w:rsidRDefault="004F0CC1" w:rsidP="000842D1">
      <w:pPr>
        <w:pStyle w:val="NoSpacing"/>
        <w:spacing w:line="360" w:lineRule="auto"/>
        <w:ind w:firstLine="720"/>
        <w:jc w:val="both"/>
        <w:rPr>
          <w:color w:val="000000" w:themeColor="text1"/>
          <w:szCs w:val="24"/>
        </w:rPr>
      </w:pPr>
      <w:r w:rsidRPr="006F5D71">
        <w:rPr>
          <w:color w:val="000000" w:themeColor="text1"/>
          <w:szCs w:val="24"/>
        </w:rPr>
        <w:t xml:space="preserve">The first </w:t>
      </w:r>
      <w:r w:rsidR="00FA26A5" w:rsidRPr="006F5D71">
        <w:rPr>
          <w:color w:val="000000" w:themeColor="text1"/>
          <w:szCs w:val="24"/>
        </w:rPr>
        <w:t>strand</w:t>
      </w:r>
      <w:r w:rsidR="00C65790" w:rsidRPr="006F5D71">
        <w:rPr>
          <w:color w:val="000000" w:themeColor="text1"/>
          <w:szCs w:val="24"/>
        </w:rPr>
        <w:t xml:space="preserve"> is</w:t>
      </w:r>
      <w:r w:rsidRPr="006F5D71">
        <w:rPr>
          <w:color w:val="000000" w:themeColor="text1"/>
          <w:szCs w:val="24"/>
        </w:rPr>
        <w:t xml:space="preserve"> that EMNCs develop new </w:t>
      </w:r>
      <w:r w:rsidR="009F7C8E" w:rsidRPr="006F5D71">
        <w:rPr>
          <w:color w:val="000000" w:themeColor="text1"/>
          <w:szCs w:val="24"/>
        </w:rPr>
        <w:t xml:space="preserve">and strong </w:t>
      </w:r>
      <w:r w:rsidRPr="006F5D71">
        <w:rPr>
          <w:color w:val="000000" w:themeColor="text1"/>
          <w:szCs w:val="24"/>
        </w:rPr>
        <w:t>FSAs by acquiring strategic assets in developed markets (e.g., Luo and Tung, 2007</w:t>
      </w:r>
      <w:r w:rsidR="000C737B" w:rsidRPr="006F5D71">
        <w:rPr>
          <w:color w:val="000000" w:themeColor="text1"/>
          <w:szCs w:val="24"/>
        </w:rPr>
        <w:t xml:space="preserve">; </w:t>
      </w:r>
      <w:r w:rsidR="001D1966" w:rsidRPr="006F5D71">
        <w:rPr>
          <w:color w:val="000000" w:themeColor="text1"/>
          <w:szCs w:val="24"/>
        </w:rPr>
        <w:t xml:space="preserve">Gubbi, </w:t>
      </w:r>
      <w:proofErr w:type="spellStart"/>
      <w:r w:rsidR="001D1966" w:rsidRPr="006F5D71">
        <w:rPr>
          <w:color w:val="000000" w:themeColor="text1"/>
          <w:szCs w:val="24"/>
        </w:rPr>
        <w:t>Aulakh</w:t>
      </w:r>
      <w:proofErr w:type="spellEnd"/>
      <w:r w:rsidR="001D1966" w:rsidRPr="006F5D71">
        <w:rPr>
          <w:color w:val="000000" w:themeColor="text1"/>
          <w:szCs w:val="24"/>
        </w:rPr>
        <w:t>, Ray, Sarkar, &amp; Chittoor</w:t>
      </w:r>
      <w:r w:rsidR="000C737B" w:rsidRPr="006F5D71">
        <w:rPr>
          <w:color w:val="000000" w:themeColor="text1"/>
          <w:szCs w:val="24"/>
        </w:rPr>
        <w:t>, 2010</w:t>
      </w:r>
      <w:r w:rsidRPr="006F5D71">
        <w:rPr>
          <w:color w:val="000000" w:themeColor="text1"/>
          <w:szCs w:val="24"/>
        </w:rPr>
        <w:t>). The pioneering work of Mathew (2006)</w:t>
      </w:r>
      <w:r w:rsidR="000E0A8E">
        <w:rPr>
          <w:color w:val="000000" w:themeColor="text1"/>
          <w:szCs w:val="24"/>
        </w:rPr>
        <w:t>,</w:t>
      </w:r>
      <w:r w:rsidR="009F26B1" w:rsidRPr="006F5D71">
        <w:rPr>
          <w:color w:val="000000" w:themeColor="text1"/>
          <w:szCs w:val="24"/>
        </w:rPr>
        <w:t xml:space="preserve"> that proposes the “linkage-leverage-learning” framework</w:t>
      </w:r>
      <w:r w:rsidR="000E0A8E">
        <w:rPr>
          <w:color w:val="000000" w:themeColor="text1"/>
          <w:szCs w:val="24"/>
        </w:rPr>
        <w:t>,</w:t>
      </w:r>
      <w:r w:rsidRPr="006F5D71">
        <w:rPr>
          <w:color w:val="000000" w:themeColor="text1"/>
          <w:szCs w:val="24"/>
        </w:rPr>
        <w:t xml:space="preserve"> serves as a basis of this view which suggested that EMNCs tend to overcome their </w:t>
      </w:r>
      <w:r w:rsidR="006351CA" w:rsidRPr="006F5D71">
        <w:rPr>
          <w:color w:val="000000" w:themeColor="text1"/>
          <w:szCs w:val="24"/>
        </w:rPr>
        <w:t xml:space="preserve">institutional </w:t>
      </w:r>
      <w:r w:rsidRPr="006F5D71">
        <w:rPr>
          <w:color w:val="000000" w:themeColor="text1"/>
          <w:szCs w:val="24"/>
        </w:rPr>
        <w:t>disadvantages at home</w:t>
      </w:r>
      <w:r w:rsidR="006351CA" w:rsidRPr="006F5D71">
        <w:rPr>
          <w:color w:val="000000" w:themeColor="text1"/>
          <w:szCs w:val="24"/>
        </w:rPr>
        <w:t xml:space="preserve"> and develop internal capabilities</w:t>
      </w:r>
      <w:r w:rsidRPr="006F5D71">
        <w:rPr>
          <w:color w:val="000000" w:themeColor="text1"/>
          <w:szCs w:val="24"/>
        </w:rPr>
        <w:t xml:space="preserve"> </w:t>
      </w:r>
      <w:r w:rsidR="006351CA" w:rsidRPr="006F5D71">
        <w:rPr>
          <w:color w:val="000000" w:themeColor="text1"/>
          <w:szCs w:val="24"/>
        </w:rPr>
        <w:t xml:space="preserve">by acquiring resources and capabilities abroad through accelerated international expansion. </w:t>
      </w:r>
      <w:r w:rsidR="000C7EBA" w:rsidRPr="006F5D71">
        <w:rPr>
          <w:color w:val="000000" w:themeColor="text1"/>
          <w:szCs w:val="24"/>
        </w:rPr>
        <w:t xml:space="preserve">This view </w:t>
      </w:r>
      <w:r w:rsidR="00EC497F" w:rsidRPr="006F5D71">
        <w:rPr>
          <w:color w:val="000000" w:themeColor="text1"/>
          <w:szCs w:val="24"/>
        </w:rPr>
        <w:t>is similar</w:t>
      </w:r>
      <w:r w:rsidR="001A4C16" w:rsidRPr="006F5D71">
        <w:rPr>
          <w:color w:val="000000" w:themeColor="text1"/>
          <w:szCs w:val="24"/>
        </w:rPr>
        <w:t xml:space="preserve"> to</w:t>
      </w:r>
      <w:r w:rsidR="000C7EBA" w:rsidRPr="006F5D71">
        <w:rPr>
          <w:color w:val="000000" w:themeColor="text1"/>
          <w:szCs w:val="24"/>
        </w:rPr>
        <w:t xml:space="preserve"> the “spring-board” per</w:t>
      </w:r>
      <w:r w:rsidR="00EC497F" w:rsidRPr="006F5D71">
        <w:rPr>
          <w:color w:val="000000" w:themeColor="text1"/>
          <w:szCs w:val="24"/>
        </w:rPr>
        <w:t>spective (Luo and Tung, 2007), which argue</w:t>
      </w:r>
      <w:r w:rsidR="009F26B1" w:rsidRPr="006F5D71">
        <w:rPr>
          <w:color w:val="000000" w:themeColor="text1"/>
          <w:szCs w:val="24"/>
        </w:rPr>
        <w:t>s</w:t>
      </w:r>
      <w:r w:rsidR="006351CA" w:rsidRPr="006F5D71">
        <w:rPr>
          <w:color w:val="000000" w:themeColor="text1"/>
          <w:szCs w:val="24"/>
        </w:rPr>
        <w:t xml:space="preserve"> that EMNCs use internationalization as a springboard which help</w:t>
      </w:r>
      <w:r w:rsidR="009C0DCC" w:rsidRPr="006F5D71">
        <w:rPr>
          <w:color w:val="000000" w:themeColor="text1"/>
          <w:szCs w:val="24"/>
        </w:rPr>
        <w:t>s</w:t>
      </w:r>
      <w:r w:rsidR="006351CA" w:rsidRPr="006F5D71">
        <w:rPr>
          <w:color w:val="000000" w:themeColor="text1"/>
          <w:szCs w:val="24"/>
        </w:rPr>
        <w:t xml:space="preserve"> them to </w:t>
      </w:r>
      <w:r w:rsidR="00B0173A" w:rsidRPr="006F5D71">
        <w:rPr>
          <w:color w:val="000000" w:themeColor="text1"/>
          <w:szCs w:val="24"/>
        </w:rPr>
        <w:t xml:space="preserve">build FSAs </w:t>
      </w:r>
      <w:r w:rsidR="006351CA" w:rsidRPr="006F5D71">
        <w:rPr>
          <w:color w:val="000000" w:themeColor="text1"/>
          <w:szCs w:val="24"/>
        </w:rPr>
        <w:t xml:space="preserve">by aggressively acquiring </w:t>
      </w:r>
      <w:r w:rsidR="00B0173A" w:rsidRPr="006F5D71">
        <w:rPr>
          <w:color w:val="000000" w:themeColor="text1"/>
          <w:szCs w:val="24"/>
        </w:rPr>
        <w:t>intangible resources</w:t>
      </w:r>
      <w:r w:rsidR="000C737B" w:rsidRPr="006F5D71">
        <w:rPr>
          <w:color w:val="000000" w:themeColor="text1"/>
          <w:szCs w:val="24"/>
        </w:rPr>
        <w:t xml:space="preserve"> in developed countries and</w:t>
      </w:r>
      <w:r w:rsidR="006351CA" w:rsidRPr="006F5D71">
        <w:rPr>
          <w:color w:val="000000" w:themeColor="text1"/>
          <w:szCs w:val="24"/>
        </w:rPr>
        <w:t xml:space="preserve"> </w:t>
      </w:r>
      <w:r w:rsidR="000C737B" w:rsidRPr="006F5D71">
        <w:rPr>
          <w:color w:val="000000" w:themeColor="text1"/>
          <w:szCs w:val="24"/>
        </w:rPr>
        <w:t xml:space="preserve">making international alliances. </w:t>
      </w:r>
      <w:r w:rsidR="00EC497F" w:rsidRPr="006F5D71">
        <w:rPr>
          <w:color w:val="000000" w:themeColor="text1"/>
          <w:szCs w:val="24"/>
        </w:rPr>
        <w:t>In contrast,</w:t>
      </w:r>
      <w:r w:rsidR="000842D1" w:rsidRPr="006F5D71">
        <w:rPr>
          <w:color w:val="000000" w:themeColor="text1"/>
          <w:szCs w:val="24"/>
        </w:rPr>
        <w:t xml:space="preserve"> </w:t>
      </w:r>
      <w:r w:rsidR="00E85B1B" w:rsidRPr="006F5D71">
        <w:rPr>
          <w:color w:val="000000" w:themeColor="text1"/>
          <w:szCs w:val="24"/>
        </w:rPr>
        <w:t xml:space="preserve">the </w:t>
      </w:r>
      <w:r w:rsidR="000842D1" w:rsidRPr="006F5D71">
        <w:rPr>
          <w:color w:val="000000" w:themeColor="text1"/>
          <w:szCs w:val="24"/>
        </w:rPr>
        <w:t>incremental view, proposed by</w:t>
      </w:r>
      <w:r w:rsidR="000842D1" w:rsidRPr="006F5D71">
        <w:rPr>
          <w:color w:val="000000" w:themeColor="text1"/>
        </w:rPr>
        <w:t xml:space="preserve"> </w:t>
      </w:r>
      <w:proofErr w:type="spellStart"/>
      <w:r w:rsidR="00EC497F" w:rsidRPr="006F5D71">
        <w:rPr>
          <w:color w:val="000000" w:themeColor="text1"/>
          <w:szCs w:val="24"/>
        </w:rPr>
        <w:t>Johanson</w:t>
      </w:r>
      <w:proofErr w:type="spellEnd"/>
      <w:r w:rsidR="00EC497F" w:rsidRPr="006F5D71">
        <w:rPr>
          <w:color w:val="000000" w:themeColor="text1"/>
          <w:szCs w:val="24"/>
        </w:rPr>
        <w:t xml:space="preserve"> &amp; Vahlne (1977), would</w:t>
      </w:r>
      <w:r w:rsidR="00373E5C" w:rsidRPr="006F5D71">
        <w:rPr>
          <w:color w:val="000000" w:themeColor="text1"/>
          <w:szCs w:val="24"/>
        </w:rPr>
        <w:t xml:space="preserve"> </w:t>
      </w:r>
      <w:r w:rsidR="00EC497F" w:rsidRPr="006F5D71">
        <w:rPr>
          <w:color w:val="000000" w:themeColor="text1"/>
          <w:szCs w:val="24"/>
        </w:rPr>
        <w:t>predict</w:t>
      </w:r>
      <w:r w:rsidR="000842D1" w:rsidRPr="006F5D71">
        <w:rPr>
          <w:color w:val="000000" w:themeColor="text1"/>
          <w:szCs w:val="24"/>
        </w:rPr>
        <w:t xml:space="preserve"> that EMNCs gradually increase their investment in </w:t>
      </w:r>
      <w:r w:rsidR="00E85B1B" w:rsidRPr="006F5D71">
        <w:rPr>
          <w:color w:val="000000" w:themeColor="text1"/>
          <w:szCs w:val="24"/>
        </w:rPr>
        <w:t xml:space="preserve">the </w:t>
      </w:r>
      <w:r w:rsidR="000842D1" w:rsidRPr="006F5D71">
        <w:rPr>
          <w:color w:val="000000" w:themeColor="text1"/>
          <w:szCs w:val="24"/>
        </w:rPr>
        <w:t xml:space="preserve">foreign market as they strengthen their FSAs </w:t>
      </w:r>
      <w:r w:rsidR="00EC497F" w:rsidRPr="006F5D71">
        <w:rPr>
          <w:color w:val="000000" w:themeColor="text1"/>
          <w:szCs w:val="24"/>
        </w:rPr>
        <w:t>and acquire</w:t>
      </w:r>
      <w:r w:rsidR="000842D1" w:rsidRPr="006F5D71">
        <w:rPr>
          <w:color w:val="000000" w:themeColor="text1"/>
          <w:szCs w:val="24"/>
        </w:rPr>
        <w:t xml:space="preserve"> experience in the process of internationalization (Meyer &amp; </w:t>
      </w:r>
      <w:proofErr w:type="spellStart"/>
      <w:r w:rsidR="000842D1" w:rsidRPr="006F5D71">
        <w:rPr>
          <w:color w:val="000000" w:themeColor="text1"/>
          <w:szCs w:val="24"/>
        </w:rPr>
        <w:t>Thaijongark</w:t>
      </w:r>
      <w:proofErr w:type="spellEnd"/>
      <w:r w:rsidR="000842D1" w:rsidRPr="006F5D71">
        <w:rPr>
          <w:color w:val="000000" w:themeColor="text1"/>
          <w:szCs w:val="24"/>
        </w:rPr>
        <w:t>, 2013). Initially entering in countries with similar institutional environment</w:t>
      </w:r>
      <w:r w:rsidR="00E85B1B" w:rsidRPr="006F5D71">
        <w:rPr>
          <w:color w:val="000000" w:themeColor="text1"/>
          <w:szCs w:val="24"/>
        </w:rPr>
        <w:t>s</w:t>
      </w:r>
      <w:r w:rsidR="000842D1" w:rsidRPr="006F5D71">
        <w:rPr>
          <w:color w:val="000000" w:themeColor="text1"/>
          <w:szCs w:val="24"/>
        </w:rPr>
        <w:t xml:space="preserve"> and us</w:t>
      </w:r>
      <w:r w:rsidR="00373E5C" w:rsidRPr="006F5D71">
        <w:rPr>
          <w:color w:val="000000" w:themeColor="text1"/>
          <w:szCs w:val="24"/>
        </w:rPr>
        <w:t>age of</w:t>
      </w:r>
      <w:r w:rsidR="000842D1" w:rsidRPr="006F5D71">
        <w:rPr>
          <w:color w:val="000000" w:themeColor="text1"/>
          <w:szCs w:val="24"/>
        </w:rPr>
        <w:t xml:space="preserve"> </w:t>
      </w:r>
      <w:r w:rsidR="00E85B1B" w:rsidRPr="006F5D71">
        <w:rPr>
          <w:color w:val="000000" w:themeColor="text1"/>
          <w:szCs w:val="24"/>
        </w:rPr>
        <w:t xml:space="preserve">the </w:t>
      </w:r>
      <w:r w:rsidR="000842D1" w:rsidRPr="006F5D71">
        <w:rPr>
          <w:color w:val="000000" w:themeColor="text1"/>
          <w:szCs w:val="24"/>
        </w:rPr>
        <w:t xml:space="preserve">low (or moderate) level of </w:t>
      </w:r>
      <w:r w:rsidR="00373E5C" w:rsidRPr="006F5D71">
        <w:rPr>
          <w:color w:val="000000" w:themeColor="text1"/>
          <w:szCs w:val="24"/>
        </w:rPr>
        <w:t>investment make this approach distinct from the springboard perspective which advocates targeting advance</w:t>
      </w:r>
      <w:r w:rsidR="00E85B1B" w:rsidRPr="006F5D71">
        <w:rPr>
          <w:color w:val="000000" w:themeColor="text1"/>
          <w:szCs w:val="24"/>
        </w:rPr>
        <w:t>d</w:t>
      </w:r>
      <w:r w:rsidR="00373E5C" w:rsidRPr="006F5D71">
        <w:rPr>
          <w:color w:val="000000" w:themeColor="text1"/>
          <w:szCs w:val="24"/>
        </w:rPr>
        <w:t xml:space="preserve"> countries and higher resource commitment (</w:t>
      </w:r>
      <w:proofErr w:type="spellStart"/>
      <w:r w:rsidR="000842D1" w:rsidRPr="006F5D71">
        <w:rPr>
          <w:color w:val="000000" w:themeColor="text1"/>
          <w:szCs w:val="24"/>
        </w:rPr>
        <w:t>Samant</w:t>
      </w:r>
      <w:proofErr w:type="spellEnd"/>
      <w:r w:rsidR="000842D1" w:rsidRPr="006F5D71">
        <w:rPr>
          <w:color w:val="000000" w:themeColor="text1"/>
          <w:szCs w:val="24"/>
        </w:rPr>
        <w:t xml:space="preserve"> et al.</w:t>
      </w:r>
      <w:r w:rsidR="00373E5C" w:rsidRPr="006F5D71">
        <w:rPr>
          <w:color w:val="000000" w:themeColor="text1"/>
          <w:szCs w:val="24"/>
        </w:rPr>
        <w:t xml:space="preserve"> </w:t>
      </w:r>
      <w:r w:rsidR="000842D1" w:rsidRPr="006F5D71">
        <w:rPr>
          <w:color w:val="000000" w:themeColor="text1"/>
          <w:szCs w:val="24"/>
        </w:rPr>
        <w:t>2021)</w:t>
      </w:r>
      <w:r w:rsidR="00373E5C" w:rsidRPr="006F5D71">
        <w:rPr>
          <w:color w:val="000000" w:themeColor="text1"/>
          <w:szCs w:val="24"/>
        </w:rPr>
        <w:t xml:space="preserve">. </w:t>
      </w:r>
      <w:r w:rsidR="009F3C16" w:rsidRPr="006F5D71">
        <w:rPr>
          <w:color w:val="000000" w:themeColor="text1"/>
          <w:szCs w:val="24"/>
        </w:rPr>
        <w:t xml:space="preserve">Munjal et al. (2022) examine the evaluation of Indian MNCs’ competitive advantage in </w:t>
      </w:r>
      <w:r w:rsidR="000E0A8E">
        <w:rPr>
          <w:color w:val="000000" w:themeColor="text1"/>
          <w:szCs w:val="24"/>
        </w:rPr>
        <w:t>the previous</w:t>
      </w:r>
      <w:r w:rsidR="000E0A8E" w:rsidRPr="006F5D71">
        <w:rPr>
          <w:color w:val="000000" w:themeColor="text1"/>
          <w:szCs w:val="24"/>
        </w:rPr>
        <w:t xml:space="preserve"> </w:t>
      </w:r>
      <w:r w:rsidR="009F3C16" w:rsidRPr="006F5D71">
        <w:rPr>
          <w:color w:val="000000" w:themeColor="text1"/>
          <w:szCs w:val="24"/>
        </w:rPr>
        <w:t xml:space="preserve">20 years and argue that </w:t>
      </w:r>
      <w:r w:rsidR="0084320C">
        <w:rPr>
          <w:color w:val="000000" w:themeColor="text1"/>
          <w:szCs w:val="24"/>
        </w:rPr>
        <w:t xml:space="preserve">a </w:t>
      </w:r>
      <w:r w:rsidR="009F3C16" w:rsidRPr="006F5D71">
        <w:rPr>
          <w:color w:val="000000" w:themeColor="text1"/>
          <w:szCs w:val="24"/>
        </w:rPr>
        <w:t>cross-border acquisitions-led asset augmentation strategy led Indian multinationals to face trade</w:t>
      </w:r>
      <w:r w:rsidR="0084320C">
        <w:rPr>
          <w:color w:val="000000" w:themeColor="text1"/>
          <w:szCs w:val="24"/>
        </w:rPr>
        <w:t>-</w:t>
      </w:r>
      <w:r w:rsidR="009F3C16" w:rsidRPr="006F5D71">
        <w:rPr>
          <w:color w:val="000000" w:themeColor="text1"/>
          <w:szCs w:val="24"/>
        </w:rPr>
        <w:t>off in building their technological and marketing capabilities. Specifically, these firms had to lose their production</w:t>
      </w:r>
      <w:r w:rsidR="0084320C">
        <w:rPr>
          <w:color w:val="000000" w:themeColor="text1"/>
          <w:szCs w:val="24"/>
        </w:rPr>
        <w:t>-</w:t>
      </w:r>
      <w:r w:rsidR="009F3C16" w:rsidRPr="006F5D71">
        <w:rPr>
          <w:color w:val="000000" w:themeColor="text1"/>
          <w:szCs w:val="24"/>
        </w:rPr>
        <w:t xml:space="preserve">related competitive advantages in pursuit of marketing and technological capabilities following </w:t>
      </w:r>
      <w:r w:rsidR="0084320C">
        <w:rPr>
          <w:color w:val="000000" w:themeColor="text1"/>
          <w:szCs w:val="24"/>
        </w:rPr>
        <w:t xml:space="preserve">an </w:t>
      </w:r>
      <w:r w:rsidR="009F3C16" w:rsidRPr="006F5D71">
        <w:rPr>
          <w:color w:val="000000" w:themeColor="text1"/>
          <w:szCs w:val="24"/>
        </w:rPr>
        <w:t xml:space="preserve">asset augmentation strategy. </w:t>
      </w:r>
      <w:r w:rsidR="005E473F" w:rsidRPr="006F5D71">
        <w:rPr>
          <w:color w:val="000000" w:themeColor="text1"/>
          <w:szCs w:val="24"/>
        </w:rPr>
        <w:t xml:space="preserve">In a bibliometric analysis of India-focused international business literature, Mukherjee et al. (2022) find cross-border acquisition </w:t>
      </w:r>
      <w:r w:rsidR="005E473F" w:rsidRPr="006F5D71">
        <w:rPr>
          <w:color w:val="000000" w:themeColor="text1"/>
          <w:szCs w:val="24"/>
        </w:rPr>
        <w:lastRenderedPageBreak/>
        <w:t>as an important strategic lever to access intangible resources and build competitive advantage over these resources.</w:t>
      </w:r>
      <w:r w:rsidR="00F72D31">
        <w:rPr>
          <w:color w:val="000000" w:themeColor="text1"/>
          <w:szCs w:val="24"/>
        </w:rPr>
        <w:t xml:space="preserve"> </w:t>
      </w:r>
    </w:p>
    <w:p w14:paraId="69C04E8F" w14:textId="77777777" w:rsidR="009F7C8E" w:rsidRPr="006F5D71" w:rsidRDefault="00C65790" w:rsidP="00B0173A">
      <w:pPr>
        <w:pStyle w:val="NoSpacing"/>
        <w:spacing w:line="360" w:lineRule="auto"/>
        <w:ind w:firstLine="720"/>
        <w:jc w:val="both"/>
        <w:rPr>
          <w:color w:val="000000" w:themeColor="text1"/>
          <w:szCs w:val="24"/>
        </w:rPr>
      </w:pPr>
      <w:r w:rsidRPr="006F5D71">
        <w:rPr>
          <w:color w:val="000000" w:themeColor="text1"/>
          <w:szCs w:val="24"/>
        </w:rPr>
        <w:t xml:space="preserve">A second </w:t>
      </w:r>
      <w:r w:rsidR="000C737B" w:rsidRPr="006F5D71">
        <w:rPr>
          <w:color w:val="000000" w:themeColor="text1"/>
          <w:szCs w:val="24"/>
        </w:rPr>
        <w:t xml:space="preserve">key argument is that EMNCs possess few </w:t>
      </w:r>
      <w:r w:rsidR="00041491" w:rsidRPr="006F5D71">
        <w:rPr>
          <w:color w:val="000000" w:themeColor="text1"/>
          <w:szCs w:val="24"/>
        </w:rPr>
        <w:t>FSAs but</w:t>
      </w:r>
      <w:r w:rsidR="000C737B" w:rsidRPr="006F5D71">
        <w:rPr>
          <w:color w:val="000000" w:themeColor="text1"/>
          <w:szCs w:val="24"/>
        </w:rPr>
        <w:t xml:space="preserve"> have a wide range of CSAs that they</w:t>
      </w:r>
      <w:r w:rsidR="009C0DCC" w:rsidRPr="006F5D71">
        <w:rPr>
          <w:color w:val="000000" w:themeColor="text1"/>
          <w:szCs w:val="24"/>
        </w:rPr>
        <w:t xml:space="preserve"> can</w:t>
      </w:r>
      <w:r w:rsidR="000C737B" w:rsidRPr="006F5D71">
        <w:rPr>
          <w:color w:val="000000" w:themeColor="text1"/>
          <w:szCs w:val="24"/>
        </w:rPr>
        <w:t xml:space="preserve"> internalize and exploit in foreign markets</w:t>
      </w:r>
      <w:r w:rsidR="00915C66" w:rsidRPr="006F5D71">
        <w:rPr>
          <w:color w:val="000000" w:themeColor="text1"/>
          <w:szCs w:val="24"/>
        </w:rPr>
        <w:t xml:space="preserve"> (</w:t>
      </w:r>
      <w:r w:rsidR="009D4CE9" w:rsidRPr="006F5D71">
        <w:rPr>
          <w:color w:val="000000" w:themeColor="text1"/>
          <w:szCs w:val="24"/>
        </w:rPr>
        <w:t>Dunning, 2006</w:t>
      </w:r>
      <w:r w:rsidR="00915C66" w:rsidRPr="006F5D71">
        <w:rPr>
          <w:color w:val="000000" w:themeColor="text1"/>
          <w:szCs w:val="24"/>
        </w:rPr>
        <w:t xml:space="preserve">; </w:t>
      </w:r>
      <w:r w:rsidR="00F37ED0" w:rsidRPr="006F5D71">
        <w:rPr>
          <w:color w:val="000000" w:themeColor="text1"/>
          <w:szCs w:val="24"/>
        </w:rPr>
        <w:t xml:space="preserve">Suter, Munjal, </w:t>
      </w:r>
      <w:proofErr w:type="spellStart"/>
      <w:r w:rsidR="00F37ED0" w:rsidRPr="006F5D71">
        <w:rPr>
          <w:color w:val="000000" w:themeColor="text1"/>
          <w:szCs w:val="24"/>
        </w:rPr>
        <w:t>Borini</w:t>
      </w:r>
      <w:proofErr w:type="spellEnd"/>
      <w:r w:rsidR="00F37ED0" w:rsidRPr="006F5D71">
        <w:rPr>
          <w:color w:val="000000" w:themeColor="text1"/>
          <w:szCs w:val="24"/>
        </w:rPr>
        <w:t xml:space="preserve">, &amp; </w:t>
      </w:r>
      <w:proofErr w:type="spellStart"/>
      <w:r w:rsidR="00F37ED0" w:rsidRPr="006F5D71">
        <w:rPr>
          <w:color w:val="000000" w:themeColor="text1"/>
          <w:szCs w:val="24"/>
        </w:rPr>
        <w:t>Floriani</w:t>
      </w:r>
      <w:proofErr w:type="spellEnd"/>
      <w:r w:rsidR="00F37ED0" w:rsidRPr="006F5D71">
        <w:rPr>
          <w:color w:val="000000" w:themeColor="text1"/>
          <w:szCs w:val="24"/>
        </w:rPr>
        <w:t>, 2021</w:t>
      </w:r>
      <w:r w:rsidR="00915C66" w:rsidRPr="006F5D71">
        <w:rPr>
          <w:color w:val="000000" w:themeColor="text1"/>
          <w:szCs w:val="24"/>
        </w:rPr>
        <w:t xml:space="preserve">; </w:t>
      </w:r>
      <w:r w:rsidR="00F37ED0" w:rsidRPr="006F5D71">
        <w:rPr>
          <w:color w:val="000000" w:themeColor="text1"/>
          <w:szCs w:val="24"/>
        </w:rPr>
        <w:t>Barnard, 2021</w:t>
      </w:r>
      <w:r w:rsidR="00915C66" w:rsidRPr="006F5D71">
        <w:rPr>
          <w:color w:val="000000" w:themeColor="text1"/>
          <w:szCs w:val="24"/>
        </w:rPr>
        <w:t xml:space="preserve">; </w:t>
      </w:r>
      <w:proofErr w:type="spellStart"/>
      <w:r w:rsidR="000E57A9" w:rsidRPr="006F5D71">
        <w:rPr>
          <w:color w:val="000000" w:themeColor="text1"/>
          <w:szCs w:val="24"/>
        </w:rPr>
        <w:t>Bhaumik</w:t>
      </w:r>
      <w:proofErr w:type="spellEnd"/>
      <w:r w:rsidR="000E57A9" w:rsidRPr="006F5D71">
        <w:rPr>
          <w:color w:val="000000" w:themeColor="text1"/>
          <w:szCs w:val="24"/>
        </w:rPr>
        <w:t xml:space="preserve"> et al.</w:t>
      </w:r>
      <w:r w:rsidR="00915C66" w:rsidRPr="006F5D71">
        <w:rPr>
          <w:color w:val="000000" w:themeColor="text1"/>
          <w:szCs w:val="24"/>
        </w:rPr>
        <w:t>, 2016</w:t>
      </w:r>
      <w:r w:rsidR="00AB7DB6" w:rsidRPr="006F5D71">
        <w:rPr>
          <w:color w:val="000000" w:themeColor="text1"/>
          <w:szCs w:val="24"/>
        </w:rPr>
        <w:t xml:space="preserve">; Saeed and </w:t>
      </w:r>
      <w:proofErr w:type="spellStart"/>
      <w:r w:rsidR="00AB7DB6" w:rsidRPr="006F5D71">
        <w:rPr>
          <w:color w:val="000000" w:themeColor="text1"/>
          <w:szCs w:val="24"/>
        </w:rPr>
        <w:t>Athreye</w:t>
      </w:r>
      <w:proofErr w:type="spellEnd"/>
      <w:r w:rsidR="00AB7DB6" w:rsidRPr="006F5D71">
        <w:rPr>
          <w:color w:val="000000" w:themeColor="text1"/>
          <w:szCs w:val="24"/>
        </w:rPr>
        <w:t>, 2014</w:t>
      </w:r>
      <w:r w:rsidR="00915C66" w:rsidRPr="006F5D71">
        <w:rPr>
          <w:color w:val="000000" w:themeColor="text1"/>
          <w:szCs w:val="24"/>
        </w:rPr>
        <w:t>)</w:t>
      </w:r>
      <w:r w:rsidR="000C737B" w:rsidRPr="006F5D71">
        <w:rPr>
          <w:color w:val="000000" w:themeColor="text1"/>
          <w:szCs w:val="24"/>
        </w:rPr>
        <w:t>.</w:t>
      </w:r>
      <w:r w:rsidR="00915C66" w:rsidRPr="006F5D71">
        <w:rPr>
          <w:color w:val="000000" w:themeColor="text1"/>
          <w:szCs w:val="24"/>
        </w:rPr>
        <w:t xml:space="preserve"> These home-based CSAs include access to finance, favorable regulatory policies, natural resources, low-cost labor</w:t>
      </w:r>
      <w:r w:rsidR="009C0DCC" w:rsidRPr="006F5D71">
        <w:rPr>
          <w:color w:val="000000" w:themeColor="text1"/>
          <w:szCs w:val="24"/>
        </w:rPr>
        <w:t>,</w:t>
      </w:r>
      <w:r w:rsidR="00915C66" w:rsidRPr="006F5D71">
        <w:rPr>
          <w:color w:val="000000" w:themeColor="text1"/>
          <w:szCs w:val="24"/>
        </w:rPr>
        <w:t xml:space="preserve"> and ava</w:t>
      </w:r>
      <w:r w:rsidR="00A32995" w:rsidRPr="006F5D71">
        <w:rPr>
          <w:color w:val="000000" w:themeColor="text1"/>
          <w:szCs w:val="24"/>
        </w:rPr>
        <w:t>ilability of managerial skills.</w:t>
      </w:r>
      <w:r w:rsidR="0083456B" w:rsidRPr="006F5D71">
        <w:rPr>
          <w:color w:val="000000" w:themeColor="text1"/>
          <w:szCs w:val="24"/>
        </w:rPr>
        <w:t xml:space="preserve"> EMNCs venture abroad to exploit the comparative advantages of their home markets.</w:t>
      </w:r>
      <w:r w:rsidR="00936D59" w:rsidRPr="006F5D71">
        <w:rPr>
          <w:color w:val="000000" w:themeColor="text1"/>
          <w:szCs w:val="24"/>
        </w:rPr>
        <w:t xml:space="preserve"> For instance, </w:t>
      </w:r>
      <w:r w:rsidR="001D1966" w:rsidRPr="006F5D71">
        <w:rPr>
          <w:color w:val="000000" w:themeColor="text1"/>
          <w:szCs w:val="24"/>
        </w:rPr>
        <w:t xml:space="preserve">Wang, Hong, </w:t>
      </w:r>
      <w:proofErr w:type="spellStart"/>
      <w:r w:rsidR="001D1966" w:rsidRPr="006F5D71">
        <w:rPr>
          <w:color w:val="000000" w:themeColor="text1"/>
          <w:szCs w:val="24"/>
        </w:rPr>
        <w:t>Kafouros</w:t>
      </w:r>
      <w:proofErr w:type="spellEnd"/>
      <w:r w:rsidR="001D1966" w:rsidRPr="006F5D71">
        <w:rPr>
          <w:color w:val="000000" w:themeColor="text1"/>
          <w:szCs w:val="24"/>
        </w:rPr>
        <w:t xml:space="preserve">, &amp; Boateng </w:t>
      </w:r>
      <w:r w:rsidR="00936D59" w:rsidRPr="006F5D71">
        <w:rPr>
          <w:color w:val="000000" w:themeColor="text1"/>
          <w:szCs w:val="24"/>
        </w:rPr>
        <w:t xml:space="preserve">(2012) suggest that Chinese firms </w:t>
      </w:r>
      <w:r w:rsidR="0084320C">
        <w:rPr>
          <w:color w:val="000000" w:themeColor="text1"/>
          <w:szCs w:val="24"/>
        </w:rPr>
        <w:t>with</w:t>
      </w:r>
      <w:r w:rsidR="00936D59" w:rsidRPr="006F5D71">
        <w:rPr>
          <w:color w:val="000000" w:themeColor="text1"/>
          <w:szCs w:val="24"/>
        </w:rPr>
        <w:t xml:space="preserve"> access to </w:t>
      </w:r>
      <w:r w:rsidR="00395005" w:rsidRPr="006F5D71">
        <w:rPr>
          <w:color w:val="000000" w:themeColor="text1"/>
          <w:szCs w:val="24"/>
        </w:rPr>
        <w:t xml:space="preserve">cheap </w:t>
      </w:r>
      <w:r w:rsidR="00936D59" w:rsidRPr="006F5D71">
        <w:rPr>
          <w:color w:val="000000" w:themeColor="text1"/>
          <w:szCs w:val="24"/>
        </w:rPr>
        <w:t xml:space="preserve">capital and </w:t>
      </w:r>
      <w:r w:rsidR="00F13410" w:rsidRPr="006F5D71">
        <w:rPr>
          <w:color w:val="000000" w:themeColor="text1"/>
          <w:szCs w:val="24"/>
        </w:rPr>
        <w:t>labor</w:t>
      </w:r>
      <w:r w:rsidR="00936D59" w:rsidRPr="006F5D71">
        <w:rPr>
          <w:color w:val="000000" w:themeColor="text1"/>
          <w:szCs w:val="24"/>
        </w:rPr>
        <w:t xml:space="preserve"> tend to internationalize to exploit such cost</w:t>
      </w:r>
      <w:r w:rsidR="009C0DCC" w:rsidRPr="006F5D71">
        <w:rPr>
          <w:color w:val="000000" w:themeColor="text1"/>
          <w:szCs w:val="24"/>
        </w:rPr>
        <w:t>-</w:t>
      </w:r>
      <w:r w:rsidR="00936D59" w:rsidRPr="006F5D71">
        <w:rPr>
          <w:color w:val="000000" w:themeColor="text1"/>
          <w:szCs w:val="24"/>
        </w:rPr>
        <w:t>specific advantages.</w:t>
      </w:r>
      <w:r w:rsidR="00A32995" w:rsidRPr="006F5D71">
        <w:rPr>
          <w:color w:val="000000" w:themeColor="text1"/>
          <w:szCs w:val="24"/>
        </w:rPr>
        <w:t xml:space="preserve"> From this perspective, country-specific advantages allow EMNCs to operate certain types of activities in foreign markets more effectively than domestic firms in developed markets. However, some scholar</w:t>
      </w:r>
      <w:r w:rsidR="001A4C16" w:rsidRPr="006F5D71">
        <w:rPr>
          <w:color w:val="000000" w:themeColor="text1"/>
          <w:szCs w:val="24"/>
        </w:rPr>
        <w:t xml:space="preserve">s </w:t>
      </w:r>
      <w:r w:rsidR="00A32995" w:rsidRPr="006F5D71">
        <w:rPr>
          <w:color w:val="000000" w:themeColor="text1"/>
          <w:szCs w:val="24"/>
        </w:rPr>
        <w:t xml:space="preserve">such as </w:t>
      </w:r>
      <w:proofErr w:type="spellStart"/>
      <w:r w:rsidR="00A32995" w:rsidRPr="006F5D71">
        <w:rPr>
          <w:color w:val="000000" w:themeColor="text1"/>
          <w:szCs w:val="24"/>
        </w:rPr>
        <w:t>Ramamurti</w:t>
      </w:r>
      <w:proofErr w:type="spellEnd"/>
      <w:r w:rsidR="00A32995" w:rsidRPr="006F5D71">
        <w:rPr>
          <w:color w:val="000000" w:themeColor="text1"/>
          <w:szCs w:val="24"/>
        </w:rPr>
        <w:t xml:space="preserve"> and </w:t>
      </w:r>
      <w:proofErr w:type="spellStart"/>
      <w:r w:rsidR="00A32995" w:rsidRPr="006F5D71">
        <w:rPr>
          <w:color w:val="000000" w:themeColor="text1"/>
          <w:szCs w:val="24"/>
        </w:rPr>
        <w:t>Hillemann</w:t>
      </w:r>
      <w:proofErr w:type="spellEnd"/>
      <w:r w:rsidR="00A32995" w:rsidRPr="006F5D71">
        <w:rPr>
          <w:color w:val="000000" w:themeColor="text1"/>
          <w:szCs w:val="24"/>
        </w:rPr>
        <w:t xml:space="preserve"> (2018)</w:t>
      </w:r>
      <w:r w:rsidR="00B0173A" w:rsidRPr="006F5D71">
        <w:rPr>
          <w:color w:val="000000" w:themeColor="text1"/>
          <w:szCs w:val="24"/>
        </w:rPr>
        <w:t xml:space="preserve"> do</w:t>
      </w:r>
      <w:r w:rsidR="001A4C16" w:rsidRPr="006F5D71">
        <w:rPr>
          <w:color w:val="000000" w:themeColor="text1"/>
          <w:szCs w:val="24"/>
        </w:rPr>
        <w:t xml:space="preserve"> </w:t>
      </w:r>
      <w:r w:rsidR="00A32995" w:rsidRPr="006F5D71">
        <w:rPr>
          <w:color w:val="000000" w:themeColor="text1"/>
          <w:szCs w:val="24"/>
        </w:rPr>
        <w:t>not cons</w:t>
      </w:r>
      <w:r w:rsidR="00237A00" w:rsidRPr="006F5D71">
        <w:rPr>
          <w:color w:val="000000" w:themeColor="text1"/>
          <w:szCs w:val="24"/>
        </w:rPr>
        <w:t>ider home country-specific resources</w:t>
      </w:r>
      <w:r w:rsidR="00A32995" w:rsidRPr="006F5D71">
        <w:rPr>
          <w:color w:val="000000" w:themeColor="text1"/>
          <w:szCs w:val="24"/>
        </w:rPr>
        <w:t xml:space="preserve"> as FSAs as these</w:t>
      </w:r>
      <w:r w:rsidR="00237A00" w:rsidRPr="006F5D71">
        <w:rPr>
          <w:color w:val="000000" w:themeColor="text1"/>
          <w:szCs w:val="24"/>
        </w:rPr>
        <w:t xml:space="preserve"> resources are available to all firms located in that country.</w:t>
      </w:r>
    </w:p>
    <w:p w14:paraId="1192AC67" w14:textId="77777777" w:rsidR="00E942F1" w:rsidRPr="006F5D71" w:rsidRDefault="00915C66" w:rsidP="00B0173A">
      <w:pPr>
        <w:pStyle w:val="NoSpacing"/>
        <w:spacing w:line="360" w:lineRule="auto"/>
        <w:ind w:firstLine="720"/>
        <w:jc w:val="both"/>
        <w:rPr>
          <w:color w:val="000000" w:themeColor="text1"/>
          <w:szCs w:val="24"/>
        </w:rPr>
      </w:pPr>
      <w:r w:rsidRPr="006F5D71">
        <w:rPr>
          <w:color w:val="000000" w:themeColor="text1"/>
          <w:szCs w:val="24"/>
        </w:rPr>
        <w:t xml:space="preserve">The third </w:t>
      </w:r>
      <w:r w:rsidR="00FA26A5" w:rsidRPr="006F5D71">
        <w:rPr>
          <w:color w:val="000000" w:themeColor="text1"/>
          <w:szCs w:val="24"/>
        </w:rPr>
        <w:t xml:space="preserve">strand of </w:t>
      </w:r>
      <w:r w:rsidR="00C65790" w:rsidRPr="006F5D71">
        <w:rPr>
          <w:color w:val="000000" w:themeColor="text1"/>
          <w:szCs w:val="24"/>
        </w:rPr>
        <w:t>argument is</w:t>
      </w:r>
      <w:r w:rsidRPr="006F5D71">
        <w:rPr>
          <w:color w:val="000000" w:themeColor="text1"/>
          <w:szCs w:val="24"/>
        </w:rPr>
        <w:t xml:space="preserve"> that</w:t>
      </w:r>
      <w:r w:rsidR="0084320C">
        <w:rPr>
          <w:color w:val="000000" w:themeColor="text1"/>
          <w:szCs w:val="24"/>
        </w:rPr>
        <w:t>,</w:t>
      </w:r>
      <w:r w:rsidRPr="006F5D71">
        <w:rPr>
          <w:color w:val="000000" w:themeColor="text1"/>
          <w:szCs w:val="24"/>
        </w:rPr>
        <w:t xml:space="preserve"> </w:t>
      </w:r>
      <w:r w:rsidR="004F5BBF" w:rsidRPr="006F5D71">
        <w:rPr>
          <w:color w:val="000000" w:themeColor="text1"/>
          <w:szCs w:val="24"/>
        </w:rPr>
        <w:t>in contrast to traditional FSAs t</w:t>
      </w:r>
      <w:r w:rsidR="00332F27" w:rsidRPr="006F5D71">
        <w:rPr>
          <w:color w:val="000000" w:themeColor="text1"/>
          <w:szCs w:val="24"/>
        </w:rPr>
        <w:t>hat developed markets’ MNCs possess</w:t>
      </w:r>
      <w:r w:rsidR="00FA26A5" w:rsidRPr="006F5D71">
        <w:rPr>
          <w:color w:val="000000" w:themeColor="text1"/>
          <w:szCs w:val="24"/>
        </w:rPr>
        <w:t>,</w:t>
      </w:r>
      <w:r w:rsidR="004F5BBF" w:rsidRPr="006F5D71">
        <w:rPr>
          <w:color w:val="000000" w:themeColor="text1"/>
          <w:szCs w:val="24"/>
        </w:rPr>
        <w:t xml:space="preserve"> </w:t>
      </w:r>
      <w:r w:rsidR="00427F07" w:rsidRPr="006F5D71">
        <w:rPr>
          <w:color w:val="000000" w:themeColor="text1"/>
          <w:szCs w:val="24"/>
        </w:rPr>
        <w:t>such as</w:t>
      </w:r>
      <w:r w:rsidR="004F5BBF" w:rsidRPr="006F5D71">
        <w:rPr>
          <w:color w:val="000000" w:themeColor="text1"/>
          <w:szCs w:val="24"/>
        </w:rPr>
        <w:t xml:space="preserve"> technological </w:t>
      </w:r>
      <w:r w:rsidR="005E4FEA" w:rsidRPr="006F5D71">
        <w:rPr>
          <w:color w:val="000000" w:themeColor="text1"/>
          <w:szCs w:val="24"/>
        </w:rPr>
        <w:t>expertise</w:t>
      </w:r>
      <w:r w:rsidR="004F5BBF" w:rsidRPr="006F5D71">
        <w:rPr>
          <w:color w:val="000000" w:themeColor="text1"/>
          <w:szCs w:val="24"/>
        </w:rPr>
        <w:t xml:space="preserve"> and global brands, </w:t>
      </w:r>
      <w:r w:rsidRPr="006F5D71">
        <w:rPr>
          <w:color w:val="000000" w:themeColor="text1"/>
          <w:szCs w:val="24"/>
        </w:rPr>
        <w:t>EMNCs possess unique FSAs</w:t>
      </w:r>
      <w:r w:rsidR="00FA26A5" w:rsidRPr="006F5D71">
        <w:rPr>
          <w:color w:val="000000" w:themeColor="text1"/>
          <w:szCs w:val="24"/>
        </w:rPr>
        <w:t xml:space="preserve">. </w:t>
      </w:r>
      <w:r w:rsidR="005E4FEA">
        <w:rPr>
          <w:color w:val="000000" w:themeColor="text1"/>
          <w:szCs w:val="24"/>
        </w:rPr>
        <w:t>Importantly, these FSAs</w:t>
      </w:r>
      <w:r w:rsidR="005E4FEA" w:rsidRPr="006F5D71">
        <w:rPr>
          <w:color w:val="000000" w:themeColor="text1"/>
          <w:szCs w:val="24"/>
        </w:rPr>
        <w:t xml:space="preserve"> </w:t>
      </w:r>
      <w:r w:rsidR="005E4FEA">
        <w:rPr>
          <w:color w:val="000000" w:themeColor="text1"/>
          <w:szCs w:val="24"/>
        </w:rPr>
        <w:t>have</w:t>
      </w:r>
      <w:r w:rsidR="005E4FEA" w:rsidRPr="006F5D71">
        <w:rPr>
          <w:color w:val="000000" w:themeColor="text1"/>
          <w:szCs w:val="24"/>
        </w:rPr>
        <w:t xml:space="preserve"> developed as coping strategies in </w:t>
      </w:r>
      <w:r w:rsidR="005E4FEA">
        <w:rPr>
          <w:color w:val="000000" w:themeColor="text1"/>
          <w:szCs w:val="24"/>
        </w:rPr>
        <w:t xml:space="preserve">response to </w:t>
      </w:r>
      <w:r w:rsidR="005E4FEA" w:rsidRPr="006F5D71">
        <w:rPr>
          <w:color w:val="000000" w:themeColor="text1"/>
          <w:szCs w:val="24"/>
        </w:rPr>
        <w:t xml:space="preserve">their home-markets institutional weaknesses and voids (Madhok and </w:t>
      </w:r>
      <w:proofErr w:type="spellStart"/>
      <w:r w:rsidR="005E4FEA" w:rsidRPr="006F5D71">
        <w:rPr>
          <w:color w:val="000000" w:themeColor="text1"/>
          <w:szCs w:val="24"/>
        </w:rPr>
        <w:t>Kayhani</w:t>
      </w:r>
      <w:proofErr w:type="spellEnd"/>
      <w:r w:rsidR="005E4FEA" w:rsidRPr="006F5D71">
        <w:rPr>
          <w:color w:val="000000" w:themeColor="text1"/>
          <w:szCs w:val="24"/>
        </w:rPr>
        <w:t>, 2012; Khanna and Palepu, 1997; Peng, 2012)</w:t>
      </w:r>
      <w:r w:rsidR="005E4FEA">
        <w:rPr>
          <w:color w:val="000000" w:themeColor="text1"/>
          <w:szCs w:val="24"/>
        </w:rPr>
        <w:t xml:space="preserve">. Examples of such FSAs include </w:t>
      </w:r>
      <w:r w:rsidR="004F5BBF" w:rsidRPr="006F5D71">
        <w:rPr>
          <w:color w:val="000000" w:themeColor="text1"/>
          <w:szCs w:val="24"/>
        </w:rPr>
        <w:t>organizational flexibility, social networking, cost efficiency</w:t>
      </w:r>
      <w:r w:rsidR="009C0DCC" w:rsidRPr="006F5D71">
        <w:rPr>
          <w:color w:val="000000" w:themeColor="text1"/>
          <w:szCs w:val="24"/>
        </w:rPr>
        <w:t>,</w:t>
      </w:r>
      <w:r w:rsidR="004F5BBF" w:rsidRPr="006F5D71">
        <w:rPr>
          <w:color w:val="000000" w:themeColor="text1"/>
          <w:szCs w:val="24"/>
        </w:rPr>
        <w:t xml:space="preserve"> and coordination of diverse knowledge</w:t>
      </w:r>
      <w:r w:rsidR="00940626">
        <w:rPr>
          <w:color w:val="000000" w:themeColor="text1"/>
          <w:szCs w:val="24"/>
        </w:rPr>
        <w:t xml:space="preserve">. </w:t>
      </w:r>
    </w:p>
    <w:p w14:paraId="42ECA6D6" w14:textId="77777777" w:rsidR="006D1DEA" w:rsidRPr="006F5D71" w:rsidRDefault="00723F9D" w:rsidP="00B10EAB">
      <w:pPr>
        <w:pStyle w:val="NoSpacing"/>
        <w:spacing w:line="360" w:lineRule="auto"/>
        <w:ind w:firstLine="720"/>
        <w:jc w:val="both"/>
        <w:rPr>
          <w:color w:val="000000" w:themeColor="text1"/>
          <w:szCs w:val="24"/>
        </w:rPr>
      </w:pPr>
      <w:r w:rsidRPr="006F5D71">
        <w:rPr>
          <w:color w:val="000000" w:themeColor="text1"/>
          <w:szCs w:val="24"/>
        </w:rPr>
        <w:t xml:space="preserve">Even though each perspective emphasizes that EMNCs possess some kind of FSAs to ensure success in their foreign investments, it is remarkable that even in the presence of FSAs, </w:t>
      </w:r>
      <w:r w:rsidR="00031A06" w:rsidRPr="006F5D71">
        <w:rPr>
          <w:color w:val="000000" w:themeColor="text1"/>
          <w:szCs w:val="24"/>
        </w:rPr>
        <w:t>multinational firms can</w:t>
      </w:r>
      <w:r w:rsidRPr="006F5D71">
        <w:rPr>
          <w:color w:val="000000" w:themeColor="text1"/>
          <w:szCs w:val="24"/>
        </w:rPr>
        <w:t xml:space="preserve"> still fail </w:t>
      </w:r>
      <w:r w:rsidR="00FD709C">
        <w:rPr>
          <w:color w:val="000000" w:themeColor="text1"/>
          <w:szCs w:val="24"/>
        </w:rPr>
        <w:t>to</w:t>
      </w:r>
      <w:r w:rsidRPr="006F5D71">
        <w:rPr>
          <w:color w:val="000000" w:themeColor="text1"/>
          <w:szCs w:val="24"/>
        </w:rPr>
        <w:t xml:space="preserve"> survive. Thus, Buckley (2016, p.3) suggests that “FSAs are not sufficient to ensure the completion or success of an FDI” and goes on to argue that the value of FSAs is determined with reference to the host market location, particularly the capabilities of competing firms operating in that location. Indeed, the value of FSAs tends to be limited or even detrimental for firms in certain locations or circumstances. For instance, the widely assumed cost-advantages attributed to EMNCs in </w:t>
      </w:r>
      <w:r w:rsidR="0084320C">
        <w:rPr>
          <w:color w:val="000000" w:themeColor="text1"/>
          <w:szCs w:val="24"/>
        </w:rPr>
        <w:t xml:space="preserve">the </w:t>
      </w:r>
      <w:r w:rsidRPr="006F5D71">
        <w:rPr>
          <w:color w:val="000000" w:themeColor="text1"/>
          <w:szCs w:val="24"/>
        </w:rPr>
        <w:t>North vanished over time as competitors acquired access to cheap resources (from other foreign markets) for their production inputs (Buc</w:t>
      </w:r>
      <w:r w:rsidR="00031A06" w:rsidRPr="006F5D71">
        <w:rPr>
          <w:color w:val="000000" w:themeColor="text1"/>
          <w:szCs w:val="24"/>
        </w:rPr>
        <w:t>kley, 2007). Narula (2012</w:t>
      </w:r>
      <w:r w:rsidRPr="006F5D71">
        <w:rPr>
          <w:color w:val="000000" w:themeColor="text1"/>
          <w:szCs w:val="24"/>
        </w:rPr>
        <w:t xml:space="preserve">) sheds light on </w:t>
      </w:r>
      <w:r w:rsidR="004C7443" w:rsidRPr="006F5D71">
        <w:rPr>
          <w:color w:val="000000" w:themeColor="text1"/>
          <w:szCs w:val="24"/>
        </w:rPr>
        <w:t xml:space="preserve">the </w:t>
      </w:r>
      <w:r w:rsidRPr="006F5D71">
        <w:rPr>
          <w:color w:val="000000" w:themeColor="text1"/>
          <w:szCs w:val="24"/>
        </w:rPr>
        <w:t>relativeness of FSAs and suggests that unique FSAs are relative and location-bound</w:t>
      </w:r>
      <w:r w:rsidR="00031A06" w:rsidRPr="006F5D71">
        <w:rPr>
          <w:color w:val="000000" w:themeColor="text1"/>
          <w:szCs w:val="24"/>
        </w:rPr>
        <w:t>ed</w:t>
      </w:r>
      <w:r w:rsidRPr="006F5D71">
        <w:rPr>
          <w:color w:val="000000" w:themeColor="text1"/>
          <w:szCs w:val="24"/>
        </w:rPr>
        <w:t xml:space="preserve">. </w:t>
      </w:r>
      <w:r w:rsidR="006D59BA" w:rsidRPr="006F5D71">
        <w:rPr>
          <w:color w:val="000000" w:themeColor="text1"/>
          <w:szCs w:val="24"/>
        </w:rPr>
        <w:t xml:space="preserve">Peng (2012) </w:t>
      </w:r>
      <w:r w:rsidR="00EC497F" w:rsidRPr="006F5D71">
        <w:rPr>
          <w:color w:val="000000" w:themeColor="text1"/>
          <w:szCs w:val="24"/>
        </w:rPr>
        <w:t xml:space="preserve">further </w:t>
      </w:r>
      <w:r w:rsidR="00076FCC" w:rsidRPr="006F5D71">
        <w:rPr>
          <w:color w:val="000000" w:themeColor="text1"/>
          <w:szCs w:val="24"/>
        </w:rPr>
        <w:t>argues</w:t>
      </w:r>
      <w:r w:rsidR="00EB6B63" w:rsidRPr="006F5D71">
        <w:rPr>
          <w:color w:val="000000" w:themeColor="text1"/>
          <w:szCs w:val="24"/>
        </w:rPr>
        <w:t xml:space="preserve"> that</w:t>
      </w:r>
      <w:r w:rsidR="006D59BA" w:rsidRPr="006F5D71">
        <w:rPr>
          <w:color w:val="000000" w:themeColor="text1"/>
          <w:szCs w:val="24"/>
        </w:rPr>
        <w:t xml:space="preserve"> </w:t>
      </w:r>
      <w:r w:rsidR="00EB6B63" w:rsidRPr="006F5D71">
        <w:rPr>
          <w:color w:val="000000" w:themeColor="text1"/>
          <w:szCs w:val="24"/>
        </w:rPr>
        <w:t>EMNCs</w:t>
      </w:r>
      <w:r w:rsidR="0084320C">
        <w:rPr>
          <w:color w:val="000000" w:themeColor="text1"/>
          <w:szCs w:val="24"/>
        </w:rPr>
        <w:t>’</w:t>
      </w:r>
      <w:r w:rsidR="00EB6B63" w:rsidRPr="006F5D71">
        <w:rPr>
          <w:color w:val="000000" w:themeColor="text1"/>
          <w:szCs w:val="24"/>
        </w:rPr>
        <w:t xml:space="preserve"> connections with </w:t>
      </w:r>
      <w:r w:rsidR="009C0DCC" w:rsidRPr="006F5D71">
        <w:rPr>
          <w:color w:val="000000" w:themeColor="text1"/>
          <w:szCs w:val="24"/>
        </w:rPr>
        <w:t xml:space="preserve">the </w:t>
      </w:r>
      <w:r w:rsidR="00EB6B63" w:rsidRPr="006F5D71">
        <w:rPr>
          <w:color w:val="000000" w:themeColor="text1"/>
          <w:szCs w:val="24"/>
        </w:rPr>
        <w:t xml:space="preserve">national government </w:t>
      </w:r>
      <w:r w:rsidR="00F90486" w:rsidRPr="006F5D71">
        <w:rPr>
          <w:color w:val="000000" w:themeColor="text1"/>
          <w:szCs w:val="24"/>
        </w:rPr>
        <w:t>(a</w:t>
      </w:r>
      <w:r w:rsidR="0045753B" w:rsidRPr="006F5D71">
        <w:rPr>
          <w:color w:val="000000" w:themeColor="text1"/>
          <w:szCs w:val="24"/>
        </w:rPr>
        <w:t xml:space="preserve"> type of </w:t>
      </w:r>
      <w:r w:rsidR="007D6290" w:rsidRPr="006F5D71">
        <w:rPr>
          <w:color w:val="000000" w:themeColor="text1"/>
          <w:szCs w:val="24"/>
        </w:rPr>
        <w:t xml:space="preserve">EMNC </w:t>
      </w:r>
      <w:r w:rsidR="0045753B" w:rsidRPr="006F5D71">
        <w:rPr>
          <w:color w:val="000000" w:themeColor="text1"/>
          <w:szCs w:val="24"/>
        </w:rPr>
        <w:t xml:space="preserve">FSA) </w:t>
      </w:r>
      <w:r w:rsidR="00B90AFB" w:rsidRPr="006F5D71">
        <w:rPr>
          <w:color w:val="000000" w:themeColor="text1"/>
          <w:szCs w:val="24"/>
        </w:rPr>
        <w:t>may</w:t>
      </w:r>
      <w:r w:rsidR="00076FCC" w:rsidRPr="006F5D71">
        <w:rPr>
          <w:color w:val="000000" w:themeColor="text1"/>
          <w:szCs w:val="24"/>
        </w:rPr>
        <w:t xml:space="preserve"> be </w:t>
      </w:r>
      <w:r w:rsidR="00BA5E72" w:rsidRPr="006F5D71">
        <w:rPr>
          <w:color w:val="000000" w:themeColor="text1"/>
          <w:szCs w:val="24"/>
        </w:rPr>
        <w:t xml:space="preserve">detrimental </w:t>
      </w:r>
      <w:r w:rsidR="009C0DCC" w:rsidRPr="006F5D71">
        <w:rPr>
          <w:color w:val="000000" w:themeColor="text1"/>
          <w:szCs w:val="24"/>
        </w:rPr>
        <w:t>to</w:t>
      </w:r>
      <w:r w:rsidR="00BA5E72" w:rsidRPr="006F5D71">
        <w:rPr>
          <w:color w:val="000000" w:themeColor="text1"/>
          <w:szCs w:val="24"/>
        </w:rPr>
        <w:t xml:space="preserve"> </w:t>
      </w:r>
      <w:r w:rsidR="009C0DCC" w:rsidRPr="006F5D71">
        <w:rPr>
          <w:color w:val="000000" w:themeColor="text1"/>
          <w:szCs w:val="24"/>
        </w:rPr>
        <w:t xml:space="preserve">the </w:t>
      </w:r>
      <w:r w:rsidR="00BA5E72" w:rsidRPr="006F5D71">
        <w:rPr>
          <w:color w:val="000000" w:themeColor="text1"/>
          <w:szCs w:val="24"/>
        </w:rPr>
        <w:t xml:space="preserve">firm’s survival </w:t>
      </w:r>
      <w:r w:rsidR="00996D93" w:rsidRPr="006F5D71">
        <w:rPr>
          <w:color w:val="000000" w:themeColor="text1"/>
          <w:szCs w:val="24"/>
        </w:rPr>
        <w:t xml:space="preserve">in some locations </w:t>
      </w:r>
      <w:r w:rsidR="009F5660">
        <w:rPr>
          <w:color w:val="000000" w:themeColor="text1"/>
          <w:szCs w:val="24"/>
        </w:rPr>
        <w:t xml:space="preserve">(e.g. Northern /western markets) </w:t>
      </w:r>
      <w:proofErr w:type="gramStart"/>
      <w:r w:rsidR="00076FCC" w:rsidRPr="006F5D71">
        <w:rPr>
          <w:color w:val="000000" w:themeColor="text1"/>
          <w:szCs w:val="24"/>
        </w:rPr>
        <w:t xml:space="preserve">as </w:t>
      </w:r>
      <w:r w:rsidR="009F5660">
        <w:rPr>
          <w:color w:val="000000" w:themeColor="text1"/>
          <w:szCs w:val="24"/>
        </w:rPr>
        <w:t xml:space="preserve"> </w:t>
      </w:r>
      <w:r w:rsidR="00076FCC" w:rsidRPr="006F5D71">
        <w:rPr>
          <w:color w:val="000000" w:themeColor="text1"/>
          <w:szCs w:val="24"/>
        </w:rPr>
        <w:t>it</w:t>
      </w:r>
      <w:proofErr w:type="gramEnd"/>
      <w:r w:rsidR="00076FCC" w:rsidRPr="006F5D71">
        <w:rPr>
          <w:color w:val="000000" w:themeColor="text1"/>
          <w:szCs w:val="24"/>
        </w:rPr>
        <w:t xml:space="preserve"> </w:t>
      </w:r>
      <w:r w:rsidR="0084320C">
        <w:rPr>
          <w:color w:val="000000" w:themeColor="text1"/>
          <w:szCs w:val="24"/>
        </w:rPr>
        <w:t>raises</w:t>
      </w:r>
      <w:r w:rsidR="0084320C" w:rsidRPr="006F5D71">
        <w:rPr>
          <w:color w:val="000000" w:themeColor="text1"/>
          <w:szCs w:val="24"/>
        </w:rPr>
        <w:t xml:space="preserve"> </w:t>
      </w:r>
      <w:r w:rsidR="00EB6B63" w:rsidRPr="006F5D71">
        <w:rPr>
          <w:color w:val="000000" w:themeColor="text1"/>
          <w:szCs w:val="24"/>
        </w:rPr>
        <w:t>suspicion</w:t>
      </w:r>
      <w:r w:rsidR="00076FCC" w:rsidRPr="006F5D71">
        <w:rPr>
          <w:color w:val="000000" w:themeColor="text1"/>
          <w:szCs w:val="24"/>
        </w:rPr>
        <w:t>, particularly</w:t>
      </w:r>
      <w:r w:rsidR="00EB6B63" w:rsidRPr="006F5D71">
        <w:rPr>
          <w:color w:val="000000" w:themeColor="text1"/>
          <w:szCs w:val="24"/>
        </w:rPr>
        <w:t xml:space="preserve"> in Western markets.</w:t>
      </w:r>
      <w:r w:rsidR="00C60A2A" w:rsidRPr="006F5D71">
        <w:rPr>
          <w:color w:val="000000" w:themeColor="text1"/>
          <w:szCs w:val="24"/>
        </w:rPr>
        <w:t xml:space="preserve"> In a recent case, Hu</w:t>
      </w:r>
      <w:r w:rsidR="009C0DCC" w:rsidRPr="006F5D71">
        <w:rPr>
          <w:color w:val="000000" w:themeColor="text1"/>
          <w:szCs w:val="24"/>
        </w:rPr>
        <w:t>awei'</w:t>
      </w:r>
      <w:r w:rsidR="00C60A2A" w:rsidRPr="006F5D71">
        <w:rPr>
          <w:color w:val="000000" w:themeColor="text1"/>
          <w:szCs w:val="24"/>
        </w:rPr>
        <w:t xml:space="preserve">s relationship with </w:t>
      </w:r>
      <w:r w:rsidR="00C60A2A" w:rsidRPr="006F5D71">
        <w:rPr>
          <w:color w:val="000000" w:themeColor="text1"/>
          <w:szCs w:val="24"/>
        </w:rPr>
        <w:lastRenderedPageBreak/>
        <w:t xml:space="preserve">the </w:t>
      </w:r>
      <w:r w:rsidR="00B0173A" w:rsidRPr="006F5D71">
        <w:rPr>
          <w:color w:val="000000" w:themeColor="text1"/>
          <w:szCs w:val="24"/>
        </w:rPr>
        <w:t xml:space="preserve">home </w:t>
      </w:r>
      <w:r w:rsidR="00C60A2A" w:rsidRPr="006F5D71">
        <w:rPr>
          <w:color w:val="000000" w:themeColor="text1"/>
          <w:szCs w:val="24"/>
        </w:rPr>
        <w:t xml:space="preserve">government was </w:t>
      </w:r>
      <w:r w:rsidR="00076FCC" w:rsidRPr="006F5D71">
        <w:rPr>
          <w:color w:val="000000" w:themeColor="text1"/>
          <w:szCs w:val="24"/>
        </w:rPr>
        <w:t xml:space="preserve">one of </w:t>
      </w:r>
      <w:r w:rsidR="00C60A2A" w:rsidRPr="006F5D71">
        <w:rPr>
          <w:color w:val="000000" w:themeColor="text1"/>
          <w:szCs w:val="24"/>
        </w:rPr>
        <w:t>the main factor</w:t>
      </w:r>
      <w:r w:rsidR="00076FCC" w:rsidRPr="006F5D71">
        <w:rPr>
          <w:color w:val="000000" w:themeColor="text1"/>
          <w:szCs w:val="24"/>
        </w:rPr>
        <w:t>s</w:t>
      </w:r>
      <w:r w:rsidR="00C60A2A" w:rsidRPr="006F5D71">
        <w:rPr>
          <w:color w:val="000000" w:themeColor="text1"/>
          <w:szCs w:val="24"/>
        </w:rPr>
        <w:t xml:space="preserve"> causing its exit from the US market.</w:t>
      </w:r>
      <w:r w:rsidR="006D59BA" w:rsidRPr="006F5D71">
        <w:rPr>
          <w:color w:val="000000" w:themeColor="text1"/>
          <w:szCs w:val="24"/>
        </w:rPr>
        <w:t xml:space="preserve"> </w:t>
      </w:r>
      <w:r w:rsidR="00C60A2A" w:rsidRPr="006F5D71">
        <w:rPr>
          <w:color w:val="000000" w:themeColor="text1"/>
          <w:szCs w:val="24"/>
        </w:rPr>
        <w:t>Narula (2012, p.191) suggest</w:t>
      </w:r>
      <w:r w:rsidR="00B90AFB" w:rsidRPr="006F5D71">
        <w:rPr>
          <w:color w:val="000000" w:themeColor="text1"/>
          <w:szCs w:val="24"/>
        </w:rPr>
        <w:t xml:space="preserve">s that unique FSAs are </w:t>
      </w:r>
      <w:r w:rsidR="000B1C04" w:rsidRPr="006F5D71">
        <w:rPr>
          <w:color w:val="000000" w:themeColor="text1"/>
          <w:szCs w:val="24"/>
        </w:rPr>
        <w:t xml:space="preserve">relative and </w:t>
      </w:r>
      <w:r w:rsidR="00B90AFB" w:rsidRPr="006F5D71">
        <w:rPr>
          <w:color w:val="000000" w:themeColor="text1"/>
          <w:szCs w:val="24"/>
        </w:rPr>
        <w:t>location-</w:t>
      </w:r>
      <w:r w:rsidR="00C60A2A" w:rsidRPr="006F5D71">
        <w:rPr>
          <w:color w:val="000000" w:themeColor="text1"/>
          <w:szCs w:val="24"/>
        </w:rPr>
        <w:t>bound which help</w:t>
      </w:r>
      <w:r w:rsidR="009C0DCC" w:rsidRPr="006F5D71">
        <w:rPr>
          <w:color w:val="000000" w:themeColor="text1"/>
          <w:szCs w:val="24"/>
        </w:rPr>
        <w:t>s</w:t>
      </w:r>
      <w:r w:rsidR="00C60A2A" w:rsidRPr="006F5D71">
        <w:rPr>
          <w:color w:val="000000" w:themeColor="text1"/>
          <w:szCs w:val="24"/>
        </w:rPr>
        <w:t xml:space="preserve"> EMNCs to “generate profits, but only in a specific location, or to an extent, in similar locations”. For instance, the value stemmi</w:t>
      </w:r>
      <w:r w:rsidR="00BA5E72" w:rsidRPr="006F5D71">
        <w:rPr>
          <w:color w:val="000000" w:themeColor="text1"/>
          <w:szCs w:val="24"/>
        </w:rPr>
        <w:t>ng from the managerial relational capabilities</w:t>
      </w:r>
      <w:r w:rsidR="006E1696" w:rsidRPr="006F5D71">
        <w:rPr>
          <w:color w:val="000000" w:themeColor="text1"/>
          <w:szCs w:val="24"/>
        </w:rPr>
        <w:t xml:space="preserve"> may be </w:t>
      </w:r>
      <w:r w:rsidR="009F5660">
        <w:rPr>
          <w:color w:val="000000" w:themeColor="text1"/>
          <w:szCs w:val="24"/>
        </w:rPr>
        <w:t>limited</w:t>
      </w:r>
      <w:r w:rsidR="006E1696" w:rsidRPr="006F5D71">
        <w:rPr>
          <w:color w:val="000000" w:themeColor="text1"/>
          <w:szCs w:val="24"/>
        </w:rPr>
        <w:t xml:space="preserve"> when operating in locations </w:t>
      </w:r>
      <w:r w:rsidR="00B10EAB" w:rsidRPr="006F5D71">
        <w:rPr>
          <w:color w:val="000000" w:themeColor="text1"/>
          <w:szCs w:val="24"/>
        </w:rPr>
        <w:t>where such capabilities are not so unique.</w:t>
      </w:r>
      <w:r w:rsidR="00076FCC" w:rsidRPr="006F5D71">
        <w:rPr>
          <w:color w:val="000000" w:themeColor="text1"/>
          <w:szCs w:val="24"/>
        </w:rPr>
        <w:t xml:space="preserve"> </w:t>
      </w:r>
      <w:r w:rsidR="006D1DEA" w:rsidRPr="006F5D71">
        <w:rPr>
          <w:color w:val="000000" w:themeColor="text1"/>
          <w:szCs w:val="24"/>
        </w:rPr>
        <w:t xml:space="preserve">In sum, all these arguments highlight that </w:t>
      </w:r>
      <w:r w:rsidR="0084320C">
        <w:rPr>
          <w:color w:val="000000" w:themeColor="text1"/>
          <w:szCs w:val="24"/>
        </w:rPr>
        <w:t xml:space="preserve">the </w:t>
      </w:r>
      <w:r w:rsidR="006D1DEA" w:rsidRPr="006F5D71">
        <w:rPr>
          <w:color w:val="000000" w:themeColor="text1"/>
          <w:szCs w:val="24"/>
        </w:rPr>
        <w:t xml:space="preserve">value of FSAs depends on the </w:t>
      </w:r>
      <w:r w:rsidR="004C0801" w:rsidRPr="006F5D71">
        <w:rPr>
          <w:color w:val="000000" w:themeColor="text1"/>
          <w:szCs w:val="24"/>
        </w:rPr>
        <w:t>particular characteristics</w:t>
      </w:r>
      <w:r w:rsidR="006D1DEA" w:rsidRPr="006F5D71">
        <w:rPr>
          <w:color w:val="000000" w:themeColor="text1"/>
          <w:szCs w:val="24"/>
        </w:rPr>
        <w:t xml:space="preserve"> of </w:t>
      </w:r>
      <w:r w:rsidR="00CE4E39" w:rsidRPr="006F5D71">
        <w:rPr>
          <w:color w:val="000000" w:themeColor="text1"/>
          <w:szCs w:val="24"/>
        </w:rPr>
        <w:t xml:space="preserve">the </w:t>
      </w:r>
      <w:r w:rsidR="006D1DEA" w:rsidRPr="006F5D71">
        <w:rPr>
          <w:color w:val="000000" w:themeColor="text1"/>
          <w:szCs w:val="24"/>
        </w:rPr>
        <w:t>host location</w:t>
      </w:r>
      <w:r w:rsidR="00BA5E72" w:rsidRPr="006F5D71">
        <w:rPr>
          <w:color w:val="000000" w:themeColor="text1"/>
          <w:szCs w:val="24"/>
        </w:rPr>
        <w:t xml:space="preserve"> and </w:t>
      </w:r>
      <w:r w:rsidR="00EC497F" w:rsidRPr="006F5D71">
        <w:rPr>
          <w:color w:val="000000" w:themeColor="text1"/>
          <w:szCs w:val="24"/>
        </w:rPr>
        <w:t>relative</w:t>
      </w:r>
      <w:r w:rsidR="00BA5E72" w:rsidRPr="006F5D71">
        <w:rPr>
          <w:color w:val="000000" w:themeColor="text1"/>
          <w:szCs w:val="24"/>
        </w:rPr>
        <w:t xml:space="preserve"> to </w:t>
      </w:r>
      <w:r w:rsidR="004C0801" w:rsidRPr="006F5D71">
        <w:rPr>
          <w:color w:val="000000" w:themeColor="text1"/>
          <w:szCs w:val="24"/>
        </w:rPr>
        <w:t xml:space="preserve">the capabilities of </w:t>
      </w:r>
      <w:r w:rsidR="00BA5E72" w:rsidRPr="006F5D71">
        <w:rPr>
          <w:color w:val="000000" w:themeColor="text1"/>
          <w:szCs w:val="24"/>
        </w:rPr>
        <w:t>competing firms</w:t>
      </w:r>
      <w:r w:rsidR="00B0173A" w:rsidRPr="006F5D71">
        <w:rPr>
          <w:color w:val="000000" w:themeColor="text1"/>
          <w:szCs w:val="24"/>
        </w:rPr>
        <w:t xml:space="preserve"> in the host market</w:t>
      </w:r>
      <w:r w:rsidR="006D1DEA" w:rsidRPr="006F5D71">
        <w:rPr>
          <w:color w:val="000000" w:themeColor="text1"/>
          <w:szCs w:val="24"/>
        </w:rPr>
        <w:t>.</w:t>
      </w:r>
      <w:r w:rsidR="00B0173A" w:rsidRPr="006F5D71">
        <w:rPr>
          <w:color w:val="000000" w:themeColor="text1"/>
          <w:szCs w:val="24"/>
        </w:rPr>
        <w:t xml:space="preserve"> </w:t>
      </w:r>
    </w:p>
    <w:p w14:paraId="0BC93B29" w14:textId="77777777" w:rsidR="006B7FF1" w:rsidRPr="006F5D71" w:rsidRDefault="003A6CBF" w:rsidP="0045753B">
      <w:pPr>
        <w:pStyle w:val="NoSpacing"/>
        <w:spacing w:line="360" w:lineRule="auto"/>
        <w:ind w:firstLine="720"/>
        <w:jc w:val="both"/>
        <w:rPr>
          <w:color w:val="000000" w:themeColor="text1"/>
          <w:szCs w:val="24"/>
        </w:rPr>
      </w:pPr>
      <w:r w:rsidRPr="006F5D71">
        <w:rPr>
          <w:color w:val="000000" w:themeColor="text1"/>
          <w:szCs w:val="24"/>
        </w:rPr>
        <w:t xml:space="preserve">The importance of </w:t>
      </w:r>
      <w:r w:rsidRPr="006F5D71">
        <w:rPr>
          <w:i/>
          <w:color w:val="000000" w:themeColor="text1"/>
          <w:szCs w:val="24"/>
        </w:rPr>
        <w:t xml:space="preserve">the relative capability of competitor </w:t>
      </w:r>
      <w:r w:rsidR="00806E3E" w:rsidRPr="006F5D71">
        <w:rPr>
          <w:i/>
          <w:color w:val="000000" w:themeColor="text1"/>
          <w:szCs w:val="24"/>
        </w:rPr>
        <w:t>firms</w:t>
      </w:r>
      <w:r w:rsidRPr="006F5D71">
        <w:rPr>
          <w:color w:val="000000" w:themeColor="text1"/>
          <w:szCs w:val="24"/>
        </w:rPr>
        <w:t xml:space="preserve"> often stays in the background in the discussion of </w:t>
      </w:r>
      <w:r w:rsidR="0045753B" w:rsidRPr="006F5D71">
        <w:rPr>
          <w:color w:val="000000" w:themeColor="text1"/>
          <w:szCs w:val="24"/>
        </w:rPr>
        <w:t>EMNC</w:t>
      </w:r>
      <w:r w:rsidR="0053097E" w:rsidRPr="006F5D71">
        <w:rPr>
          <w:color w:val="000000" w:themeColor="text1"/>
          <w:szCs w:val="24"/>
        </w:rPr>
        <w:t>s’</w:t>
      </w:r>
      <w:r w:rsidRPr="006F5D71">
        <w:rPr>
          <w:color w:val="000000" w:themeColor="text1"/>
          <w:szCs w:val="24"/>
        </w:rPr>
        <w:t xml:space="preserve"> </w:t>
      </w:r>
      <w:r w:rsidR="00041491" w:rsidRPr="006F5D71">
        <w:rPr>
          <w:color w:val="000000" w:themeColor="text1"/>
          <w:szCs w:val="24"/>
        </w:rPr>
        <w:t>FSA</w:t>
      </w:r>
      <w:r w:rsidR="0053097E" w:rsidRPr="006F5D71">
        <w:rPr>
          <w:color w:val="000000" w:themeColor="text1"/>
          <w:szCs w:val="24"/>
        </w:rPr>
        <w:t>s</w:t>
      </w:r>
      <w:r w:rsidR="00041491" w:rsidRPr="006F5D71">
        <w:rPr>
          <w:color w:val="000000" w:themeColor="text1"/>
          <w:szCs w:val="24"/>
        </w:rPr>
        <w:t xml:space="preserve"> </w:t>
      </w:r>
      <w:r w:rsidR="00EC497F" w:rsidRPr="006F5D71">
        <w:rPr>
          <w:color w:val="000000" w:themeColor="text1"/>
          <w:szCs w:val="24"/>
        </w:rPr>
        <w:t>and</w:t>
      </w:r>
      <w:r w:rsidRPr="006F5D71">
        <w:rPr>
          <w:color w:val="000000" w:themeColor="text1"/>
          <w:szCs w:val="24"/>
        </w:rPr>
        <w:t xml:space="preserve"> </w:t>
      </w:r>
      <w:r w:rsidR="006B7FF1" w:rsidRPr="006F5D71">
        <w:rPr>
          <w:color w:val="000000" w:themeColor="text1"/>
          <w:szCs w:val="24"/>
        </w:rPr>
        <w:t xml:space="preserve">only a handful of </w:t>
      </w:r>
      <w:r w:rsidRPr="006F5D71">
        <w:rPr>
          <w:color w:val="000000" w:themeColor="text1"/>
          <w:szCs w:val="24"/>
        </w:rPr>
        <w:t>empirical studies</w:t>
      </w:r>
      <w:r w:rsidR="006B7FF1" w:rsidRPr="006F5D71">
        <w:rPr>
          <w:color w:val="000000" w:themeColor="text1"/>
          <w:szCs w:val="24"/>
        </w:rPr>
        <w:t xml:space="preserve"> have tested the importance of relative FSA</w:t>
      </w:r>
      <w:r w:rsidR="0084320C">
        <w:rPr>
          <w:color w:val="000000" w:themeColor="text1"/>
          <w:szCs w:val="24"/>
        </w:rPr>
        <w:t>s</w:t>
      </w:r>
      <w:r w:rsidRPr="006F5D71">
        <w:rPr>
          <w:color w:val="000000" w:themeColor="text1"/>
          <w:szCs w:val="24"/>
        </w:rPr>
        <w:t>.</w:t>
      </w:r>
      <w:r w:rsidR="001B2A3E" w:rsidRPr="006F5D71">
        <w:rPr>
          <w:color w:val="000000" w:themeColor="text1"/>
        </w:rPr>
        <w:t xml:space="preserve"> </w:t>
      </w:r>
      <w:r w:rsidR="00EC497F" w:rsidRPr="006F5D71">
        <w:rPr>
          <w:color w:val="000000" w:themeColor="text1"/>
        </w:rPr>
        <w:t>Notable e</w:t>
      </w:r>
      <w:r w:rsidR="007D6290" w:rsidRPr="006F5D71">
        <w:rPr>
          <w:color w:val="000000" w:themeColor="text1"/>
        </w:rPr>
        <w:t>xceptions</w:t>
      </w:r>
      <w:r w:rsidR="004C7443" w:rsidRPr="006F5D71">
        <w:rPr>
          <w:color w:val="000000" w:themeColor="text1"/>
        </w:rPr>
        <w:t xml:space="preserve"> are</w:t>
      </w:r>
      <w:r w:rsidR="00FA26A5" w:rsidRPr="006F5D71">
        <w:rPr>
          <w:color w:val="000000" w:themeColor="text1"/>
        </w:rPr>
        <w:t xml:space="preserve"> </w:t>
      </w:r>
      <w:r w:rsidR="00EC497F" w:rsidRPr="006F5D71">
        <w:rPr>
          <w:color w:val="000000" w:themeColor="text1"/>
        </w:rPr>
        <w:t xml:space="preserve">studies that consider technological distance such as </w:t>
      </w:r>
      <w:r w:rsidR="001B2A3E" w:rsidRPr="006F5D71">
        <w:rPr>
          <w:color w:val="000000" w:themeColor="text1"/>
          <w:szCs w:val="24"/>
        </w:rPr>
        <w:t>Thakur-</w:t>
      </w:r>
      <w:proofErr w:type="spellStart"/>
      <w:r w:rsidR="001B2A3E" w:rsidRPr="006F5D71">
        <w:rPr>
          <w:color w:val="000000" w:themeColor="text1"/>
          <w:szCs w:val="24"/>
        </w:rPr>
        <w:t>Wernz</w:t>
      </w:r>
      <w:proofErr w:type="spellEnd"/>
      <w:r w:rsidR="001B2A3E" w:rsidRPr="006F5D71">
        <w:rPr>
          <w:color w:val="000000" w:themeColor="text1"/>
          <w:szCs w:val="24"/>
        </w:rPr>
        <w:t>, Cantwell</w:t>
      </w:r>
      <w:r w:rsidR="00F52463" w:rsidRPr="006F5D71">
        <w:rPr>
          <w:color w:val="000000" w:themeColor="text1"/>
          <w:szCs w:val="24"/>
        </w:rPr>
        <w:t>,</w:t>
      </w:r>
      <w:r w:rsidR="001B2A3E" w:rsidRPr="006F5D71">
        <w:rPr>
          <w:color w:val="000000" w:themeColor="text1"/>
          <w:szCs w:val="24"/>
        </w:rPr>
        <w:t xml:space="preserve"> and </w:t>
      </w:r>
      <w:proofErr w:type="spellStart"/>
      <w:r w:rsidR="001B2A3E" w:rsidRPr="006F5D71">
        <w:rPr>
          <w:color w:val="000000" w:themeColor="text1"/>
          <w:szCs w:val="24"/>
        </w:rPr>
        <w:t>Samant</w:t>
      </w:r>
      <w:proofErr w:type="spellEnd"/>
      <w:r w:rsidR="001B2A3E" w:rsidRPr="006F5D71">
        <w:rPr>
          <w:color w:val="000000" w:themeColor="text1"/>
          <w:szCs w:val="24"/>
        </w:rPr>
        <w:t xml:space="preserve"> (2019)</w:t>
      </w:r>
      <w:r w:rsidR="00806E3E" w:rsidRPr="006F5D71">
        <w:rPr>
          <w:color w:val="000000" w:themeColor="text1"/>
          <w:szCs w:val="24"/>
        </w:rPr>
        <w:t>, M</w:t>
      </w:r>
      <w:r w:rsidR="006D15B6" w:rsidRPr="006F5D71">
        <w:rPr>
          <w:color w:val="000000" w:themeColor="text1"/>
          <w:szCs w:val="24"/>
        </w:rPr>
        <w:t>akino</w:t>
      </w:r>
      <w:r w:rsidR="00F91AB6" w:rsidRPr="006F5D71">
        <w:rPr>
          <w:color w:val="000000" w:themeColor="text1"/>
          <w:szCs w:val="24"/>
        </w:rPr>
        <w:t>, Lau, &amp; Yah</w:t>
      </w:r>
      <w:r w:rsidR="006D15B6" w:rsidRPr="006F5D71">
        <w:rPr>
          <w:color w:val="000000" w:themeColor="text1"/>
          <w:szCs w:val="24"/>
        </w:rPr>
        <w:t xml:space="preserve"> (2002) </w:t>
      </w:r>
      <w:r w:rsidR="00EC497F" w:rsidRPr="006F5D71">
        <w:rPr>
          <w:color w:val="000000" w:themeColor="text1"/>
          <w:szCs w:val="24"/>
        </w:rPr>
        <w:t xml:space="preserve">and </w:t>
      </w:r>
      <w:r w:rsidR="00AC0053" w:rsidRPr="006F5D71">
        <w:rPr>
          <w:color w:val="000000" w:themeColor="text1"/>
          <w:szCs w:val="24"/>
        </w:rPr>
        <w:t>Sanfilippo (2015).</w:t>
      </w:r>
      <w:r w:rsidR="00DB4031" w:rsidRPr="006F5D71">
        <w:rPr>
          <w:color w:val="000000" w:themeColor="text1"/>
          <w:szCs w:val="24"/>
        </w:rPr>
        <w:t xml:space="preserve"> Cook (2014) explore</w:t>
      </w:r>
      <w:r w:rsidR="00186761" w:rsidRPr="006F5D71">
        <w:rPr>
          <w:color w:val="000000" w:themeColor="text1"/>
          <w:szCs w:val="24"/>
        </w:rPr>
        <w:t>s</w:t>
      </w:r>
      <w:r w:rsidR="00DB4031" w:rsidRPr="006F5D71">
        <w:rPr>
          <w:color w:val="000000" w:themeColor="text1"/>
          <w:szCs w:val="24"/>
        </w:rPr>
        <w:t xml:space="preserve"> the human resource management (HRM) practices of Chinese </w:t>
      </w:r>
      <w:r w:rsidR="005C7EEA" w:rsidRPr="006F5D71">
        <w:rPr>
          <w:color w:val="000000" w:themeColor="text1"/>
          <w:szCs w:val="24"/>
        </w:rPr>
        <w:t>high-tech firms</w:t>
      </w:r>
      <w:r w:rsidR="00DB4031" w:rsidRPr="006F5D71">
        <w:rPr>
          <w:color w:val="000000" w:themeColor="text1"/>
          <w:szCs w:val="24"/>
        </w:rPr>
        <w:t xml:space="preserve"> operating in foreign countries and find</w:t>
      </w:r>
      <w:r w:rsidR="00186761" w:rsidRPr="006F5D71">
        <w:rPr>
          <w:color w:val="000000" w:themeColor="text1"/>
          <w:szCs w:val="24"/>
        </w:rPr>
        <w:t>s</w:t>
      </w:r>
      <w:r w:rsidR="00DB4031" w:rsidRPr="006F5D71">
        <w:rPr>
          <w:color w:val="000000" w:themeColor="text1"/>
          <w:szCs w:val="24"/>
        </w:rPr>
        <w:t xml:space="preserve"> that these firms tend to have a competitive advantage over domestic firms in South/Southeast Asia and Africa in their </w:t>
      </w:r>
      <w:r w:rsidR="005C7EEA" w:rsidRPr="006F5D71">
        <w:rPr>
          <w:color w:val="000000" w:themeColor="text1"/>
          <w:szCs w:val="24"/>
        </w:rPr>
        <w:t>e</w:t>
      </w:r>
      <w:r w:rsidR="00DB4031" w:rsidRPr="006F5D71">
        <w:rPr>
          <w:color w:val="000000" w:themeColor="text1"/>
          <w:szCs w:val="24"/>
        </w:rPr>
        <w:t xml:space="preserve">mployee welfare policies, </w:t>
      </w:r>
      <w:r w:rsidR="005C7EEA" w:rsidRPr="006F5D71">
        <w:rPr>
          <w:color w:val="000000" w:themeColor="text1"/>
          <w:szCs w:val="24"/>
        </w:rPr>
        <w:t xml:space="preserve">training </w:t>
      </w:r>
      <w:r w:rsidR="0084320C">
        <w:rPr>
          <w:color w:val="000000" w:themeColor="text1"/>
          <w:szCs w:val="24"/>
        </w:rPr>
        <w:t>and</w:t>
      </w:r>
      <w:r w:rsidR="0084320C" w:rsidRPr="006F5D71">
        <w:rPr>
          <w:color w:val="000000" w:themeColor="text1"/>
          <w:szCs w:val="24"/>
        </w:rPr>
        <w:t xml:space="preserve"> </w:t>
      </w:r>
      <w:r w:rsidR="005C7EEA" w:rsidRPr="006F5D71">
        <w:rPr>
          <w:color w:val="000000" w:themeColor="text1"/>
          <w:szCs w:val="24"/>
        </w:rPr>
        <w:t>career development opportunities</w:t>
      </w:r>
      <w:r w:rsidR="0084320C">
        <w:rPr>
          <w:color w:val="000000" w:themeColor="text1"/>
          <w:szCs w:val="24"/>
        </w:rPr>
        <w:t>,</w:t>
      </w:r>
      <w:r w:rsidR="005C7EEA" w:rsidRPr="006F5D71">
        <w:rPr>
          <w:color w:val="000000" w:themeColor="text1"/>
          <w:szCs w:val="24"/>
        </w:rPr>
        <w:t xml:space="preserve"> </w:t>
      </w:r>
      <w:r w:rsidR="00DB4031" w:rsidRPr="006F5D71">
        <w:rPr>
          <w:color w:val="000000" w:themeColor="text1"/>
          <w:szCs w:val="24"/>
        </w:rPr>
        <w:t xml:space="preserve">and </w:t>
      </w:r>
      <w:r w:rsidR="005C7EEA" w:rsidRPr="006F5D71">
        <w:rPr>
          <w:color w:val="000000" w:themeColor="text1"/>
          <w:szCs w:val="24"/>
        </w:rPr>
        <w:t>organizational culture-building activities</w:t>
      </w:r>
      <w:r w:rsidR="00DB4031" w:rsidRPr="006F5D71">
        <w:rPr>
          <w:color w:val="000000" w:themeColor="text1"/>
          <w:szCs w:val="24"/>
        </w:rPr>
        <w:t>. However,</w:t>
      </w:r>
      <w:r w:rsidR="005C7EEA" w:rsidRPr="006F5D71">
        <w:rPr>
          <w:color w:val="000000" w:themeColor="text1"/>
          <w:szCs w:val="24"/>
        </w:rPr>
        <w:t xml:space="preserve"> the Chinese corporate brand reputation is not competitive i</w:t>
      </w:r>
      <w:r w:rsidR="003F19BE" w:rsidRPr="006F5D71">
        <w:rPr>
          <w:color w:val="000000" w:themeColor="text1"/>
          <w:szCs w:val="24"/>
        </w:rPr>
        <w:t>n Western countries</w:t>
      </w:r>
      <w:r w:rsidR="006B7FF1" w:rsidRPr="006F5D71">
        <w:rPr>
          <w:color w:val="000000" w:themeColor="text1"/>
          <w:szCs w:val="24"/>
        </w:rPr>
        <w:t xml:space="preserve"> and their </w:t>
      </w:r>
      <w:r w:rsidR="003F19BE" w:rsidRPr="006F5D71">
        <w:rPr>
          <w:color w:val="000000" w:themeColor="text1"/>
          <w:szCs w:val="24"/>
        </w:rPr>
        <w:t>pay-</w:t>
      </w:r>
      <w:r w:rsidR="005C7EEA" w:rsidRPr="006F5D71">
        <w:rPr>
          <w:color w:val="000000" w:themeColor="text1"/>
          <w:szCs w:val="24"/>
        </w:rPr>
        <w:t xml:space="preserve">level and performance-based rewards are lower than that of western local firms. </w:t>
      </w:r>
      <w:r w:rsidR="006B7FF1" w:rsidRPr="006F5D71">
        <w:rPr>
          <w:color w:val="000000" w:themeColor="text1"/>
          <w:szCs w:val="24"/>
        </w:rPr>
        <w:t>The</w:t>
      </w:r>
      <w:r w:rsidR="003D0A7C" w:rsidRPr="006F5D71">
        <w:rPr>
          <w:color w:val="000000" w:themeColor="text1"/>
          <w:szCs w:val="24"/>
        </w:rPr>
        <w:t xml:space="preserve"> World Investment Report (2019) </w:t>
      </w:r>
      <w:r w:rsidR="006B7FF1" w:rsidRPr="006F5D71">
        <w:rPr>
          <w:color w:val="000000" w:themeColor="text1"/>
          <w:szCs w:val="24"/>
        </w:rPr>
        <w:t xml:space="preserve">estimates </w:t>
      </w:r>
      <w:r w:rsidR="003D0A7C" w:rsidRPr="006F5D71">
        <w:rPr>
          <w:color w:val="000000" w:themeColor="text1"/>
          <w:szCs w:val="24"/>
        </w:rPr>
        <w:t xml:space="preserve">that the average asset base of the top 100 leading EMNCs is about </w:t>
      </w:r>
      <w:r w:rsidR="0033279B" w:rsidRPr="006F5D71">
        <w:rPr>
          <w:color w:val="000000" w:themeColor="text1"/>
          <w:szCs w:val="24"/>
        </w:rPr>
        <w:t>10.5</w:t>
      </w:r>
      <w:r w:rsidR="003D0A7C" w:rsidRPr="006F5D71">
        <w:rPr>
          <w:color w:val="000000" w:themeColor="text1"/>
          <w:szCs w:val="24"/>
        </w:rPr>
        <w:t>% of their peers from developed countries</w:t>
      </w:r>
      <w:r w:rsidR="008B3A4E" w:rsidRPr="006F5D71">
        <w:rPr>
          <w:color w:val="000000" w:themeColor="text1"/>
          <w:szCs w:val="24"/>
        </w:rPr>
        <w:t xml:space="preserve"> (UNCTAD, 2019)</w:t>
      </w:r>
      <w:r w:rsidR="003D0A7C" w:rsidRPr="006F5D71">
        <w:rPr>
          <w:color w:val="000000" w:themeColor="text1"/>
          <w:szCs w:val="24"/>
        </w:rPr>
        <w:t xml:space="preserve">. </w:t>
      </w:r>
      <w:r w:rsidR="006B7FF1" w:rsidRPr="006F5D71">
        <w:rPr>
          <w:color w:val="000000" w:themeColor="text1"/>
          <w:szCs w:val="24"/>
        </w:rPr>
        <w:t>T</w:t>
      </w:r>
      <w:r w:rsidR="003F19BE" w:rsidRPr="006F5D71">
        <w:rPr>
          <w:color w:val="000000" w:themeColor="text1"/>
          <w:szCs w:val="24"/>
        </w:rPr>
        <w:t>he main takeaway from these studies is that</w:t>
      </w:r>
      <w:r w:rsidR="00F91AB6" w:rsidRPr="006F5D71">
        <w:rPr>
          <w:color w:val="000000" w:themeColor="text1"/>
          <w:szCs w:val="24"/>
        </w:rPr>
        <w:t xml:space="preserve"> a</w:t>
      </w:r>
      <w:r w:rsidRPr="006F5D71">
        <w:rPr>
          <w:color w:val="000000" w:themeColor="text1"/>
          <w:szCs w:val="24"/>
        </w:rPr>
        <w:t>ny discussion of FSA</w:t>
      </w:r>
      <w:r w:rsidR="0084320C">
        <w:rPr>
          <w:color w:val="000000" w:themeColor="text1"/>
          <w:szCs w:val="24"/>
        </w:rPr>
        <w:t>s</w:t>
      </w:r>
      <w:r w:rsidRPr="006F5D71">
        <w:rPr>
          <w:color w:val="000000" w:themeColor="text1"/>
          <w:szCs w:val="24"/>
        </w:rPr>
        <w:t xml:space="preserve"> as a source of dynamic competitive advantage r</w:t>
      </w:r>
      <w:r w:rsidR="007D6290" w:rsidRPr="006F5D71">
        <w:rPr>
          <w:color w:val="000000" w:themeColor="text1"/>
          <w:szCs w:val="24"/>
        </w:rPr>
        <w:t>equires that the FSA of the EMNC</w:t>
      </w:r>
      <w:r w:rsidRPr="006F5D71">
        <w:rPr>
          <w:color w:val="000000" w:themeColor="text1"/>
          <w:szCs w:val="24"/>
        </w:rPr>
        <w:t xml:space="preserve"> is </w:t>
      </w:r>
      <w:r w:rsidR="0045753B" w:rsidRPr="006F5D71">
        <w:rPr>
          <w:color w:val="000000" w:themeColor="text1"/>
          <w:szCs w:val="24"/>
        </w:rPr>
        <w:t>stronger</w:t>
      </w:r>
      <w:r w:rsidRPr="006F5D71">
        <w:rPr>
          <w:color w:val="000000" w:themeColor="text1"/>
          <w:szCs w:val="24"/>
        </w:rPr>
        <w:t xml:space="preserve"> when compared to host country firms</w:t>
      </w:r>
      <w:r w:rsidR="008B3A4E" w:rsidRPr="006F5D71">
        <w:rPr>
          <w:color w:val="000000" w:themeColor="text1"/>
          <w:szCs w:val="24"/>
        </w:rPr>
        <w:t xml:space="preserve">. </w:t>
      </w:r>
      <w:r w:rsidRPr="006F5D71">
        <w:rPr>
          <w:color w:val="000000" w:themeColor="text1"/>
          <w:szCs w:val="24"/>
        </w:rPr>
        <w:t>Without this order of FSA, it would be impossible to derive longer</w:t>
      </w:r>
      <w:r w:rsidR="00F06452" w:rsidRPr="006F5D71">
        <w:rPr>
          <w:color w:val="000000" w:themeColor="text1"/>
          <w:szCs w:val="24"/>
        </w:rPr>
        <w:t>-</w:t>
      </w:r>
      <w:r w:rsidRPr="006F5D71">
        <w:rPr>
          <w:color w:val="000000" w:themeColor="text1"/>
          <w:szCs w:val="24"/>
        </w:rPr>
        <w:t xml:space="preserve">term rents and competitive </w:t>
      </w:r>
      <w:r w:rsidR="00806E3E" w:rsidRPr="006F5D71">
        <w:rPr>
          <w:color w:val="000000" w:themeColor="text1"/>
          <w:szCs w:val="24"/>
        </w:rPr>
        <w:t>advantage, which</w:t>
      </w:r>
      <w:r w:rsidRPr="006F5D71">
        <w:rPr>
          <w:color w:val="000000" w:themeColor="text1"/>
          <w:szCs w:val="24"/>
        </w:rPr>
        <w:t xml:space="preserve"> alone would justify the higher costs and riskiness of investing abroad. If a firm did not enjoy relative FSA</w:t>
      </w:r>
      <w:r w:rsidR="00FD709C">
        <w:rPr>
          <w:color w:val="000000" w:themeColor="text1"/>
          <w:szCs w:val="24"/>
        </w:rPr>
        <w:t>s</w:t>
      </w:r>
      <w:r w:rsidRPr="006F5D71">
        <w:rPr>
          <w:color w:val="000000" w:themeColor="text1"/>
          <w:szCs w:val="24"/>
        </w:rPr>
        <w:t>, it would not be able to survive in a market</w:t>
      </w:r>
      <w:r w:rsidR="00F06452" w:rsidRPr="006F5D71">
        <w:rPr>
          <w:color w:val="000000" w:themeColor="text1"/>
          <w:szCs w:val="24"/>
        </w:rPr>
        <w:t>,</w:t>
      </w:r>
      <w:r w:rsidRPr="006F5D71">
        <w:rPr>
          <w:color w:val="000000" w:themeColor="text1"/>
          <w:szCs w:val="24"/>
        </w:rPr>
        <w:t xml:space="preserve"> </w:t>
      </w:r>
      <w:r w:rsidR="006B7FF1" w:rsidRPr="006F5D71">
        <w:rPr>
          <w:color w:val="000000" w:themeColor="text1"/>
          <w:szCs w:val="24"/>
        </w:rPr>
        <w:t xml:space="preserve">for </w:t>
      </w:r>
      <w:r w:rsidRPr="006F5D71">
        <w:rPr>
          <w:color w:val="000000" w:themeColor="text1"/>
          <w:szCs w:val="24"/>
        </w:rPr>
        <w:t>its initial advantages would be impossible to sustain in the face of imitative behavior or employee turnover.</w:t>
      </w:r>
    </w:p>
    <w:p w14:paraId="41EF3816" w14:textId="77777777" w:rsidR="007144DD" w:rsidRPr="006F5D71" w:rsidRDefault="006B7FF1" w:rsidP="005B7C1F">
      <w:pPr>
        <w:pStyle w:val="NoSpacing"/>
        <w:spacing w:line="360" w:lineRule="auto"/>
        <w:ind w:firstLine="720"/>
        <w:jc w:val="both"/>
        <w:rPr>
          <w:color w:val="000000" w:themeColor="text1"/>
          <w:szCs w:val="24"/>
        </w:rPr>
      </w:pPr>
      <w:r w:rsidRPr="006F5D71">
        <w:rPr>
          <w:color w:val="000000" w:themeColor="text1"/>
          <w:szCs w:val="24"/>
        </w:rPr>
        <w:t>For EMNCs,</w:t>
      </w:r>
      <w:r w:rsidR="0045753B" w:rsidRPr="006F5D71">
        <w:rPr>
          <w:color w:val="000000" w:themeColor="text1"/>
          <w:szCs w:val="24"/>
        </w:rPr>
        <w:t xml:space="preserve"> relative FSA</w:t>
      </w:r>
      <w:r w:rsidR="00F06452" w:rsidRPr="006F5D71">
        <w:rPr>
          <w:color w:val="000000" w:themeColor="text1"/>
          <w:szCs w:val="24"/>
        </w:rPr>
        <w:t>s</w:t>
      </w:r>
      <w:r w:rsidR="0045753B" w:rsidRPr="006F5D71">
        <w:rPr>
          <w:color w:val="000000" w:themeColor="text1"/>
          <w:szCs w:val="24"/>
        </w:rPr>
        <w:t xml:space="preserve"> are likely to be stronger in countries of the South </w:t>
      </w:r>
      <w:r w:rsidR="0053097E" w:rsidRPr="006F5D71">
        <w:rPr>
          <w:color w:val="000000" w:themeColor="text1"/>
          <w:szCs w:val="24"/>
        </w:rPr>
        <w:t>as</w:t>
      </w:r>
      <w:r w:rsidR="0045753B" w:rsidRPr="006F5D71">
        <w:rPr>
          <w:color w:val="000000" w:themeColor="text1"/>
          <w:szCs w:val="24"/>
        </w:rPr>
        <w:t xml:space="preserve"> compared to the North.</w:t>
      </w:r>
      <w:r w:rsidR="00F72D31">
        <w:rPr>
          <w:color w:val="000000" w:themeColor="text1"/>
          <w:szCs w:val="24"/>
        </w:rPr>
        <w:t xml:space="preserve"> </w:t>
      </w:r>
      <w:r w:rsidR="00C40850" w:rsidRPr="006F5D71">
        <w:rPr>
          <w:color w:val="000000" w:themeColor="text1"/>
          <w:szCs w:val="24"/>
        </w:rPr>
        <w:t>In the North, EMNC subsidiaries are more like firms scouting for the best technology or market niche, with weak FSAs compared to their rivals. Their aim with such investment is to strengthen capabilities (technology, managerial capabilities, and innovation), leading to enhanced competitiveness and stronger owner</w:t>
      </w:r>
      <w:r w:rsidR="001635D4" w:rsidRPr="006F5D71">
        <w:rPr>
          <w:color w:val="000000" w:themeColor="text1"/>
          <w:szCs w:val="24"/>
        </w:rPr>
        <w:t>ship advantages (</w:t>
      </w:r>
      <w:r w:rsidR="00031A06" w:rsidRPr="006F5D71">
        <w:rPr>
          <w:color w:val="000000" w:themeColor="text1"/>
          <w:szCs w:val="24"/>
        </w:rPr>
        <w:t xml:space="preserve">Lee, Narula &amp; </w:t>
      </w:r>
      <w:proofErr w:type="spellStart"/>
      <w:r w:rsidR="00031A06" w:rsidRPr="006F5D71">
        <w:rPr>
          <w:color w:val="000000" w:themeColor="text1"/>
          <w:szCs w:val="24"/>
        </w:rPr>
        <w:t>Hillemann</w:t>
      </w:r>
      <w:proofErr w:type="spellEnd"/>
      <w:r w:rsidR="00031A06" w:rsidRPr="006F5D71">
        <w:rPr>
          <w:color w:val="000000" w:themeColor="text1"/>
          <w:szCs w:val="24"/>
        </w:rPr>
        <w:t>, 2021</w:t>
      </w:r>
      <w:r w:rsidR="00C40850" w:rsidRPr="006F5D71">
        <w:rPr>
          <w:color w:val="000000" w:themeColor="text1"/>
          <w:szCs w:val="24"/>
        </w:rPr>
        <w:t>). Despite the impressive accomplishments of many MNCs from emerging markets in the North, EMNCs generally do not possess significant comparative advantages relative to the domestic firms in advanced countries</w:t>
      </w:r>
      <w:r w:rsidR="00A1064B" w:rsidRPr="006F5D71">
        <w:rPr>
          <w:color w:val="000000" w:themeColor="text1"/>
          <w:szCs w:val="24"/>
        </w:rPr>
        <w:t xml:space="preserve"> (James et al., 2020)</w:t>
      </w:r>
      <w:r w:rsidR="00C40850" w:rsidRPr="006F5D71">
        <w:rPr>
          <w:color w:val="000000" w:themeColor="text1"/>
          <w:szCs w:val="24"/>
        </w:rPr>
        <w:t>.</w:t>
      </w:r>
      <w:r w:rsidR="00A1064B" w:rsidRPr="006F5D71">
        <w:rPr>
          <w:color w:val="000000" w:themeColor="text1"/>
          <w:szCs w:val="24"/>
        </w:rPr>
        <w:t xml:space="preserve"> For </w:t>
      </w:r>
      <w:r w:rsidR="00A1064B" w:rsidRPr="006F5D71">
        <w:rPr>
          <w:color w:val="000000" w:themeColor="text1"/>
          <w:szCs w:val="24"/>
        </w:rPr>
        <w:lastRenderedPageBreak/>
        <w:t xml:space="preserve">example, </w:t>
      </w:r>
      <w:r w:rsidR="0053097E" w:rsidRPr="006F5D71">
        <w:rPr>
          <w:color w:val="000000" w:themeColor="text1"/>
          <w:szCs w:val="24"/>
        </w:rPr>
        <w:t>the</w:t>
      </w:r>
      <w:r w:rsidR="00A1064B" w:rsidRPr="006F5D71">
        <w:rPr>
          <w:color w:val="000000" w:themeColor="text1"/>
          <w:szCs w:val="24"/>
        </w:rPr>
        <w:t xml:space="preserve"> organizational and human </w:t>
      </w:r>
      <w:r w:rsidR="0053097E" w:rsidRPr="006F5D71">
        <w:rPr>
          <w:color w:val="000000" w:themeColor="text1"/>
          <w:szCs w:val="24"/>
        </w:rPr>
        <w:t>resource practices prevalent in</w:t>
      </w:r>
      <w:r w:rsidR="00A1064B" w:rsidRPr="006F5D71">
        <w:rPr>
          <w:color w:val="000000" w:themeColor="text1"/>
          <w:szCs w:val="24"/>
        </w:rPr>
        <w:t xml:space="preserve"> EM</w:t>
      </w:r>
      <w:r w:rsidR="003F19BE" w:rsidRPr="006F5D71">
        <w:rPr>
          <w:color w:val="000000" w:themeColor="text1"/>
          <w:szCs w:val="24"/>
        </w:rPr>
        <w:t>N</w:t>
      </w:r>
      <w:r w:rsidR="00A1064B" w:rsidRPr="006F5D71">
        <w:rPr>
          <w:color w:val="000000" w:themeColor="text1"/>
          <w:szCs w:val="24"/>
        </w:rPr>
        <w:t xml:space="preserve">Cs </w:t>
      </w:r>
      <w:r w:rsidR="0053097E" w:rsidRPr="006F5D71">
        <w:rPr>
          <w:color w:val="000000" w:themeColor="text1"/>
          <w:szCs w:val="24"/>
        </w:rPr>
        <w:t xml:space="preserve">give them </w:t>
      </w:r>
      <w:r w:rsidR="00A1064B" w:rsidRPr="006F5D71">
        <w:rPr>
          <w:color w:val="000000" w:themeColor="text1"/>
          <w:szCs w:val="24"/>
        </w:rPr>
        <w:t xml:space="preserve">a disadvantage in </w:t>
      </w:r>
      <w:r w:rsidR="00F72D31">
        <w:rPr>
          <w:color w:val="000000" w:themeColor="text1"/>
          <w:szCs w:val="24"/>
        </w:rPr>
        <w:t xml:space="preserve">the </w:t>
      </w:r>
      <w:r w:rsidR="00A1064B" w:rsidRPr="006F5D71">
        <w:rPr>
          <w:color w:val="000000" w:themeColor="text1"/>
          <w:szCs w:val="24"/>
        </w:rPr>
        <w:t xml:space="preserve">North as </w:t>
      </w:r>
      <w:r w:rsidR="00F52463" w:rsidRPr="006F5D71">
        <w:rPr>
          <w:color w:val="000000" w:themeColor="text1"/>
          <w:szCs w:val="24"/>
        </w:rPr>
        <w:t xml:space="preserve">the </w:t>
      </w:r>
      <w:r w:rsidR="00A1064B" w:rsidRPr="006F5D71">
        <w:rPr>
          <w:color w:val="000000" w:themeColor="text1"/>
          <w:szCs w:val="24"/>
        </w:rPr>
        <w:t xml:space="preserve">human resource and organizational capabilities of domestic firms in </w:t>
      </w:r>
      <w:r w:rsidR="00F72D31">
        <w:rPr>
          <w:color w:val="000000" w:themeColor="text1"/>
          <w:szCs w:val="24"/>
        </w:rPr>
        <w:t xml:space="preserve">the </w:t>
      </w:r>
      <w:r w:rsidR="00A1064B" w:rsidRPr="006F5D71">
        <w:rPr>
          <w:color w:val="000000" w:themeColor="text1"/>
          <w:szCs w:val="24"/>
        </w:rPr>
        <w:t xml:space="preserve">North are </w:t>
      </w:r>
      <w:r w:rsidR="00806E3E" w:rsidRPr="006F5D71">
        <w:rPr>
          <w:color w:val="000000" w:themeColor="text1"/>
          <w:szCs w:val="24"/>
        </w:rPr>
        <w:t>far</w:t>
      </w:r>
      <w:r w:rsidR="00A1064B" w:rsidRPr="006F5D71">
        <w:rPr>
          <w:color w:val="000000" w:themeColor="text1"/>
          <w:szCs w:val="24"/>
        </w:rPr>
        <w:t xml:space="preserve"> superior to EMNCs’ capabilities (Narula, 2015). However, these capabilities provide </w:t>
      </w:r>
      <w:r w:rsidR="00A84946" w:rsidRPr="006F5D71">
        <w:rPr>
          <w:color w:val="000000" w:themeColor="text1"/>
          <w:szCs w:val="24"/>
        </w:rPr>
        <w:t>EMNCs</w:t>
      </w:r>
      <w:r w:rsidR="00A1064B" w:rsidRPr="006F5D71">
        <w:rPr>
          <w:color w:val="000000" w:themeColor="text1"/>
          <w:szCs w:val="24"/>
        </w:rPr>
        <w:t xml:space="preserve"> </w:t>
      </w:r>
      <w:r w:rsidR="00F72D31">
        <w:rPr>
          <w:color w:val="000000" w:themeColor="text1"/>
          <w:szCs w:val="24"/>
        </w:rPr>
        <w:t xml:space="preserve">with </w:t>
      </w:r>
      <w:r w:rsidR="00A1064B" w:rsidRPr="006F5D71">
        <w:rPr>
          <w:color w:val="000000" w:themeColor="text1"/>
          <w:szCs w:val="24"/>
        </w:rPr>
        <w:t xml:space="preserve">a competitive advantage in </w:t>
      </w:r>
      <w:r w:rsidR="00F72D31">
        <w:rPr>
          <w:color w:val="000000" w:themeColor="text1"/>
          <w:szCs w:val="24"/>
        </w:rPr>
        <w:t xml:space="preserve">the </w:t>
      </w:r>
      <w:r w:rsidR="00A1064B" w:rsidRPr="006F5D71">
        <w:rPr>
          <w:color w:val="000000" w:themeColor="text1"/>
          <w:szCs w:val="24"/>
        </w:rPr>
        <w:t xml:space="preserve">South where indigenous firms </w:t>
      </w:r>
      <w:r w:rsidR="003F19BE" w:rsidRPr="006F5D71">
        <w:rPr>
          <w:color w:val="000000" w:themeColor="text1"/>
          <w:szCs w:val="24"/>
        </w:rPr>
        <w:t xml:space="preserve">are </w:t>
      </w:r>
      <w:r w:rsidR="00D44DBD" w:rsidRPr="006F5D71">
        <w:rPr>
          <w:color w:val="000000" w:themeColor="text1"/>
          <w:szCs w:val="24"/>
        </w:rPr>
        <w:t>less likely to</w:t>
      </w:r>
      <w:r w:rsidR="00A1064B" w:rsidRPr="006F5D71">
        <w:rPr>
          <w:color w:val="000000" w:themeColor="text1"/>
          <w:szCs w:val="24"/>
        </w:rPr>
        <w:t xml:space="preserve"> possess</w:t>
      </w:r>
      <w:r w:rsidR="00A84946" w:rsidRPr="006F5D71">
        <w:rPr>
          <w:color w:val="000000" w:themeColor="text1"/>
          <w:szCs w:val="24"/>
        </w:rPr>
        <w:t xml:space="preserve"> such capabilities at </w:t>
      </w:r>
      <w:r w:rsidR="00F52463" w:rsidRPr="006F5D71">
        <w:rPr>
          <w:color w:val="000000" w:themeColor="text1"/>
          <w:szCs w:val="24"/>
        </w:rPr>
        <w:t xml:space="preserve">a </w:t>
      </w:r>
      <w:r w:rsidR="00A84946" w:rsidRPr="006F5D71">
        <w:rPr>
          <w:color w:val="000000" w:themeColor="text1"/>
          <w:szCs w:val="24"/>
        </w:rPr>
        <w:t>sophisticated level (</w:t>
      </w:r>
      <w:r w:rsidR="00D44DBD" w:rsidRPr="006F5D71">
        <w:rPr>
          <w:color w:val="000000" w:themeColor="text1"/>
          <w:szCs w:val="24"/>
        </w:rPr>
        <w:t xml:space="preserve">Shrestha, McKinley-Floyd, &amp; </w:t>
      </w:r>
      <w:proofErr w:type="spellStart"/>
      <w:r w:rsidR="00D44DBD" w:rsidRPr="006F5D71">
        <w:rPr>
          <w:color w:val="000000" w:themeColor="text1"/>
          <w:szCs w:val="24"/>
        </w:rPr>
        <w:t>Mtigwe</w:t>
      </w:r>
      <w:proofErr w:type="spellEnd"/>
      <w:r w:rsidR="00D44DBD" w:rsidRPr="006F5D71">
        <w:rPr>
          <w:color w:val="000000" w:themeColor="text1"/>
          <w:szCs w:val="24"/>
        </w:rPr>
        <w:t>, 2008</w:t>
      </w:r>
      <w:r w:rsidR="00A84946" w:rsidRPr="006F5D71">
        <w:rPr>
          <w:color w:val="000000" w:themeColor="text1"/>
          <w:szCs w:val="24"/>
        </w:rPr>
        <w:t xml:space="preserve">). </w:t>
      </w:r>
      <w:r w:rsidR="003F19BE" w:rsidRPr="006F5D71">
        <w:rPr>
          <w:color w:val="000000" w:themeColor="text1"/>
          <w:szCs w:val="24"/>
        </w:rPr>
        <w:t>In South</w:t>
      </w:r>
      <w:r w:rsidR="00806E3E" w:rsidRPr="006F5D71">
        <w:rPr>
          <w:color w:val="000000" w:themeColor="text1"/>
          <w:szCs w:val="24"/>
        </w:rPr>
        <w:t>ern locations</w:t>
      </w:r>
      <w:r w:rsidR="007F3AAD" w:rsidRPr="006F5D71">
        <w:rPr>
          <w:color w:val="000000" w:themeColor="text1"/>
          <w:szCs w:val="24"/>
        </w:rPr>
        <w:t>, EMNCs</w:t>
      </w:r>
      <w:r w:rsidR="00AA4CD2" w:rsidRPr="006F5D71">
        <w:rPr>
          <w:color w:val="000000" w:themeColor="text1"/>
          <w:szCs w:val="24"/>
        </w:rPr>
        <w:t>, in fact,</w:t>
      </w:r>
      <w:r w:rsidR="007F3AAD" w:rsidRPr="006F5D71">
        <w:rPr>
          <w:color w:val="000000" w:themeColor="text1"/>
          <w:szCs w:val="24"/>
        </w:rPr>
        <w:t xml:space="preserve"> play </w:t>
      </w:r>
      <w:r w:rsidR="00F52463" w:rsidRPr="006F5D71">
        <w:rPr>
          <w:color w:val="000000" w:themeColor="text1"/>
          <w:szCs w:val="24"/>
        </w:rPr>
        <w:t>the</w:t>
      </w:r>
      <w:r w:rsidR="007F3AAD" w:rsidRPr="006F5D71">
        <w:rPr>
          <w:color w:val="000000" w:themeColor="text1"/>
          <w:szCs w:val="24"/>
        </w:rPr>
        <w:t xml:space="preserve"> role of “knowledge provider”. </w:t>
      </w:r>
      <w:r w:rsidR="00C95487" w:rsidRPr="006F5D71">
        <w:rPr>
          <w:color w:val="000000" w:themeColor="text1"/>
          <w:szCs w:val="24"/>
        </w:rPr>
        <w:t>Rui</w:t>
      </w:r>
      <w:r w:rsidR="00AA4CD2" w:rsidRPr="006F5D71">
        <w:rPr>
          <w:color w:val="000000" w:themeColor="text1"/>
          <w:szCs w:val="24"/>
        </w:rPr>
        <w:t xml:space="preserve"> </w:t>
      </w:r>
      <w:r w:rsidR="00D27E94" w:rsidRPr="006F5D71">
        <w:rPr>
          <w:color w:val="000000" w:themeColor="text1"/>
          <w:szCs w:val="24"/>
        </w:rPr>
        <w:t>et al.</w:t>
      </w:r>
      <w:r w:rsidR="00AA4CD2" w:rsidRPr="006F5D71">
        <w:rPr>
          <w:color w:val="000000" w:themeColor="text1"/>
          <w:szCs w:val="24"/>
        </w:rPr>
        <w:t xml:space="preserve"> (</w:t>
      </w:r>
      <w:r w:rsidR="007F3AAD" w:rsidRPr="006F5D71">
        <w:rPr>
          <w:color w:val="000000" w:themeColor="text1"/>
          <w:szCs w:val="24"/>
        </w:rPr>
        <w:t xml:space="preserve">2016) explain that EMNCs possess superior knowledge and organizational practices compared to domestic firms in </w:t>
      </w:r>
      <w:r w:rsidR="00806E3E" w:rsidRPr="006F5D71">
        <w:rPr>
          <w:color w:val="000000" w:themeColor="text1"/>
          <w:szCs w:val="24"/>
        </w:rPr>
        <w:t>the South, which</w:t>
      </w:r>
      <w:r w:rsidR="007F3AAD" w:rsidRPr="006F5D71">
        <w:rPr>
          <w:color w:val="000000" w:themeColor="text1"/>
          <w:szCs w:val="24"/>
        </w:rPr>
        <w:t xml:space="preserve"> makes them </w:t>
      </w:r>
      <w:r w:rsidR="00F52463" w:rsidRPr="006F5D71">
        <w:rPr>
          <w:color w:val="000000" w:themeColor="text1"/>
          <w:szCs w:val="24"/>
        </w:rPr>
        <w:t xml:space="preserve">an </w:t>
      </w:r>
      <w:r w:rsidR="007F3AAD" w:rsidRPr="006F5D71">
        <w:rPr>
          <w:color w:val="000000" w:themeColor="text1"/>
          <w:szCs w:val="24"/>
        </w:rPr>
        <w:t>importa</w:t>
      </w:r>
      <w:r w:rsidR="00291D64" w:rsidRPr="006F5D71">
        <w:rPr>
          <w:color w:val="000000" w:themeColor="text1"/>
          <w:szCs w:val="24"/>
        </w:rPr>
        <w:t xml:space="preserve">nt supplier of knowledge to these </w:t>
      </w:r>
      <w:r w:rsidR="007F3AAD" w:rsidRPr="006F5D71">
        <w:rPr>
          <w:color w:val="000000" w:themeColor="text1"/>
          <w:szCs w:val="24"/>
        </w:rPr>
        <w:t xml:space="preserve">firms. Some EMNCs do so by simultaneously acquiring knowledge in developed markets. </w:t>
      </w:r>
      <w:r w:rsidR="00A84946" w:rsidRPr="006F5D71">
        <w:rPr>
          <w:color w:val="000000" w:themeColor="text1"/>
          <w:szCs w:val="24"/>
        </w:rPr>
        <w:t xml:space="preserve">Another </w:t>
      </w:r>
      <w:r w:rsidR="00291D64" w:rsidRPr="006F5D71">
        <w:rPr>
          <w:color w:val="000000" w:themeColor="text1"/>
          <w:szCs w:val="24"/>
        </w:rPr>
        <w:t xml:space="preserve">possible </w:t>
      </w:r>
      <w:r w:rsidR="00A84946" w:rsidRPr="006F5D71">
        <w:rPr>
          <w:color w:val="000000" w:themeColor="text1"/>
          <w:szCs w:val="24"/>
        </w:rPr>
        <w:t>source of competitive di</w:t>
      </w:r>
      <w:r w:rsidR="00291D64" w:rsidRPr="006F5D71">
        <w:rPr>
          <w:color w:val="000000" w:themeColor="text1"/>
          <w:szCs w:val="24"/>
        </w:rPr>
        <w:t xml:space="preserve">sadvantage for EMNCs in </w:t>
      </w:r>
      <w:r w:rsidR="00806E3E" w:rsidRPr="006F5D71">
        <w:rPr>
          <w:color w:val="000000" w:themeColor="text1"/>
          <w:szCs w:val="24"/>
        </w:rPr>
        <w:t xml:space="preserve">the </w:t>
      </w:r>
      <w:r w:rsidR="00291D64" w:rsidRPr="006F5D71">
        <w:rPr>
          <w:color w:val="000000" w:themeColor="text1"/>
          <w:szCs w:val="24"/>
        </w:rPr>
        <w:t>North is</w:t>
      </w:r>
      <w:r w:rsidR="00A84946" w:rsidRPr="006F5D71">
        <w:rPr>
          <w:color w:val="000000" w:themeColor="text1"/>
          <w:szCs w:val="24"/>
        </w:rPr>
        <w:t xml:space="preserve"> </w:t>
      </w:r>
      <w:r w:rsidR="00236E35" w:rsidRPr="006F5D71">
        <w:rPr>
          <w:color w:val="000000" w:themeColor="text1"/>
          <w:szCs w:val="24"/>
        </w:rPr>
        <w:t xml:space="preserve">a </w:t>
      </w:r>
      <w:r w:rsidR="00EF31F9" w:rsidRPr="006F5D71">
        <w:rPr>
          <w:color w:val="000000" w:themeColor="text1"/>
          <w:szCs w:val="24"/>
        </w:rPr>
        <w:t>relative</w:t>
      </w:r>
      <w:r w:rsidR="00236E35" w:rsidRPr="006F5D71">
        <w:rPr>
          <w:color w:val="000000" w:themeColor="text1"/>
          <w:szCs w:val="24"/>
        </w:rPr>
        <w:t>ly</w:t>
      </w:r>
      <w:r w:rsidR="00EF31F9" w:rsidRPr="006F5D71">
        <w:rPr>
          <w:color w:val="000000" w:themeColor="text1"/>
          <w:szCs w:val="24"/>
        </w:rPr>
        <w:t xml:space="preserve"> weak </w:t>
      </w:r>
      <w:r w:rsidR="00A84946" w:rsidRPr="006F5D71">
        <w:rPr>
          <w:color w:val="000000" w:themeColor="text1"/>
          <w:szCs w:val="24"/>
        </w:rPr>
        <w:t>internal knowledge</w:t>
      </w:r>
      <w:r w:rsidR="00EF31F9" w:rsidRPr="006F5D71">
        <w:rPr>
          <w:color w:val="000000" w:themeColor="text1"/>
          <w:szCs w:val="24"/>
        </w:rPr>
        <w:t xml:space="preserve"> base</w:t>
      </w:r>
      <w:r w:rsidR="00C3487B" w:rsidRPr="006F5D71">
        <w:rPr>
          <w:color w:val="000000" w:themeColor="text1"/>
          <w:szCs w:val="24"/>
        </w:rPr>
        <w:t xml:space="preserve"> d</w:t>
      </w:r>
      <w:r w:rsidR="00EF31F9" w:rsidRPr="006F5D71">
        <w:rPr>
          <w:color w:val="000000" w:themeColor="text1"/>
          <w:szCs w:val="24"/>
        </w:rPr>
        <w:t xml:space="preserve">ue to the lack of sophisticated product </w:t>
      </w:r>
      <w:r w:rsidR="00F72D31">
        <w:rPr>
          <w:color w:val="000000" w:themeColor="text1"/>
          <w:szCs w:val="24"/>
        </w:rPr>
        <w:t>and</w:t>
      </w:r>
      <w:r w:rsidR="00F72D31" w:rsidRPr="006F5D71">
        <w:rPr>
          <w:color w:val="000000" w:themeColor="text1"/>
          <w:szCs w:val="24"/>
        </w:rPr>
        <w:t xml:space="preserve"> </w:t>
      </w:r>
      <w:r w:rsidR="00EF31F9" w:rsidRPr="006F5D71">
        <w:rPr>
          <w:color w:val="000000" w:themeColor="text1"/>
          <w:szCs w:val="24"/>
        </w:rPr>
        <w:t>input markets</w:t>
      </w:r>
      <w:r w:rsidR="00F72D31">
        <w:rPr>
          <w:color w:val="000000" w:themeColor="text1"/>
          <w:szCs w:val="24"/>
        </w:rPr>
        <w:t>,</w:t>
      </w:r>
      <w:r w:rsidR="00EF31F9" w:rsidRPr="006F5D71">
        <w:rPr>
          <w:color w:val="000000" w:themeColor="text1"/>
          <w:szCs w:val="24"/>
        </w:rPr>
        <w:t xml:space="preserve"> and R&amp;D organizations</w:t>
      </w:r>
      <w:r w:rsidR="008D6764" w:rsidRPr="006F5D71">
        <w:rPr>
          <w:color w:val="000000" w:themeColor="text1"/>
          <w:szCs w:val="24"/>
        </w:rPr>
        <w:t xml:space="preserve"> (James et al., 2020</w:t>
      </w:r>
      <w:r w:rsidR="00EF31F9" w:rsidRPr="006F5D71">
        <w:rPr>
          <w:color w:val="000000" w:themeColor="text1"/>
          <w:szCs w:val="24"/>
        </w:rPr>
        <w:t>).</w:t>
      </w:r>
      <w:r w:rsidR="00E90C6F" w:rsidRPr="006F5D71">
        <w:rPr>
          <w:color w:val="000000" w:themeColor="text1"/>
          <w:szCs w:val="24"/>
        </w:rPr>
        <w:t xml:space="preserve"> </w:t>
      </w:r>
      <w:r w:rsidR="00A636E4" w:rsidRPr="006F5D71">
        <w:rPr>
          <w:color w:val="000000" w:themeColor="text1"/>
          <w:szCs w:val="24"/>
        </w:rPr>
        <w:t xml:space="preserve">Barnard (2010) </w:t>
      </w:r>
      <w:r w:rsidR="00C3487B" w:rsidRPr="006F5D71">
        <w:rPr>
          <w:color w:val="000000" w:themeColor="text1"/>
          <w:szCs w:val="24"/>
        </w:rPr>
        <w:t xml:space="preserve">also </w:t>
      </w:r>
      <w:r w:rsidR="00A636E4" w:rsidRPr="006F5D71">
        <w:rPr>
          <w:color w:val="000000" w:themeColor="text1"/>
          <w:szCs w:val="24"/>
        </w:rPr>
        <w:t xml:space="preserve">notes </w:t>
      </w:r>
      <w:r w:rsidR="00C3487B" w:rsidRPr="006F5D71">
        <w:rPr>
          <w:color w:val="000000" w:themeColor="text1"/>
          <w:szCs w:val="24"/>
        </w:rPr>
        <w:t xml:space="preserve">the </w:t>
      </w:r>
      <w:r w:rsidR="00A636E4" w:rsidRPr="006F5D71">
        <w:rPr>
          <w:color w:val="000000" w:themeColor="text1"/>
          <w:szCs w:val="24"/>
        </w:rPr>
        <w:t xml:space="preserve">much smaller asset bases </w:t>
      </w:r>
      <w:r w:rsidR="00C3487B" w:rsidRPr="006F5D71">
        <w:rPr>
          <w:color w:val="000000" w:themeColor="text1"/>
          <w:szCs w:val="24"/>
        </w:rPr>
        <w:t xml:space="preserve">of EMNEs </w:t>
      </w:r>
      <w:r w:rsidR="00A636E4" w:rsidRPr="006F5D71">
        <w:rPr>
          <w:color w:val="000000" w:themeColor="text1"/>
          <w:szCs w:val="24"/>
        </w:rPr>
        <w:t xml:space="preserve">compared to long-established firms from the North. Due to this smaller knowledge base, </w:t>
      </w:r>
      <w:proofErr w:type="spellStart"/>
      <w:r w:rsidR="00E90C6F" w:rsidRPr="006F5D71">
        <w:rPr>
          <w:color w:val="000000" w:themeColor="text1"/>
          <w:szCs w:val="24"/>
        </w:rPr>
        <w:t>Ra</w:t>
      </w:r>
      <w:r w:rsidR="00431E42" w:rsidRPr="006F5D71">
        <w:rPr>
          <w:color w:val="000000" w:themeColor="text1"/>
          <w:szCs w:val="24"/>
        </w:rPr>
        <w:t>m</w:t>
      </w:r>
      <w:r w:rsidR="00E90C6F" w:rsidRPr="006F5D71">
        <w:rPr>
          <w:color w:val="000000" w:themeColor="text1"/>
          <w:szCs w:val="24"/>
        </w:rPr>
        <w:t>amurti</w:t>
      </w:r>
      <w:proofErr w:type="spellEnd"/>
      <w:r w:rsidR="00E90C6F" w:rsidRPr="006F5D71">
        <w:rPr>
          <w:color w:val="000000" w:themeColor="text1"/>
          <w:szCs w:val="24"/>
        </w:rPr>
        <w:t xml:space="preserve"> (2008) </w:t>
      </w:r>
      <w:r w:rsidR="00A636E4" w:rsidRPr="006F5D71">
        <w:rPr>
          <w:color w:val="000000" w:themeColor="text1"/>
          <w:szCs w:val="24"/>
        </w:rPr>
        <w:t>argues that EMNEs in North</w:t>
      </w:r>
      <w:r w:rsidR="00C3487B" w:rsidRPr="006F5D71">
        <w:rPr>
          <w:color w:val="000000" w:themeColor="text1"/>
          <w:szCs w:val="24"/>
        </w:rPr>
        <w:t>ern locations</w:t>
      </w:r>
      <w:r w:rsidR="00A636E4" w:rsidRPr="006F5D71">
        <w:rPr>
          <w:color w:val="000000" w:themeColor="text1"/>
          <w:szCs w:val="24"/>
        </w:rPr>
        <w:t xml:space="preserve"> </w:t>
      </w:r>
      <w:r w:rsidR="00E90C6F" w:rsidRPr="006F5D71">
        <w:rPr>
          <w:color w:val="000000" w:themeColor="text1"/>
          <w:szCs w:val="24"/>
        </w:rPr>
        <w:t>generally dominate in medium research-intensive industries.</w:t>
      </w:r>
      <w:r w:rsidR="00A636E4" w:rsidRPr="006F5D71">
        <w:rPr>
          <w:color w:val="000000" w:themeColor="text1"/>
          <w:szCs w:val="24"/>
        </w:rPr>
        <w:t xml:space="preserve"> </w:t>
      </w:r>
      <w:r w:rsidR="007F3AAD" w:rsidRPr="006F5D71">
        <w:rPr>
          <w:color w:val="000000" w:themeColor="text1"/>
          <w:szCs w:val="24"/>
        </w:rPr>
        <w:t>Knowledge acquisition remains</w:t>
      </w:r>
      <w:r w:rsidR="00EF31F9" w:rsidRPr="006F5D71">
        <w:rPr>
          <w:color w:val="000000" w:themeColor="text1"/>
          <w:szCs w:val="24"/>
        </w:rPr>
        <w:t xml:space="preserve"> </w:t>
      </w:r>
      <w:r w:rsidR="007F3AAD" w:rsidRPr="006F5D71">
        <w:rPr>
          <w:color w:val="000000" w:themeColor="text1"/>
          <w:szCs w:val="24"/>
        </w:rPr>
        <w:t xml:space="preserve">an </w:t>
      </w:r>
      <w:r w:rsidR="00EF31F9" w:rsidRPr="006F5D71">
        <w:rPr>
          <w:color w:val="000000" w:themeColor="text1"/>
          <w:szCs w:val="24"/>
        </w:rPr>
        <w:t xml:space="preserve">important </w:t>
      </w:r>
      <w:r w:rsidR="007F3AAD" w:rsidRPr="006F5D71">
        <w:rPr>
          <w:color w:val="000000" w:themeColor="text1"/>
          <w:szCs w:val="24"/>
        </w:rPr>
        <w:t>reason for</w:t>
      </w:r>
      <w:r w:rsidR="00EF31F9" w:rsidRPr="006F5D71">
        <w:rPr>
          <w:color w:val="000000" w:themeColor="text1"/>
          <w:szCs w:val="24"/>
        </w:rPr>
        <w:t xml:space="preserve"> EMNCs </w:t>
      </w:r>
      <w:r w:rsidR="007F3AAD" w:rsidRPr="006F5D71">
        <w:rPr>
          <w:color w:val="000000" w:themeColor="text1"/>
          <w:szCs w:val="24"/>
        </w:rPr>
        <w:t xml:space="preserve">to </w:t>
      </w:r>
      <w:r w:rsidR="00EF31F9" w:rsidRPr="006F5D71">
        <w:rPr>
          <w:color w:val="000000" w:themeColor="text1"/>
          <w:szCs w:val="24"/>
        </w:rPr>
        <w:t xml:space="preserve">make </w:t>
      </w:r>
      <w:r w:rsidR="007F3AAD" w:rsidRPr="006F5D71">
        <w:rPr>
          <w:color w:val="000000" w:themeColor="text1"/>
          <w:szCs w:val="24"/>
        </w:rPr>
        <w:t>investment</w:t>
      </w:r>
      <w:r w:rsidR="00F52463" w:rsidRPr="006F5D71">
        <w:rPr>
          <w:color w:val="000000" w:themeColor="text1"/>
          <w:szCs w:val="24"/>
        </w:rPr>
        <w:t>s</w:t>
      </w:r>
      <w:r w:rsidR="007F3AAD" w:rsidRPr="006F5D71">
        <w:rPr>
          <w:color w:val="000000" w:themeColor="text1"/>
          <w:szCs w:val="24"/>
        </w:rPr>
        <w:t xml:space="preserve"> in</w:t>
      </w:r>
      <w:r w:rsidR="00EF31F9" w:rsidRPr="006F5D71">
        <w:rPr>
          <w:color w:val="000000" w:themeColor="text1"/>
          <w:szCs w:val="24"/>
        </w:rPr>
        <w:t xml:space="preserve"> high-technology firms in </w:t>
      </w:r>
      <w:r w:rsidR="007F3AAD" w:rsidRPr="006F5D71">
        <w:rPr>
          <w:color w:val="000000" w:themeColor="text1"/>
          <w:szCs w:val="24"/>
        </w:rPr>
        <w:t>develop</w:t>
      </w:r>
      <w:r w:rsidR="00F52463" w:rsidRPr="006F5D71">
        <w:rPr>
          <w:color w:val="000000" w:themeColor="text1"/>
          <w:szCs w:val="24"/>
        </w:rPr>
        <w:t>ed</w:t>
      </w:r>
      <w:r w:rsidR="007F3AAD" w:rsidRPr="006F5D71">
        <w:rPr>
          <w:color w:val="000000" w:themeColor="text1"/>
          <w:szCs w:val="24"/>
        </w:rPr>
        <w:t xml:space="preserve"> countries</w:t>
      </w:r>
      <w:r w:rsidR="00EF31F9" w:rsidRPr="006F5D71">
        <w:rPr>
          <w:color w:val="000000" w:themeColor="text1"/>
          <w:szCs w:val="24"/>
        </w:rPr>
        <w:t xml:space="preserve"> (</w:t>
      </w:r>
      <w:proofErr w:type="spellStart"/>
      <w:r w:rsidR="002B4094" w:rsidRPr="006F5D71">
        <w:rPr>
          <w:color w:val="000000" w:themeColor="text1"/>
          <w:szCs w:val="24"/>
        </w:rPr>
        <w:t>Figueira</w:t>
      </w:r>
      <w:proofErr w:type="spellEnd"/>
      <w:r w:rsidR="002B4094" w:rsidRPr="006F5D71">
        <w:rPr>
          <w:color w:val="000000" w:themeColor="text1"/>
          <w:szCs w:val="24"/>
        </w:rPr>
        <w:t xml:space="preserve">, de Oliveira, </w:t>
      </w:r>
      <w:proofErr w:type="spellStart"/>
      <w:r w:rsidR="002B4094" w:rsidRPr="006F5D71">
        <w:rPr>
          <w:color w:val="000000" w:themeColor="text1"/>
          <w:szCs w:val="24"/>
        </w:rPr>
        <w:t>Rottig</w:t>
      </w:r>
      <w:proofErr w:type="spellEnd"/>
      <w:r w:rsidR="002B4094" w:rsidRPr="006F5D71">
        <w:rPr>
          <w:color w:val="000000" w:themeColor="text1"/>
          <w:szCs w:val="24"/>
        </w:rPr>
        <w:t xml:space="preserve">, &amp; </w:t>
      </w:r>
      <w:proofErr w:type="spellStart"/>
      <w:r w:rsidR="002B4094" w:rsidRPr="006F5D71">
        <w:rPr>
          <w:color w:val="000000" w:themeColor="text1"/>
          <w:szCs w:val="24"/>
        </w:rPr>
        <w:t>Spigarelli</w:t>
      </w:r>
      <w:proofErr w:type="spellEnd"/>
      <w:r w:rsidR="002B4094" w:rsidRPr="006F5D71">
        <w:rPr>
          <w:color w:val="000000" w:themeColor="text1"/>
          <w:szCs w:val="24"/>
        </w:rPr>
        <w:t>, 2020</w:t>
      </w:r>
      <w:r w:rsidR="00EF31F9" w:rsidRPr="006F5D71">
        <w:rPr>
          <w:color w:val="000000" w:themeColor="text1"/>
          <w:szCs w:val="24"/>
        </w:rPr>
        <w:t>).</w:t>
      </w:r>
      <w:r w:rsidR="00363CD0" w:rsidRPr="006F5D71">
        <w:rPr>
          <w:color w:val="000000" w:themeColor="text1"/>
          <w:szCs w:val="24"/>
        </w:rPr>
        <w:t xml:space="preserve"> </w:t>
      </w:r>
      <w:r w:rsidR="0053097E" w:rsidRPr="006F5D71">
        <w:rPr>
          <w:color w:val="000000" w:themeColor="text1"/>
          <w:szCs w:val="24"/>
        </w:rPr>
        <w:t>Ample anecdotal</w:t>
      </w:r>
      <w:r w:rsidR="00363CD0" w:rsidRPr="006F5D71">
        <w:rPr>
          <w:color w:val="000000" w:themeColor="text1"/>
          <w:szCs w:val="24"/>
        </w:rPr>
        <w:t xml:space="preserve"> evidence shows that EMNCs seek assets in </w:t>
      </w:r>
      <w:r w:rsidR="00E17B30">
        <w:rPr>
          <w:color w:val="000000" w:themeColor="text1"/>
          <w:szCs w:val="24"/>
        </w:rPr>
        <w:t xml:space="preserve">the </w:t>
      </w:r>
      <w:r w:rsidR="00363CD0" w:rsidRPr="006F5D71">
        <w:rPr>
          <w:color w:val="000000" w:themeColor="text1"/>
          <w:szCs w:val="24"/>
        </w:rPr>
        <w:t>North to complement or compensate their weak knowledge-related FSAs (</w:t>
      </w:r>
      <w:r w:rsidR="009D4CE9" w:rsidRPr="006F5D71">
        <w:rPr>
          <w:color w:val="000000" w:themeColor="text1"/>
          <w:szCs w:val="24"/>
        </w:rPr>
        <w:t xml:space="preserve">Elia, </w:t>
      </w:r>
      <w:proofErr w:type="spellStart"/>
      <w:r w:rsidR="009D4CE9" w:rsidRPr="006F5D71">
        <w:rPr>
          <w:color w:val="000000" w:themeColor="text1"/>
          <w:szCs w:val="24"/>
        </w:rPr>
        <w:t>Kafouros</w:t>
      </w:r>
      <w:proofErr w:type="spellEnd"/>
      <w:r w:rsidR="009D4CE9" w:rsidRPr="006F5D71">
        <w:rPr>
          <w:color w:val="000000" w:themeColor="text1"/>
          <w:szCs w:val="24"/>
        </w:rPr>
        <w:t>, &amp; Buckley, 2020</w:t>
      </w:r>
      <w:r w:rsidR="00363CD0" w:rsidRPr="006F5D71">
        <w:rPr>
          <w:color w:val="000000" w:themeColor="text1"/>
          <w:szCs w:val="24"/>
        </w:rPr>
        <w:t>).</w:t>
      </w:r>
      <w:r w:rsidR="003F19BE" w:rsidRPr="006F5D71">
        <w:rPr>
          <w:color w:val="000000" w:themeColor="text1"/>
          <w:szCs w:val="24"/>
        </w:rPr>
        <w:t xml:space="preserve"> In contrast,</w:t>
      </w:r>
      <w:r w:rsidR="008903CC" w:rsidRPr="006F5D71">
        <w:rPr>
          <w:color w:val="000000" w:themeColor="text1"/>
          <w:szCs w:val="24"/>
        </w:rPr>
        <w:t xml:space="preserve"> l</w:t>
      </w:r>
      <w:r w:rsidR="000C4F09" w:rsidRPr="006F5D71">
        <w:rPr>
          <w:color w:val="000000" w:themeColor="text1"/>
          <w:szCs w:val="24"/>
        </w:rPr>
        <w:t xml:space="preserve">earning from home markets where EMNCs develop organizational forms and routines to survive in </w:t>
      </w:r>
      <w:r w:rsidR="00F52463" w:rsidRPr="006F5D71">
        <w:rPr>
          <w:color w:val="000000" w:themeColor="text1"/>
          <w:szCs w:val="24"/>
        </w:rPr>
        <w:t xml:space="preserve">the </w:t>
      </w:r>
      <w:r w:rsidR="000C4F09" w:rsidRPr="006F5D71">
        <w:rPr>
          <w:color w:val="000000" w:themeColor="text1"/>
          <w:szCs w:val="24"/>
        </w:rPr>
        <w:t>unstable institutional environment</w:t>
      </w:r>
      <w:r w:rsidR="003F19BE" w:rsidRPr="006F5D71">
        <w:rPr>
          <w:color w:val="000000" w:themeColor="text1"/>
          <w:szCs w:val="24"/>
        </w:rPr>
        <w:t xml:space="preserve"> (Gaur &amp; Lu, 2007)</w:t>
      </w:r>
      <w:r w:rsidR="000C4F09" w:rsidRPr="006F5D71">
        <w:rPr>
          <w:color w:val="000000" w:themeColor="text1"/>
          <w:szCs w:val="24"/>
        </w:rPr>
        <w:t xml:space="preserve">, EMNCs are in </w:t>
      </w:r>
      <w:r w:rsidR="00F52463" w:rsidRPr="006F5D71">
        <w:rPr>
          <w:color w:val="000000" w:themeColor="text1"/>
          <w:szCs w:val="24"/>
        </w:rPr>
        <w:t xml:space="preserve">a </w:t>
      </w:r>
      <w:r w:rsidR="000C4F09" w:rsidRPr="006F5D71">
        <w:rPr>
          <w:color w:val="000000" w:themeColor="text1"/>
          <w:szCs w:val="24"/>
        </w:rPr>
        <w:t xml:space="preserve">better position to compete in </w:t>
      </w:r>
      <w:r w:rsidR="00E17B30">
        <w:rPr>
          <w:color w:val="000000" w:themeColor="text1"/>
          <w:szCs w:val="24"/>
        </w:rPr>
        <w:t xml:space="preserve">the </w:t>
      </w:r>
      <w:r w:rsidR="000C4F09" w:rsidRPr="006F5D71">
        <w:rPr>
          <w:color w:val="000000" w:themeColor="text1"/>
          <w:szCs w:val="24"/>
        </w:rPr>
        <w:t xml:space="preserve">South that </w:t>
      </w:r>
      <w:r w:rsidR="00F52463" w:rsidRPr="006F5D71">
        <w:rPr>
          <w:color w:val="000000" w:themeColor="text1"/>
          <w:szCs w:val="24"/>
        </w:rPr>
        <w:t>is</w:t>
      </w:r>
      <w:r w:rsidR="000C4F09" w:rsidRPr="006F5D71">
        <w:rPr>
          <w:color w:val="000000" w:themeColor="text1"/>
          <w:szCs w:val="24"/>
        </w:rPr>
        <w:t xml:space="preserve"> institutionally </w:t>
      </w:r>
      <w:proofErr w:type="gramStart"/>
      <w:r w:rsidR="00BB0366" w:rsidRPr="006F5D71">
        <w:rPr>
          <w:color w:val="000000" w:themeColor="text1"/>
          <w:szCs w:val="24"/>
        </w:rPr>
        <w:t>similar</w:t>
      </w:r>
      <w:r w:rsidR="000C4F09" w:rsidRPr="006F5D71">
        <w:rPr>
          <w:color w:val="000000" w:themeColor="text1"/>
          <w:szCs w:val="24"/>
        </w:rPr>
        <w:t xml:space="preserve"> to</w:t>
      </w:r>
      <w:proofErr w:type="gramEnd"/>
      <w:r w:rsidR="000C4F09" w:rsidRPr="006F5D71">
        <w:rPr>
          <w:color w:val="000000" w:themeColor="text1"/>
          <w:szCs w:val="24"/>
        </w:rPr>
        <w:t xml:space="preserve"> the home country. Narula (2014) suggests that underdeveloped institutional environment</w:t>
      </w:r>
      <w:r w:rsidR="00F52463" w:rsidRPr="006F5D71">
        <w:rPr>
          <w:color w:val="000000" w:themeColor="text1"/>
          <w:szCs w:val="24"/>
        </w:rPr>
        <w:t>s</w:t>
      </w:r>
      <w:r w:rsidR="000C4F09" w:rsidRPr="006F5D71">
        <w:rPr>
          <w:color w:val="000000" w:themeColor="text1"/>
          <w:szCs w:val="24"/>
        </w:rPr>
        <w:t xml:space="preserve"> propel EMNCs to </w:t>
      </w:r>
      <w:r w:rsidR="00E64D62" w:rsidRPr="006F5D71">
        <w:rPr>
          <w:color w:val="000000" w:themeColor="text1"/>
          <w:szCs w:val="24"/>
        </w:rPr>
        <w:t>create</w:t>
      </w:r>
      <w:r w:rsidR="000C4F09" w:rsidRPr="006F5D71">
        <w:rPr>
          <w:color w:val="000000" w:themeColor="text1"/>
          <w:szCs w:val="24"/>
        </w:rPr>
        <w:t xml:space="preserve"> hierarchies </w:t>
      </w:r>
      <w:r w:rsidR="00E64D62" w:rsidRPr="006F5D71">
        <w:rPr>
          <w:color w:val="000000" w:themeColor="text1"/>
          <w:szCs w:val="24"/>
        </w:rPr>
        <w:t xml:space="preserve">and </w:t>
      </w:r>
      <w:r w:rsidR="00A636E4" w:rsidRPr="006F5D71">
        <w:rPr>
          <w:color w:val="000000" w:themeColor="text1"/>
          <w:szCs w:val="24"/>
        </w:rPr>
        <w:t>structures, which</w:t>
      </w:r>
      <w:r w:rsidR="000C4F09" w:rsidRPr="006F5D71">
        <w:rPr>
          <w:color w:val="000000" w:themeColor="text1"/>
          <w:szCs w:val="24"/>
        </w:rPr>
        <w:t xml:space="preserve"> </w:t>
      </w:r>
      <w:r w:rsidR="00F52463" w:rsidRPr="006F5D71">
        <w:rPr>
          <w:color w:val="000000" w:themeColor="text1"/>
          <w:szCs w:val="24"/>
        </w:rPr>
        <w:t xml:space="preserve">are </w:t>
      </w:r>
      <w:r w:rsidR="000C4F09" w:rsidRPr="006F5D71">
        <w:rPr>
          <w:color w:val="000000" w:themeColor="text1"/>
          <w:szCs w:val="24"/>
        </w:rPr>
        <w:t xml:space="preserve">then likely to result in </w:t>
      </w:r>
      <w:r w:rsidR="00F52463" w:rsidRPr="006F5D71">
        <w:rPr>
          <w:color w:val="000000" w:themeColor="text1"/>
          <w:szCs w:val="24"/>
        </w:rPr>
        <w:t>a</w:t>
      </w:r>
      <w:r w:rsidR="00E17B30">
        <w:rPr>
          <w:color w:val="000000" w:themeColor="text1"/>
          <w:szCs w:val="24"/>
        </w:rPr>
        <w:t>n</w:t>
      </w:r>
      <w:r w:rsidR="00F52463" w:rsidRPr="006F5D71">
        <w:rPr>
          <w:color w:val="000000" w:themeColor="text1"/>
          <w:szCs w:val="24"/>
        </w:rPr>
        <w:t xml:space="preserve"> </w:t>
      </w:r>
      <w:r w:rsidR="00E17B30">
        <w:rPr>
          <w:color w:val="000000" w:themeColor="text1"/>
          <w:szCs w:val="24"/>
        </w:rPr>
        <w:t>FSA</w:t>
      </w:r>
      <w:r w:rsidR="000C4F09" w:rsidRPr="006F5D71">
        <w:rPr>
          <w:color w:val="000000" w:themeColor="text1"/>
          <w:szCs w:val="24"/>
        </w:rPr>
        <w:t xml:space="preserve"> in </w:t>
      </w:r>
      <w:r w:rsidR="00E64D62" w:rsidRPr="006F5D71">
        <w:rPr>
          <w:color w:val="000000" w:themeColor="text1"/>
          <w:szCs w:val="24"/>
        </w:rPr>
        <w:t xml:space="preserve">institutionally similar countries. </w:t>
      </w:r>
      <w:r w:rsidR="005B7C1F" w:rsidRPr="006F5D71">
        <w:rPr>
          <w:color w:val="000000" w:themeColor="text1"/>
          <w:szCs w:val="24"/>
        </w:rPr>
        <w:t xml:space="preserve">Taken together, EMNCs achieve competitive advantage in </w:t>
      </w:r>
      <w:r w:rsidR="00E17B30">
        <w:rPr>
          <w:color w:val="000000" w:themeColor="text1"/>
          <w:szCs w:val="24"/>
        </w:rPr>
        <w:t xml:space="preserve">the </w:t>
      </w:r>
      <w:r w:rsidR="005B7C1F" w:rsidRPr="006F5D71">
        <w:rPr>
          <w:color w:val="000000" w:themeColor="text1"/>
          <w:szCs w:val="24"/>
        </w:rPr>
        <w:t xml:space="preserve">South through combining resources based on their more detailed familiarity with </w:t>
      </w:r>
      <w:r w:rsidR="00F52463" w:rsidRPr="006F5D71">
        <w:rPr>
          <w:color w:val="000000" w:themeColor="text1"/>
          <w:szCs w:val="24"/>
        </w:rPr>
        <w:t xml:space="preserve">the </w:t>
      </w:r>
      <w:r w:rsidR="005B7C1F" w:rsidRPr="006F5D71">
        <w:rPr>
          <w:color w:val="000000" w:themeColor="text1"/>
          <w:szCs w:val="24"/>
        </w:rPr>
        <w:t xml:space="preserve">institutional environment and </w:t>
      </w:r>
      <w:r w:rsidR="00C74BC2" w:rsidRPr="006F5D71">
        <w:rPr>
          <w:color w:val="000000" w:themeColor="text1"/>
          <w:szCs w:val="24"/>
        </w:rPr>
        <w:t xml:space="preserve">relatively </w:t>
      </w:r>
      <w:r w:rsidR="005B7C1F" w:rsidRPr="006F5D71">
        <w:rPr>
          <w:color w:val="000000" w:themeColor="text1"/>
          <w:szCs w:val="24"/>
        </w:rPr>
        <w:t xml:space="preserve">stronger FSAs </w:t>
      </w:r>
      <w:r w:rsidR="00C3487B" w:rsidRPr="006F5D71">
        <w:rPr>
          <w:color w:val="000000" w:themeColor="text1"/>
          <w:szCs w:val="24"/>
        </w:rPr>
        <w:t>in</w:t>
      </w:r>
      <w:r w:rsidR="005B7C1F" w:rsidRPr="006F5D71">
        <w:rPr>
          <w:color w:val="000000" w:themeColor="text1"/>
          <w:szCs w:val="24"/>
        </w:rPr>
        <w:t xml:space="preserve"> organizational practices and knowledge capabilities</w:t>
      </w:r>
      <w:r w:rsidR="00C3487B" w:rsidRPr="006F5D71">
        <w:rPr>
          <w:color w:val="000000" w:themeColor="text1"/>
          <w:szCs w:val="24"/>
        </w:rPr>
        <w:t xml:space="preserve"> compared to domestic firms in the host economy</w:t>
      </w:r>
      <w:r w:rsidR="005B7C1F" w:rsidRPr="006F5D71">
        <w:rPr>
          <w:color w:val="000000" w:themeColor="text1"/>
          <w:szCs w:val="24"/>
        </w:rPr>
        <w:t>.</w:t>
      </w:r>
    </w:p>
    <w:p w14:paraId="11477392" w14:textId="77777777" w:rsidR="005B7C1F" w:rsidRPr="006F5D71" w:rsidRDefault="006B7FF1" w:rsidP="00CA4524">
      <w:pPr>
        <w:pStyle w:val="NoSpacing"/>
        <w:spacing w:line="360" w:lineRule="auto"/>
        <w:ind w:firstLine="720"/>
        <w:jc w:val="both"/>
        <w:rPr>
          <w:color w:val="000000" w:themeColor="text1"/>
          <w:szCs w:val="24"/>
        </w:rPr>
      </w:pPr>
      <w:r w:rsidRPr="006F5D71">
        <w:rPr>
          <w:color w:val="000000" w:themeColor="text1"/>
          <w:szCs w:val="24"/>
        </w:rPr>
        <w:t>Some studies take a</w:t>
      </w:r>
      <w:r w:rsidR="007144DD" w:rsidRPr="006F5D71">
        <w:rPr>
          <w:color w:val="000000" w:themeColor="text1"/>
          <w:szCs w:val="24"/>
        </w:rPr>
        <w:t xml:space="preserve"> dynamic perspective of FSAs and suggest that competitiveness of firms</w:t>
      </w:r>
      <w:r w:rsidR="00C74BC2" w:rsidRPr="006F5D71">
        <w:rPr>
          <w:rFonts w:cs="Times New Roman"/>
          <w:color w:val="000000" w:themeColor="text1"/>
          <w:szCs w:val="24"/>
        </w:rPr>
        <w:t>—</w:t>
      </w:r>
      <w:r w:rsidR="007144DD" w:rsidRPr="006F5D71">
        <w:rPr>
          <w:color w:val="000000" w:themeColor="text1"/>
          <w:szCs w:val="24"/>
        </w:rPr>
        <w:t>relative to</w:t>
      </w:r>
      <w:r w:rsidR="0047789D" w:rsidRPr="006F5D71">
        <w:rPr>
          <w:color w:val="000000" w:themeColor="text1"/>
          <w:szCs w:val="24"/>
        </w:rPr>
        <w:t xml:space="preserve"> competing firms</w:t>
      </w:r>
      <w:r w:rsidRPr="006F5D71">
        <w:rPr>
          <w:color w:val="000000" w:themeColor="text1"/>
          <w:szCs w:val="24"/>
        </w:rPr>
        <w:t xml:space="preserve"> in the host location</w:t>
      </w:r>
      <w:r w:rsidR="00C74BC2" w:rsidRPr="006F5D71">
        <w:rPr>
          <w:rFonts w:cs="Times New Roman"/>
          <w:color w:val="000000" w:themeColor="text1"/>
          <w:szCs w:val="24"/>
        </w:rPr>
        <w:t>—</w:t>
      </w:r>
      <w:r w:rsidR="00C3487B" w:rsidRPr="006F5D71">
        <w:rPr>
          <w:color w:val="000000" w:themeColor="text1"/>
          <w:szCs w:val="24"/>
        </w:rPr>
        <w:t xml:space="preserve">can </w:t>
      </w:r>
      <w:r w:rsidR="00A636E4" w:rsidRPr="006F5D71">
        <w:rPr>
          <w:color w:val="000000" w:themeColor="text1"/>
          <w:szCs w:val="24"/>
        </w:rPr>
        <w:t>evolve over time.</w:t>
      </w:r>
      <w:r w:rsidR="00F72D31">
        <w:rPr>
          <w:color w:val="000000" w:themeColor="text1"/>
          <w:szCs w:val="24"/>
        </w:rPr>
        <w:t xml:space="preserve"> </w:t>
      </w:r>
      <w:r w:rsidR="00A636E4" w:rsidRPr="006F5D71">
        <w:rPr>
          <w:color w:val="000000" w:themeColor="text1"/>
          <w:szCs w:val="24"/>
        </w:rPr>
        <w:t xml:space="preserve">Thus, </w:t>
      </w:r>
      <w:r w:rsidR="007144DD" w:rsidRPr="006F5D71">
        <w:rPr>
          <w:color w:val="000000" w:themeColor="text1"/>
          <w:szCs w:val="24"/>
        </w:rPr>
        <w:t>firms</w:t>
      </w:r>
      <w:r w:rsidR="0047789D" w:rsidRPr="006F5D71">
        <w:rPr>
          <w:color w:val="000000" w:themeColor="text1"/>
          <w:szCs w:val="24"/>
        </w:rPr>
        <w:t xml:space="preserve"> with weaker FSAs</w:t>
      </w:r>
      <w:r w:rsidR="007144DD" w:rsidRPr="006F5D71">
        <w:rPr>
          <w:color w:val="000000" w:themeColor="text1"/>
          <w:szCs w:val="24"/>
        </w:rPr>
        <w:t xml:space="preserve"> can buil</w:t>
      </w:r>
      <w:r w:rsidR="00F52463" w:rsidRPr="006F5D71">
        <w:rPr>
          <w:color w:val="000000" w:themeColor="text1"/>
          <w:szCs w:val="24"/>
        </w:rPr>
        <w:t>d</w:t>
      </w:r>
      <w:r w:rsidR="0047789D" w:rsidRPr="006F5D71">
        <w:rPr>
          <w:color w:val="000000" w:themeColor="text1"/>
          <w:szCs w:val="24"/>
        </w:rPr>
        <w:t xml:space="preserve"> ownership advantages</w:t>
      </w:r>
      <w:r w:rsidR="005B7C1F" w:rsidRPr="006F5D71">
        <w:rPr>
          <w:color w:val="000000" w:themeColor="text1"/>
          <w:szCs w:val="24"/>
        </w:rPr>
        <w:t xml:space="preserve"> </w:t>
      </w:r>
      <w:r w:rsidR="007144DD" w:rsidRPr="006F5D71">
        <w:rPr>
          <w:color w:val="000000" w:themeColor="text1"/>
          <w:szCs w:val="24"/>
        </w:rPr>
        <w:t xml:space="preserve">and outperform firms </w:t>
      </w:r>
      <w:r w:rsidR="004B4D80">
        <w:rPr>
          <w:color w:val="000000" w:themeColor="text1"/>
          <w:szCs w:val="24"/>
        </w:rPr>
        <w:t>which have</w:t>
      </w:r>
      <w:r w:rsidR="004B4D80" w:rsidRPr="006F5D71">
        <w:rPr>
          <w:color w:val="000000" w:themeColor="text1"/>
          <w:szCs w:val="24"/>
        </w:rPr>
        <w:t xml:space="preserve"> </w:t>
      </w:r>
      <w:r w:rsidR="0047789D" w:rsidRPr="006F5D71">
        <w:rPr>
          <w:color w:val="000000" w:themeColor="text1"/>
          <w:szCs w:val="24"/>
        </w:rPr>
        <w:t xml:space="preserve">stronger FSAs </w:t>
      </w:r>
      <w:r w:rsidR="007144DD" w:rsidRPr="006F5D71">
        <w:rPr>
          <w:color w:val="000000" w:themeColor="text1"/>
          <w:szCs w:val="24"/>
        </w:rPr>
        <w:t>in the long</w:t>
      </w:r>
      <w:r w:rsidR="00F52463" w:rsidRPr="006F5D71">
        <w:rPr>
          <w:color w:val="000000" w:themeColor="text1"/>
          <w:szCs w:val="24"/>
        </w:rPr>
        <w:t xml:space="preserve"> </w:t>
      </w:r>
      <w:r w:rsidR="007144DD" w:rsidRPr="006F5D71">
        <w:rPr>
          <w:color w:val="000000" w:themeColor="text1"/>
          <w:szCs w:val="24"/>
        </w:rPr>
        <w:t>run because of</w:t>
      </w:r>
      <w:r w:rsidR="00A636E4" w:rsidRPr="006F5D71">
        <w:rPr>
          <w:color w:val="000000" w:themeColor="text1"/>
          <w:szCs w:val="24"/>
        </w:rPr>
        <w:t xml:space="preserve"> gains due to</w:t>
      </w:r>
      <w:r w:rsidR="007144DD" w:rsidRPr="006F5D71">
        <w:rPr>
          <w:color w:val="000000" w:themeColor="text1"/>
          <w:szCs w:val="24"/>
        </w:rPr>
        <w:t xml:space="preserve"> </w:t>
      </w:r>
      <w:r w:rsidR="00A636E4" w:rsidRPr="006F5D71">
        <w:rPr>
          <w:color w:val="000000" w:themeColor="text1"/>
          <w:szCs w:val="24"/>
        </w:rPr>
        <w:t xml:space="preserve">knowledge </w:t>
      </w:r>
      <w:r w:rsidR="00583E47" w:rsidRPr="006F5D71">
        <w:rPr>
          <w:color w:val="000000" w:themeColor="text1"/>
          <w:szCs w:val="24"/>
        </w:rPr>
        <w:t xml:space="preserve">spillover </w:t>
      </w:r>
      <w:r w:rsidR="00A636E4" w:rsidRPr="006F5D71">
        <w:rPr>
          <w:color w:val="000000" w:themeColor="text1"/>
          <w:szCs w:val="24"/>
        </w:rPr>
        <w:t>from developed MNEs</w:t>
      </w:r>
      <w:r w:rsidR="00D46319" w:rsidRPr="006F5D71">
        <w:rPr>
          <w:color w:val="000000" w:themeColor="text1"/>
          <w:szCs w:val="24"/>
        </w:rPr>
        <w:t xml:space="preserve"> </w:t>
      </w:r>
      <w:r w:rsidR="00031A06" w:rsidRPr="006F5D71">
        <w:rPr>
          <w:color w:val="000000" w:themeColor="text1"/>
          <w:szCs w:val="24"/>
        </w:rPr>
        <w:t>(</w:t>
      </w:r>
      <w:bookmarkStart w:id="0" w:name="_Hlk79166725"/>
      <w:r w:rsidR="00C3487B" w:rsidRPr="006F5D71">
        <w:rPr>
          <w:color w:val="000000" w:themeColor="text1"/>
          <w:szCs w:val="24"/>
        </w:rPr>
        <w:t>Wan, Williamson &amp; Pandit, 2020</w:t>
      </w:r>
      <w:bookmarkEnd w:id="0"/>
      <w:r w:rsidR="00C3487B" w:rsidRPr="006F5D71">
        <w:rPr>
          <w:color w:val="000000" w:themeColor="text1"/>
          <w:szCs w:val="24"/>
        </w:rPr>
        <w:t xml:space="preserve">; </w:t>
      </w:r>
      <w:r w:rsidR="00031A06" w:rsidRPr="006F5D71">
        <w:rPr>
          <w:color w:val="000000" w:themeColor="text1"/>
          <w:szCs w:val="24"/>
        </w:rPr>
        <w:t>Lee et al.</w:t>
      </w:r>
      <w:r w:rsidR="00C74BC2" w:rsidRPr="006F5D71">
        <w:rPr>
          <w:color w:val="000000" w:themeColor="text1"/>
          <w:szCs w:val="24"/>
        </w:rPr>
        <w:t>, 2021</w:t>
      </w:r>
      <w:r w:rsidR="00D46319" w:rsidRPr="006F5D71">
        <w:rPr>
          <w:color w:val="000000" w:themeColor="text1"/>
          <w:szCs w:val="24"/>
        </w:rPr>
        <w:t>)</w:t>
      </w:r>
      <w:r w:rsidR="007144DD" w:rsidRPr="006F5D71">
        <w:rPr>
          <w:color w:val="000000" w:themeColor="text1"/>
          <w:szCs w:val="24"/>
        </w:rPr>
        <w:t xml:space="preserve">. However, </w:t>
      </w:r>
      <w:r w:rsidR="00236E35" w:rsidRPr="006F5D71">
        <w:rPr>
          <w:color w:val="000000" w:themeColor="text1"/>
          <w:szCs w:val="24"/>
        </w:rPr>
        <w:t xml:space="preserve">the </w:t>
      </w:r>
      <w:r w:rsidR="00A636E4" w:rsidRPr="006F5D71">
        <w:rPr>
          <w:color w:val="000000" w:themeColor="text1"/>
          <w:szCs w:val="24"/>
        </w:rPr>
        <w:t>role of such dynamic accumulation of FSA</w:t>
      </w:r>
      <w:r w:rsidR="00E17B30">
        <w:rPr>
          <w:color w:val="000000" w:themeColor="text1"/>
          <w:szCs w:val="24"/>
        </w:rPr>
        <w:t>s</w:t>
      </w:r>
      <w:r w:rsidR="00A636E4" w:rsidRPr="006F5D71">
        <w:rPr>
          <w:color w:val="000000" w:themeColor="text1"/>
          <w:szCs w:val="24"/>
        </w:rPr>
        <w:t xml:space="preserve"> </w:t>
      </w:r>
      <w:r w:rsidR="00C3487B" w:rsidRPr="006F5D71">
        <w:rPr>
          <w:color w:val="000000" w:themeColor="text1"/>
          <w:szCs w:val="24"/>
        </w:rPr>
        <w:t>i</w:t>
      </w:r>
      <w:r w:rsidR="00A636E4" w:rsidRPr="006F5D71">
        <w:rPr>
          <w:color w:val="000000" w:themeColor="text1"/>
          <w:szCs w:val="24"/>
        </w:rPr>
        <w:t xml:space="preserve">n </w:t>
      </w:r>
      <w:r w:rsidR="0047789D" w:rsidRPr="006F5D71">
        <w:rPr>
          <w:color w:val="000000" w:themeColor="text1"/>
          <w:szCs w:val="24"/>
        </w:rPr>
        <w:t>increasing</w:t>
      </w:r>
      <w:r w:rsidR="007144DD" w:rsidRPr="006F5D71">
        <w:rPr>
          <w:color w:val="000000" w:themeColor="text1"/>
          <w:szCs w:val="24"/>
        </w:rPr>
        <w:t xml:space="preserve"> the </w:t>
      </w:r>
      <w:r w:rsidR="00D46319" w:rsidRPr="006F5D71">
        <w:rPr>
          <w:color w:val="000000" w:themeColor="text1"/>
          <w:szCs w:val="24"/>
        </w:rPr>
        <w:t xml:space="preserve">probability of </w:t>
      </w:r>
      <w:r w:rsidR="007144DD" w:rsidRPr="006F5D71">
        <w:rPr>
          <w:color w:val="000000" w:themeColor="text1"/>
          <w:szCs w:val="24"/>
        </w:rPr>
        <w:t>survival</w:t>
      </w:r>
      <w:r w:rsidR="00A636E4" w:rsidRPr="006F5D71">
        <w:rPr>
          <w:color w:val="000000" w:themeColor="text1"/>
          <w:szCs w:val="24"/>
        </w:rPr>
        <w:t xml:space="preserve"> of </w:t>
      </w:r>
      <w:r w:rsidR="00E17B30">
        <w:rPr>
          <w:color w:val="000000" w:themeColor="text1"/>
          <w:szCs w:val="24"/>
        </w:rPr>
        <w:t xml:space="preserve">an </w:t>
      </w:r>
      <w:r w:rsidR="00A636E4" w:rsidRPr="006F5D71">
        <w:rPr>
          <w:color w:val="000000" w:themeColor="text1"/>
          <w:szCs w:val="24"/>
        </w:rPr>
        <w:t>EMNE</w:t>
      </w:r>
      <w:r w:rsidR="007144DD" w:rsidRPr="006F5D71">
        <w:rPr>
          <w:color w:val="000000" w:themeColor="text1"/>
          <w:szCs w:val="24"/>
        </w:rPr>
        <w:t xml:space="preserve"> depend</w:t>
      </w:r>
      <w:r w:rsidR="00F52463" w:rsidRPr="006F5D71">
        <w:rPr>
          <w:color w:val="000000" w:themeColor="text1"/>
          <w:szCs w:val="24"/>
        </w:rPr>
        <w:t>s</w:t>
      </w:r>
      <w:r w:rsidR="007144DD" w:rsidRPr="006F5D71">
        <w:rPr>
          <w:color w:val="000000" w:themeColor="text1"/>
          <w:szCs w:val="24"/>
        </w:rPr>
        <w:t xml:space="preserve"> </w:t>
      </w:r>
      <w:r w:rsidR="00A636E4" w:rsidRPr="006F5D71">
        <w:rPr>
          <w:color w:val="000000" w:themeColor="text1"/>
          <w:szCs w:val="24"/>
        </w:rPr>
        <w:t xml:space="preserve">both </w:t>
      </w:r>
      <w:r w:rsidR="007144DD" w:rsidRPr="006F5D71">
        <w:rPr>
          <w:color w:val="000000" w:themeColor="text1"/>
          <w:szCs w:val="24"/>
        </w:rPr>
        <w:t xml:space="preserve">on </w:t>
      </w:r>
      <w:r w:rsidR="007144DD" w:rsidRPr="006F5D71">
        <w:rPr>
          <w:color w:val="000000" w:themeColor="text1"/>
          <w:szCs w:val="24"/>
        </w:rPr>
        <w:lastRenderedPageBreak/>
        <w:t xml:space="preserve">the rate </w:t>
      </w:r>
      <w:r w:rsidR="00C3487B" w:rsidRPr="006F5D71">
        <w:rPr>
          <w:color w:val="000000" w:themeColor="text1"/>
          <w:szCs w:val="24"/>
        </w:rPr>
        <w:t>at which the firm accumulates new FSA</w:t>
      </w:r>
      <w:r w:rsidR="00E17B30">
        <w:rPr>
          <w:color w:val="000000" w:themeColor="text1"/>
          <w:szCs w:val="24"/>
        </w:rPr>
        <w:t>s</w:t>
      </w:r>
      <w:r w:rsidR="00C3487B" w:rsidRPr="006F5D71">
        <w:rPr>
          <w:color w:val="000000" w:themeColor="text1"/>
          <w:szCs w:val="24"/>
        </w:rPr>
        <w:t xml:space="preserve"> and the rate at which </w:t>
      </w:r>
      <w:r w:rsidR="00E17B30">
        <w:rPr>
          <w:color w:val="000000" w:themeColor="text1"/>
          <w:szCs w:val="24"/>
        </w:rPr>
        <w:t xml:space="preserve">the </w:t>
      </w:r>
      <w:r w:rsidR="00C3487B" w:rsidRPr="006F5D71">
        <w:rPr>
          <w:color w:val="000000" w:themeColor="text1"/>
          <w:szCs w:val="24"/>
        </w:rPr>
        <w:t>host economy firms imitate away the original FSA advantage and close the capabilities gap</w:t>
      </w:r>
      <w:r w:rsidR="0047789D" w:rsidRPr="006F5D71">
        <w:rPr>
          <w:color w:val="000000" w:themeColor="text1"/>
          <w:szCs w:val="24"/>
        </w:rPr>
        <w:t>.</w:t>
      </w:r>
      <w:r w:rsidR="00F72D31">
        <w:rPr>
          <w:color w:val="000000" w:themeColor="text1"/>
          <w:szCs w:val="24"/>
        </w:rPr>
        <w:t xml:space="preserve"> </w:t>
      </w:r>
      <w:r w:rsidRPr="006F5D71">
        <w:rPr>
          <w:color w:val="000000" w:themeColor="text1"/>
          <w:szCs w:val="24"/>
        </w:rPr>
        <w:t>In South</w:t>
      </w:r>
      <w:r w:rsidR="00C3487B" w:rsidRPr="006F5D71">
        <w:rPr>
          <w:color w:val="000000" w:themeColor="text1"/>
          <w:szCs w:val="24"/>
        </w:rPr>
        <w:t>ern locations</w:t>
      </w:r>
      <w:r w:rsidR="00A636E4" w:rsidRPr="006F5D71">
        <w:rPr>
          <w:color w:val="000000" w:themeColor="text1"/>
          <w:szCs w:val="24"/>
        </w:rPr>
        <w:t>,</w:t>
      </w:r>
      <w:r w:rsidRPr="006F5D71">
        <w:rPr>
          <w:color w:val="000000" w:themeColor="text1"/>
          <w:szCs w:val="24"/>
        </w:rPr>
        <w:t xml:space="preserve"> EMNEs face a lower </w:t>
      </w:r>
      <w:r w:rsidR="00CA4524" w:rsidRPr="006F5D71">
        <w:rPr>
          <w:color w:val="000000" w:themeColor="text1"/>
          <w:szCs w:val="24"/>
        </w:rPr>
        <w:t xml:space="preserve">rate of domestic </w:t>
      </w:r>
      <w:r w:rsidRPr="006F5D71">
        <w:rPr>
          <w:color w:val="000000" w:themeColor="text1"/>
          <w:szCs w:val="24"/>
        </w:rPr>
        <w:t xml:space="preserve">imitation </w:t>
      </w:r>
      <w:r w:rsidR="00CA4524" w:rsidRPr="006F5D71">
        <w:rPr>
          <w:color w:val="000000" w:themeColor="text1"/>
          <w:szCs w:val="24"/>
        </w:rPr>
        <w:t xml:space="preserve">due to </w:t>
      </w:r>
      <w:r w:rsidR="00F52463" w:rsidRPr="006F5D71">
        <w:rPr>
          <w:color w:val="000000" w:themeColor="text1"/>
          <w:szCs w:val="24"/>
        </w:rPr>
        <w:t xml:space="preserve">the </w:t>
      </w:r>
      <w:r w:rsidR="00CA4524" w:rsidRPr="006F5D71">
        <w:rPr>
          <w:color w:val="000000" w:themeColor="text1"/>
          <w:szCs w:val="24"/>
        </w:rPr>
        <w:t>relatively low absorptive capability of domestic firms in developing countries (</w:t>
      </w:r>
      <w:proofErr w:type="spellStart"/>
      <w:r w:rsidR="00F91AB6" w:rsidRPr="006F5D71">
        <w:rPr>
          <w:color w:val="000000" w:themeColor="text1"/>
          <w:szCs w:val="24"/>
        </w:rPr>
        <w:t>Bilgili</w:t>
      </w:r>
      <w:proofErr w:type="spellEnd"/>
      <w:r w:rsidR="00F91AB6" w:rsidRPr="006F5D71">
        <w:rPr>
          <w:color w:val="000000" w:themeColor="text1"/>
          <w:szCs w:val="24"/>
        </w:rPr>
        <w:t xml:space="preserve">, </w:t>
      </w:r>
      <w:proofErr w:type="spellStart"/>
      <w:r w:rsidR="00F91AB6" w:rsidRPr="006F5D71">
        <w:rPr>
          <w:color w:val="000000" w:themeColor="text1"/>
          <w:szCs w:val="24"/>
        </w:rPr>
        <w:t>Kedia</w:t>
      </w:r>
      <w:proofErr w:type="spellEnd"/>
      <w:r w:rsidR="00F91AB6" w:rsidRPr="006F5D71">
        <w:rPr>
          <w:color w:val="000000" w:themeColor="text1"/>
          <w:szCs w:val="24"/>
        </w:rPr>
        <w:t xml:space="preserve">, &amp; </w:t>
      </w:r>
      <w:proofErr w:type="spellStart"/>
      <w:r w:rsidR="00F91AB6" w:rsidRPr="006F5D71">
        <w:rPr>
          <w:color w:val="000000" w:themeColor="text1"/>
          <w:szCs w:val="24"/>
        </w:rPr>
        <w:t>Bilgili</w:t>
      </w:r>
      <w:proofErr w:type="spellEnd"/>
      <w:r w:rsidR="00F91AB6" w:rsidRPr="006F5D71">
        <w:rPr>
          <w:color w:val="000000" w:themeColor="text1"/>
          <w:szCs w:val="24"/>
        </w:rPr>
        <w:t>, 2016</w:t>
      </w:r>
      <w:r w:rsidR="00CA4524" w:rsidRPr="006F5D71">
        <w:rPr>
          <w:color w:val="000000" w:themeColor="text1"/>
          <w:szCs w:val="24"/>
        </w:rPr>
        <w:t>)</w:t>
      </w:r>
      <w:r w:rsidR="008F563E" w:rsidRPr="006F5D71">
        <w:rPr>
          <w:color w:val="000000" w:themeColor="text1"/>
          <w:szCs w:val="24"/>
        </w:rPr>
        <w:t>.</w:t>
      </w:r>
      <w:r w:rsidR="00CA4524" w:rsidRPr="006F5D71">
        <w:rPr>
          <w:color w:val="000000" w:themeColor="text1"/>
          <w:szCs w:val="24"/>
        </w:rPr>
        <w:t xml:space="preserve"> FSAs of EMNCs </w:t>
      </w:r>
      <w:r w:rsidR="00D90B42" w:rsidRPr="006F5D71">
        <w:rPr>
          <w:color w:val="000000" w:themeColor="text1"/>
          <w:szCs w:val="24"/>
        </w:rPr>
        <w:t>may also become obsolete more</w:t>
      </w:r>
      <w:r w:rsidR="00CA4524" w:rsidRPr="006F5D71">
        <w:rPr>
          <w:color w:val="000000" w:themeColor="text1"/>
          <w:szCs w:val="24"/>
        </w:rPr>
        <w:t xml:space="preserve"> slow</w:t>
      </w:r>
      <w:r w:rsidR="00D90B42" w:rsidRPr="006F5D71">
        <w:rPr>
          <w:color w:val="000000" w:themeColor="text1"/>
          <w:szCs w:val="24"/>
        </w:rPr>
        <w:t>ly</w:t>
      </w:r>
      <w:r w:rsidR="00583E47" w:rsidRPr="006F5D71">
        <w:rPr>
          <w:color w:val="000000" w:themeColor="text1"/>
          <w:szCs w:val="24"/>
        </w:rPr>
        <w:t xml:space="preserve"> in </w:t>
      </w:r>
      <w:r w:rsidR="00D90B42" w:rsidRPr="006F5D71">
        <w:rPr>
          <w:color w:val="000000" w:themeColor="text1"/>
          <w:szCs w:val="24"/>
        </w:rPr>
        <w:t xml:space="preserve">the </w:t>
      </w:r>
      <w:r w:rsidR="00583E47" w:rsidRPr="006F5D71">
        <w:rPr>
          <w:color w:val="000000" w:themeColor="text1"/>
          <w:szCs w:val="24"/>
        </w:rPr>
        <w:t>South</w:t>
      </w:r>
      <w:r w:rsidR="00CA4524" w:rsidRPr="006F5D71">
        <w:rPr>
          <w:color w:val="000000" w:themeColor="text1"/>
          <w:szCs w:val="24"/>
        </w:rPr>
        <w:t xml:space="preserve"> as technological </w:t>
      </w:r>
      <w:r w:rsidR="00161513" w:rsidRPr="006F5D71">
        <w:rPr>
          <w:color w:val="000000" w:themeColor="text1"/>
          <w:szCs w:val="24"/>
        </w:rPr>
        <w:t xml:space="preserve">changes </w:t>
      </w:r>
      <w:r w:rsidR="00CA4524" w:rsidRPr="006F5D71">
        <w:rPr>
          <w:color w:val="000000" w:themeColor="text1"/>
          <w:szCs w:val="24"/>
        </w:rPr>
        <w:t xml:space="preserve">and customer </w:t>
      </w:r>
      <w:r w:rsidR="00161513" w:rsidRPr="006F5D71">
        <w:rPr>
          <w:color w:val="000000" w:themeColor="text1"/>
          <w:szCs w:val="24"/>
        </w:rPr>
        <w:t>requirements</w:t>
      </w:r>
      <w:r w:rsidR="00CA4524" w:rsidRPr="006F5D71">
        <w:rPr>
          <w:color w:val="000000" w:themeColor="text1"/>
          <w:szCs w:val="24"/>
        </w:rPr>
        <w:t xml:space="preserve"> </w:t>
      </w:r>
      <w:r w:rsidR="00D90B42" w:rsidRPr="006F5D71">
        <w:rPr>
          <w:color w:val="000000" w:themeColor="text1"/>
          <w:szCs w:val="24"/>
        </w:rPr>
        <w:t>do not change</w:t>
      </w:r>
      <w:r w:rsidR="00CA4524" w:rsidRPr="006F5D71">
        <w:rPr>
          <w:color w:val="000000" w:themeColor="text1"/>
          <w:szCs w:val="24"/>
        </w:rPr>
        <w:t xml:space="preserve"> </w:t>
      </w:r>
      <w:r w:rsidR="00161513" w:rsidRPr="006F5D71">
        <w:rPr>
          <w:color w:val="000000" w:themeColor="text1"/>
          <w:szCs w:val="24"/>
        </w:rPr>
        <w:t>fast enough</w:t>
      </w:r>
      <w:r w:rsidR="00CA4524" w:rsidRPr="006F5D71">
        <w:rPr>
          <w:color w:val="000000" w:themeColor="text1"/>
          <w:szCs w:val="24"/>
        </w:rPr>
        <w:t xml:space="preserve"> in these markets</w:t>
      </w:r>
      <w:r w:rsidR="00161513" w:rsidRPr="006F5D71">
        <w:rPr>
          <w:color w:val="000000" w:themeColor="text1"/>
          <w:szCs w:val="24"/>
        </w:rPr>
        <w:t xml:space="preserve"> </w:t>
      </w:r>
      <w:r w:rsidR="00D90B42" w:rsidRPr="006F5D71">
        <w:rPr>
          <w:color w:val="000000" w:themeColor="text1"/>
          <w:szCs w:val="24"/>
        </w:rPr>
        <w:t>to</w:t>
      </w:r>
      <w:r w:rsidR="00161513" w:rsidRPr="006F5D71">
        <w:rPr>
          <w:color w:val="000000" w:themeColor="text1"/>
          <w:szCs w:val="24"/>
        </w:rPr>
        <w:t xml:space="preserve"> </w:t>
      </w:r>
      <w:r w:rsidR="00D90B42" w:rsidRPr="006F5D71">
        <w:rPr>
          <w:color w:val="000000" w:themeColor="text1"/>
          <w:szCs w:val="24"/>
        </w:rPr>
        <w:t xml:space="preserve">challenge </w:t>
      </w:r>
      <w:r w:rsidR="00F13410" w:rsidRPr="006F5D71">
        <w:rPr>
          <w:color w:val="000000" w:themeColor="text1"/>
          <w:szCs w:val="24"/>
        </w:rPr>
        <w:t>the EMNCs’</w:t>
      </w:r>
      <w:r w:rsidR="00161513" w:rsidRPr="006F5D71">
        <w:rPr>
          <w:color w:val="000000" w:themeColor="text1"/>
          <w:szCs w:val="24"/>
        </w:rPr>
        <w:t xml:space="preserve"> dominant position</w:t>
      </w:r>
      <w:r w:rsidR="00CA4524" w:rsidRPr="006F5D71">
        <w:rPr>
          <w:color w:val="000000" w:themeColor="text1"/>
          <w:szCs w:val="24"/>
        </w:rPr>
        <w:t xml:space="preserve"> (</w:t>
      </w:r>
      <w:proofErr w:type="spellStart"/>
      <w:r w:rsidR="00161513" w:rsidRPr="006F5D71">
        <w:rPr>
          <w:color w:val="000000" w:themeColor="text1"/>
          <w:szCs w:val="24"/>
        </w:rPr>
        <w:t>Karabag</w:t>
      </w:r>
      <w:proofErr w:type="spellEnd"/>
      <w:r w:rsidR="00161513" w:rsidRPr="006F5D71">
        <w:rPr>
          <w:color w:val="000000" w:themeColor="text1"/>
          <w:szCs w:val="24"/>
        </w:rPr>
        <w:t>, 2019</w:t>
      </w:r>
      <w:r w:rsidR="00CA4524" w:rsidRPr="006F5D71">
        <w:rPr>
          <w:color w:val="000000" w:themeColor="text1"/>
          <w:szCs w:val="24"/>
        </w:rPr>
        <w:t xml:space="preserve">). </w:t>
      </w:r>
      <w:r w:rsidR="00BA4DA8" w:rsidRPr="006F5D71">
        <w:rPr>
          <w:color w:val="000000" w:themeColor="text1"/>
          <w:szCs w:val="24"/>
        </w:rPr>
        <w:t xml:space="preserve">On the other hand, domestic firms in </w:t>
      </w:r>
      <w:r w:rsidR="00E17B30">
        <w:rPr>
          <w:color w:val="000000" w:themeColor="text1"/>
          <w:szCs w:val="24"/>
        </w:rPr>
        <w:t xml:space="preserve">the </w:t>
      </w:r>
      <w:r w:rsidR="00BA4DA8" w:rsidRPr="006F5D71">
        <w:rPr>
          <w:color w:val="000000" w:themeColor="text1"/>
          <w:szCs w:val="24"/>
        </w:rPr>
        <w:t xml:space="preserve">North are more likely to outperform EMNCs in </w:t>
      </w:r>
      <w:r w:rsidR="00F52463" w:rsidRPr="006F5D71">
        <w:rPr>
          <w:color w:val="000000" w:themeColor="text1"/>
          <w:szCs w:val="24"/>
        </w:rPr>
        <w:t xml:space="preserve">the </w:t>
      </w:r>
      <w:r w:rsidR="00BA4DA8" w:rsidRPr="006F5D71">
        <w:rPr>
          <w:color w:val="000000" w:themeColor="text1"/>
          <w:szCs w:val="24"/>
        </w:rPr>
        <w:t>long</w:t>
      </w:r>
      <w:r w:rsidR="00F52463" w:rsidRPr="006F5D71">
        <w:rPr>
          <w:color w:val="000000" w:themeColor="text1"/>
          <w:szCs w:val="24"/>
        </w:rPr>
        <w:t xml:space="preserve"> </w:t>
      </w:r>
      <w:r w:rsidR="00BA4DA8" w:rsidRPr="006F5D71">
        <w:rPr>
          <w:color w:val="000000" w:themeColor="text1"/>
          <w:szCs w:val="24"/>
        </w:rPr>
        <w:t xml:space="preserve">run </w:t>
      </w:r>
      <w:r w:rsidR="00A636E4" w:rsidRPr="006F5D71">
        <w:rPr>
          <w:color w:val="000000" w:themeColor="text1"/>
          <w:szCs w:val="24"/>
        </w:rPr>
        <w:t>as</w:t>
      </w:r>
      <w:r w:rsidR="00BA4DA8" w:rsidRPr="006F5D71">
        <w:rPr>
          <w:color w:val="000000" w:themeColor="text1"/>
          <w:szCs w:val="24"/>
        </w:rPr>
        <w:t xml:space="preserve"> their strong knowledge bases </w:t>
      </w:r>
      <w:r w:rsidR="00D90B42" w:rsidRPr="006F5D71">
        <w:rPr>
          <w:color w:val="000000" w:themeColor="text1"/>
          <w:szCs w:val="24"/>
        </w:rPr>
        <w:t>enable</w:t>
      </w:r>
      <w:r w:rsidR="00A636E4" w:rsidRPr="006F5D71">
        <w:rPr>
          <w:color w:val="000000" w:themeColor="text1"/>
          <w:szCs w:val="24"/>
        </w:rPr>
        <w:t xml:space="preserve"> a faster rate of imitation and ad</w:t>
      </w:r>
      <w:r w:rsidR="00236E35" w:rsidRPr="006F5D71">
        <w:rPr>
          <w:color w:val="000000" w:themeColor="text1"/>
          <w:szCs w:val="24"/>
        </w:rPr>
        <w:t>ap</w:t>
      </w:r>
      <w:r w:rsidR="00A636E4" w:rsidRPr="006F5D71">
        <w:rPr>
          <w:color w:val="000000" w:themeColor="text1"/>
          <w:szCs w:val="24"/>
        </w:rPr>
        <w:t>tability</w:t>
      </w:r>
      <w:r w:rsidR="00BA4DA8" w:rsidRPr="006F5D71">
        <w:rPr>
          <w:color w:val="000000" w:themeColor="text1"/>
          <w:szCs w:val="24"/>
        </w:rPr>
        <w:t xml:space="preserve"> </w:t>
      </w:r>
      <w:r w:rsidR="008F563E" w:rsidRPr="006F5D71">
        <w:rPr>
          <w:color w:val="000000" w:themeColor="text1"/>
          <w:szCs w:val="24"/>
        </w:rPr>
        <w:t>in changing environment</w:t>
      </w:r>
      <w:r w:rsidR="00F52463" w:rsidRPr="006F5D71">
        <w:rPr>
          <w:color w:val="000000" w:themeColor="text1"/>
          <w:szCs w:val="24"/>
        </w:rPr>
        <w:t>s</w:t>
      </w:r>
      <w:r w:rsidR="00BA4DA8" w:rsidRPr="006F5D71">
        <w:rPr>
          <w:color w:val="000000" w:themeColor="text1"/>
          <w:szCs w:val="24"/>
        </w:rPr>
        <w:t xml:space="preserve">. Therefore, the survival likelihood of EMNCs, based on </w:t>
      </w:r>
      <w:r w:rsidR="00D46319" w:rsidRPr="006F5D71">
        <w:rPr>
          <w:color w:val="000000" w:themeColor="text1"/>
          <w:szCs w:val="24"/>
        </w:rPr>
        <w:t xml:space="preserve">dynamic </w:t>
      </w:r>
      <w:r w:rsidR="00BA4DA8" w:rsidRPr="006F5D71">
        <w:rPr>
          <w:color w:val="000000" w:themeColor="text1"/>
          <w:szCs w:val="24"/>
        </w:rPr>
        <w:t xml:space="preserve">FSAs, </w:t>
      </w:r>
      <w:r w:rsidR="00F52463" w:rsidRPr="006F5D71">
        <w:rPr>
          <w:color w:val="000000" w:themeColor="text1"/>
          <w:szCs w:val="24"/>
        </w:rPr>
        <w:t>is</w:t>
      </w:r>
      <w:r w:rsidR="00BA4DA8" w:rsidRPr="006F5D71">
        <w:rPr>
          <w:color w:val="000000" w:themeColor="text1"/>
          <w:szCs w:val="24"/>
        </w:rPr>
        <w:t xml:space="preserve"> higher in </w:t>
      </w:r>
      <w:r w:rsidR="00E17B30">
        <w:rPr>
          <w:color w:val="000000" w:themeColor="text1"/>
          <w:szCs w:val="24"/>
        </w:rPr>
        <w:t xml:space="preserve">the </w:t>
      </w:r>
      <w:r w:rsidR="00BA4DA8" w:rsidRPr="006F5D71">
        <w:rPr>
          <w:color w:val="000000" w:themeColor="text1"/>
          <w:szCs w:val="24"/>
        </w:rPr>
        <w:t xml:space="preserve">South compared to </w:t>
      </w:r>
      <w:r w:rsidR="00E17B30">
        <w:rPr>
          <w:color w:val="000000" w:themeColor="text1"/>
          <w:szCs w:val="24"/>
        </w:rPr>
        <w:t xml:space="preserve">the </w:t>
      </w:r>
      <w:r w:rsidR="00BA4DA8" w:rsidRPr="006F5D71">
        <w:rPr>
          <w:color w:val="000000" w:themeColor="text1"/>
          <w:szCs w:val="24"/>
        </w:rPr>
        <w:t>North.</w:t>
      </w:r>
      <w:r w:rsidR="00F72D31">
        <w:rPr>
          <w:color w:val="000000" w:themeColor="text1"/>
          <w:szCs w:val="24"/>
        </w:rPr>
        <w:t xml:space="preserve"> </w:t>
      </w:r>
    </w:p>
    <w:p w14:paraId="7D2957C4" w14:textId="77777777" w:rsidR="003A6CBF" w:rsidRPr="006F5D71" w:rsidRDefault="005B7C1F" w:rsidP="00C91A3C">
      <w:pPr>
        <w:pStyle w:val="NoSpacing"/>
        <w:spacing w:after="240" w:line="360" w:lineRule="auto"/>
        <w:ind w:firstLine="720"/>
        <w:jc w:val="both"/>
        <w:rPr>
          <w:color w:val="000000" w:themeColor="text1"/>
          <w:szCs w:val="24"/>
        </w:rPr>
      </w:pPr>
      <w:r w:rsidRPr="006F5D71">
        <w:rPr>
          <w:color w:val="000000" w:themeColor="text1"/>
          <w:szCs w:val="24"/>
        </w:rPr>
        <w:t>From the real option</w:t>
      </w:r>
      <w:r w:rsidR="00F52463" w:rsidRPr="006F5D71">
        <w:rPr>
          <w:color w:val="000000" w:themeColor="text1"/>
          <w:szCs w:val="24"/>
        </w:rPr>
        <w:t>s</w:t>
      </w:r>
      <w:r w:rsidRPr="006F5D71">
        <w:rPr>
          <w:color w:val="000000" w:themeColor="text1"/>
          <w:szCs w:val="24"/>
        </w:rPr>
        <w:t xml:space="preserve"> perspective, EMNCs with weaker FSAs and capability-augmenting </w:t>
      </w:r>
      <w:r w:rsidR="00A636E4" w:rsidRPr="006F5D71">
        <w:rPr>
          <w:color w:val="000000" w:themeColor="text1"/>
          <w:szCs w:val="24"/>
        </w:rPr>
        <w:t>investments</w:t>
      </w:r>
      <w:r w:rsidRPr="006F5D71">
        <w:rPr>
          <w:color w:val="000000" w:themeColor="text1"/>
          <w:szCs w:val="24"/>
        </w:rPr>
        <w:t xml:space="preserve"> </w:t>
      </w:r>
      <w:r w:rsidR="00C3487B" w:rsidRPr="006F5D71">
        <w:rPr>
          <w:color w:val="000000" w:themeColor="text1"/>
          <w:szCs w:val="24"/>
        </w:rPr>
        <w:t xml:space="preserve">may also </w:t>
      </w:r>
      <w:r w:rsidRPr="006F5D71">
        <w:rPr>
          <w:color w:val="000000" w:themeColor="text1"/>
          <w:szCs w:val="24"/>
        </w:rPr>
        <w:t xml:space="preserve">aim to quickly absorb the required knowledge </w:t>
      </w:r>
      <w:r w:rsidR="00D46319" w:rsidRPr="006F5D71">
        <w:rPr>
          <w:color w:val="000000" w:themeColor="text1"/>
          <w:szCs w:val="24"/>
        </w:rPr>
        <w:t xml:space="preserve">in developed economies </w:t>
      </w:r>
      <w:r w:rsidR="004B4D80">
        <w:rPr>
          <w:color w:val="000000" w:themeColor="text1"/>
          <w:szCs w:val="24"/>
        </w:rPr>
        <w:t>in order to</w:t>
      </w:r>
      <w:r w:rsidRPr="006F5D71">
        <w:rPr>
          <w:color w:val="000000" w:themeColor="text1"/>
          <w:szCs w:val="24"/>
        </w:rPr>
        <w:t xml:space="preserve"> utilize it in home markets and other countries. Once they successfully acquire the required knowledge, these firms </w:t>
      </w:r>
      <w:r w:rsidR="00A636E4" w:rsidRPr="006F5D71">
        <w:rPr>
          <w:color w:val="000000" w:themeColor="text1"/>
          <w:szCs w:val="24"/>
        </w:rPr>
        <w:t>may</w:t>
      </w:r>
      <w:r w:rsidRPr="006F5D71">
        <w:rPr>
          <w:color w:val="000000" w:themeColor="text1"/>
          <w:szCs w:val="24"/>
        </w:rPr>
        <w:t xml:space="preserve"> have no reason to continue these investments. So, when the initial purpose is met (for which the investment is made), the reason to maintain the investment disappears, and the growth option</w:t>
      </w:r>
      <w:r w:rsidR="00A636E4" w:rsidRPr="006F5D71">
        <w:rPr>
          <w:color w:val="000000" w:themeColor="text1"/>
          <w:szCs w:val="24"/>
        </w:rPr>
        <w:t>s</w:t>
      </w:r>
      <w:r w:rsidRPr="006F5D71">
        <w:rPr>
          <w:color w:val="000000" w:themeColor="text1"/>
          <w:szCs w:val="24"/>
        </w:rPr>
        <w:t xml:space="preserve"> while using this investment as a platform fade. At this stage, the cost of sustaining the investment (opportunity cost of capital and resources locked in the investment) may begin to exceed the benefits (if any) of growth options. Consequently, staying longer in the market is a</w:t>
      </w:r>
      <w:r w:rsidR="00D90B42" w:rsidRPr="006F5D71">
        <w:rPr>
          <w:color w:val="000000" w:themeColor="text1"/>
          <w:szCs w:val="24"/>
        </w:rPr>
        <w:t>n</w:t>
      </w:r>
      <w:r w:rsidRPr="006F5D71">
        <w:rPr>
          <w:color w:val="000000" w:themeColor="text1"/>
          <w:szCs w:val="24"/>
        </w:rPr>
        <w:t xml:space="preserve"> </w:t>
      </w:r>
      <w:r w:rsidR="00D90B42" w:rsidRPr="006F5D71">
        <w:rPr>
          <w:color w:val="000000" w:themeColor="text1"/>
          <w:szCs w:val="24"/>
        </w:rPr>
        <w:t>un</w:t>
      </w:r>
      <w:r w:rsidRPr="006F5D71">
        <w:rPr>
          <w:color w:val="000000" w:themeColor="text1"/>
          <w:szCs w:val="24"/>
        </w:rPr>
        <w:t xml:space="preserve">likely response of EMNCs with </w:t>
      </w:r>
      <w:r w:rsidR="004B4D80">
        <w:rPr>
          <w:color w:val="000000" w:themeColor="text1"/>
          <w:szCs w:val="24"/>
        </w:rPr>
        <w:t xml:space="preserve">relatively </w:t>
      </w:r>
      <w:r w:rsidRPr="006F5D71">
        <w:rPr>
          <w:color w:val="000000" w:themeColor="text1"/>
          <w:szCs w:val="24"/>
        </w:rPr>
        <w:t>weak FSAs. The opposite is true of EMNC</w:t>
      </w:r>
      <w:r w:rsidR="004B4D80">
        <w:rPr>
          <w:color w:val="000000" w:themeColor="text1"/>
          <w:szCs w:val="24"/>
        </w:rPr>
        <w:t>s</w:t>
      </w:r>
      <w:r w:rsidRPr="006F5D71">
        <w:rPr>
          <w:color w:val="000000" w:themeColor="text1"/>
          <w:szCs w:val="24"/>
        </w:rPr>
        <w:t xml:space="preserve"> that have strong relative FSA</w:t>
      </w:r>
      <w:r w:rsidR="004B4D80">
        <w:rPr>
          <w:color w:val="000000" w:themeColor="text1"/>
          <w:szCs w:val="24"/>
        </w:rPr>
        <w:t>s</w:t>
      </w:r>
      <w:r w:rsidRPr="006F5D71">
        <w:rPr>
          <w:color w:val="000000" w:themeColor="text1"/>
          <w:szCs w:val="24"/>
        </w:rPr>
        <w:t xml:space="preserve"> compared to host country firms</w:t>
      </w:r>
      <w:r w:rsidR="00B229D3" w:rsidRPr="006F5D71">
        <w:rPr>
          <w:rStyle w:val="FootnoteReference"/>
          <w:color w:val="000000" w:themeColor="text1"/>
          <w:szCs w:val="24"/>
        </w:rPr>
        <w:footnoteReference w:id="3"/>
      </w:r>
      <w:r w:rsidRPr="006F5D71">
        <w:rPr>
          <w:color w:val="000000" w:themeColor="text1"/>
          <w:szCs w:val="24"/>
        </w:rPr>
        <w:t xml:space="preserve">. In sum, the likelihood of survival of EMNCs in </w:t>
      </w:r>
      <w:r w:rsidR="00F52463" w:rsidRPr="006F5D71">
        <w:rPr>
          <w:color w:val="000000" w:themeColor="text1"/>
          <w:szCs w:val="24"/>
        </w:rPr>
        <w:t xml:space="preserve">the </w:t>
      </w:r>
      <w:r w:rsidRPr="006F5D71">
        <w:rPr>
          <w:color w:val="000000" w:themeColor="text1"/>
          <w:szCs w:val="24"/>
        </w:rPr>
        <w:t>host market is higher when they have stronger FS</w:t>
      </w:r>
      <w:r w:rsidR="00B62A97" w:rsidRPr="006F5D71">
        <w:rPr>
          <w:color w:val="000000" w:themeColor="text1"/>
          <w:szCs w:val="24"/>
        </w:rPr>
        <w:t>As.</w:t>
      </w:r>
      <w:r w:rsidR="00F72D31">
        <w:rPr>
          <w:color w:val="000000" w:themeColor="text1"/>
          <w:szCs w:val="24"/>
        </w:rPr>
        <w:t xml:space="preserve"> </w:t>
      </w:r>
      <w:r w:rsidR="00B62A97" w:rsidRPr="006F5D71">
        <w:rPr>
          <w:color w:val="000000" w:themeColor="text1"/>
          <w:szCs w:val="24"/>
        </w:rPr>
        <w:t>Thus</w:t>
      </w:r>
      <w:r w:rsidR="003A6CBF" w:rsidRPr="006F5D71">
        <w:rPr>
          <w:color w:val="000000" w:themeColor="text1"/>
          <w:szCs w:val="24"/>
        </w:rPr>
        <w:t xml:space="preserve">, we propose that: </w:t>
      </w:r>
    </w:p>
    <w:p w14:paraId="3618EF18" w14:textId="77777777" w:rsidR="00C40850" w:rsidRPr="006F5D71" w:rsidRDefault="003A6CBF" w:rsidP="003A6CBF">
      <w:pPr>
        <w:pStyle w:val="NoSpacing"/>
        <w:spacing w:after="240" w:line="360" w:lineRule="auto"/>
        <w:jc w:val="both"/>
        <w:rPr>
          <w:i/>
          <w:iCs/>
          <w:color w:val="000000" w:themeColor="text1"/>
          <w:szCs w:val="24"/>
        </w:rPr>
      </w:pPr>
      <w:r w:rsidRPr="006F5D71">
        <w:rPr>
          <w:i/>
          <w:iCs/>
          <w:color w:val="000000" w:themeColor="text1"/>
          <w:szCs w:val="24"/>
        </w:rPr>
        <w:t>Hypothesis 1: EMNCs are more likely to survive in South</w:t>
      </w:r>
      <w:r w:rsidR="00DD116B" w:rsidRPr="006F5D71">
        <w:rPr>
          <w:i/>
          <w:iCs/>
          <w:color w:val="000000" w:themeColor="text1"/>
          <w:szCs w:val="24"/>
        </w:rPr>
        <w:t>ern locations</w:t>
      </w:r>
      <w:r w:rsidRPr="006F5D71">
        <w:rPr>
          <w:i/>
          <w:iCs/>
          <w:color w:val="000000" w:themeColor="text1"/>
          <w:szCs w:val="24"/>
        </w:rPr>
        <w:t xml:space="preserve"> </w:t>
      </w:r>
      <w:r w:rsidR="00DD116B" w:rsidRPr="006F5D71">
        <w:rPr>
          <w:i/>
          <w:iCs/>
          <w:color w:val="000000" w:themeColor="text1"/>
          <w:szCs w:val="24"/>
        </w:rPr>
        <w:t>(</w:t>
      </w:r>
      <w:r w:rsidRPr="006F5D71">
        <w:rPr>
          <w:i/>
          <w:iCs/>
          <w:color w:val="000000" w:themeColor="text1"/>
          <w:szCs w:val="24"/>
        </w:rPr>
        <w:t>as compared to the North</w:t>
      </w:r>
      <w:r w:rsidR="00DD116B" w:rsidRPr="006F5D71">
        <w:rPr>
          <w:i/>
          <w:iCs/>
          <w:color w:val="000000" w:themeColor="text1"/>
          <w:szCs w:val="24"/>
        </w:rPr>
        <w:t>)</w:t>
      </w:r>
      <w:r w:rsidRPr="006F5D71">
        <w:rPr>
          <w:i/>
          <w:iCs/>
          <w:color w:val="000000" w:themeColor="text1"/>
          <w:szCs w:val="24"/>
        </w:rPr>
        <w:t xml:space="preserve"> due to their stronger FSAs relative to their local competitors in South</w:t>
      </w:r>
      <w:r w:rsidR="00DD116B" w:rsidRPr="006F5D71">
        <w:rPr>
          <w:i/>
          <w:iCs/>
          <w:color w:val="000000" w:themeColor="text1"/>
          <w:szCs w:val="24"/>
        </w:rPr>
        <w:t>ern locations</w:t>
      </w:r>
      <w:r w:rsidRPr="006F5D71">
        <w:rPr>
          <w:i/>
          <w:iCs/>
          <w:color w:val="000000" w:themeColor="text1"/>
          <w:szCs w:val="24"/>
        </w:rPr>
        <w:t>.</w:t>
      </w:r>
    </w:p>
    <w:p w14:paraId="75992CFA" w14:textId="77777777" w:rsidR="00207875" w:rsidRPr="006F5D71" w:rsidRDefault="005471FE" w:rsidP="001337CA">
      <w:pPr>
        <w:pStyle w:val="NoSpacing"/>
        <w:spacing w:line="360" w:lineRule="auto"/>
        <w:jc w:val="both"/>
        <w:rPr>
          <w:i/>
          <w:iCs/>
          <w:strike/>
          <w:color w:val="000000" w:themeColor="text1"/>
          <w:szCs w:val="24"/>
        </w:rPr>
      </w:pPr>
      <w:r w:rsidRPr="006F5D71">
        <w:rPr>
          <w:i/>
          <w:iCs/>
          <w:color w:val="000000" w:themeColor="text1"/>
          <w:szCs w:val="24"/>
        </w:rPr>
        <w:t xml:space="preserve">2.2. </w:t>
      </w:r>
      <w:r w:rsidR="008D298D" w:rsidRPr="006F5D71">
        <w:rPr>
          <w:i/>
          <w:iCs/>
          <w:color w:val="000000" w:themeColor="text1"/>
          <w:szCs w:val="24"/>
        </w:rPr>
        <w:t>The role of institutional risks and EMNCs</w:t>
      </w:r>
      <w:r w:rsidR="004B4D80">
        <w:rPr>
          <w:i/>
          <w:iCs/>
          <w:color w:val="000000" w:themeColor="text1"/>
          <w:szCs w:val="24"/>
        </w:rPr>
        <w:t>’</w:t>
      </w:r>
      <w:r w:rsidR="008D298D" w:rsidRPr="006F5D71">
        <w:rPr>
          <w:i/>
          <w:iCs/>
          <w:color w:val="000000" w:themeColor="text1"/>
          <w:szCs w:val="24"/>
        </w:rPr>
        <w:t xml:space="preserve"> survival </w:t>
      </w:r>
    </w:p>
    <w:p w14:paraId="105F7B0B" w14:textId="77777777" w:rsidR="00B33D52" w:rsidRPr="006F5D71" w:rsidRDefault="00D90B42" w:rsidP="00BD1ACC">
      <w:pPr>
        <w:pStyle w:val="NoSpacing"/>
        <w:spacing w:line="360" w:lineRule="auto"/>
        <w:ind w:firstLine="720"/>
        <w:jc w:val="both"/>
        <w:rPr>
          <w:color w:val="000000" w:themeColor="text1"/>
          <w:szCs w:val="24"/>
        </w:rPr>
      </w:pPr>
      <w:r w:rsidRPr="006F5D71">
        <w:rPr>
          <w:color w:val="000000" w:themeColor="text1"/>
          <w:szCs w:val="24"/>
        </w:rPr>
        <w:t>As noted earlier, p</w:t>
      </w:r>
      <w:r w:rsidR="00685050" w:rsidRPr="006F5D71">
        <w:rPr>
          <w:color w:val="000000" w:themeColor="text1"/>
          <w:szCs w:val="24"/>
        </w:rPr>
        <w:t>rior studies classify the risk in host location</w:t>
      </w:r>
      <w:r w:rsidR="0023047B" w:rsidRPr="006F5D71">
        <w:rPr>
          <w:color w:val="000000" w:themeColor="text1"/>
          <w:szCs w:val="24"/>
        </w:rPr>
        <w:t>s</w:t>
      </w:r>
      <w:r w:rsidR="00685050" w:rsidRPr="006F5D71">
        <w:rPr>
          <w:color w:val="000000" w:themeColor="text1"/>
          <w:szCs w:val="24"/>
        </w:rPr>
        <w:t xml:space="preserve"> into</w:t>
      </w:r>
      <w:r w:rsidR="000D620F" w:rsidRPr="006F5D71">
        <w:rPr>
          <w:color w:val="000000" w:themeColor="text1"/>
          <w:szCs w:val="24"/>
        </w:rPr>
        <w:t xml:space="preserve"> exogenous and e</w:t>
      </w:r>
      <w:r w:rsidR="00685050" w:rsidRPr="006F5D71">
        <w:rPr>
          <w:color w:val="000000" w:themeColor="text1"/>
          <w:szCs w:val="24"/>
        </w:rPr>
        <w:t>ndogenous risks</w:t>
      </w:r>
      <w:r w:rsidR="000D620F" w:rsidRPr="006F5D71">
        <w:rPr>
          <w:color w:val="000000" w:themeColor="text1"/>
          <w:szCs w:val="24"/>
        </w:rPr>
        <w:t xml:space="preserve">. </w:t>
      </w:r>
      <w:r w:rsidR="00685050" w:rsidRPr="006F5D71">
        <w:rPr>
          <w:color w:val="000000" w:themeColor="text1"/>
          <w:szCs w:val="24"/>
        </w:rPr>
        <w:t>Exogenous risk</w:t>
      </w:r>
      <w:r w:rsidR="000D620F" w:rsidRPr="006F5D71">
        <w:rPr>
          <w:color w:val="000000" w:themeColor="text1"/>
          <w:szCs w:val="24"/>
        </w:rPr>
        <w:t xml:space="preserve"> is present when there are parameters that affect a firm’s revenue stream, which the investing firms’ action</w:t>
      </w:r>
      <w:r w:rsidR="00F52463" w:rsidRPr="006F5D71">
        <w:rPr>
          <w:color w:val="000000" w:themeColor="text1"/>
          <w:szCs w:val="24"/>
        </w:rPr>
        <w:t>s</w:t>
      </w:r>
      <w:r w:rsidR="000D620F" w:rsidRPr="006F5D71">
        <w:rPr>
          <w:color w:val="000000" w:themeColor="text1"/>
          <w:szCs w:val="24"/>
        </w:rPr>
        <w:t xml:space="preserve"> cannot influence. </w:t>
      </w:r>
      <w:r w:rsidR="00E85B1B" w:rsidRPr="006F5D71">
        <w:rPr>
          <w:color w:val="000000" w:themeColor="text1"/>
          <w:szCs w:val="24"/>
        </w:rPr>
        <w:t xml:space="preserve">Generally, </w:t>
      </w:r>
      <w:r w:rsidR="000D620F" w:rsidRPr="006F5D71">
        <w:rPr>
          <w:color w:val="000000" w:themeColor="text1"/>
          <w:szCs w:val="24"/>
        </w:rPr>
        <w:t xml:space="preserve">all those </w:t>
      </w:r>
      <w:r w:rsidR="00E85B1B" w:rsidRPr="006F5D71">
        <w:rPr>
          <w:color w:val="000000" w:themeColor="text1"/>
          <w:szCs w:val="24"/>
        </w:rPr>
        <w:t xml:space="preserve">factors </w:t>
      </w:r>
      <w:r w:rsidR="000D620F" w:rsidRPr="006F5D71">
        <w:rPr>
          <w:color w:val="000000" w:themeColor="text1"/>
          <w:szCs w:val="24"/>
        </w:rPr>
        <w:t xml:space="preserve">that </w:t>
      </w:r>
      <w:r w:rsidR="008C07D2" w:rsidRPr="006F5D71">
        <w:rPr>
          <w:color w:val="000000" w:themeColor="text1"/>
          <w:szCs w:val="24"/>
        </w:rPr>
        <w:t>uniformly influence MNE</w:t>
      </w:r>
      <w:r w:rsidR="004B4D80">
        <w:rPr>
          <w:color w:val="000000" w:themeColor="text1"/>
          <w:szCs w:val="24"/>
        </w:rPr>
        <w:t>s</w:t>
      </w:r>
      <w:r w:rsidR="008C07D2" w:rsidRPr="006F5D71">
        <w:rPr>
          <w:color w:val="000000" w:themeColor="text1"/>
          <w:szCs w:val="24"/>
        </w:rPr>
        <w:t xml:space="preserve"> and other actors</w:t>
      </w:r>
      <w:r w:rsidR="00E85B1B" w:rsidRPr="006F5D71">
        <w:rPr>
          <w:color w:val="000000" w:themeColor="text1"/>
          <w:szCs w:val="24"/>
        </w:rPr>
        <w:t xml:space="preserve"> are exogenous risks (Buckley et al. 2020)</w:t>
      </w:r>
      <w:r w:rsidR="000D620F" w:rsidRPr="006F5D71">
        <w:rPr>
          <w:color w:val="000000" w:themeColor="text1"/>
          <w:szCs w:val="24"/>
        </w:rPr>
        <w:t>. F</w:t>
      </w:r>
      <w:r w:rsidR="00685050" w:rsidRPr="006F5D71">
        <w:rPr>
          <w:color w:val="000000" w:themeColor="text1"/>
          <w:szCs w:val="24"/>
        </w:rPr>
        <w:t xml:space="preserve">or example, </w:t>
      </w:r>
      <w:r w:rsidR="000D620F" w:rsidRPr="006F5D71">
        <w:rPr>
          <w:color w:val="000000" w:themeColor="text1"/>
          <w:szCs w:val="24"/>
        </w:rPr>
        <w:t>currency exc</w:t>
      </w:r>
      <w:r w:rsidR="00C340ED" w:rsidRPr="006F5D71">
        <w:rPr>
          <w:color w:val="000000" w:themeColor="text1"/>
          <w:szCs w:val="24"/>
        </w:rPr>
        <w:t xml:space="preserve">hange rate is </w:t>
      </w:r>
      <w:r w:rsidR="007064A2" w:rsidRPr="006F5D71">
        <w:rPr>
          <w:color w:val="000000" w:themeColor="text1"/>
          <w:szCs w:val="24"/>
        </w:rPr>
        <w:t xml:space="preserve">a source of </w:t>
      </w:r>
      <w:r w:rsidR="00C340ED" w:rsidRPr="006F5D71">
        <w:rPr>
          <w:color w:val="000000" w:themeColor="text1"/>
          <w:szCs w:val="24"/>
        </w:rPr>
        <w:t>exogenous</w:t>
      </w:r>
      <w:r w:rsidR="004B4D80">
        <w:rPr>
          <w:color w:val="000000" w:themeColor="text1"/>
          <w:szCs w:val="24"/>
        </w:rPr>
        <w:t xml:space="preserve"> risk</w:t>
      </w:r>
      <w:r w:rsidR="00C340ED" w:rsidRPr="006F5D71">
        <w:rPr>
          <w:color w:val="000000" w:themeColor="text1"/>
          <w:szCs w:val="24"/>
        </w:rPr>
        <w:t xml:space="preserve"> as</w:t>
      </w:r>
      <w:r w:rsidR="000D620F" w:rsidRPr="006F5D71">
        <w:rPr>
          <w:color w:val="000000" w:themeColor="text1"/>
          <w:szCs w:val="24"/>
        </w:rPr>
        <w:t xml:space="preserve"> these rat</w:t>
      </w:r>
      <w:r w:rsidR="00C340ED" w:rsidRPr="006F5D71">
        <w:rPr>
          <w:color w:val="000000" w:themeColor="text1"/>
          <w:szCs w:val="24"/>
        </w:rPr>
        <w:t>es are determined in atomistic markets (</w:t>
      </w:r>
      <w:proofErr w:type="spellStart"/>
      <w:r w:rsidR="008D5F76" w:rsidRPr="006F5D71">
        <w:rPr>
          <w:color w:val="000000" w:themeColor="text1"/>
          <w:szCs w:val="24"/>
        </w:rPr>
        <w:t>Cuypers</w:t>
      </w:r>
      <w:proofErr w:type="spellEnd"/>
      <w:r w:rsidR="00C340ED" w:rsidRPr="006F5D71">
        <w:rPr>
          <w:color w:val="000000" w:themeColor="text1"/>
          <w:szCs w:val="24"/>
        </w:rPr>
        <w:t xml:space="preserve"> and Martin, 20</w:t>
      </w:r>
      <w:r w:rsidR="009D4CE9" w:rsidRPr="006F5D71">
        <w:rPr>
          <w:color w:val="000000" w:themeColor="text1"/>
          <w:szCs w:val="24"/>
        </w:rPr>
        <w:t>10</w:t>
      </w:r>
      <w:r w:rsidR="00C340ED" w:rsidRPr="006F5D71">
        <w:rPr>
          <w:color w:val="000000" w:themeColor="text1"/>
          <w:szCs w:val="24"/>
        </w:rPr>
        <w:t>).</w:t>
      </w:r>
      <w:r w:rsidR="00F72D31">
        <w:rPr>
          <w:color w:val="000000" w:themeColor="text1"/>
          <w:szCs w:val="24"/>
        </w:rPr>
        <w:t xml:space="preserve"> </w:t>
      </w:r>
      <w:r w:rsidR="00E85B1B" w:rsidRPr="006F5D71">
        <w:rPr>
          <w:color w:val="000000" w:themeColor="text1"/>
          <w:szCs w:val="24"/>
        </w:rPr>
        <w:t>On the other hand, e</w:t>
      </w:r>
      <w:r w:rsidR="00685050" w:rsidRPr="006F5D71">
        <w:rPr>
          <w:color w:val="000000" w:themeColor="text1"/>
          <w:szCs w:val="24"/>
        </w:rPr>
        <w:t xml:space="preserve">ndogenous </w:t>
      </w:r>
      <w:r w:rsidR="00685050" w:rsidRPr="006F5D71">
        <w:rPr>
          <w:color w:val="000000" w:themeColor="text1"/>
          <w:szCs w:val="24"/>
        </w:rPr>
        <w:lastRenderedPageBreak/>
        <w:t>risk</w:t>
      </w:r>
      <w:r w:rsidR="000D620F" w:rsidRPr="006F5D71">
        <w:rPr>
          <w:color w:val="000000" w:themeColor="text1"/>
          <w:szCs w:val="24"/>
        </w:rPr>
        <w:t xml:space="preserve"> </w:t>
      </w:r>
      <w:r w:rsidR="00685050" w:rsidRPr="006F5D71">
        <w:rPr>
          <w:color w:val="000000" w:themeColor="text1"/>
          <w:szCs w:val="24"/>
        </w:rPr>
        <w:t xml:space="preserve">relates to </w:t>
      </w:r>
      <w:r w:rsidR="0023047B" w:rsidRPr="006F5D71">
        <w:rPr>
          <w:color w:val="000000" w:themeColor="text1"/>
          <w:szCs w:val="24"/>
        </w:rPr>
        <w:t xml:space="preserve">the </w:t>
      </w:r>
      <w:r w:rsidR="00685050" w:rsidRPr="006F5D71">
        <w:rPr>
          <w:color w:val="000000" w:themeColor="text1"/>
          <w:szCs w:val="24"/>
        </w:rPr>
        <w:t>risk</w:t>
      </w:r>
      <w:r w:rsidR="000D620F" w:rsidRPr="006F5D71">
        <w:rPr>
          <w:color w:val="000000" w:themeColor="text1"/>
          <w:szCs w:val="24"/>
        </w:rPr>
        <w:t xml:space="preserve"> that is unequal between firms and which firms can influence through their </w:t>
      </w:r>
      <w:r w:rsidR="00DD116B" w:rsidRPr="006F5D71">
        <w:rPr>
          <w:color w:val="000000" w:themeColor="text1"/>
          <w:szCs w:val="24"/>
        </w:rPr>
        <w:t>actions</w:t>
      </w:r>
      <w:r w:rsidR="004B4D80">
        <w:rPr>
          <w:color w:val="000000" w:themeColor="text1"/>
          <w:szCs w:val="24"/>
        </w:rPr>
        <w:t xml:space="preserve"> and</w:t>
      </w:r>
      <w:r w:rsidR="00DD116B" w:rsidRPr="006F5D71">
        <w:rPr>
          <w:color w:val="000000" w:themeColor="text1"/>
          <w:szCs w:val="24"/>
        </w:rPr>
        <w:t xml:space="preserve"> capabilities</w:t>
      </w:r>
      <w:r w:rsidR="004B4D80">
        <w:rPr>
          <w:color w:val="000000" w:themeColor="text1"/>
          <w:szCs w:val="24"/>
        </w:rPr>
        <w:t>; furthermore,</w:t>
      </w:r>
      <w:r w:rsidR="00B71D49" w:rsidRPr="006F5D71">
        <w:rPr>
          <w:color w:val="000000" w:themeColor="text1"/>
          <w:szCs w:val="24"/>
        </w:rPr>
        <w:t xml:space="preserve"> recent research has emphasized its relevance for understanding the behavior of EMNC</w:t>
      </w:r>
      <w:r w:rsidR="004B4D80">
        <w:rPr>
          <w:color w:val="000000" w:themeColor="text1"/>
          <w:szCs w:val="24"/>
        </w:rPr>
        <w:t>s</w:t>
      </w:r>
      <w:r w:rsidR="009D4CE9" w:rsidRPr="006F5D71">
        <w:rPr>
          <w:color w:val="000000" w:themeColor="text1"/>
          <w:szCs w:val="24"/>
        </w:rPr>
        <w:t xml:space="preserve"> (Song, 2021</w:t>
      </w:r>
      <w:r w:rsidR="00CB0229" w:rsidRPr="006F5D71">
        <w:rPr>
          <w:color w:val="000000" w:themeColor="text1"/>
          <w:szCs w:val="24"/>
        </w:rPr>
        <w:t>; Getachew and Beamish, 2017</w:t>
      </w:r>
      <w:r w:rsidR="00F55D88" w:rsidRPr="006F5D71">
        <w:rPr>
          <w:color w:val="000000" w:themeColor="text1"/>
          <w:szCs w:val="24"/>
        </w:rPr>
        <w:t>)</w:t>
      </w:r>
      <w:r w:rsidR="00B71D49" w:rsidRPr="006F5D71">
        <w:rPr>
          <w:color w:val="000000" w:themeColor="text1"/>
          <w:szCs w:val="24"/>
        </w:rPr>
        <w:t xml:space="preserve">. </w:t>
      </w:r>
      <w:r w:rsidR="00DD116B" w:rsidRPr="006F5D71">
        <w:rPr>
          <w:color w:val="000000" w:themeColor="text1"/>
          <w:szCs w:val="24"/>
        </w:rPr>
        <w:t>F</w:t>
      </w:r>
      <w:r w:rsidR="00C340ED" w:rsidRPr="006F5D71">
        <w:rPr>
          <w:color w:val="000000" w:themeColor="text1"/>
          <w:szCs w:val="24"/>
        </w:rPr>
        <w:t xml:space="preserve">irms </w:t>
      </w:r>
      <w:r w:rsidR="0023047B" w:rsidRPr="006F5D71">
        <w:rPr>
          <w:color w:val="000000" w:themeColor="text1"/>
          <w:szCs w:val="24"/>
        </w:rPr>
        <w:t>can</w:t>
      </w:r>
      <w:r w:rsidR="00E85B1B" w:rsidRPr="006F5D71">
        <w:rPr>
          <w:color w:val="000000" w:themeColor="text1"/>
          <w:szCs w:val="24"/>
        </w:rPr>
        <w:t xml:space="preserve"> resolve </w:t>
      </w:r>
      <w:r w:rsidR="00DD116B" w:rsidRPr="006F5D71">
        <w:rPr>
          <w:color w:val="000000" w:themeColor="text1"/>
          <w:szCs w:val="24"/>
        </w:rPr>
        <w:t>endogenous</w:t>
      </w:r>
      <w:r w:rsidR="00E85B1B" w:rsidRPr="006F5D71">
        <w:rPr>
          <w:color w:val="000000" w:themeColor="text1"/>
          <w:szCs w:val="24"/>
        </w:rPr>
        <w:t xml:space="preserve"> </w:t>
      </w:r>
      <w:r w:rsidR="00685050" w:rsidRPr="006F5D71">
        <w:rPr>
          <w:color w:val="000000" w:themeColor="text1"/>
          <w:szCs w:val="24"/>
        </w:rPr>
        <w:t>risk</w:t>
      </w:r>
      <w:r w:rsidR="00C340ED" w:rsidRPr="006F5D71">
        <w:rPr>
          <w:color w:val="000000" w:themeColor="text1"/>
          <w:szCs w:val="24"/>
        </w:rPr>
        <w:t xml:space="preserve"> </w:t>
      </w:r>
      <w:r w:rsidR="00760553" w:rsidRPr="006F5D71">
        <w:rPr>
          <w:color w:val="000000" w:themeColor="text1"/>
          <w:szCs w:val="24"/>
        </w:rPr>
        <w:t xml:space="preserve">over time </w:t>
      </w:r>
      <w:r w:rsidR="00E85B1B" w:rsidRPr="006F5D71">
        <w:rPr>
          <w:color w:val="000000" w:themeColor="text1"/>
          <w:szCs w:val="24"/>
        </w:rPr>
        <w:t xml:space="preserve">(at least in part) </w:t>
      </w:r>
      <w:r w:rsidR="00760553" w:rsidRPr="006F5D71">
        <w:rPr>
          <w:color w:val="000000" w:themeColor="text1"/>
          <w:szCs w:val="24"/>
        </w:rPr>
        <w:t xml:space="preserve">by </w:t>
      </w:r>
      <w:r w:rsidR="00DD116B" w:rsidRPr="006F5D71">
        <w:rPr>
          <w:color w:val="000000" w:themeColor="text1"/>
          <w:szCs w:val="24"/>
        </w:rPr>
        <w:t xml:space="preserve">learning through experience and </w:t>
      </w:r>
      <w:r w:rsidR="00760553" w:rsidRPr="006F5D71">
        <w:rPr>
          <w:color w:val="000000" w:themeColor="text1"/>
          <w:szCs w:val="24"/>
        </w:rPr>
        <w:t xml:space="preserve">utilizing </w:t>
      </w:r>
      <w:r w:rsidR="0023047B" w:rsidRPr="006F5D71">
        <w:rPr>
          <w:color w:val="000000" w:themeColor="text1"/>
          <w:szCs w:val="24"/>
        </w:rPr>
        <w:t>their</w:t>
      </w:r>
      <w:r w:rsidR="00760553" w:rsidRPr="006F5D71">
        <w:rPr>
          <w:color w:val="000000" w:themeColor="text1"/>
          <w:szCs w:val="24"/>
        </w:rPr>
        <w:t xml:space="preserve"> capabilities</w:t>
      </w:r>
      <w:r w:rsidR="00C1039C" w:rsidRPr="006F5D71">
        <w:rPr>
          <w:color w:val="000000" w:themeColor="text1"/>
          <w:szCs w:val="24"/>
        </w:rPr>
        <w:t xml:space="preserve"> (Buckley et al., 2020)</w:t>
      </w:r>
      <w:r w:rsidR="00C340ED" w:rsidRPr="006F5D71">
        <w:rPr>
          <w:color w:val="000000" w:themeColor="text1"/>
          <w:szCs w:val="24"/>
        </w:rPr>
        <w:t xml:space="preserve">. For instance, a firm may not know a priori </w:t>
      </w:r>
      <w:r w:rsidR="00D635A1">
        <w:rPr>
          <w:color w:val="000000" w:themeColor="text1"/>
          <w:szCs w:val="24"/>
        </w:rPr>
        <w:t>what</w:t>
      </w:r>
      <w:r w:rsidR="00D635A1" w:rsidRPr="006F5D71">
        <w:rPr>
          <w:color w:val="000000" w:themeColor="text1"/>
          <w:szCs w:val="24"/>
        </w:rPr>
        <w:t xml:space="preserve"> </w:t>
      </w:r>
      <w:r w:rsidR="007064A2" w:rsidRPr="006F5D71">
        <w:rPr>
          <w:color w:val="000000" w:themeColor="text1"/>
          <w:szCs w:val="24"/>
        </w:rPr>
        <w:t>the business environment</w:t>
      </w:r>
      <w:r w:rsidR="00C340ED" w:rsidRPr="006F5D71">
        <w:rPr>
          <w:color w:val="000000" w:themeColor="text1"/>
          <w:szCs w:val="24"/>
        </w:rPr>
        <w:t xml:space="preserve"> in a host coun</w:t>
      </w:r>
      <w:r w:rsidR="00685050" w:rsidRPr="006F5D71">
        <w:rPr>
          <w:color w:val="000000" w:themeColor="text1"/>
          <w:szCs w:val="24"/>
        </w:rPr>
        <w:t>try may</w:t>
      </w:r>
      <w:r w:rsidR="0023047B" w:rsidRPr="006F5D71">
        <w:rPr>
          <w:color w:val="000000" w:themeColor="text1"/>
          <w:szCs w:val="24"/>
        </w:rPr>
        <w:t xml:space="preserve"> </w:t>
      </w:r>
      <w:r w:rsidR="00685050" w:rsidRPr="006F5D71">
        <w:rPr>
          <w:color w:val="000000" w:themeColor="text1"/>
          <w:szCs w:val="24"/>
        </w:rPr>
        <w:t>be, but that risk</w:t>
      </w:r>
      <w:r w:rsidR="00C340ED" w:rsidRPr="006F5D71">
        <w:rPr>
          <w:color w:val="000000" w:themeColor="text1"/>
          <w:szCs w:val="24"/>
        </w:rPr>
        <w:t xml:space="preserve"> can be resolved by </w:t>
      </w:r>
      <w:r w:rsidR="00760553" w:rsidRPr="006F5D71">
        <w:rPr>
          <w:color w:val="000000" w:themeColor="text1"/>
          <w:szCs w:val="24"/>
        </w:rPr>
        <w:t xml:space="preserve">utilizing its </w:t>
      </w:r>
      <w:r w:rsidR="00C340ED" w:rsidRPr="006F5D71">
        <w:rPr>
          <w:color w:val="000000" w:themeColor="text1"/>
          <w:szCs w:val="24"/>
        </w:rPr>
        <w:t>learning</w:t>
      </w:r>
      <w:r w:rsidR="00760553" w:rsidRPr="006F5D71">
        <w:rPr>
          <w:color w:val="000000" w:themeColor="text1"/>
          <w:szCs w:val="24"/>
        </w:rPr>
        <w:t xml:space="preserve"> capabilities </w:t>
      </w:r>
      <w:r w:rsidR="00C340ED" w:rsidRPr="006F5D71">
        <w:rPr>
          <w:color w:val="000000" w:themeColor="text1"/>
          <w:szCs w:val="24"/>
        </w:rPr>
        <w:t>about the</w:t>
      </w:r>
      <w:r w:rsidR="001F49D3" w:rsidRPr="006F5D71">
        <w:rPr>
          <w:color w:val="000000" w:themeColor="text1"/>
          <w:szCs w:val="24"/>
        </w:rPr>
        <w:t xml:space="preserve"> host </w:t>
      </w:r>
      <w:r w:rsidR="00C340ED" w:rsidRPr="006F5D71">
        <w:rPr>
          <w:color w:val="000000" w:themeColor="text1"/>
          <w:szCs w:val="24"/>
        </w:rPr>
        <w:t>country (</w:t>
      </w:r>
      <w:proofErr w:type="spellStart"/>
      <w:r w:rsidR="002B4094" w:rsidRPr="006F5D71">
        <w:rPr>
          <w:color w:val="000000" w:themeColor="text1"/>
          <w:szCs w:val="24"/>
        </w:rPr>
        <w:t>Mazé</w:t>
      </w:r>
      <w:proofErr w:type="spellEnd"/>
      <w:r w:rsidR="002B4094" w:rsidRPr="006F5D71">
        <w:rPr>
          <w:color w:val="000000" w:themeColor="text1"/>
          <w:szCs w:val="24"/>
        </w:rPr>
        <w:t xml:space="preserve"> &amp; </w:t>
      </w:r>
      <w:proofErr w:type="spellStart"/>
      <w:r w:rsidR="002B4094" w:rsidRPr="006F5D71">
        <w:rPr>
          <w:color w:val="000000" w:themeColor="text1"/>
          <w:szCs w:val="24"/>
        </w:rPr>
        <w:t>Chailan</w:t>
      </w:r>
      <w:proofErr w:type="spellEnd"/>
      <w:r w:rsidR="002B4094" w:rsidRPr="006F5D71">
        <w:rPr>
          <w:color w:val="000000" w:themeColor="text1"/>
          <w:szCs w:val="24"/>
        </w:rPr>
        <w:t>, 2021</w:t>
      </w:r>
      <w:r w:rsidR="00C340ED" w:rsidRPr="006F5D71">
        <w:rPr>
          <w:color w:val="000000" w:themeColor="text1"/>
          <w:szCs w:val="24"/>
        </w:rPr>
        <w:t>).</w:t>
      </w:r>
      <w:r w:rsidR="00F72D31">
        <w:rPr>
          <w:color w:val="000000" w:themeColor="text1"/>
          <w:szCs w:val="24"/>
        </w:rPr>
        <w:t xml:space="preserve"> </w:t>
      </w:r>
      <w:r w:rsidR="00735BA0" w:rsidRPr="006F5D71">
        <w:rPr>
          <w:color w:val="000000" w:themeColor="text1"/>
          <w:szCs w:val="24"/>
        </w:rPr>
        <w:t>R</w:t>
      </w:r>
      <w:r w:rsidR="008B0E26" w:rsidRPr="006F5D71">
        <w:rPr>
          <w:color w:val="000000" w:themeColor="text1"/>
          <w:szCs w:val="24"/>
        </w:rPr>
        <w:t>ecent literature on EMNC</w:t>
      </w:r>
      <w:r w:rsidR="00D635A1">
        <w:rPr>
          <w:color w:val="000000" w:themeColor="text1"/>
          <w:szCs w:val="24"/>
        </w:rPr>
        <w:t>s</w:t>
      </w:r>
      <w:r w:rsidR="008B0E26" w:rsidRPr="006F5D71">
        <w:rPr>
          <w:color w:val="000000" w:themeColor="text1"/>
          <w:szCs w:val="24"/>
        </w:rPr>
        <w:t xml:space="preserve"> has stressed the role of endogenous over exogenous risks in explaining firm</w:t>
      </w:r>
      <w:r w:rsidR="00D635A1">
        <w:rPr>
          <w:color w:val="000000" w:themeColor="text1"/>
          <w:szCs w:val="24"/>
        </w:rPr>
        <w:t>s’</w:t>
      </w:r>
      <w:r w:rsidR="008B0E26" w:rsidRPr="006F5D71">
        <w:rPr>
          <w:color w:val="000000" w:themeColor="text1"/>
          <w:szCs w:val="24"/>
        </w:rPr>
        <w:t xml:space="preserve"> overse</w:t>
      </w:r>
      <w:r w:rsidR="00F06452" w:rsidRPr="006F5D71">
        <w:rPr>
          <w:color w:val="000000" w:themeColor="text1"/>
          <w:szCs w:val="24"/>
        </w:rPr>
        <w:t>a</w:t>
      </w:r>
      <w:r w:rsidR="008B0E26" w:rsidRPr="006F5D71">
        <w:rPr>
          <w:color w:val="000000" w:themeColor="text1"/>
          <w:szCs w:val="24"/>
        </w:rPr>
        <w:t xml:space="preserve">s </w:t>
      </w:r>
      <w:r w:rsidR="00DD116B" w:rsidRPr="006F5D71">
        <w:rPr>
          <w:color w:val="000000" w:themeColor="text1"/>
          <w:szCs w:val="24"/>
        </w:rPr>
        <w:t>survival,</w:t>
      </w:r>
      <w:r w:rsidR="008B0E26" w:rsidRPr="006F5D71">
        <w:rPr>
          <w:color w:val="000000" w:themeColor="text1"/>
          <w:szCs w:val="24"/>
        </w:rPr>
        <w:t xml:space="preserve"> as endogenous risks are manageable and influenced by firms’ capabilities</w:t>
      </w:r>
      <w:r w:rsidR="00735BA0" w:rsidRPr="006F5D71">
        <w:rPr>
          <w:color w:val="000000" w:themeColor="text1"/>
          <w:szCs w:val="24"/>
        </w:rPr>
        <w:t xml:space="preserve"> (Buckley et al, 2020; </w:t>
      </w:r>
      <w:r w:rsidR="001635D4" w:rsidRPr="006F5D71">
        <w:rPr>
          <w:color w:val="000000" w:themeColor="text1"/>
          <w:szCs w:val="24"/>
        </w:rPr>
        <w:t>Mohr, Batsakis, &amp; Stone, 2018</w:t>
      </w:r>
      <w:r w:rsidR="00735BA0" w:rsidRPr="006F5D71">
        <w:rPr>
          <w:color w:val="000000" w:themeColor="text1"/>
          <w:szCs w:val="24"/>
        </w:rPr>
        <w:t>)</w:t>
      </w:r>
      <w:r w:rsidR="008B0E26" w:rsidRPr="006F5D71">
        <w:rPr>
          <w:color w:val="000000" w:themeColor="text1"/>
          <w:szCs w:val="24"/>
        </w:rPr>
        <w:t>.</w:t>
      </w:r>
      <w:r w:rsidR="00F72D31">
        <w:rPr>
          <w:color w:val="000000" w:themeColor="text1"/>
          <w:szCs w:val="24"/>
        </w:rPr>
        <w:t xml:space="preserve"> </w:t>
      </w:r>
    </w:p>
    <w:p w14:paraId="3A00112A" w14:textId="77777777" w:rsidR="00C836F9" w:rsidRPr="006F5D71" w:rsidRDefault="007064A2" w:rsidP="00C358F8">
      <w:pPr>
        <w:pStyle w:val="NoSpacing"/>
        <w:spacing w:line="360" w:lineRule="auto"/>
        <w:ind w:firstLine="720"/>
        <w:jc w:val="both"/>
        <w:rPr>
          <w:color w:val="000000" w:themeColor="text1"/>
          <w:szCs w:val="24"/>
        </w:rPr>
      </w:pPr>
      <w:r w:rsidRPr="006F5D71">
        <w:rPr>
          <w:color w:val="000000" w:themeColor="text1"/>
          <w:szCs w:val="24"/>
        </w:rPr>
        <w:t>Northern locations</w:t>
      </w:r>
      <w:r w:rsidR="00A24373" w:rsidRPr="006F5D71">
        <w:rPr>
          <w:color w:val="000000" w:themeColor="text1"/>
          <w:szCs w:val="24"/>
        </w:rPr>
        <w:t xml:space="preserve"> offer</w:t>
      </w:r>
      <w:r w:rsidR="0084738F" w:rsidRPr="006F5D71">
        <w:rPr>
          <w:color w:val="000000" w:themeColor="text1"/>
          <w:szCs w:val="24"/>
        </w:rPr>
        <w:t xml:space="preserve"> a more stable institutional environment</w:t>
      </w:r>
      <w:r w:rsidRPr="006F5D71">
        <w:rPr>
          <w:color w:val="000000" w:themeColor="text1"/>
          <w:szCs w:val="24"/>
        </w:rPr>
        <w:t>,</w:t>
      </w:r>
      <w:r w:rsidR="0084738F" w:rsidRPr="006F5D71">
        <w:rPr>
          <w:color w:val="000000" w:themeColor="text1"/>
          <w:szCs w:val="24"/>
        </w:rPr>
        <w:t xml:space="preserve"> </w:t>
      </w:r>
      <w:r w:rsidRPr="006F5D71">
        <w:rPr>
          <w:color w:val="000000" w:themeColor="text1"/>
          <w:szCs w:val="24"/>
        </w:rPr>
        <w:t>attracting</w:t>
      </w:r>
      <w:r w:rsidR="0084738F" w:rsidRPr="006F5D71">
        <w:rPr>
          <w:color w:val="000000" w:themeColor="text1"/>
          <w:szCs w:val="24"/>
        </w:rPr>
        <w:t xml:space="preserve"> firms </w:t>
      </w:r>
      <w:r w:rsidRPr="006F5D71">
        <w:rPr>
          <w:color w:val="000000" w:themeColor="text1"/>
          <w:szCs w:val="24"/>
        </w:rPr>
        <w:t>that want to</w:t>
      </w:r>
      <w:r w:rsidR="0084738F" w:rsidRPr="006F5D71">
        <w:rPr>
          <w:color w:val="000000" w:themeColor="text1"/>
          <w:szCs w:val="24"/>
        </w:rPr>
        <w:t xml:space="preserve"> escape their country-specific disadvantages. </w:t>
      </w:r>
      <w:r w:rsidR="0071043C" w:rsidRPr="006F5D71">
        <w:rPr>
          <w:color w:val="000000" w:themeColor="text1"/>
          <w:szCs w:val="24"/>
        </w:rPr>
        <w:t>However, endogenous risks are</w:t>
      </w:r>
      <w:r w:rsidR="00A875A6" w:rsidRPr="006F5D71">
        <w:rPr>
          <w:color w:val="000000" w:themeColor="text1"/>
          <w:szCs w:val="24"/>
        </w:rPr>
        <w:t xml:space="preserve"> high </w:t>
      </w:r>
      <w:r w:rsidR="0071043C" w:rsidRPr="006F5D71">
        <w:rPr>
          <w:color w:val="000000" w:themeColor="text1"/>
          <w:szCs w:val="24"/>
        </w:rPr>
        <w:t xml:space="preserve">in the North </w:t>
      </w:r>
      <w:r w:rsidR="00A875A6" w:rsidRPr="006F5D71">
        <w:rPr>
          <w:color w:val="000000" w:themeColor="text1"/>
          <w:szCs w:val="24"/>
        </w:rPr>
        <w:t xml:space="preserve">due to </w:t>
      </w:r>
      <w:r w:rsidR="0071043C" w:rsidRPr="006F5D71">
        <w:rPr>
          <w:color w:val="000000" w:themeColor="text1"/>
          <w:szCs w:val="24"/>
        </w:rPr>
        <w:t>greater market competition (</w:t>
      </w:r>
      <w:proofErr w:type="spellStart"/>
      <w:r w:rsidR="0071043C" w:rsidRPr="006F5D71">
        <w:rPr>
          <w:color w:val="000000" w:themeColor="text1"/>
          <w:szCs w:val="24"/>
        </w:rPr>
        <w:t>Vural-Yavas</w:t>
      </w:r>
      <w:proofErr w:type="spellEnd"/>
      <w:r w:rsidR="0071043C" w:rsidRPr="006F5D71">
        <w:rPr>
          <w:color w:val="000000" w:themeColor="text1"/>
          <w:szCs w:val="24"/>
        </w:rPr>
        <w:t xml:space="preserve">, 2020). </w:t>
      </w:r>
      <w:r w:rsidR="003B598F" w:rsidRPr="006F5D71">
        <w:rPr>
          <w:color w:val="000000" w:themeColor="text1"/>
          <w:szCs w:val="24"/>
        </w:rPr>
        <w:t xml:space="preserve">Barnard (2010) </w:t>
      </w:r>
      <w:r w:rsidR="0055434D" w:rsidRPr="006F5D71">
        <w:rPr>
          <w:color w:val="000000" w:themeColor="text1"/>
          <w:szCs w:val="24"/>
        </w:rPr>
        <w:t>shows</w:t>
      </w:r>
      <w:r w:rsidR="003B598F" w:rsidRPr="006F5D71">
        <w:rPr>
          <w:color w:val="000000" w:themeColor="text1"/>
          <w:szCs w:val="24"/>
        </w:rPr>
        <w:t xml:space="preserve"> that EMNCs are more likely to develop into center</w:t>
      </w:r>
      <w:r w:rsidR="00D90B42" w:rsidRPr="006F5D71">
        <w:rPr>
          <w:color w:val="000000" w:themeColor="text1"/>
          <w:szCs w:val="24"/>
        </w:rPr>
        <w:t>s</w:t>
      </w:r>
      <w:r w:rsidR="003B598F" w:rsidRPr="006F5D71">
        <w:rPr>
          <w:color w:val="000000" w:themeColor="text1"/>
          <w:szCs w:val="24"/>
        </w:rPr>
        <w:t xml:space="preserve"> of excellence in the relatively less competitive US industries. </w:t>
      </w:r>
      <w:r w:rsidR="0071043C" w:rsidRPr="006F5D71">
        <w:rPr>
          <w:color w:val="000000" w:themeColor="text1"/>
          <w:szCs w:val="24"/>
        </w:rPr>
        <w:t>Further,</w:t>
      </w:r>
      <w:r w:rsidR="00A875A6" w:rsidRPr="006F5D71">
        <w:rPr>
          <w:color w:val="000000" w:themeColor="text1"/>
          <w:szCs w:val="24"/>
        </w:rPr>
        <w:t xml:space="preserve"> adapting to institutional difference</w:t>
      </w:r>
      <w:r w:rsidR="00F06452" w:rsidRPr="006F5D71">
        <w:rPr>
          <w:color w:val="000000" w:themeColor="text1"/>
          <w:szCs w:val="24"/>
        </w:rPr>
        <w:t>s</w:t>
      </w:r>
      <w:r w:rsidR="0055434D" w:rsidRPr="006F5D71">
        <w:rPr>
          <w:color w:val="000000" w:themeColor="text1"/>
          <w:szCs w:val="24"/>
        </w:rPr>
        <w:t xml:space="preserve"> can</w:t>
      </w:r>
      <w:r w:rsidR="00A875A6" w:rsidRPr="006F5D71">
        <w:rPr>
          <w:color w:val="000000" w:themeColor="text1"/>
          <w:szCs w:val="24"/>
        </w:rPr>
        <w:t xml:space="preserve"> </w:t>
      </w:r>
      <w:r w:rsidR="00291D64" w:rsidRPr="006F5D71">
        <w:rPr>
          <w:color w:val="000000" w:themeColor="text1"/>
          <w:szCs w:val="24"/>
        </w:rPr>
        <w:t xml:space="preserve">be </w:t>
      </w:r>
      <w:r w:rsidR="00A875A6" w:rsidRPr="006F5D71">
        <w:rPr>
          <w:color w:val="000000" w:themeColor="text1"/>
          <w:szCs w:val="24"/>
        </w:rPr>
        <w:t>a source of disruption</w:t>
      </w:r>
      <w:r w:rsidR="007D6290" w:rsidRPr="006F5D71">
        <w:rPr>
          <w:color w:val="000000" w:themeColor="text1"/>
          <w:szCs w:val="24"/>
        </w:rPr>
        <w:t xml:space="preserve"> for many EMNCs</w:t>
      </w:r>
      <w:r w:rsidR="0071043C" w:rsidRPr="006F5D71">
        <w:rPr>
          <w:color w:val="000000" w:themeColor="text1"/>
          <w:szCs w:val="24"/>
        </w:rPr>
        <w:t>, particularly in their early phase</w:t>
      </w:r>
      <w:r w:rsidR="00A24373" w:rsidRPr="006F5D71">
        <w:rPr>
          <w:color w:val="000000" w:themeColor="text1"/>
          <w:szCs w:val="24"/>
        </w:rPr>
        <w:t xml:space="preserve"> </w:t>
      </w:r>
      <w:r w:rsidR="0071043C" w:rsidRPr="006F5D71">
        <w:rPr>
          <w:color w:val="000000" w:themeColor="text1"/>
          <w:szCs w:val="24"/>
        </w:rPr>
        <w:t xml:space="preserve">of internationalization </w:t>
      </w:r>
      <w:r w:rsidR="00A24373" w:rsidRPr="006F5D71">
        <w:rPr>
          <w:color w:val="000000" w:themeColor="text1"/>
          <w:szCs w:val="24"/>
        </w:rPr>
        <w:t>(</w:t>
      </w:r>
      <w:r w:rsidR="001D3A38" w:rsidRPr="006F5D71">
        <w:rPr>
          <w:color w:val="000000" w:themeColor="text1"/>
          <w:szCs w:val="24"/>
        </w:rPr>
        <w:t>Cui and Xu, 2019</w:t>
      </w:r>
      <w:r w:rsidR="00A24373" w:rsidRPr="006F5D71">
        <w:rPr>
          <w:color w:val="000000" w:themeColor="text1"/>
          <w:szCs w:val="24"/>
        </w:rPr>
        <w:t>)</w:t>
      </w:r>
      <w:r w:rsidR="00A875A6" w:rsidRPr="006F5D71">
        <w:rPr>
          <w:color w:val="000000" w:themeColor="text1"/>
          <w:szCs w:val="24"/>
        </w:rPr>
        <w:t>.</w:t>
      </w:r>
      <w:r w:rsidR="00936190" w:rsidRPr="006F5D71">
        <w:rPr>
          <w:color w:val="000000" w:themeColor="text1"/>
          <w:szCs w:val="24"/>
        </w:rPr>
        <w:t xml:space="preserve"> Wu (2013) </w:t>
      </w:r>
      <w:r w:rsidR="001D3A38" w:rsidRPr="006F5D71">
        <w:rPr>
          <w:color w:val="000000" w:themeColor="text1"/>
          <w:szCs w:val="24"/>
        </w:rPr>
        <w:t xml:space="preserve">further </w:t>
      </w:r>
      <w:r w:rsidR="00936190" w:rsidRPr="006F5D71">
        <w:rPr>
          <w:color w:val="000000" w:themeColor="text1"/>
          <w:szCs w:val="24"/>
        </w:rPr>
        <w:t>sugge</w:t>
      </w:r>
      <w:r w:rsidR="00D90B42" w:rsidRPr="006F5D71">
        <w:rPr>
          <w:color w:val="000000" w:themeColor="text1"/>
          <w:szCs w:val="24"/>
        </w:rPr>
        <w:t xml:space="preserve">sts that </w:t>
      </w:r>
      <w:r w:rsidR="004C7443" w:rsidRPr="006F5D71">
        <w:rPr>
          <w:color w:val="000000" w:themeColor="text1"/>
          <w:szCs w:val="24"/>
        </w:rPr>
        <w:t xml:space="preserve">an </w:t>
      </w:r>
      <w:r w:rsidR="00D90B42" w:rsidRPr="006F5D71">
        <w:rPr>
          <w:color w:val="000000" w:themeColor="text1"/>
          <w:szCs w:val="24"/>
        </w:rPr>
        <w:t>institutionally distan</w:t>
      </w:r>
      <w:r w:rsidR="00936190" w:rsidRPr="006F5D71">
        <w:rPr>
          <w:color w:val="000000" w:themeColor="text1"/>
          <w:szCs w:val="24"/>
        </w:rPr>
        <w:t xml:space="preserve">t </w:t>
      </w:r>
      <w:r w:rsidR="00D90B42" w:rsidRPr="006F5D71">
        <w:rPr>
          <w:color w:val="000000" w:themeColor="text1"/>
          <w:szCs w:val="24"/>
        </w:rPr>
        <w:t>host</w:t>
      </w:r>
      <w:r w:rsidR="00936190" w:rsidRPr="006F5D71">
        <w:rPr>
          <w:color w:val="000000" w:themeColor="text1"/>
          <w:szCs w:val="24"/>
        </w:rPr>
        <w:t xml:space="preserve"> market environment may also trigger endogenous risk in </w:t>
      </w:r>
      <w:r w:rsidR="00D635A1">
        <w:rPr>
          <w:color w:val="000000" w:themeColor="text1"/>
          <w:szCs w:val="24"/>
        </w:rPr>
        <w:t xml:space="preserve">the </w:t>
      </w:r>
      <w:r w:rsidR="00936190" w:rsidRPr="006F5D71">
        <w:rPr>
          <w:color w:val="000000" w:themeColor="text1"/>
          <w:szCs w:val="24"/>
        </w:rPr>
        <w:t>form of conflicting demands of external legitimacy in host countries.</w:t>
      </w:r>
      <w:r w:rsidR="0000040C" w:rsidRPr="006F5D71">
        <w:rPr>
          <w:color w:val="000000" w:themeColor="text1"/>
          <w:szCs w:val="24"/>
        </w:rPr>
        <w:t xml:space="preserve"> </w:t>
      </w:r>
      <w:r w:rsidR="0055434D" w:rsidRPr="006F5D71">
        <w:rPr>
          <w:color w:val="000000" w:themeColor="text1"/>
          <w:szCs w:val="24"/>
        </w:rPr>
        <w:t xml:space="preserve">Song (2014) considers the effect of institutional development on </w:t>
      </w:r>
      <w:r w:rsidR="00D635A1">
        <w:rPr>
          <w:color w:val="000000" w:themeColor="text1"/>
          <w:szCs w:val="24"/>
        </w:rPr>
        <w:t xml:space="preserve">a </w:t>
      </w:r>
      <w:r w:rsidR="0055434D" w:rsidRPr="006F5D71">
        <w:rPr>
          <w:color w:val="000000" w:themeColor="text1"/>
          <w:szCs w:val="24"/>
        </w:rPr>
        <w:t>foreign firm’s divestment decision</w:t>
      </w:r>
      <w:r w:rsidR="00F52463" w:rsidRPr="006F5D71">
        <w:rPr>
          <w:color w:val="000000" w:themeColor="text1"/>
          <w:szCs w:val="24"/>
        </w:rPr>
        <w:t>s</w:t>
      </w:r>
      <w:r w:rsidR="0055434D" w:rsidRPr="006F5D71">
        <w:rPr>
          <w:color w:val="000000" w:themeColor="text1"/>
          <w:szCs w:val="24"/>
        </w:rPr>
        <w:t xml:space="preserve"> and suggests that financially developed markets reduce the cost of </w:t>
      </w:r>
      <w:r w:rsidR="00DD116B" w:rsidRPr="006F5D71">
        <w:rPr>
          <w:color w:val="000000" w:themeColor="text1"/>
          <w:szCs w:val="24"/>
        </w:rPr>
        <w:t>exit, which</w:t>
      </w:r>
      <w:r w:rsidR="0055434D" w:rsidRPr="006F5D71">
        <w:rPr>
          <w:color w:val="000000" w:themeColor="text1"/>
          <w:szCs w:val="24"/>
        </w:rPr>
        <w:t xml:space="preserve"> increases the likelihood of exit. In particular, </w:t>
      </w:r>
      <w:r w:rsidR="00DD116B" w:rsidRPr="006F5D71">
        <w:rPr>
          <w:color w:val="000000" w:themeColor="text1"/>
          <w:szCs w:val="24"/>
        </w:rPr>
        <w:t>laws that make declaration of bankruptcy easy</w:t>
      </w:r>
      <w:r w:rsidR="00D635A1">
        <w:rPr>
          <w:color w:val="000000" w:themeColor="text1"/>
          <w:szCs w:val="24"/>
        </w:rPr>
        <w:t>,</w:t>
      </w:r>
      <w:r w:rsidR="00DD116B" w:rsidRPr="006F5D71">
        <w:rPr>
          <w:color w:val="000000" w:themeColor="text1"/>
          <w:szCs w:val="24"/>
        </w:rPr>
        <w:t xml:space="preserve"> and</w:t>
      </w:r>
      <w:r w:rsidR="000A300D" w:rsidRPr="006F5D71">
        <w:rPr>
          <w:color w:val="000000" w:themeColor="text1"/>
          <w:szCs w:val="24"/>
        </w:rPr>
        <w:t xml:space="preserve"> </w:t>
      </w:r>
      <w:r w:rsidR="00DD116B" w:rsidRPr="006F5D71">
        <w:rPr>
          <w:color w:val="000000" w:themeColor="text1"/>
          <w:szCs w:val="24"/>
        </w:rPr>
        <w:t xml:space="preserve">deep </w:t>
      </w:r>
      <w:r w:rsidR="000A300D" w:rsidRPr="006F5D71">
        <w:rPr>
          <w:color w:val="000000" w:themeColor="text1"/>
          <w:szCs w:val="24"/>
        </w:rPr>
        <w:t xml:space="preserve">capital </w:t>
      </w:r>
      <w:r w:rsidR="00DD116B" w:rsidRPr="006F5D71">
        <w:rPr>
          <w:color w:val="000000" w:themeColor="text1"/>
          <w:szCs w:val="24"/>
        </w:rPr>
        <w:t xml:space="preserve">markets </w:t>
      </w:r>
      <w:r w:rsidR="000A300D" w:rsidRPr="006F5D71">
        <w:rPr>
          <w:color w:val="000000" w:themeColor="text1"/>
          <w:szCs w:val="24"/>
        </w:rPr>
        <w:t xml:space="preserve">due to strong institutional and financial development </w:t>
      </w:r>
      <w:r w:rsidR="0055434D" w:rsidRPr="006F5D71">
        <w:rPr>
          <w:color w:val="000000" w:themeColor="text1"/>
          <w:szCs w:val="24"/>
        </w:rPr>
        <w:t>in developed countries</w:t>
      </w:r>
      <w:r w:rsidR="00DD116B" w:rsidRPr="006F5D71">
        <w:rPr>
          <w:color w:val="000000" w:themeColor="text1"/>
          <w:szCs w:val="24"/>
        </w:rPr>
        <w:t>,</w:t>
      </w:r>
      <w:r w:rsidR="0055434D" w:rsidRPr="006F5D71">
        <w:rPr>
          <w:color w:val="000000" w:themeColor="text1"/>
          <w:szCs w:val="24"/>
        </w:rPr>
        <w:t xml:space="preserve"> </w:t>
      </w:r>
      <w:r w:rsidR="000A300D" w:rsidRPr="006F5D71">
        <w:rPr>
          <w:color w:val="000000" w:themeColor="text1"/>
          <w:szCs w:val="24"/>
        </w:rPr>
        <w:t xml:space="preserve">enable foreign firms to easily exit </w:t>
      </w:r>
      <w:r w:rsidR="00DD116B" w:rsidRPr="006F5D71">
        <w:rPr>
          <w:color w:val="000000" w:themeColor="text1"/>
          <w:szCs w:val="24"/>
        </w:rPr>
        <w:t>Northern locations</w:t>
      </w:r>
      <w:r w:rsidR="000A300D" w:rsidRPr="006F5D71">
        <w:rPr>
          <w:color w:val="000000" w:themeColor="text1"/>
          <w:szCs w:val="24"/>
        </w:rPr>
        <w:t>.</w:t>
      </w:r>
      <w:r w:rsidR="00F72D31">
        <w:rPr>
          <w:color w:val="000000" w:themeColor="text1"/>
          <w:szCs w:val="24"/>
        </w:rPr>
        <w:t xml:space="preserve"> </w:t>
      </w:r>
    </w:p>
    <w:p w14:paraId="2F9F4CA1" w14:textId="77777777" w:rsidR="00C358F8" w:rsidRPr="006F5D71" w:rsidRDefault="00DD116B" w:rsidP="0023047B">
      <w:pPr>
        <w:pStyle w:val="NoSpacing"/>
        <w:spacing w:line="360" w:lineRule="auto"/>
        <w:ind w:firstLine="720"/>
        <w:jc w:val="both"/>
        <w:rPr>
          <w:color w:val="000000" w:themeColor="text1"/>
          <w:szCs w:val="24"/>
        </w:rPr>
      </w:pPr>
      <w:r w:rsidRPr="006F5D71">
        <w:rPr>
          <w:color w:val="000000" w:themeColor="text1"/>
          <w:szCs w:val="24"/>
        </w:rPr>
        <w:t xml:space="preserve">Southern locations </w:t>
      </w:r>
      <w:r w:rsidR="007064A2" w:rsidRPr="006F5D71">
        <w:rPr>
          <w:color w:val="000000" w:themeColor="text1"/>
          <w:szCs w:val="24"/>
        </w:rPr>
        <w:t>have</w:t>
      </w:r>
      <w:r w:rsidR="00093735" w:rsidRPr="006F5D71">
        <w:rPr>
          <w:color w:val="000000" w:themeColor="text1"/>
          <w:szCs w:val="24"/>
        </w:rPr>
        <w:t xml:space="preserve"> </w:t>
      </w:r>
      <w:r w:rsidR="00C40850" w:rsidRPr="006F5D71">
        <w:rPr>
          <w:color w:val="000000" w:themeColor="text1"/>
          <w:szCs w:val="24"/>
        </w:rPr>
        <w:t xml:space="preserve">high levels of endogenous risk that arise due to </w:t>
      </w:r>
      <w:r w:rsidR="00093735" w:rsidRPr="006F5D71">
        <w:rPr>
          <w:color w:val="000000" w:themeColor="text1"/>
          <w:szCs w:val="24"/>
        </w:rPr>
        <w:t>underdeveloped institutions, frequent government interventions, and vulnerability to political instability</w:t>
      </w:r>
      <w:r w:rsidR="00A24373" w:rsidRPr="006F5D71">
        <w:rPr>
          <w:color w:val="000000" w:themeColor="text1"/>
          <w:szCs w:val="24"/>
        </w:rPr>
        <w:t xml:space="preserve"> (</w:t>
      </w:r>
      <w:proofErr w:type="spellStart"/>
      <w:r w:rsidR="00476B1A" w:rsidRPr="006F5D71">
        <w:rPr>
          <w:color w:val="000000" w:themeColor="text1"/>
          <w:szCs w:val="24"/>
        </w:rPr>
        <w:t>Ufere</w:t>
      </w:r>
      <w:proofErr w:type="spellEnd"/>
      <w:r w:rsidR="00476B1A" w:rsidRPr="006F5D71">
        <w:rPr>
          <w:color w:val="000000" w:themeColor="text1"/>
          <w:szCs w:val="24"/>
        </w:rPr>
        <w:t xml:space="preserve">, Gaskin, Perelli, Somers, &amp; Boland Jr, </w:t>
      </w:r>
      <w:r w:rsidR="00407471" w:rsidRPr="006F5D71">
        <w:rPr>
          <w:color w:val="000000" w:themeColor="text1"/>
          <w:szCs w:val="24"/>
        </w:rPr>
        <w:t xml:space="preserve">2020; </w:t>
      </w:r>
      <w:proofErr w:type="spellStart"/>
      <w:r w:rsidR="00407471" w:rsidRPr="006F5D71">
        <w:rPr>
          <w:color w:val="000000" w:themeColor="text1"/>
          <w:szCs w:val="24"/>
        </w:rPr>
        <w:t>Korbi</w:t>
      </w:r>
      <w:proofErr w:type="spellEnd"/>
      <w:r w:rsidR="00407471" w:rsidRPr="006F5D71">
        <w:rPr>
          <w:color w:val="000000" w:themeColor="text1"/>
          <w:szCs w:val="24"/>
        </w:rPr>
        <w:t xml:space="preserve">, Ben-Slimane, &amp; </w:t>
      </w:r>
      <w:proofErr w:type="spellStart"/>
      <w:r w:rsidR="00407471" w:rsidRPr="006F5D71">
        <w:rPr>
          <w:color w:val="000000" w:themeColor="text1"/>
          <w:szCs w:val="24"/>
        </w:rPr>
        <w:t>Triki</w:t>
      </w:r>
      <w:proofErr w:type="spellEnd"/>
      <w:r w:rsidR="00407471" w:rsidRPr="006F5D71">
        <w:rPr>
          <w:color w:val="000000" w:themeColor="text1"/>
          <w:szCs w:val="24"/>
        </w:rPr>
        <w:t>, 2021</w:t>
      </w:r>
      <w:r w:rsidR="00A24373" w:rsidRPr="006F5D71">
        <w:rPr>
          <w:color w:val="000000" w:themeColor="text1"/>
          <w:szCs w:val="24"/>
        </w:rPr>
        <w:t>)</w:t>
      </w:r>
      <w:r w:rsidR="00093735" w:rsidRPr="006F5D71">
        <w:rPr>
          <w:color w:val="000000" w:themeColor="text1"/>
          <w:szCs w:val="24"/>
        </w:rPr>
        <w:t>.</w:t>
      </w:r>
      <w:r w:rsidR="00F41DF3" w:rsidRPr="006F5D71">
        <w:rPr>
          <w:color w:val="000000" w:themeColor="text1"/>
          <w:szCs w:val="24"/>
        </w:rPr>
        <w:t xml:space="preserve"> </w:t>
      </w:r>
      <w:r w:rsidR="00D635A1">
        <w:rPr>
          <w:color w:val="000000" w:themeColor="text1"/>
          <w:szCs w:val="24"/>
        </w:rPr>
        <w:t>I</w:t>
      </w:r>
      <w:r w:rsidR="008C1774" w:rsidRPr="006F5D71">
        <w:rPr>
          <w:color w:val="000000" w:themeColor="text1"/>
          <w:szCs w:val="24"/>
        </w:rPr>
        <w:t xml:space="preserve">nstitutional similarity between home and host markets </w:t>
      </w:r>
      <w:r w:rsidR="007064A2" w:rsidRPr="006F5D71">
        <w:rPr>
          <w:color w:val="000000" w:themeColor="text1"/>
          <w:szCs w:val="24"/>
        </w:rPr>
        <w:t xml:space="preserve">may advantage </w:t>
      </w:r>
      <w:r w:rsidR="008C1774" w:rsidRPr="006F5D71">
        <w:rPr>
          <w:color w:val="000000" w:themeColor="text1"/>
          <w:szCs w:val="24"/>
        </w:rPr>
        <w:t xml:space="preserve">EMNCs </w:t>
      </w:r>
      <w:r w:rsidR="007064A2" w:rsidRPr="006F5D71">
        <w:rPr>
          <w:color w:val="000000" w:themeColor="text1"/>
          <w:szCs w:val="24"/>
        </w:rPr>
        <w:t xml:space="preserve">who </w:t>
      </w:r>
      <w:r w:rsidR="008C1774" w:rsidRPr="006F5D71">
        <w:rPr>
          <w:color w:val="000000" w:themeColor="text1"/>
          <w:szCs w:val="24"/>
        </w:rPr>
        <w:t xml:space="preserve">possess </w:t>
      </w:r>
      <w:r w:rsidR="001D5B01" w:rsidRPr="006F5D71">
        <w:rPr>
          <w:color w:val="000000" w:themeColor="text1"/>
          <w:szCs w:val="24"/>
        </w:rPr>
        <w:t xml:space="preserve">prior </w:t>
      </w:r>
      <w:r w:rsidR="008C1774" w:rsidRPr="006F5D71">
        <w:rPr>
          <w:color w:val="000000" w:themeColor="text1"/>
          <w:szCs w:val="24"/>
        </w:rPr>
        <w:t>knowledge of</w:t>
      </w:r>
      <w:r w:rsidR="001E1F96" w:rsidRPr="006F5D71">
        <w:rPr>
          <w:color w:val="000000" w:themeColor="text1"/>
          <w:szCs w:val="24"/>
        </w:rPr>
        <w:t xml:space="preserve"> </w:t>
      </w:r>
      <w:r w:rsidR="00C40850" w:rsidRPr="006F5D71">
        <w:rPr>
          <w:color w:val="000000" w:themeColor="text1"/>
          <w:szCs w:val="24"/>
        </w:rPr>
        <w:t xml:space="preserve">regulations, likely </w:t>
      </w:r>
      <w:r w:rsidR="001E1F96" w:rsidRPr="006F5D71">
        <w:rPr>
          <w:color w:val="000000" w:themeColor="text1"/>
          <w:szCs w:val="24"/>
        </w:rPr>
        <w:t>customer</w:t>
      </w:r>
      <w:r w:rsidR="00C40850" w:rsidRPr="006F5D71">
        <w:rPr>
          <w:color w:val="000000" w:themeColor="text1"/>
          <w:szCs w:val="24"/>
        </w:rPr>
        <w:t xml:space="preserve"> </w:t>
      </w:r>
      <w:r w:rsidR="001E1F96" w:rsidRPr="006F5D71">
        <w:rPr>
          <w:color w:val="000000" w:themeColor="text1"/>
          <w:szCs w:val="24"/>
        </w:rPr>
        <w:t>s</w:t>
      </w:r>
      <w:r w:rsidR="00C40850" w:rsidRPr="006F5D71">
        <w:rPr>
          <w:color w:val="000000" w:themeColor="text1"/>
          <w:szCs w:val="24"/>
        </w:rPr>
        <w:t>ectors</w:t>
      </w:r>
      <w:r w:rsidR="00F06452" w:rsidRPr="006F5D71">
        <w:rPr>
          <w:color w:val="000000" w:themeColor="text1"/>
          <w:szCs w:val="24"/>
        </w:rPr>
        <w:t>,</w:t>
      </w:r>
      <w:r w:rsidR="008C1774" w:rsidRPr="006F5D71">
        <w:rPr>
          <w:color w:val="000000" w:themeColor="text1"/>
          <w:szCs w:val="24"/>
        </w:rPr>
        <w:t xml:space="preserve"> </w:t>
      </w:r>
      <w:r w:rsidR="001E1F96" w:rsidRPr="006F5D71">
        <w:rPr>
          <w:color w:val="000000" w:themeColor="text1"/>
          <w:szCs w:val="24"/>
        </w:rPr>
        <w:t xml:space="preserve">and </w:t>
      </w:r>
      <w:r w:rsidR="00F41DF3" w:rsidRPr="006F5D71">
        <w:rPr>
          <w:color w:val="000000" w:themeColor="text1"/>
          <w:szCs w:val="24"/>
        </w:rPr>
        <w:t>suppliers</w:t>
      </w:r>
      <w:r w:rsidR="007064A2" w:rsidRPr="006F5D71">
        <w:rPr>
          <w:color w:val="000000" w:themeColor="text1"/>
          <w:szCs w:val="24"/>
        </w:rPr>
        <w:t xml:space="preserve">—all of which </w:t>
      </w:r>
      <w:r w:rsidR="00D635A1">
        <w:rPr>
          <w:color w:val="000000" w:themeColor="text1"/>
          <w:szCs w:val="24"/>
        </w:rPr>
        <w:t>are</w:t>
      </w:r>
      <w:r w:rsidR="00D635A1" w:rsidRPr="006F5D71">
        <w:rPr>
          <w:color w:val="000000" w:themeColor="text1"/>
          <w:szCs w:val="24"/>
        </w:rPr>
        <w:t xml:space="preserve"> </w:t>
      </w:r>
      <w:r w:rsidR="008C1774" w:rsidRPr="006F5D71">
        <w:rPr>
          <w:color w:val="000000" w:themeColor="text1"/>
          <w:szCs w:val="24"/>
        </w:rPr>
        <w:t xml:space="preserve">valuable </w:t>
      </w:r>
      <w:r w:rsidR="00C8470A" w:rsidRPr="006F5D71">
        <w:rPr>
          <w:color w:val="000000" w:themeColor="text1"/>
          <w:szCs w:val="24"/>
        </w:rPr>
        <w:t xml:space="preserve">in formulating strategies in dealing </w:t>
      </w:r>
      <w:r w:rsidR="0023047B" w:rsidRPr="006F5D71">
        <w:rPr>
          <w:color w:val="000000" w:themeColor="text1"/>
          <w:szCs w:val="24"/>
        </w:rPr>
        <w:t xml:space="preserve">with </w:t>
      </w:r>
      <w:r w:rsidR="00C8470A" w:rsidRPr="006F5D71">
        <w:rPr>
          <w:color w:val="000000" w:themeColor="text1"/>
          <w:szCs w:val="24"/>
        </w:rPr>
        <w:t xml:space="preserve">endogenous risks in </w:t>
      </w:r>
      <w:r w:rsidR="0023047B" w:rsidRPr="006F5D71">
        <w:rPr>
          <w:color w:val="000000" w:themeColor="text1"/>
          <w:szCs w:val="24"/>
        </w:rPr>
        <w:t xml:space="preserve">the </w:t>
      </w:r>
      <w:r w:rsidR="00C8470A" w:rsidRPr="006F5D71">
        <w:rPr>
          <w:color w:val="000000" w:themeColor="text1"/>
          <w:szCs w:val="24"/>
        </w:rPr>
        <w:t xml:space="preserve">supply chain and </w:t>
      </w:r>
      <w:r w:rsidR="008C57F0" w:rsidRPr="006F5D71">
        <w:rPr>
          <w:color w:val="000000" w:themeColor="text1"/>
          <w:szCs w:val="24"/>
        </w:rPr>
        <w:t>consumer market</w:t>
      </w:r>
      <w:r w:rsidR="008C1774" w:rsidRPr="006F5D71">
        <w:rPr>
          <w:color w:val="000000" w:themeColor="text1"/>
          <w:szCs w:val="24"/>
        </w:rPr>
        <w:t xml:space="preserve">. </w:t>
      </w:r>
      <w:r w:rsidR="00093735" w:rsidRPr="006F5D71">
        <w:rPr>
          <w:color w:val="000000" w:themeColor="text1"/>
          <w:szCs w:val="24"/>
        </w:rPr>
        <w:t xml:space="preserve">Relational strategies in the context of political uncertainty </w:t>
      </w:r>
      <w:r w:rsidR="0023047B" w:rsidRPr="006F5D71">
        <w:rPr>
          <w:color w:val="000000" w:themeColor="text1"/>
          <w:szCs w:val="24"/>
        </w:rPr>
        <w:t>are</w:t>
      </w:r>
      <w:r w:rsidR="00093735" w:rsidRPr="006F5D71">
        <w:rPr>
          <w:color w:val="000000" w:themeColor="text1"/>
          <w:szCs w:val="24"/>
        </w:rPr>
        <w:t xml:space="preserve"> critical to win (and keep) the goodwill of influential people in government.</w:t>
      </w:r>
      <w:r w:rsidR="007064A2" w:rsidRPr="006F5D71">
        <w:rPr>
          <w:rStyle w:val="FootnoteReference"/>
          <w:color w:val="000000" w:themeColor="text1"/>
          <w:szCs w:val="24"/>
        </w:rPr>
        <w:footnoteReference w:id="4"/>
      </w:r>
      <w:r w:rsidR="005D3B8F" w:rsidRPr="006F5D71">
        <w:rPr>
          <w:color w:val="000000" w:themeColor="text1"/>
          <w:szCs w:val="24"/>
        </w:rPr>
        <w:t xml:space="preserve"> </w:t>
      </w:r>
      <w:r w:rsidR="007064A2" w:rsidRPr="006F5D71">
        <w:rPr>
          <w:color w:val="000000" w:themeColor="text1"/>
          <w:szCs w:val="24"/>
        </w:rPr>
        <w:t>A</w:t>
      </w:r>
      <w:r w:rsidR="005D3B8F" w:rsidRPr="006F5D71">
        <w:rPr>
          <w:color w:val="000000" w:themeColor="text1"/>
          <w:szCs w:val="24"/>
        </w:rPr>
        <w:t xml:space="preserve">ffiliates of multinational firms </w:t>
      </w:r>
      <w:r w:rsidR="00F41DF3" w:rsidRPr="006F5D71">
        <w:rPr>
          <w:color w:val="000000" w:themeColor="text1"/>
          <w:szCs w:val="24"/>
        </w:rPr>
        <w:t>can access more</w:t>
      </w:r>
      <w:r w:rsidR="005D3B8F" w:rsidRPr="006F5D71">
        <w:rPr>
          <w:color w:val="000000" w:themeColor="text1"/>
          <w:szCs w:val="24"/>
        </w:rPr>
        <w:t xml:space="preserve"> resources than domestic firms, </w:t>
      </w:r>
      <w:r w:rsidR="007064A2" w:rsidRPr="006F5D71">
        <w:rPr>
          <w:color w:val="000000" w:themeColor="text1"/>
          <w:szCs w:val="24"/>
        </w:rPr>
        <w:t>and</w:t>
      </w:r>
      <w:r w:rsidR="001C7514" w:rsidRPr="006F5D71">
        <w:rPr>
          <w:color w:val="000000" w:themeColor="text1"/>
          <w:szCs w:val="24"/>
        </w:rPr>
        <w:t xml:space="preserve"> are better position</w:t>
      </w:r>
      <w:r w:rsidR="00F41DF3" w:rsidRPr="006F5D71">
        <w:rPr>
          <w:color w:val="000000" w:themeColor="text1"/>
          <w:szCs w:val="24"/>
        </w:rPr>
        <w:t>ed</w:t>
      </w:r>
      <w:r w:rsidR="001C7514" w:rsidRPr="006F5D71">
        <w:rPr>
          <w:color w:val="000000" w:themeColor="text1"/>
          <w:szCs w:val="24"/>
        </w:rPr>
        <w:t xml:space="preserve"> </w:t>
      </w:r>
      <w:r w:rsidR="001C7514" w:rsidRPr="006F5D71">
        <w:rPr>
          <w:color w:val="000000" w:themeColor="text1"/>
          <w:szCs w:val="24"/>
        </w:rPr>
        <w:lastRenderedPageBreak/>
        <w:t xml:space="preserve">to </w:t>
      </w:r>
      <w:r w:rsidR="00C40850" w:rsidRPr="006F5D71">
        <w:rPr>
          <w:color w:val="000000" w:themeColor="text1"/>
          <w:szCs w:val="24"/>
        </w:rPr>
        <w:t>obtain political</w:t>
      </w:r>
      <w:r w:rsidR="001C7514" w:rsidRPr="006F5D71">
        <w:rPr>
          <w:color w:val="000000" w:themeColor="text1"/>
          <w:szCs w:val="24"/>
        </w:rPr>
        <w:t xml:space="preserve"> advantages from governments.</w:t>
      </w:r>
      <w:r w:rsidR="005D3B8F" w:rsidRPr="006F5D71">
        <w:rPr>
          <w:color w:val="000000" w:themeColor="text1"/>
          <w:szCs w:val="24"/>
        </w:rPr>
        <w:t xml:space="preserve"> </w:t>
      </w:r>
      <w:r w:rsidR="0051398F" w:rsidRPr="006F5D71">
        <w:rPr>
          <w:color w:val="000000" w:themeColor="text1"/>
          <w:szCs w:val="24"/>
        </w:rPr>
        <w:t xml:space="preserve">Countries </w:t>
      </w:r>
      <w:r w:rsidR="007064A2" w:rsidRPr="006F5D71">
        <w:rPr>
          <w:color w:val="000000" w:themeColor="text1"/>
          <w:szCs w:val="24"/>
        </w:rPr>
        <w:t>with</w:t>
      </w:r>
      <w:r w:rsidR="0051398F" w:rsidRPr="006F5D71">
        <w:rPr>
          <w:color w:val="000000" w:themeColor="text1"/>
          <w:szCs w:val="24"/>
        </w:rPr>
        <w:t xml:space="preserve"> weak checks and balances in the formal policy-making apparatus and </w:t>
      </w:r>
      <w:r w:rsidR="00F52463" w:rsidRPr="006F5D71">
        <w:rPr>
          <w:color w:val="000000" w:themeColor="text1"/>
          <w:szCs w:val="24"/>
        </w:rPr>
        <w:t>fewer</w:t>
      </w:r>
      <w:r w:rsidR="0051398F" w:rsidRPr="006F5D71">
        <w:rPr>
          <w:color w:val="000000" w:themeColor="text1"/>
          <w:szCs w:val="24"/>
        </w:rPr>
        <w:t xml:space="preserve"> players involved in the policy-making process (such as most developing countries) tend to have </w:t>
      </w:r>
      <w:r w:rsidR="00F52463" w:rsidRPr="006F5D71">
        <w:rPr>
          <w:color w:val="000000" w:themeColor="text1"/>
          <w:szCs w:val="24"/>
        </w:rPr>
        <w:t xml:space="preserve">a </w:t>
      </w:r>
      <w:r w:rsidR="0051398F" w:rsidRPr="006F5D71">
        <w:rPr>
          <w:color w:val="000000" w:themeColor="text1"/>
          <w:szCs w:val="24"/>
        </w:rPr>
        <w:t>higher level of political risk</w:t>
      </w:r>
      <w:r w:rsidR="00916BEA" w:rsidRPr="006F5D71">
        <w:rPr>
          <w:color w:val="000000" w:themeColor="text1"/>
          <w:szCs w:val="24"/>
        </w:rPr>
        <w:t xml:space="preserve"> (Lawton, McGuire &amp; </w:t>
      </w:r>
      <w:proofErr w:type="spellStart"/>
      <w:r w:rsidR="00916BEA" w:rsidRPr="006F5D71">
        <w:rPr>
          <w:color w:val="000000" w:themeColor="text1"/>
          <w:szCs w:val="24"/>
        </w:rPr>
        <w:t>Rajwani</w:t>
      </w:r>
      <w:proofErr w:type="spellEnd"/>
      <w:r w:rsidR="00916BEA" w:rsidRPr="006F5D71">
        <w:rPr>
          <w:color w:val="000000" w:themeColor="text1"/>
          <w:szCs w:val="24"/>
        </w:rPr>
        <w:t xml:space="preserve">, </w:t>
      </w:r>
      <w:r w:rsidR="00307439" w:rsidRPr="006F5D71">
        <w:rPr>
          <w:color w:val="000000" w:themeColor="text1"/>
          <w:szCs w:val="24"/>
        </w:rPr>
        <w:t>2013)</w:t>
      </w:r>
      <w:r w:rsidR="0051398F" w:rsidRPr="006F5D71">
        <w:rPr>
          <w:color w:val="000000" w:themeColor="text1"/>
          <w:szCs w:val="24"/>
        </w:rPr>
        <w:t xml:space="preserve">. </w:t>
      </w:r>
      <w:r w:rsidR="007064A2" w:rsidRPr="006F5D71">
        <w:rPr>
          <w:color w:val="000000" w:themeColor="text1"/>
          <w:szCs w:val="24"/>
        </w:rPr>
        <w:t>I</w:t>
      </w:r>
      <w:r w:rsidR="0051398F" w:rsidRPr="006F5D71">
        <w:rPr>
          <w:color w:val="000000" w:themeColor="text1"/>
          <w:szCs w:val="24"/>
        </w:rPr>
        <w:t xml:space="preserve">nformal networks and other forms of </w:t>
      </w:r>
      <w:r w:rsidR="00863D4A" w:rsidRPr="006F5D71">
        <w:rPr>
          <w:color w:val="000000" w:themeColor="text1"/>
          <w:szCs w:val="24"/>
        </w:rPr>
        <w:t>networking</w:t>
      </w:r>
      <w:r w:rsidR="0051398F" w:rsidRPr="006F5D71">
        <w:rPr>
          <w:color w:val="000000" w:themeColor="text1"/>
          <w:szCs w:val="24"/>
        </w:rPr>
        <w:t xml:space="preserve"> help firms to </w:t>
      </w:r>
      <w:r w:rsidR="007064A2" w:rsidRPr="006F5D71">
        <w:rPr>
          <w:color w:val="000000" w:themeColor="text1"/>
          <w:szCs w:val="24"/>
        </w:rPr>
        <w:t>shape</w:t>
      </w:r>
      <w:r w:rsidR="00EF5B88" w:rsidRPr="006F5D71">
        <w:rPr>
          <w:color w:val="000000" w:themeColor="text1"/>
          <w:szCs w:val="24"/>
        </w:rPr>
        <w:t xml:space="preserve"> the</w:t>
      </w:r>
      <w:r w:rsidR="0051398F" w:rsidRPr="006F5D71">
        <w:rPr>
          <w:color w:val="000000" w:themeColor="text1"/>
          <w:szCs w:val="24"/>
        </w:rPr>
        <w:t xml:space="preserve"> political</w:t>
      </w:r>
      <w:r w:rsidR="00EF5B88" w:rsidRPr="006F5D71">
        <w:rPr>
          <w:color w:val="000000" w:themeColor="text1"/>
          <w:szCs w:val="24"/>
        </w:rPr>
        <w:t>ly</w:t>
      </w:r>
      <w:r w:rsidR="0051398F" w:rsidRPr="006F5D71">
        <w:rPr>
          <w:color w:val="000000" w:themeColor="text1"/>
          <w:szCs w:val="24"/>
        </w:rPr>
        <w:t xml:space="preserve"> risk</w:t>
      </w:r>
      <w:r w:rsidR="00EF5B88" w:rsidRPr="006F5D71">
        <w:rPr>
          <w:color w:val="000000" w:themeColor="text1"/>
          <w:szCs w:val="24"/>
        </w:rPr>
        <w:t>y environment to their advantage</w:t>
      </w:r>
      <w:r w:rsidR="00B3192F" w:rsidRPr="006F5D71">
        <w:rPr>
          <w:color w:val="000000" w:themeColor="text1"/>
          <w:szCs w:val="24"/>
        </w:rPr>
        <w:t xml:space="preserve"> (</w:t>
      </w:r>
      <w:r w:rsidR="00D841A9" w:rsidRPr="006F5D71">
        <w:rPr>
          <w:color w:val="000000" w:themeColor="text1"/>
          <w:szCs w:val="24"/>
        </w:rPr>
        <w:t>Sheng, Zhou, &amp; Li,</w:t>
      </w:r>
      <w:r w:rsidR="00B3192F" w:rsidRPr="006F5D71">
        <w:rPr>
          <w:color w:val="000000" w:themeColor="text1"/>
          <w:szCs w:val="24"/>
        </w:rPr>
        <w:t xml:space="preserve"> 2011)</w:t>
      </w:r>
      <w:r w:rsidR="0051398F" w:rsidRPr="006F5D71">
        <w:rPr>
          <w:color w:val="000000" w:themeColor="text1"/>
          <w:szCs w:val="24"/>
        </w:rPr>
        <w:t>.</w:t>
      </w:r>
      <w:r w:rsidR="00EF5B88" w:rsidRPr="006F5D71">
        <w:rPr>
          <w:color w:val="000000" w:themeColor="text1"/>
          <w:szCs w:val="24"/>
        </w:rPr>
        <w:t xml:space="preserve"> </w:t>
      </w:r>
      <w:r w:rsidR="00C25798" w:rsidRPr="006F5D71">
        <w:rPr>
          <w:color w:val="000000" w:themeColor="text1"/>
          <w:szCs w:val="24"/>
        </w:rPr>
        <w:t xml:space="preserve">EMNCs are accustomed to </w:t>
      </w:r>
      <w:r w:rsidR="00E02954" w:rsidRPr="006F5D71">
        <w:rPr>
          <w:color w:val="000000" w:themeColor="text1"/>
          <w:szCs w:val="24"/>
        </w:rPr>
        <w:t>managing</w:t>
      </w:r>
      <w:r w:rsidR="00C25798" w:rsidRPr="006F5D71">
        <w:rPr>
          <w:color w:val="000000" w:themeColor="text1"/>
          <w:szCs w:val="24"/>
        </w:rPr>
        <w:t xml:space="preserve"> and sha</w:t>
      </w:r>
      <w:r w:rsidR="00E02954" w:rsidRPr="006F5D71">
        <w:rPr>
          <w:color w:val="000000" w:themeColor="text1"/>
          <w:szCs w:val="24"/>
        </w:rPr>
        <w:t>ping</w:t>
      </w:r>
      <w:r w:rsidR="00C25798" w:rsidRPr="006F5D71">
        <w:rPr>
          <w:color w:val="000000" w:themeColor="text1"/>
          <w:szCs w:val="24"/>
        </w:rPr>
        <w:t xml:space="preserve"> such political risks by clos</w:t>
      </w:r>
      <w:r w:rsidR="00613F86" w:rsidRPr="006F5D71">
        <w:rPr>
          <w:color w:val="000000" w:themeColor="text1"/>
          <w:szCs w:val="24"/>
        </w:rPr>
        <w:t>ely</w:t>
      </w:r>
      <w:r w:rsidR="00C25798" w:rsidRPr="006F5D71">
        <w:rPr>
          <w:color w:val="000000" w:themeColor="text1"/>
          <w:szCs w:val="24"/>
        </w:rPr>
        <w:t xml:space="preserve"> working with political actors.</w:t>
      </w:r>
      <w:r w:rsidR="00F72D31">
        <w:rPr>
          <w:color w:val="000000" w:themeColor="text1"/>
          <w:szCs w:val="24"/>
        </w:rPr>
        <w:t xml:space="preserve"> </w:t>
      </w:r>
      <w:r w:rsidR="00396DF8" w:rsidRPr="006F5D71">
        <w:rPr>
          <w:color w:val="000000" w:themeColor="text1"/>
          <w:szCs w:val="24"/>
        </w:rPr>
        <w:t xml:space="preserve">Getachew and Beamish (2017) </w:t>
      </w:r>
      <w:r w:rsidR="005B56FA" w:rsidRPr="006F5D71">
        <w:rPr>
          <w:color w:val="000000" w:themeColor="text1"/>
          <w:szCs w:val="24"/>
        </w:rPr>
        <w:t>argue</w:t>
      </w:r>
      <w:r w:rsidR="00C7223A" w:rsidRPr="006F5D71">
        <w:rPr>
          <w:color w:val="000000" w:themeColor="text1"/>
          <w:szCs w:val="24"/>
        </w:rPr>
        <w:t xml:space="preserve"> that </w:t>
      </w:r>
      <w:r w:rsidR="00396DF8" w:rsidRPr="006F5D71">
        <w:rPr>
          <w:color w:val="000000" w:themeColor="text1"/>
          <w:szCs w:val="24"/>
        </w:rPr>
        <w:t>EMNCs</w:t>
      </w:r>
      <w:r w:rsidR="00D635A1">
        <w:rPr>
          <w:color w:val="000000" w:themeColor="text1"/>
          <w:szCs w:val="24"/>
        </w:rPr>
        <w:t>’</w:t>
      </w:r>
      <w:r w:rsidR="00396DF8" w:rsidRPr="006F5D71">
        <w:rPr>
          <w:color w:val="000000" w:themeColor="text1"/>
          <w:szCs w:val="24"/>
        </w:rPr>
        <w:t xml:space="preserve"> ability to deal effectively with adverse institutional conditions</w:t>
      </w:r>
      <w:r w:rsidR="00C7223A" w:rsidRPr="006F5D71">
        <w:rPr>
          <w:color w:val="000000" w:themeColor="text1"/>
          <w:szCs w:val="24"/>
        </w:rPr>
        <w:t xml:space="preserve"> </w:t>
      </w:r>
      <w:r w:rsidR="005B56FA" w:rsidRPr="006F5D71">
        <w:rPr>
          <w:color w:val="000000" w:themeColor="text1"/>
          <w:szCs w:val="24"/>
        </w:rPr>
        <w:t>lead</w:t>
      </w:r>
      <w:r w:rsidR="00F52463" w:rsidRPr="006F5D71">
        <w:rPr>
          <w:color w:val="000000" w:themeColor="text1"/>
          <w:szCs w:val="24"/>
        </w:rPr>
        <w:t>s</w:t>
      </w:r>
      <w:r w:rsidR="005B56FA" w:rsidRPr="006F5D71">
        <w:rPr>
          <w:color w:val="000000" w:themeColor="text1"/>
          <w:szCs w:val="24"/>
        </w:rPr>
        <w:t xml:space="preserve"> </w:t>
      </w:r>
      <w:r w:rsidR="00407471" w:rsidRPr="006F5D71">
        <w:rPr>
          <w:color w:val="000000" w:themeColor="text1"/>
          <w:szCs w:val="24"/>
        </w:rPr>
        <w:t>them</w:t>
      </w:r>
      <w:r w:rsidR="005B56FA" w:rsidRPr="006F5D71">
        <w:rPr>
          <w:color w:val="000000" w:themeColor="text1"/>
          <w:szCs w:val="24"/>
        </w:rPr>
        <w:t xml:space="preserve"> to develop organizational capabilities to </w:t>
      </w:r>
      <w:r w:rsidR="00C7223A" w:rsidRPr="006F5D71">
        <w:rPr>
          <w:color w:val="000000" w:themeColor="text1"/>
          <w:szCs w:val="24"/>
        </w:rPr>
        <w:t xml:space="preserve">manage political risk </w:t>
      </w:r>
      <w:r w:rsidR="0058399E" w:rsidRPr="006F5D71">
        <w:rPr>
          <w:color w:val="000000" w:themeColor="text1"/>
          <w:szCs w:val="24"/>
        </w:rPr>
        <w:t xml:space="preserve">in </w:t>
      </w:r>
      <w:r w:rsidR="005B56FA" w:rsidRPr="006F5D71">
        <w:rPr>
          <w:color w:val="000000" w:themeColor="text1"/>
          <w:szCs w:val="24"/>
        </w:rPr>
        <w:t>volatile countries</w:t>
      </w:r>
      <w:r w:rsidR="0058399E" w:rsidRPr="006F5D71">
        <w:rPr>
          <w:color w:val="000000" w:themeColor="text1"/>
          <w:szCs w:val="24"/>
        </w:rPr>
        <w:t xml:space="preserve">. </w:t>
      </w:r>
      <w:r w:rsidR="00F41DF3" w:rsidRPr="006F5D71">
        <w:rPr>
          <w:color w:val="000000" w:themeColor="text1"/>
          <w:szCs w:val="24"/>
        </w:rPr>
        <w:t>E</w:t>
      </w:r>
      <w:r w:rsidR="00C7223A" w:rsidRPr="006F5D71">
        <w:rPr>
          <w:color w:val="000000" w:themeColor="text1"/>
          <w:szCs w:val="24"/>
        </w:rPr>
        <w:t xml:space="preserve">stablishing relationships with governments </w:t>
      </w:r>
      <w:r w:rsidR="00396DF8" w:rsidRPr="006F5D71">
        <w:rPr>
          <w:color w:val="000000" w:themeColor="text1"/>
          <w:szCs w:val="24"/>
        </w:rPr>
        <w:t xml:space="preserve">eventually </w:t>
      </w:r>
      <w:r w:rsidR="00C7223A" w:rsidRPr="006F5D71">
        <w:rPr>
          <w:color w:val="000000" w:themeColor="text1"/>
          <w:szCs w:val="24"/>
        </w:rPr>
        <w:t xml:space="preserve">confers </w:t>
      </w:r>
      <w:r w:rsidR="00F41DF3" w:rsidRPr="006F5D71">
        <w:rPr>
          <w:color w:val="000000" w:themeColor="text1"/>
          <w:szCs w:val="24"/>
        </w:rPr>
        <w:t>EMNEs</w:t>
      </w:r>
      <w:r w:rsidR="00D635A1">
        <w:rPr>
          <w:color w:val="000000" w:themeColor="text1"/>
          <w:szCs w:val="24"/>
        </w:rPr>
        <w:t>’</w:t>
      </w:r>
      <w:r w:rsidR="00F41DF3" w:rsidRPr="006F5D71">
        <w:rPr>
          <w:color w:val="000000" w:themeColor="text1"/>
          <w:szCs w:val="24"/>
        </w:rPr>
        <w:t xml:space="preserve"> </w:t>
      </w:r>
      <w:r w:rsidR="00C7223A" w:rsidRPr="006F5D71">
        <w:rPr>
          <w:color w:val="000000" w:themeColor="text1"/>
          <w:szCs w:val="24"/>
        </w:rPr>
        <w:t>market power</w:t>
      </w:r>
      <w:r w:rsidR="00396DF8" w:rsidRPr="006F5D71">
        <w:rPr>
          <w:color w:val="000000" w:themeColor="text1"/>
          <w:szCs w:val="24"/>
        </w:rPr>
        <w:t xml:space="preserve"> to limit competition and build defensible positions against </w:t>
      </w:r>
      <w:r w:rsidR="00F41DF3" w:rsidRPr="006F5D71">
        <w:rPr>
          <w:color w:val="000000" w:themeColor="text1"/>
          <w:szCs w:val="24"/>
        </w:rPr>
        <w:t xml:space="preserve">domestic and foreign </w:t>
      </w:r>
      <w:r w:rsidR="00396DF8" w:rsidRPr="006F5D71">
        <w:rPr>
          <w:color w:val="000000" w:themeColor="text1"/>
          <w:szCs w:val="24"/>
        </w:rPr>
        <w:t>competitors.</w:t>
      </w:r>
      <w:r w:rsidR="005D3B8F" w:rsidRPr="006F5D71">
        <w:rPr>
          <w:color w:val="000000" w:themeColor="text1"/>
          <w:szCs w:val="24"/>
        </w:rPr>
        <w:t xml:space="preserve"> </w:t>
      </w:r>
      <w:r w:rsidR="0023047B" w:rsidRPr="006F5D71">
        <w:rPr>
          <w:color w:val="000000" w:themeColor="text1"/>
          <w:szCs w:val="24"/>
        </w:rPr>
        <w:t>The r</w:t>
      </w:r>
      <w:r w:rsidR="001C7514" w:rsidRPr="006F5D71">
        <w:rPr>
          <w:color w:val="000000" w:themeColor="text1"/>
          <w:szCs w:val="24"/>
        </w:rPr>
        <w:t>eal option implication here is that</w:t>
      </w:r>
      <w:r w:rsidR="00D635A1">
        <w:rPr>
          <w:color w:val="000000" w:themeColor="text1"/>
          <w:szCs w:val="24"/>
        </w:rPr>
        <w:t>,</w:t>
      </w:r>
      <w:r w:rsidR="001C7514" w:rsidRPr="006F5D71">
        <w:rPr>
          <w:color w:val="000000" w:themeColor="text1"/>
          <w:szCs w:val="24"/>
        </w:rPr>
        <w:t xml:space="preserve"> to exploit FSAs in </w:t>
      </w:r>
      <w:r w:rsidR="0023047B" w:rsidRPr="006F5D71">
        <w:rPr>
          <w:color w:val="000000" w:themeColor="text1"/>
          <w:szCs w:val="24"/>
        </w:rPr>
        <w:t xml:space="preserve">a </w:t>
      </w:r>
      <w:r w:rsidR="001C7514" w:rsidRPr="006F5D71">
        <w:rPr>
          <w:color w:val="000000" w:themeColor="text1"/>
          <w:szCs w:val="24"/>
        </w:rPr>
        <w:t xml:space="preserve">weaker institutional environment, </w:t>
      </w:r>
      <w:r w:rsidR="00800413" w:rsidRPr="006F5D71">
        <w:rPr>
          <w:color w:val="000000" w:themeColor="text1"/>
          <w:szCs w:val="24"/>
        </w:rPr>
        <w:t>the</w:t>
      </w:r>
      <w:r w:rsidR="001C7514" w:rsidRPr="006F5D71">
        <w:rPr>
          <w:color w:val="000000" w:themeColor="text1"/>
          <w:szCs w:val="24"/>
        </w:rPr>
        <w:t xml:space="preserve"> </w:t>
      </w:r>
      <w:r w:rsidR="00C40850" w:rsidRPr="006F5D71">
        <w:rPr>
          <w:color w:val="000000" w:themeColor="text1"/>
          <w:szCs w:val="24"/>
        </w:rPr>
        <w:t>relational capital with</w:t>
      </w:r>
      <w:r w:rsidR="001C7514" w:rsidRPr="006F5D71">
        <w:rPr>
          <w:color w:val="000000" w:themeColor="text1"/>
          <w:szCs w:val="24"/>
        </w:rPr>
        <w:t xml:space="preserve"> </w:t>
      </w:r>
      <w:r w:rsidR="00C40850" w:rsidRPr="006F5D71">
        <w:rPr>
          <w:color w:val="000000" w:themeColor="text1"/>
          <w:szCs w:val="24"/>
        </w:rPr>
        <w:t>t</w:t>
      </w:r>
      <w:r w:rsidR="001C7514" w:rsidRPr="006F5D71">
        <w:rPr>
          <w:color w:val="000000" w:themeColor="text1"/>
          <w:szCs w:val="24"/>
        </w:rPr>
        <w:t>he host government</w:t>
      </w:r>
      <w:r w:rsidR="00F41DF3" w:rsidRPr="006F5D71">
        <w:rPr>
          <w:color w:val="000000" w:themeColor="text1"/>
          <w:szCs w:val="24"/>
        </w:rPr>
        <w:t xml:space="preserve"> enables the firm to </w:t>
      </w:r>
      <w:r w:rsidR="00800413" w:rsidRPr="006F5D71">
        <w:rPr>
          <w:color w:val="000000" w:themeColor="text1"/>
          <w:szCs w:val="24"/>
        </w:rPr>
        <w:t xml:space="preserve">avail </w:t>
      </w:r>
      <w:r w:rsidR="002569ED" w:rsidRPr="006F5D71">
        <w:rPr>
          <w:color w:val="000000" w:themeColor="text1"/>
          <w:szCs w:val="24"/>
        </w:rPr>
        <w:t xml:space="preserve">of (future) </w:t>
      </w:r>
      <w:r w:rsidR="00800413" w:rsidRPr="006F5D71">
        <w:rPr>
          <w:color w:val="000000" w:themeColor="text1"/>
          <w:szCs w:val="24"/>
        </w:rPr>
        <w:t>growth option</w:t>
      </w:r>
      <w:r w:rsidR="00F41DF3" w:rsidRPr="006F5D71">
        <w:rPr>
          <w:color w:val="000000" w:themeColor="text1"/>
          <w:szCs w:val="24"/>
        </w:rPr>
        <w:t>s</w:t>
      </w:r>
      <w:r w:rsidR="00D635A1">
        <w:rPr>
          <w:color w:val="000000" w:themeColor="text1"/>
          <w:szCs w:val="24"/>
        </w:rPr>
        <w:t>,</w:t>
      </w:r>
      <w:r w:rsidR="00F41DF3" w:rsidRPr="006F5D71">
        <w:rPr>
          <w:color w:val="000000" w:themeColor="text1"/>
          <w:szCs w:val="24"/>
        </w:rPr>
        <w:t xml:space="preserve"> but in turn this commits the EMNE to a </w:t>
      </w:r>
      <w:r w:rsidR="001D5B01" w:rsidRPr="006F5D71">
        <w:rPr>
          <w:color w:val="000000" w:themeColor="text1"/>
          <w:szCs w:val="24"/>
        </w:rPr>
        <w:t>long-</w:t>
      </w:r>
      <w:r w:rsidR="001C7514" w:rsidRPr="006F5D71">
        <w:rPr>
          <w:color w:val="000000" w:themeColor="text1"/>
          <w:szCs w:val="24"/>
        </w:rPr>
        <w:t>term presen</w:t>
      </w:r>
      <w:r w:rsidR="002569ED" w:rsidRPr="006F5D71">
        <w:rPr>
          <w:color w:val="000000" w:themeColor="text1"/>
          <w:szCs w:val="24"/>
        </w:rPr>
        <w:t>c</w:t>
      </w:r>
      <w:r w:rsidR="001C7514" w:rsidRPr="006F5D71">
        <w:rPr>
          <w:color w:val="000000" w:themeColor="text1"/>
          <w:szCs w:val="24"/>
        </w:rPr>
        <w:t>e</w:t>
      </w:r>
      <w:r w:rsidR="007D6290" w:rsidRPr="006F5D71">
        <w:rPr>
          <w:color w:val="000000" w:themeColor="text1"/>
          <w:szCs w:val="24"/>
        </w:rPr>
        <w:t xml:space="preserve"> </w:t>
      </w:r>
      <w:r w:rsidR="00C87AAD" w:rsidRPr="006F5D71">
        <w:rPr>
          <w:color w:val="000000" w:themeColor="text1"/>
          <w:szCs w:val="24"/>
        </w:rPr>
        <w:t xml:space="preserve">in the host market. Thus, </w:t>
      </w:r>
      <w:r w:rsidR="001D5B01" w:rsidRPr="006F5D71">
        <w:rPr>
          <w:color w:val="000000" w:themeColor="text1"/>
          <w:szCs w:val="24"/>
        </w:rPr>
        <w:t>switching/exiting is</w:t>
      </w:r>
      <w:r w:rsidR="00C87AAD" w:rsidRPr="006F5D71">
        <w:rPr>
          <w:color w:val="000000" w:themeColor="text1"/>
          <w:szCs w:val="24"/>
        </w:rPr>
        <w:t xml:space="preserve"> </w:t>
      </w:r>
      <w:r w:rsidR="0023047B" w:rsidRPr="006F5D71">
        <w:rPr>
          <w:color w:val="000000" w:themeColor="text1"/>
          <w:szCs w:val="24"/>
        </w:rPr>
        <w:t xml:space="preserve">a </w:t>
      </w:r>
      <w:r w:rsidR="00C87AAD" w:rsidRPr="006F5D71">
        <w:rPr>
          <w:color w:val="000000" w:themeColor="text1"/>
          <w:szCs w:val="24"/>
        </w:rPr>
        <w:t xml:space="preserve">less likely </w:t>
      </w:r>
      <w:r w:rsidR="00800413" w:rsidRPr="006F5D71">
        <w:rPr>
          <w:color w:val="000000" w:themeColor="text1"/>
          <w:szCs w:val="24"/>
        </w:rPr>
        <w:t>response</w:t>
      </w:r>
      <w:r w:rsidR="00C836F9" w:rsidRPr="006F5D71">
        <w:rPr>
          <w:color w:val="000000" w:themeColor="text1"/>
          <w:szCs w:val="24"/>
        </w:rPr>
        <w:t xml:space="preserve"> </w:t>
      </w:r>
      <w:r w:rsidR="00800413" w:rsidRPr="006F5D71">
        <w:rPr>
          <w:color w:val="000000" w:themeColor="text1"/>
          <w:szCs w:val="24"/>
        </w:rPr>
        <w:t>of</w:t>
      </w:r>
      <w:r w:rsidR="00C87AAD" w:rsidRPr="006F5D71">
        <w:rPr>
          <w:color w:val="000000" w:themeColor="text1"/>
          <w:szCs w:val="24"/>
        </w:rPr>
        <w:t xml:space="preserve"> EMNCs in </w:t>
      </w:r>
      <w:r w:rsidR="0023047B" w:rsidRPr="006F5D71">
        <w:rPr>
          <w:color w:val="000000" w:themeColor="text1"/>
          <w:szCs w:val="24"/>
        </w:rPr>
        <w:t xml:space="preserve">the </w:t>
      </w:r>
      <w:r w:rsidR="00EF0FAC" w:rsidRPr="006F5D71">
        <w:rPr>
          <w:color w:val="000000" w:themeColor="text1"/>
          <w:szCs w:val="24"/>
        </w:rPr>
        <w:t>South</w:t>
      </w:r>
      <w:r w:rsidR="00C87AAD" w:rsidRPr="006F5D71">
        <w:rPr>
          <w:color w:val="000000" w:themeColor="text1"/>
          <w:szCs w:val="24"/>
        </w:rPr>
        <w:t>.</w:t>
      </w:r>
      <w:r w:rsidR="00EF0FAC" w:rsidRPr="006F5D71">
        <w:rPr>
          <w:color w:val="000000" w:themeColor="text1"/>
          <w:szCs w:val="24"/>
        </w:rPr>
        <w:t xml:space="preserve"> Moreover, the less developed formal institutions also increase the cumulative costs of exiting a </w:t>
      </w:r>
      <w:r w:rsidR="00F41DF3" w:rsidRPr="006F5D71">
        <w:rPr>
          <w:color w:val="000000" w:themeColor="text1"/>
          <w:szCs w:val="24"/>
        </w:rPr>
        <w:t>market, which</w:t>
      </w:r>
      <w:r w:rsidR="00C836F9" w:rsidRPr="006F5D71">
        <w:rPr>
          <w:color w:val="000000" w:themeColor="text1"/>
          <w:szCs w:val="24"/>
        </w:rPr>
        <w:t xml:space="preserve"> lead</w:t>
      </w:r>
      <w:r w:rsidR="0023047B" w:rsidRPr="006F5D71">
        <w:rPr>
          <w:color w:val="000000" w:themeColor="text1"/>
          <w:szCs w:val="24"/>
        </w:rPr>
        <w:t>s</w:t>
      </w:r>
      <w:r w:rsidR="00C836F9" w:rsidRPr="006F5D71">
        <w:rPr>
          <w:color w:val="000000" w:themeColor="text1"/>
          <w:szCs w:val="24"/>
        </w:rPr>
        <w:t xml:space="preserve"> EMNCs to devise strategies to continue operations in the market.</w:t>
      </w:r>
      <w:r w:rsidR="00F72D31">
        <w:rPr>
          <w:color w:val="000000" w:themeColor="text1"/>
          <w:szCs w:val="24"/>
        </w:rPr>
        <w:t xml:space="preserve"> </w:t>
      </w:r>
      <w:r w:rsidR="0071043C" w:rsidRPr="006F5D71">
        <w:rPr>
          <w:color w:val="000000" w:themeColor="text1"/>
          <w:szCs w:val="24"/>
        </w:rPr>
        <w:t>Based on the discussion, we propose the following hypothesis:</w:t>
      </w:r>
    </w:p>
    <w:p w14:paraId="0D4B8433" w14:textId="77777777" w:rsidR="00A533B8" w:rsidRPr="006F5D71" w:rsidRDefault="00A533B8" w:rsidP="00F5378F">
      <w:pPr>
        <w:pStyle w:val="NoSpacing"/>
        <w:spacing w:before="240" w:after="240" w:line="360" w:lineRule="auto"/>
        <w:jc w:val="both"/>
        <w:rPr>
          <w:i/>
          <w:iCs/>
          <w:color w:val="000000" w:themeColor="text1"/>
          <w:szCs w:val="24"/>
        </w:rPr>
      </w:pPr>
      <w:r w:rsidRPr="006F5D71">
        <w:rPr>
          <w:i/>
          <w:iCs/>
          <w:color w:val="000000" w:themeColor="text1"/>
          <w:szCs w:val="24"/>
        </w:rPr>
        <w:t>Hypothesis 2</w:t>
      </w:r>
      <w:r w:rsidR="0072246F" w:rsidRPr="006F5D71">
        <w:rPr>
          <w:i/>
          <w:iCs/>
          <w:color w:val="000000" w:themeColor="text1"/>
          <w:szCs w:val="24"/>
        </w:rPr>
        <w:t>a</w:t>
      </w:r>
      <w:r w:rsidRPr="006F5D71">
        <w:rPr>
          <w:i/>
          <w:iCs/>
          <w:color w:val="000000" w:themeColor="text1"/>
          <w:szCs w:val="24"/>
        </w:rPr>
        <w:t xml:space="preserve">: EMNCs’ survival is </w:t>
      </w:r>
      <w:r w:rsidR="00101F9F" w:rsidRPr="006F5D71">
        <w:rPr>
          <w:i/>
          <w:iCs/>
          <w:color w:val="000000" w:themeColor="text1"/>
          <w:szCs w:val="24"/>
        </w:rPr>
        <w:t xml:space="preserve">more </w:t>
      </w:r>
      <w:r w:rsidR="00D0772C" w:rsidRPr="006F5D71">
        <w:rPr>
          <w:i/>
          <w:iCs/>
          <w:color w:val="000000" w:themeColor="text1"/>
          <w:szCs w:val="24"/>
        </w:rPr>
        <w:t>likely to be</w:t>
      </w:r>
      <w:r w:rsidR="0072246F" w:rsidRPr="006F5D71">
        <w:rPr>
          <w:i/>
          <w:iCs/>
          <w:color w:val="000000" w:themeColor="text1"/>
          <w:szCs w:val="24"/>
        </w:rPr>
        <w:t xml:space="preserve"> adversely </w:t>
      </w:r>
      <w:r w:rsidR="00D0772C" w:rsidRPr="006F5D71">
        <w:rPr>
          <w:i/>
          <w:iCs/>
          <w:color w:val="000000" w:themeColor="text1"/>
          <w:szCs w:val="24"/>
        </w:rPr>
        <w:t>influenced by</w:t>
      </w:r>
      <w:r w:rsidR="00C358F8" w:rsidRPr="006F5D71">
        <w:rPr>
          <w:i/>
          <w:iCs/>
          <w:color w:val="000000" w:themeColor="text1"/>
          <w:szCs w:val="24"/>
        </w:rPr>
        <w:t xml:space="preserve"> </w:t>
      </w:r>
      <w:r w:rsidRPr="006F5D71">
        <w:rPr>
          <w:i/>
          <w:iCs/>
          <w:color w:val="000000" w:themeColor="text1"/>
          <w:szCs w:val="24"/>
        </w:rPr>
        <w:t xml:space="preserve">endogenous risks </w:t>
      </w:r>
      <w:r w:rsidR="00AC462B" w:rsidRPr="006F5D71">
        <w:rPr>
          <w:i/>
          <w:iCs/>
          <w:color w:val="000000" w:themeColor="text1"/>
          <w:szCs w:val="24"/>
        </w:rPr>
        <w:t xml:space="preserve">in </w:t>
      </w:r>
      <w:r w:rsidR="0072246F" w:rsidRPr="006F5D71">
        <w:rPr>
          <w:i/>
          <w:iCs/>
          <w:color w:val="000000" w:themeColor="text1"/>
          <w:szCs w:val="24"/>
        </w:rPr>
        <w:t>North</w:t>
      </w:r>
      <w:r w:rsidR="00690728" w:rsidRPr="006F5D71">
        <w:rPr>
          <w:i/>
          <w:iCs/>
          <w:color w:val="000000" w:themeColor="text1"/>
          <w:szCs w:val="24"/>
        </w:rPr>
        <w:t>ern</w:t>
      </w:r>
      <w:r w:rsidR="0072246F" w:rsidRPr="006F5D71">
        <w:rPr>
          <w:i/>
          <w:iCs/>
          <w:color w:val="000000" w:themeColor="text1"/>
          <w:szCs w:val="24"/>
        </w:rPr>
        <w:t xml:space="preserve"> </w:t>
      </w:r>
      <w:r w:rsidR="00101F9F" w:rsidRPr="006F5D71">
        <w:rPr>
          <w:i/>
          <w:iCs/>
          <w:color w:val="000000" w:themeColor="text1"/>
          <w:szCs w:val="24"/>
        </w:rPr>
        <w:t xml:space="preserve">as compared to </w:t>
      </w:r>
      <w:r w:rsidR="00AC462B" w:rsidRPr="006F5D71">
        <w:rPr>
          <w:i/>
          <w:iCs/>
          <w:color w:val="000000" w:themeColor="text1"/>
          <w:szCs w:val="24"/>
        </w:rPr>
        <w:t>South</w:t>
      </w:r>
      <w:r w:rsidR="00690728" w:rsidRPr="006F5D71">
        <w:rPr>
          <w:i/>
          <w:iCs/>
          <w:color w:val="000000" w:themeColor="text1"/>
          <w:szCs w:val="24"/>
        </w:rPr>
        <w:t>ern</w:t>
      </w:r>
      <w:r w:rsidR="00D90B42" w:rsidRPr="006F5D71">
        <w:rPr>
          <w:i/>
          <w:iCs/>
          <w:color w:val="000000" w:themeColor="text1"/>
          <w:szCs w:val="24"/>
        </w:rPr>
        <w:t xml:space="preserve"> locations</w:t>
      </w:r>
      <w:r w:rsidR="00AC462B" w:rsidRPr="006F5D71">
        <w:rPr>
          <w:i/>
          <w:iCs/>
          <w:color w:val="000000" w:themeColor="text1"/>
          <w:szCs w:val="24"/>
        </w:rPr>
        <w:t>.</w:t>
      </w:r>
    </w:p>
    <w:p w14:paraId="251B457C" w14:textId="77777777" w:rsidR="00541CD3" w:rsidRPr="006F5D71" w:rsidRDefault="003039F5" w:rsidP="00E02954">
      <w:pPr>
        <w:pStyle w:val="NoSpacing"/>
        <w:spacing w:line="360" w:lineRule="auto"/>
        <w:ind w:firstLine="720"/>
        <w:jc w:val="both"/>
        <w:rPr>
          <w:color w:val="000000" w:themeColor="text1"/>
          <w:szCs w:val="24"/>
        </w:rPr>
      </w:pPr>
      <w:r w:rsidRPr="006F5D71">
        <w:rPr>
          <w:color w:val="000000" w:themeColor="text1"/>
          <w:szCs w:val="24"/>
        </w:rPr>
        <w:t xml:space="preserve">The range of exogenous factors that may pose </w:t>
      </w:r>
      <w:r w:rsidR="00E84E63" w:rsidRPr="006F5D71">
        <w:rPr>
          <w:color w:val="000000" w:themeColor="text1"/>
          <w:szCs w:val="24"/>
        </w:rPr>
        <w:t xml:space="preserve">a </w:t>
      </w:r>
      <w:r w:rsidRPr="006F5D71">
        <w:rPr>
          <w:color w:val="000000" w:themeColor="text1"/>
          <w:szCs w:val="24"/>
        </w:rPr>
        <w:t xml:space="preserve">threat to firm survival </w:t>
      </w:r>
      <w:r w:rsidR="00D90B42" w:rsidRPr="006F5D71">
        <w:rPr>
          <w:color w:val="000000" w:themeColor="text1"/>
          <w:szCs w:val="24"/>
        </w:rPr>
        <w:t>range</w:t>
      </w:r>
      <w:r w:rsidRPr="006F5D71">
        <w:rPr>
          <w:color w:val="000000" w:themeColor="text1"/>
          <w:szCs w:val="24"/>
        </w:rPr>
        <w:t xml:space="preserve"> from business environment uncertainty to industry regulations </w:t>
      </w:r>
      <w:r w:rsidR="005E0A83" w:rsidRPr="006F5D71">
        <w:rPr>
          <w:color w:val="000000" w:themeColor="text1"/>
          <w:szCs w:val="24"/>
        </w:rPr>
        <w:t>(Song, 2021)</w:t>
      </w:r>
      <w:r w:rsidRPr="006F5D71">
        <w:rPr>
          <w:color w:val="000000" w:themeColor="text1"/>
          <w:szCs w:val="24"/>
        </w:rPr>
        <w:t>.</w:t>
      </w:r>
      <w:r w:rsidR="00F52463" w:rsidRPr="006F5D71">
        <w:rPr>
          <w:color w:val="000000" w:themeColor="text1"/>
          <w:szCs w:val="24"/>
        </w:rPr>
        <w:t xml:space="preserve"> </w:t>
      </w:r>
      <w:r w:rsidR="005E0A83" w:rsidRPr="006F5D71">
        <w:rPr>
          <w:color w:val="000000" w:themeColor="text1"/>
          <w:szCs w:val="24"/>
        </w:rPr>
        <w:t>Considering exogenous uncertainty-related factors are beyond MNC control, firms can</w:t>
      </w:r>
      <w:r w:rsidR="00F41DF3" w:rsidRPr="006F5D71">
        <w:rPr>
          <w:color w:val="000000" w:themeColor="text1"/>
          <w:szCs w:val="24"/>
        </w:rPr>
        <w:t>not</w:t>
      </w:r>
      <w:r w:rsidR="005E0A83" w:rsidRPr="006F5D71">
        <w:rPr>
          <w:color w:val="000000" w:themeColor="text1"/>
          <w:szCs w:val="24"/>
        </w:rPr>
        <w:t xml:space="preserve"> do </w:t>
      </w:r>
      <w:r w:rsidR="00F41DF3" w:rsidRPr="006F5D71">
        <w:rPr>
          <w:color w:val="000000" w:themeColor="text1"/>
          <w:szCs w:val="24"/>
        </w:rPr>
        <w:t xml:space="preserve">much </w:t>
      </w:r>
      <w:r w:rsidR="005E0A83" w:rsidRPr="006F5D71">
        <w:rPr>
          <w:color w:val="000000" w:themeColor="text1"/>
          <w:szCs w:val="24"/>
        </w:rPr>
        <w:t xml:space="preserve">to avoid it. </w:t>
      </w:r>
      <w:r w:rsidR="00541CD3" w:rsidRPr="006F5D71">
        <w:rPr>
          <w:color w:val="000000" w:themeColor="text1"/>
          <w:szCs w:val="24"/>
        </w:rPr>
        <w:t>Exogenous risks play an important role in explaining exits/switching away of investment from locations facing such risk</w:t>
      </w:r>
      <w:r w:rsidR="00E84E63" w:rsidRPr="006F5D71">
        <w:rPr>
          <w:color w:val="000000" w:themeColor="text1"/>
          <w:szCs w:val="24"/>
        </w:rPr>
        <w:t xml:space="preserve"> (Tong and Li, 2008; Song, 2021</w:t>
      </w:r>
      <w:r w:rsidR="00F41DF3" w:rsidRPr="006F5D71">
        <w:rPr>
          <w:color w:val="000000" w:themeColor="text1"/>
          <w:szCs w:val="24"/>
        </w:rPr>
        <w:t>)</w:t>
      </w:r>
      <w:r w:rsidR="00541CD3" w:rsidRPr="006F5D71">
        <w:rPr>
          <w:color w:val="000000" w:themeColor="text1"/>
          <w:szCs w:val="24"/>
        </w:rPr>
        <w:t xml:space="preserve">. </w:t>
      </w:r>
      <w:r w:rsidRPr="006F5D71">
        <w:rPr>
          <w:color w:val="000000" w:themeColor="text1"/>
          <w:szCs w:val="24"/>
        </w:rPr>
        <w:t xml:space="preserve">For instance, technological </w:t>
      </w:r>
      <w:r w:rsidR="008B3D15" w:rsidRPr="006F5D71">
        <w:rPr>
          <w:color w:val="000000" w:themeColor="text1"/>
          <w:szCs w:val="24"/>
        </w:rPr>
        <w:t>change</w:t>
      </w:r>
      <w:r w:rsidRPr="006F5D71">
        <w:rPr>
          <w:color w:val="000000" w:themeColor="text1"/>
          <w:szCs w:val="24"/>
        </w:rPr>
        <w:t xml:space="preserve"> </w:t>
      </w:r>
      <w:r w:rsidR="00690728" w:rsidRPr="006F5D71">
        <w:rPr>
          <w:color w:val="000000" w:themeColor="text1"/>
          <w:szCs w:val="24"/>
        </w:rPr>
        <w:t>can</w:t>
      </w:r>
      <w:r w:rsidRPr="006F5D71">
        <w:rPr>
          <w:color w:val="000000" w:themeColor="text1"/>
          <w:szCs w:val="24"/>
        </w:rPr>
        <w:t xml:space="preserve"> trigger divestment of those firms that </w:t>
      </w:r>
      <w:r w:rsidR="00F52463" w:rsidRPr="006F5D71">
        <w:rPr>
          <w:color w:val="000000" w:themeColor="text1"/>
          <w:szCs w:val="24"/>
        </w:rPr>
        <w:t xml:space="preserve">are </w:t>
      </w:r>
      <w:r w:rsidRPr="006F5D71">
        <w:rPr>
          <w:color w:val="000000" w:themeColor="text1"/>
          <w:szCs w:val="24"/>
        </w:rPr>
        <w:t>unable to adjust sufficiently to new technological advancements</w:t>
      </w:r>
      <w:r w:rsidR="005E0A83" w:rsidRPr="006F5D71">
        <w:rPr>
          <w:color w:val="000000" w:themeColor="text1"/>
          <w:szCs w:val="24"/>
        </w:rPr>
        <w:t xml:space="preserve"> (</w:t>
      </w:r>
      <w:proofErr w:type="spellStart"/>
      <w:r w:rsidR="005E0A83" w:rsidRPr="006F5D71">
        <w:rPr>
          <w:color w:val="000000" w:themeColor="text1"/>
          <w:szCs w:val="24"/>
        </w:rPr>
        <w:t>Konara</w:t>
      </w:r>
      <w:proofErr w:type="spellEnd"/>
      <w:r w:rsidR="005E0A83" w:rsidRPr="006F5D71">
        <w:rPr>
          <w:color w:val="000000" w:themeColor="text1"/>
          <w:szCs w:val="24"/>
        </w:rPr>
        <w:t xml:space="preserve"> &amp; </w:t>
      </w:r>
      <w:proofErr w:type="spellStart"/>
      <w:r w:rsidR="005E0A83" w:rsidRPr="006F5D71">
        <w:rPr>
          <w:color w:val="000000" w:themeColor="text1"/>
          <w:szCs w:val="24"/>
        </w:rPr>
        <w:t>Ganotakis</w:t>
      </w:r>
      <w:proofErr w:type="spellEnd"/>
      <w:r w:rsidR="005E0A83" w:rsidRPr="006F5D71">
        <w:rPr>
          <w:color w:val="000000" w:themeColor="text1"/>
          <w:szCs w:val="24"/>
        </w:rPr>
        <w:t>, 2020)</w:t>
      </w:r>
      <w:r w:rsidRPr="006F5D71">
        <w:rPr>
          <w:color w:val="000000" w:themeColor="text1"/>
          <w:szCs w:val="24"/>
        </w:rPr>
        <w:t xml:space="preserve">. </w:t>
      </w:r>
      <w:r w:rsidR="008B3D15" w:rsidRPr="006F5D71">
        <w:rPr>
          <w:color w:val="000000" w:themeColor="text1"/>
          <w:szCs w:val="24"/>
        </w:rPr>
        <w:t xml:space="preserve">This factor is particularly relevant </w:t>
      </w:r>
      <w:r w:rsidR="00D90B42" w:rsidRPr="006F5D71">
        <w:rPr>
          <w:color w:val="000000" w:themeColor="text1"/>
          <w:szCs w:val="24"/>
        </w:rPr>
        <w:t>in</w:t>
      </w:r>
      <w:r w:rsidR="008B3D15" w:rsidRPr="006F5D71">
        <w:rPr>
          <w:color w:val="000000" w:themeColor="text1"/>
          <w:szCs w:val="24"/>
        </w:rPr>
        <w:t xml:space="preserve"> North</w:t>
      </w:r>
      <w:r w:rsidR="00D90B42" w:rsidRPr="006F5D71">
        <w:rPr>
          <w:color w:val="000000" w:themeColor="text1"/>
          <w:szCs w:val="24"/>
        </w:rPr>
        <w:t>ern locations,</w:t>
      </w:r>
      <w:r w:rsidR="008B3D15" w:rsidRPr="006F5D71">
        <w:rPr>
          <w:color w:val="000000" w:themeColor="text1"/>
          <w:szCs w:val="24"/>
        </w:rPr>
        <w:t xml:space="preserve"> whic</w:t>
      </w:r>
      <w:r w:rsidR="005E0A83" w:rsidRPr="006F5D71">
        <w:rPr>
          <w:color w:val="000000" w:themeColor="text1"/>
          <w:szCs w:val="24"/>
        </w:rPr>
        <w:t>h experience rapid technological and innovative shifts</w:t>
      </w:r>
      <w:r w:rsidR="008B3D15" w:rsidRPr="006F5D71">
        <w:rPr>
          <w:color w:val="000000" w:themeColor="text1"/>
          <w:szCs w:val="24"/>
        </w:rPr>
        <w:t xml:space="preserve"> (</w:t>
      </w:r>
      <w:proofErr w:type="spellStart"/>
      <w:r w:rsidR="008B3D15" w:rsidRPr="006F5D71">
        <w:rPr>
          <w:color w:val="000000" w:themeColor="text1"/>
          <w:szCs w:val="24"/>
        </w:rPr>
        <w:t>Grazzi</w:t>
      </w:r>
      <w:proofErr w:type="spellEnd"/>
      <w:r w:rsidR="008B3D15" w:rsidRPr="006F5D71">
        <w:rPr>
          <w:color w:val="000000" w:themeColor="text1"/>
          <w:szCs w:val="24"/>
        </w:rPr>
        <w:t xml:space="preserve">, </w:t>
      </w:r>
      <w:proofErr w:type="spellStart"/>
      <w:r w:rsidR="008B3D15" w:rsidRPr="006F5D71">
        <w:rPr>
          <w:color w:val="000000" w:themeColor="text1"/>
          <w:szCs w:val="24"/>
        </w:rPr>
        <w:t>Piccardo</w:t>
      </w:r>
      <w:proofErr w:type="spellEnd"/>
      <w:r w:rsidR="008B3D15" w:rsidRPr="006F5D71">
        <w:rPr>
          <w:color w:val="000000" w:themeColor="text1"/>
          <w:szCs w:val="24"/>
        </w:rPr>
        <w:t xml:space="preserve">, &amp; </w:t>
      </w:r>
      <w:proofErr w:type="spellStart"/>
      <w:r w:rsidR="008B3D15" w:rsidRPr="006F5D71">
        <w:rPr>
          <w:color w:val="000000" w:themeColor="text1"/>
          <w:szCs w:val="24"/>
        </w:rPr>
        <w:t>Vergari</w:t>
      </w:r>
      <w:proofErr w:type="spellEnd"/>
      <w:r w:rsidR="008B3D15" w:rsidRPr="006F5D71">
        <w:rPr>
          <w:color w:val="000000" w:themeColor="text1"/>
          <w:szCs w:val="24"/>
        </w:rPr>
        <w:t xml:space="preserve"> 2021)</w:t>
      </w:r>
      <w:r w:rsidR="00211D09" w:rsidRPr="006F5D71">
        <w:rPr>
          <w:color w:val="000000" w:themeColor="text1"/>
          <w:szCs w:val="24"/>
        </w:rPr>
        <w:t>.</w:t>
      </w:r>
      <w:r w:rsidR="008B3D15" w:rsidRPr="006F5D71">
        <w:rPr>
          <w:color w:val="000000" w:themeColor="text1"/>
          <w:szCs w:val="24"/>
        </w:rPr>
        <w:t xml:space="preserve"> Similarly, Baron and </w:t>
      </w:r>
      <w:proofErr w:type="spellStart"/>
      <w:r w:rsidR="008B3D15" w:rsidRPr="006F5D71">
        <w:rPr>
          <w:color w:val="000000" w:themeColor="text1"/>
          <w:szCs w:val="24"/>
        </w:rPr>
        <w:t>Spulber</w:t>
      </w:r>
      <w:proofErr w:type="spellEnd"/>
      <w:r w:rsidR="008B3D15" w:rsidRPr="006F5D71">
        <w:rPr>
          <w:color w:val="000000" w:themeColor="text1"/>
          <w:szCs w:val="24"/>
        </w:rPr>
        <w:t xml:space="preserve"> (2017) show that technological change in </w:t>
      </w:r>
      <w:r w:rsidR="004551D3">
        <w:rPr>
          <w:color w:val="000000" w:themeColor="text1"/>
          <w:szCs w:val="24"/>
        </w:rPr>
        <w:t xml:space="preserve">the </w:t>
      </w:r>
      <w:r w:rsidR="008B3D15" w:rsidRPr="006F5D71">
        <w:rPr>
          <w:color w:val="000000" w:themeColor="text1"/>
          <w:szCs w:val="24"/>
        </w:rPr>
        <w:t xml:space="preserve">US induces a significant increase in the rates of firm divestment. </w:t>
      </w:r>
      <w:r w:rsidR="00690728" w:rsidRPr="006F5D71">
        <w:rPr>
          <w:color w:val="000000" w:themeColor="text1"/>
          <w:szCs w:val="24"/>
        </w:rPr>
        <w:t>H</w:t>
      </w:r>
      <w:r w:rsidR="00D6019C" w:rsidRPr="006F5D71">
        <w:rPr>
          <w:color w:val="000000" w:themeColor="text1"/>
          <w:szCs w:val="24"/>
        </w:rPr>
        <w:t>ostile</w:t>
      </w:r>
      <w:r w:rsidR="008B3D15" w:rsidRPr="006F5D71">
        <w:rPr>
          <w:color w:val="000000" w:themeColor="text1"/>
          <w:szCs w:val="24"/>
        </w:rPr>
        <w:t xml:space="preserve"> </w:t>
      </w:r>
      <w:r w:rsidR="00D6019C" w:rsidRPr="006F5D71">
        <w:rPr>
          <w:color w:val="000000" w:themeColor="text1"/>
          <w:szCs w:val="24"/>
        </w:rPr>
        <w:t xml:space="preserve">host </w:t>
      </w:r>
      <w:r w:rsidR="008B3D15" w:rsidRPr="006F5D71">
        <w:rPr>
          <w:color w:val="000000" w:themeColor="text1"/>
          <w:szCs w:val="24"/>
        </w:rPr>
        <w:t xml:space="preserve">market </w:t>
      </w:r>
      <w:r w:rsidR="00D6019C" w:rsidRPr="006F5D71">
        <w:rPr>
          <w:color w:val="000000" w:themeColor="text1"/>
          <w:szCs w:val="24"/>
        </w:rPr>
        <w:t>conditions</w:t>
      </w:r>
      <w:r w:rsidR="008B3D15" w:rsidRPr="006F5D71">
        <w:rPr>
          <w:color w:val="000000" w:themeColor="text1"/>
          <w:szCs w:val="24"/>
        </w:rPr>
        <w:t xml:space="preserve"> </w:t>
      </w:r>
      <w:r w:rsidR="00690728" w:rsidRPr="006F5D71">
        <w:rPr>
          <w:color w:val="000000" w:themeColor="text1"/>
          <w:szCs w:val="24"/>
        </w:rPr>
        <w:t xml:space="preserve">can </w:t>
      </w:r>
      <w:r w:rsidR="00E84E63" w:rsidRPr="006F5D71">
        <w:rPr>
          <w:color w:val="000000" w:themeColor="text1"/>
          <w:szCs w:val="24"/>
        </w:rPr>
        <w:t xml:space="preserve">also </w:t>
      </w:r>
      <w:r w:rsidR="008B3D15" w:rsidRPr="006F5D71">
        <w:rPr>
          <w:color w:val="000000" w:themeColor="text1"/>
          <w:szCs w:val="24"/>
        </w:rPr>
        <w:t xml:space="preserve">trigger MNCs to divest. </w:t>
      </w:r>
      <w:r w:rsidR="00D6019C" w:rsidRPr="006F5D71">
        <w:rPr>
          <w:color w:val="000000" w:themeColor="text1"/>
          <w:szCs w:val="24"/>
        </w:rPr>
        <w:t xml:space="preserve">Dai, Eden, &amp; </w:t>
      </w:r>
      <w:r w:rsidR="00EB3B92" w:rsidRPr="006F5D71">
        <w:rPr>
          <w:color w:val="000000" w:themeColor="text1"/>
          <w:szCs w:val="24"/>
        </w:rPr>
        <w:t>Beamish</w:t>
      </w:r>
      <w:r w:rsidR="00D6019C" w:rsidRPr="006F5D71">
        <w:rPr>
          <w:color w:val="000000" w:themeColor="text1"/>
          <w:szCs w:val="24"/>
        </w:rPr>
        <w:t xml:space="preserve"> (2017) and Oh and </w:t>
      </w:r>
      <w:proofErr w:type="spellStart"/>
      <w:r w:rsidR="00D6019C" w:rsidRPr="006F5D71">
        <w:rPr>
          <w:color w:val="000000" w:themeColor="text1"/>
          <w:szCs w:val="24"/>
        </w:rPr>
        <w:t>Oetzel</w:t>
      </w:r>
      <w:proofErr w:type="spellEnd"/>
      <w:r w:rsidR="00D6019C" w:rsidRPr="006F5D71">
        <w:rPr>
          <w:color w:val="000000" w:themeColor="text1"/>
          <w:szCs w:val="24"/>
        </w:rPr>
        <w:t xml:space="preserve"> (</w:t>
      </w:r>
      <w:r w:rsidR="005E0A83" w:rsidRPr="006F5D71">
        <w:rPr>
          <w:color w:val="000000" w:themeColor="text1"/>
          <w:szCs w:val="24"/>
        </w:rPr>
        <w:t>2017</w:t>
      </w:r>
      <w:r w:rsidR="00D6019C" w:rsidRPr="006F5D71">
        <w:rPr>
          <w:color w:val="000000" w:themeColor="text1"/>
          <w:szCs w:val="24"/>
        </w:rPr>
        <w:t xml:space="preserve">) show that the most likely response of </w:t>
      </w:r>
      <w:r w:rsidR="00D6019C" w:rsidRPr="006F5D71">
        <w:rPr>
          <w:color w:val="000000" w:themeColor="text1"/>
          <w:szCs w:val="24"/>
        </w:rPr>
        <w:lastRenderedPageBreak/>
        <w:t xml:space="preserve">multinational firms to </w:t>
      </w:r>
      <w:r w:rsidR="00E84E63" w:rsidRPr="006F5D71">
        <w:rPr>
          <w:color w:val="000000" w:themeColor="text1"/>
          <w:szCs w:val="24"/>
        </w:rPr>
        <w:t>a</w:t>
      </w:r>
      <w:r w:rsidR="00D6019C" w:rsidRPr="006F5D71">
        <w:rPr>
          <w:color w:val="000000" w:themeColor="text1"/>
          <w:szCs w:val="24"/>
        </w:rPr>
        <w:t xml:space="preserve"> </w:t>
      </w:r>
      <w:r w:rsidR="005E0A83" w:rsidRPr="006F5D71">
        <w:rPr>
          <w:color w:val="000000" w:themeColor="text1"/>
          <w:szCs w:val="24"/>
        </w:rPr>
        <w:t xml:space="preserve">political </w:t>
      </w:r>
      <w:r w:rsidR="00D6019C" w:rsidRPr="006F5D71">
        <w:rPr>
          <w:color w:val="000000" w:themeColor="text1"/>
          <w:szCs w:val="24"/>
        </w:rPr>
        <w:t xml:space="preserve">crisis is to flee the turbulent market. </w:t>
      </w:r>
      <w:r w:rsidR="005E0A83" w:rsidRPr="006F5D71">
        <w:rPr>
          <w:color w:val="000000" w:themeColor="text1"/>
          <w:szCs w:val="24"/>
        </w:rPr>
        <w:t xml:space="preserve">Liu and Li (2020) </w:t>
      </w:r>
      <w:r w:rsidR="00E84E63" w:rsidRPr="006F5D71">
        <w:rPr>
          <w:color w:val="000000" w:themeColor="text1"/>
          <w:szCs w:val="24"/>
        </w:rPr>
        <w:t>find</w:t>
      </w:r>
      <w:r w:rsidR="005E0A83" w:rsidRPr="006F5D71">
        <w:rPr>
          <w:color w:val="000000" w:themeColor="text1"/>
          <w:szCs w:val="24"/>
        </w:rPr>
        <w:t xml:space="preserve"> firms </w:t>
      </w:r>
      <w:r w:rsidR="00F13410" w:rsidRPr="006F5D71">
        <w:rPr>
          <w:color w:val="000000" w:themeColor="text1"/>
          <w:szCs w:val="24"/>
        </w:rPr>
        <w:t>operating</w:t>
      </w:r>
      <w:r w:rsidR="005E0A83" w:rsidRPr="006F5D71">
        <w:rPr>
          <w:color w:val="000000" w:themeColor="text1"/>
          <w:szCs w:val="24"/>
        </w:rPr>
        <w:t xml:space="preserve"> in </w:t>
      </w:r>
      <w:r w:rsidR="00F13410" w:rsidRPr="006F5D71">
        <w:rPr>
          <w:color w:val="000000" w:themeColor="text1"/>
          <w:szCs w:val="24"/>
        </w:rPr>
        <w:t>violent conflict zones</w:t>
      </w:r>
      <w:r w:rsidR="005E0A83" w:rsidRPr="006F5D71">
        <w:rPr>
          <w:color w:val="000000" w:themeColor="text1"/>
          <w:szCs w:val="24"/>
        </w:rPr>
        <w:t xml:space="preserve"> are more likely to divest</w:t>
      </w:r>
      <w:r w:rsidR="00F41DF3" w:rsidRPr="006F5D71">
        <w:rPr>
          <w:color w:val="000000" w:themeColor="text1"/>
          <w:szCs w:val="24"/>
        </w:rPr>
        <w:t xml:space="preserve"> as</w:t>
      </w:r>
      <w:r w:rsidR="008B3D15" w:rsidRPr="006F5D71">
        <w:rPr>
          <w:color w:val="000000" w:themeColor="text1"/>
          <w:szCs w:val="24"/>
        </w:rPr>
        <w:t xml:space="preserve"> the </w:t>
      </w:r>
      <w:r w:rsidR="005E0A83" w:rsidRPr="006F5D71">
        <w:rPr>
          <w:color w:val="000000" w:themeColor="text1"/>
          <w:szCs w:val="24"/>
        </w:rPr>
        <w:t xml:space="preserve">cost of sustaining business operations </w:t>
      </w:r>
      <w:r w:rsidR="0071043C" w:rsidRPr="006F5D71">
        <w:rPr>
          <w:color w:val="000000" w:themeColor="text1"/>
          <w:szCs w:val="24"/>
        </w:rPr>
        <w:t xml:space="preserve">in such </w:t>
      </w:r>
      <w:r w:rsidR="00F52463" w:rsidRPr="006F5D71">
        <w:rPr>
          <w:color w:val="000000" w:themeColor="text1"/>
          <w:szCs w:val="24"/>
        </w:rPr>
        <w:t xml:space="preserve">an </w:t>
      </w:r>
      <w:r w:rsidR="0071043C" w:rsidRPr="006F5D71">
        <w:rPr>
          <w:color w:val="000000" w:themeColor="text1"/>
          <w:szCs w:val="24"/>
        </w:rPr>
        <w:t xml:space="preserve">environment </w:t>
      </w:r>
      <w:r w:rsidR="005E0A83" w:rsidRPr="006F5D71">
        <w:rPr>
          <w:color w:val="000000" w:themeColor="text1"/>
          <w:szCs w:val="24"/>
        </w:rPr>
        <w:t>is very high</w:t>
      </w:r>
      <w:r w:rsidR="008B3D15" w:rsidRPr="006F5D71">
        <w:rPr>
          <w:color w:val="000000" w:themeColor="text1"/>
          <w:szCs w:val="24"/>
        </w:rPr>
        <w:t xml:space="preserve">. </w:t>
      </w:r>
      <w:r w:rsidR="00D6019C" w:rsidRPr="006F5D71">
        <w:rPr>
          <w:color w:val="000000" w:themeColor="text1"/>
          <w:szCs w:val="24"/>
        </w:rPr>
        <w:t xml:space="preserve">In addition, Chang and Singh (1999) find that divestment </w:t>
      </w:r>
      <w:r w:rsidR="00F52463" w:rsidRPr="006F5D71">
        <w:rPr>
          <w:color w:val="000000" w:themeColor="text1"/>
          <w:szCs w:val="24"/>
        </w:rPr>
        <w:t>is</w:t>
      </w:r>
      <w:r w:rsidR="00D6019C" w:rsidRPr="006F5D71">
        <w:rPr>
          <w:color w:val="000000" w:themeColor="text1"/>
          <w:szCs w:val="24"/>
        </w:rPr>
        <w:t xml:space="preserve"> higher in </w:t>
      </w:r>
      <w:r w:rsidR="0071043C" w:rsidRPr="006F5D71">
        <w:rPr>
          <w:color w:val="000000" w:themeColor="text1"/>
          <w:szCs w:val="24"/>
        </w:rPr>
        <w:t xml:space="preserve">industries </w:t>
      </w:r>
      <w:r w:rsidR="00D6019C" w:rsidRPr="006F5D71">
        <w:rPr>
          <w:color w:val="000000" w:themeColor="text1"/>
          <w:szCs w:val="24"/>
        </w:rPr>
        <w:t xml:space="preserve">with </w:t>
      </w:r>
      <w:r w:rsidR="0071043C" w:rsidRPr="006F5D71">
        <w:rPr>
          <w:color w:val="000000" w:themeColor="text1"/>
          <w:szCs w:val="24"/>
        </w:rPr>
        <w:t>greater</w:t>
      </w:r>
      <w:r w:rsidR="00D6019C" w:rsidRPr="006F5D71">
        <w:rPr>
          <w:color w:val="000000" w:themeColor="text1"/>
          <w:szCs w:val="24"/>
        </w:rPr>
        <w:t xml:space="preserve"> concentration because </w:t>
      </w:r>
      <w:r w:rsidR="00F52463" w:rsidRPr="006F5D71">
        <w:rPr>
          <w:color w:val="000000" w:themeColor="text1"/>
          <w:szCs w:val="24"/>
        </w:rPr>
        <w:t>fewer</w:t>
      </w:r>
      <w:r w:rsidR="00D6019C" w:rsidRPr="006F5D71">
        <w:rPr>
          <w:color w:val="000000" w:themeColor="text1"/>
          <w:szCs w:val="24"/>
        </w:rPr>
        <w:t xml:space="preserve"> opportunities for collusion make it difficult for firms to survive in periods of low demand.</w:t>
      </w:r>
    </w:p>
    <w:p w14:paraId="22457F4A" w14:textId="77777777" w:rsidR="00D46319" w:rsidRPr="006F5D71" w:rsidRDefault="001D0874" w:rsidP="004B517B">
      <w:pPr>
        <w:pStyle w:val="NoSpacing"/>
        <w:spacing w:line="360" w:lineRule="auto"/>
        <w:ind w:firstLine="720"/>
        <w:jc w:val="both"/>
        <w:rPr>
          <w:color w:val="000000" w:themeColor="text1"/>
          <w:szCs w:val="24"/>
        </w:rPr>
      </w:pPr>
      <w:r w:rsidRPr="006F5D71">
        <w:rPr>
          <w:color w:val="000000" w:themeColor="text1"/>
          <w:szCs w:val="24"/>
        </w:rPr>
        <w:t xml:space="preserve">Market demand uncertainty influences </w:t>
      </w:r>
      <w:r w:rsidR="00F52463" w:rsidRPr="006F5D71">
        <w:rPr>
          <w:color w:val="000000" w:themeColor="text1"/>
          <w:szCs w:val="24"/>
        </w:rPr>
        <w:t xml:space="preserve">a </w:t>
      </w:r>
      <w:r w:rsidRPr="006F5D71">
        <w:rPr>
          <w:color w:val="000000" w:themeColor="text1"/>
          <w:szCs w:val="24"/>
        </w:rPr>
        <w:t>firm’s production and sales and, in turn, makes it difficult for the multinational firm to determine an appropriate long-term investment structure (</w:t>
      </w:r>
      <w:proofErr w:type="spellStart"/>
      <w:r w:rsidR="00E84E63" w:rsidRPr="006F5D71">
        <w:rPr>
          <w:color w:val="000000" w:themeColor="text1"/>
          <w:szCs w:val="24"/>
        </w:rPr>
        <w:t>Cuypers</w:t>
      </w:r>
      <w:proofErr w:type="spellEnd"/>
      <w:r w:rsidR="00E84E63" w:rsidRPr="006F5D71">
        <w:rPr>
          <w:color w:val="000000" w:themeColor="text1"/>
          <w:szCs w:val="24"/>
        </w:rPr>
        <w:t xml:space="preserve"> &amp; Martin 2010; </w:t>
      </w:r>
      <w:r w:rsidRPr="006F5D71">
        <w:rPr>
          <w:color w:val="000000" w:themeColor="text1"/>
          <w:szCs w:val="24"/>
        </w:rPr>
        <w:t xml:space="preserve">Song, 2017). In fact, </w:t>
      </w:r>
      <w:r w:rsidR="00D6019C" w:rsidRPr="006F5D71">
        <w:rPr>
          <w:color w:val="000000" w:themeColor="text1"/>
          <w:szCs w:val="24"/>
        </w:rPr>
        <w:t xml:space="preserve">low market </w:t>
      </w:r>
      <w:r w:rsidRPr="006F5D71">
        <w:rPr>
          <w:color w:val="000000" w:themeColor="text1"/>
          <w:szCs w:val="24"/>
        </w:rPr>
        <w:t>demand in developed countries</w:t>
      </w:r>
      <w:r w:rsidR="0071043C" w:rsidRPr="006F5D71">
        <w:rPr>
          <w:color w:val="000000" w:themeColor="text1"/>
          <w:szCs w:val="24"/>
        </w:rPr>
        <w:t>,</w:t>
      </w:r>
      <w:r w:rsidRPr="006F5D71">
        <w:rPr>
          <w:color w:val="000000" w:themeColor="text1"/>
          <w:szCs w:val="24"/>
        </w:rPr>
        <w:t xml:space="preserve"> </w:t>
      </w:r>
      <w:r w:rsidR="00D6019C" w:rsidRPr="006F5D71">
        <w:rPr>
          <w:color w:val="000000" w:themeColor="text1"/>
          <w:szCs w:val="24"/>
        </w:rPr>
        <w:t xml:space="preserve">triggered by the financial crisis </w:t>
      </w:r>
      <w:r w:rsidR="00F52463" w:rsidRPr="006F5D71">
        <w:rPr>
          <w:color w:val="000000" w:themeColor="text1"/>
          <w:szCs w:val="24"/>
        </w:rPr>
        <w:t xml:space="preserve">of </w:t>
      </w:r>
      <w:r w:rsidR="00D6019C" w:rsidRPr="006F5D71">
        <w:rPr>
          <w:color w:val="000000" w:themeColor="text1"/>
          <w:szCs w:val="24"/>
        </w:rPr>
        <w:t>2008</w:t>
      </w:r>
      <w:r w:rsidR="0071043C" w:rsidRPr="006F5D71">
        <w:rPr>
          <w:color w:val="000000" w:themeColor="text1"/>
          <w:szCs w:val="24"/>
        </w:rPr>
        <w:t>,</w:t>
      </w:r>
      <w:r w:rsidR="00D6019C" w:rsidRPr="006F5D71">
        <w:rPr>
          <w:color w:val="000000" w:themeColor="text1"/>
          <w:szCs w:val="24"/>
        </w:rPr>
        <w:t xml:space="preserve"> </w:t>
      </w:r>
      <w:r w:rsidR="00147248" w:rsidRPr="006F5D71">
        <w:rPr>
          <w:color w:val="000000" w:themeColor="text1"/>
          <w:szCs w:val="24"/>
        </w:rPr>
        <w:t xml:space="preserve">is </w:t>
      </w:r>
      <w:r w:rsidR="00D6019C" w:rsidRPr="006F5D71">
        <w:rPr>
          <w:color w:val="000000" w:themeColor="text1"/>
          <w:szCs w:val="24"/>
        </w:rPr>
        <w:t xml:space="preserve">responsible for the sharp increase in </w:t>
      </w:r>
      <w:r w:rsidR="00F52463" w:rsidRPr="006F5D71">
        <w:rPr>
          <w:color w:val="000000" w:themeColor="text1"/>
          <w:szCs w:val="24"/>
        </w:rPr>
        <w:t xml:space="preserve">the </w:t>
      </w:r>
      <w:r w:rsidR="00D6019C" w:rsidRPr="006F5D71">
        <w:rPr>
          <w:color w:val="000000" w:themeColor="text1"/>
          <w:szCs w:val="24"/>
        </w:rPr>
        <w:t xml:space="preserve">divestment of multinational firms from </w:t>
      </w:r>
      <w:r w:rsidR="004551D3">
        <w:rPr>
          <w:color w:val="000000" w:themeColor="text1"/>
          <w:szCs w:val="24"/>
        </w:rPr>
        <w:t xml:space="preserve">the </w:t>
      </w:r>
      <w:r w:rsidR="00D6019C" w:rsidRPr="006F5D71">
        <w:rPr>
          <w:color w:val="000000" w:themeColor="text1"/>
          <w:szCs w:val="24"/>
        </w:rPr>
        <w:t>North (</w:t>
      </w:r>
      <w:proofErr w:type="spellStart"/>
      <w:r w:rsidR="00D6019C" w:rsidRPr="006F5D71">
        <w:rPr>
          <w:color w:val="000000" w:themeColor="text1"/>
          <w:szCs w:val="24"/>
        </w:rPr>
        <w:t>Carr</w:t>
      </w:r>
      <w:r w:rsidR="00211D09" w:rsidRPr="006F5D71">
        <w:rPr>
          <w:color w:val="000000" w:themeColor="text1"/>
          <w:szCs w:val="24"/>
        </w:rPr>
        <w:t>eira</w:t>
      </w:r>
      <w:proofErr w:type="spellEnd"/>
      <w:r w:rsidR="00211D09" w:rsidRPr="006F5D71">
        <w:rPr>
          <w:color w:val="000000" w:themeColor="text1"/>
          <w:szCs w:val="24"/>
        </w:rPr>
        <w:t xml:space="preserve"> &amp; Teixeira, 2016). Importantly</w:t>
      </w:r>
      <w:r w:rsidR="00D6019C" w:rsidRPr="006F5D71">
        <w:rPr>
          <w:color w:val="000000" w:themeColor="text1"/>
          <w:szCs w:val="24"/>
        </w:rPr>
        <w:t>, s</w:t>
      </w:r>
      <w:r w:rsidR="008D298D" w:rsidRPr="006F5D71">
        <w:rPr>
          <w:color w:val="000000" w:themeColor="text1"/>
          <w:szCs w:val="24"/>
        </w:rPr>
        <w:t xml:space="preserve">ince the financial crisis in 2008, the volatility of returns from Northern investments has </w:t>
      </w:r>
      <w:r w:rsidR="0071043C" w:rsidRPr="006F5D71">
        <w:rPr>
          <w:color w:val="000000" w:themeColor="text1"/>
          <w:szCs w:val="24"/>
        </w:rPr>
        <w:t xml:space="preserve">also </w:t>
      </w:r>
      <w:r w:rsidR="008D298D" w:rsidRPr="006F5D71">
        <w:rPr>
          <w:color w:val="000000" w:themeColor="text1"/>
          <w:szCs w:val="24"/>
        </w:rPr>
        <w:t>increased due to changing exchange rates (</w:t>
      </w:r>
      <w:proofErr w:type="spellStart"/>
      <w:r w:rsidR="008D298D" w:rsidRPr="006F5D71">
        <w:rPr>
          <w:color w:val="000000" w:themeColor="text1"/>
          <w:szCs w:val="24"/>
        </w:rPr>
        <w:t>Athreye</w:t>
      </w:r>
      <w:proofErr w:type="spellEnd"/>
      <w:r w:rsidR="008D298D" w:rsidRPr="006F5D71">
        <w:rPr>
          <w:color w:val="000000" w:themeColor="text1"/>
          <w:szCs w:val="24"/>
        </w:rPr>
        <w:t xml:space="preserve"> et al., 2021). The situation </w:t>
      </w:r>
      <w:r w:rsidR="00147248" w:rsidRPr="006F5D71">
        <w:rPr>
          <w:color w:val="000000" w:themeColor="text1"/>
          <w:szCs w:val="24"/>
        </w:rPr>
        <w:t>was</w:t>
      </w:r>
      <w:r w:rsidR="008D298D" w:rsidRPr="006F5D71">
        <w:rPr>
          <w:color w:val="000000" w:themeColor="text1"/>
          <w:szCs w:val="24"/>
        </w:rPr>
        <w:t xml:space="preserve"> exacerbated by the pursuit of austerity policies in many economies </w:t>
      </w:r>
      <w:r w:rsidR="00D6019C" w:rsidRPr="006F5D71">
        <w:rPr>
          <w:color w:val="000000" w:themeColor="text1"/>
          <w:szCs w:val="24"/>
        </w:rPr>
        <w:t>(</w:t>
      </w:r>
      <w:proofErr w:type="spellStart"/>
      <w:r w:rsidR="00D6019C" w:rsidRPr="006F5D71">
        <w:rPr>
          <w:color w:val="000000" w:themeColor="text1"/>
          <w:szCs w:val="24"/>
        </w:rPr>
        <w:t>Giebel</w:t>
      </w:r>
      <w:proofErr w:type="spellEnd"/>
      <w:r w:rsidR="00D6019C" w:rsidRPr="006F5D71">
        <w:rPr>
          <w:color w:val="000000" w:themeColor="text1"/>
          <w:szCs w:val="24"/>
        </w:rPr>
        <w:t xml:space="preserve"> and Kraft, 2020</w:t>
      </w:r>
      <w:r w:rsidR="008D298D" w:rsidRPr="006F5D71">
        <w:rPr>
          <w:color w:val="000000" w:themeColor="text1"/>
          <w:szCs w:val="24"/>
        </w:rPr>
        <w:t xml:space="preserve">). Thus, exogenous risks due to exchange rate and demand volatility have also increased over time and </w:t>
      </w:r>
      <w:r w:rsidR="00147248" w:rsidRPr="006F5D71">
        <w:rPr>
          <w:color w:val="000000" w:themeColor="text1"/>
          <w:szCs w:val="24"/>
        </w:rPr>
        <w:t>made</w:t>
      </w:r>
      <w:r w:rsidR="008D298D" w:rsidRPr="006F5D71">
        <w:rPr>
          <w:color w:val="000000" w:themeColor="text1"/>
          <w:szCs w:val="24"/>
        </w:rPr>
        <w:t xml:space="preserve"> the survival of EMNCs more difficult in North</w:t>
      </w:r>
      <w:r w:rsidR="00147248" w:rsidRPr="006F5D71">
        <w:rPr>
          <w:color w:val="000000" w:themeColor="text1"/>
          <w:szCs w:val="24"/>
        </w:rPr>
        <w:t>ern locations</w:t>
      </w:r>
      <w:r w:rsidR="008D298D" w:rsidRPr="006F5D71">
        <w:rPr>
          <w:color w:val="000000" w:themeColor="text1"/>
          <w:szCs w:val="24"/>
        </w:rPr>
        <w:t xml:space="preserve">. </w:t>
      </w:r>
    </w:p>
    <w:p w14:paraId="5F30FA2B" w14:textId="77777777" w:rsidR="008D298D" w:rsidRPr="006F5D71" w:rsidRDefault="00D46319" w:rsidP="00C91A3C">
      <w:pPr>
        <w:pStyle w:val="NoSpacing"/>
        <w:spacing w:after="240" w:line="360" w:lineRule="auto"/>
        <w:ind w:firstLine="720"/>
        <w:jc w:val="both"/>
        <w:rPr>
          <w:color w:val="000000" w:themeColor="text1"/>
          <w:szCs w:val="24"/>
        </w:rPr>
      </w:pPr>
      <w:r w:rsidRPr="006F5D71">
        <w:rPr>
          <w:color w:val="000000" w:themeColor="text1"/>
          <w:szCs w:val="24"/>
        </w:rPr>
        <w:t>The real option</w:t>
      </w:r>
      <w:r w:rsidR="00F52463" w:rsidRPr="006F5D71">
        <w:rPr>
          <w:color w:val="000000" w:themeColor="text1"/>
          <w:szCs w:val="24"/>
        </w:rPr>
        <w:t>s</w:t>
      </w:r>
      <w:r w:rsidRPr="006F5D71">
        <w:rPr>
          <w:color w:val="000000" w:themeColor="text1"/>
          <w:szCs w:val="24"/>
        </w:rPr>
        <w:t xml:space="preserve"> view is that </w:t>
      </w:r>
      <w:r w:rsidR="00542E7B" w:rsidRPr="006F5D71">
        <w:rPr>
          <w:color w:val="000000" w:themeColor="text1"/>
          <w:szCs w:val="24"/>
        </w:rPr>
        <w:t xml:space="preserve">waiting and gathering more information </w:t>
      </w:r>
      <w:r w:rsidR="004A1C80" w:rsidRPr="006F5D71">
        <w:rPr>
          <w:color w:val="000000" w:themeColor="text1"/>
          <w:szCs w:val="24"/>
        </w:rPr>
        <w:t>is more valuable under</w:t>
      </w:r>
      <w:r w:rsidR="00542E7B" w:rsidRPr="006F5D71">
        <w:rPr>
          <w:color w:val="000000" w:themeColor="text1"/>
          <w:szCs w:val="24"/>
        </w:rPr>
        <w:t xml:space="preserve"> uncertain</w:t>
      </w:r>
      <w:r w:rsidR="004A1C80" w:rsidRPr="006F5D71">
        <w:rPr>
          <w:color w:val="000000" w:themeColor="text1"/>
          <w:szCs w:val="24"/>
        </w:rPr>
        <w:t xml:space="preserve">ty concerning macroeconomic circumstances </w:t>
      </w:r>
      <w:r w:rsidR="00542E7B" w:rsidRPr="006F5D71">
        <w:rPr>
          <w:color w:val="000000" w:themeColor="text1"/>
          <w:szCs w:val="24"/>
        </w:rPr>
        <w:t>(</w:t>
      </w:r>
      <w:r w:rsidR="00267EBB" w:rsidRPr="006F5D71">
        <w:rPr>
          <w:color w:val="000000" w:themeColor="text1"/>
          <w:szCs w:val="24"/>
        </w:rPr>
        <w:t>Song, 2021</w:t>
      </w:r>
      <w:r w:rsidR="00542E7B" w:rsidRPr="006F5D71">
        <w:rPr>
          <w:color w:val="000000" w:themeColor="text1"/>
          <w:szCs w:val="24"/>
        </w:rPr>
        <w:t xml:space="preserve">). In </w:t>
      </w:r>
      <w:r w:rsidR="00F52463" w:rsidRPr="006F5D71">
        <w:rPr>
          <w:color w:val="000000" w:themeColor="text1"/>
          <w:szCs w:val="24"/>
        </w:rPr>
        <w:t xml:space="preserve">a </w:t>
      </w:r>
      <w:r w:rsidR="00542E7B" w:rsidRPr="006F5D71">
        <w:rPr>
          <w:color w:val="000000" w:themeColor="text1"/>
          <w:szCs w:val="24"/>
        </w:rPr>
        <w:t xml:space="preserve">highly uncertain </w:t>
      </w:r>
      <w:r w:rsidR="004A1C80" w:rsidRPr="006F5D71">
        <w:rPr>
          <w:color w:val="000000" w:themeColor="text1"/>
          <w:szCs w:val="24"/>
        </w:rPr>
        <w:t xml:space="preserve">macroeconomic </w:t>
      </w:r>
      <w:r w:rsidR="00542E7B" w:rsidRPr="006F5D71">
        <w:rPr>
          <w:color w:val="000000" w:themeColor="text1"/>
          <w:szCs w:val="24"/>
        </w:rPr>
        <w:t>environment</w:t>
      </w:r>
      <w:r w:rsidR="00F52463" w:rsidRPr="006F5D71">
        <w:rPr>
          <w:color w:val="000000" w:themeColor="text1"/>
          <w:szCs w:val="24"/>
        </w:rPr>
        <w:t>,</w:t>
      </w:r>
      <w:r w:rsidR="00542E7B" w:rsidRPr="006F5D71">
        <w:rPr>
          <w:color w:val="000000" w:themeColor="text1"/>
          <w:szCs w:val="24"/>
        </w:rPr>
        <w:t xml:space="preserve"> waiting can have a greater value due to the possible upside gains that can be exploited once the uncertainty is </w:t>
      </w:r>
      <w:r w:rsidR="00F16DC4" w:rsidRPr="006F5D71">
        <w:rPr>
          <w:color w:val="000000" w:themeColor="text1"/>
          <w:szCs w:val="24"/>
        </w:rPr>
        <w:t>resolved</w:t>
      </w:r>
      <w:r w:rsidR="00542E7B" w:rsidRPr="006F5D71">
        <w:rPr>
          <w:color w:val="000000" w:themeColor="text1"/>
          <w:szCs w:val="24"/>
        </w:rPr>
        <w:t xml:space="preserve">. </w:t>
      </w:r>
      <w:r w:rsidR="004845FF" w:rsidRPr="006F5D71">
        <w:rPr>
          <w:color w:val="000000" w:themeColor="text1"/>
          <w:szCs w:val="24"/>
        </w:rPr>
        <w:t>Nevertheless</w:t>
      </w:r>
      <w:r w:rsidR="00542E7B" w:rsidRPr="006F5D71">
        <w:rPr>
          <w:color w:val="000000" w:themeColor="text1"/>
          <w:szCs w:val="24"/>
        </w:rPr>
        <w:t xml:space="preserve">, </w:t>
      </w:r>
      <w:r w:rsidR="00F16DC4" w:rsidRPr="006F5D71">
        <w:rPr>
          <w:color w:val="000000" w:themeColor="text1"/>
          <w:szCs w:val="24"/>
        </w:rPr>
        <w:t xml:space="preserve">there is a huge cost associated with </w:t>
      </w:r>
      <w:r w:rsidR="004845FF" w:rsidRPr="006F5D71">
        <w:rPr>
          <w:color w:val="000000" w:themeColor="text1"/>
          <w:szCs w:val="24"/>
        </w:rPr>
        <w:t xml:space="preserve">maintaining </w:t>
      </w:r>
      <w:r w:rsidR="00F52463" w:rsidRPr="006F5D71">
        <w:rPr>
          <w:color w:val="000000" w:themeColor="text1"/>
          <w:szCs w:val="24"/>
        </w:rPr>
        <w:t xml:space="preserve">an </w:t>
      </w:r>
      <w:r w:rsidR="004845FF" w:rsidRPr="006F5D71">
        <w:rPr>
          <w:color w:val="000000" w:themeColor="text1"/>
          <w:szCs w:val="24"/>
        </w:rPr>
        <w:t>affiliate</w:t>
      </w:r>
      <w:r w:rsidR="00F16DC4" w:rsidRPr="006F5D71">
        <w:rPr>
          <w:color w:val="000000" w:themeColor="text1"/>
          <w:szCs w:val="24"/>
        </w:rPr>
        <w:t xml:space="preserve"> </w:t>
      </w:r>
      <w:r w:rsidR="004845FF" w:rsidRPr="006F5D71">
        <w:rPr>
          <w:color w:val="000000" w:themeColor="text1"/>
          <w:szCs w:val="24"/>
        </w:rPr>
        <w:t>investment</w:t>
      </w:r>
      <w:r w:rsidR="00F16DC4" w:rsidRPr="006F5D71">
        <w:rPr>
          <w:color w:val="000000" w:themeColor="text1"/>
          <w:szCs w:val="24"/>
        </w:rPr>
        <w:t xml:space="preserve"> </w:t>
      </w:r>
      <w:r w:rsidR="004845FF" w:rsidRPr="006F5D71">
        <w:rPr>
          <w:color w:val="000000" w:themeColor="text1"/>
          <w:szCs w:val="24"/>
        </w:rPr>
        <w:t xml:space="preserve">position </w:t>
      </w:r>
      <w:r w:rsidR="00F16DC4" w:rsidRPr="006F5D71">
        <w:rPr>
          <w:color w:val="000000" w:themeColor="text1"/>
          <w:szCs w:val="24"/>
        </w:rPr>
        <w:t xml:space="preserve">in </w:t>
      </w:r>
      <w:r w:rsidR="00690728" w:rsidRPr="006F5D71">
        <w:rPr>
          <w:color w:val="000000" w:themeColor="text1"/>
          <w:szCs w:val="24"/>
        </w:rPr>
        <w:t xml:space="preserve">the presence of </w:t>
      </w:r>
      <w:r w:rsidR="004845FF" w:rsidRPr="006F5D71">
        <w:rPr>
          <w:color w:val="000000" w:themeColor="text1"/>
          <w:szCs w:val="24"/>
        </w:rPr>
        <w:t>macroeconomic</w:t>
      </w:r>
      <w:r w:rsidR="00F16DC4" w:rsidRPr="006F5D71">
        <w:rPr>
          <w:color w:val="000000" w:themeColor="text1"/>
          <w:szCs w:val="24"/>
        </w:rPr>
        <w:t xml:space="preserve"> uncertain</w:t>
      </w:r>
      <w:r w:rsidR="004845FF" w:rsidRPr="006F5D71">
        <w:rPr>
          <w:color w:val="000000" w:themeColor="text1"/>
          <w:szCs w:val="24"/>
        </w:rPr>
        <w:t>ty</w:t>
      </w:r>
      <w:r w:rsidR="00690728" w:rsidRPr="006F5D71">
        <w:rPr>
          <w:color w:val="000000" w:themeColor="text1"/>
          <w:szCs w:val="24"/>
        </w:rPr>
        <w:t>, and these costs</w:t>
      </w:r>
      <w:r w:rsidR="00F16DC4" w:rsidRPr="006F5D71">
        <w:rPr>
          <w:color w:val="000000" w:themeColor="text1"/>
          <w:szCs w:val="24"/>
        </w:rPr>
        <w:t xml:space="preserve"> may exceed the benefits of waiting. Consequently, </w:t>
      </w:r>
      <w:r w:rsidR="00F52463" w:rsidRPr="006F5D71">
        <w:rPr>
          <w:color w:val="000000" w:themeColor="text1"/>
          <w:szCs w:val="24"/>
        </w:rPr>
        <w:t xml:space="preserve">a </w:t>
      </w:r>
      <w:r w:rsidR="00542E7B" w:rsidRPr="006F5D71">
        <w:rPr>
          <w:color w:val="000000" w:themeColor="text1"/>
          <w:szCs w:val="24"/>
        </w:rPr>
        <w:t xml:space="preserve">firm may choose to divest </w:t>
      </w:r>
      <w:r w:rsidR="00690728" w:rsidRPr="006F5D71">
        <w:rPr>
          <w:color w:val="000000" w:themeColor="text1"/>
          <w:szCs w:val="24"/>
        </w:rPr>
        <w:t xml:space="preserve">from </w:t>
      </w:r>
      <w:r w:rsidR="00542E7B" w:rsidRPr="006F5D71">
        <w:rPr>
          <w:color w:val="000000" w:themeColor="text1"/>
          <w:szCs w:val="24"/>
        </w:rPr>
        <w:t xml:space="preserve">that particular market and redirect resources towards more profitable opportunities. </w:t>
      </w:r>
      <w:r w:rsidR="00F16DC4" w:rsidRPr="006F5D71">
        <w:rPr>
          <w:color w:val="000000" w:themeColor="text1"/>
          <w:szCs w:val="24"/>
        </w:rPr>
        <w:t xml:space="preserve">In other words, terminating the investment is more valuable in </w:t>
      </w:r>
      <w:r w:rsidR="00F52463" w:rsidRPr="006F5D71">
        <w:rPr>
          <w:color w:val="000000" w:themeColor="text1"/>
          <w:szCs w:val="24"/>
        </w:rPr>
        <w:t xml:space="preserve">an </w:t>
      </w:r>
      <w:r w:rsidR="00F16DC4" w:rsidRPr="006F5D71">
        <w:rPr>
          <w:color w:val="000000" w:themeColor="text1"/>
          <w:szCs w:val="24"/>
        </w:rPr>
        <w:t>uncertain environment when the cost of sustaining the investment may begin to exceed the benefits of waiting</w:t>
      </w:r>
      <w:r w:rsidR="00E84E63" w:rsidRPr="006F5D71">
        <w:rPr>
          <w:color w:val="000000" w:themeColor="text1"/>
          <w:szCs w:val="24"/>
        </w:rPr>
        <w:t xml:space="preserve"> and </w:t>
      </w:r>
      <w:r w:rsidR="00F52463" w:rsidRPr="006F5D71">
        <w:rPr>
          <w:color w:val="000000" w:themeColor="text1"/>
          <w:szCs w:val="24"/>
        </w:rPr>
        <w:t xml:space="preserve">the </w:t>
      </w:r>
      <w:r w:rsidR="0014729E" w:rsidRPr="006F5D71">
        <w:rPr>
          <w:color w:val="000000" w:themeColor="text1"/>
          <w:szCs w:val="24"/>
        </w:rPr>
        <w:t>option value of staying in the market becomes less attractive for poor performing firms</w:t>
      </w:r>
      <w:r w:rsidR="00522709" w:rsidRPr="006F5D71">
        <w:rPr>
          <w:color w:val="000000" w:themeColor="text1"/>
          <w:szCs w:val="24"/>
        </w:rPr>
        <w:t xml:space="preserve"> (O’Brien and </w:t>
      </w:r>
      <w:proofErr w:type="spellStart"/>
      <w:r w:rsidR="00522709" w:rsidRPr="006F5D71">
        <w:rPr>
          <w:color w:val="000000" w:themeColor="text1"/>
          <w:szCs w:val="24"/>
        </w:rPr>
        <w:t>Folta</w:t>
      </w:r>
      <w:proofErr w:type="spellEnd"/>
      <w:r w:rsidR="00522709" w:rsidRPr="006F5D71">
        <w:rPr>
          <w:color w:val="000000" w:themeColor="text1"/>
          <w:szCs w:val="24"/>
        </w:rPr>
        <w:t>, 2009)</w:t>
      </w:r>
      <w:r w:rsidR="0014729E" w:rsidRPr="006F5D71">
        <w:rPr>
          <w:color w:val="000000" w:themeColor="text1"/>
          <w:szCs w:val="24"/>
        </w:rPr>
        <w:t xml:space="preserve">. </w:t>
      </w:r>
      <w:r w:rsidR="00F16DC4" w:rsidRPr="006F5D71">
        <w:rPr>
          <w:color w:val="000000" w:themeColor="text1"/>
          <w:szCs w:val="24"/>
        </w:rPr>
        <w:t>Thus, it can</w:t>
      </w:r>
      <w:r w:rsidR="004845FF" w:rsidRPr="006F5D71">
        <w:rPr>
          <w:color w:val="000000" w:themeColor="text1"/>
          <w:szCs w:val="24"/>
        </w:rPr>
        <w:t xml:space="preserve"> be suggested that </w:t>
      </w:r>
      <w:r w:rsidR="00F16DC4" w:rsidRPr="006F5D71">
        <w:rPr>
          <w:color w:val="000000" w:themeColor="text1"/>
          <w:szCs w:val="24"/>
        </w:rPr>
        <w:t>uncertainty</w:t>
      </w:r>
      <w:r w:rsidR="00FD6219" w:rsidRPr="006F5D71">
        <w:rPr>
          <w:color w:val="000000" w:themeColor="text1"/>
          <w:szCs w:val="24"/>
        </w:rPr>
        <w:t>,</w:t>
      </w:r>
      <w:r w:rsidR="00F16DC4" w:rsidRPr="006F5D71">
        <w:rPr>
          <w:color w:val="000000" w:themeColor="text1"/>
          <w:szCs w:val="24"/>
        </w:rPr>
        <w:t xml:space="preserve"> which </w:t>
      </w:r>
      <w:r w:rsidR="00E84E63" w:rsidRPr="006F5D71">
        <w:rPr>
          <w:color w:val="000000" w:themeColor="text1"/>
          <w:szCs w:val="24"/>
        </w:rPr>
        <w:t xml:space="preserve">cannot be influenced by </w:t>
      </w:r>
      <w:r w:rsidR="004551D3">
        <w:rPr>
          <w:color w:val="000000" w:themeColor="text1"/>
          <w:szCs w:val="24"/>
        </w:rPr>
        <w:t xml:space="preserve">a </w:t>
      </w:r>
      <w:r w:rsidR="00E84E63" w:rsidRPr="006F5D71">
        <w:rPr>
          <w:color w:val="000000" w:themeColor="text1"/>
          <w:szCs w:val="24"/>
        </w:rPr>
        <w:t>firm</w:t>
      </w:r>
      <w:r w:rsidR="004551D3">
        <w:rPr>
          <w:color w:val="000000" w:themeColor="text1"/>
          <w:szCs w:val="24"/>
        </w:rPr>
        <w:t>’s</w:t>
      </w:r>
      <w:r w:rsidR="00E84E63" w:rsidRPr="006F5D71">
        <w:rPr>
          <w:color w:val="000000" w:themeColor="text1"/>
          <w:szCs w:val="24"/>
        </w:rPr>
        <w:t xml:space="preserve"> actions</w:t>
      </w:r>
      <w:r w:rsidR="00FD6219" w:rsidRPr="006F5D71">
        <w:rPr>
          <w:color w:val="000000" w:themeColor="text1"/>
          <w:szCs w:val="24"/>
        </w:rPr>
        <w:t>,</w:t>
      </w:r>
      <w:r w:rsidR="00F16DC4" w:rsidRPr="006F5D71">
        <w:rPr>
          <w:color w:val="000000" w:themeColor="text1"/>
          <w:szCs w:val="24"/>
        </w:rPr>
        <w:t xml:space="preserve"> limits </w:t>
      </w:r>
      <w:r w:rsidR="004551D3">
        <w:rPr>
          <w:color w:val="000000" w:themeColor="text1"/>
          <w:szCs w:val="24"/>
        </w:rPr>
        <w:t>the</w:t>
      </w:r>
      <w:r w:rsidR="004551D3" w:rsidRPr="006F5D71">
        <w:rPr>
          <w:color w:val="000000" w:themeColor="text1"/>
          <w:szCs w:val="24"/>
        </w:rPr>
        <w:t xml:space="preserve"> </w:t>
      </w:r>
      <w:r w:rsidR="00F16DC4" w:rsidRPr="006F5D71">
        <w:rPr>
          <w:color w:val="000000" w:themeColor="text1"/>
          <w:szCs w:val="24"/>
        </w:rPr>
        <w:t>firm’s survival</w:t>
      </w:r>
      <w:r w:rsidR="00FD6219" w:rsidRPr="006F5D71">
        <w:rPr>
          <w:color w:val="000000" w:themeColor="text1"/>
          <w:szCs w:val="24"/>
        </w:rPr>
        <w:t xml:space="preserve"> in the host market</w:t>
      </w:r>
      <w:r w:rsidR="00F16DC4" w:rsidRPr="006F5D71">
        <w:rPr>
          <w:color w:val="000000" w:themeColor="text1"/>
          <w:szCs w:val="24"/>
        </w:rPr>
        <w:t>. These arguments suggest the following hypothesis:</w:t>
      </w:r>
    </w:p>
    <w:p w14:paraId="74FA3DFA" w14:textId="77777777" w:rsidR="0072246F" w:rsidRPr="006F5D71" w:rsidRDefault="0072246F" w:rsidP="00D0772C">
      <w:pPr>
        <w:pStyle w:val="NoSpacing"/>
        <w:spacing w:after="240" w:line="360" w:lineRule="auto"/>
        <w:jc w:val="both"/>
        <w:rPr>
          <w:i/>
          <w:iCs/>
          <w:color w:val="000000" w:themeColor="text1"/>
          <w:szCs w:val="24"/>
        </w:rPr>
      </w:pPr>
      <w:r w:rsidRPr="006F5D71">
        <w:rPr>
          <w:i/>
          <w:iCs/>
          <w:color w:val="000000" w:themeColor="text1"/>
          <w:szCs w:val="24"/>
        </w:rPr>
        <w:t xml:space="preserve">Hypothesis 2b: Exogenous risks </w:t>
      </w:r>
      <w:r w:rsidR="00147248" w:rsidRPr="006F5D71">
        <w:rPr>
          <w:i/>
          <w:iCs/>
          <w:color w:val="000000" w:themeColor="text1"/>
          <w:szCs w:val="24"/>
        </w:rPr>
        <w:t>will</w:t>
      </w:r>
      <w:r w:rsidRPr="006F5D71">
        <w:rPr>
          <w:i/>
          <w:iCs/>
          <w:color w:val="000000" w:themeColor="text1"/>
          <w:szCs w:val="24"/>
        </w:rPr>
        <w:t xml:space="preserve"> adversely affect survival in </w:t>
      </w:r>
      <w:r w:rsidR="00A875A6" w:rsidRPr="006F5D71">
        <w:rPr>
          <w:i/>
          <w:iCs/>
          <w:color w:val="000000" w:themeColor="text1"/>
          <w:szCs w:val="24"/>
        </w:rPr>
        <w:t xml:space="preserve">both </w:t>
      </w:r>
      <w:r w:rsidRPr="006F5D71">
        <w:rPr>
          <w:i/>
          <w:iCs/>
          <w:color w:val="000000" w:themeColor="text1"/>
          <w:szCs w:val="24"/>
        </w:rPr>
        <w:t>Northern and Southern economies.</w:t>
      </w:r>
    </w:p>
    <w:p w14:paraId="3F289169" w14:textId="77777777" w:rsidR="00B35A02" w:rsidRPr="006F5D71" w:rsidRDefault="00E84E63" w:rsidP="0023047B">
      <w:pPr>
        <w:pStyle w:val="NoSpacing"/>
        <w:spacing w:after="240" w:line="360" w:lineRule="auto"/>
        <w:jc w:val="both"/>
        <w:rPr>
          <w:i/>
          <w:iCs/>
          <w:color w:val="000000" w:themeColor="text1"/>
          <w:szCs w:val="24"/>
        </w:rPr>
      </w:pPr>
      <w:r w:rsidRPr="006F5D71">
        <w:rPr>
          <w:i/>
          <w:iCs/>
          <w:color w:val="000000" w:themeColor="text1"/>
          <w:szCs w:val="24"/>
        </w:rPr>
        <w:tab/>
      </w:r>
      <w:r w:rsidR="001337CA" w:rsidRPr="006F5D71">
        <w:rPr>
          <w:i/>
          <w:iCs/>
          <w:color w:val="000000" w:themeColor="text1"/>
          <w:szCs w:val="24"/>
        </w:rPr>
        <w:t xml:space="preserve">2.3. </w:t>
      </w:r>
      <w:r w:rsidR="005471FE" w:rsidRPr="006F5D71">
        <w:rPr>
          <w:i/>
          <w:iCs/>
          <w:color w:val="000000" w:themeColor="text1"/>
          <w:szCs w:val="24"/>
        </w:rPr>
        <w:t>Immigrant diaspora as a r</w:t>
      </w:r>
      <w:r w:rsidR="00146447" w:rsidRPr="006F5D71">
        <w:rPr>
          <w:i/>
          <w:iCs/>
          <w:color w:val="000000" w:themeColor="text1"/>
          <w:szCs w:val="24"/>
        </w:rPr>
        <w:t>isk</w:t>
      </w:r>
      <w:r w:rsidR="0023047B" w:rsidRPr="006F5D71">
        <w:rPr>
          <w:i/>
          <w:iCs/>
          <w:color w:val="000000" w:themeColor="text1"/>
          <w:szCs w:val="24"/>
        </w:rPr>
        <w:t>-</w:t>
      </w:r>
      <w:r w:rsidR="00146447" w:rsidRPr="006F5D71">
        <w:rPr>
          <w:i/>
          <w:iCs/>
          <w:color w:val="000000" w:themeColor="text1"/>
          <w:szCs w:val="24"/>
        </w:rPr>
        <w:t>m</w:t>
      </w:r>
      <w:r w:rsidR="005471FE" w:rsidRPr="006F5D71">
        <w:rPr>
          <w:i/>
          <w:iCs/>
          <w:color w:val="000000" w:themeColor="text1"/>
          <w:szCs w:val="24"/>
        </w:rPr>
        <w:t>itigating factor</w:t>
      </w:r>
      <w:r w:rsidR="003A6CBF" w:rsidRPr="006F5D71">
        <w:rPr>
          <w:i/>
          <w:iCs/>
          <w:color w:val="000000" w:themeColor="text1"/>
          <w:szCs w:val="24"/>
        </w:rPr>
        <w:t xml:space="preserve"> in the presence of endogenous risk</w:t>
      </w:r>
    </w:p>
    <w:p w14:paraId="125F5113" w14:textId="77777777" w:rsidR="00A875A6" w:rsidRPr="006F5D71" w:rsidRDefault="00BD1ACC" w:rsidP="00E02954">
      <w:pPr>
        <w:pStyle w:val="NoSpacing"/>
        <w:spacing w:line="360" w:lineRule="auto"/>
        <w:ind w:firstLine="720"/>
        <w:jc w:val="both"/>
        <w:rPr>
          <w:color w:val="000000" w:themeColor="text1"/>
          <w:szCs w:val="24"/>
        </w:rPr>
      </w:pPr>
      <w:r w:rsidRPr="006F5D71">
        <w:rPr>
          <w:color w:val="000000" w:themeColor="text1"/>
          <w:szCs w:val="24"/>
        </w:rPr>
        <w:lastRenderedPageBreak/>
        <w:t xml:space="preserve">Recent research demonstrates the positive </w:t>
      </w:r>
      <w:r w:rsidR="00147248" w:rsidRPr="006F5D71">
        <w:rPr>
          <w:color w:val="000000" w:themeColor="text1"/>
          <w:szCs w:val="24"/>
        </w:rPr>
        <w:t>impact</w:t>
      </w:r>
      <w:r w:rsidRPr="006F5D71">
        <w:rPr>
          <w:color w:val="000000" w:themeColor="text1"/>
          <w:szCs w:val="24"/>
        </w:rPr>
        <w:t xml:space="preserve"> of international migration on </w:t>
      </w:r>
      <w:r w:rsidR="006552CB" w:rsidRPr="006F5D71">
        <w:rPr>
          <w:color w:val="000000" w:themeColor="text1"/>
          <w:szCs w:val="24"/>
        </w:rPr>
        <w:t xml:space="preserve">the levels of </w:t>
      </w:r>
      <w:r w:rsidR="00147248" w:rsidRPr="006F5D71">
        <w:rPr>
          <w:color w:val="000000" w:themeColor="text1"/>
          <w:szCs w:val="24"/>
        </w:rPr>
        <w:t xml:space="preserve">foreign </w:t>
      </w:r>
      <w:r w:rsidRPr="006F5D71">
        <w:rPr>
          <w:color w:val="000000" w:themeColor="text1"/>
          <w:szCs w:val="24"/>
        </w:rPr>
        <w:t xml:space="preserve">investment </w:t>
      </w:r>
      <w:r w:rsidR="00236E35" w:rsidRPr="006F5D71">
        <w:rPr>
          <w:color w:val="000000" w:themeColor="text1"/>
          <w:szCs w:val="24"/>
        </w:rPr>
        <w:t>in</w:t>
      </w:r>
      <w:r w:rsidR="00147248" w:rsidRPr="006F5D71">
        <w:rPr>
          <w:color w:val="000000" w:themeColor="text1"/>
          <w:szCs w:val="24"/>
        </w:rPr>
        <w:t xml:space="preserve"> host countries </w:t>
      </w:r>
      <w:r w:rsidRPr="006F5D71">
        <w:rPr>
          <w:color w:val="000000" w:themeColor="text1"/>
          <w:szCs w:val="24"/>
        </w:rPr>
        <w:t>(</w:t>
      </w:r>
      <w:proofErr w:type="spellStart"/>
      <w:r w:rsidR="004A69EE" w:rsidRPr="006F5D71">
        <w:rPr>
          <w:color w:val="000000" w:themeColor="text1"/>
          <w:szCs w:val="24"/>
        </w:rPr>
        <w:t>Gregoric</w:t>
      </w:r>
      <w:proofErr w:type="spellEnd"/>
      <w:r w:rsidR="004A69EE" w:rsidRPr="006F5D71">
        <w:rPr>
          <w:color w:val="000000" w:themeColor="text1"/>
          <w:szCs w:val="24"/>
        </w:rPr>
        <w:t xml:space="preserve"> et al., 2021; </w:t>
      </w:r>
      <w:r w:rsidR="00E84E63" w:rsidRPr="006F5D71">
        <w:rPr>
          <w:color w:val="000000" w:themeColor="text1"/>
          <w:szCs w:val="24"/>
        </w:rPr>
        <w:t xml:space="preserve">Yi, Zhan, Zhang, &amp; Zhao, 2021; </w:t>
      </w:r>
      <w:r w:rsidR="004A69EE" w:rsidRPr="006F5D71">
        <w:rPr>
          <w:color w:val="000000" w:themeColor="text1"/>
          <w:szCs w:val="24"/>
        </w:rPr>
        <w:t>Estrin et al. 2018</w:t>
      </w:r>
      <w:r w:rsidR="00CB519B">
        <w:rPr>
          <w:color w:val="000000" w:themeColor="text1"/>
          <w:szCs w:val="24"/>
        </w:rPr>
        <w:t>b</w:t>
      </w:r>
      <w:r w:rsidR="004A69EE" w:rsidRPr="006F5D71">
        <w:rPr>
          <w:color w:val="000000" w:themeColor="text1"/>
          <w:szCs w:val="24"/>
        </w:rPr>
        <w:t xml:space="preserve">; </w:t>
      </w:r>
      <w:r w:rsidRPr="006F5D71">
        <w:rPr>
          <w:color w:val="000000" w:themeColor="text1"/>
          <w:szCs w:val="24"/>
        </w:rPr>
        <w:t xml:space="preserve">Shukla and Cantwell, 2018; </w:t>
      </w:r>
      <w:proofErr w:type="spellStart"/>
      <w:r w:rsidRPr="006F5D71">
        <w:rPr>
          <w:color w:val="000000" w:themeColor="text1"/>
          <w:szCs w:val="24"/>
        </w:rPr>
        <w:t>Foad</w:t>
      </w:r>
      <w:proofErr w:type="spellEnd"/>
      <w:r w:rsidRPr="006F5D71">
        <w:rPr>
          <w:color w:val="000000" w:themeColor="text1"/>
          <w:szCs w:val="24"/>
        </w:rPr>
        <w:t>, 2012</w:t>
      </w:r>
      <w:r w:rsidR="00942E6F" w:rsidRPr="006F5D71">
        <w:rPr>
          <w:color w:val="000000" w:themeColor="text1"/>
          <w:szCs w:val="24"/>
        </w:rPr>
        <w:t>; Zamir and Saeed, 2020</w:t>
      </w:r>
      <w:r w:rsidRPr="006F5D71">
        <w:rPr>
          <w:color w:val="000000" w:themeColor="text1"/>
          <w:szCs w:val="24"/>
        </w:rPr>
        <w:t xml:space="preserve">) and corporate strategic considerations that enhance </w:t>
      </w:r>
      <w:r w:rsidR="004C7443" w:rsidRPr="006F5D71">
        <w:rPr>
          <w:color w:val="000000" w:themeColor="text1"/>
          <w:szCs w:val="24"/>
        </w:rPr>
        <w:t>resource commitment to migrants’</w:t>
      </w:r>
      <w:r w:rsidRPr="006F5D71">
        <w:rPr>
          <w:color w:val="000000" w:themeColor="text1"/>
          <w:szCs w:val="24"/>
        </w:rPr>
        <w:t xml:space="preserve"> home countries (Schulte, 2008). The economic significance of the immigrant diaspora </w:t>
      </w:r>
      <w:r w:rsidR="00147248" w:rsidRPr="006F5D71">
        <w:rPr>
          <w:color w:val="000000" w:themeColor="text1"/>
          <w:szCs w:val="24"/>
        </w:rPr>
        <w:t xml:space="preserve">is evident by </w:t>
      </w:r>
      <w:r w:rsidRPr="006F5D71">
        <w:rPr>
          <w:color w:val="000000" w:themeColor="text1"/>
          <w:szCs w:val="24"/>
        </w:rPr>
        <w:t xml:space="preserve">their sheer presence in a country. </w:t>
      </w:r>
      <w:r w:rsidR="006552CB" w:rsidRPr="006F5D71">
        <w:rPr>
          <w:color w:val="000000" w:themeColor="text1"/>
          <w:szCs w:val="24"/>
        </w:rPr>
        <w:t>A</w:t>
      </w:r>
      <w:r w:rsidRPr="006F5D71">
        <w:rPr>
          <w:color w:val="000000" w:themeColor="text1"/>
          <w:szCs w:val="24"/>
        </w:rPr>
        <w:t xml:space="preserve">ccording to </w:t>
      </w:r>
      <w:r w:rsidR="004551D3">
        <w:rPr>
          <w:color w:val="000000" w:themeColor="text1"/>
          <w:szCs w:val="24"/>
        </w:rPr>
        <w:t xml:space="preserve">the </w:t>
      </w:r>
      <w:r w:rsidRPr="006F5D71">
        <w:rPr>
          <w:color w:val="000000" w:themeColor="text1"/>
          <w:szCs w:val="24"/>
        </w:rPr>
        <w:t xml:space="preserve">US Migration Policy Institute </w:t>
      </w:r>
      <w:r w:rsidR="00147248" w:rsidRPr="006F5D71">
        <w:rPr>
          <w:color w:val="000000" w:themeColor="text1"/>
          <w:szCs w:val="24"/>
        </w:rPr>
        <w:t>(</w:t>
      </w:r>
      <w:r w:rsidRPr="006F5D71">
        <w:rPr>
          <w:color w:val="000000" w:themeColor="text1"/>
          <w:szCs w:val="24"/>
        </w:rPr>
        <w:t>2019</w:t>
      </w:r>
      <w:r w:rsidR="00147248" w:rsidRPr="006F5D71">
        <w:rPr>
          <w:color w:val="000000" w:themeColor="text1"/>
          <w:szCs w:val="24"/>
        </w:rPr>
        <w:t>)</w:t>
      </w:r>
      <w:r w:rsidRPr="006F5D71">
        <w:rPr>
          <w:color w:val="000000" w:themeColor="text1"/>
          <w:szCs w:val="24"/>
        </w:rPr>
        <w:t xml:space="preserve">, the immigrant population in the US increased by 1.5 million (2.6%), reaching 90 million, </w:t>
      </w:r>
      <w:r w:rsidR="006552CB" w:rsidRPr="006F5D71">
        <w:rPr>
          <w:color w:val="000000" w:themeColor="text1"/>
          <w:szCs w:val="24"/>
        </w:rPr>
        <w:t>amounting to</w:t>
      </w:r>
      <w:r w:rsidRPr="006F5D71">
        <w:rPr>
          <w:color w:val="000000" w:themeColor="text1"/>
          <w:szCs w:val="24"/>
        </w:rPr>
        <w:t xml:space="preserve"> 28% of the overall US population (USMPI, 2019). </w:t>
      </w:r>
      <w:r w:rsidR="006552CB" w:rsidRPr="006F5D71">
        <w:rPr>
          <w:color w:val="000000" w:themeColor="text1"/>
          <w:szCs w:val="24"/>
        </w:rPr>
        <w:t>Expatriates</w:t>
      </w:r>
      <w:r w:rsidR="000817FC" w:rsidRPr="006F5D71">
        <w:rPr>
          <w:color w:val="000000" w:themeColor="text1"/>
          <w:szCs w:val="24"/>
        </w:rPr>
        <w:t xml:space="preserve"> are </w:t>
      </w:r>
      <w:r w:rsidR="004551D3">
        <w:rPr>
          <w:color w:val="000000" w:themeColor="text1"/>
          <w:szCs w:val="24"/>
        </w:rPr>
        <w:t xml:space="preserve">a </w:t>
      </w:r>
      <w:r w:rsidR="000817FC" w:rsidRPr="006F5D71">
        <w:rPr>
          <w:color w:val="000000" w:themeColor="text1"/>
          <w:szCs w:val="24"/>
        </w:rPr>
        <w:t>ready consumer market</w:t>
      </w:r>
      <w:r w:rsidRPr="006F5D71">
        <w:rPr>
          <w:color w:val="000000" w:themeColor="text1"/>
          <w:szCs w:val="24"/>
        </w:rPr>
        <w:t xml:space="preserve"> that may play an important role in the growth of EMNCs in host markets (Kumar and Steenkamp, 2013) </w:t>
      </w:r>
      <w:r w:rsidR="00A875A6" w:rsidRPr="006F5D71">
        <w:rPr>
          <w:color w:val="000000" w:themeColor="text1"/>
          <w:szCs w:val="24"/>
        </w:rPr>
        <w:t>since</w:t>
      </w:r>
      <w:r w:rsidRPr="006F5D71">
        <w:rPr>
          <w:color w:val="000000" w:themeColor="text1"/>
          <w:szCs w:val="24"/>
        </w:rPr>
        <w:t xml:space="preserve"> immigrants generally try to maintain their cultural distinctiveness (identity) in the host culture by clinging to their lifestyle, values, products, and brands. </w:t>
      </w:r>
      <w:r w:rsidR="006552CB" w:rsidRPr="006F5D71">
        <w:rPr>
          <w:color w:val="000000" w:themeColor="text1"/>
          <w:szCs w:val="24"/>
        </w:rPr>
        <w:t>The</w:t>
      </w:r>
      <w:r w:rsidR="00A875A6" w:rsidRPr="006F5D71">
        <w:rPr>
          <w:color w:val="000000" w:themeColor="text1"/>
          <w:szCs w:val="24"/>
        </w:rPr>
        <w:t xml:space="preserve"> presence of a large </w:t>
      </w:r>
      <w:r w:rsidRPr="006F5D71">
        <w:rPr>
          <w:color w:val="000000" w:themeColor="text1"/>
          <w:szCs w:val="24"/>
        </w:rPr>
        <w:t>immigrant</w:t>
      </w:r>
      <w:r w:rsidR="00A875A6" w:rsidRPr="006F5D71">
        <w:rPr>
          <w:color w:val="000000" w:themeColor="text1"/>
          <w:szCs w:val="24"/>
        </w:rPr>
        <w:t xml:space="preserve"> population from the home country</w:t>
      </w:r>
      <w:r w:rsidRPr="006F5D71">
        <w:rPr>
          <w:color w:val="000000" w:themeColor="text1"/>
          <w:szCs w:val="24"/>
        </w:rPr>
        <w:t xml:space="preserve"> </w:t>
      </w:r>
      <w:r w:rsidR="00F06452" w:rsidRPr="006F5D71">
        <w:rPr>
          <w:color w:val="000000" w:themeColor="text1"/>
          <w:szCs w:val="24"/>
        </w:rPr>
        <w:t>is</w:t>
      </w:r>
      <w:r w:rsidRPr="006F5D71">
        <w:rPr>
          <w:color w:val="000000" w:themeColor="text1"/>
          <w:szCs w:val="24"/>
        </w:rPr>
        <w:t xml:space="preserve"> a good signal </w:t>
      </w:r>
      <w:r w:rsidR="006552CB" w:rsidRPr="006F5D71">
        <w:rPr>
          <w:color w:val="000000" w:themeColor="text1"/>
          <w:szCs w:val="24"/>
        </w:rPr>
        <w:t xml:space="preserve">of </w:t>
      </w:r>
      <w:r w:rsidRPr="006F5D71">
        <w:rPr>
          <w:color w:val="000000" w:themeColor="text1"/>
          <w:szCs w:val="24"/>
        </w:rPr>
        <w:t>investment opportunities in foreign locations</w:t>
      </w:r>
      <w:r w:rsidR="006552CB" w:rsidRPr="006F5D71">
        <w:rPr>
          <w:color w:val="000000" w:themeColor="text1"/>
          <w:szCs w:val="24"/>
        </w:rPr>
        <w:t xml:space="preserve"> for many EMNCs</w:t>
      </w:r>
      <w:r w:rsidRPr="006F5D71">
        <w:rPr>
          <w:color w:val="000000" w:themeColor="text1"/>
          <w:szCs w:val="24"/>
        </w:rPr>
        <w:t>.</w:t>
      </w:r>
      <w:r w:rsidR="00F72D31">
        <w:rPr>
          <w:color w:val="000000" w:themeColor="text1"/>
          <w:szCs w:val="24"/>
        </w:rPr>
        <w:t xml:space="preserve"> </w:t>
      </w:r>
      <w:r w:rsidR="00581F01" w:rsidRPr="006F5D71">
        <w:rPr>
          <w:color w:val="000000" w:themeColor="text1"/>
          <w:szCs w:val="24"/>
        </w:rPr>
        <w:t>Estrin et al. (2018</w:t>
      </w:r>
      <w:r w:rsidR="00CB519B">
        <w:rPr>
          <w:color w:val="000000" w:themeColor="text1"/>
          <w:szCs w:val="24"/>
        </w:rPr>
        <w:t>a</w:t>
      </w:r>
      <w:r w:rsidR="00581F01" w:rsidRPr="006F5D71">
        <w:rPr>
          <w:color w:val="000000" w:themeColor="text1"/>
          <w:szCs w:val="24"/>
        </w:rPr>
        <w:t>) find that the destination country considerations of EMNCs are different from multinationals of advanced countries</w:t>
      </w:r>
      <w:r w:rsidR="006552CB" w:rsidRPr="006F5D71">
        <w:rPr>
          <w:color w:val="000000" w:themeColor="text1"/>
          <w:szCs w:val="24"/>
        </w:rPr>
        <w:t xml:space="preserve"> and that </w:t>
      </w:r>
      <w:r w:rsidR="00581F01" w:rsidRPr="006F5D71">
        <w:rPr>
          <w:color w:val="000000" w:themeColor="text1"/>
          <w:szCs w:val="24"/>
        </w:rPr>
        <w:t xml:space="preserve">EMNCs are more attracted to countries with a larger migrant diaspora. Drawing on the signaling perspective, </w:t>
      </w:r>
      <w:proofErr w:type="spellStart"/>
      <w:r w:rsidR="00581F01" w:rsidRPr="006F5D71">
        <w:rPr>
          <w:color w:val="000000" w:themeColor="text1"/>
          <w:szCs w:val="24"/>
        </w:rPr>
        <w:t>Gregoric</w:t>
      </w:r>
      <w:proofErr w:type="spellEnd"/>
      <w:r w:rsidR="00581F01" w:rsidRPr="006F5D71">
        <w:rPr>
          <w:color w:val="000000" w:themeColor="text1"/>
          <w:szCs w:val="24"/>
        </w:rPr>
        <w:t xml:space="preserve"> et al. (2021) suggest that the presence of immigrants in firms constitutes a reliable third party signal of EMNCs’ </w:t>
      </w:r>
      <w:r w:rsidR="00147248" w:rsidRPr="006F5D71">
        <w:rPr>
          <w:color w:val="000000" w:themeColor="text1"/>
          <w:szCs w:val="24"/>
        </w:rPr>
        <w:t>trustworthiness, which</w:t>
      </w:r>
      <w:r w:rsidR="00581F01" w:rsidRPr="006F5D71">
        <w:rPr>
          <w:color w:val="000000" w:themeColor="text1"/>
          <w:szCs w:val="24"/>
        </w:rPr>
        <w:t xml:space="preserve"> helps them to access advanced technology in host markets. </w:t>
      </w:r>
    </w:p>
    <w:p w14:paraId="6DB5F6E7" w14:textId="77777777" w:rsidR="00147248" w:rsidRPr="006F5D71" w:rsidRDefault="00BD1ACC" w:rsidP="00C52051">
      <w:pPr>
        <w:pStyle w:val="NoSpacing"/>
        <w:spacing w:line="360" w:lineRule="auto"/>
        <w:ind w:firstLine="720"/>
        <w:jc w:val="both"/>
        <w:rPr>
          <w:color w:val="000000" w:themeColor="text1"/>
          <w:szCs w:val="24"/>
        </w:rPr>
      </w:pPr>
      <w:r w:rsidRPr="006F5D71">
        <w:rPr>
          <w:color w:val="000000" w:themeColor="text1"/>
          <w:szCs w:val="24"/>
        </w:rPr>
        <w:t>Numerous EMNCs have targeted their home country’s diaspora as a beach</w:t>
      </w:r>
      <w:r w:rsidR="00856D9E">
        <w:rPr>
          <w:color w:val="000000" w:themeColor="text1"/>
          <w:szCs w:val="24"/>
        </w:rPr>
        <w:t>-</w:t>
      </w:r>
      <w:r w:rsidRPr="006F5D71">
        <w:rPr>
          <w:color w:val="000000" w:themeColor="text1"/>
          <w:szCs w:val="24"/>
        </w:rPr>
        <w:t xml:space="preserve">head to enter a new market. For example, Manila-based fast-food firm, Jollibee, targeted affluent Filipinos in California and used them as a </w:t>
      </w:r>
      <w:r w:rsidR="00E02954" w:rsidRPr="006F5D71">
        <w:rPr>
          <w:color w:val="000000" w:themeColor="text1"/>
          <w:szCs w:val="24"/>
        </w:rPr>
        <w:t>stepping</w:t>
      </w:r>
      <w:r w:rsidR="00856D9E">
        <w:rPr>
          <w:color w:val="000000" w:themeColor="text1"/>
          <w:szCs w:val="24"/>
        </w:rPr>
        <w:t>-</w:t>
      </w:r>
      <w:r w:rsidR="00E02954" w:rsidRPr="006F5D71">
        <w:rPr>
          <w:color w:val="000000" w:themeColor="text1"/>
          <w:szCs w:val="24"/>
        </w:rPr>
        <w:t>stone</w:t>
      </w:r>
      <w:r w:rsidRPr="006F5D71">
        <w:rPr>
          <w:color w:val="000000" w:themeColor="text1"/>
          <w:szCs w:val="24"/>
        </w:rPr>
        <w:t xml:space="preserve"> for expanding into the rest of the country</w:t>
      </w:r>
      <w:r w:rsidR="00321039" w:rsidRPr="006F5D71">
        <w:rPr>
          <w:color w:val="000000" w:themeColor="text1"/>
          <w:szCs w:val="24"/>
        </w:rPr>
        <w:t xml:space="preserve"> (</w:t>
      </w:r>
      <w:r w:rsidR="004A5217" w:rsidRPr="006F5D71">
        <w:rPr>
          <w:color w:val="000000" w:themeColor="text1"/>
          <w:szCs w:val="24"/>
        </w:rPr>
        <w:t>Kumar, &amp; Steenkamp, 2013</w:t>
      </w:r>
      <w:r w:rsidR="00321039" w:rsidRPr="006F5D71">
        <w:rPr>
          <w:color w:val="000000" w:themeColor="text1"/>
          <w:szCs w:val="24"/>
        </w:rPr>
        <w:t>)</w:t>
      </w:r>
      <w:r w:rsidRPr="006F5D71">
        <w:rPr>
          <w:color w:val="000000" w:themeColor="text1"/>
          <w:szCs w:val="24"/>
        </w:rPr>
        <w:t xml:space="preserve">. Similarly, ICICI, an Indian bank, used the Indian diaspora to internationalize by opening foreign branches in the Middle East, where a large number of Indians live. Subsequently, they opened branches in other locations having a large Indian diaspora such as </w:t>
      </w:r>
      <w:r w:rsidR="00856D9E">
        <w:rPr>
          <w:color w:val="000000" w:themeColor="text1"/>
          <w:szCs w:val="24"/>
        </w:rPr>
        <w:t xml:space="preserve">the </w:t>
      </w:r>
      <w:r w:rsidRPr="006F5D71">
        <w:rPr>
          <w:color w:val="000000" w:themeColor="text1"/>
          <w:szCs w:val="24"/>
        </w:rPr>
        <w:t xml:space="preserve">UK, Malaysia, South Africa, and Singapore. </w:t>
      </w:r>
      <w:r w:rsidR="00321039" w:rsidRPr="006F5D71">
        <w:rPr>
          <w:color w:val="000000" w:themeColor="text1"/>
          <w:szCs w:val="24"/>
        </w:rPr>
        <w:t>(</w:t>
      </w:r>
      <w:r w:rsidR="004A5217" w:rsidRPr="006F5D71">
        <w:rPr>
          <w:color w:val="000000" w:themeColor="text1"/>
          <w:szCs w:val="24"/>
        </w:rPr>
        <w:t>Kumar, &amp; Steenkamp, 2013</w:t>
      </w:r>
      <w:r w:rsidR="00321039" w:rsidRPr="006F5D71">
        <w:rPr>
          <w:color w:val="000000" w:themeColor="text1"/>
          <w:szCs w:val="24"/>
        </w:rPr>
        <w:t>)</w:t>
      </w:r>
      <w:r w:rsidRPr="006F5D71">
        <w:rPr>
          <w:color w:val="000000" w:themeColor="text1"/>
          <w:szCs w:val="24"/>
        </w:rPr>
        <w:t xml:space="preserve">. In another example, </w:t>
      </w:r>
      <w:proofErr w:type="spellStart"/>
      <w:r w:rsidRPr="006F5D71">
        <w:rPr>
          <w:color w:val="000000" w:themeColor="text1"/>
          <w:szCs w:val="24"/>
        </w:rPr>
        <w:t>Tecate</w:t>
      </w:r>
      <w:proofErr w:type="spellEnd"/>
      <w:r w:rsidRPr="006F5D71">
        <w:rPr>
          <w:color w:val="000000" w:themeColor="text1"/>
          <w:szCs w:val="24"/>
        </w:rPr>
        <w:t xml:space="preserve">, a Mexican beer brand produced by Moctezuma brewery established its US operations by reaching out to Mexican-Americans. With its distinctive packaging and targeted marketing, </w:t>
      </w:r>
      <w:proofErr w:type="spellStart"/>
      <w:r w:rsidRPr="006F5D71">
        <w:rPr>
          <w:color w:val="000000" w:themeColor="text1"/>
          <w:szCs w:val="24"/>
        </w:rPr>
        <w:t>Tecate</w:t>
      </w:r>
      <w:proofErr w:type="spellEnd"/>
      <w:r w:rsidRPr="006F5D71">
        <w:rPr>
          <w:color w:val="000000" w:themeColor="text1"/>
          <w:szCs w:val="24"/>
        </w:rPr>
        <w:t xml:space="preserve"> became the number one imported beer among Hispanic-Americans and the fifth-largest imported beer by volume in the US</w:t>
      </w:r>
      <w:r w:rsidR="00321039" w:rsidRPr="006F5D71">
        <w:rPr>
          <w:color w:val="000000" w:themeColor="text1"/>
          <w:szCs w:val="24"/>
        </w:rPr>
        <w:t xml:space="preserve"> (</w:t>
      </w:r>
      <w:r w:rsidR="00DB1C76" w:rsidRPr="006F5D71">
        <w:rPr>
          <w:color w:val="000000" w:themeColor="text1"/>
          <w:szCs w:val="24"/>
        </w:rPr>
        <w:t xml:space="preserve">Wentz, &amp; </w:t>
      </w:r>
      <w:proofErr w:type="spellStart"/>
      <w:r w:rsidR="00DB1C76" w:rsidRPr="006F5D71">
        <w:rPr>
          <w:color w:val="000000" w:themeColor="text1"/>
          <w:szCs w:val="24"/>
        </w:rPr>
        <w:t>Lwentz</w:t>
      </w:r>
      <w:proofErr w:type="spellEnd"/>
      <w:r w:rsidR="00DB1C76" w:rsidRPr="006F5D71">
        <w:rPr>
          <w:color w:val="000000" w:themeColor="text1"/>
          <w:szCs w:val="24"/>
        </w:rPr>
        <w:t>. 2009</w:t>
      </w:r>
      <w:r w:rsidR="00321039" w:rsidRPr="006F5D71">
        <w:rPr>
          <w:color w:val="000000" w:themeColor="text1"/>
          <w:szCs w:val="24"/>
        </w:rPr>
        <w:t>)</w:t>
      </w:r>
      <w:r w:rsidRPr="006F5D71">
        <w:rPr>
          <w:color w:val="000000" w:themeColor="text1"/>
          <w:szCs w:val="24"/>
        </w:rPr>
        <w:t>. Taken together, the</w:t>
      </w:r>
      <w:r w:rsidR="006552CB" w:rsidRPr="006F5D71">
        <w:rPr>
          <w:color w:val="000000" w:themeColor="text1"/>
          <w:szCs w:val="24"/>
        </w:rPr>
        <w:t>se examples demonstrate how the</w:t>
      </w:r>
      <w:r w:rsidRPr="006F5D71">
        <w:rPr>
          <w:color w:val="000000" w:themeColor="text1"/>
          <w:szCs w:val="24"/>
        </w:rPr>
        <w:t xml:space="preserve"> diasp</w:t>
      </w:r>
      <w:r w:rsidR="000817FC" w:rsidRPr="006F5D71">
        <w:rPr>
          <w:color w:val="000000" w:themeColor="text1"/>
          <w:szCs w:val="24"/>
        </w:rPr>
        <w:t>ora community serves as a ready</w:t>
      </w:r>
      <w:r w:rsidRPr="006F5D71">
        <w:rPr>
          <w:color w:val="000000" w:themeColor="text1"/>
          <w:szCs w:val="24"/>
        </w:rPr>
        <w:t xml:space="preserve"> market for EMNCs</w:t>
      </w:r>
      <w:r w:rsidR="00147248" w:rsidRPr="006F5D71">
        <w:rPr>
          <w:color w:val="000000" w:themeColor="text1"/>
          <w:szCs w:val="24"/>
        </w:rPr>
        <w:t xml:space="preserve">, and </w:t>
      </w:r>
      <w:r w:rsidRPr="006F5D71">
        <w:rPr>
          <w:color w:val="000000" w:themeColor="text1"/>
          <w:szCs w:val="24"/>
        </w:rPr>
        <w:t xml:space="preserve">has a direct positive impact on </w:t>
      </w:r>
      <w:r w:rsidR="00856D9E">
        <w:rPr>
          <w:color w:val="000000" w:themeColor="text1"/>
          <w:szCs w:val="24"/>
        </w:rPr>
        <w:t xml:space="preserve">a </w:t>
      </w:r>
      <w:r w:rsidRPr="006F5D71">
        <w:rPr>
          <w:color w:val="000000" w:themeColor="text1"/>
          <w:szCs w:val="24"/>
        </w:rPr>
        <w:t>firm’s profitability and survival.</w:t>
      </w:r>
      <w:r w:rsidR="000817FC" w:rsidRPr="006F5D71">
        <w:rPr>
          <w:color w:val="000000" w:themeColor="text1"/>
          <w:szCs w:val="24"/>
        </w:rPr>
        <w:t xml:space="preserve"> </w:t>
      </w:r>
    </w:p>
    <w:p w14:paraId="78CDF42D" w14:textId="77777777" w:rsidR="00557C49" w:rsidRPr="006F5D71" w:rsidRDefault="00147248" w:rsidP="00C52051">
      <w:pPr>
        <w:pStyle w:val="NoSpacing"/>
        <w:spacing w:line="360" w:lineRule="auto"/>
        <w:ind w:firstLine="720"/>
        <w:jc w:val="both"/>
        <w:rPr>
          <w:color w:val="000000" w:themeColor="text1"/>
          <w:szCs w:val="24"/>
        </w:rPr>
      </w:pPr>
      <w:r w:rsidRPr="006F5D71">
        <w:rPr>
          <w:color w:val="000000" w:themeColor="text1"/>
          <w:szCs w:val="24"/>
        </w:rPr>
        <w:t>At the same time,</w:t>
      </w:r>
      <w:r w:rsidR="0033279B" w:rsidRPr="006F5D71">
        <w:rPr>
          <w:color w:val="000000" w:themeColor="text1"/>
          <w:szCs w:val="24"/>
        </w:rPr>
        <w:t xml:space="preserve"> i</w:t>
      </w:r>
      <w:r w:rsidR="00A8745C" w:rsidRPr="006F5D71">
        <w:rPr>
          <w:color w:val="000000" w:themeColor="text1"/>
          <w:szCs w:val="24"/>
        </w:rPr>
        <w:t>t is important to note</w:t>
      </w:r>
      <w:r w:rsidR="000817FC" w:rsidRPr="006F5D71">
        <w:rPr>
          <w:color w:val="000000" w:themeColor="text1"/>
          <w:szCs w:val="24"/>
        </w:rPr>
        <w:t xml:space="preserve"> that the</w:t>
      </w:r>
      <w:r w:rsidR="0033279B" w:rsidRPr="006F5D71">
        <w:rPr>
          <w:color w:val="000000" w:themeColor="text1"/>
          <w:szCs w:val="24"/>
        </w:rPr>
        <w:t xml:space="preserve"> Indian and Chinese diaspora </w:t>
      </w:r>
      <w:r w:rsidR="006552CB" w:rsidRPr="006F5D71">
        <w:rPr>
          <w:color w:val="000000" w:themeColor="text1"/>
          <w:szCs w:val="24"/>
        </w:rPr>
        <w:t>are a larger share</w:t>
      </w:r>
      <w:r w:rsidR="0033279B" w:rsidRPr="006F5D71">
        <w:rPr>
          <w:color w:val="000000" w:themeColor="text1"/>
          <w:szCs w:val="24"/>
        </w:rPr>
        <w:t xml:space="preserve"> of </w:t>
      </w:r>
      <w:r w:rsidR="00856D9E">
        <w:rPr>
          <w:color w:val="000000" w:themeColor="text1"/>
          <w:szCs w:val="24"/>
        </w:rPr>
        <w:t xml:space="preserve">a </w:t>
      </w:r>
      <w:r w:rsidR="0033279B" w:rsidRPr="006F5D71">
        <w:rPr>
          <w:color w:val="000000" w:themeColor="text1"/>
          <w:szCs w:val="24"/>
        </w:rPr>
        <w:t>host country’s population in South</w:t>
      </w:r>
      <w:r w:rsidR="00690728" w:rsidRPr="006F5D71">
        <w:rPr>
          <w:color w:val="000000" w:themeColor="text1"/>
          <w:szCs w:val="24"/>
        </w:rPr>
        <w:t xml:space="preserve">ern </w:t>
      </w:r>
      <w:r w:rsidRPr="006F5D71">
        <w:rPr>
          <w:color w:val="000000" w:themeColor="text1"/>
          <w:szCs w:val="24"/>
        </w:rPr>
        <w:t>locations</w:t>
      </w:r>
      <w:r w:rsidR="0033279B" w:rsidRPr="006F5D71">
        <w:rPr>
          <w:color w:val="000000" w:themeColor="text1"/>
          <w:szCs w:val="24"/>
        </w:rPr>
        <w:t xml:space="preserve"> (mainly Asian and African </w:t>
      </w:r>
      <w:r w:rsidR="0033279B" w:rsidRPr="006F5D71">
        <w:rPr>
          <w:color w:val="000000" w:themeColor="text1"/>
          <w:szCs w:val="24"/>
        </w:rPr>
        <w:lastRenderedPageBreak/>
        <w:t>economies) compared to North</w:t>
      </w:r>
      <w:r w:rsidR="00690728" w:rsidRPr="006F5D71">
        <w:rPr>
          <w:color w:val="000000" w:themeColor="text1"/>
          <w:szCs w:val="24"/>
        </w:rPr>
        <w:t xml:space="preserve">ern </w:t>
      </w:r>
      <w:r w:rsidR="006552CB" w:rsidRPr="006F5D71">
        <w:rPr>
          <w:color w:val="000000" w:themeColor="text1"/>
          <w:szCs w:val="24"/>
        </w:rPr>
        <w:t>locations</w:t>
      </w:r>
      <w:r w:rsidR="0033279B" w:rsidRPr="006F5D71">
        <w:rPr>
          <w:color w:val="000000" w:themeColor="text1"/>
          <w:szCs w:val="24"/>
        </w:rPr>
        <w:t xml:space="preserve"> (</w:t>
      </w:r>
      <w:r w:rsidR="00C52051" w:rsidRPr="006F5D71">
        <w:rPr>
          <w:color w:val="000000" w:themeColor="text1"/>
          <w:szCs w:val="24"/>
        </w:rPr>
        <w:t xml:space="preserve">Indian Ministry of External Affairs, 2018; </w:t>
      </w:r>
      <w:proofErr w:type="spellStart"/>
      <w:r w:rsidR="000517C8" w:rsidRPr="006F5D71">
        <w:rPr>
          <w:color w:val="000000" w:themeColor="text1"/>
          <w:szCs w:val="24"/>
        </w:rPr>
        <w:t>Hodzi</w:t>
      </w:r>
      <w:proofErr w:type="spellEnd"/>
      <w:r w:rsidR="000517C8" w:rsidRPr="006F5D71">
        <w:rPr>
          <w:color w:val="000000" w:themeColor="text1"/>
          <w:szCs w:val="24"/>
        </w:rPr>
        <w:t xml:space="preserve">, 2019; </w:t>
      </w:r>
      <w:proofErr w:type="spellStart"/>
      <w:r w:rsidR="000517C8" w:rsidRPr="006F5D71">
        <w:rPr>
          <w:color w:val="000000" w:themeColor="text1"/>
          <w:szCs w:val="24"/>
        </w:rPr>
        <w:t>Textor</w:t>
      </w:r>
      <w:proofErr w:type="spellEnd"/>
      <w:r w:rsidR="000517C8" w:rsidRPr="006F5D71">
        <w:rPr>
          <w:color w:val="000000" w:themeColor="text1"/>
          <w:szCs w:val="24"/>
        </w:rPr>
        <w:t>, 2021</w:t>
      </w:r>
      <w:r w:rsidR="0033279B" w:rsidRPr="006F5D71">
        <w:rPr>
          <w:color w:val="000000" w:themeColor="text1"/>
          <w:szCs w:val="24"/>
        </w:rPr>
        <w:t>).</w:t>
      </w:r>
      <w:r w:rsidR="000817FC" w:rsidRPr="006F5D71">
        <w:rPr>
          <w:color w:val="000000" w:themeColor="text1"/>
          <w:szCs w:val="24"/>
        </w:rPr>
        <w:t xml:space="preserve"> </w:t>
      </w:r>
      <w:r w:rsidR="0033279B" w:rsidRPr="006F5D71">
        <w:rPr>
          <w:color w:val="000000" w:themeColor="text1"/>
          <w:szCs w:val="24"/>
        </w:rPr>
        <w:t>For example, Indian diaspora represents</w:t>
      </w:r>
      <w:r w:rsidR="00C642E6" w:rsidRPr="006F5D71">
        <w:rPr>
          <w:color w:val="000000" w:themeColor="text1"/>
          <w:szCs w:val="24"/>
        </w:rPr>
        <w:t xml:space="preserve"> 65</w:t>
      </w:r>
      <w:r w:rsidR="00A8745C" w:rsidRPr="006F5D71">
        <w:rPr>
          <w:color w:val="000000" w:themeColor="text1"/>
          <w:szCs w:val="24"/>
        </w:rPr>
        <w:t>% and 7</w:t>
      </w:r>
      <w:r w:rsidR="00557C49" w:rsidRPr="006F5D71">
        <w:rPr>
          <w:color w:val="000000" w:themeColor="text1"/>
          <w:szCs w:val="24"/>
        </w:rPr>
        <w:t>.4</w:t>
      </w:r>
      <w:r w:rsidR="00A8745C" w:rsidRPr="006F5D71">
        <w:rPr>
          <w:color w:val="000000" w:themeColor="text1"/>
          <w:szCs w:val="24"/>
        </w:rPr>
        <w:t>% of Mauritius</w:t>
      </w:r>
      <w:r w:rsidR="00C642E6" w:rsidRPr="006F5D71">
        <w:rPr>
          <w:color w:val="000000" w:themeColor="text1"/>
          <w:szCs w:val="24"/>
        </w:rPr>
        <w:t xml:space="preserve"> and Malaysian</w:t>
      </w:r>
      <w:r w:rsidR="00A8745C" w:rsidRPr="006F5D71">
        <w:rPr>
          <w:color w:val="000000" w:themeColor="text1"/>
          <w:szCs w:val="24"/>
        </w:rPr>
        <w:t xml:space="preserve"> total population, respectively</w:t>
      </w:r>
      <w:r w:rsidR="00F52463" w:rsidRPr="006F5D71">
        <w:rPr>
          <w:color w:val="000000" w:themeColor="text1"/>
          <w:szCs w:val="24"/>
        </w:rPr>
        <w:t>,</w:t>
      </w:r>
      <w:r w:rsidR="00A8745C" w:rsidRPr="006F5D71">
        <w:rPr>
          <w:color w:val="000000" w:themeColor="text1"/>
          <w:szCs w:val="24"/>
        </w:rPr>
        <w:t xml:space="preserve"> an</w:t>
      </w:r>
      <w:r w:rsidR="00557C49" w:rsidRPr="006F5D71">
        <w:rPr>
          <w:color w:val="000000" w:themeColor="text1"/>
          <w:szCs w:val="24"/>
        </w:rPr>
        <w:t>d 2.5</w:t>
      </w:r>
      <w:r w:rsidR="0033279B" w:rsidRPr="006F5D71">
        <w:rPr>
          <w:color w:val="000000" w:themeColor="text1"/>
          <w:szCs w:val="24"/>
        </w:rPr>
        <w:t>% of South African population,</w:t>
      </w:r>
      <w:r w:rsidR="00A8745C" w:rsidRPr="006F5D71">
        <w:rPr>
          <w:color w:val="000000" w:themeColor="text1"/>
          <w:szCs w:val="24"/>
        </w:rPr>
        <w:t xml:space="preserve"> </w:t>
      </w:r>
      <w:r w:rsidR="00690728" w:rsidRPr="006F5D71">
        <w:rPr>
          <w:color w:val="000000" w:themeColor="text1"/>
          <w:szCs w:val="24"/>
        </w:rPr>
        <w:t xml:space="preserve">with many immigrants having arrived </w:t>
      </w:r>
      <w:r w:rsidR="000817FC" w:rsidRPr="006F5D71">
        <w:rPr>
          <w:color w:val="000000" w:themeColor="text1"/>
          <w:szCs w:val="24"/>
        </w:rPr>
        <w:t xml:space="preserve">in the 19th century </w:t>
      </w:r>
      <w:r w:rsidR="00A8745C" w:rsidRPr="006F5D71">
        <w:rPr>
          <w:color w:val="000000" w:themeColor="text1"/>
          <w:szCs w:val="24"/>
        </w:rPr>
        <w:t>during</w:t>
      </w:r>
      <w:r w:rsidR="000817FC" w:rsidRPr="006F5D71">
        <w:rPr>
          <w:color w:val="000000" w:themeColor="text1"/>
          <w:szCs w:val="24"/>
        </w:rPr>
        <w:t xml:space="preserve"> British colonial </w:t>
      </w:r>
      <w:r w:rsidR="00690728" w:rsidRPr="006F5D71">
        <w:rPr>
          <w:color w:val="000000" w:themeColor="text1"/>
          <w:szCs w:val="24"/>
        </w:rPr>
        <w:t>rule</w:t>
      </w:r>
      <w:r w:rsidR="000817FC" w:rsidRPr="006F5D71">
        <w:rPr>
          <w:color w:val="000000" w:themeColor="text1"/>
          <w:szCs w:val="24"/>
        </w:rPr>
        <w:t>.</w:t>
      </w:r>
      <w:r w:rsidR="00A8745C" w:rsidRPr="006F5D71">
        <w:rPr>
          <w:color w:val="000000" w:themeColor="text1"/>
          <w:szCs w:val="24"/>
        </w:rPr>
        <w:t xml:space="preserve"> </w:t>
      </w:r>
      <w:r w:rsidR="00557C49" w:rsidRPr="006F5D71">
        <w:rPr>
          <w:color w:val="000000" w:themeColor="text1"/>
          <w:szCs w:val="24"/>
        </w:rPr>
        <w:t xml:space="preserve">In </w:t>
      </w:r>
      <w:r w:rsidR="004C7443" w:rsidRPr="006F5D71">
        <w:rPr>
          <w:color w:val="000000" w:themeColor="text1"/>
          <w:szCs w:val="24"/>
        </w:rPr>
        <w:t xml:space="preserve">the </w:t>
      </w:r>
      <w:r w:rsidR="00557C49" w:rsidRPr="006F5D71">
        <w:rPr>
          <w:color w:val="000000" w:themeColor="text1"/>
          <w:szCs w:val="24"/>
        </w:rPr>
        <w:t>Middle East, Indian diaspora represents 42% of Qatar, 23% of Saudi Arabia</w:t>
      </w:r>
      <w:r w:rsidR="00F52463" w:rsidRPr="006F5D71">
        <w:rPr>
          <w:color w:val="000000" w:themeColor="text1"/>
          <w:szCs w:val="24"/>
        </w:rPr>
        <w:t>,</w:t>
      </w:r>
      <w:r w:rsidR="00557C49" w:rsidRPr="006F5D71">
        <w:rPr>
          <w:color w:val="000000" w:themeColor="text1"/>
          <w:szCs w:val="24"/>
        </w:rPr>
        <w:t xml:space="preserve"> and 22.5% of Kuwait’s population. </w:t>
      </w:r>
      <w:r w:rsidR="00A8745C" w:rsidRPr="006F5D71">
        <w:rPr>
          <w:color w:val="000000" w:themeColor="text1"/>
          <w:szCs w:val="24"/>
        </w:rPr>
        <w:t>Similarly, the Chinese diaspora comprised 23.2% of the total population in Malaysia</w:t>
      </w:r>
      <w:r w:rsidR="00C642E6" w:rsidRPr="006F5D71">
        <w:rPr>
          <w:color w:val="000000" w:themeColor="text1"/>
          <w:szCs w:val="24"/>
        </w:rPr>
        <w:t>, 14% of Thailand,</w:t>
      </w:r>
      <w:r w:rsidR="00A8745C" w:rsidRPr="006F5D71">
        <w:rPr>
          <w:color w:val="000000" w:themeColor="text1"/>
          <w:szCs w:val="24"/>
        </w:rPr>
        <w:t xml:space="preserve"> </w:t>
      </w:r>
      <w:r w:rsidR="00C642E6" w:rsidRPr="006F5D71">
        <w:rPr>
          <w:color w:val="000000" w:themeColor="text1"/>
          <w:szCs w:val="24"/>
        </w:rPr>
        <w:t xml:space="preserve">10.3% of Brunei </w:t>
      </w:r>
      <w:r w:rsidR="00A8745C" w:rsidRPr="006F5D71">
        <w:rPr>
          <w:color w:val="000000" w:themeColor="text1"/>
          <w:szCs w:val="24"/>
        </w:rPr>
        <w:t>and 3.5% of the Indonesian population.</w:t>
      </w:r>
      <w:r w:rsidR="0033279B" w:rsidRPr="006F5D71">
        <w:rPr>
          <w:color w:val="000000" w:themeColor="text1"/>
          <w:szCs w:val="24"/>
        </w:rPr>
        <w:t xml:space="preserve"> In comparison,</w:t>
      </w:r>
      <w:r w:rsidR="00557C49" w:rsidRPr="006F5D71">
        <w:rPr>
          <w:color w:val="000000" w:themeColor="text1"/>
          <w:szCs w:val="24"/>
        </w:rPr>
        <w:t xml:space="preserve"> </w:t>
      </w:r>
      <w:r w:rsidR="00F52463" w:rsidRPr="006F5D71">
        <w:rPr>
          <w:color w:val="000000" w:themeColor="text1"/>
          <w:szCs w:val="24"/>
        </w:rPr>
        <w:t xml:space="preserve">the </w:t>
      </w:r>
      <w:r w:rsidR="00690728" w:rsidRPr="006F5D71">
        <w:rPr>
          <w:color w:val="000000" w:themeColor="text1"/>
          <w:szCs w:val="24"/>
        </w:rPr>
        <w:t>larg</w:t>
      </w:r>
      <w:r w:rsidR="00557C49" w:rsidRPr="006F5D71">
        <w:rPr>
          <w:color w:val="000000" w:themeColor="text1"/>
          <w:szCs w:val="24"/>
        </w:rPr>
        <w:t xml:space="preserve">est </w:t>
      </w:r>
      <w:r w:rsidR="00690728" w:rsidRPr="006F5D71">
        <w:rPr>
          <w:color w:val="000000" w:themeColor="text1"/>
          <w:szCs w:val="24"/>
        </w:rPr>
        <w:t xml:space="preserve">share </w:t>
      </w:r>
      <w:r w:rsidR="00557C49" w:rsidRPr="006F5D71">
        <w:rPr>
          <w:color w:val="000000" w:themeColor="text1"/>
          <w:szCs w:val="24"/>
        </w:rPr>
        <w:t xml:space="preserve">of </w:t>
      </w:r>
      <w:r w:rsidR="00690728" w:rsidRPr="006F5D71">
        <w:rPr>
          <w:color w:val="000000" w:themeColor="text1"/>
          <w:szCs w:val="24"/>
        </w:rPr>
        <w:t xml:space="preserve">the </w:t>
      </w:r>
      <w:r w:rsidR="00557C49" w:rsidRPr="006F5D71">
        <w:rPr>
          <w:color w:val="000000" w:themeColor="text1"/>
          <w:szCs w:val="24"/>
        </w:rPr>
        <w:t xml:space="preserve">Indian and Chinese diaspora in developed countries is in Canada (4%) and Australia (5.1%), respectively. </w:t>
      </w:r>
    </w:p>
    <w:p w14:paraId="101D50B8" w14:textId="77777777" w:rsidR="00BD1ACC" w:rsidRPr="006F5D71" w:rsidRDefault="0000040C" w:rsidP="008B0E26">
      <w:pPr>
        <w:pStyle w:val="NoSpacing"/>
        <w:spacing w:after="240" w:line="360" w:lineRule="auto"/>
        <w:ind w:firstLine="720"/>
        <w:jc w:val="both"/>
        <w:rPr>
          <w:color w:val="000000" w:themeColor="text1"/>
          <w:szCs w:val="24"/>
        </w:rPr>
      </w:pPr>
      <w:r w:rsidRPr="006F5D71">
        <w:rPr>
          <w:color w:val="000000" w:themeColor="text1"/>
          <w:szCs w:val="24"/>
        </w:rPr>
        <w:t>Viewing from the real option</w:t>
      </w:r>
      <w:r w:rsidR="00F52463" w:rsidRPr="006F5D71">
        <w:rPr>
          <w:color w:val="000000" w:themeColor="text1"/>
          <w:szCs w:val="24"/>
        </w:rPr>
        <w:t>s</w:t>
      </w:r>
      <w:r w:rsidRPr="006F5D71">
        <w:rPr>
          <w:color w:val="000000" w:themeColor="text1"/>
          <w:szCs w:val="24"/>
        </w:rPr>
        <w:t xml:space="preserve"> perspective, when </w:t>
      </w:r>
      <w:r w:rsidR="00F52463" w:rsidRPr="006F5D71">
        <w:rPr>
          <w:color w:val="000000" w:themeColor="text1"/>
          <w:szCs w:val="24"/>
        </w:rPr>
        <w:t xml:space="preserve">the </w:t>
      </w:r>
      <w:r w:rsidRPr="006F5D71">
        <w:rPr>
          <w:color w:val="000000" w:themeColor="text1"/>
          <w:szCs w:val="24"/>
        </w:rPr>
        <w:t xml:space="preserve">profitability of EMNCs is high, the option value associated with staying in the market </w:t>
      </w:r>
      <w:r w:rsidR="00F52463" w:rsidRPr="006F5D71">
        <w:rPr>
          <w:color w:val="000000" w:themeColor="text1"/>
          <w:szCs w:val="24"/>
        </w:rPr>
        <w:t>is</w:t>
      </w:r>
      <w:r w:rsidRPr="006F5D71">
        <w:rPr>
          <w:color w:val="000000" w:themeColor="text1"/>
          <w:szCs w:val="24"/>
        </w:rPr>
        <w:t xml:space="preserve"> greater than the value </w:t>
      </w:r>
      <w:r w:rsidR="00F52463" w:rsidRPr="006F5D71">
        <w:rPr>
          <w:color w:val="000000" w:themeColor="text1"/>
          <w:szCs w:val="24"/>
        </w:rPr>
        <w:t xml:space="preserve">that </w:t>
      </w:r>
      <w:r w:rsidRPr="006F5D71">
        <w:rPr>
          <w:color w:val="000000" w:themeColor="text1"/>
          <w:szCs w:val="24"/>
        </w:rPr>
        <w:t>emerges from divesting and relocating the capital to other market</w:t>
      </w:r>
      <w:r w:rsidR="00F52463" w:rsidRPr="006F5D71">
        <w:rPr>
          <w:color w:val="000000" w:themeColor="text1"/>
          <w:szCs w:val="24"/>
        </w:rPr>
        <w:t>s</w:t>
      </w:r>
      <w:r w:rsidRPr="006F5D71">
        <w:rPr>
          <w:color w:val="000000" w:themeColor="text1"/>
          <w:szCs w:val="24"/>
        </w:rPr>
        <w:t>. Thus,</w:t>
      </w:r>
      <w:r w:rsidR="001A7262" w:rsidRPr="006F5D71">
        <w:rPr>
          <w:color w:val="000000" w:themeColor="text1"/>
        </w:rPr>
        <w:t xml:space="preserve"> </w:t>
      </w:r>
      <w:r w:rsidR="001A7262" w:rsidRPr="006F5D71">
        <w:rPr>
          <w:color w:val="000000" w:themeColor="text1"/>
          <w:szCs w:val="24"/>
        </w:rPr>
        <w:t>by serving as a ready-market</w:t>
      </w:r>
      <w:r w:rsidR="00856D9E">
        <w:rPr>
          <w:color w:val="000000" w:themeColor="text1"/>
          <w:szCs w:val="24"/>
        </w:rPr>
        <w:t>,</w:t>
      </w:r>
      <w:r w:rsidRPr="006F5D71">
        <w:rPr>
          <w:color w:val="000000" w:themeColor="text1"/>
          <w:szCs w:val="24"/>
        </w:rPr>
        <w:t xml:space="preserve"> </w:t>
      </w:r>
      <w:r w:rsidR="00856D9E" w:rsidRPr="006F5D71">
        <w:rPr>
          <w:color w:val="000000" w:themeColor="text1"/>
          <w:szCs w:val="24"/>
        </w:rPr>
        <w:t xml:space="preserve">immigrants </w:t>
      </w:r>
      <w:r w:rsidR="001A7262" w:rsidRPr="006F5D71">
        <w:rPr>
          <w:color w:val="000000" w:themeColor="text1"/>
          <w:szCs w:val="24"/>
        </w:rPr>
        <w:t xml:space="preserve">enhance </w:t>
      </w:r>
      <w:r w:rsidR="00F52463" w:rsidRPr="006F5D71">
        <w:rPr>
          <w:color w:val="000000" w:themeColor="text1"/>
          <w:szCs w:val="24"/>
        </w:rPr>
        <w:t xml:space="preserve">a </w:t>
      </w:r>
      <w:r w:rsidR="001A7262" w:rsidRPr="006F5D71">
        <w:rPr>
          <w:color w:val="000000" w:themeColor="text1"/>
          <w:szCs w:val="24"/>
        </w:rPr>
        <w:t xml:space="preserve">firm’s likelihood of survival and discourage divestment. </w:t>
      </w:r>
      <w:r w:rsidR="00856D9E">
        <w:rPr>
          <w:color w:val="000000" w:themeColor="text1"/>
          <w:szCs w:val="24"/>
        </w:rPr>
        <w:t>Consequently, w</w:t>
      </w:r>
      <w:r w:rsidR="00321039" w:rsidRPr="006F5D71">
        <w:rPr>
          <w:color w:val="000000" w:themeColor="text1"/>
          <w:szCs w:val="24"/>
        </w:rPr>
        <w:t>e posit the following hypothesis:</w:t>
      </w:r>
    </w:p>
    <w:p w14:paraId="4FAE6BC0" w14:textId="77777777" w:rsidR="0038559E" w:rsidRPr="006F5D71" w:rsidRDefault="0038559E" w:rsidP="0038559E">
      <w:pPr>
        <w:pStyle w:val="NoSpacing"/>
        <w:spacing w:after="240" w:line="360" w:lineRule="auto"/>
        <w:jc w:val="both"/>
        <w:rPr>
          <w:i/>
          <w:iCs/>
          <w:strike/>
          <w:color w:val="000000" w:themeColor="text1"/>
          <w:szCs w:val="24"/>
        </w:rPr>
      </w:pPr>
      <w:r w:rsidRPr="006F5D71">
        <w:rPr>
          <w:i/>
          <w:iCs/>
          <w:color w:val="000000" w:themeColor="text1"/>
          <w:szCs w:val="24"/>
        </w:rPr>
        <w:t xml:space="preserve">Hypothesis 3a: </w:t>
      </w:r>
      <w:r w:rsidR="00101F9F" w:rsidRPr="006F5D71">
        <w:rPr>
          <w:i/>
          <w:iCs/>
          <w:color w:val="000000" w:themeColor="text1"/>
          <w:szCs w:val="24"/>
        </w:rPr>
        <w:t xml:space="preserve">Immigrant diaspora has a stronger positive effect on EMNCs’ survival in </w:t>
      </w:r>
      <w:r w:rsidR="00856D9E">
        <w:rPr>
          <w:i/>
          <w:iCs/>
          <w:color w:val="000000" w:themeColor="text1"/>
          <w:szCs w:val="24"/>
        </w:rPr>
        <w:t xml:space="preserve">the </w:t>
      </w:r>
      <w:r w:rsidR="00101F9F" w:rsidRPr="006F5D71">
        <w:rPr>
          <w:i/>
          <w:iCs/>
          <w:color w:val="000000" w:themeColor="text1"/>
          <w:szCs w:val="24"/>
        </w:rPr>
        <w:t xml:space="preserve">South as compared to </w:t>
      </w:r>
      <w:r w:rsidR="00856D9E">
        <w:rPr>
          <w:i/>
          <w:iCs/>
          <w:color w:val="000000" w:themeColor="text1"/>
          <w:szCs w:val="24"/>
        </w:rPr>
        <w:t xml:space="preserve">the </w:t>
      </w:r>
      <w:r w:rsidR="00101F9F" w:rsidRPr="006F5D71">
        <w:rPr>
          <w:i/>
          <w:iCs/>
          <w:color w:val="000000" w:themeColor="text1"/>
          <w:szCs w:val="24"/>
        </w:rPr>
        <w:t xml:space="preserve">North due to larger ready markets. </w:t>
      </w:r>
    </w:p>
    <w:p w14:paraId="71687479" w14:textId="77777777" w:rsidR="0079447A" w:rsidRPr="006F5D71" w:rsidRDefault="006552CB" w:rsidP="006F023C">
      <w:pPr>
        <w:pStyle w:val="NoSpacing"/>
        <w:spacing w:before="240" w:line="360" w:lineRule="auto"/>
        <w:jc w:val="both"/>
        <w:rPr>
          <w:color w:val="000000" w:themeColor="text1"/>
          <w:szCs w:val="24"/>
        </w:rPr>
      </w:pPr>
      <w:r w:rsidRPr="006F5D71">
        <w:rPr>
          <w:color w:val="000000" w:themeColor="text1"/>
          <w:szCs w:val="24"/>
        </w:rPr>
        <w:tab/>
        <w:t>The positive impact</w:t>
      </w:r>
      <w:r w:rsidR="00BD1ACC" w:rsidRPr="006F5D71">
        <w:rPr>
          <w:color w:val="000000" w:themeColor="text1"/>
          <w:szCs w:val="24"/>
        </w:rPr>
        <w:t xml:space="preserve"> </w:t>
      </w:r>
      <w:r w:rsidR="0016335B" w:rsidRPr="006F5D71">
        <w:rPr>
          <w:color w:val="000000" w:themeColor="text1"/>
          <w:szCs w:val="24"/>
        </w:rPr>
        <w:t xml:space="preserve">of the immigrant diaspora </w:t>
      </w:r>
      <w:r w:rsidRPr="006F5D71">
        <w:rPr>
          <w:color w:val="000000" w:themeColor="text1"/>
          <w:szCs w:val="24"/>
        </w:rPr>
        <w:t>can al</w:t>
      </w:r>
      <w:r w:rsidR="0016335B" w:rsidRPr="006F5D71">
        <w:rPr>
          <w:color w:val="000000" w:themeColor="text1"/>
          <w:szCs w:val="24"/>
        </w:rPr>
        <w:t xml:space="preserve">so arise </w:t>
      </w:r>
      <w:r w:rsidR="00BD1ACC" w:rsidRPr="006F5D71">
        <w:rPr>
          <w:color w:val="000000" w:themeColor="text1"/>
          <w:szCs w:val="24"/>
        </w:rPr>
        <w:t>from a knowledge advantage that immigrants create for their home country firms. Immigrants’ first-hand market knowledge</w:t>
      </w:r>
      <w:r w:rsidR="00F13410" w:rsidRPr="006F5D71">
        <w:rPr>
          <w:color w:val="000000" w:themeColor="text1"/>
          <w:szCs w:val="24"/>
        </w:rPr>
        <w:t xml:space="preserve"> about the host market and </w:t>
      </w:r>
      <w:r w:rsidR="00BD1ACC" w:rsidRPr="006F5D71">
        <w:rPr>
          <w:color w:val="000000" w:themeColor="text1"/>
          <w:szCs w:val="24"/>
        </w:rPr>
        <w:t>their interperso</w:t>
      </w:r>
      <w:r w:rsidR="00F13410" w:rsidRPr="006F5D71">
        <w:rPr>
          <w:color w:val="000000" w:themeColor="text1"/>
          <w:szCs w:val="24"/>
        </w:rPr>
        <w:t>nal local networks</w:t>
      </w:r>
      <w:r w:rsidR="00BD1ACC" w:rsidRPr="006F5D71">
        <w:rPr>
          <w:color w:val="000000" w:themeColor="text1"/>
          <w:szCs w:val="24"/>
        </w:rPr>
        <w:t xml:space="preserve"> help firms to reduce the perceived psychic distance to host location</w:t>
      </w:r>
      <w:r w:rsidR="00856D9E">
        <w:rPr>
          <w:color w:val="000000" w:themeColor="text1"/>
          <w:szCs w:val="24"/>
        </w:rPr>
        <w:t>s</w:t>
      </w:r>
      <w:r w:rsidR="00BD1ACC" w:rsidRPr="006F5D71">
        <w:rPr>
          <w:color w:val="000000" w:themeColor="text1"/>
          <w:szCs w:val="24"/>
        </w:rPr>
        <w:t xml:space="preserve"> (</w:t>
      </w:r>
      <w:r w:rsidR="00716D13" w:rsidRPr="006F5D71">
        <w:rPr>
          <w:color w:val="000000" w:themeColor="text1"/>
          <w:szCs w:val="24"/>
        </w:rPr>
        <w:t>Chung, Fung, &amp; Hung</w:t>
      </w:r>
      <w:r w:rsidR="00BD1ACC" w:rsidRPr="006F5D71">
        <w:rPr>
          <w:color w:val="000000" w:themeColor="text1"/>
          <w:szCs w:val="24"/>
        </w:rPr>
        <w:t>, 2012)</w:t>
      </w:r>
      <w:r w:rsidR="00321039" w:rsidRPr="006F5D71">
        <w:rPr>
          <w:color w:val="000000" w:themeColor="text1"/>
          <w:szCs w:val="24"/>
        </w:rPr>
        <w:t xml:space="preserve">. Buch et al. (2006) </w:t>
      </w:r>
      <w:r w:rsidR="00BD1ACC" w:rsidRPr="006F5D71">
        <w:rPr>
          <w:color w:val="000000" w:themeColor="text1"/>
          <w:szCs w:val="24"/>
        </w:rPr>
        <w:t>find that cultural linkages play an important role in international economic relationships</w:t>
      </w:r>
      <w:r w:rsidR="006F023C" w:rsidRPr="006F5D71">
        <w:rPr>
          <w:color w:val="000000" w:themeColor="text1"/>
          <w:szCs w:val="24"/>
        </w:rPr>
        <w:t xml:space="preserve"> in Germany</w:t>
      </w:r>
      <w:r w:rsidR="00BD1ACC" w:rsidRPr="006F5D71">
        <w:rPr>
          <w:color w:val="000000" w:themeColor="text1"/>
          <w:szCs w:val="24"/>
        </w:rPr>
        <w:t xml:space="preserve">. </w:t>
      </w:r>
      <w:proofErr w:type="spellStart"/>
      <w:r w:rsidR="00BD1ACC" w:rsidRPr="006F5D71">
        <w:rPr>
          <w:color w:val="000000" w:themeColor="text1"/>
          <w:szCs w:val="24"/>
        </w:rPr>
        <w:t>Foad</w:t>
      </w:r>
      <w:proofErr w:type="spellEnd"/>
      <w:r w:rsidR="00BD1ACC" w:rsidRPr="006F5D71">
        <w:rPr>
          <w:color w:val="000000" w:themeColor="text1"/>
          <w:szCs w:val="24"/>
        </w:rPr>
        <w:t xml:space="preserve"> (2012) </w:t>
      </w:r>
      <w:r w:rsidR="0079447A" w:rsidRPr="006F5D71">
        <w:rPr>
          <w:color w:val="000000" w:themeColor="text1"/>
          <w:szCs w:val="24"/>
        </w:rPr>
        <w:t>f</w:t>
      </w:r>
      <w:r w:rsidR="00BD1ACC" w:rsidRPr="006F5D71">
        <w:rPr>
          <w:color w:val="000000" w:themeColor="text1"/>
          <w:szCs w:val="24"/>
        </w:rPr>
        <w:t>ind</w:t>
      </w:r>
      <w:r w:rsidR="0079447A" w:rsidRPr="006F5D71">
        <w:rPr>
          <w:color w:val="000000" w:themeColor="text1"/>
          <w:szCs w:val="24"/>
        </w:rPr>
        <w:t>s</w:t>
      </w:r>
      <w:r w:rsidR="00BD1ACC" w:rsidRPr="006F5D71">
        <w:rPr>
          <w:color w:val="000000" w:themeColor="text1"/>
          <w:szCs w:val="24"/>
        </w:rPr>
        <w:t xml:space="preserve"> that immigrants of OECD countries attract investment from their respective countries</w:t>
      </w:r>
      <w:r w:rsidR="0079447A" w:rsidRPr="006F5D71">
        <w:rPr>
          <w:color w:val="000000" w:themeColor="text1"/>
          <w:szCs w:val="24"/>
        </w:rPr>
        <w:t xml:space="preserve"> across 50 US states</w:t>
      </w:r>
      <w:r w:rsidR="00BD1ACC" w:rsidRPr="006F5D71">
        <w:rPr>
          <w:color w:val="000000" w:themeColor="text1"/>
          <w:szCs w:val="24"/>
        </w:rPr>
        <w:t>. In a similar study, Shukla and Cantwell (2018) show that foreign-born workers in the US exert a pull effect on inward investment from their home countries.</w:t>
      </w:r>
    </w:p>
    <w:p w14:paraId="4F4929FC" w14:textId="77777777" w:rsidR="0016335B" w:rsidRPr="006F5D71" w:rsidRDefault="0079447A" w:rsidP="00AB7DB6">
      <w:pPr>
        <w:pStyle w:val="NoSpacing"/>
        <w:spacing w:line="360" w:lineRule="auto"/>
        <w:jc w:val="both"/>
        <w:rPr>
          <w:color w:val="000000" w:themeColor="text1"/>
          <w:szCs w:val="24"/>
        </w:rPr>
      </w:pPr>
      <w:r w:rsidRPr="006F5D71">
        <w:rPr>
          <w:color w:val="000000" w:themeColor="text1"/>
          <w:szCs w:val="24"/>
        </w:rPr>
        <w:tab/>
      </w:r>
      <w:r w:rsidR="00E237DE" w:rsidRPr="006F5D71">
        <w:rPr>
          <w:color w:val="000000" w:themeColor="text1"/>
          <w:szCs w:val="24"/>
        </w:rPr>
        <w:t>The</w:t>
      </w:r>
      <w:r w:rsidR="00BD1ACC" w:rsidRPr="006F5D71">
        <w:rPr>
          <w:color w:val="000000" w:themeColor="text1"/>
          <w:szCs w:val="24"/>
        </w:rPr>
        <w:t xml:space="preserve"> ins</w:t>
      </w:r>
      <w:r w:rsidR="00916BEA" w:rsidRPr="006F5D71">
        <w:rPr>
          <w:color w:val="000000" w:themeColor="text1"/>
          <w:szCs w:val="24"/>
        </w:rPr>
        <w:t>titutional distance between home</w:t>
      </w:r>
      <w:r w:rsidR="00BD1ACC" w:rsidRPr="006F5D71">
        <w:rPr>
          <w:color w:val="000000" w:themeColor="text1"/>
          <w:szCs w:val="24"/>
        </w:rPr>
        <w:t xml:space="preserve"> and host countries </w:t>
      </w:r>
      <w:r w:rsidR="00E237DE" w:rsidRPr="006F5D71">
        <w:rPr>
          <w:color w:val="000000" w:themeColor="text1"/>
          <w:szCs w:val="24"/>
        </w:rPr>
        <w:t>can create</w:t>
      </w:r>
      <w:r w:rsidR="00BD1ACC" w:rsidRPr="006F5D71">
        <w:rPr>
          <w:color w:val="000000" w:themeColor="text1"/>
          <w:szCs w:val="24"/>
        </w:rPr>
        <w:t xml:space="preserve"> endogenous risks in host markets </w:t>
      </w:r>
      <w:r w:rsidR="00E237DE" w:rsidRPr="006F5D71">
        <w:rPr>
          <w:color w:val="000000" w:themeColor="text1"/>
          <w:szCs w:val="24"/>
        </w:rPr>
        <w:t xml:space="preserve">that arise from limited knowledge </w:t>
      </w:r>
      <w:r w:rsidR="00BD1ACC" w:rsidRPr="006F5D71">
        <w:rPr>
          <w:color w:val="000000" w:themeColor="text1"/>
          <w:szCs w:val="24"/>
        </w:rPr>
        <w:t>about social, cultural, and political aspects</w:t>
      </w:r>
      <w:r w:rsidR="00E237DE" w:rsidRPr="006F5D71">
        <w:rPr>
          <w:color w:val="000000" w:themeColor="text1"/>
          <w:szCs w:val="24"/>
        </w:rPr>
        <w:t xml:space="preserve"> of production.</w:t>
      </w:r>
      <w:r w:rsidR="00F72D31">
        <w:rPr>
          <w:color w:val="000000" w:themeColor="text1"/>
          <w:szCs w:val="24"/>
        </w:rPr>
        <w:t xml:space="preserve"> </w:t>
      </w:r>
      <w:r w:rsidR="00E237DE" w:rsidRPr="006F5D71">
        <w:rPr>
          <w:color w:val="000000" w:themeColor="text1"/>
          <w:szCs w:val="24"/>
        </w:rPr>
        <w:t xml:space="preserve">This in turn </w:t>
      </w:r>
      <w:r w:rsidR="00BD1ACC" w:rsidRPr="006F5D71">
        <w:rPr>
          <w:color w:val="000000" w:themeColor="text1"/>
          <w:szCs w:val="24"/>
        </w:rPr>
        <w:t>leads to higher uncertainty for MNCs</w:t>
      </w:r>
      <w:r w:rsidR="00E237DE" w:rsidRPr="006F5D71">
        <w:rPr>
          <w:color w:val="000000" w:themeColor="text1"/>
          <w:szCs w:val="24"/>
        </w:rPr>
        <w:t xml:space="preserve"> but</w:t>
      </w:r>
      <w:r w:rsidR="00856D9E">
        <w:rPr>
          <w:color w:val="000000" w:themeColor="text1"/>
          <w:szCs w:val="24"/>
        </w:rPr>
        <w:t>,</w:t>
      </w:r>
      <w:r w:rsidR="00E237DE" w:rsidRPr="006F5D71">
        <w:rPr>
          <w:color w:val="000000" w:themeColor="text1"/>
          <w:szCs w:val="24"/>
        </w:rPr>
        <w:t xml:space="preserve"> through experience, this knowledge is learn</w:t>
      </w:r>
      <w:r w:rsidR="00236E35" w:rsidRPr="006F5D71">
        <w:rPr>
          <w:color w:val="000000" w:themeColor="text1"/>
          <w:szCs w:val="24"/>
        </w:rPr>
        <w:t>ed</w:t>
      </w:r>
      <w:r w:rsidR="00E237DE" w:rsidRPr="006F5D71">
        <w:rPr>
          <w:color w:val="000000" w:themeColor="text1"/>
          <w:szCs w:val="24"/>
        </w:rPr>
        <w:t xml:space="preserve"> and its effect on </w:t>
      </w:r>
      <w:r w:rsidR="00BD1ACC" w:rsidRPr="006F5D71">
        <w:rPr>
          <w:color w:val="000000" w:themeColor="text1"/>
          <w:szCs w:val="24"/>
        </w:rPr>
        <w:t>uncertainty can be minimized (Gaur and Lu, 2007).</w:t>
      </w:r>
      <w:r w:rsidR="00F72D31">
        <w:rPr>
          <w:color w:val="000000" w:themeColor="text1"/>
          <w:szCs w:val="24"/>
        </w:rPr>
        <w:t xml:space="preserve"> </w:t>
      </w:r>
      <w:r w:rsidR="000118BF" w:rsidRPr="006F5D71">
        <w:rPr>
          <w:color w:val="000000" w:themeColor="text1"/>
          <w:szCs w:val="24"/>
        </w:rPr>
        <w:t xml:space="preserve">We argue that immigrants’ knowledge </w:t>
      </w:r>
      <w:r w:rsidR="00E237DE" w:rsidRPr="006F5D71">
        <w:rPr>
          <w:color w:val="000000" w:themeColor="text1"/>
          <w:szCs w:val="24"/>
        </w:rPr>
        <w:t xml:space="preserve">can also </w:t>
      </w:r>
      <w:r w:rsidR="000118BF" w:rsidRPr="006F5D71">
        <w:rPr>
          <w:color w:val="000000" w:themeColor="text1"/>
          <w:szCs w:val="24"/>
        </w:rPr>
        <w:t>enable EMNCs to</w:t>
      </w:r>
      <w:r w:rsidR="00BD1ACC" w:rsidRPr="006F5D71">
        <w:rPr>
          <w:color w:val="000000" w:themeColor="text1"/>
          <w:szCs w:val="24"/>
        </w:rPr>
        <w:t xml:space="preserve"> mitigate the endogenous </w:t>
      </w:r>
      <w:r w:rsidR="001A7262" w:rsidRPr="006F5D71">
        <w:rPr>
          <w:color w:val="000000" w:themeColor="text1"/>
          <w:szCs w:val="24"/>
        </w:rPr>
        <w:t>uncertainty</w:t>
      </w:r>
      <w:r w:rsidR="00BD1ACC" w:rsidRPr="006F5D71">
        <w:rPr>
          <w:color w:val="000000" w:themeColor="text1"/>
          <w:szCs w:val="24"/>
        </w:rPr>
        <w:t xml:space="preserve"> </w:t>
      </w:r>
      <w:r w:rsidR="004425FA" w:rsidRPr="006F5D71">
        <w:rPr>
          <w:color w:val="000000" w:themeColor="text1"/>
          <w:szCs w:val="24"/>
        </w:rPr>
        <w:t>in host markets</w:t>
      </w:r>
      <w:r w:rsidR="00856D9E">
        <w:rPr>
          <w:color w:val="000000" w:themeColor="text1"/>
          <w:szCs w:val="24"/>
        </w:rPr>
        <w:t>, thereby</w:t>
      </w:r>
      <w:r w:rsidR="00E237DE" w:rsidRPr="006F5D71">
        <w:rPr>
          <w:color w:val="000000" w:themeColor="text1"/>
          <w:szCs w:val="24"/>
        </w:rPr>
        <w:t xml:space="preserve"> increasing the chances of survival</w:t>
      </w:r>
      <w:r w:rsidR="005D7E0E" w:rsidRPr="006F5D71">
        <w:rPr>
          <w:color w:val="000000" w:themeColor="text1"/>
          <w:szCs w:val="24"/>
        </w:rPr>
        <w:t>.</w:t>
      </w:r>
      <w:r w:rsidR="00F72D31">
        <w:rPr>
          <w:color w:val="000000" w:themeColor="text1"/>
          <w:szCs w:val="24"/>
        </w:rPr>
        <w:t xml:space="preserve"> </w:t>
      </w:r>
      <w:r w:rsidR="00E237DE" w:rsidRPr="006F5D71">
        <w:rPr>
          <w:color w:val="000000" w:themeColor="text1"/>
          <w:szCs w:val="24"/>
        </w:rPr>
        <w:t xml:space="preserve">Knowledge acquired from the immigrant diaspora enables EMNCs to precisely identify </w:t>
      </w:r>
      <w:r w:rsidR="00E237DE" w:rsidRPr="006F5D71">
        <w:rPr>
          <w:color w:val="000000" w:themeColor="text1"/>
          <w:szCs w:val="24"/>
        </w:rPr>
        <w:lastRenderedPageBreak/>
        <w:t>relevant sources of risk and formulate mitigation strategies (</w:t>
      </w:r>
      <w:proofErr w:type="spellStart"/>
      <w:r w:rsidR="00E237DE" w:rsidRPr="006F5D71">
        <w:rPr>
          <w:color w:val="000000" w:themeColor="text1"/>
          <w:szCs w:val="24"/>
        </w:rPr>
        <w:t>Kunczer</w:t>
      </w:r>
      <w:proofErr w:type="spellEnd"/>
      <w:r w:rsidR="00E237DE" w:rsidRPr="006F5D71">
        <w:rPr>
          <w:color w:val="000000" w:themeColor="text1"/>
          <w:szCs w:val="24"/>
        </w:rPr>
        <w:t>, Lindner, &amp; Puck, 2019). Immigrant knowledge can</w:t>
      </w:r>
      <w:r w:rsidR="00856D9E">
        <w:rPr>
          <w:color w:val="000000" w:themeColor="text1"/>
          <w:szCs w:val="24"/>
        </w:rPr>
        <w:t>,</w:t>
      </w:r>
      <w:r w:rsidR="00E237DE" w:rsidRPr="006F5D71">
        <w:rPr>
          <w:color w:val="000000" w:themeColor="text1"/>
          <w:szCs w:val="24"/>
        </w:rPr>
        <w:t xml:space="preserve"> hence</w:t>
      </w:r>
      <w:r w:rsidR="00856D9E">
        <w:rPr>
          <w:color w:val="000000" w:themeColor="text1"/>
          <w:szCs w:val="24"/>
        </w:rPr>
        <w:t>,</w:t>
      </w:r>
      <w:r w:rsidR="00E237DE" w:rsidRPr="006F5D71">
        <w:rPr>
          <w:color w:val="000000" w:themeColor="text1"/>
          <w:szCs w:val="24"/>
        </w:rPr>
        <w:t xml:space="preserve"> reduce information asymmetry about the host institutional environment and reduce endogenous risk. Additionally, better access to market knowledge reduces the cost of collecting and interpreting information (</w:t>
      </w:r>
      <w:r w:rsidR="001C03EC" w:rsidRPr="006F5D71">
        <w:rPr>
          <w:color w:val="000000" w:themeColor="text1"/>
          <w:szCs w:val="24"/>
        </w:rPr>
        <w:t>Gaur and Lu, 2007</w:t>
      </w:r>
      <w:r w:rsidR="00E237DE" w:rsidRPr="006F5D71">
        <w:rPr>
          <w:color w:val="000000" w:themeColor="text1"/>
          <w:szCs w:val="24"/>
        </w:rPr>
        <w:t xml:space="preserve">). </w:t>
      </w:r>
      <w:r w:rsidRPr="006F5D71">
        <w:rPr>
          <w:color w:val="000000" w:themeColor="text1"/>
          <w:szCs w:val="24"/>
        </w:rPr>
        <w:t>Cost saving</w:t>
      </w:r>
      <w:r w:rsidR="00E237DE" w:rsidRPr="006F5D71">
        <w:rPr>
          <w:color w:val="000000" w:themeColor="text1"/>
          <w:szCs w:val="24"/>
        </w:rPr>
        <w:t xml:space="preserve"> enables firms to sustain competition through adopting a cost differentiation strategy (Li and Li, 2008). </w:t>
      </w:r>
    </w:p>
    <w:p w14:paraId="44DC9545" w14:textId="77777777" w:rsidR="005F3107" w:rsidRPr="006F5D71" w:rsidRDefault="00827D3C" w:rsidP="0023047B">
      <w:pPr>
        <w:pStyle w:val="NoSpacing"/>
        <w:spacing w:after="240" w:line="360" w:lineRule="auto"/>
        <w:ind w:firstLine="720"/>
        <w:jc w:val="both"/>
        <w:rPr>
          <w:color w:val="000000" w:themeColor="text1"/>
          <w:szCs w:val="24"/>
        </w:rPr>
      </w:pPr>
      <w:r w:rsidRPr="006F5D71">
        <w:rPr>
          <w:color w:val="000000" w:themeColor="text1"/>
          <w:szCs w:val="24"/>
        </w:rPr>
        <w:t>T</w:t>
      </w:r>
      <w:r w:rsidR="004425FA" w:rsidRPr="006F5D71">
        <w:rPr>
          <w:color w:val="000000" w:themeColor="text1"/>
          <w:szCs w:val="24"/>
        </w:rPr>
        <w:t xml:space="preserve">hese advantages </w:t>
      </w:r>
      <w:r w:rsidR="00A63DCD" w:rsidRPr="006F5D71">
        <w:rPr>
          <w:color w:val="000000" w:themeColor="text1"/>
          <w:szCs w:val="24"/>
        </w:rPr>
        <w:t xml:space="preserve">stemming from the knowledge and experience of immigrant communities are more </w:t>
      </w:r>
      <w:r w:rsidR="0079447A" w:rsidRPr="006F5D71">
        <w:rPr>
          <w:color w:val="000000" w:themeColor="text1"/>
          <w:szCs w:val="24"/>
        </w:rPr>
        <w:t>likely</w:t>
      </w:r>
      <w:r w:rsidR="00A63DCD" w:rsidRPr="006F5D71">
        <w:rPr>
          <w:color w:val="000000" w:themeColor="text1"/>
          <w:szCs w:val="24"/>
        </w:rPr>
        <w:t xml:space="preserve"> for EMNCS operating </w:t>
      </w:r>
      <w:r w:rsidR="004425FA" w:rsidRPr="006F5D71">
        <w:rPr>
          <w:color w:val="000000" w:themeColor="text1"/>
          <w:szCs w:val="24"/>
        </w:rPr>
        <w:t xml:space="preserve">in </w:t>
      </w:r>
      <w:r w:rsidR="0023047B" w:rsidRPr="006F5D71">
        <w:rPr>
          <w:color w:val="000000" w:themeColor="text1"/>
          <w:szCs w:val="24"/>
        </w:rPr>
        <w:t xml:space="preserve">the </w:t>
      </w:r>
      <w:r w:rsidR="004425FA" w:rsidRPr="006F5D71">
        <w:rPr>
          <w:color w:val="000000" w:themeColor="text1"/>
          <w:szCs w:val="24"/>
        </w:rPr>
        <w:t xml:space="preserve">South as compared to </w:t>
      </w:r>
      <w:r w:rsidR="0023047B" w:rsidRPr="006F5D71">
        <w:rPr>
          <w:color w:val="000000" w:themeColor="text1"/>
          <w:szCs w:val="24"/>
        </w:rPr>
        <w:t xml:space="preserve">the </w:t>
      </w:r>
      <w:r w:rsidR="004425FA" w:rsidRPr="006F5D71">
        <w:rPr>
          <w:color w:val="000000" w:themeColor="text1"/>
          <w:szCs w:val="24"/>
        </w:rPr>
        <w:t>North.</w:t>
      </w:r>
      <w:r w:rsidR="00F72D31">
        <w:rPr>
          <w:color w:val="000000" w:themeColor="text1"/>
          <w:szCs w:val="24"/>
        </w:rPr>
        <w:t xml:space="preserve"> </w:t>
      </w:r>
      <w:r w:rsidR="004425FA" w:rsidRPr="006F5D71">
        <w:rPr>
          <w:color w:val="000000" w:themeColor="text1"/>
          <w:szCs w:val="24"/>
        </w:rPr>
        <w:t xml:space="preserve">First, large cities in </w:t>
      </w:r>
      <w:r w:rsidR="00856D9E">
        <w:rPr>
          <w:color w:val="000000" w:themeColor="text1"/>
          <w:szCs w:val="24"/>
        </w:rPr>
        <w:t xml:space="preserve">the </w:t>
      </w:r>
      <w:r w:rsidR="004425FA" w:rsidRPr="006F5D71">
        <w:rPr>
          <w:color w:val="000000" w:themeColor="text1"/>
          <w:szCs w:val="24"/>
        </w:rPr>
        <w:t xml:space="preserve">North are generally metropolitan </w:t>
      </w:r>
      <w:r w:rsidR="00B36C24" w:rsidRPr="006F5D71">
        <w:rPr>
          <w:color w:val="000000" w:themeColor="text1"/>
          <w:szCs w:val="24"/>
        </w:rPr>
        <w:t xml:space="preserve">global </w:t>
      </w:r>
      <w:r w:rsidR="004425FA" w:rsidRPr="006F5D71">
        <w:rPr>
          <w:color w:val="000000" w:themeColor="text1"/>
          <w:szCs w:val="24"/>
        </w:rPr>
        <w:t xml:space="preserve">cities, </w:t>
      </w:r>
      <w:r w:rsidR="00B36C24" w:rsidRPr="006F5D71">
        <w:rPr>
          <w:color w:val="000000" w:themeColor="text1"/>
          <w:szCs w:val="24"/>
        </w:rPr>
        <w:t>such as</w:t>
      </w:r>
      <w:r w:rsidR="004425FA" w:rsidRPr="006F5D71">
        <w:rPr>
          <w:color w:val="000000" w:themeColor="text1"/>
          <w:szCs w:val="24"/>
        </w:rPr>
        <w:t xml:space="preserve"> New York, London, Paris, and Rome, where people and communities around the world reside</w:t>
      </w:r>
      <w:r w:rsidR="00321039" w:rsidRPr="006F5D71">
        <w:rPr>
          <w:color w:val="000000" w:themeColor="text1"/>
          <w:szCs w:val="24"/>
        </w:rPr>
        <w:t>. Therefore,</w:t>
      </w:r>
      <w:r w:rsidR="00A63DCD" w:rsidRPr="006F5D71">
        <w:rPr>
          <w:color w:val="000000" w:themeColor="text1"/>
          <w:szCs w:val="24"/>
        </w:rPr>
        <w:t xml:space="preserve"> almost all foreign firms have access to the immigrant diaspora of their home country in the North</w:t>
      </w:r>
      <w:r w:rsidR="004425FA" w:rsidRPr="006F5D71">
        <w:rPr>
          <w:color w:val="000000" w:themeColor="text1"/>
          <w:szCs w:val="24"/>
        </w:rPr>
        <w:t xml:space="preserve">. </w:t>
      </w:r>
      <w:r w:rsidR="00856D9E">
        <w:rPr>
          <w:color w:val="000000" w:themeColor="text1"/>
          <w:szCs w:val="24"/>
        </w:rPr>
        <w:t>Consequently</w:t>
      </w:r>
      <w:r w:rsidR="004425FA" w:rsidRPr="006F5D71">
        <w:rPr>
          <w:color w:val="000000" w:themeColor="text1"/>
          <w:szCs w:val="24"/>
        </w:rPr>
        <w:t>, the knowledge that</w:t>
      </w:r>
      <w:r w:rsidR="00A56B5B" w:rsidRPr="006F5D71">
        <w:rPr>
          <w:color w:val="000000" w:themeColor="text1"/>
          <w:szCs w:val="24"/>
        </w:rPr>
        <w:t>,</w:t>
      </w:r>
      <w:r w:rsidR="004425FA" w:rsidRPr="006F5D71">
        <w:rPr>
          <w:color w:val="000000" w:themeColor="text1"/>
          <w:szCs w:val="24"/>
        </w:rPr>
        <w:t xml:space="preserve"> </w:t>
      </w:r>
      <w:r w:rsidR="00A56B5B" w:rsidRPr="006F5D71">
        <w:rPr>
          <w:color w:val="000000" w:themeColor="text1"/>
          <w:szCs w:val="24"/>
        </w:rPr>
        <w:t xml:space="preserve">for instance, </w:t>
      </w:r>
      <w:r w:rsidR="004425FA" w:rsidRPr="006F5D71">
        <w:rPr>
          <w:color w:val="000000" w:themeColor="text1"/>
          <w:szCs w:val="24"/>
        </w:rPr>
        <w:t xml:space="preserve">Indian firms can acquire through </w:t>
      </w:r>
      <w:r w:rsidR="00945D5B" w:rsidRPr="006F5D71">
        <w:rPr>
          <w:color w:val="000000" w:themeColor="text1"/>
          <w:szCs w:val="24"/>
        </w:rPr>
        <w:t xml:space="preserve">connecting their </w:t>
      </w:r>
      <w:r w:rsidR="00321039" w:rsidRPr="006F5D71">
        <w:rPr>
          <w:color w:val="000000" w:themeColor="text1"/>
          <w:szCs w:val="24"/>
        </w:rPr>
        <w:t>immigrant diaspora in London may</w:t>
      </w:r>
      <w:r w:rsidR="00945D5B" w:rsidRPr="006F5D71">
        <w:rPr>
          <w:color w:val="000000" w:themeColor="text1"/>
          <w:szCs w:val="24"/>
        </w:rPr>
        <w:t xml:space="preserve"> also </w:t>
      </w:r>
      <w:r w:rsidR="00321039" w:rsidRPr="006F5D71">
        <w:rPr>
          <w:color w:val="000000" w:themeColor="text1"/>
          <w:szCs w:val="24"/>
        </w:rPr>
        <w:t xml:space="preserve">be </w:t>
      </w:r>
      <w:r w:rsidR="00945D5B" w:rsidRPr="006F5D71">
        <w:rPr>
          <w:color w:val="000000" w:themeColor="text1"/>
          <w:szCs w:val="24"/>
        </w:rPr>
        <w:t>available to German MNC</w:t>
      </w:r>
      <w:r w:rsidR="00856D9E">
        <w:rPr>
          <w:color w:val="000000" w:themeColor="text1"/>
          <w:szCs w:val="24"/>
        </w:rPr>
        <w:t>s</w:t>
      </w:r>
      <w:r w:rsidR="00945D5B" w:rsidRPr="006F5D71">
        <w:rPr>
          <w:color w:val="000000" w:themeColor="text1"/>
          <w:szCs w:val="24"/>
        </w:rPr>
        <w:t xml:space="preserve"> which can access </w:t>
      </w:r>
      <w:r w:rsidR="00856D9E">
        <w:rPr>
          <w:color w:val="000000" w:themeColor="text1"/>
          <w:szCs w:val="24"/>
        </w:rPr>
        <w:t>the</w:t>
      </w:r>
      <w:r w:rsidR="00856D9E" w:rsidRPr="006F5D71">
        <w:rPr>
          <w:color w:val="000000" w:themeColor="text1"/>
          <w:szCs w:val="24"/>
        </w:rPr>
        <w:t xml:space="preserve"> </w:t>
      </w:r>
      <w:r w:rsidR="00945D5B" w:rsidRPr="006F5D71">
        <w:rPr>
          <w:color w:val="000000" w:themeColor="text1"/>
          <w:szCs w:val="24"/>
        </w:rPr>
        <w:t>German immi</w:t>
      </w:r>
      <w:r w:rsidRPr="006F5D71">
        <w:rPr>
          <w:color w:val="000000" w:themeColor="text1"/>
          <w:szCs w:val="24"/>
        </w:rPr>
        <w:t>grant community in London. T</w:t>
      </w:r>
      <w:r w:rsidR="00945D5B" w:rsidRPr="006F5D71">
        <w:rPr>
          <w:color w:val="000000" w:themeColor="text1"/>
          <w:szCs w:val="24"/>
        </w:rPr>
        <w:t>he advantage</w:t>
      </w:r>
      <w:r w:rsidR="00B36C24" w:rsidRPr="006F5D71">
        <w:rPr>
          <w:color w:val="000000" w:themeColor="text1"/>
          <w:szCs w:val="24"/>
        </w:rPr>
        <w:t xml:space="preserve">s </w:t>
      </w:r>
      <w:r w:rsidR="0023047B" w:rsidRPr="006F5D71">
        <w:rPr>
          <w:color w:val="000000" w:themeColor="text1"/>
          <w:szCs w:val="24"/>
        </w:rPr>
        <w:t xml:space="preserve">that </w:t>
      </w:r>
      <w:r w:rsidR="00B36C24" w:rsidRPr="006F5D71">
        <w:rPr>
          <w:color w:val="000000" w:themeColor="text1"/>
          <w:szCs w:val="24"/>
        </w:rPr>
        <w:t>emerge</w:t>
      </w:r>
      <w:r w:rsidR="00945D5B" w:rsidRPr="006F5D71">
        <w:rPr>
          <w:color w:val="000000" w:themeColor="text1"/>
          <w:szCs w:val="24"/>
        </w:rPr>
        <w:t xml:space="preserve"> from immigrants’ knowledge </w:t>
      </w:r>
      <w:r w:rsidR="00B36C24" w:rsidRPr="006F5D71">
        <w:rPr>
          <w:color w:val="000000" w:themeColor="text1"/>
          <w:szCs w:val="24"/>
        </w:rPr>
        <w:t>do not remain unique</w:t>
      </w:r>
      <w:r w:rsidR="00321039" w:rsidRPr="006F5D71">
        <w:rPr>
          <w:color w:val="000000" w:themeColor="text1"/>
          <w:szCs w:val="24"/>
        </w:rPr>
        <w:t>,</w:t>
      </w:r>
      <w:r w:rsidR="00B36C24" w:rsidRPr="006F5D71">
        <w:rPr>
          <w:color w:val="000000" w:themeColor="text1"/>
          <w:szCs w:val="24"/>
        </w:rPr>
        <w:t xml:space="preserve"> </w:t>
      </w:r>
      <w:r w:rsidR="00321039" w:rsidRPr="006F5D71">
        <w:rPr>
          <w:color w:val="000000" w:themeColor="text1"/>
          <w:szCs w:val="24"/>
        </w:rPr>
        <w:t>so,</w:t>
      </w:r>
      <w:r w:rsidR="00B36C24" w:rsidRPr="006F5D71">
        <w:rPr>
          <w:color w:val="000000" w:themeColor="text1"/>
          <w:szCs w:val="24"/>
        </w:rPr>
        <w:t xml:space="preserve"> comparative advantage</w:t>
      </w:r>
      <w:r w:rsidR="00321039" w:rsidRPr="006F5D71">
        <w:rPr>
          <w:color w:val="000000" w:themeColor="text1"/>
          <w:szCs w:val="24"/>
        </w:rPr>
        <w:t xml:space="preserve"> arising from </w:t>
      </w:r>
      <w:r w:rsidR="00856D9E">
        <w:rPr>
          <w:color w:val="000000" w:themeColor="text1"/>
          <w:szCs w:val="24"/>
        </w:rPr>
        <w:t>such</w:t>
      </w:r>
      <w:r w:rsidR="00856D9E" w:rsidRPr="006F5D71">
        <w:rPr>
          <w:color w:val="000000" w:themeColor="text1"/>
          <w:szCs w:val="24"/>
        </w:rPr>
        <w:t xml:space="preserve"> </w:t>
      </w:r>
      <w:r w:rsidR="00321039" w:rsidRPr="006F5D71">
        <w:rPr>
          <w:color w:val="000000" w:themeColor="text1"/>
          <w:szCs w:val="24"/>
        </w:rPr>
        <w:t>knowledge</w:t>
      </w:r>
      <w:r w:rsidR="00B36C24" w:rsidRPr="006F5D71">
        <w:rPr>
          <w:color w:val="000000" w:themeColor="text1"/>
          <w:szCs w:val="24"/>
        </w:rPr>
        <w:t xml:space="preserve"> </w:t>
      </w:r>
      <w:r w:rsidR="0079447A" w:rsidRPr="006F5D71">
        <w:rPr>
          <w:color w:val="000000" w:themeColor="text1"/>
          <w:szCs w:val="24"/>
        </w:rPr>
        <w:t>also</w:t>
      </w:r>
      <w:r w:rsidR="00B36C24" w:rsidRPr="006F5D71">
        <w:rPr>
          <w:color w:val="000000" w:themeColor="text1"/>
          <w:szCs w:val="24"/>
        </w:rPr>
        <w:t xml:space="preserve"> </w:t>
      </w:r>
      <w:r w:rsidR="00945D5B" w:rsidRPr="006F5D71">
        <w:rPr>
          <w:color w:val="000000" w:themeColor="text1"/>
          <w:szCs w:val="24"/>
        </w:rPr>
        <w:t>disappears.</w:t>
      </w:r>
      <w:r w:rsidR="00F72D31">
        <w:rPr>
          <w:color w:val="000000" w:themeColor="text1"/>
          <w:szCs w:val="24"/>
        </w:rPr>
        <w:t xml:space="preserve"> </w:t>
      </w:r>
      <w:r w:rsidR="009B1629" w:rsidRPr="006F5D71">
        <w:rPr>
          <w:color w:val="000000" w:themeColor="text1"/>
          <w:szCs w:val="24"/>
        </w:rPr>
        <w:t xml:space="preserve">In contrast, </w:t>
      </w:r>
      <w:r w:rsidRPr="006F5D71">
        <w:rPr>
          <w:color w:val="000000" w:themeColor="text1"/>
          <w:szCs w:val="24"/>
        </w:rPr>
        <w:t>a few migrant communities dominate large cities in the South such as Lagos, Cape Town, and Cairo</w:t>
      </w:r>
      <w:r w:rsidR="00236E35" w:rsidRPr="006F5D71">
        <w:rPr>
          <w:color w:val="000000" w:themeColor="text1"/>
          <w:szCs w:val="24"/>
        </w:rPr>
        <w:t>,</w:t>
      </w:r>
      <w:r w:rsidR="00A63DCD" w:rsidRPr="006F5D71">
        <w:rPr>
          <w:color w:val="000000" w:themeColor="text1"/>
          <w:szCs w:val="24"/>
        </w:rPr>
        <w:t xml:space="preserve"> </w:t>
      </w:r>
      <w:r w:rsidR="005D2CF0">
        <w:rPr>
          <w:color w:val="000000" w:themeColor="text1"/>
          <w:szCs w:val="24"/>
        </w:rPr>
        <w:t>where</w:t>
      </w:r>
      <w:r w:rsidRPr="006F5D71">
        <w:rPr>
          <w:color w:val="000000" w:themeColor="text1"/>
          <w:szCs w:val="24"/>
        </w:rPr>
        <w:t xml:space="preserve"> </w:t>
      </w:r>
      <w:r w:rsidR="00533F03" w:rsidRPr="006F5D71">
        <w:rPr>
          <w:color w:val="000000" w:themeColor="text1"/>
          <w:szCs w:val="24"/>
        </w:rPr>
        <w:t xml:space="preserve">Indian </w:t>
      </w:r>
      <w:r w:rsidR="00B36C24" w:rsidRPr="006F5D71">
        <w:rPr>
          <w:color w:val="000000" w:themeColor="text1"/>
          <w:szCs w:val="24"/>
        </w:rPr>
        <w:t>and/</w:t>
      </w:r>
      <w:r w:rsidR="00533F03" w:rsidRPr="006F5D71">
        <w:rPr>
          <w:color w:val="000000" w:themeColor="text1"/>
          <w:szCs w:val="24"/>
        </w:rPr>
        <w:t xml:space="preserve">or Chinese </w:t>
      </w:r>
      <w:r w:rsidR="00A63DCD" w:rsidRPr="006F5D71">
        <w:rPr>
          <w:color w:val="000000" w:themeColor="text1"/>
          <w:szCs w:val="24"/>
        </w:rPr>
        <w:t xml:space="preserve">immigrants </w:t>
      </w:r>
      <w:r w:rsidRPr="006F5D71">
        <w:rPr>
          <w:color w:val="000000" w:themeColor="text1"/>
          <w:szCs w:val="24"/>
        </w:rPr>
        <w:t>are a relatively larger presence</w:t>
      </w:r>
      <w:r w:rsidR="00321039" w:rsidRPr="006F5D71">
        <w:rPr>
          <w:color w:val="000000" w:themeColor="text1"/>
          <w:szCs w:val="24"/>
        </w:rPr>
        <w:t xml:space="preserve"> (</w:t>
      </w:r>
      <w:r w:rsidR="004A5217" w:rsidRPr="006F5D71">
        <w:rPr>
          <w:color w:val="000000" w:themeColor="text1"/>
          <w:szCs w:val="24"/>
        </w:rPr>
        <w:t>World Economic Forum, 2015</w:t>
      </w:r>
      <w:r w:rsidR="00321039" w:rsidRPr="006F5D71">
        <w:rPr>
          <w:color w:val="000000" w:themeColor="text1"/>
          <w:szCs w:val="24"/>
        </w:rPr>
        <w:t>)</w:t>
      </w:r>
      <w:r w:rsidR="005D2CF0">
        <w:rPr>
          <w:color w:val="000000" w:themeColor="text1"/>
          <w:szCs w:val="24"/>
        </w:rPr>
        <w:t xml:space="preserve"> and where</w:t>
      </w:r>
      <w:r w:rsidR="00533F03" w:rsidRPr="006F5D71">
        <w:rPr>
          <w:color w:val="000000" w:themeColor="text1"/>
          <w:szCs w:val="24"/>
        </w:rPr>
        <w:t xml:space="preserve"> EMNCs </w:t>
      </w:r>
      <w:r w:rsidR="00A63DCD" w:rsidRPr="006F5D71">
        <w:rPr>
          <w:color w:val="000000" w:themeColor="text1"/>
          <w:szCs w:val="24"/>
        </w:rPr>
        <w:t xml:space="preserve">can </w:t>
      </w:r>
      <w:r w:rsidR="00533F03" w:rsidRPr="006F5D71">
        <w:rPr>
          <w:color w:val="000000" w:themeColor="text1"/>
          <w:szCs w:val="24"/>
        </w:rPr>
        <w:t xml:space="preserve">sustain </w:t>
      </w:r>
      <w:r w:rsidRPr="006F5D71">
        <w:rPr>
          <w:color w:val="000000" w:themeColor="text1"/>
          <w:szCs w:val="24"/>
        </w:rPr>
        <w:t xml:space="preserve">their </w:t>
      </w:r>
      <w:r w:rsidR="00533F03" w:rsidRPr="006F5D71">
        <w:rPr>
          <w:color w:val="000000" w:themeColor="text1"/>
          <w:szCs w:val="24"/>
        </w:rPr>
        <w:t xml:space="preserve">comparative advantage </w:t>
      </w:r>
      <w:r w:rsidRPr="006F5D71">
        <w:rPr>
          <w:color w:val="000000" w:themeColor="text1"/>
          <w:szCs w:val="24"/>
        </w:rPr>
        <w:t>based on knowledge acquired</w:t>
      </w:r>
      <w:r w:rsidR="00533F03" w:rsidRPr="006F5D71">
        <w:rPr>
          <w:color w:val="000000" w:themeColor="text1"/>
          <w:szCs w:val="24"/>
        </w:rPr>
        <w:t xml:space="preserve"> fro</w:t>
      </w:r>
      <w:r w:rsidRPr="006F5D71">
        <w:rPr>
          <w:color w:val="000000" w:themeColor="text1"/>
          <w:szCs w:val="24"/>
        </w:rPr>
        <w:t>m immigrant diaspora</w:t>
      </w:r>
      <w:r w:rsidR="00533F03" w:rsidRPr="006F5D71">
        <w:rPr>
          <w:color w:val="000000" w:themeColor="text1"/>
          <w:szCs w:val="24"/>
        </w:rPr>
        <w:t xml:space="preserve">. Second, a large portion of </w:t>
      </w:r>
      <w:r w:rsidR="0023047B" w:rsidRPr="006F5D71">
        <w:rPr>
          <w:color w:val="000000" w:themeColor="text1"/>
          <w:szCs w:val="24"/>
        </w:rPr>
        <w:t xml:space="preserve">the </w:t>
      </w:r>
      <w:r w:rsidR="00533F03" w:rsidRPr="006F5D71">
        <w:rPr>
          <w:color w:val="000000" w:themeColor="text1"/>
          <w:szCs w:val="24"/>
        </w:rPr>
        <w:t>economy</w:t>
      </w:r>
      <w:r w:rsidR="0023047B" w:rsidRPr="006F5D71">
        <w:rPr>
          <w:color w:val="000000" w:themeColor="text1"/>
          <w:szCs w:val="24"/>
        </w:rPr>
        <w:t xml:space="preserve"> in the South</w:t>
      </w:r>
      <w:r w:rsidR="00533F03" w:rsidRPr="006F5D71">
        <w:rPr>
          <w:color w:val="000000" w:themeColor="text1"/>
          <w:szCs w:val="24"/>
        </w:rPr>
        <w:t xml:space="preserve"> is informal</w:t>
      </w:r>
      <w:r w:rsidR="0023047B" w:rsidRPr="006F5D71">
        <w:rPr>
          <w:color w:val="000000" w:themeColor="text1"/>
          <w:szCs w:val="24"/>
        </w:rPr>
        <w:t xml:space="preserve"> (</w:t>
      </w:r>
      <w:proofErr w:type="spellStart"/>
      <w:r w:rsidR="0023047B" w:rsidRPr="006F5D71">
        <w:rPr>
          <w:color w:val="000000" w:themeColor="text1"/>
          <w:szCs w:val="24"/>
        </w:rPr>
        <w:t>Charmes</w:t>
      </w:r>
      <w:proofErr w:type="spellEnd"/>
      <w:r w:rsidR="0023047B" w:rsidRPr="006F5D71">
        <w:rPr>
          <w:color w:val="000000" w:themeColor="text1"/>
          <w:szCs w:val="24"/>
        </w:rPr>
        <w:t>, 20</w:t>
      </w:r>
      <w:r w:rsidR="006E3D67" w:rsidRPr="006F5D71">
        <w:rPr>
          <w:color w:val="000000" w:themeColor="text1"/>
          <w:szCs w:val="24"/>
        </w:rPr>
        <w:t>12</w:t>
      </w:r>
      <w:r w:rsidR="0023047B" w:rsidRPr="006F5D71">
        <w:rPr>
          <w:color w:val="000000" w:themeColor="text1"/>
          <w:szCs w:val="24"/>
        </w:rPr>
        <w:t>)</w:t>
      </w:r>
      <w:r w:rsidR="005F3107" w:rsidRPr="006F5D71">
        <w:rPr>
          <w:color w:val="000000" w:themeColor="text1"/>
          <w:szCs w:val="24"/>
        </w:rPr>
        <w:t>. Informality increases endogenous risks for firms</w:t>
      </w:r>
      <w:r w:rsidR="00321039" w:rsidRPr="006F5D71">
        <w:rPr>
          <w:color w:val="000000" w:themeColor="text1"/>
          <w:szCs w:val="24"/>
        </w:rPr>
        <w:t xml:space="preserve"> (</w:t>
      </w:r>
      <w:r w:rsidR="004A5217" w:rsidRPr="006F5D71">
        <w:rPr>
          <w:color w:val="000000" w:themeColor="text1"/>
          <w:szCs w:val="24"/>
        </w:rPr>
        <w:t>London and Hart, 2004</w:t>
      </w:r>
      <w:r w:rsidR="00321039" w:rsidRPr="006F5D71">
        <w:rPr>
          <w:color w:val="000000" w:themeColor="text1"/>
          <w:szCs w:val="24"/>
        </w:rPr>
        <w:t>)</w:t>
      </w:r>
      <w:r w:rsidR="005F3107" w:rsidRPr="006F5D71">
        <w:rPr>
          <w:color w:val="000000" w:themeColor="text1"/>
          <w:szCs w:val="24"/>
        </w:rPr>
        <w:t>.</w:t>
      </w:r>
      <w:r w:rsidR="00533F03" w:rsidRPr="006F5D71">
        <w:rPr>
          <w:color w:val="000000" w:themeColor="text1"/>
          <w:szCs w:val="24"/>
        </w:rPr>
        <w:t xml:space="preserve"> </w:t>
      </w:r>
      <w:r w:rsidR="005F3107" w:rsidRPr="006F5D71">
        <w:rPr>
          <w:color w:val="000000" w:themeColor="text1"/>
          <w:szCs w:val="24"/>
        </w:rPr>
        <w:t xml:space="preserve">In such </w:t>
      </w:r>
      <w:r w:rsidR="0023047B" w:rsidRPr="006F5D71">
        <w:rPr>
          <w:color w:val="000000" w:themeColor="text1"/>
          <w:szCs w:val="24"/>
        </w:rPr>
        <w:t xml:space="preserve">an </w:t>
      </w:r>
      <w:r w:rsidRPr="006F5D71">
        <w:rPr>
          <w:color w:val="000000" w:themeColor="text1"/>
          <w:szCs w:val="24"/>
        </w:rPr>
        <w:t>environment,</w:t>
      </w:r>
      <w:r w:rsidR="005F3107" w:rsidRPr="006F5D71">
        <w:rPr>
          <w:color w:val="000000" w:themeColor="text1"/>
          <w:szCs w:val="24"/>
        </w:rPr>
        <w:t xml:space="preserve"> </w:t>
      </w:r>
      <w:r w:rsidR="00533F03" w:rsidRPr="006F5D71">
        <w:rPr>
          <w:color w:val="000000" w:themeColor="text1"/>
          <w:szCs w:val="24"/>
        </w:rPr>
        <w:t>migrant</w:t>
      </w:r>
      <w:r w:rsidR="00236E35" w:rsidRPr="006F5D71">
        <w:rPr>
          <w:color w:val="000000" w:themeColor="text1"/>
          <w:szCs w:val="24"/>
        </w:rPr>
        <w:t>s’</w:t>
      </w:r>
      <w:r w:rsidR="00533F03" w:rsidRPr="006F5D71">
        <w:rPr>
          <w:color w:val="000000" w:themeColor="text1"/>
          <w:szCs w:val="24"/>
        </w:rPr>
        <w:t xml:space="preserve"> experiential knowledge about </w:t>
      </w:r>
      <w:r w:rsidR="0023047B" w:rsidRPr="006F5D71">
        <w:rPr>
          <w:color w:val="000000" w:themeColor="text1"/>
          <w:szCs w:val="24"/>
        </w:rPr>
        <w:t xml:space="preserve">the </w:t>
      </w:r>
      <w:r w:rsidR="00533F03" w:rsidRPr="006F5D71">
        <w:rPr>
          <w:color w:val="000000" w:themeColor="text1"/>
          <w:szCs w:val="24"/>
        </w:rPr>
        <w:t>informal institutional structure, processes</w:t>
      </w:r>
      <w:r w:rsidR="0023047B" w:rsidRPr="006F5D71">
        <w:rPr>
          <w:color w:val="000000" w:themeColor="text1"/>
          <w:szCs w:val="24"/>
        </w:rPr>
        <w:t>,</w:t>
      </w:r>
      <w:r w:rsidR="00533F03" w:rsidRPr="006F5D71">
        <w:rPr>
          <w:color w:val="000000" w:themeColor="text1"/>
          <w:szCs w:val="24"/>
        </w:rPr>
        <w:t xml:space="preserve"> and </w:t>
      </w:r>
      <w:r w:rsidRPr="006F5D71">
        <w:rPr>
          <w:color w:val="000000" w:themeColor="text1"/>
          <w:szCs w:val="24"/>
        </w:rPr>
        <w:t>decision-making</w:t>
      </w:r>
      <w:r w:rsidR="005F3107" w:rsidRPr="006F5D71">
        <w:rPr>
          <w:color w:val="000000" w:themeColor="text1"/>
          <w:szCs w:val="24"/>
        </w:rPr>
        <w:t xml:space="preserve"> is</w:t>
      </w:r>
      <w:r w:rsidR="00533F03" w:rsidRPr="006F5D71">
        <w:rPr>
          <w:color w:val="000000" w:themeColor="text1"/>
          <w:szCs w:val="24"/>
        </w:rPr>
        <w:t xml:space="preserve"> more valuable. </w:t>
      </w:r>
      <w:r w:rsidR="008F7F09" w:rsidRPr="006F5D71">
        <w:rPr>
          <w:color w:val="000000" w:themeColor="text1"/>
          <w:szCs w:val="24"/>
        </w:rPr>
        <w:t>Based on these arguments, we propose that:</w:t>
      </w:r>
      <w:r w:rsidR="00F72D31">
        <w:rPr>
          <w:color w:val="000000" w:themeColor="text1"/>
          <w:szCs w:val="24"/>
        </w:rPr>
        <w:t xml:space="preserve"> </w:t>
      </w:r>
    </w:p>
    <w:p w14:paraId="5D57410C" w14:textId="77777777" w:rsidR="00416347" w:rsidRPr="006F5D71" w:rsidRDefault="00852504" w:rsidP="001337CA">
      <w:pPr>
        <w:pStyle w:val="NoSpacing"/>
        <w:spacing w:after="240" w:line="360" w:lineRule="auto"/>
        <w:jc w:val="both"/>
        <w:rPr>
          <w:i/>
          <w:iCs/>
          <w:color w:val="000000" w:themeColor="text1"/>
          <w:szCs w:val="24"/>
        </w:rPr>
      </w:pPr>
      <w:r w:rsidRPr="006F5D71">
        <w:rPr>
          <w:i/>
          <w:iCs/>
          <w:color w:val="000000" w:themeColor="text1"/>
          <w:szCs w:val="24"/>
        </w:rPr>
        <w:t xml:space="preserve">Hypothesis </w:t>
      </w:r>
      <w:r w:rsidR="00482E8E" w:rsidRPr="006F5D71">
        <w:rPr>
          <w:i/>
          <w:iCs/>
          <w:color w:val="000000" w:themeColor="text1"/>
          <w:szCs w:val="24"/>
        </w:rPr>
        <w:t>3b</w:t>
      </w:r>
      <w:r w:rsidRPr="006F5D71">
        <w:rPr>
          <w:i/>
          <w:iCs/>
          <w:color w:val="000000" w:themeColor="text1"/>
          <w:szCs w:val="24"/>
        </w:rPr>
        <w:t>:</w:t>
      </w:r>
      <w:r w:rsidR="00F72D31">
        <w:rPr>
          <w:i/>
          <w:iCs/>
          <w:color w:val="000000" w:themeColor="text1"/>
          <w:szCs w:val="24"/>
        </w:rPr>
        <w:t xml:space="preserve"> </w:t>
      </w:r>
      <w:r w:rsidRPr="006F5D71">
        <w:rPr>
          <w:i/>
          <w:iCs/>
          <w:color w:val="000000" w:themeColor="text1"/>
          <w:szCs w:val="24"/>
        </w:rPr>
        <w:t>Immigrant diaspora provide</w:t>
      </w:r>
      <w:r w:rsidR="00F06452" w:rsidRPr="006F5D71">
        <w:rPr>
          <w:i/>
          <w:iCs/>
          <w:color w:val="000000" w:themeColor="text1"/>
          <w:szCs w:val="24"/>
        </w:rPr>
        <w:t>s</w:t>
      </w:r>
      <w:r w:rsidRPr="006F5D71">
        <w:rPr>
          <w:i/>
          <w:iCs/>
          <w:color w:val="000000" w:themeColor="text1"/>
          <w:szCs w:val="24"/>
        </w:rPr>
        <w:t xml:space="preserve"> a source of learning about how to overcome endogenous risks </w:t>
      </w:r>
      <w:r w:rsidR="00A63DCD" w:rsidRPr="006F5D71">
        <w:rPr>
          <w:i/>
          <w:iCs/>
          <w:color w:val="000000" w:themeColor="text1"/>
          <w:szCs w:val="24"/>
        </w:rPr>
        <w:t>and</w:t>
      </w:r>
      <w:r w:rsidRPr="006F5D71">
        <w:rPr>
          <w:i/>
          <w:iCs/>
          <w:color w:val="000000" w:themeColor="text1"/>
          <w:szCs w:val="24"/>
        </w:rPr>
        <w:t xml:space="preserve"> act as gat</w:t>
      </w:r>
      <w:r w:rsidR="001337CA" w:rsidRPr="006F5D71">
        <w:rPr>
          <w:i/>
          <w:iCs/>
          <w:color w:val="000000" w:themeColor="text1"/>
          <w:szCs w:val="24"/>
        </w:rPr>
        <w:t>ekeepers to foreign institutions.</w:t>
      </w:r>
      <w:r w:rsidR="00A63DCD" w:rsidRPr="006F5D71">
        <w:rPr>
          <w:i/>
          <w:iCs/>
          <w:color w:val="000000" w:themeColor="text1"/>
          <w:szCs w:val="24"/>
        </w:rPr>
        <w:t xml:space="preserve"> A larger presence of home communities</w:t>
      </w:r>
      <w:r w:rsidR="00006EB5" w:rsidRPr="006F5D71">
        <w:rPr>
          <w:i/>
          <w:iCs/>
          <w:color w:val="000000" w:themeColor="text1"/>
          <w:szCs w:val="24"/>
        </w:rPr>
        <w:t xml:space="preserve"> in </w:t>
      </w:r>
      <w:r w:rsidR="005D2CF0">
        <w:rPr>
          <w:i/>
          <w:iCs/>
          <w:color w:val="000000" w:themeColor="text1"/>
          <w:szCs w:val="24"/>
        </w:rPr>
        <w:t xml:space="preserve">the </w:t>
      </w:r>
      <w:r w:rsidR="00006EB5" w:rsidRPr="006F5D71">
        <w:rPr>
          <w:i/>
          <w:iCs/>
          <w:color w:val="000000" w:themeColor="text1"/>
          <w:szCs w:val="24"/>
        </w:rPr>
        <w:t>South</w:t>
      </w:r>
      <w:r w:rsidR="00A63DCD" w:rsidRPr="006F5D71">
        <w:rPr>
          <w:i/>
          <w:iCs/>
          <w:color w:val="000000" w:themeColor="text1"/>
          <w:szCs w:val="24"/>
        </w:rPr>
        <w:t xml:space="preserve"> has a </w:t>
      </w:r>
      <w:r w:rsidR="00006EB5" w:rsidRPr="006F5D71">
        <w:rPr>
          <w:i/>
          <w:iCs/>
          <w:color w:val="000000" w:themeColor="text1"/>
          <w:szCs w:val="24"/>
        </w:rPr>
        <w:t xml:space="preserve">stronger </w:t>
      </w:r>
      <w:r w:rsidR="00A63DCD" w:rsidRPr="006F5D71">
        <w:rPr>
          <w:i/>
          <w:iCs/>
          <w:color w:val="000000" w:themeColor="text1"/>
          <w:szCs w:val="24"/>
        </w:rPr>
        <w:t>positive effect on EMNC survival</w:t>
      </w:r>
      <w:r w:rsidR="00D9499F" w:rsidRPr="006F5D71">
        <w:rPr>
          <w:i/>
          <w:iCs/>
          <w:color w:val="000000" w:themeColor="text1"/>
          <w:szCs w:val="24"/>
        </w:rPr>
        <w:t xml:space="preserve"> in </w:t>
      </w:r>
      <w:r w:rsidR="005D2CF0">
        <w:rPr>
          <w:i/>
          <w:iCs/>
          <w:color w:val="000000" w:themeColor="text1"/>
          <w:szCs w:val="24"/>
        </w:rPr>
        <w:t xml:space="preserve">the </w:t>
      </w:r>
      <w:r w:rsidR="00006EB5" w:rsidRPr="006F5D71">
        <w:rPr>
          <w:i/>
          <w:iCs/>
          <w:color w:val="000000" w:themeColor="text1"/>
          <w:szCs w:val="24"/>
        </w:rPr>
        <w:t>South as compared to</w:t>
      </w:r>
      <w:r w:rsidR="00D9499F" w:rsidRPr="006F5D71">
        <w:rPr>
          <w:i/>
          <w:iCs/>
          <w:color w:val="000000" w:themeColor="text1"/>
          <w:szCs w:val="24"/>
        </w:rPr>
        <w:t xml:space="preserve"> </w:t>
      </w:r>
      <w:r w:rsidR="005D2CF0">
        <w:rPr>
          <w:i/>
          <w:iCs/>
          <w:color w:val="000000" w:themeColor="text1"/>
          <w:szCs w:val="24"/>
        </w:rPr>
        <w:t xml:space="preserve">the </w:t>
      </w:r>
      <w:r w:rsidR="00D9499F" w:rsidRPr="006F5D71">
        <w:rPr>
          <w:i/>
          <w:iCs/>
          <w:color w:val="000000" w:themeColor="text1"/>
          <w:szCs w:val="24"/>
        </w:rPr>
        <w:t>North</w:t>
      </w:r>
      <w:r w:rsidR="00A63DCD" w:rsidRPr="006F5D71">
        <w:rPr>
          <w:i/>
          <w:iCs/>
          <w:color w:val="000000" w:themeColor="text1"/>
          <w:szCs w:val="24"/>
        </w:rPr>
        <w:t>.</w:t>
      </w:r>
    </w:p>
    <w:p w14:paraId="7767400C" w14:textId="77777777" w:rsidR="009C0DCC" w:rsidRPr="006F5D71" w:rsidRDefault="00905929" w:rsidP="001A7B86">
      <w:pPr>
        <w:pStyle w:val="NoSpacing"/>
        <w:spacing w:after="240"/>
        <w:ind w:left="720"/>
        <w:jc w:val="both"/>
        <w:rPr>
          <w:b/>
          <w:bCs/>
          <w:color w:val="000000" w:themeColor="text1"/>
          <w:sz w:val="28"/>
          <w:szCs w:val="28"/>
        </w:rPr>
      </w:pPr>
      <w:r w:rsidRPr="006F5D71">
        <w:rPr>
          <w:b/>
          <w:bCs/>
          <w:color w:val="000000" w:themeColor="text1"/>
          <w:sz w:val="28"/>
          <w:szCs w:val="28"/>
        </w:rPr>
        <w:t>3. Data and Methodology</w:t>
      </w:r>
    </w:p>
    <w:p w14:paraId="4F1112A1" w14:textId="77777777" w:rsidR="00855C00" w:rsidRPr="006F5D71" w:rsidRDefault="00855C00" w:rsidP="001A7B86">
      <w:pPr>
        <w:pStyle w:val="NoSpacing"/>
        <w:spacing w:after="240" w:line="360" w:lineRule="auto"/>
        <w:ind w:left="720"/>
        <w:jc w:val="both"/>
        <w:rPr>
          <w:i/>
          <w:color w:val="000000" w:themeColor="text1"/>
        </w:rPr>
      </w:pPr>
      <w:r w:rsidRPr="006F5D71">
        <w:rPr>
          <w:i/>
          <w:color w:val="000000" w:themeColor="text1"/>
        </w:rPr>
        <w:t xml:space="preserve">3.1. </w:t>
      </w:r>
      <w:r w:rsidR="00A07247" w:rsidRPr="006F5D71">
        <w:rPr>
          <w:i/>
          <w:color w:val="000000" w:themeColor="text1"/>
        </w:rPr>
        <w:t>Data</w:t>
      </w:r>
      <w:r w:rsidR="00905929" w:rsidRPr="006F5D71">
        <w:rPr>
          <w:i/>
          <w:color w:val="000000" w:themeColor="text1"/>
        </w:rPr>
        <w:t xml:space="preserve"> </w:t>
      </w:r>
    </w:p>
    <w:p w14:paraId="5D049782" w14:textId="77777777" w:rsidR="005071AF" w:rsidRPr="006F5D71" w:rsidRDefault="001A7B86" w:rsidP="00C91A3C">
      <w:pPr>
        <w:pStyle w:val="NoSpacing"/>
        <w:spacing w:line="360" w:lineRule="auto"/>
        <w:jc w:val="both"/>
        <w:rPr>
          <w:color w:val="000000" w:themeColor="text1"/>
        </w:rPr>
      </w:pPr>
      <w:r w:rsidRPr="006F5D71">
        <w:rPr>
          <w:iCs/>
          <w:color w:val="000000" w:themeColor="text1"/>
        </w:rPr>
        <w:tab/>
      </w:r>
      <w:r w:rsidR="00905929" w:rsidRPr="006F5D71">
        <w:rPr>
          <w:iCs/>
          <w:color w:val="000000" w:themeColor="text1"/>
        </w:rPr>
        <w:t>We</w:t>
      </w:r>
      <w:r w:rsidR="00905929" w:rsidRPr="006F5D71">
        <w:rPr>
          <w:color w:val="000000" w:themeColor="text1"/>
        </w:rPr>
        <w:t xml:space="preserve"> use an unbalanced panel dataset for foreign subsidiaries of all (non-financial) Chinese and Indian firms collected from Osiris and Orbis, f</w:t>
      </w:r>
      <w:r w:rsidR="005E6BDE" w:rsidRPr="006F5D71">
        <w:rPr>
          <w:color w:val="000000" w:themeColor="text1"/>
        </w:rPr>
        <w:t>rom</w:t>
      </w:r>
      <w:r w:rsidR="00905929" w:rsidRPr="006F5D71">
        <w:rPr>
          <w:color w:val="000000" w:themeColor="text1"/>
        </w:rPr>
        <w:t xml:space="preserve"> 2005 to 2018.</w:t>
      </w:r>
      <w:r w:rsidR="00291B87" w:rsidRPr="006F5D71">
        <w:rPr>
          <w:color w:val="000000" w:themeColor="text1"/>
        </w:rPr>
        <w:t xml:space="preserve"> Both </w:t>
      </w:r>
      <w:r w:rsidR="00291B87" w:rsidRPr="006F5D71">
        <w:rPr>
          <w:color w:val="000000" w:themeColor="text1"/>
        </w:rPr>
        <w:lastRenderedPageBreak/>
        <w:t xml:space="preserve">economies are considered pivotal players in shaping the global economy as both share </w:t>
      </w:r>
      <w:r w:rsidR="005E6BDE" w:rsidRPr="006F5D71">
        <w:rPr>
          <w:color w:val="000000" w:themeColor="text1"/>
        </w:rPr>
        <w:t xml:space="preserve">the </w:t>
      </w:r>
      <w:r w:rsidR="00291B87" w:rsidRPr="006F5D71">
        <w:rPr>
          <w:color w:val="000000" w:themeColor="text1"/>
        </w:rPr>
        <w:t>largest world trade share, human resource base, and consumer base.</w:t>
      </w:r>
      <w:r w:rsidR="00905929" w:rsidRPr="006F5D71">
        <w:rPr>
          <w:color w:val="000000" w:themeColor="text1"/>
        </w:rPr>
        <w:t xml:space="preserve"> </w:t>
      </w:r>
      <w:r w:rsidRPr="006F5D71">
        <w:rPr>
          <w:color w:val="000000" w:themeColor="text1"/>
        </w:rPr>
        <w:t xml:space="preserve">Together they accounted for 25% of OFDI flows in 2018 (UNCTAD, 2019). </w:t>
      </w:r>
      <w:r w:rsidR="005071AF" w:rsidRPr="006F5D71">
        <w:rPr>
          <w:color w:val="000000" w:themeColor="text1"/>
        </w:rPr>
        <w:t xml:space="preserve">This </w:t>
      </w:r>
      <w:r w:rsidRPr="006F5D71">
        <w:rPr>
          <w:color w:val="000000" w:themeColor="text1"/>
        </w:rPr>
        <w:t xml:space="preserve">scale </w:t>
      </w:r>
      <w:r w:rsidR="005071AF" w:rsidRPr="006F5D71">
        <w:rPr>
          <w:color w:val="000000" w:themeColor="text1"/>
        </w:rPr>
        <w:t xml:space="preserve">allows us to </w:t>
      </w:r>
      <w:r w:rsidR="00F777D7" w:rsidRPr="006F5D71">
        <w:rPr>
          <w:color w:val="000000" w:themeColor="text1"/>
        </w:rPr>
        <w:t xml:space="preserve">empirically </w:t>
      </w:r>
      <w:r w:rsidR="005071AF" w:rsidRPr="006F5D71">
        <w:rPr>
          <w:color w:val="000000" w:themeColor="text1"/>
        </w:rPr>
        <w:t>sample a sufficient amount of divested and n</w:t>
      </w:r>
      <w:r w:rsidR="007D6290" w:rsidRPr="006F5D71">
        <w:rPr>
          <w:color w:val="000000" w:themeColor="text1"/>
        </w:rPr>
        <w:t>on-divested subsidiaries of EMNC</w:t>
      </w:r>
      <w:r w:rsidR="005071AF" w:rsidRPr="006F5D71">
        <w:rPr>
          <w:color w:val="000000" w:themeColor="text1"/>
        </w:rPr>
        <w:t xml:space="preserve">s to conduct this research. </w:t>
      </w:r>
    </w:p>
    <w:p w14:paraId="14353B15" w14:textId="77777777" w:rsidR="00AE4DF7" w:rsidRPr="006F5D71" w:rsidRDefault="005071AF" w:rsidP="00C91A3C">
      <w:pPr>
        <w:pStyle w:val="NoSpacing"/>
        <w:spacing w:line="360" w:lineRule="auto"/>
        <w:ind w:firstLine="720"/>
        <w:jc w:val="both"/>
        <w:rPr>
          <w:color w:val="000000" w:themeColor="text1"/>
        </w:rPr>
      </w:pPr>
      <w:r w:rsidRPr="006F5D71">
        <w:rPr>
          <w:color w:val="000000" w:themeColor="text1"/>
        </w:rPr>
        <w:t xml:space="preserve">Orbis and Osiris databases offer </w:t>
      </w:r>
      <w:r w:rsidR="000E57A9" w:rsidRPr="006F5D71">
        <w:rPr>
          <w:color w:val="000000" w:themeColor="text1"/>
        </w:rPr>
        <w:t>large</w:t>
      </w:r>
      <w:r w:rsidRPr="006F5D71">
        <w:rPr>
          <w:color w:val="000000" w:themeColor="text1"/>
        </w:rPr>
        <w:t xml:space="preserve"> firm</w:t>
      </w:r>
      <w:r w:rsidR="00236E35" w:rsidRPr="006F5D71">
        <w:rPr>
          <w:color w:val="000000" w:themeColor="text1"/>
        </w:rPr>
        <w:t>-</w:t>
      </w:r>
      <w:r w:rsidRPr="006F5D71">
        <w:rPr>
          <w:color w:val="000000" w:themeColor="text1"/>
        </w:rPr>
        <w:t>level non-financial and financial information for more than 70</w:t>
      </w:r>
      <w:r w:rsidR="00F777D7">
        <w:rPr>
          <w:color w:val="000000" w:themeColor="text1"/>
        </w:rPr>
        <w:t>,</w:t>
      </w:r>
      <w:r w:rsidRPr="006F5D71">
        <w:rPr>
          <w:color w:val="000000" w:themeColor="text1"/>
        </w:rPr>
        <w:t xml:space="preserve">000 global firms. Studies in international business literature related to survival and divestment </w:t>
      </w:r>
      <w:r w:rsidR="00F777D7">
        <w:rPr>
          <w:color w:val="000000" w:themeColor="text1"/>
        </w:rPr>
        <w:t>use</w:t>
      </w:r>
      <w:r w:rsidRPr="006F5D71">
        <w:rPr>
          <w:color w:val="000000" w:themeColor="text1"/>
        </w:rPr>
        <w:t xml:space="preserve"> these data sources quite extensively (</w:t>
      </w:r>
      <w:r w:rsidR="000E57A9" w:rsidRPr="006F5D71">
        <w:rPr>
          <w:color w:val="000000" w:themeColor="text1"/>
        </w:rPr>
        <w:t xml:space="preserve">e.g., </w:t>
      </w:r>
      <w:r w:rsidR="001635D4" w:rsidRPr="006F5D71">
        <w:rPr>
          <w:color w:val="000000" w:themeColor="text1"/>
        </w:rPr>
        <w:t>Mohr et al.</w:t>
      </w:r>
      <w:r w:rsidRPr="006F5D71">
        <w:rPr>
          <w:color w:val="000000" w:themeColor="text1"/>
        </w:rPr>
        <w:t xml:space="preserve">, 2018; </w:t>
      </w:r>
      <w:r w:rsidR="00E43E63" w:rsidRPr="006F5D71">
        <w:rPr>
          <w:color w:val="000000" w:themeColor="text1"/>
        </w:rPr>
        <w:t xml:space="preserve">Garg &amp; </w:t>
      </w:r>
      <w:proofErr w:type="spellStart"/>
      <w:r w:rsidR="00E43E63" w:rsidRPr="006F5D71">
        <w:rPr>
          <w:color w:val="000000" w:themeColor="text1"/>
        </w:rPr>
        <w:t>Delios</w:t>
      </w:r>
      <w:proofErr w:type="spellEnd"/>
      <w:r w:rsidR="00E43E63" w:rsidRPr="006F5D71">
        <w:rPr>
          <w:color w:val="000000" w:themeColor="text1"/>
        </w:rPr>
        <w:t>, 2007</w:t>
      </w:r>
      <w:r w:rsidRPr="006F5D71">
        <w:rPr>
          <w:color w:val="000000" w:themeColor="text1"/>
        </w:rPr>
        <w:t xml:space="preserve">). </w:t>
      </w:r>
      <w:r w:rsidR="00E43E63" w:rsidRPr="006F5D71">
        <w:rPr>
          <w:color w:val="000000" w:themeColor="text1"/>
        </w:rPr>
        <w:t>For sample selection, initially</w:t>
      </w:r>
      <w:r w:rsidR="005E6BDE" w:rsidRPr="006F5D71">
        <w:rPr>
          <w:color w:val="000000" w:themeColor="text1"/>
        </w:rPr>
        <w:t>,</w:t>
      </w:r>
      <w:r w:rsidR="00E43E63" w:rsidRPr="006F5D71">
        <w:rPr>
          <w:color w:val="000000" w:themeColor="text1"/>
        </w:rPr>
        <w:t xml:space="preserve"> we search</w:t>
      </w:r>
      <w:r w:rsidR="005E6BDE" w:rsidRPr="006F5D71">
        <w:rPr>
          <w:color w:val="000000" w:themeColor="text1"/>
        </w:rPr>
        <w:t>ed</w:t>
      </w:r>
      <w:r w:rsidR="00E43E63" w:rsidRPr="006F5D71">
        <w:rPr>
          <w:color w:val="000000" w:themeColor="text1"/>
        </w:rPr>
        <w:t xml:space="preserve"> for foreign subsidi</w:t>
      </w:r>
      <w:r w:rsidR="007D6290" w:rsidRPr="006F5D71">
        <w:rPr>
          <w:color w:val="000000" w:themeColor="text1"/>
        </w:rPr>
        <w:t>aries of Indian and Chinese EMNC</w:t>
      </w:r>
      <w:r w:rsidR="00E43E63" w:rsidRPr="006F5D71">
        <w:rPr>
          <w:color w:val="000000" w:themeColor="text1"/>
        </w:rPr>
        <w:t>s in both databases and found more than 1</w:t>
      </w:r>
      <w:r w:rsidR="00F777D7">
        <w:rPr>
          <w:color w:val="000000" w:themeColor="text1"/>
        </w:rPr>
        <w:t>,</w:t>
      </w:r>
      <w:r w:rsidR="00E43E63" w:rsidRPr="006F5D71">
        <w:rPr>
          <w:color w:val="000000" w:themeColor="text1"/>
        </w:rPr>
        <w:t xml:space="preserve">500 </w:t>
      </w:r>
      <w:r w:rsidR="00B93F32" w:rsidRPr="006F5D71">
        <w:rPr>
          <w:color w:val="000000" w:themeColor="text1"/>
        </w:rPr>
        <w:t xml:space="preserve">non-financial </w:t>
      </w:r>
      <w:r w:rsidR="00F777D7" w:rsidRPr="006F5D71">
        <w:rPr>
          <w:color w:val="000000" w:themeColor="text1"/>
        </w:rPr>
        <w:t xml:space="preserve">foreign </w:t>
      </w:r>
      <w:r w:rsidR="00E43E63" w:rsidRPr="006F5D71">
        <w:rPr>
          <w:color w:val="000000" w:themeColor="text1"/>
        </w:rPr>
        <w:t xml:space="preserve">subsidiaries. </w:t>
      </w:r>
      <w:r w:rsidR="00B93F32" w:rsidRPr="006F5D71">
        <w:rPr>
          <w:color w:val="000000" w:themeColor="text1"/>
        </w:rPr>
        <w:t xml:space="preserve">We select those foreign </w:t>
      </w:r>
      <w:r w:rsidR="00827D3C" w:rsidRPr="006F5D71">
        <w:rPr>
          <w:color w:val="000000" w:themeColor="text1"/>
        </w:rPr>
        <w:t>subsidiaries, which</w:t>
      </w:r>
      <w:r w:rsidR="00B93F32" w:rsidRPr="006F5D71">
        <w:rPr>
          <w:color w:val="000000" w:themeColor="text1"/>
        </w:rPr>
        <w:t xml:space="preserve"> contain financial information for at least three years (Hendricks &amp; Singhal, 1997). </w:t>
      </w:r>
      <w:r w:rsidR="00827D3C" w:rsidRPr="006F5D71">
        <w:rPr>
          <w:color w:val="000000" w:themeColor="text1"/>
        </w:rPr>
        <w:t>Alt</w:t>
      </w:r>
      <w:r w:rsidR="00B93F32" w:rsidRPr="006F5D71">
        <w:rPr>
          <w:color w:val="000000" w:themeColor="text1"/>
        </w:rPr>
        <w:t>hough both databases provide extensive firm-level information on MNCs</w:t>
      </w:r>
      <w:r w:rsidR="00F777D7">
        <w:rPr>
          <w:color w:val="000000" w:themeColor="text1"/>
        </w:rPr>
        <w:t>,</w:t>
      </w:r>
      <w:r w:rsidR="00B93F32" w:rsidRPr="006F5D71">
        <w:rPr>
          <w:color w:val="000000" w:themeColor="text1"/>
        </w:rPr>
        <w:t xml:space="preserve"> information at the subsidiary level is limited, especially for foreign subsidiaries. This selection criterion reduced our sample size to 754 </w:t>
      </w:r>
      <w:r w:rsidR="00827D3C" w:rsidRPr="006F5D71">
        <w:rPr>
          <w:color w:val="000000" w:themeColor="text1"/>
        </w:rPr>
        <w:t>subsidiaries of</w:t>
      </w:r>
      <w:r w:rsidR="004844FB" w:rsidRPr="006F5D71">
        <w:rPr>
          <w:color w:val="000000" w:themeColor="text1"/>
        </w:rPr>
        <w:t xml:space="preserve"> 394 parent firms (176</w:t>
      </w:r>
      <w:r w:rsidR="00827D3C" w:rsidRPr="006F5D71">
        <w:rPr>
          <w:color w:val="000000" w:themeColor="text1"/>
        </w:rPr>
        <w:t xml:space="preserve"> </w:t>
      </w:r>
      <w:r w:rsidR="001423F1" w:rsidRPr="006F5D71">
        <w:rPr>
          <w:color w:val="000000" w:themeColor="text1"/>
        </w:rPr>
        <w:t>Indian</w:t>
      </w:r>
      <w:r w:rsidR="00827D3C" w:rsidRPr="006F5D71">
        <w:rPr>
          <w:color w:val="000000" w:themeColor="text1"/>
        </w:rPr>
        <w:t xml:space="preserve"> and </w:t>
      </w:r>
      <w:r w:rsidR="004844FB" w:rsidRPr="006F5D71">
        <w:rPr>
          <w:color w:val="000000" w:themeColor="text1"/>
        </w:rPr>
        <w:t>218</w:t>
      </w:r>
      <w:r w:rsidR="00827D3C" w:rsidRPr="006F5D71">
        <w:rPr>
          <w:color w:val="000000" w:themeColor="text1"/>
        </w:rPr>
        <w:t xml:space="preserve"> Chinese EMNE</w:t>
      </w:r>
      <w:r w:rsidR="004844FB" w:rsidRPr="006F5D71">
        <w:rPr>
          <w:color w:val="000000" w:themeColor="text1"/>
        </w:rPr>
        <w:t>)</w:t>
      </w:r>
      <w:r w:rsidR="00B93F32" w:rsidRPr="006F5D71">
        <w:rPr>
          <w:color w:val="000000" w:themeColor="text1"/>
        </w:rPr>
        <w:t>. Among these firms, we then distinguish between</w:t>
      </w:r>
      <w:r w:rsidR="00E43E63" w:rsidRPr="006F5D71">
        <w:rPr>
          <w:color w:val="000000" w:themeColor="text1"/>
        </w:rPr>
        <w:t xml:space="preserve"> foreign subsidiaries </w:t>
      </w:r>
      <w:r w:rsidR="00F06452" w:rsidRPr="006F5D71">
        <w:rPr>
          <w:color w:val="000000" w:themeColor="text1"/>
        </w:rPr>
        <w:t>that</w:t>
      </w:r>
      <w:r w:rsidR="00E43E63" w:rsidRPr="006F5D71">
        <w:rPr>
          <w:color w:val="000000" w:themeColor="text1"/>
        </w:rPr>
        <w:t xml:space="preserve"> experienced complete exit in terms of selling-off or shutting down </w:t>
      </w:r>
      <w:r w:rsidR="00540904" w:rsidRPr="006F5D71">
        <w:rPr>
          <w:color w:val="000000" w:themeColor="text1"/>
        </w:rPr>
        <w:t>and which remained functional during the study sample period 2005 to 2018</w:t>
      </w:r>
      <w:r w:rsidR="00E43E63" w:rsidRPr="006F5D71">
        <w:rPr>
          <w:color w:val="000000" w:themeColor="text1"/>
        </w:rPr>
        <w:t xml:space="preserve">. We decide about the divestment of subsidiaries based on </w:t>
      </w:r>
      <w:r w:rsidR="00583853" w:rsidRPr="006F5D71">
        <w:rPr>
          <w:color w:val="000000" w:themeColor="text1"/>
        </w:rPr>
        <w:t>two criteria</w:t>
      </w:r>
      <w:r w:rsidR="00245A02" w:rsidRPr="006F5D71">
        <w:rPr>
          <w:color w:val="000000" w:themeColor="text1"/>
        </w:rPr>
        <w:t xml:space="preserve"> following previous studies on divestment</w:t>
      </w:r>
      <w:r w:rsidR="00583853" w:rsidRPr="006F5D71">
        <w:rPr>
          <w:color w:val="000000" w:themeColor="text1"/>
        </w:rPr>
        <w:t xml:space="preserve">: if the record of a subsidiary is not available for subsequent years or by looking at the status of the subsidiary in terms of active or de-active status reported in databases. We further validate this process by examining the annual reports of parent firms as these also mentioned the name of divested subsidiaries. </w:t>
      </w:r>
      <w:r w:rsidR="00B93F32" w:rsidRPr="006F5D71">
        <w:rPr>
          <w:color w:val="000000" w:themeColor="text1"/>
        </w:rPr>
        <w:t>It is important to note that</w:t>
      </w:r>
      <w:r w:rsidR="00245A02" w:rsidRPr="006F5D71">
        <w:rPr>
          <w:color w:val="000000" w:themeColor="text1"/>
        </w:rPr>
        <w:t xml:space="preserve"> extracting informa</w:t>
      </w:r>
      <w:r w:rsidR="00B93F32" w:rsidRPr="006F5D71">
        <w:rPr>
          <w:color w:val="000000" w:themeColor="text1"/>
        </w:rPr>
        <w:t>tion for divested firms is a</w:t>
      </w:r>
      <w:r w:rsidR="00245A02" w:rsidRPr="006F5D71">
        <w:rPr>
          <w:color w:val="000000" w:themeColor="text1"/>
        </w:rPr>
        <w:t xml:space="preserve"> </w:t>
      </w:r>
      <w:r w:rsidR="00B93F32" w:rsidRPr="006F5D71">
        <w:rPr>
          <w:color w:val="000000" w:themeColor="text1"/>
        </w:rPr>
        <w:t>difficult task</w:t>
      </w:r>
      <w:r w:rsidR="00F777D7">
        <w:rPr>
          <w:color w:val="000000" w:themeColor="text1"/>
        </w:rPr>
        <w:t>,</w:t>
      </w:r>
      <w:r w:rsidR="00245A02" w:rsidRPr="006F5D71">
        <w:rPr>
          <w:color w:val="000000" w:themeColor="text1"/>
        </w:rPr>
        <w:t xml:space="preserve"> as </w:t>
      </w:r>
      <w:r w:rsidR="005E6BDE" w:rsidRPr="006F5D71">
        <w:rPr>
          <w:color w:val="000000" w:themeColor="text1"/>
        </w:rPr>
        <w:t xml:space="preserve">in </w:t>
      </w:r>
      <w:r w:rsidR="00245A02" w:rsidRPr="006F5D71">
        <w:rPr>
          <w:color w:val="000000" w:themeColor="text1"/>
        </w:rPr>
        <w:t xml:space="preserve">most </w:t>
      </w:r>
      <w:r w:rsidR="00D14A21" w:rsidRPr="006F5D71">
        <w:rPr>
          <w:color w:val="000000" w:themeColor="text1"/>
        </w:rPr>
        <w:t>cases</w:t>
      </w:r>
      <w:r w:rsidR="00F777D7">
        <w:rPr>
          <w:color w:val="000000" w:themeColor="text1"/>
        </w:rPr>
        <w:t>,</w:t>
      </w:r>
      <w:r w:rsidR="00245A02" w:rsidRPr="006F5D71">
        <w:rPr>
          <w:color w:val="000000" w:themeColor="text1"/>
        </w:rPr>
        <w:t xml:space="preserve"> their web</w:t>
      </w:r>
      <w:r w:rsidR="00236E35" w:rsidRPr="006F5D71">
        <w:rPr>
          <w:color w:val="000000" w:themeColor="text1"/>
        </w:rPr>
        <w:t xml:space="preserve"> </w:t>
      </w:r>
      <w:r w:rsidR="00245A02" w:rsidRPr="006F5D71">
        <w:rPr>
          <w:color w:val="000000" w:themeColor="text1"/>
        </w:rPr>
        <w:t xml:space="preserve">pages are </w:t>
      </w:r>
      <w:r w:rsidR="00F777D7">
        <w:rPr>
          <w:color w:val="000000" w:themeColor="text1"/>
        </w:rPr>
        <w:t>no longer</w:t>
      </w:r>
      <w:r w:rsidR="00F777D7" w:rsidRPr="006F5D71">
        <w:rPr>
          <w:color w:val="000000" w:themeColor="text1"/>
        </w:rPr>
        <w:t xml:space="preserve"> </w:t>
      </w:r>
      <w:r w:rsidR="00245A02" w:rsidRPr="006F5D71">
        <w:rPr>
          <w:color w:val="000000" w:themeColor="text1"/>
        </w:rPr>
        <w:t xml:space="preserve">accessible. </w:t>
      </w:r>
      <w:r w:rsidR="005A4268" w:rsidRPr="006F5D71">
        <w:rPr>
          <w:color w:val="000000" w:themeColor="text1"/>
        </w:rPr>
        <w:t>For country</w:t>
      </w:r>
      <w:r w:rsidR="000B6858" w:rsidRPr="006F5D71">
        <w:rPr>
          <w:color w:val="000000" w:themeColor="text1"/>
        </w:rPr>
        <w:t>-</w:t>
      </w:r>
      <w:r w:rsidR="005A4268" w:rsidRPr="006F5D71">
        <w:rPr>
          <w:color w:val="000000" w:themeColor="text1"/>
        </w:rPr>
        <w:t>level variables, for instance, Home Country Diaspora</w:t>
      </w:r>
      <w:r w:rsidR="00F777D7">
        <w:rPr>
          <w:color w:val="000000" w:themeColor="text1"/>
        </w:rPr>
        <w:t xml:space="preserve"> and</w:t>
      </w:r>
      <w:r w:rsidR="005A4268" w:rsidRPr="006F5D71">
        <w:rPr>
          <w:color w:val="000000" w:themeColor="text1"/>
        </w:rPr>
        <w:t xml:space="preserve"> GDP, the </w:t>
      </w:r>
      <w:r w:rsidR="001423F1" w:rsidRPr="006F5D71">
        <w:rPr>
          <w:color w:val="000000" w:themeColor="text1"/>
        </w:rPr>
        <w:t>data are</w:t>
      </w:r>
      <w:r w:rsidR="005A4268" w:rsidRPr="006F5D71">
        <w:rPr>
          <w:color w:val="000000" w:themeColor="text1"/>
        </w:rPr>
        <w:t xml:space="preserve"> from various sources such as</w:t>
      </w:r>
      <w:r w:rsidR="00D14A21" w:rsidRPr="006F5D71">
        <w:rPr>
          <w:color w:val="000000" w:themeColor="text1"/>
        </w:rPr>
        <w:t xml:space="preserve"> the</w:t>
      </w:r>
      <w:r w:rsidR="005A4268" w:rsidRPr="006F5D71">
        <w:rPr>
          <w:color w:val="000000" w:themeColor="text1"/>
        </w:rPr>
        <w:t xml:space="preserve"> International Migrant Stock matrix (published by</w:t>
      </w:r>
      <w:r w:rsidR="00F777D7">
        <w:rPr>
          <w:color w:val="000000" w:themeColor="text1"/>
        </w:rPr>
        <w:t xml:space="preserve"> the</w:t>
      </w:r>
      <w:r w:rsidR="005A4268" w:rsidRPr="006F5D71">
        <w:rPr>
          <w:color w:val="000000" w:themeColor="text1"/>
        </w:rPr>
        <w:t xml:space="preserve"> UN), national statistical bureaus (census data), OECD, ILO, World </w:t>
      </w:r>
      <w:r w:rsidR="000B6858" w:rsidRPr="006F5D71">
        <w:rPr>
          <w:color w:val="000000" w:themeColor="text1"/>
        </w:rPr>
        <w:t>Bank</w:t>
      </w:r>
      <w:r w:rsidR="005A4268" w:rsidRPr="006F5D71">
        <w:rPr>
          <w:color w:val="000000" w:themeColor="text1"/>
        </w:rPr>
        <w:t>, WGI (indicators), and WDI databases.</w:t>
      </w:r>
    </w:p>
    <w:p w14:paraId="59285AD6" w14:textId="77777777" w:rsidR="001423F1" w:rsidRPr="006F5D71" w:rsidRDefault="00540904" w:rsidP="000F0DAD">
      <w:pPr>
        <w:pStyle w:val="NoSpacing"/>
        <w:spacing w:line="360" w:lineRule="auto"/>
        <w:ind w:firstLine="720"/>
        <w:jc w:val="both"/>
        <w:rPr>
          <w:color w:val="000000" w:themeColor="text1"/>
        </w:rPr>
      </w:pPr>
      <w:r w:rsidRPr="006F5D71">
        <w:rPr>
          <w:color w:val="000000" w:themeColor="text1"/>
        </w:rPr>
        <w:t>Finally, a</w:t>
      </w:r>
      <w:r w:rsidR="00905929" w:rsidRPr="006F5D71">
        <w:rPr>
          <w:color w:val="000000" w:themeColor="text1"/>
        </w:rPr>
        <w:t>fter cleaning, our final sample comprises about 418 Chinese and 329 Indian foreign subsidiaries (747 subsidiaries altogether). Of these, 241 subsidiaries have been divested suggesting an overall survival rate for 2005-2018 of 67.7% overall and 68.4% for Chinese firms</w:t>
      </w:r>
      <w:r w:rsidR="005E6BDE" w:rsidRPr="006F5D71">
        <w:rPr>
          <w:color w:val="000000" w:themeColor="text1"/>
        </w:rPr>
        <w:t>,</w:t>
      </w:r>
      <w:r w:rsidR="00905929" w:rsidRPr="006F5D71">
        <w:rPr>
          <w:color w:val="000000" w:themeColor="text1"/>
        </w:rPr>
        <w:t xml:space="preserve"> and 66.8% for Indian firms. In terms of regions, 179 subsidiaries </w:t>
      </w:r>
      <w:r w:rsidR="00F56AEE" w:rsidRPr="006F5D71">
        <w:rPr>
          <w:color w:val="000000" w:themeColor="text1"/>
        </w:rPr>
        <w:t xml:space="preserve">were </w:t>
      </w:r>
      <w:r w:rsidR="00905929" w:rsidRPr="006F5D71">
        <w:rPr>
          <w:color w:val="000000" w:themeColor="text1"/>
        </w:rPr>
        <w:t>divested from North</w:t>
      </w:r>
      <w:r w:rsidR="00125288" w:rsidRPr="006F5D71">
        <w:rPr>
          <w:color w:val="000000" w:themeColor="text1"/>
        </w:rPr>
        <w:t>ern locations</w:t>
      </w:r>
      <w:r w:rsidR="00905929" w:rsidRPr="006F5D71">
        <w:rPr>
          <w:color w:val="000000" w:themeColor="text1"/>
        </w:rPr>
        <w:t>, indicating a survival rate of 64.4%, whereas 62</w:t>
      </w:r>
      <w:r w:rsidR="00125288" w:rsidRPr="006F5D71">
        <w:rPr>
          <w:color w:val="000000" w:themeColor="text1"/>
        </w:rPr>
        <w:t xml:space="preserve"> </w:t>
      </w:r>
      <w:r w:rsidR="00905929" w:rsidRPr="006F5D71">
        <w:rPr>
          <w:color w:val="000000" w:themeColor="text1"/>
        </w:rPr>
        <w:t xml:space="preserve">subsidiaries </w:t>
      </w:r>
      <w:r w:rsidR="00125288" w:rsidRPr="006F5D71">
        <w:rPr>
          <w:color w:val="000000" w:themeColor="text1"/>
        </w:rPr>
        <w:lastRenderedPageBreak/>
        <w:t>were</w:t>
      </w:r>
      <w:r w:rsidR="00905929" w:rsidRPr="006F5D71">
        <w:rPr>
          <w:color w:val="000000" w:themeColor="text1"/>
        </w:rPr>
        <w:t xml:space="preserve"> </w:t>
      </w:r>
      <w:r w:rsidR="001A7B86" w:rsidRPr="006F5D71">
        <w:rPr>
          <w:color w:val="000000" w:themeColor="text1"/>
        </w:rPr>
        <w:t xml:space="preserve">divested </w:t>
      </w:r>
      <w:r w:rsidR="00905929" w:rsidRPr="006F5D71">
        <w:rPr>
          <w:color w:val="000000" w:themeColor="text1"/>
        </w:rPr>
        <w:t>from South</w:t>
      </w:r>
      <w:r w:rsidR="00125288" w:rsidRPr="006F5D71">
        <w:rPr>
          <w:color w:val="000000" w:themeColor="text1"/>
        </w:rPr>
        <w:t>ern regions</w:t>
      </w:r>
      <w:r w:rsidR="00905929" w:rsidRPr="006F5D71">
        <w:rPr>
          <w:color w:val="000000" w:themeColor="text1"/>
        </w:rPr>
        <w:t xml:space="preserve"> with a survival rate of 74.5%.</w:t>
      </w:r>
      <w:r w:rsidR="001A7B86" w:rsidRPr="006F5D71">
        <w:rPr>
          <w:rStyle w:val="FootnoteReference"/>
          <w:color w:val="000000" w:themeColor="text1"/>
        </w:rPr>
        <w:footnoteReference w:id="5"/>
      </w:r>
      <w:r w:rsidR="00905929" w:rsidRPr="006F5D71">
        <w:rPr>
          <w:color w:val="000000" w:themeColor="text1"/>
        </w:rPr>
        <w:t xml:space="preserve"> </w:t>
      </w:r>
      <w:r w:rsidR="005E6BDE" w:rsidRPr="006F5D71">
        <w:rPr>
          <w:color w:val="000000" w:themeColor="text1"/>
        </w:rPr>
        <w:t>Th</w:t>
      </w:r>
      <w:r w:rsidR="00125288" w:rsidRPr="006F5D71">
        <w:rPr>
          <w:color w:val="000000" w:themeColor="text1"/>
        </w:rPr>
        <w:t xml:space="preserve">us, </w:t>
      </w:r>
      <w:r w:rsidR="005E6BDE" w:rsidRPr="006F5D71">
        <w:rPr>
          <w:color w:val="000000" w:themeColor="text1"/>
        </w:rPr>
        <w:t>EMNCs</w:t>
      </w:r>
      <w:r w:rsidR="00905929" w:rsidRPr="006F5D71">
        <w:rPr>
          <w:color w:val="000000" w:themeColor="text1"/>
        </w:rPr>
        <w:t xml:space="preserve"> had a far better survival rate in </w:t>
      </w:r>
      <w:r w:rsidR="005E6BDE" w:rsidRPr="006F5D71">
        <w:rPr>
          <w:color w:val="000000" w:themeColor="text1"/>
        </w:rPr>
        <w:t xml:space="preserve">the </w:t>
      </w:r>
      <w:r w:rsidR="00905929" w:rsidRPr="006F5D71">
        <w:rPr>
          <w:color w:val="000000" w:themeColor="text1"/>
        </w:rPr>
        <w:t xml:space="preserve">South as compared to </w:t>
      </w:r>
      <w:r w:rsidR="005E6BDE" w:rsidRPr="006F5D71">
        <w:rPr>
          <w:color w:val="000000" w:themeColor="text1"/>
        </w:rPr>
        <w:t>the North.</w:t>
      </w:r>
      <w:r w:rsidR="001423F1" w:rsidRPr="006F5D71">
        <w:rPr>
          <w:color w:val="000000" w:themeColor="text1"/>
        </w:rPr>
        <w:t xml:space="preserve"> </w:t>
      </w:r>
      <w:r w:rsidR="007726D8" w:rsidRPr="006F5D71">
        <w:rPr>
          <w:color w:val="000000" w:themeColor="text1"/>
        </w:rPr>
        <w:t xml:space="preserve">Figure 1 plots this survival by </w:t>
      </w:r>
      <w:proofErr w:type="gramStart"/>
      <w:r w:rsidR="007726D8" w:rsidRPr="006F5D71">
        <w:rPr>
          <w:color w:val="000000" w:themeColor="text1"/>
        </w:rPr>
        <w:t>year</w:t>
      </w:r>
      <w:proofErr w:type="gramEnd"/>
      <w:r w:rsidR="007726D8" w:rsidRPr="006F5D71">
        <w:rPr>
          <w:color w:val="000000" w:themeColor="text1"/>
        </w:rPr>
        <w:t xml:space="preserve"> and we can see the sharp decline post</w:t>
      </w:r>
      <w:r w:rsidR="00F777D7">
        <w:rPr>
          <w:color w:val="000000" w:themeColor="text1"/>
        </w:rPr>
        <w:t>-</w:t>
      </w:r>
      <w:r w:rsidR="007726D8" w:rsidRPr="006F5D71">
        <w:rPr>
          <w:color w:val="000000" w:themeColor="text1"/>
        </w:rPr>
        <w:t>2009—the year of the financial crisis.</w:t>
      </w:r>
    </w:p>
    <w:p w14:paraId="7C31A525" w14:textId="77777777" w:rsidR="00540904" w:rsidRPr="006F5D71" w:rsidRDefault="00125288" w:rsidP="00182440">
      <w:pPr>
        <w:pStyle w:val="NoSpacing"/>
        <w:spacing w:after="240" w:line="360" w:lineRule="auto"/>
        <w:ind w:firstLine="720"/>
        <w:jc w:val="both"/>
        <w:rPr>
          <w:color w:val="000000" w:themeColor="text1"/>
        </w:rPr>
      </w:pPr>
      <w:r w:rsidRPr="006F5D71">
        <w:rPr>
          <w:color w:val="000000" w:themeColor="text1"/>
        </w:rPr>
        <w:t xml:space="preserve">In Table </w:t>
      </w:r>
      <w:r w:rsidR="00730DC6" w:rsidRPr="006F5D71">
        <w:rPr>
          <w:color w:val="000000" w:themeColor="text1"/>
        </w:rPr>
        <w:t>A2 (supplementary file</w:t>
      </w:r>
      <w:r w:rsidR="004844FB" w:rsidRPr="006F5D71">
        <w:rPr>
          <w:color w:val="000000" w:themeColor="text1"/>
        </w:rPr>
        <w:t>)</w:t>
      </w:r>
      <w:r w:rsidRPr="006F5D71">
        <w:rPr>
          <w:color w:val="000000" w:themeColor="text1"/>
        </w:rPr>
        <w:t xml:space="preserve"> we present cross</w:t>
      </w:r>
      <w:r w:rsidR="00236E35" w:rsidRPr="006F5D71">
        <w:rPr>
          <w:color w:val="000000" w:themeColor="text1"/>
        </w:rPr>
        <w:t>-</w:t>
      </w:r>
      <w:r w:rsidRPr="006F5D71">
        <w:rPr>
          <w:color w:val="000000" w:themeColor="text1"/>
        </w:rPr>
        <w:t xml:space="preserve">tabulations plotting profitability (measured by return on assets) against the exit and stay decision in both </w:t>
      </w:r>
      <w:r w:rsidR="007726D8" w:rsidRPr="006F5D71">
        <w:rPr>
          <w:color w:val="000000" w:themeColor="text1"/>
        </w:rPr>
        <w:t>Northern and S</w:t>
      </w:r>
      <w:r w:rsidRPr="006F5D71">
        <w:rPr>
          <w:color w:val="000000" w:themeColor="text1"/>
        </w:rPr>
        <w:t>outhern locations.</w:t>
      </w:r>
      <w:r w:rsidR="00F72D31">
        <w:rPr>
          <w:color w:val="000000" w:themeColor="text1"/>
        </w:rPr>
        <w:t xml:space="preserve"> </w:t>
      </w:r>
      <w:r w:rsidR="00674C50" w:rsidRPr="006F5D71">
        <w:rPr>
          <w:color w:val="000000" w:themeColor="text1"/>
        </w:rPr>
        <w:t>F</w:t>
      </w:r>
      <w:r w:rsidR="00D644D8" w:rsidRPr="006F5D71">
        <w:rPr>
          <w:color w:val="000000" w:themeColor="text1"/>
        </w:rPr>
        <w:t>irms may be unprofitable in some</w:t>
      </w:r>
      <w:r w:rsidR="00674C50" w:rsidRPr="006F5D71">
        <w:rPr>
          <w:color w:val="000000" w:themeColor="text1"/>
        </w:rPr>
        <w:t xml:space="preserve"> years but profitable in others</w:t>
      </w:r>
      <w:r w:rsidR="00D644D8" w:rsidRPr="006F5D71">
        <w:rPr>
          <w:color w:val="000000" w:themeColor="text1"/>
        </w:rPr>
        <w:t>. What we see is that</w:t>
      </w:r>
      <w:r w:rsidR="00F777D7">
        <w:rPr>
          <w:color w:val="000000" w:themeColor="text1"/>
        </w:rPr>
        <w:t>,</w:t>
      </w:r>
      <w:r w:rsidR="00D644D8" w:rsidRPr="006F5D71">
        <w:rPr>
          <w:color w:val="000000" w:themeColor="text1"/>
        </w:rPr>
        <w:t xml:space="preserve"> over the entire period, many </w:t>
      </w:r>
      <w:r w:rsidR="009F5660">
        <w:rPr>
          <w:color w:val="000000" w:themeColor="text1"/>
        </w:rPr>
        <w:t xml:space="preserve">more </w:t>
      </w:r>
      <w:r w:rsidR="00D644D8" w:rsidRPr="006F5D71">
        <w:rPr>
          <w:color w:val="000000" w:themeColor="text1"/>
        </w:rPr>
        <w:t xml:space="preserve">unprofitable subsidiaries stayed rather than exited Northern locations </w:t>
      </w:r>
      <w:r w:rsidR="009F5660">
        <w:rPr>
          <w:color w:val="000000" w:themeColor="text1"/>
        </w:rPr>
        <w:t>compared to</w:t>
      </w:r>
      <w:r w:rsidR="00D644D8" w:rsidRPr="006F5D71">
        <w:rPr>
          <w:color w:val="000000" w:themeColor="text1"/>
        </w:rPr>
        <w:t xml:space="preserve"> Southern locations. This decision to stay</w:t>
      </w:r>
      <w:r w:rsidR="00F777D7">
        <w:rPr>
          <w:color w:val="000000" w:themeColor="text1"/>
        </w:rPr>
        <w:t>,</w:t>
      </w:r>
      <w:r w:rsidR="00D644D8" w:rsidRPr="006F5D71">
        <w:rPr>
          <w:color w:val="000000" w:themeColor="text1"/>
        </w:rPr>
        <w:t xml:space="preserve"> despite the lack of profitability</w:t>
      </w:r>
      <w:r w:rsidR="00F777D7">
        <w:rPr>
          <w:color w:val="000000" w:themeColor="text1"/>
        </w:rPr>
        <w:t>,</w:t>
      </w:r>
      <w:r w:rsidR="00D644D8" w:rsidRPr="006F5D71">
        <w:rPr>
          <w:color w:val="000000" w:themeColor="text1"/>
        </w:rPr>
        <w:t xml:space="preserve"> suggests the possibility of strategic value and justifies our use of a real options framework. When we split the sample period into two parts comprising the period </w:t>
      </w:r>
      <w:r w:rsidR="004844FB" w:rsidRPr="006F5D71">
        <w:rPr>
          <w:color w:val="000000" w:themeColor="text1"/>
        </w:rPr>
        <w:t>up to</w:t>
      </w:r>
      <w:r w:rsidR="00D644D8" w:rsidRPr="006F5D71">
        <w:rPr>
          <w:color w:val="000000" w:themeColor="text1"/>
        </w:rPr>
        <w:t xml:space="preserve"> the financial crisis of 2009 (2005-2009) and the peri</w:t>
      </w:r>
      <w:r w:rsidR="004844FB" w:rsidRPr="006F5D71">
        <w:rPr>
          <w:color w:val="000000" w:themeColor="text1"/>
        </w:rPr>
        <w:t>od after</w:t>
      </w:r>
      <w:r w:rsidR="00806661" w:rsidRPr="006F5D71">
        <w:rPr>
          <w:color w:val="000000" w:themeColor="text1"/>
        </w:rPr>
        <w:t xml:space="preserve"> the financial crisis (2010-2017</w:t>
      </w:r>
      <w:r w:rsidR="00D644D8" w:rsidRPr="006F5D71">
        <w:rPr>
          <w:color w:val="000000" w:themeColor="text1"/>
        </w:rPr>
        <w:t>), we see that the financial crisis hastened the exit of unprofitable firms</w:t>
      </w:r>
      <w:r w:rsidR="009F5660">
        <w:rPr>
          <w:color w:val="000000" w:themeColor="text1"/>
        </w:rPr>
        <w:t xml:space="preserve">, </w:t>
      </w:r>
      <w:r w:rsidR="009F5660" w:rsidRPr="006F5D71">
        <w:rPr>
          <w:color w:val="000000" w:themeColor="text1"/>
        </w:rPr>
        <w:t>in both the North and the South</w:t>
      </w:r>
      <w:r w:rsidR="00D644D8" w:rsidRPr="006F5D71">
        <w:rPr>
          <w:color w:val="000000" w:themeColor="text1"/>
        </w:rPr>
        <w:t>.</w:t>
      </w:r>
    </w:p>
    <w:p w14:paraId="179981BE" w14:textId="77777777" w:rsidR="00855C00" w:rsidRPr="006F5D71" w:rsidRDefault="00855C00" w:rsidP="007726D8">
      <w:pPr>
        <w:spacing w:line="360" w:lineRule="auto"/>
        <w:ind w:left="720"/>
        <w:jc w:val="both"/>
        <w:rPr>
          <w:i/>
          <w:color w:val="000000" w:themeColor="text1"/>
        </w:rPr>
      </w:pPr>
      <w:r w:rsidRPr="006F5D71">
        <w:rPr>
          <w:i/>
          <w:color w:val="000000" w:themeColor="text1"/>
        </w:rPr>
        <w:t>3.2. Methodology</w:t>
      </w:r>
      <w:r w:rsidR="00905929" w:rsidRPr="006F5D71">
        <w:rPr>
          <w:i/>
          <w:color w:val="000000" w:themeColor="text1"/>
        </w:rPr>
        <w:t xml:space="preserve"> </w:t>
      </w:r>
    </w:p>
    <w:p w14:paraId="77130EE4" w14:textId="77777777" w:rsidR="00905929" w:rsidRPr="006F5D71" w:rsidRDefault="007726D8" w:rsidP="00C91A3C">
      <w:pPr>
        <w:spacing w:after="0" w:line="360" w:lineRule="auto"/>
        <w:jc w:val="both"/>
        <w:rPr>
          <w:color w:val="000000" w:themeColor="text1"/>
        </w:rPr>
      </w:pPr>
      <w:r w:rsidRPr="006F5D71">
        <w:rPr>
          <w:iCs/>
          <w:color w:val="000000" w:themeColor="text1"/>
        </w:rPr>
        <w:tab/>
      </w:r>
      <w:r w:rsidR="00905929" w:rsidRPr="006F5D71">
        <w:rPr>
          <w:iCs/>
          <w:color w:val="000000" w:themeColor="text1"/>
        </w:rPr>
        <w:t>We</w:t>
      </w:r>
      <w:r w:rsidR="00905929" w:rsidRPr="006F5D71">
        <w:rPr>
          <w:color w:val="000000" w:themeColor="text1"/>
        </w:rPr>
        <w:t xml:space="preserve"> use </w:t>
      </w:r>
      <w:r w:rsidR="00DB2EAF" w:rsidRPr="006F5D71">
        <w:rPr>
          <w:color w:val="000000" w:themeColor="text1"/>
        </w:rPr>
        <w:t xml:space="preserve">Cox’s proportional hazard rate model </w:t>
      </w:r>
      <w:r w:rsidR="001C3263" w:rsidRPr="006F5D71">
        <w:rPr>
          <w:color w:val="000000" w:themeColor="text1"/>
        </w:rPr>
        <w:t xml:space="preserve">following </w:t>
      </w:r>
      <w:r w:rsidR="00DB2EAF" w:rsidRPr="006F5D71">
        <w:rPr>
          <w:color w:val="000000" w:themeColor="text1"/>
        </w:rPr>
        <w:t>Song</w:t>
      </w:r>
      <w:r w:rsidR="001C3263" w:rsidRPr="006F5D71">
        <w:rPr>
          <w:color w:val="000000" w:themeColor="text1"/>
        </w:rPr>
        <w:t xml:space="preserve"> (</w:t>
      </w:r>
      <w:r w:rsidR="00DB2EAF" w:rsidRPr="006F5D71">
        <w:rPr>
          <w:color w:val="000000" w:themeColor="text1"/>
        </w:rPr>
        <w:t>20</w:t>
      </w:r>
      <w:r w:rsidR="00267EBB" w:rsidRPr="006F5D71">
        <w:rPr>
          <w:color w:val="000000" w:themeColor="text1"/>
        </w:rPr>
        <w:t>14</w:t>
      </w:r>
      <w:r w:rsidR="00905929" w:rsidRPr="006F5D71">
        <w:rPr>
          <w:color w:val="000000" w:themeColor="text1"/>
        </w:rPr>
        <w:t xml:space="preserve">) that allows us to estimate the length of the time until </w:t>
      </w:r>
      <w:r w:rsidR="000B6858" w:rsidRPr="006F5D71">
        <w:rPr>
          <w:color w:val="000000" w:themeColor="text1"/>
        </w:rPr>
        <w:t xml:space="preserve">the </w:t>
      </w:r>
      <w:r w:rsidR="00905929" w:rsidRPr="006F5D71">
        <w:rPr>
          <w:color w:val="000000" w:themeColor="text1"/>
        </w:rPr>
        <w:t xml:space="preserve">exit (failure) of an investment. </w:t>
      </w:r>
      <w:r w:rsidR="00DB2EAF" w:rsidRPr="006F5D71">
        <w:rPr>
          <w:color w:val="000000" w:themeColor="text1"/>
        </w:rPr>
        <w:t>This methodology simultaneously addresses the duration and event of each observation unit</w:t>
      </w:r>
      <w:r w:rsidR="009C74C9" w:rsidRPr="006F5D71">
        <w:rPr>
          <w:color w:val="000000" w:themeColor="text1"/>
        </w:rPr>
        <w:t xml:space="preserve"> and is desirable in </w:t>
      </w:r>
      <w:r w:rsidR="00065511" w:rsidRPr="006F5D71">
        <w:rPr>
          <w:color w:val="000000" w:themeColor="text1"/>
        </w:rPr>
        <w:t xml:space="preserve">the </w:t>
      </w:r>
      <w:r w:rsidR="009C74C9" w:rsidRPr="006F5D71">
        <w:rPr>
          <w:color w:val="000000" w:themeColor="text1"/>
        </w:rPr>
        <w:t xml:space="preserve">case of survival analysis when measuring the effect of an event </w:t>
      </w:r>
      <w:r w:rsidR="00DB2EAF" w:rsidRPr="006F5D71">
        <w:rPr>
          <w:color w:val="000000" w:themeColor="text1"/>
        </w:rPr>
        <w:t>(</w:t>
      </w:r>
      <w:r w:rsidR="006832D5" w:rsidRPr="006F5D71">
        <w:rPr>
          <w:color w:val="000000" w:themeColor="text1"/>
        </w:rPr>
        <w:t xml:space="preserve">e.g., </w:t>
      </w:r>
      <w:r w:rsidR="00DB2EAF" w:rsidRPr="006F5D71">
        <w:rPr>
          <w:color w:val="000000" w:themeColor="text1"/>
        </w:rPr>
        <w:t xml:space="preserve">Song, 2014; </w:t>
      </w:r>
      <w:r w:rsidR="00916BEA" w:rsidRPr="006F5D71">
        <w:rPr>
          <w:color w:val="000000" w:themeColor="text1"/>
        </w:rPr>
        <w:t>Chang &amp; Rhee, 2011</w:t>
      </w:r>
      <w:r w:rsidR="00DB2EAF" w:rsidRPr="006F5D71">
        <w:rPr>
          <w:color w:val="000000" w:themeColor="text1"/>
        </w:rPr>
        <w:t xml:space="preserve">). </w:t>
      </w:r>
      <w:r w:rsidR="00905929" w:rsidRPr="006F5D71">
        <w:rPr>
          <w:color w:val="000000" w:themeColor="text1"/>
        </w:rPr>
        <w:t>The variable</w:t>
      </w:r>
      <w:r w:rsidR="00DB2EAF" w:rsidRPr="006F5D71">
        <w:rPr>
          <w:color w:val="000000" w:themeColor="text1"/>
        </w:rPr>
        <w:t>s</w:t>
      </w:r>
      <w:r w:rsidR="00905929" w:rsidRPr="006F5D71">
        <w:rPr>
          <w:color w:val="000000" w:themeColor="text1"/>
        </w:rPr>
        <w:t xml:space="preserve"> of interest in th</w:t>
      </w:r>
      <w:r w:rsidR="00DB2EAF" w:rsidRPr="006F5D71">
        <w:rPr>
          <w:color w:val="000000" w:themeColor="text1"/>
        </w:rPr>
        <w:t>is</w:t>
      </w:r>
      <w:r w:rsidR="00905929" w:rsidRPr="006F5D71">
        <w:rPr>
          <w:color w:val="000000" w:themeColor="text1"/>
        </w:rPr>
        <w:t xml:space="preserve"> analysis of survival </w:t>
      </w:r>
      <w:r w:rsidR="00DB2EAF" w:rsidRPr="006F5D71">
        <w:rPr>
          <w:color w:val="000000" w:themeColor="text1"/>
        </w:rPr>
        <w:t xml:space="preserve">are </w:t>
      </w:r>
      <w:r w:rsidR="00446B96" w:rsidRPr="006F5D71">
        <w:rPr>
          <w:color w:val="000000" w:themeColor="text1"/>
        </w:rPr>
        <w:t xml:space="preserve">the </w:t>
      </w:r>
      <w:r w:rsidR="00DB2EAF" w:rsidRPr="006F5D71">
        <w:rPr>
          <w:color w:val="000000" w:themeColor="text1"/>
        </w:rPr>
        <w:t>event (exit) and</w:t>
      </w:r>
      <w:r w:rsidR="00905929" w:rsidRPr="006F5D71">
        <w:rPr>
          <w:color w:val="000000" w:themeColor="text1"/>
        </w:rPr>
        <w:t xml:space="preserve"> the length of time</w:t>
      </w:r>
      <w:r w:rsidR="00DB2EAF" w:rsidRPr="006F5D71">
        <w:rPr>
          <w:color w:val="000000" w:themeColor="text1"/>
        </w:rPr>
        <w:t xml:space="preserve"> or duration</w:t>
      </w:r>
      <w:r w:rsidR="00905929" w:rsidRPr="006F5D71">
        <w:rPr>
          <w:color w:val="000000" w:themeColor="text1"/>
        </w:rPr>
        <w:t xml:space="preserve"> that elapses from the beginning of some events either until ‘their’ end or until the end of the analysis.</w:t>
      </w:r>
      <w:r w:rsidR="007E6BD7" w:rsidRPr="006F5D71">
        <w:rPr>
          <w:color w:val="000000" w:themeColor="text1"/>
        </w:rPr>
        <w:t xml:space="preserve"> This methodology addresses the issue of censored data (no exit at the cut-off year), event (no exit vs exit), and duration effect (subsidiaries’ survival years) (Chang &amp; Rhee, 2011). </w:t>
      </w:r>
      <w:r w:rsidR="00905929" w:rsidRPr="006F5D71">
        <w:rPr>
          <w:color w:val="000000" w:themeColor="text1"/>
        </w:rPr>
        <w:t>The dependent variable is</w:t>
      </w:r>
      <w:r w:rsidR="002849FD" w:rsidRPr="006F5D71">
        <w:rPr>
          <w:color w:val="000000" w:themeColor="text1"/>
        </w:rPr>
        <w:t xml:space="preserve"> instant hazard rates</w:t>
      </w:r>
      <w:r w:rsidR="009F5660">
        <w:rPr>
          <w:color w:val="000000" w:themeColor="text1"/>
        </w:rPr>
        <w:t>,</w:t>
      </w:r>
      <w:r w:rsidR="002849FD" w:rsidRPr="006F5D71">
        <w:rPr>
          <w:color w:val="000000" w:themeColor="text1"/>
        </w:rPr>
        <w:t xml:space="preserve"> </w:t>
      </w:r>
      <w:r w:rsidR="00234177" w:rsidRPr="006F5D71">
        <w:rPr>
          <w:color w:val="000000" w:themeColor="text1"/>
        </w:rPr>
        <w:t xml:space="preserve">which </w:t>
      </w:r>
      <w:r w:rsidR="009F5660">
        <w:rPr>
          <w:color w:val="000000" w:themeColor="text1"/>
        </w:rPr>
        <w:t>is</w:t>
      </w:r>
      <w:r w:rsidR="00905929" w:rsidRPr="006F5D71">
        <w:rPr>
          <w:color w:val="000000" w:themeColor="text1"/>
        </w:rPr>
        <w:t xml:space="preserve"> the span of </w:t>
      </w:r>
      <w:r w:rsidR="00234177" w:rsidRPr="006F5D71">
        <w:rPr>
          <w:color w:val="000000" w:themeColor="text1"/>
        </w:rPr>
        <w:t xml:space="preserve">the </w:t>
      </w:r>
      <w:r w:rsidR="00905929" w:rsidRPr="006F5D71">
        <w:rPr>
          <w:color w:val="000000" w:themeColor="text1"/>
        </w:rPr>
        <w:t>survival</w:t>
      </w:r>
      <w:r w:rsidR="002849FD" w:rsidRPr="006F5D71">
        <w:rPr>
          <w:color w:val="000000" w:themeColor="text1"/>
        </w:rPr>
        <w:t xml:space="preserve"> variable</w:t>
      </w:r>
      <w:r w:rsidR="00905929" w:rsidRPr="006F5D71">
        <w:rPr>
          <w:color w:val="000000" w:themeColor="text1"/>
        </w:rPr>
        <w:t xml:space="preserve"> </w:t>
      </w:r>
      <w:r w:rsidR="00234177" w:rsidRPr="006F5D71">
        <w:rPr>
          <w:color w:val="000000" w:themeColor="text1"/>
        </w:rPr>
        <w:t>(</w:t>
      </w:r>
      <w:r w:rsidR="00905929" w:rsidRPr="006F5D71">
        <w:rPr>
          <w:color w:val="000000" w:themeColor="text1"/>
        </w:rPr>
        <w:t>calculated as the difference between time t and the firm’s set up year</w:t>
      </w:r>
      <w:r w:rsidR="009F5660">
        <w:rPr>
          <w:color w:val="000000" w:themeColor="text1"/>
        </w:rPr>
        <w:t>)</w:t>
      </w:r>
      <w:r w:rsidR="00905929" w:rsidRPr="006F5D71">
        <w:rPr>
          <w:color w:val="000000" w:themeColor="text1"/>
        </w:rPr>
        <w:t xml:space="preserve"> </w:t>
      </w:r>
      <w:r w:rsidR="00234177" w:rsidRPr="006F5D71">
        <w:rPr>
          <w:color w:val="000000" w:themeColor="text1"/>
        </w:rPr>
        <w:t>and</w:t>
      </w:r>
      <w:r w:rsidR="009F5660">
        <w:rPr>
          <w:color w:val="000000" w:themeColor="text1"/>
        </w:rPr>
        <w:t xml:space="preserve"> the year of</w:t>
      </w:r>
      <w:r w:rsidR="00234177" w:rsidRPr="006F5D71">
        <w:rPr>
          <w:color w:val="000000" w:themeColor="text1"/>
        </w:rPr>
        <w:t xml:space="preserve"> exit </w:t>
      </w:r>
      <w:r w:rsidR="008D6764" w:rsidRPr="006F5D71">
        <w:rPr>
          <w:color w:val="000000" w:themeColor="text1"/>
        </w:rPr>
        <w:t>(Song, 2014</w:t>
      </w:r>
      <w:r w:rsidR="00D5052B" w:rsidRPr="006F5D71">
        <w:rPr>
          <w:color w:val="000000" w:themeColor="text1"/>
        </w:rPr>
        <w:t>)</w:t>
      </w:r>
      <w:r w:rsidR="00905929" w:rsidRPr="006F5D71">
        <w:rPr>
          <w:color w:val="000000" w:themeColor="text1"/>
        </w:rPr>
        <w:t>.</w:t>
      </w:r>
      <w:r w:rsidR="00335612" w:rsidRPr="006F5D71">
        <w:rPr>
          <w:color w:val="000000" w:themeColor="text1"/>
        </w:rPr>
        <w:t xml:space="preserve"> We </w:t>
      </w:r>
      <w:r w:rsidR="00774083">
        <w:rPr>
          <w:color w:val="000000" w:themeColor="text1"/>
        </w:rPr>
        <w:t>estimate</w:t>
      </w:r>
      <w:r w:rsidR="00335612" w:rsidRPr="006F5D71">
        <w:rPr>
          <w:color w:val="000000" w:themeColor="text1"/>
        </w:rPr>
        <w:t xml:space="preserve"> </w:t>
      </w:r>
      <w:r w:rsidR="005E6BDE" w:rsidRPr="006F5D71">
        <w:rPr>
          <w:color w:val="000000" w:themeColor="text1"/>
        </w:rPr>
        <w:t xml:space="preserve">the </w:t>
      </w:r>
      <w:r w:rsidR="00335612" w:rsidRPr="006F5D71">
        <w:rPr>
          <w:color w:val="000000" w:themeColor="text1"/>
        </w:rPr>
        <w:t xml:space="preserve">probability that the event may occur for </w:t>
      </w:r>
      <w:r w:rsidR="00446B96" w:rsidRPr="006F5D71">
        <w:rPr>
          <w:color w:val="000000" w:themeColor="text1"/>
        </w:rPr>
        <w:t xml:space="preserve">the </w:t>
      </w:r>
      <w:proofErr w:type="spellStart"/>
      <w:r w:rsidR="00446B96" w:rsidRPr="006F5D71">
        <w:rPr>
          <w:i/>
          <w:color w:val="000000" w:themeColor="text1"/>
        </w:rPr>
        <w:t>i</w:t>
      </w:r>
      <w:r w:rsidR="00446B96" w:rsidRPr="006F5D71">
        <w:rPr>
          <w:color w:val="000000" w:themeColor="text1"/>
        </w:rPr>
        <w:t>th</w:t>
      </w:r>
      <w:proofErr w:type="spellEnd"/>
      <w:r w:rsidR="00335612" w:rsidRPr="006F5D71">
        <w:rPr>
          <w:color w:val="000000" w:themeColor="text1"/>
        </w:rPr>
        <w:t xml:space="preserve"> subsidiary by using the method of partial likelihood estimation (Song, 2014; Chang &amp; Rhee, 2011). </w:t>
      </w:r>
    </w:p>
    <w:p w14:paraId="312F3BDD" w14:textId="77777777" w:rsidR="00905929" w:rsidRPr="006F5D71" w:rsidRDefault="00774083" w:rsidP="001C3263">
      <w:pPr>
        <w:spacing w:line="360" w:lineRule="auto"/>
        <w:ind w:firstLine="720"/>
        <w:jc w:val="both"/>
        <w:rPr>
          <w:color w:val="000000" w:themeColor="text1"/>
        </w:rPr>
      </w:pPr>
      <w:r>
        <w:rPr>
          <w:color w:val="000000" w:themeColor="text1"/>
        </w:rPr>
        <w:t>F</w:t>
      </w:r>
      <w:r w:rsidR="00335612" w:rsidRPr="006F5D71">
        <w:rPr>
          <w:color w:val="000000" w:themeColor="text1"/>
        </w:rPr>
        <w:t>ollowing Song (2014)</w:t>
      </w:r>
      <w:r w:rsidR="00D5052B" w:rsidRPr="006F5D71">
        <w:rPr>
          <w:color w:val="000000" w:themeColor="text1"/>
        </w:rPr>
        <w:t xml:space="preserve"> and </w:t>
      </w:r>
      <w:r w:rsidR="00716D13" w:rsidRPr="006F5D71">
        <w:rPr>
          <w:color w:val="000000" w:themeColor="text1"/>
        </w:rPr>
        <w:t xml:space="preserve">Giovannetti, </w:t>
      </w:r>
      <w:proofErr w:type="spellStart"/>
      <w:r w:rsidR="00716D13" w:rsidRPr="006F5D71">
        <w:rPr>
          <w:color w:val="000000" w:themeColor="text1"/>
        </w:rPr>
        <w:t>Ricchiuti</w:t>
      </w:r>
      <w:proofErr w:type="spellEnd"/>
      <w:r w:rsidR="00716D13" w:rsidRPr="006F5D71">
        <w:rPr>
          <w:color w:val="000000" w:themeColor="text1"/>
        </w:rPr>
        <w:t xml:space="preserve">, &amp; </w:t>
      </w:r>
      <w:proofErr w:type="spellStart"/>
      <w:r w:rsidR="00716D13" w:rsidRPr="006F5D71">
        <w:rPr>
          <w:color w:val="000000" w:themeColor="text1"/>
        </w:rPr>
        <w:t>Velucchi</w:t>
      </w:r>
      <w:proofErr w:type="spellEnd"/>
      <w:r w:rsidR="00D5052B" w:rsidRPr="006F5D71">
        <w:rPr>
          <w:color w:val="000000" w:themeColor="text1"/>
        </w:rPr>
        <w:t xml:space="preserve"> (2011)</w:t>
      </w:r>
      <w:r w:rsidR="00335612" w:rsidRPr="006F5D71">
        <w:rPr>
          <w:color w:val="000000" w:themeColor="text1"/>
        </w:rPr>
        <w:t>, t</w:t>
      </w:r>
      <w:r w:rsidR="00905929" w:rsidRPr="006F5D71">
        <w:rPr>
          <w:color w:val="000000" w:themeColor="text1"/>
        </w:rPr>
        <w:t xml:space="preserve">he </w:t>
      </w:r>
      <w:r w:rsidR="002849FD" w:rsidRPr="006F5D71">
        <w:rPr>
          <w:color w:val="000000" w:themeColor="text1"/>
        </w:rPr>
        <w:t>functional form of the model</w:t>
      </w:r>
      <w:r w:rsidR="00905929" w:rsidRPr="006F5D71">
        <w:rPr>
          <w:color w:val="000000" w:themeColor="text1"/>
        </w:rPr>
        <w:t xml:space="preserve"> is</w:t>
      </w:r>
      <w:r w:rsidR="00234177" w:rsidRPr="006F5D71">
        <w:rPr>
          <w:color w:val="000000" w:themeColor="text1"/>
        </w:rPr>
        <w:t xml:space="preserve"> derived as follows.</w:t>
      </w:r>
      <w:r w:rsidR="00F72D31">
        <w:rPr>
          <w:color w:val="000000" w:themeColor="text1"/>
        </w:rPr>
        <w:t xml:space="preserve"> </w:t>
      </w:r>
    </w:p>
    <w:p w14:paraId="7C184AA6" w14:textId="77777777" w:rsidR="000A559F" w:rsidRPr="006F5D71" w:rsidRDefault="000A559F" w:rsidP="000A559F">
      <w:pPr>
        <w:spacing w:line="360" w:lineRule="auto"/>
        <w:ind w:firstLine="720"/>
        <w:jc w:val="both"/>
        <w:rPr>
          <w:color w:val="000000" w:themeColor="text1"/>
        </w:rPr>
      </w:pPr>
      <w:r w:rsidRPr="006F5D71">
        <w:rPr>
          <w:color w:val="000000" w:themeColor="text1"/>
        </w:rPr>
        <w:t xml:space="preserve">Let “T” be a “random variable” with a cumulative </w:t>
      </w:r>
      <w:r w:rsidR="007D3001" w:rsidRPr="006F5D71">
        <w:rPr>
          <w:color w:val="000000" w:themeColor="text1"/>
        </w:rPr>
        <w:t>p</w:t>
      </w:r>
      <w:r w:rsidRPr="006F5D71">
        <w:rPr>
          <w:color w:val="000000" w:themeColor="text1"/>
        </w:rPr>
        <w:t>robability</w:t>
      </w:r>
      <w:r w:rsidR="007D3001" w:rsidRPr="006F5D71">
        <w:rPr>
          <w:color w:val="000000" w:themeColor="text1"/>
        </w:rPr>
        <w:t xml:space="preserve"> distribution defined by F(t)</w:t>
      </w:r>
      <w:r w:rsidRPr="006F5D71">
        <w:rPr>
          <w:color w:val="000000" w:themeColor="text1"/>
        </w:rPr>
        <w:t>:</w:t>
      </w:r>
    </w:p>
    <w:p w14:paraId="4AF4B971" w14:textId="77777777" w:rsidR="000A559F" w:rsidRPr="006F5D71" w:rsidRDefault="000A559F" w:rsidP="000A559F">
      <w:pPr>
        <w:spacing w:line="360" w:lineRule="auto"/>
        <w:ind w:firstLine="720"/>
        <w:jc w:val="both"/>
        <w:rPr>
          <w:color w:val="000000" w:themeColor="text1"/>
        </w:rPr>
      </w:pPr>
      <m:oMathPara>
        <m:oMath>
          <m:r>
            <w:rPr>
              <w:rFonts w:ascii="Cambria Math" w:hAnsi="Cambria Math"/>
              <w:color w:val="000000" w:themeColor="text1"/>
            </w:rPr>
            <w:lastRenderedPageBreak/>
            <m:t>F</m:t>
          </m:r>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m:t>
          </m:r>
          <m:nary>
            <m:naryPr>
              <m:limLoc m:val="subSup"/>
              <m:ctrlPr>
                <w:rPr>
                  <w:rFonts w:ascii="Cambria Math" w:hAnsi="Cambria Math"/>
                  <w:i/>
                  <w:color w:val="000000" w:themeColor="text1"/>
                </w:rPr>
              </m:ctrlPr>
            </m:naryPr>
            <m:sub>
              <m:r>
                <w:rPr>
                  <w:rFonts w:ascii="Cambria Math" w:hAnsi="Cambria Math"/>
                  <w:color w:val="000000" w:themeColor="text1"/>
                </w:rPr>
                <m:t>0</m:t>
              </m:r>
            </m:sub>
            <m:sup>
              <m:r>
                <w:rPr>
                  <w:rFonts w:ascii="Cambria Math" w:hAnsi="Cambria Math"/>
                  <w:color w:val="000000" w:themeColor="text1"/>
                </w:rPr>
                <m:t>t</m:t>
              </m:r>
            </m:sup>
            <m:e>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s</m:t>
                  </m:r>
                </m:e>
              </m:d>
              <m:r>
                <w:rPr>
                  <w:rFonts w:ascii="Cambria Math" w:hAnsi="Cambria Math"/>
                  <w:color w:val="000000" w:themeColor="text1"/>
                </w:rPr>
                <m:t>ds</m:t>
              </m:r>
            </m:e>
          </m:nary>
          <m:r>
            <w:rPr>
              <w:rFonts w:ascii="Cambria Math" w:hAnsi="Cambria Math"/>
              <w:color w:val="000000" w:themeColor="text1"/>
            </w:rPr>
            <m:t>=</m:t>
          </m:r>
          <m:r>
            <m:rPr>
              <m:sty m:val="p"/>
            </m:rPr>
            <w:rPr>
              <w:rFonts w:ascii="Cambria Math" w:hAnsi="Cambria Math"/>
              <w:color w:val="000000" w:themeColor="text1"/>
            </w:rPr>
            <m:t>Pr⁡</m:t>
          </m:r>
          <m:r>
            <w:rPr>
              <w:rFonts w:ascii="Cambria Math" w:hAnsi="Cambria Math"/>
              <w:color w:val="000000" w:themeColor="text1"/>
            </w:rPr>
            <m:t>(T≤t)</m:t>
          </m:r>
        </m:oMath>
      </m:oMathPara>
    </w:p>
    <w:p w14:paraId="297AF6B3" w14:textId="77777777" w:rsidR="000A559F" w:rsidRPr="006F5D71" w:rsidRDefault="000A559F" w:rsidP="000A559F">
      <w:pPr>
        <w:spacing w:line="360" w:lineRule="auto"/>
        <w:ind w:firstLine="720"/>
        <w:jc w:val="both"/>
        <w:rPr>
          <w:color w:val="000000" w:themeColor="text1"/>
        </w:rPr>
      </w:pPr>
      <w:r w:rsidRPr="006F5D71">
        <w:rPr>
          <w:color w:val="000000" w:themeColor="text1"/>
        </w:rPr>
        <w:t>This study is interested in the probability that the period is of length at least “t” which is given by the following survival function:</w:t>
      </w:r>
    </w:p>
    <w:p w14:paraId="6D56F1EA" w14:textId="77777777" w:rsidR="000A559F" w:rsidRPr="006F5D71" w:rsidRDefault="000A559F" w:rsidP="000A559F">
      <w:pPr>
        <w:spacing w:line="360" w:lineRule="auto"/>
        <w:ind w:firstLine="720"/>
        <w:jc w:val="both"/>
        <w:rPr>
          <w:color w:val="000000" w:themeColor="text1"/>
        </w:rPr>
      </w:pPr>
      <m:oMathPara>
        <m:oMath>
          <m:r>
            <w:rPr>
              <w:rFonts w:ascii="Cambria Math" w:eastAsiaTheme="minorEastAsia" w:hAnsi="Cambria Math"/>
              <w:color w:val="000000" w:themeColor="text1"/>
            </w:rPr>
            <m:t>S</m:t>
          </m:r>
          <m:d>
            <m:dPr>
              <m:ctrlPr>
                <w:rPr>
                  <w:rFonts w:ascii="Cambria Math" w:eastAsiaTheme="minorEastAsia" w:hAnsi="Cambria Math"/>
                  <w:i/>
                  <w:color w:val="000000" w:themeColor="text1"/>
                </w:rPr>
              </m:ctrlPr>
            </m:dPr>
            <m:e>
              <m:r>
                <w:rPr>
                  <w:rFonts w:ascii="Cambria Math" w:eastAsiaTheme="minorEastAsia" w:hAnsi="Cambria Math"/>
                  <w:color w:val="000000" w:themeColor="text1"/>
                </w:rPr>
                <m:t>t</m:t>
              </m:r>
            </m:e>
          </m:d>
          <m:r>
            <w:rPr>
              <w:rFonts w:ascii="Cambria Math" w:hAnsi="Cambria Math"/>
              <w:color w:val="000000" w:themeColor="text1"/>
            </w:rPr>
            <m:t>=1-F</m:t>
          </m:r>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 xml:space="preserve">= </m:t>
          </m:r>
          <m:r>
            <m:rPr>
              <m:sty m:val="p"/>
            </m:rPr>
            <w:rPr>
              <w:rFonts w:ascii="Cambria Math" w:hAnsi="Cambria Math"/>
              <w:color w:val="000000" w:themeColor="text1"/>
            </w:rPr>
            <m:t>Pr⁡</m:t>
          </m:r>
          <m:r>
            <w:rPr>
              <w:rFonts w:ascii="Cambria Math" w:hAnsi="Cambria Math"/>
              <w:color w:val="000000" w:themeColor="text1"/>
            </w:rPr>
            <m:t>(T≤t)</m:t>
          </m:r>
        </m:oMath>
      </m:oMathPara>
    </w:p>
    <w:p w14:paraId="3B8B8363" w14:textId="77777777" w:rsidR="000A559F" w:rsidRPr="006F5D71" w:rsidRDefault="008714B3" w:rsidP="000A559F">
      <w:pPr>
        <w:spacing w:line="360" w:lineRule="auto"/>
        <w:ind w:firstLine="720"/>
        <w:jc w:val="both"/>
        <w:rPr>
          <w:color w:val="000000" w:themeColor="text1"/>
        </w:rPr>
      </w:pPr>
      <w:r w:rsidRPr="006F5D71">
        <w:rPr>
          <w:color w:val="000000" w:themeColor="text1"/>
        </w:rPr>
        <w:t>a</w:t>
      </w:r>
      <w:r w:rsidR="000A559F" w:rsidRPr="006F5D71">
        <w:rPr>
          <w:color w:val="000000" w:themeColor="text1"/>
        </w:rPr>
        <w:t xml:space="preserve">nd the probability that the phenomenon will end the next short interval of time </w:t>
      </w:r>
      <w:r w:rsidR="00135227" w:rsidRPr="006F5D71">
        <w:rPr>
          <w:color w:val="000000" w:themeColor="text1"/>
        </w:rPr>
        <w:t>“</w:t>
      </w:r>
      <w:r w:rsidRPr="006F5D71">
        <w:rPr>
          <w:rFonts w:cs="Times New Roman"/>
          <w:color w:val="000000" w:themeColor="text1"/>
        </w:rPr>
        <w:t>∆</w:t>
      </w:r>
      <w:r w:rsidRPr="006F5D71">
        <w:rPr>
          <w:color w:val="000000" w:themeColor="text1"/>
        </w:rPr>
        <w:t>” is:</w:t>
      </w:r>
    </w:p>
    <w:p w14:paraId="723C3DA9" w14:textId="77777777" w:rsidR="008714B3" w:rsidRPr="006F5D71" w:rsidRDefault="008714B3" w:rsidP="008714B3">
      <w:pPr>
        <w:spacing w:line="360" w:lineRule="auto"/>
        <w:ind w:firstLine="720"/>
        <w:jc w:val="both"/>
        <w:rPr>
          <w:color w:val="000000" w:themeColor="text1"/>
        </w:rPr>
      </w:pPr>
      <m:oMathPara>
        <m:oMath>
          <m:r>
            <m:rPr>
              <m:sty m:val="p"/>
            </m:rPr>
            <w:rPr>
              <w:rFonts w:ascii="Cambria Math" w:hAnsi="Cambria Math" w:cs="Calibri"/>
              <w:color w:val="000000" w:themeColor="text1"/>
              <w:szCs w:val="24"/>
            </w:rPr>
            <m:t>ɭ</m:t>
          </m:r>
          <m:d>
            <m:dPr>
              <m:ctrlPr>
                <w:rPr>
                  <w:rFonts w:ascii="Cambria Math" w:eastAsiaTheme="minorEastAsia" w:hAnsi="Cambria Math"/>
                  <w:i/>
                  <w:color w:val="000000" w:themeColor="text1"/>
                  <w:szCs w:val="24"/>
                </w:rPr>
              </m:ctrlPr>
            </m:dPr>
            <m:e>
              <m:r>
                <w:rPr>
                  <w:rFonts w:ascii="Cambria Math" w:eastAsiaTheme="minorEastAsia" w:hAnsi="Cambria Math"/>
                  <w:color w:val="000000" w:themeColor="text1"/>
                  <w:szCs w:val="24"/>
                </w:rPr>
                <m:t>t,∆</m:t>
              </m:r>
            </m:e>
          </m:d>
          <m:r>
            <w:rPr>
              <w:rFonts w:ascii="Cambria Math" w:hAnsi="Cambria Math"/>
              <w:color w:val="000000" w:themeColor="text1"/>
              <w:szCs w:val="24"/>
            </w:rPr>
            <m:t>=</m:t>
          </m:r>
          <m:r>
            <m:rPr>
              <m:sty m:val="p"/>
            </m:rPr>
            <w:rPr>
              <w:rFonts w:ascii="Cambria Math" w:hAnsi="Cambria Math"/>
              <w:color w:val="000000" w:themeColor="text1"/>
              <w:szCs w:val="24"/>
            </w:rPr>
            <m:t>Pr⁡</m:t>
          </m:r>
          <m:r>
            <w:rPr>
              <w:rFonts w:ascii="Cambria Math" w:hAnsi="Cambria Math"/>
              <w:color w:val="000000" w:themeColor="text1"/>
              <w:szCs w:val="24"/>
            </w:rPr>
            <m:t>(t≤T≤t+</m:t>
          </m:r>
          <m:r>
            <w:rPr>
              <w:rFonts w:ascii="Cambria Math" w:eastAsiaTheme="minorEastAsia" w:hAnsi="Cambria Math"/>
              <w:color w:val="000000" w:themeColor="text1"/>
              <w:szCs w:val="24"/>
            </w:rPr>
            <m:t>∆|</m:t>
          </m:r>
          <m:r>
            <w:rPr>
              <w:rFonts w:ascii="Cambria Math" w:hAnsi="Cambria Math"/>
              <w:color w:val="000000" w:themeColor="text1"/>
              <w:szCs w:val="24"/>
            </w:rPr>
            <m:t>T≥t )</m:t>
          </m:r>
        </m:oMath>
      </m:oMathPara>
    </w:p>
    <w:p w14:paraId="0C166E4A" w14:textId="77777777" w:rsidR="008714B3" w:rsidRPr="006F5D71" w:rsidRDefault="0063631E" w:rsidP="000A559F">
      <w:pPr>
        <w:spacing w:line="360" w:lineRule="auto"/>
        <w:ind w:firstLine="720"/>
        <w:jc w:val="both"/>
        <w:rPr>
          <w:color w:val="000000" w:themeColor="text1"/>
        </w:rPr>
      </w:pPr>
      <w:r w:rsidRPr="006F5D71">
        <w:rPr>
          <w:color w:val="000000" w:themeColor="text1"/>
        </w:rPr>
        <w:t>The hazard rate, i.e.</w:t>
      </w:r>
      <w:r w:rsidR="00DF750F">
        <w:rPr>
          <w:color w:val="000000" w:themeColor="text1"/>
        </w:rPr>
        <w:t>,</w:t>
      </w:r>
      <w:r w:rsidRPr="006F5D71">
        <w:rPr>
          <w:color w:val="000000" w:themeColor="text1"/>
        </w:rPr>
        <w:t xml:space="preserve"> the rate at which spells are completed after duration “t” given that at least “t”, is:</w:t>
      </w:r>
    </w:p>
    <w:p w14:paraId="5391C3F4" w14:textId="77777777" w:rsidR="0063631E" w:rsidRPr="006F5D71" w:rsidRDefault="0063631E" w:rsidP="0063631E">
      <w:pPr>
        <w:spacing w:line="360" w:lineRule="auto"/>
        <w:ind w:firstLine="720"/>
        <w:jc w:val="both"/>
        <w:rPr>
          <w:color w:val="000000" w:themeColor="text1"/>
        </w:rPr>
      </w:pPr>
      <m:oMathPara>
        <m:oMath>
          <m:r>
            <m:rPr>
              <m:sty m:val="p"/>
            </m:rPr>
            <w:rPr>
              <w:rFonts w:ascii="Cambria Math" w:hAnsi="Cambria Math" w:cs="Calibri"/>
              <w:color w:val="000000" w:themeColor="text1"/>
              <w:szCs w:val="24"/>
            </w:rPr>
            <m:t>λ</m:t>
          </m:r>
          <m:d>
            <m:dPr>
              <m:ctrlPr>
                <w:rPr>
                  <w:rFonts w:ascii="Cambria Math" w:eastAsiaTheme="minorEastAsia" w:hAnsi="Cambria Math"/>
                  <w:i/>
                  <w:color w:val="000000" w:themeColor="text1"/>
                  <w:szCs w:val="24"/>
                </w:rPr>
              </m:ctrlPr>
            </m:dPr>
            <m:e>
              <m:r>
                <w:rPr>
                  <w:rFonts w:ascii="Cambria Math" w:eastAsiaTheme="minorEastAsia" w:hAnsi="Cambria Math"/>
                  <w:color w:val="000000" w:themeColor="text1"/>
                  <w:szCs w:val="24"/>
                </w:rPr>
                <m:t>t</m:t>
              </m:r>
            </m:e>
          </m:d>
          <m:r>
            <w:rPr>
              <w:rFonts w:ascii="Cambria Math" w:hAnsi="Cambria Math"/>
              <w:color w:val="000000" w:themeColor="text1"/>
              <w:szCs w:val="24"/>
            </w:rPr>
            <m:t>=</m:t>
          </m:r>
          <m:func>
            <m:funcPr>
              <m:ctrlPr>
                <w:rPr>
                  <w:rFonts w:ascii="Cambria Math" w:hAnsi="Cambria Math"/>
                  <w:i/>
                  <w:color w:val="000000" w:themeColor="text1"/>
                  <w:szCs w:val="24"/>
                </w:rPr>
              </m:ctrlPr>
            </m:funcPr>
            <m:fName>
              <m:limLow>
                <m:limLowPr>
                  <m:ctrlPr>
                    <w:rPr>
                      <w:rFonts w:ascii="Cambria Math" w:hAnsi="Cambria Math"/>
                      <w:i/>
                      <w:color w:val="000000" w:themeColor="text1"/>
                      <w:szCs w:val="24"/>
                    </w:rPr>
                  </m:ctrlPr>
                </m:limLowPr>
                <m:e>
                  <m:r>
                    <m:rPr>
                      <m:sty m:val="p"/>
                    </m:rPr>
                    <w:rPr>
                      <w:rFonts w:ascii="Cambria Math" w:hAnsi="Cambria Math"/>
                      <w:color w:val="000000" w:themeColor="text1"/>
                      <w:szCs w:val="24"/>
                    </w:rPr>
                    <m:t>lim</m:t>
                  </m:r>
                </m:e>
                <m:lim>
                  <m:r>
                    <w:rPr>
                      <w:rFonts w:ascii="Cambria Math" w:hAnsi="Cambria Math"/>
                      <w:color w:val="000000" w:themeColor="text1"/>
                      <w:szCs w:val="24"/>
                    </w:rPr>
                    <m:t>∆→0</m:t>
                  </m:r>
                </m:lim>
              </m:limLow>
            </m:fName>
            <m:e>
              <m:d>
                <m:dPr>
                  <m:ctrlPr>
                    <w:rPr>
                      <w:rFonts w:ascii="Cambria Math" w:hAnsi="Cambria Math"/>
                      <w:i/>
                      <w:color w:val="000000" w:themeColor="text1"/>
                      <w:szCs w:val="24"/>
                    </w:rPr>
                  </m:ctrlPr>
                </m:dPr>
                <m:e>
                  <m:f>
                    <m:fPr>
                      <m:ctrlPr>
                        <w:rPr>
                          <w:rFonts w:ascii="Cambria Math" w:hAnsi="Cambria Math"/>
                          <w:i/>
                          <w:color w:val="000000" w:themeColor="text1"/>
                          <w:szCs w:val="24"/>
                        </w:rPr>
                      </m:ctrlPr>
                    </m:fPr>
                    <m:num>
                      <m:r>
                        <m:rPr>
                          <m:sty m:val="p"/>
                        </m:rPr>
                        <w:rPr>
                          <w:rFonts w:ascii="Cambria Math" w:hAnsi="Cambria Math"/>
                          <w:color w:val="000000" w:themeColor="text1"/>
                          <w:szCs w:val="24"/>
                        </w:rPr>
                        <m:t>Pr⁡</m:t>
                      </m:r>
                      <m:r>
                        <w:rPr>
                          <w:rFonts w:ascii="Cambria Math" w:hAnsi="Cambria Math"/>
                          <w:color w:val="000000" w:themeColor="text1"/>
                          <w:szCs w:val="24"/>
                        </w:rPr>
                        <m:t>(t≤T≤t+</m:t>
                      </m:r>
                      <m:r>
                        <w:rPr>
                          <w:rFonts w:ascii="Cambria Math" w:eastAsiaTheme="minorEastAsia" w:hAnsi="Cambria Math"/>
                          <w:color w:val="000000" w:themeColor="text1"/>
                          <w:szCs w:val="24"/>
                        </w:rPr>
                        <m:t>∆|</m:t>
                      </m:r>
                      <m:r>
                        <w:rPr>
                          <w:rFonts w:ascii="Cambria Math" w:hAnsi="Cambria Math"/>
                          <w:color w:val="000000" w:themeColor="text1"/>
                          <w:szCs w:val="24"/>
                        </w:rPr>
                        <m:t>T≥t )</m:t>
                      </m:r>
                    </m:num>
                    <m:den>
                      <m:r>
                        <w:rPr>
                          <w:rFonts w:ascii="Cambria Math" w:hAnsi="Cambria Math"/>
                          <w:color w:val="000000" w:themeColor="text1"/>
                          <w:szCs w:val="24"/>
                        </w:rPr>
                        <m:t>∆</m:t>
                      </m:r>
                    </m:den>
                  </m:f>
                </m:e>
              </m:d>
            </m:e>
          </m:func>
          <m:r>
            <w:rPr>
              <w:rFonts w:ascii="Cambria Math" w:hAnsi="Cambria Math"/>
              <w:color w:val="000000" w:themeColor="text1"/>
              <w:szCs w:val="24"/>
            </w:rPr>
            <m:t xml:space="preserve"> </m:t>
          </m:r>
        </m:oMath>
      </m:oMathPara>
    </w:p>
    <w:p w14:paraId="1A1754E4" w14:textId="77777777" w:rsidR="0063631E" w:rsidRPr="006F5D71" w:rsidRDefault="0063631E" w:rsidP="0063631E">
      <w:pPr>
        <w:tabs>
          <w:tab w:val="left" w:pos="3660"/>
        </w:tabs>
        <w:spacing w:line="360" w:lineRule="auto"/>
        <w:ind w:firstLine="720"/>
        <w:jc w:val="both"/>
        <w:rPr>
          <w:color w:val="000000" w:themeColor="text1"/>
        </w:rPr>
      </w:pPr>
      <m:oMathPara>
        <m:oMath>
          <m:r>
            <w:rPr>
              <w:rFonts w:ascii="Cambria Math" w:hAnsi="Cambria Math"/>
              <w:color w:val="000000" w:themeColor="text1"/>
            </w:rPr>
            <m:t>=</m:t>
          </m:r>
          <m:func>
            <m:funcPr>
              <m:ctrlPr>
                <w:rPr>
                  <w:rFonts w:ascii="Cambria Math" w:hAnsi="Cambria Math"/>
                  <w:i/>
                  <w:color w:val="000000" w:themeColor="text1"/>
                  <w:szCs w:val="24"/>
                </w:rPr>
              </m:ctrlPr>
            </m:funcPr>
            <m:fName>
              <m:limLow>
                <m:limLowPr>
                  <m:ctrlPr>
                    <w:rPr>
                      <w:rFonts w:ascii="Cambria Math" w:hAnsi="Cambria Math"/>
                      <w:i/>
                      <w:color w:val="000000" w:themeColor="text1"/>
                      <w:szCs w:val="24"/>
                    </w:rPr>
                  </m:ctrlPr>
                </m:limLowPr>
                <m:e>
                  <m:r>
                    <m:rPr>
                      <m:sty m:val="p"/>
                    </m:rPr>
                    <w:rPr>
                      <w:rFonts w:ascii="Cambria Math" w:hAnsi="Cambria Math"/>
                      <w:color w:val="000000" w:themeColor="text1"/>
                      <w:szCs w:val="24"/>
                    </w:rPr>
                    <m:t>lim</m:t>
                  </m:r>
                </m:e>
                <m:lim>
                  <m:r>
                    <w:rPr>
                      <w:rFonts w:ascii="Cambria Math" w:hAnsi="Cambria Math"/>
                      <w:color w:val="000000" w:themeColor="text1"/>
                      <w:szCs w:val="24"/>
                    </w:rPr>
                    <m:t>∆→0</m:t>
                  </m:r>
                </m:lim>
              </m:limLow>
            </m:fName>
            <m:e>
              <m:d>
                <m:dPr>
                  <m:begChr m:val=""/>
                  <m:endChr m:val=""/>
                  <m:ctrlPr>
                    <w:rPr>
                      <w:rFonts w:ascii="Cambria Math" w:hAnsi="Cambria Math"/>
                      <w:i/>
                      <w:color w:val="000000" w:themeColor="text1"/>
                      <w:szCs w:val="24"/>
                    </w:rPr>
                  </m:ctrlPr>
                </m:dPr>
                <m:e>
                  <m:r>
                    <w:rPr>
                      <w:rFonts w:ascii="Cambria Math" w:hAnsi="Cambria Math"/>
                      <w:color w:val="000000" w:themeColor="text1"/>
                      <w:szCs w:val="24"/>
                    </w:rPr>
                    <m:t xml:space="preserve"> </m:t>
                  </m:r>
                  <m:f>
                    <m:fPr>
                      <m:ctrlPr>
                        <w:rPr>
                          <w:rFonts w:ascii="Cambria Math" w:hAnsi="Cambria Math"/>
                          <w:i/>
                          <w:color w:val="000000" w:themeColor="text1"/>
                          <w:szCs w:val="24"/>
                        </w:rPr>
                      </m:ctrlPr>
                    </m:fPr>
                    <m:num>
                      <m:func>
                        <m:funcPr>
                          <m:ctrlPr>
                            <w:rPr>
                              <w:rFonts w:ascii="Cambria Math" w:hAnsi="Cambria Math"/>
                              <w:i/>
                              <w:color w:val="000000" w:themeColor="text1"/>
                              <w:szCs w:val="24"/>
                            </w:rPr>
                          </m:ctrlPr>
                        </m:funcPr>
                        <m:fName>
                          <m:r>
                            <m:rPr>
                              <m:sty m:val="p"/>
                            </m:rPr>
                            <w:rPr>
                              <w:rFonts w:ascii="Cambria Math" w:hAnsi="Cambria Math"/>
                              <w:color w:val="000000" w:themeColor="text1"/>
                              <w:szCs w:val="24"/>
                            </w:rPr>
                            <m:t>F</m:t>
                          </m:r>
                        </m:fName>
                        <m:e>
                          <m:d>
                            <m:dPr>
                              <m:ctrlPr>
                                <w:rPr>
                                  <w:rFonts w:ascii="Cambria Math" w:hAnsi="Cambria Math"/>
                                  <w:i/>
                                  <w:color w:val="000000" w:themeColor="text1"/>
                                  <w:szCs w:val="24"/>
                                </w:rPr>
                              </m:ctrlPr>
                            </m:dPr>
                            <m:e>
                              <m:r>
                                <w:rPr>
                                  <w:rFonts w:ascii="Cambria Math" w:hAnsi="Cambria Math"/>
                                  <w:color w:val="000000" w:themeColor="text1"/>
                                  <w:szCs w:val="24"/>
                                </w:rPr>
                                <m:t>t+∆</m:t>
                              </m:r>
                            </m:e>
                          </m:d>
                        </m:e>
                      </m:func>
                      <m:r>
                        <w:rPr>
                          <w:rFonts w:ascii="Cambria Math" w:hAnsi="Cambria Math"/>
                          <w:color w:val="000000" w:themeColor="text1"/>
                          <w:szCs w:val="24"/>
                        </w:rPr>
                        <m:t>-F (t)</m:t>
                      </m:r>
                    </m:num>
                    <m:den>
                      <m:r>
                        <w:rPr>
                          <w:rFonts w:ascii="Cambria Math" w:hAnsi="Cambria Math"/>
                          <w:color w:val="000000" w:themeColor="text1"/>
                          <w:szCs w:val="24"/>
                        </w:rPr>
                        <m:t>∆S(t)</m:t>
                      </m:r>
                    </m:den>
                  </m:f>
                  <m:r>
                    <w:rPr>
                      <w:rFonts w:ascii="Cambria Math" w:hAnsi="Cambria Math"/>
                      <w:color w:val="000000" w:themeColor="text1"/>
                      <w:szCs w:val="24"/>
                    </w:rPr>
                    <m:t xml:space="preserve"> </m:t>
                  </m:r>
                </m:e>
              </m:d>
              <m:r>
                <w:rPr>
                  <w:rFonts w:ascii="Cambria Math" w:hAnsi="Cambria Math"/>
                  <w:color w:val="000000" w:themeColor="text1"/>
                  <w:szCs w:val="24"/>
                </w:rPr>
                <m:t xml:space="preserve">= </m:t>
              </m:r>
              <m:f>
                <m:fPr>
                  <m:ctrlPr>
                    <w:rPr>
                      <w:rFonts w:ascii="Cambria Math" w:hAnsi="Cambria Math"/>
                      <w:i/>
                      <w:color w:val="000000" w:themeColor="text1"/>
                      <w:szCs w:val="24"/>
                    </w:rPr>
                  </m:ctrlPr>
                </m:fPr>
                <m:num>
                  <m:r>
                    <w:rPr>
                      <w:rFonts w:ascii="Cambria Math" w:hAnsi="Cambria Math"/>
                      <w:color w:val="000000" w:themeColor="text1"/>
                      <w:szCs w:val="24"/>
                    </w:rPr>
                    <m:t>f(t)</m:t>
                  </m:r>
                </m:num>
                <m:den>
                  <m:r>
                    <w:rPr>
                      <w:rFonts w:ascii="Cambria Math" w:hAnsi="Cambria Math"/>
                      <w:color w:val="000000" w:themeColor="text1"/>
                      <w:szCs w:val="24"/>
                    </w:rPr>
                    <m:t>S(t)</m:t>
                  </m:r>
                </m:den>
              </m:f>
            </m:e>
          </m:func>
        </m:oMath>
      </m:oMathPara>
    </w:p>
    <w:p w14:paraId="0C205BDD" w14:textId="77777777" w:rsidR="000A559F" w:rsidRPr="006F5D71" w:rsidRDefault="002F2553" w:rsidP="000A559F">
      <w:pPr>
        <w:spacing w:line="360" w:lineRule="auto"/>
        <w:ind w:firstLine="720"/>
        <w:jc w:val="both"/>
        <w:rPr>
          <w:color w:val="000000" w:themeColor="text1"/>
        </w:rPr>
      </w:pPr>
      <w:r w:rsidRPr="006F5D71">
        <w:rPr>
          <w:color w:val="000000" w:themeColor="text1"/>
        </w:rPr>
        <w:t>To estimate the effect of different regressors (explanatory variables of this study) on the survival probability of the phenomenon, this study estimates the parameter “</w:t>
      </w:r>
      <m:oMath>
        <m:r>
          <m:rPr>
            <m:sty m:val="p"/>
          </m:rPr>
          <w:rPr>
            <w:rFonts w:ascii="Cambria Math" w:hAnsi="Cambria Math" w:cs="Calibri"/>
            <w:color w:val="000000" w:themeColor="text1"/>
            <w:szCs w:val="24"/>
          </w:rPr>
          <m:t>λ</m:t>
        </m:r>
      </m:oMath>
      <w:r w:rsidRPr="006F5D71">
        <w:rPr>
          <w:color w:val="000000" w:themeColor="text1"/>
        </w:rPr>
        <w:t xml:space="preserve">” using maximum likelihood by the Cox Proportional Hazard regression. The “hazard function </w:t>
      </w:r>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i</m:t>
            </m:r>
          </m:sub>
        </m:sSub>
        <m:r>
          <w:rPr>
            <w:rFonts w:ascii="Cambria Math" w:hAnsi="Cambria Math"/>
            <w:color w:val="000000" w:themeColor="text1"/>
          </w:rPr>
          <m:t>(t</m:t>
        </m:r>
        <m:r>
          <w:rPr>
            <w:rFonts w:ascii="Cambria Math" w:eastAsiaTheme="minorEastAsia" w:hAnsi="Cambria Math"/>
            <w:color w:val="000000" w:themeColor="text1"/>
          </w:rPr>
          <m:t>)</m:t>
        </m:r>
      </m:oMath>
      <w:r w:rsidRPr="006F5D71">
        <w:rPr>
          <w:rFonts w:eastAsiaTheme="minorEastAsia"/>
          <w:color w:val="000000" w:themeColor="text1"/>
        </w:rPr>
        <w:t xml:space="preserve"> of “</w:t>
      </w:r>
      <w:proofErr w:type="spellStart"/>
      <w:r w:rsidRPr="006F5D71">
        <w:rPr>
          <w:rFonts w:eastAsiaTheme="minorEastAsia"/>
          <w:i/>
          <w:color w:val="000000" w:themeColor="text1"/>
        </w:rPr>
        <w:t>i</w:t>
      </w:r>
      <w:r w:rsidRPr="006F5D71">
        <w:rPr>
          <w:rFonts w:eastAsiaTheme="minorEastAsia"/>
          <w:color w:val="000000" w:themeColor="text1"/>
        </w:rPr>
        <w:t>”th</w:t>
      </w:r>
      <w:proofErr w:type="spellEnd"/>
      <w:r w:rsidRPr="006F5D71">
        <w:rPr>
          <w:rFonts w:eastAsiaTheme="minorEastAsia"/>
          <w:color w:val="000000" w:themeColor="text1"/>
        </w:rPr>
        <w:t xml:space="preserve"> firm is as follows: </w:t>
      </w:r>
    </w:p>
    <w:p w14:paraId="5070E721" w14:textId="77777777" w:rsidR="002F2553" w:rsidRPr="006F5D71" w:rsidRDefault="00FD5849" w:rsidP="002F2553">
      <w:pPr>
        <w:spacing w:line="360" w:lineRule="auto"/>
        <w:ind w:left="2160"/>
        <w:jc w:val="center"/>
        <w:rPr>
          <w:rFonts w:ascii="Cambria Math" w:hAnsi="Cambria Math" w:cs="Cambria Math"/>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i</m:t>
            </m:r>
          </m:sub>
        </m:sSub>
        <m:d>
          <m:dPr>
            <m:ctrlPr>
              <w:rPr>
                <w:rFonts w:ascii="Cambria Math" w:hAnsi="Cambria Math"/>
                <w:i/>
                <w:color w:val="000000" w:themeColor="text1"/>
              </w:rPr>
            </m:ctrlPr>
          </m:dPr>
          <m:e>
            <m:r>
              <w:rPr>
                <w:rFonts w:ascii="Cambria Math" w:hAnsi="Cambria Math"/>
                <w:color w:val="000000" w:themeColor="text1"/>
              </w:rPr>
              <m:t>t</m:t>
            </m:r>
            <m:ctrlPr>
              <w:rPr>
                <w:rFonts w:ascii="Cambria Math" w:eastAsiaTheme="minorEastAsia" w:hAnsi="Cambria Math"/>
                <w:i/>
                <w:color w:val="000000" w:themeColor="text1"/>
              </w:rPr>
            </m:ctrlPr>
          </m:e>
        </m:d>
        <m:r>
          <w:rPr>
            <w:rFonts w:ascii="Cambria Math" w:eastAsiaTheme="minorEastAsia" w:hAnsi="Cambria Math"/>
            <w:color w:val="000000" w:themeColor="text1"/>
          </w:rPr>
          <m:t>=</m:t>
        </m:r>
        <m:r>
          <w:rPr>
            <w:rFonts w:ascii="Cambria Math" w:hAnsi="Cambria Math"/>
            <w:color w:val="000000" w:themeColor="text1"/>
          </w:rPr>
          <m:t>h</m:t>
        </m:r>
        <m:d>
          <m:dPr>
            <m:ctrlPr>
              <w:rPr>
                <w:rFonts w:ascii="Cambria Math" w:hAnsi="Cambria Math"/>
                <w:i/>
                <w:color w:val="000000" w:themeColor="text1"/>
              </w:rPr>
            </m:ctrlPr>
          </m:dPr>
          <m:e>
            <m:r>
              <w:rPr>
                <w:rFonts w:ascii="Cambria Math" w:hAnsi="Cambria Math"/>
                <w:color w:val="000000" w:themeColor="text1"/>
              </w:rPr>
              <m:t>X,t</m:t>
            </m:r>
            <m:ctrlPr>
              <w:rPr>
                <w:rFonts w:ascii="Cambria Math" w:eastAsiaTheme="minorEastAsia" w:hAnsi="Cambria Math"/>
                <w:i/>
                <w:color w:val="000000" w:themeColor="text1"/>
              </w:rPr>
            </m:ctrlPr>
          </m:e>
        </m:d>
        <m:r>
          <w:rPr>
            <w:rFonts w:ascii="Cambria Math" w:eastAsiaTheme="minorEastAsia"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0</m:t>
            </m:r>
          </m:sub>
        </m:sSub>
        <m:d>
          <m:dPr>
            <m:ctrlPr>
              <w:rPr>
                <w:rFonts w:ascii="Cambria Math" w:hAnsi="Cambria Math"/>
                <w:i/>
                <w:color w:val="000000" w:themeColor="text1"/>
              </w:rPr>
            </m:ctrlPr>
          </m:dPr>
          <m:e>
            <m:r>
              <w:rPr>
                <w:rFonts w:ascii="Cambria Math" w:hAnsi="Cambria Math"/>
                <w:color w:val="000000" w:themeColor="text1"/>
              </w:rPr>
              <m:t>t</m:t>
            </m:r>
            <m:ctrlPr>
              <w:rPr>
                <w:rFonts w:ascii="Cambria Math" w:eastAsiaTheme="minorEastAsia" w:hAnsi="Cambria Math"/>
                <w:i/>
                <w:color w:val="000000" w:themeColor="text1"/>
              </w:rPr>
            </m:ctrlPr>
          </m:e>
        </m:d>
        <m:func>
          <m:funcPr>
            <m:ctrlPr>
              <w:rPr>
                <w:rFonts w:ascii="Cambria Math" w:eastAsiaTheme="minorEastAsia" w:hAnsi="Cambria Math"/>
                <w:i/>
                <w:color w:val="000000" w:themeColor="text1"/>
              </w:rPr>
            </m:ctrlPr>
          </m:funcPr>
          <m:fName>
            <m:r>
              <m:rPr>
                <m:sty m:val="p"/>
              </m:rPr>
              <w:rPr>
                <w:rFonts w:ascii="Cambria Math" w:eastAsiaTheme="minorEastAsia" w:hAnsi="Cambria Math"/>
                <w:color w:val="000000" w:themeColor="text1"/>
              </w:rPr>
              <m:t>exp (β</m:t>
            </m:r>
          </m:fName>
          <m:e>
            <m:r>
              <w:rPr>
                <w:rFonts w:ascii="Cambria Math" w:eastAsiaTheme="minorEastAsia" w:hAnsi="Cambria Math"/>
                <w:color w:val="000000" w:themeColor="text1"/>
              </w:rPr>
              <m:t>'</m:t>
            </m:r>
          </m:e>
        </m:func>
        <m:r>
          <w:rPr>
            <w:rFonts w:ascii="Cambria Math" w:eastAsiaTheme="minorEastAsia" w:hAnsi="Cambria Math"/>
            <w:color w:val="000000" w:themeColor="text1"/>
          </w:rPr>
          <m:t>X)</m:t>
        </m:r>
      </m:oMath>
      <w:r w:rsidR="00F72D31">
        <w:rPr>
          <w:rFonts w:ascii="Cambria Math" w:eastAsiaTheme="minorEastAsia" w:hAnsi="Cambria Math" w:cs="Cambria Math"/>
          <w:color w:val="000000" w:themeColor="text1"/>
        </w:rPr>
        <w:t xml:space="preserve"> </w:t>
      </w:r>
      <w:r w:rsidR="002F2553" w:rsidRPr="006F5D71">
        <w:rPr>
          <w:rFonts w:ascii="Cambria Math" w:eastAsiaTheme="minorEastAsia" w:hAnsi="Cambria Math" w:cs="Cambria Math"/>
          <w:color w:val="000000" w:themeColor="text1"/>
        </w:rPr>
        <w:tab/>
      </w:r>
      <w:r w:rsidR="000B253D" w:rsidRPr="006F5D71">
        <w:rPr>
          <w:rFonts w:ascii="Cambria Math" w:eastAsiaTheme="minorEastAsia" w:hAnsi="Cambria Math" w:cs="Cambria Math"/>
          <w:color w:val="000000" w:themeColor="text1"/>
        </w:rPr>
        <w:tab/>
      </w:r>
      <w:r w:rsidR="002F2553" w:rsidRPr="006F5D71">
        <w:rPr>
          <w:rFonts w:ascii="Cambria Math" w:eastAsiaTheme="minorEastAsia" w:hAnsi="Cambria Math" w:cs="Cambria Math"/>
          <w:color w:val="000000" w:themeColor="text1"/>
        </w:rPr>
        <w:tab/>
      </w:r>
      <w:r w:rsidR="002F2553" w:rsidRPr="006F5D71">
        <w:rPr>
          <w:rFonts w:ascii="Cambria Math" w:eastAsiaTheme="minorEastAsia" w:hAnsi="Cambria Math" w:cs="Cambria Math"/>
          <w:color w:val="000000" w:themeColor="text1"/>
        </w:rPr>
        <w:tab/>
      </w:r>
      <w:r w:rsidR="00F72D31">
        <w:rPr>
          <w:rFonts w:ascii="Cambria Math" w:eastAsiaTheme="minorEastAsia" w:hAnsi="Cambria Math" w:cs="Cambria Math"/>
          <w:color w:val="000000" w:themeColor="text1"/>
        </w:rPr>
        <w:t xml:space="preserve"> </w:t>
      </w:r>
      <w:r w:rsidR="002F2553" w:rsidRPr="006F5D71">
        <w:rPr>
          <w:rFonts w:ascii="Cambria Math" w:eastAsiaTheme="minorEastAsia" w:hAnsi="Cambria Math" w:cs="Cambria Math"/>
          <w:color w:val="000000" w:themeColor="text1"/>
        </w:rPr>
        <w:t>(1)</w:t>
      </w:r>
    </w:p>
    <w:p w14:paraId="165FBF86" w14:textId="77777777" w:rsidR="00234177" w:rsidRPr="006F5D71" w:rsidRDefault="00335612" w:rsidP="00C91A3C">
      <w:pPr>
        <w:spacing w:after="0" w:line="360" w:lineRule="auto"/>
        <w:ind w:firstLine="720"/>
        <w:jc w:val="both"/>
        <w:rPr>
          <w:color w:val="000000" w:themeColor="text1"/>
        </w:rPr>
      </w:pPr>
      <w:r w:rsidRPr="006F5D71">
        <w:rPr>
          <w:color w:val="000000" w:themeColor="text1"/>
        </w:rPr>
        <w:t>W</w:t>
      </w:r>
      <w:r w:rsidR="00905929" w:rsidRPr="006F5D71">
        <w:rPr>
          <w:color w:val="000000" w:themeColor="text1"/>
        </w:rPr>
        <w:t xml:space="preserve">here </w:t>
      </w:r>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i</m:t>
            </m:r>
          </m:sub>
        </m:sSub>
        <m:d>
          <m:dPr>
            <m:ctrlPr>
              <w:rPr>
                <w:rFonts w:ascii="Cambria Math" w:hAnsi="Cambria Math"/>
                <w:i/>
                <w:color w:val="000000" w:themeColor="text1"/>
              </w:rPr>
            </m:ctrlPr>
          </m:dPr>
          <m:e>
            <m:r>
              <w:rPr>
                <w:rFonts w:ascii="Cambria Math" w:hAnsi="Cambria Math"/>
                <w:color w:val="000000" w:themeColor="text1"/>
              </w:rPr>
              <m:t>t</m:t>
            </m:r>
            <m:ctrlPr>
              <w:rPr>
                <w:rFonts w:ascii="Cambria Math" w:eastAsiaTheme="minorEastAsia" w:hAnsi="Cambria Math"/>
                <w:i/>
                <w:color w:val="000000" w:themeColor="text1"/>
              </w:rPr>
            </m:ctrlPr>
          </m:e>
        </m:d>
      </m:oMath>
      <w:r w:rsidR="00905929" w:rsidRPr="006F5D71">
        <w:rPr>
          <w:color w:val="000000" w:themeColor="text1"/>
        </w:rPr>
        <w:t>shows the hazard</w:t>
      </w:r>
      <w:r w:rsidR="00FA739E" w:rsidRPr="006F5D71">
        <w:rPr>
          <w:color w:val="000000" w:themeColor="text1"/>
        </w:rPr>
        <w:t xml:space="preserve"> rate</w:t>
      </w:r>
      <w:r w:rsidR="00905929" w:rsidRPr="006F5D71">
        <w:rPr>
          <w:color w:val="000000" w:themeColor="text1"/>
        </w:rPr>
        <w:t xml:space="preserve"> for the period between the beginning and the end</w:t>
      </w:r>
      <w:r w:rsidR="00FA739E" w:rsidRPr="006F5D71">
        <w:rPr>
          <w:color w:val="000000" w:themeColor="text1"/>
        </w:rPr>
        <w:t xml:space="preserve"> (event)</w:t>
      </w:r>
      <w:r w:rsidR="00905929" w:rsidRPr="006F5D71">
        <w:rPr>
          <w:color w:val="000000" w:themeColor="text1"/>
        </w:rPr>
        <w:t xml:space="preserve"> of the </w:t>
      </w:r>
      <w:r w:rsidR="00F06452" w:rsidRPr="006F5D71">
        <w:rPr>
          <w:color w:val="000000" w:themeColor="text1"/>
        </w:rPr>
        <w:t>‘</w:t>
      </w:r>
      <w:proofErr w:type="spellStart"/>
      <w:r w:rsidR="00905929" w:rsidRPr="006F5D71">
        <w:rPr>
          <w:rFonts w:cs="Times New Roman"/>
          <w:i/>
          <w:color w:val="000000" w:themeColor="text1"/>
        </w:rPr>
        <w:t>t</w:t>
      </w:r>
      <w:r w:rsidR="00F06452" w:rsidRPr="006F5D71">
        <w:rPr>
          <w:rFonts w:cs="Times New Roman"/>
          <w:color w:val="000000" w:themeColor="text1"/>
        </w:rPr>
        <w:t>’</w:t>
      </w:r>
      <w:r w:rsidR="00905929" w:rsidRPr="006F5D71">
        <w:rPr>
          <w:rFonts w:cs="Times New Roman"/>
          <w:color w:val="000000" w:themeColor="text1"/>
        </w:rPr>
        <w:t>th</w:t>
      </w:r>
      <w:proofErr w:type="spellEnd"/>
      <w:r w:rsidR="00905929" w:rsidRPr="006F5D71">
        <w:rPr>
          <w:rFonts w:cs="Times New Roman"/>
          <w:color w:val="000000" w:themeColor="text1"/>
        </w:rPr>
        <w:t xml:space="preserve"> year after the first appearance of the EMNC subsidiaries in the North or South regions and </w:t>
      </w:r>
      <w:r w:rsidR="00FA739E" w:rsidRPr="006F5D71">
        <w:rPr>
          <w:rFonts w:cs="Times New Roman"/>
          <w:color w:val="000000" w:themeColor="text1"/>
        </w:rPr>
        <w:t xml:space="preserve">the baseline hazard function is </w:t>
      </w:r>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0</m:t>
            </m:r>
          </m:sub>
        </m:sSub>
        <m:d>
          <m:dPr>
            <m:ctrlPr>
              <w:rPr>
                <w:rFonts w:ascii="Cambria Math" w:hAnsi="Cambria Math"/>
                <w:i/>
                <w:color w:val="000000" w:themeColor="text1"/>
              </w:rPr>
            </m:ctrlPr>
          </m:dPr>
          <m:e>
            <m:r>
              <w:rPr>
                <w:rFonts w:ascii="Cambria Math" w:hAnsi="Cambria Math"/>
                <w:color w:val="000000" w:themeColor="text1"/>
              </w:rPr>
              <m:t>t</m:t>
            </m:r>
            <m:ctrlPr>
              <w:rPr>
                <w:rFonts w:ascii="Cambria Math" w:eastAsiaTheme="minorEastAsia" w:hAnsi="Cambria Math"/>
                <w:i/>
                <w:color w:val="000000" w:themeColor="text1"/>
              </w:rPr>
            </m:ctrlPr>
          </m:e>
        </m:d>
      </m:oMath>
      <w:r w:rsidR="00FA739E" w:rsidRPr="006F5D71">
        <w:rPr>
          <w:rFonts w:ascii="Cambria Math" w:hAnsi="Cambria Math"/>
          <w:color w:val="000000" w:themeColor="text1"/>
        </w:rPr>
        <w:t xml:space="preserve">. </w:t>
      </w:r>
      <m:oMath>
        <m:func>
          <m:funcPr>
            <m:ctrlPr>
              <w:rPr>
                <w:rFonts w:ascii="Cambria Math" w:eastAsiaTheme="minorEastAsia" w:hAnsi="Cambria Math"/>
                <w:i/>
                <w:color w:val="000000" w:themeColor="text1"/>
              </w:rPr>
            </m:ctrlPr>
          </m:funcPr>
          <m:fName>
            <m:r>
              <m:rPr>
                <m:sty m:val="p"/>
              </m:rPr>
              <w:rPr>
                <w:rFonts w:ascii="Cambria Math" w:eastAsiaTheme="minorEastAsia" w:hAnsi="Cambria Math"/>
                <w:color w:val="000000" w:themeColor="text1"/>
              </w:rPr>
              <m:t>(β</m:t>
            </m:r>
          </m:fName>
          <m:e>
            <m:r>
              <w:rPr>
                <w:rFonts w:ascii="Cambria Math" w:eastAsiaTheme="minorEastAsia" w:hAnsi="Cambria Math"/>
                <w:color w:val="000000" w:themeColor="text1"/>
              </w:rPr>
              <m:t>'</m:t>
            </m:r>
          </m:e>
        </m:func>
        <m:r>
          <w:rPr>
            <w:rFonts w:ascii="Cambria Math" w:eastAsiaTheme="minorEastAsia" w:hAnsi="Cambria Math"/>
            <w:color w:val="000000" w:themeColor="text1"/>
          </w:rPr>
          <m:t>X)</m:t>
        </m:r>
      </m:oMath>
      <w:r w:rsidR="00FA739E" w:rsidRPr="006F5D71">
        <w:rPr>
          <w:rFonts w:cs="Times New Roman"/>
          <w:color w:val="000000" w:themeColor="text1"/>
        </w:rPr>
        <w:t xml:space="preserve"> is showing the</w:t>
      </w:r>
      <w:r w:rsidR="00D5052B" w:rsidRPr="006F5D71">
        <w:rPr>
          <w:rFonts w:cs="Times New Roman"/>
          <w:color w:val="000000" w:themeColor="text1"/>
        </w:rPr>
        <w:t xml:space="preserve"> vector of</w:t>
      </w:r>
      <w:r w:rsidR="00FA739E" w:rsidRPr="006F5D71">
        <w:rPr>
          <w:rFonts w:cs="Times New Roman"/>
          <w:color w:val="000000" w:themeColor="text1"/>
        </w:rPr>
        <w:t xml:space="preserve"> explanatory variables (</w:t>
      </w:r>
      <m:oMath>
        <m:r>
          <w:rPr>
            <w:rFonts w:ascii="Cambria Math" w:eastAsiaTheme="minorEastAsia" w:hAnsi="Cambria Math"/>
            <w:color w:val="000000" w:themeColor="text1"/>
          </w:rPr>
          <m:t>X</m:t>
        </m:r>
      </m:oMath>
      <w:r w:rsidR="00FA739E" w:rsidRPr="006F5D71">
        <w:rPr>
          <w:rFonts w:cs="Times New Roman"/>
          <w:color w:val="000000" w:themeColor="text1"/>
        </w:rPr>
        <w:t>) and their</w:t>
      </w:r>
      <w:r w:rsidR="00D5052B" w:rsidRPr="006F5D71">
        <w:rPr>
          <w:rFonts w:cs="Times New Roman"/>
          <w:color w:val="000000" w:themeColor="text1"/>
        </w:rPr>
        <w:t xml:space="preserve"> unknown</w:t>
      </w:r>
      <w:r w:rsidR="00FA739E" w:rsidRPr="006F5D71">
        <w:rPr>
          <w:rFonts w:cs="Times New Roman"/>
          <w:color w:val="000000" w:themeColor="text1"/>
        </w:rPr>
        <w:t xml:space="preserve"> coefficients (</w:t>
      </w:r>
      <m:oMath>
        <m:r>
          <m:rPr>
            <m:sty m:val="p"/>
          </m:rPr>
          <w:rPr>
            <w:rFonts w:ascii="Cambria Math" w:eastAsiaTheme="minorEastAsia" w:hAnsi="Cambria Math"/>
            <w:color w:val="000000" w:themeColor="text1"/>
          </w:rPr>
          <m:t>β</m:t>
        </m:r>
      </m:oMath>
      <w:r w:rsidR="00FA739E" w:rsidRPr="006F5D71">
        <w:rPr>
          <w:rFonts w:cs="Times New Roman"/>
          <w:color w:val="000000" w:themeColor="text1"/>
        </w:rPr>
        <w:t xml:space="preserve">). </w:t>
      </w:r>
      <w:r w:rsidR="00905929" w:rsidRPr="006F5D71">
        <w:rPr>
          <w:color w:val="000000" w:themeColor="text1"/>
        </w:rPr>
        <w:t xml:space="preserve">The covariate </w:t>
      </w:r>
      <m:oMath>
        <m:r>
          <w:rPr>
            <w:rFonts w:ascii="Cambria Math" w:eastAsiaTheme="minorEastAsia" w:hAnsi="Cambria Math"/>
            <w:color w:val="000000" w:themeColor="text1"/>
          </w:rPr>
          <m:t>X</m:t>
        </m:r>
      </m:oMath>
      <w:r w:rsidR="00905929" w:rsidRPr="006F5D71">
        <w:rPr>
          <w:color w:val="000000" w:themeColor="text1"/>
        </w:rPr>
        <w:t xml:space="preserve"> includes variables at the firm, industry level</w:t>
      </w:r>
      <w:r w:rsidR="005E6BDE" w:rsidRPr="006F5D71">
        <w:rPr>
          <w:color w:val="000000" w:themeColor="text1"/>
        </w:rPr>
        <w:t>,</w:t>
      </w:r>
      <w:r w:rsidR="00A07247" w:rsidRPr="006F5D71">
        <w:rPr>
          <w:color w:val="000000" w:themeColor="text1"/>
        </w:rPr>
        <w:t xml:space="preserve"> and country level described in more detail in the following section. </w:t>
      </w:r>
      <w:r w:rsidR="00234177" w:rsidRPr="006F5D71">
        <w:rPr>
          <w:color w:val="000000" w:themeColor="text1"/>
        </w:rPr>
        <w:t xml:space="preserve">Negative coefficients (which </w:t>
      </w:r>
      <w:r w:rsidR="005C48B7" w:rsidRPr="006F5D71">
        <w:rPr>
          <w:color w:val="000000" w:themeColor="text1"/>
        </w:rPr>
        <w:t>result in</w:t>
      </w:r>
      <w:r w:rsidR="00234177" w:rsidRPr="006F5D71">
        <w:rPr>
          <w:color w:val="000000" w:themeColor="text1"/>
        </w:rPr>
        <w:t xml:space="preserve"> relative risk ratios less than one) imply that the hazard rate </w:t>
      </w:r>
      <w:r w:rsidR="000B253D" w:rsidRPr="006F5D71">
        <w:rPr>
          <w:color w:val="000000" w:themeColor="text1"/>
        </w:rPr>
        <w:t>decreases,</w:t>
      </w:r>
      <w:r w:rsidR="00234177" w:rsidRPr="006F5D71">
        <w:rPr>
          <w:color w:val="000000" w:themeColor="text1"/>
        </w:rPr>
        <w:t xml:space="preserve"> and the corresponding probability of survival increases.</w:t>
      </w:r>
      <w:r w:rsidR="005C48B7" w:rsidRPr="006F5D71">
        <w:rPr>
          <w:rStyle w:val="FootnoteReference"/>
          <w:color w:val="000000" w:themeColor="text1"/>
        </w:rPr>
        <w:footnoteReference w:id="6"/>
      </w:r>
      <w:r w:rsidR="00F72D31">
        <w:rPr>
          <w:color w:val="000000" w:themeColor="text1"/>
        </w:rPr>
        <w:t xml:space="preserve"> </w:t>
      </w:r>
    </w:p>
    <w:p w14:paraId="724325AF" w14:textId="77777777" w:rsidR="00234177" w:rsidRPr="006F5D71" w:rsidRDefault="00335612" w:rsidP="00234177">
      <w:pPr>
        <w:spacing w:line="360" w:lineRule="auto"/>
        <w:ind w:firstLine="720"/>
        <w:jc w:val="both"/>
        <w:rPr>
          <w:color w:val="000000" w:themeColor="text1"/>
        </w:rPr>
      </w:pPr>
      <w:r w:rsidRPr="006F5D71">
        <w:rPr>
          <w:color w:val="000000" w:themeColor="text1"/>
        </w:rPr>
        <w:t xml:space="preserve">We estimate hazard models for all </w:t>
      </w:r>
      <w:r w:rsidR="00446B96" w:rsidRPr="006F5D71">
        <w:rPr>
          <w:color w:val="000000" w:themeColor="text1"/>
        </w:rPr>
        <w:t xml:space="preserve">investments in </w:t>
      </w:r>
      <w:r w:rsidRPr="006F5D71">
        <w:rPr>
          <w:color w:val="000000" w:themeColor="text1"/>
        </w:rPr>
        <w:t xml:space="preserve">Southern and </w:t>
      </w:r>
      <w:r w:rsidR="00446B96" w:rsidRPr="006F5D71">
        <w:rPr>
          <w:color w:val="000000" w:themeColor="text1"/>
        </w:rPr>
        <w:t>Northern locations</w:t>
      </w:r>
      <w:r w:rsidRPr="006F5D71">
        <w:rPr>
          <w:color w:val="000000" w:themeColor="text1"/>
        </w:rPr>
        <w:t xml:space="preserve">. </w:t>
      </w:r>
      <w:r w:rsidR="00234177" w:rsidRPr="006F5D71">
        <w:rPr>
          <w:color w:val="000000" w:themeColor="text1"/>
        </w:rPr>
        <w:t xml:space="preserve">To check for </w:t>
      </w:r>
      <w:r w:rsidR="00F06452" w:rsidRPr="006F5D71">
        <w:rPr>
          <w:color w:val="000000" w:themeColor="text1"/>
        </w:rPr>
        <w:t xml:space="preserve">the </w:t>
      </w:r>
      <w:r w:rsidR="00234177" w:rsidRPr="006F5D71">
        <w:rPr>
          <w:color w:val="000000" w:themeColor="text1"/>
        </w:rPr>
        <w:t>significance of differences between the two groups, tests of homogeneity are run.</w:t>
      </w:r>
      <w:r w:rsidR="00F72D31">
        <w:rPr>
          <w:color w:val="000000" w:themeColor="text1"/>
        </w:rPr>
        <w:t xml:space="preserve"> </w:t>
      </w:r>
      <w:r w:rsidR="00234177" w:rsidRPr="006F5D71">
        <w:rPr>
          <w:color w:val="000000" w:themeColor="text1"/>
        </w:rPr>
        <w:t xml:space="preserve">We use the nonparametric Log-Rank, Wilcoxon, </w:t>
      </w:r>
      <w:proofErr w:type="spellStart"/>
      <w:r w:rsidR="00234177" w:rsidRPr="006F5D71">
        <w:rPr>
          <w:color w:val="000000" w:themeColor="text1"/>
        </w:rPr>
        <w:t>Tarone</w:t>
      </w:r>
      <w:proofErr w:type="spellEnd"/>
      <w:r w:rsidR="00234177" w:rsidRPr="006F5D71">
        <w:rPr>
          <w:color w:val="000000" w:themeColor="text1"/>
        </w:rPr>
        <w:t>–West</w:t>
      </w:r>
      <w:r w:rsidR="00F06452" w:rsidRPr="006F5D71">
        <w:rPr>
          <w:color w:val="000000" w:themeColor="text1"/>
        </w:rPr>
        <w:t>,</w:t>
      </w:r>
      <w:r w:rsidR="00234177" w:rsidRPr="006F5D71">
        <w:rPr>
          <w:color w:val="000000" w:themeColor="text1"/>
        </w:rPr>
        <w:t xml:space="preserve"> and </w:t>
      </w:r>
      <w:proofErr w:type="spellStart"/>
      <w:r w:rsidR="00234177" w:rsidRPr="006F5D71">
        <w:rPr>
          <w:color w:val="000000" w:themeColor="text1"/>
        </w:rPr>
        <w:t>Peto</w:t>
      </w:r>
      <w:proofErr w:type="spellEnd"/>
      <w:r w:rsidR="00234177" w:rsidRPr="006F5D71">
        <w:rPr>
          <w:color w:val="000000" w:themeColor="text1"/>
        </w:rPr>
        <w:t>–</w:t>
      </w:r>
      <w:proofErr w:type="spellStart"/>
      <w:r w:rsidR="00234177" w:rsidRPr="006F5D71">
        <w:rPr>
          <w:color w:val="000000" w:themeColor="text1"/>
        </w:rPr>
        <w:t>Peto</w:t>
      </w:r>
      <w:proofErr w:type="spellEnd"/>
      <w:r w:rsidR="00234177" w:rsidRPr="006F5D71">
        <w:rPr>
          <w:color w:val="000000" w:themeColor="text1"/>
        </w:rPr>
        <w:t xml:space="preserve">-Prentice </w:t>
      </w:r>
      <w:r w:rsidR="00234177" w:rsidRPr="006F5D71">
        <w:rPr>
          <w:color w:val="000000" w:themeColor="text1"/>
        </w:rPr>
        <w:lastRenderedPageBreak/>
        <w:t>tests</w:t>
      </w:r>
      <w:r w:rsidR="005C48B7" w:rsidRPr="006F5D71">
        <w:rPr>
          <w:color w:val="000000" w:themeColor="text1"/>
        </w:rPr>
        <w:t xml:space="preserve"> as suggested by Giovannetti et al. (2011)</w:t>
      </w:r>
      <w:r w:rsidR="00234177" w:rsidRPr="006F5D71">
        <w:rPr>
          <w:color w:val="000000" w:themeColor="text1"/>
        </w:rPr>
        <w:t>. At each failure time t, the test statistic is obtained as a weighted standardized sum of the difference between the observed and expected number of exit</w:t>
      </w:r>
      <w:r w:rsidR="00DF750F">
        <w:rPr>
          <w:color w:val="000000" w:themeColor="text1"/>
        </w:rPr>
        <w:t>s</w:t>
      </w:r>
      <w:r w:rsidR="00234177" w:rsidRPr="006F5D71">
        <w:rPr>
          <w:color w:val="000000" w:themeColor="text1"/>
        </w:rPr>
        <w:t xml:space="preserve"> in each of the k-groups. The null hypothesis </w:t>
      </w:r>
      <w:r w:rsidR="00DF750F">
        <w:rPr>
          <w:color w:val="000000" w:themeColor="text1"/>
        </w:rPr>
        <w:t>comprises</w:t>
      </w:r>
      <w:r w:rsidR="00DF750F" w:rsidRPr="006F5D71">
        <w:rPr>
          <w:color w:val="000000" w:themeColor="text1"/>
        </w:rPr>
        <w:t xml:space="preserve"> </w:t>
      </w:r>
      <w:r w:rsidR="00234177" w:rsidRPr="006F5D71">
        <w:rPr>
          <w:color w:val="000000" w:themeColor="text1"/>
        </w:rPr>
        <w:t>no difference between the survival functions of the k-groups.</w:t>
      </w:r>
      <w:r w:rsidR="00F72D31">
        <w:rPr>
          <w:color w:val="000000" w:themeColor="text1"/>
        </w:rPr>
        <w:t xml:space="preserve"> </w:t>
      </w:r>
    </w:p>
    <w:p w14:paraId="150998A6" w14:textId="77777777" w:rsidR="00446B96" w:rsidRPr="006F5D71" w:rsidRDefault="00446B96" w:rsidP="00234177">
      <w:pPr>
        <w:spacing w:line="360" w:lineRule="auto"/>
        <w:ind w:firstLine="720"/>
        <w:jc w:val="both"/>
        <w:rPr>
          <w:color w:val="000000" w:themeColor="text1"/>
        </w:rPr>
      </w:pPr>
    </w:p>
    <w:p w14:paraId="2C31C557" w14:textId="77777777" w:rsidR="00855C00" w:rsidRPr="006F5D71" w:rsidRDefault="00446B96" w:rsidP="00B73DF1">
      <w:pPr>
        <w:spacing w:line="360" w:lineRule="auto"/>
        <w:jc w:val="both"/>
        <w:rPr>
          <w:i/>
          <w:color w:val="000000" w:themeColor="text1"/>
        </w:rPr>
      </w:pPr>
      <w:r w:rsidRPr="006F5D71">
        <w:rPr>
          <w:i/>
          <w:color w:val="000000" w:themeColor="text1"/>
        </w:rPr>
        <w:tab/>
      </w:r>
      <w:r w:rsidR="00855C00" w:rsidRPr="006F5D71">
        <w:rPr>
          <w:i/>
          <w:color w:val="000000" w:themeColor="text1"/>
        </w:rPr>
        <w:t>3.3. Variable measurements</w:t>
      </w:r>
    </w:p>
    <w:p w14:paraId="0C6C5474" w14:textId="77777777" w:rsidR="005C48B7" w:rsidRPr="006F5D71" w:rsidRDefault="00446B96" w:rsidP="00C91A3C">
      <w:pPr>
        <w:spacing w:after="0" w:line="360" w:lineRule="auto"/>
        <w:jc w:val="both"/>
        <w:rPr>
          <w:color w:val="000000" w:themeColor="text1"/>
        </w:rPr>
      </w:pPr>
      <w:r w:rsidRPr="006F5D71">
        <w:rPr>
          <w:i/>
          <w:color w:val="000000" w:themeColor="text1"/>
        </w:rPr>
        <w:tab/>
      </w:r>
      <w:r w:rsidR="00335612" w:rsidRPr="006F5D71">
        <w:rPr>
          <w:i/>
          <w:color w:val="000000" w:themeColor="text1"/>
        </w:rPr>
        <w:t xml:space="preserve"> </w:t>
      </w:r>
      <w:r w:rsidR="00335612" w:rsidRPr="006F5D71">
        <w:rPr>
          <w:iCs/>
          <w:color w:val="000000" w:themeColor="text1"/>
        </w:rPr>
        <w:t xml:space="preserve">The dependent variable </w:t>
      </w:r>
      <w:r w:rsidR="00B33821">
        <w:rPr>
          <w:iCs/>
          <w:color w:val="000000" w:themeColor="text1"/>
        </w:rPr>
        <w:t xml:space="preserve">is </w:t>
      </w:r>
      <w:proofErr w:type="gramStart"/>
      <w:r w:rsidR="00B33821">
        <w:rPr>
          <w:iCs/>
          <w:color w:val="000000" w:themeColor="text1"/>
        </w:rPr>
        <w:t xml:space="preserve">the </w:t>
      </w:r>
      <w:r w:rsidR="00B33821" w:rsidRPr="006F5D71">
        <w:rPr>
          <w:iCs/>
          <w:color w:val="000000" w:themeColor="text1"/>
        </w:rPr>
        <w:t xml:space="preserve"> </w:t>
      </w:r>
      <w:r w:rsidR="00335612" w:rsidRPr="006F5D71">
        <w:rPr>
          <w:color w:val="000000" w:themeColor="text1"/>
        </w:rPr>
        <w:t>instant</w:t>
      </w:r>
      <w:proofErr w:type="gramEnd"/>
      <w:r w:rsidR="00335612" w:rsidRPr="006F5D71">
        <w:rPr>
          <w:color w:val="000000" w:themeColor="text1"/>
        </w:rPr>
        <w:t xml:space="preserve"> hazard rates</w:t>
      </w:r>
      <w:r w:rsidR="006A1992" w:rsidRPr="006F5D71">
        <w:rPr>
          <w:color w:val="000000" w:themeColor="text1"/>
        </w:rPr>
        <w:t xml:space="preserve"> based on </w:t>
      </w:r>
      <w:r w:rsidR="005C48B7" w:rsidRPr="006F5D71">
        <w:rPr>
          <w:color w:val="000000" w:themeColor="text1"/>
        </w:rPr>
        <w:t xml:space="preserve">the survival </w:t>
      </w:r>
      <w:r w:rsidR="006A1992" w:rsidRPr="006F5D71">
        <w:rPr>
          <w:color w:val="000000" w:themeColor="text1"/>
        </w:rPr>
        <w:t xml:space="preserve">duration and </w:t>
      </w:r>
      <w:r w:rsidR="005C48B7" w:rsidRPr="006F5D71">
        <w:rPr>
          <w:color w:val="000000" w:themeColor="text1"/>
        </w:rPr>
        <w:t xml:space="preserve">exit </w:t>
      </w:r>
      <w:r w:rsidR="006A1992" w:rsidRPr="006F5D71">
        <w:rPr>
          <w:color w:val="000000" w:themeColor="text1"/>
        </w:rPr>
        <w:t xml:space="preserve">event variable. Duration is the difference between </w:t>
      </w:r>
      <w:r w:rsidR="005E6BDE" w:rsidRPr="006F5D71">
        <w:rPr>
          <w:color w:val="000000" w:themeColor="text1"/>
        </w:rPr>
        <w:t xml:space="preserve">the </w:t>
      </w:r>
      <w:r w:rsidR="006A1992" w:rsidRPr="006F5D71">
        <w:rPr>
          <w:color w:val="000000" w:themeColor="text1"/>
        </w:rPr>
        <w:t xml:space="preserve">current year and </w:t>
      </w:r>
      <w:r w:rsidR="005E6BDE" w:rsidRPr="006F5D71">
        <w:rPr>
          <w:color w:val="000000" w:themeColor="text1"/>
        </w:rPr>
        <w:t xml:space="preserve">the </w:t>
      </w:r>
      <w:r w:rsidR="006A1992" w:rsidRPr="006F5D71">
        <w:rPr>
          <w:color w:val="000000" w:themeColor="text1"/>
        </w:rPr>
        <w:t>founding year of a subsidiary.</w:t>
      </w:r>
      <w:r w:rsidR="00AA24E0" w:rsidRPr="006F5D71">
        <w:rPr>
          <w:color w:val="000000" w:themeColor="text1"/>
        </w:rPr>
        <w:t xml:space="preserve"> </w:t>
      </w:r>
      <w:r w:rsidR="005C48B7" w:rsidRPr="006F5D71">
        <w:rPr>
          <w:color w:val="000000" w:themeColor="text1"/>
        </w:rPr>
        <w:t xml:space="preserve">The </w:t>
      </w:r>
      <w:r w:rsidR="00FC476F">
        <w:rPr>
          <w:color w:val="000000" w:themeColor="text1"/>
        </w:rPr>
        <w:t>e</w:t>
      </w:r>
      <w:r w:rsidR="00FC476F" w:rsidRPr="006F5D71">
        <w:rPr>
          <w:color w:val="000000" w:themeColor="text1"/>
        </w:rPr>
        <w:t xml:space="preserve">xit </w:t>
      </w:r>
      <w:r w:rsidR="005C48B7" w:rsidRPr="006F5D71">
        <w:rPr>
          <w:color w:val="000000" w:themeColor="text1"/>
        </w:rPr>
        <w:t>e</w:t>
      </w:r>
      <w:r w:rsidR="00AA24E0" w:rsidRPr="006F5D71">
        <w:rPr>
          <w:color w:val="000000" w:themeColor="text1"/>
        </w:rPr>
        <w:t xml:space="preserve">vent variable is defined as </w:t>
      </w:r>
      <w:r w:rsidR="005E6BDE" w:rsidRPr="006F5D71">
        <w:rPr>
          <w:color w:val="000000" w:themeColor="text1"/>
        </w:rPr>
        <w:t xml:space="preserve">the </w:t>
      </w:r>
      <w:r w:rsidR="00FC476F">
        <w:rPr>
          <w:color w:val="000000" w:themeColor="text1"/>
        </w:rPr>
        <w:t>e</w:t>
      </w:r>
      <w:r w:rsidR="00FC476F" w:rsidRPr="006F5D71">
        <w:rPr>
          <w:color w:val="000000" w:themeColor="text1"/>
        </w:rPr>
        <w:t xml:space="preserve">xit </w:t>
      </w:r>
      <w:r w:rsidR="00AA24E0" w:rsidRPr="006F5D71">
        <w:rPr>
          <w:color w:val="000000" w:themeColor="text1"/>
        </w:rPr>
        <w:t>dummy which takes 1 for complete withdrawal</w:t>
      </w:r>
      <w:r w:rsidR="00FC476F">
        <w:rPr>
          <w:color w:val="000000" w:themeColor="text1"/>
        </w:rPr>
        <w:t xml:space="preserve"> or</w:t>
      </w:r>
      <w:r w:rsidR="00AA24E0" w:rsidRPr="006F5D71">
        <w:rPr>
          <w:color w:val="000000" w:themeColor="text1"/>
        </w:rPr>
        <w:t xml:space="preserve"> 0</w:t>
      </w:r>
      <w:r w:rsidR="00FC476F">
        <w:rPr>
          <w:color w:val="000000" w:themeColor="text1"/>
        </w:rPr>
        <w:t xml:space="preserve"> otherwise</w:t>
      </w:r>
      <w:r w:rsidR="00AA24E0" w:rsidRPr="006F5D71">
        <w:rPr>
          <w:color w:val="000000" w:themeColor="text1"/>
        </w:rPr>
        <w:t>.</w:t>
      </w:r>
      <w:r w:rsidR="008B0C29" w:rsidRPr="006F5D71">
        <w:rPr>
          <w:color w:val="000000" w:themeColor="text1"/>
        </w:rPr>
        <w:t xml:space="preserve"> </w:t>
      </w:r>
    </w:p>
    <w:p w14:paraId="32F0A24F" w14:textId="77777777" w:rsidR="00135903" w:rsidRPr="006F5D71" w:rsidRDefault="008B0C29" w:rsidP="00C91A3C">
      <w:pPr>
        <w:spacing w:line="360" w:lineRule="auto"/>
        <w:ind w:firstLine="720"/>
        <w:jc w:val="both"/>
        <w:rPr>
          <w:color w:val="000000" w:themeColor="text1"/>
        </w:rPr>
      </w:pPr>
      <w:r w:rsidRPr="006F5D71">
        <w:rPr>
          <w:color w:val="000000" w:themeColor="text1"/>
        </w:rPr>
        <w:t>The key explanatory variables</w:t>
      </w:r>
      <w:r w:rsidR="005C48B7" w:rsidRPr="006F5D71">
        <w:rPr>
          <w:color w:val="000000" w:themeColor="text1"/>
        </w:rPr>
        <w:t xml:space="preserve"> based </w:t>
      </w:r>
      <w:r w:rsidR="007D3001" w:rsidRPr="006F5D71">
        <w:rPr>
          <w:color w:val="000000" w:themeColor="text1"/>
        </w:rPr>
        <w:t>on the hypotheses developed in S</w:t>
      </w:r>
      <w:r w:rsidR="005C48B7" w:rsidRPr="006F5D71">
        <w:rPr>
          <w:color w:val="000000" w:themeColor="text1"/>
        </w:rPr>
        <w:t>ection 2</w:t>
      </w:r>
      <w:r w:rsidR="000A12D0" w:rsidRPr="006F5D71">
        <w:rPr>
          <w:color w:val="000000" w:themeColor="text1"/>
        </w:rPr>
        <w:t xml:space="preserve"> </w:t>
      </w:r>
      <w:r w:rsidR="00FC476F">
        <w:rPr>
          <w:color w:val="000000" w:themeColor="text1"/>
        </w:rPr>
        <w:t>consist of</w:t>
      </w:r>
      <w:r w:rsidR="00FC476F" w:rsidRPr="006F5D71">
        <w:rPr>
          <w:color w:val="000000" w:themeColor="text1"/>
        </w:rPr>
        <w:t xml:space="preserve"> </w:t>
      </w:r>
      <w:r w:rsidR="00F70DE3" w:rsidRPr="006F5D71">
        <w:rPr>
          <w:color w:val="000000" w:themeColor="text1"/>
        </w:rPr>
        <w:t xml:space="preserve">relative </w:t>
      </w:r>
      <w:r w:rsidR="000A12D0" w:rsidRPr="006F5D71">
        <w:rPr>
          <w:color w:val="000000" w:themeColor="text1"/>
        </w:rPr>
        <w:t xml:space="preserve">FSAs, </w:t>
      </w:r>
      <w:r w:rsidR="00F70DE3" w:rsidRPr="006F5D71">
        <w:rPr>
          <w:color w:val="000000" w:themeColor="text1"/>
        </w:rPr>
        <w:t>exogenous and endogenous uncertainty</w:t>
      </w:r>
      <w:r w:rsidR="000A12D0" w:rsidRPr="006F5D71">
        <w:rPr>
          <w:color w:val="000000" w:themeColor="text1"/>
        </w:rPr>
        <w:t xml:space="preserve">, </w:t>
      </w:r>
      <w:r w:rsidR="00B97B60" w:rsidRPr="006F5D71">
        <w:rPr>
          <w:color w:val="000000" w:themeColor="text1"/>
        </w:rPr>
        <w:t xml:space="preserve">and </w:t>
      </w:r>
      <w:r w:rsidR="005E6BDE" w:rsidRPr="006F5D71">
        <w:rPr>
          <w:color w:val="000000" w:themeColor="text1"/>
        </w:rPr>
        <w:t xml:space="preserve">the </w:t>
      </w:r>
      <w:r w:rsidR="000A12D0" w:rsidRPr="006F5D71">
        <w:rPr>
          <w:color w:val="000000" w:themeColor="text1"/>
        </w:rPr>
        <w:t>immigrant diaspora.</w:t>
      </w:r>
      <w:r w:rsidRPr="006F5D71">
        <w:rPr>
          <w:color w:val="000000" w:themeColor="text1"/>
        </w:rPr>
        <w:t xml:space="preserve"> </w:t>
      </w:r>
      <w:r w:rsidR="00F70DE3" w:rsidRPr="006F5D71">
        <w:rPr>
          <w:color w:val="000000" w:themeColor="text1"/>
        </w:rPr>
        <w:t xml:space="preserve">To measure relative </w:t>
      </w:r>
      <w:r w:rsidRPr="006F5D71">
        <w:rPr>
          <w:color w:val="000000" w:themeColor="text1"/>
        </w:rPr>
        <w:t>FSAs</w:t>
      </w:r>
      <w:r w:rsidR="000A12D0" w:rsidRPr="006F5D71">
        <w:rPr>
          <w:color w:val="000000" w:themeColor="text1"/>
        </w:rPr>
        <w:t>, the included variables</w:t>
      </w:r>
      <w:r w:rsidRPr="006F5D71">
        <w:rPr>
          <w:color w:val="000000" w:themeColor="text1"/>
        </w:rPr>
        <w:t xml:space="preserve"> </w:t>
      </w:r>
      <w:r w:rsidR="00FC476F">
        <w:rPr>
          <w:color w:val="000000" w:themeColor="text1"/>
        </w:rPr>
        <w:t>comprise</w:t>
      </w:r>
      <w:r w:rsidR="00FC476F" w:rsidRPr="006F5D71">
        <w:rPr>
          <w:color w:val="000000" w:themeColor="text1"/>
        </w:rPr>
        <w:t xml:space="preserve"> </w:t>
      </w:r>
      <w:r w:rsidRPr="006F5D71">
        <w:rPr>
          <w:color w:val="000000" w:themeColor="text1"/>
        </w:rPr>
        <w:t>absorptive capacity,</w:t>
      </w:r>
      <w:r w:rsidR="00D352B7" w:rsidRPr="006F5D71">
        <w:rPr>
          <w:color w:val="000000" w:themeColor="text1"/>
        </w:rPr>
        <w:t xml:space="preserve"> absorptive capacity </w:t>
      </w:r>
      <w:r w:rsidR="00D17530" w:rsidRPr="006F5D71">
        <w:rPr>
          <w:color w:val="000000" w:themeColor="text1"/>
        </w:rPr>
        <w:t>leader</w:t>
      </w:r>
      <w:r w:rsidR="00D352B7" w:rsidRPr="006F5D71">
        <w:rPr>
          <w:color w:val="000000" w:themeColor="text1"/>
        </w:rPr>
        <w:t>, profitability,</w:t>
      </w:r>
      <w:r w:rsidRPr="006F5D71">
        <w:rPr>
          <w:color w:val="000000" w:themeColor="text1"/>
        </w:rPr>
        <w:t xml:space="preserve"> </w:t>
      </w:r>
      <w:r w:rsidR="00D352B7" w:rsidRPr="006F5D71">
        <w:rPr>
          <w:color w:val="000000" w:themeColor="text1"/>
        </w:rPr>
        <w:t>profitability leader</w:t>
      </w:r>
      <w:r w:rsidRPr="006F5D71">
        <w:rPr>
          <w:color w:val="000000" w:themeColor="text1"/>
        </w:rPr>
        <w:t xml:space="preserve">, </w:t>
      </w:r>
      <w:r w:rsidR="00D352B7" w:rsidRPr="006F5D71">
        <w:rPr>
          <w:color w:val="000000" w:themeColor="text1"/>
        </w:rPr>
        <w:t xml:space="preserve">labor productivity, and labor productivity leader </w:t>
      </w:r>
      <w:r w:rsidRPr="006F5D71">
        <w:rPr>
          <w:color w:val="000000" w:themeColor="text1"/>
        </w:rPr>
        <w:t xml:space="preserve">variables. </w:t>
      </w:r>
      <w:r w:rsidR="00F70DE3" w:rsidRPr="006F5D71">
        <w:rPr>
          <w:color w:val="000000" w:themeColor="text1"/>
        </w:rPr>
        <w:t xml:space="preserve">To compute </w:t>
      </w:r>
      <w:r w:rsidR="006446B4" w:rsidRPr="006F5D71">
        <w:rPr>
          <w:iCs/>
          <w:color w:val="000000" w:themeColor="text1"/>
        </w:rPr>
        <w:t>r</w:t>
      </w:r>
      <w:r w:rsidR="00F70DE3" w:rsidRPr="006F5D71">
        <w:rPr>
          <w:iCs/>
          <w:color w:val="000000" w:themeColor="text1"/>
        </w:rPr>
        <w:t>elative</w:t>
      </w:r>
      <w:r w:rsidR="00F70DE3" w:rsidRPr="006F5D71">
        <w:rPr>
          <w:color w:val="000000" w:themeColor="text1"/>
        </w:rPr>
        <w:t xml:space="preserve"> </w:t>
      </w:r>
      <w:r w:rsidR="000A12D0" w:rsidRPr="006F5D71">
        <w:rPr>
          <w:i/>
          <w:iCs/>
          <w:color w:val="000000" w:themeColor="text1"/>
        </w:rPr>
        <w:t>A</w:t>
      </w:r>
      <w:r w:rsidRPr="006F5D71">
        <w:rPr>
          <w:i/>
          <w:iCs/>
          <w:color w:val="000000" w:themeColor="text1"/>
        </w:rPr>
        <w:t xml:space="preserve">bsorptive </w:t>
      </w:r>
      <w:r w:rsidR="000A12D0" w:rsidRPr="006F5D71">
        <w:rPr>
          <w:i/>
          <w:iCs/>
          <w:color w:val="000000" w:themeColor="text1"/>
        </w:rPr>
        <w:t>C</w:t>
      </w:r>
      <w:r w:rsidRPr="006F5D71">
        <w:rPr>
          <w:i/>
          <w:iCs/>
          <w:color w:val="000000" w:themeColor="text1"/>
        </w:rPr>
        <w:t>apacity</w:t>
      </w:r>
      <w:r w:rsidR="00666EA5" w:rsidRPr="006F5D71">
        <w:rPr>
          <w:i/>
          <w:iCs/>
          <w:color w:val="000000" w:themeColor="text1"/>
        </w:rPr>
        <w:t>,</w:t>
      </w:r>
      <w:r w:rsidRPr="006F5D71">
        <w:rPr>
          <w:color w:val="000000" w:themeColor="text1"/>
        </w:rPr>
        <w:t xml:space="preserve"> </w:t>
      </w:r>
      <w:r w:rsidR="00F70DE3" w:rsidRPr="006F5D71">
        <w:rPr>
          <w:color w:val="000000" w:themeColor="text1"/>
        </w:rPr>
        <w:t>we look at</w:t>
      </w:r>
      <w:r w:rsidRPr="006F5D71">
        <w:rPr>
          <w:color w:val="000000" w:themeColor="text1"/>
        </w:rPr>
        <w:t xml:space="preserve"> R&amp;D expenditures divided by total revenues</w:t>
      </w:r>
      <w:r w:rsidR="00C14FE9" w:rsidRPr="006F5D71">
        <w:rPr>
          <w:color w:val="000000" w:themeColor="text1"/>
        </w:rPr>
        <w:t xml:space="preserve"> (James et al., 2020)</w:t>
      </w:r>
      <w:r w:rsidR="00F70DE3" w:rsidRPr="006F5D71">
        <w:rPr>
          <w:color w:val="000000" w:themeColor="text1"/>
        </w:rPr>
        <w:t xml:space="preserve"> for the </w:t>
      </w:r>
      <w:proofErr w:type="spellStart"/>
      <w:r w:rsidR="00F70DE3" w:rsidRPr="006F5D71">
        <w:rPr>
          <w:i/>
          <w:color w:val="000000" w:themeColor="text1"/>
        </w:rPr>
        <w:t>i</w:t>
      </w:r>
      <w:r w:rsidR="00F70DE3" w:rsidRPr="006F5D71">
        <w:rPr>
          <w:color w:val="000000" w:themeColor="text1"/>
        </w:rPr>
        <w:t>th</w:t>
      </w:r>
      <w:proofErr w:type="spellEnd"/>
      <w:r w:rsidR="00F70DE3" w:rsidRPr="006F5D71">
        <w:rPr>
          <w:color w:val="000000" w:themeColor="text1"/>
        </w:rPr>
        <w:t xml:space="preserve"> subsidiary and </w:t>
      </w:r>
      <w:r w:rsidRPr="006F5D71">
        <w:rPr>
          <w:color w:val="000000" w:themeColor="text1"/>
        </w:rPr>
        <w:t xml:space="preserve">we subtract </w:t>
      </w:r>
      <w:r w:rsidR="00F70DE3" w:rsidRPr="006F5D71">
        <w:rPr>
          <w:color w:val="000000" w:themeColor="text1"/>
        </w:rPr>
        <w:t>this</w:t>
      </w:r>
      <w:r w:rsidR="00C14FE9" w:rsidRPr="006F5D71">
        <w:rPr>
          <w:color w:val="000000" w:themeColor="text1"/>
        </w:rPr>
        <w:t xml:space="preserve"> from </w:t>
      </w:r>
      <w:r w:rsidR="00F70DE3" w:rsidRPr="006F5D71">
        <w:rPr>
          <w:color w:val="000000" w:themeColor="text1"/>
        </w:rPr>
        <w:t>the</w:t>
      </w:r>
      <w:r w:rsidR="00C14FE9" w:rsidRPr="006F5D71">
        <w:rPr>
          <w:color w:val="000000" w:themeColor="text1"/>
        </w:rPr>
        <w:t xml:space="preserve"> industry average </w:t>
      </w:r>
      <w:r w:rsidR="00F70DE3" w:rsidRPr="006F5D71">
        <w:rPr>
          <w:color w:val="000000" w:themeColor="text1"/>
        </w:rPr>
        <w:t xml:space="preserve">of that ratio </w:t>
      </w:r>
      <w:r w:rsidR="00C14FE9" w:rsidRPr="006F5D71">
        <w:rPr>
          <w:color w:val="000000" w:themeColor="text1"/>
        </w:rPr>
        <w:t xml:space="preserve">in </w:t>
      </w:r>
      <w:r w:rsidR="00F70DE3" w:rsidRPr="006F5D71">
        <w:rPr>
          <w:color w:val="000000" w:themeColor="text1"/>
        </w:rPr>
        <w:t>a</w:t>
      </w:r>
      <w:r w:rsidR="00C14FE9" w:rsidRPr="006F5D71">
        <w:rPr>
          <w:color w:val="000000" w:themeColor="text1"/>
        </w:rPr>
        <w:t xml:space="preserve"> particular host </w:t>
      </w:r>
      <w:r w:rsidR="00F70DE3" w:rsidRPr="006F5D71">
        <w:rPr>
          <w:color w:val="000000" w:themeColor="text1"/>
        </w:rPr>
        <w:t xml:space="preserve">location. </w:t>
      </w:r>
      <w:r w:rsidR="00FC476F">
        <w:rPr>
          <w:color w:val="000000" w:themeColor="text1"/>
        </w:rPr>
        <w:t>R</w:t>
      </w:r>
      <w:r w:rsidRPr="006F5D71">
        <w:rPr>
          <w:iCs/>
          <w:color w:val="000000" w:themeColor="text1"/>
        </w:rPr>
        <w:t>elative</w:t>
      </w:r>
      <w:r w:rsidR="00C14FE9" w:rsidRPr="006F5D71">
        <w:rPr>
          <w:color w:val="000000" w:themeColor="text1"/>
        </w:rPr>
        <w:t xml:space="preserve"> </w:t>
      </w:r>
      <w:r w:rsidR="00281C1A" w:rsidRPr="006F5D71">
        <w:rPr>
          <w:i/>
          <w:iCs/>
          <w:color w:val="000000" w:themeColor="text1"/>
        </w:rPr>
        <w:t>P</w:t>
      </w:r>
      <w:r w:rsidR="00F70DE3" w:rsidRPr="006F5D71">
        <w:rPr>
          <w:i/>
          <w:iCs/>
          <w:color w:val="000000" w:themeColor="text1"/>
        </w:rPr>
        <w:t>rofitability</w:t>
      </w:r>
      <w:r w:rsidR="00C14FE9" w:rsidRPr="006F5D71">
        <w:rPr>
          <w:color w:val="000000" w:themeColor="text1"/>
        </w:rPr>
        <w:t xml:space="preserve"> </w:t>
      </w:r>
      <w:r w:rsidR="00F70DE3" w:rsidRPr="006F5D71">
        <w:rPr>
          <w:color w:val="000000" w:themeColor="text1"/>
        </w:rPr>
        <w:t xml:space="preserve">for the </w:t>
      </w:r>
      <w:proofErr w:type="spellStart"/>
      <w:r w:rsidR="00F70DE3" w:rsidRPr="006F5D71">
        <w:rPr>
          <w:i/>
          <w:color w:val="000000" w:themeColor="text1"/>
        </w:rPr>
        <w:t>i</w:t>
      </w:r>
      <w:r w:rsidR="00F70DE3" w:rsidRPr="006F5D71">
        <w:rPr>
          <w:color w:val="000000" w:themeColor="text1"/>
        </w:rPr>
        <w:t>th</w:t>
      </w:r>
      <w:proofErr w:type="spellEnd"/>
      <w:r w:rsidR="00F70DE3" w:rsidRPr="006F5D71">
        <w:rPr>
          <w:color w:val="000000" w:themeColor="text1"/>
        </w:rPr>
        <w:t xml:space="preserve"> subsidiary </w:t>
      </w:r>
      <w:r w:rsidR="005E6BDE" w:rsidRPr="006F5D71">
        <w:rPr>
          <w:color w:val="000000" w:themeColor="text1"/>
        </w:rPr>
        <w:t xml:space="preserve">is </w:t>
      </w:r>
      <w:r w:rsidR="00C14FE9" w:rsidRPr="006F5D71">
        <w:rPr>
          <w:color w:val="000000" w:themeColor="text1"/>
        </w:rPr>
        <w:t>calculated as “earnings before interest, taxes, depreciation</w:t>
      </w:r>
      <w:r w:rsidR="005E6BDE" w:rsidRPr="006F5D71">
        <w:rPr>
          <w:color w:val="000000" w:themeColor="text1"/>
        </w:rPr>
        <w:t>,</w:t>
      </w:r>
      <w:r w:rsidR="00C14FE9" w:rsidRPr="006F5D71">
        <w:rPr>
          <w:color w:val="000000" w:themeColor="text1"/>
        </w:rPr>
        <w:t xml:space="preserve"> and amortization divided by total assets” (James et al., 2020), </w:t>
      </w:r>
      <w:r w:rsidR="00F70DE3" w:rsidRPr="006F5D71">
        <w:rPr>
          <w:color w:val="000000" w:themeColor="text1"/>
        </w:rPr>
        <w:t>and we subtract this from the industry average of that ratio in a particular host location</w:t>
      </w:r>
      <w:r w:rsidR="00C14FE9" w:rsidRPr="006F5D71">
        <w:rPr>
          <w:color w:val="000000" w:themeColor="text1"/>
        </w:rPr>
        <w:t>. To measure relative</w:t>
      </w:r>
      <w:r w:rsidR="00F70DE3" w:rsidRPr="006F5D71">
        <w:rPr>
          <w:i/>
          <w:color w:val="000000" w:themeColor="text1"/>
        </w:rPr>
        <w:t xml:space="preserve"> </w:t>
      </w:r>
      <w:r w:rsidR="00666EA5" w:rsidRPr="006F5D71">
        <w:rPr>
          <w:i/>
          <w:iCs/>
          <w:color w:val="000000" w:themeColor="text1"/>
        </w:rPr>
        <w:t>Labor Productivity</w:t>
      </w:r>
      <w:r w:rsidR="00C14FE9" w:rsidRPr="006F5D71">
        <w:rPr>
          <w:color w:val="000000" w:themeColor="text1"/>
        </w:rPr>
        <w:t xml:space="preserve">, </w:t>
      </w:r>
      <w:r w:rsidR="00FC476F">
        <w:rPr>
          <w:color w:val="000000" w:themeColor="text1"/>
        </w:rPr>
        <w:t xml:space="preserve">we </w:t>
      </w:r>
      <w:r w:rsidR="00C14FE9" w:rsidRPr="006F5D71">
        <w:rPr>
          <w:color w:val="000000" w:themeColor="text1"/>
        </w:rPr>
        <w:t xml:space="preserve">again subtract the </w:t>
      </w:r>
      <w:r w:rsidR="00666EA5" w:rsidRPr="006F5D71">
        <w:rPr>
          <w:i/>
          <w:iCs/>
          <w:color w:val="000000" w:themeColor="text1"/>
        </w:rPr>
        <w:t>Labor Productivity</w:t>
      </w:r>
      <w:r w:rsidR="00C14FE9" w:rsidRPr="006F5D71">
        <w:rPr>
          <w:color w:val="000000" w:themeColor="text1"/>
        </w:rPr>
        <w:t xml:space="preserve"> of </w:t>
      </w:r>
      <w:r w:rsidR="00F76C29" w:rsidRPr="006F5D71">
        <w:rPr>
          <w:color w:val="000000" w:themeColor="text1"/>
        </w:rPr>
        <w:t xml:space="preserve">a subsidiary measured as total revenue divided by </w:t>
      </w:r>
      <w:r w:rsidR="005E6BDE" w:rsidRPr="006F5D71">
        <w:rPr>
          <w:color w:val="000000" w:themeColor="text1"/>
        </w:rPr>
        <w:t xml:space="preserve">the </w:t>
      </w:r>
      <w:r w:rsidR="00F76C29" w:rsidRPr="006F5D71">
        <w:rPr>
          <w:color w:val="000000" w:themeColor="text1"/>
        </w:rPr>
        <w:t xml:space="preserve">total number of its employees from </w:t>
      </w:r>
      <w:r w:rsidR="000A12D0" w:rsidRPr="006F5D71">
        <w:rPr>
          <w:color w:val="000000" w:themeColor="text1"/>
        </w:rPr>
        <w:t>its</w:t>
      </w:r>
      <w:r w:rsidR="00F76C29" w:rsidRPr="006F5D71">
        <w:rPr>
          <w:color w:val="000000" w:themeColor="text1"/>
        </w:rPr>
        <w:t xml:space="preserve"> industry aver</w:t>
      </w:r>
      <w:r w:rsidR="000A12D0" w:rsidRPr="006F5D71">
        <w:rPr>
          <w:color w:val="000000" w:themeColor="text1"/>
        </w:rPr>
        <w:t>age in a host country.</w:t>
      </w:r>
      <w:r w:rsidR="00F72D31">
        <w:rPr>
          <w:color w:val="000000" w:themeColor="text1"/>
        </w:rPr>
        <w:t xml:space="preserve"> </w:t>
      </w:r>
      <w:r w:rsidR="00F70DE3" w:rsidRPr="006F5D71">
        <w:rPr>
          <w:color w:val="000000" w:themeColor="text1"/>
        </w:rPr>
        <w:t>In each case</w:t>
      </w:r>
      <w:r w:rsidR="00F06452" w:rsidRPr="006F5D71">
        <w:rPr>
          <w:color w:val="000000" w:themeColor="text1"/>
        </w:rPr>
        <w:t>,</w:t>
      </w:r>
      <w:r w:rsidR="00F70DE3" w:rsidRPr="006F5D71">
        <w:rPr>
          <w:color w:val="000000" w:themeColor="text1"/>
        </w:rPr>
        <w:t xml:space="preserve"> we distinguish between the absolute value of the difference and </w:t>
      </w:r>
      <w:r w:rsidR="00F06452" w:rsidRPr="006F5D71">
        <w:rPr>
          <w:color w:val="000000" w:themeColor="text1"/>
        </w:rPr>
        <w:t xml:space="preserve">the </w:t>
      </w:r>
      <w:r w:rsidR="00F70DE3" w:rsidRPr="006F5D71">
        <w:rPr>
          <w:color w:val="000000" w:themeColor="text1"/>
        </w:rPr>
        <w:t>direction of the difference. If the firm showed absorptive capacity, profitability</w:t>
      </w:r>
      <w:r w:rsidR="00F06452" w:rsidRPr="006F5D71">
        <w:rPr>
          <w:color w:val="000000" w:themeColor="text1"/>
        </w:rPr>
        <w:t>,</w:t>
      </w:r>
      <w:r w:rsidR="00F70DE3" w:rsidRPr="006F5D71">
        <w:rPr>
          <w:color w:val="000000" w:themeColor="text1"/>
        </w:rPr>
        <w:t xml:space="preserve"> or </w:t>
      </w:r>
      <w:r w:rsidR="00666EA5" w:rsidRPr="006F5D71">
        <w:rPr>
          <w:color w:val="000000" w:themeColor="text1"/>
        </w:rPr>
        <w:t>labor productivity</w:t>
      </w:r>
      <w:r w:rsidR="00F70DE3" w:rsidRPr="006F5D71">
        <w:rPr>
          <w:color w:val="000000" w:themeColor="text1"/>
        </w:rPr>
        <w:t xml:space="preserve"> that was higher than the</w:t>
      </w:r>
      <w:r w:rsidR="00666EA5" w:rsidRPr="006F5D71">
        <w:rPr>
          <w:color w:val="000000" w:themeColor="text1"/>
        </w:rPr>
        <w:t xml:space="preserve"> relevant</w:t>
      </w:r>
      <w:r w:rsidR="00F70DE3" w:rsidRPr="006F5D71">
        <w:rPr>
          <w:color w:val="000000" w:themeColor="text1"/>
        </w:rPr>
        <w:t xml:space="preserve"> industry average, we created a leader dummy variable that took </w:t>
      </w:r>
      <w:r w:rsidR="00FC476F">
        <w:rPr>
          <w:color w:val="000000" w:themeColor="text1"/>
        </w:rPr>
        <w:t xml:space="preserve">the </w:t>
      </w:r>
      <w:r w:rsidR="00F70DE3" w:rsidRPr="006F5D71">
        <w:rPr>
          <w:color w:val="000000" w:themeColor="text1"/>
        </w:rPr>
        <w:t>value</w:t>
      </w:r>
      <w:r w:rsidR="00FC476F">
        <w:rPr>
          <w:color w:val="000000" w:themeColor="text1"/>
        </w:rPr>
        <w:t xml:space="preserve"> of</w:t>
      </w:r>
      <w:r w:rsidR="00F70DE3" w:rsidRPr="006F5D71">
        <w:rPr>
          <w:color w:val="000000" w:themeColor="text1"/>
        </w:rPr>
        <w:t xml:space="preserve"> 1. This allows us to capture both the superior ability of the focal firm and also how imitative its competitors in the local environment are. A position of leadership with a large difference should </w:t>
      </w:r>
      <w:r w:rsidR="003F6A26" w:rsidRPr="006F5D71">
        <w:rPr>
          <w:color w:val="000000" w:themeColor="text1"/>
        </w:rPr>
        <w:t>predict survival.</w:t>
      </w:r>
      <w:r w:rsidR="00666EA5" w:rsidRPr="006F5D71">
        <w:rPr>
          <w:color w:val="000000" w:themeColor="text1"/>
        </w:rPr>
        <w:t xml:space="preserve"> </w:t>
      </w:r>
    </w:p>
    <w:p w14:paraId="548F8511" w14:textId="77777777" w:rsidR="00131123" w:rsidRPr="006F5D71" w:rsidRDefault="00131123" w:rsidP="00131123">
      <w:pPr>
        <w:spacing w:line="360" w:lineRule="auto"/>
        <w:jc w:val="center"/>
        <w:rPr>
          <w:color w:val="000000" w:themeColor="text1"/>
        </w:rPr>
      </w:pPr>
      <w:r w:rsidRPr="006F5D71">
        <w:rPr>
          <w:color w:val="000000" w:themeColor="text1"/>
        </w:rPr>
        <w:t>[Insert Table 1 here]</w:t>
      </w:r>
    </w:p>
    <w:p w14:paraId="20F0CB3F" w14:textId="77777777" w:rsidR="00B73DF1" w:rsidRPr="006F5D71" w:rsidRDefault="00B73DF1" w:rsidP="00C91A3C">
      <w:pPr>
        <w:spacing w:after="0" w:line="360" w:lineRule="auto"/>
        <w:ind w:firstLine="720"/>
        <w:jc w:val="both"/>
        <w:rPr>
          <w:color w:val="000000" w:themeColor="text1"/>
        </w:rPr>
      </w:pPr>
      <w:r w:rsidRPr="006F5D71">
        <w:rPr>
          <w:color w:val="000000" w:themeColor="text1"/>
        </w:rPr>
        <w:t xml:space="preserve">The main sources of endogenous uncertainty are </w:t>
      </w:r>
      <w:r w:rsidRPr="006F5D71">
        <w:rPr>
          <w:i/>
          <w:iCs/>
          <w:color w:val="000000" w:themeColor="text1"/>
        </w:rPr>
        <w:t>Country Risk</w:t>
      </w:r>
      <w:r w:rsidRPr="006F5D71">
        <w:rPr>
          <w:color w:val="000000" w:themeColor="text1"/>
        </w:rPr>
        <w:t xml:space="preserve"> and </w:t>
      </w:r>
      <w:r w:rsidRPr="006F5D71">
        <w:rPr>
          <w:i/>
          <w:iCs/>
          <w:color w:val="000000" w:themeColor="text1"/>
        </w:rPr>
        <w:t>Institutional Distance</w:t>
      </w:r>
      <w:r w:rsidRPr="006F5D71">
        <w:rPr>
          <w:color w:val="000000" w:themeColor="text1"/>
        </w:rPr>
        <w:t xml:space="preserve">. </w:t>
      </w:r>
      <w:r w:rsidRPr="006F5D71">
        <w:rPr>
          <w:i/>
          <w:iCs/>
          <w:color w:val="000000" w:themeColor="text1"/>
        </w:rPr>
        <w:t xml:space="preserve">Country Risk </w:t>
      </w:r>
      <w:r w:rsidRPr="006F5D71">
        <w:rPr>
          <w:color w:val="000000" w:themeColor="text1"/>
        </w:rPr>
        <w:t>is measured as Rule of Law WGI indicator of the host country</w:t>
      </w:r>
      <w:r w:rsidR="00135903" w:rsidRPr="006F5D71">
        <w:rPr>
          <w:color w:val="000000" w:themeColor="text1"/>
        </w:rPr>
        <w:t xml:space="preserve"> in reverse order</w:t>
      </w:r>
      <w:r w:rsidRPr="006F5D71">
        <w:rPr>
          <w:color w:val="000000" w:themeColor="text1"/>
        </w:rPr>
        <w:t xml:space="preserve"> by following Buckley et al., (2020).</w:t>
      </w:r>
      <w:r w:rsidR="00135903" w:rsidRPr="006F5D71">
        <w:rPr>
          <w:color w:val="000000" w:themeColor="text1"/>
        </w:rPr>
        <w:t xml:space="preserve"> Lower values of this measure indicate </w:t>
      </w:r>
      <w:r w:rsidR="00135903" w:rsidRPr="006F5D71">
        <w:rPr>
          <w:color w:val="000000" w:themeColor="text1"/>
        </w:rPr>
        <w:lastRenderedPageBreak/>
        <w:t xml:space="preserve">lower country risk. To measure </w:t>
      </w:r>
      <w:r w:rsidR="00135903" w:rsidRPr="006F5D71">
        <w:rPr>
          <w:i/>
          <w:iCs/>
          <w:color w:val="000000" w:themeColor="text1"/>
        </w:rPr>
        <w:t>Institutional Distance</w:t>
      </w:r>
      <w:r w:rsidR="00135903" w:rsidRPr="006F5D71">
        <w:rPr>
          <w:color w:val="000000" w:themeColor="text1"/>
        </w:rPr>
        <w:t xml:space="preserve"> between home and host countries, following Shirodkar &amp; </w:t>
      </w:r>
      <w:proofErr w:type="spellStart"/>
      <w:r w:rsidR="00135903" w:rsidRPr="006F5D71">
        <w:rPr>
          <w:color w:val="000000" w:themeColor="text1"/>
        </w:rPr>
        <w:t>Konara</w:t>
      </w:r>
      <w:proofErr w:type="spellEnd"/>
      <w:r w:rsidR="00135903" w:rsidRPr="006F5D71">
        <w:rPr>
          <w:color w:val="000000" w:themeColor="text1"/>
        </w:rPr>
        <w:t xml:space="preserve"> (2017) we use the Kaufmann index from the WGI.</w:t>
      </w:r>
      <w:r w:rsidR="00F72D31">
        <w:rPr>
          <w:color w:val="000000" w:themeColor="text1"/>
        </w:rPr>
        <w:t xml:space="preserve"> </w:t>
      </w:r>
    </w:p>
    <w:p w14:paraId="50B20335" w14:textId="77777777" w:rsidR="008A0981" w:rsidRPr="006F5D71" w:rsidRDefault="000A12D0" w:rsidP="00C91A3C">
      <w:pPr>
        <w:spacing w:after="0" w:line="360" w:lineRule="auto"/>
        <w:jc w:val="both"/>
        <w:rPr>
          <w:color w:val="000000" w:themeColor="text1"/>
        </w:rPr>
      </w:pPr>
      <w:r w:rsidRPr="006F5D71">
        <w:rPr>
          <w:color w:val="000000" w:themeColor="text1"/>
        </w:rPr>
        <w:tab/>
      </w:r>
      <w:r w:rsidR="00C52170" w:rsidRPr="006F5D71">
        <w:rPr>
          <w:color w:val="000000" w:themeColor="text1"/>
        </w:rPr>
        <w:t xml:space="preserve">To control the </w:t>
      </w:r>
      <w:r w:rsidR="00C2365F" w:rsidRPr="006F5D71">
        <w:rPr>
          <w:color w:val="000000" w:themeColor="text1"/>
        </w:rPr>
        <w:t xml:space="preserve">host </w:t>
      </w:r>
      <w:r w:rsidR="00C52170" w:rsidRPr="006F5D71">
        <w:rPr>
          <w:color w:val="000000" w:themeColor="text1"/>
        </w:rPr>
        <w:t xml:space="preserve">country level </w:t>
      </w:r>
      <w:r w:rsidR="003F6A26" w:rsidRPr="006F5D71">
        <w:rPr>
          <w:color w:val="000000" w:themeColor="text1"/>
        </w:rPr>
        <w:t xml:space="preserve">exogenous risk </w:t>
      </w:r>
      <w:r w:rsidR="00C52170" w:rsidRPr="006F5D71">
        <w:rPr>
          <w:color w:val="000000" w:themeColor="text1"/>
        </w:rPr>
        <w:t xml:space="preserve">effects, </w:t>
      </w:r>
      <w:r w:rsidR="00C52170" w:rsidRPr="006F5D71">
        <w:rPr>
          <w:i/>
          <w:iCs/>
          <w:color w:val="000000" w:themeColor="text1"/>
        </w:rPr>
        <w:t>Exchange Rate Risk</w:t>
      </w:r>
      <w:r w:rsidR="00C52170" w:rsidRPr="006F5D71">
        <w:rPr>
          <w:color w:val="000000" w:themeColor="text1"/>
        </w:rPr>
        <w:t xml:space="preserve">, </w:t>
      </w:r>
      <w:r w:rsidR="00C52170" w:rsidRPr="006F5D71">
        <w:rPr>
          <w:i/>
          <w:iCs/>
          <w:color w:val="000000" w:themeColor="text1"/>
        </w:rPr>
        <w:t>Production Cost Risk</w:t>
      </w:r>
      <w:r w:rsidR="00C52170" w:rsidRPr="006F5D71">
        <w:rPr>
          <w:color w:val="000000" w:themeColor="text1"/>
        </w:rPr>
        <w:t xml:space="preserve">, </w:t>
      </w:r>
      <w:r w:rsidR="00C52170" w:rsidRPr="006F5D71">
        <w:rPr>
          <w:i/>
          <w:iCs/>
          <w:color w:val="000000" w:themeColor="text1"/>
        </w:rPr>
        <w:t>Demand Risk</w:t>
      </w:r>
      <w:r w:rsidR="00F06452" w:rsidRPr="006F5D71">
        <w:rPr>
          <w:i/>
          <w:iCs/>
          <w:color w:val="000000" w:themeColor="text1"/>
        </w:rPr>
        <w:t>,</w:t>
      </w:r>
      <w:r w:rsidR="006446B4" w:rsidRPr="006F5D71">
        <w:rPr>
          <w:i/>
          <w:iCs/>
          <w:color w:val="000000" w:themeColor="text1"/>
        </w:rPr>
        <w:t xml:space="preserve"> and Financial Crisis</w:t>
      </w:r>
      <w:r w:rsidR="00C52170" w:rsidRPr="006F5D71">
        <w:rPr>
          <w:color w:val="000000" w:themeColor="text1"/>
        </w:rPr>
        <w:t xml:space="preserve"> </w:t>
      </w:r>
      <w:r w:rsidR="006446B4" w:rsidRPr="006F5D71">
        <w:rPr>
          <w:color w:val="000000" w:themeColor="text1"/>
        </w:rPr>
        <w:t xml:space="preserve">variables </w:t>
      </w:r>
      <w:r w:rsidR="00C52170" w:rsidRPr="006F5D71">
        <w:rPr>
          <w:color w:val="000000" w:themeColor="text1"/>
        </w:rPr>
        <w:t xml:space="preserve">are included. To determine </w:t>
      </w:r>
      <w:r w:rsidR="00C52170" w:rsidRPr="006F5D71">
        <w:rPr>
          <w:i/>
          <w:iCs/>
          <w:color w:val="000000" w:themeColor="text1"/>
        </w:rPr>
        <w:t>Exchange Rate Risk</w:t>
      </w:r>
      <w:r w:rsidR="00C52170" w:rsidRPr="006F5D71">
        <w:rPr>
          <w:color w:val="000000" w:themeColor="text1"/>
        </w:rPr>
        <w:t xml:space="preserve">, following </w:t>
      </w:r>
      <w:r w:rsidR="00387B07" w:rsidRPr="006F5D71">
        <w:rPr>
          <w:color w:val="000000" w:themeColor="text1"/>
        </w:rPr>
        <w:t>Lin, Shi, and Ye</w:t>
      </w:r>
      <w:r w:rsidR="00C52170" w:rsidRPr="006F5D71">
        <w:rPr>
          <w:color w:val="000000" w:themeColor="text1"/>
        </w:rPr>
        <w:t xml:space="preserve"> (2018) we use the standard deviation of </w:t>
      </w:r>
      <w:r w:rsidR="005E6BDE" w:rsidRPr="006F5D71">
        <w:rPr>
          <w:color w:val="000000" w:themeColor="text1"/>
        </w:rPr>
        <w:t xml:space="preserve">the </w:t>
      </w:r>
      <w:r w:rsidR="00C52170" w:rsidRPr="006F5D71">
        <w:rPr>
          <w:color w:val="000000" w:themeColor="text1"/>
        </w:rPr>
        <w:t>first difference of annual bilateral exchange rate between host and home countr</w:t>
      </w:r>
      <w:r w:rsidR="00C2365F" w:rsidRPr="006F5D71">
        <w:rPr>
          <w:color w:val="000000" w:themeColor="text1"/>
        </w:rPr>
        <w:t>ies</w:t>
      </w:r>
      <w:r w:rsidR="00C52170" w:rsidRPr="006F5D71">
        <w:rPr>
          <w:color w:val="000000" w:themeColor="text1"/>
        </w:rPr>
        <w:t xml:space="preserve"> over the five years preceding the current year.</w:t>
      </w:r>
      <w:r w:rsidR="00C2365F" w:rsidRPr="006F5D71">
        <w:rPr>
          <w:color w:val="000000" w:themeColor="text1"/>
        </w:rPr>
        <w:t xml:space="preserve"> For </w:t>
      </w:r>
      <w:r w:rsidR="00C2365F" w:rsidRPr="006F5D71">
        <w:rPr>
          <w:i/>
          <w:iCs/>
          <w:color w:val="000000" w:themeColor="text1"/>
        </w:rPr>
        <w:t>Production Cost Risk</w:t>
      </w:r>
      <w:r w:rsidR="00C2365F" w:rsidRPr="006F5D71">
        <w:rPr>
          <w:color w:val="000000" w:themeColor="text1"/>
        </w:rPr>
        <w:t xml:space="preserve">, we follow Hooper &amp; Larin (1989) and Lin et al., (2018) and measure it as the standard deviation of unit labor cost series of respective host country over the period of five years preceding the current year. To measure the </w:t>
      </w:r>
      <w:r w:rsidR="00C2365F" w:rsidRPr="006F5D71">
        <w:rPr>
          <w:i/>
          <w:iCs/>
          <w:color w:val="000000" w:themeColor="text1"/>
        </w:rPr>
        <w:t>Demand Risk</w:t>
      </w:r>
      <w:r w:rsidR="00C2365F" w:rsidRPr="006F5D71">
        <w:rPr>
          <w:color w:val="000000" w:themeColor="text1"/>
        </w:rPr>
        <w:t xml:space="preserve">, we follow Song (2014) and measure it as the standard deviation of </w:t>
      </w:r>
      <w:r w:rsidR="005E6BDE" w:rsidRPr="006F5D71">
        <w:rPr>
          <w:color w:val="000000" w:themeColor="text1"/>
        </w:rPr>
        <w:t xml:space="preserve">the </w:t>
      </w:r>
      <w:r w:rsidR="00C2365F" w:rsidRPr="006F5D71">
        <w:rPr>
          <w:color w:val="000000" w:themeColor="text1"/>
        </w:rPr>
        <w:t>GDP series of the individual host country over the five years preceding the current year.</w:t>
      </w:r>
      <w:r w:rsidR="00052F34" w:rsidRPr="006F5D71">
        <w:rPr>
          <w:color w:val="000000" w:themeColor="text1"/>
        </w:rPr>
        <w:t xml:space="preserve"> To control the effect of the Global Financial Crisis of 2008, </w:t>
      </w:r>
      <w:r w:rsidR="00954DCD" w:rsidRPr="006F5D71">
        <w:rPr>
          <w:color w:val="000000" w:themeColor="text1"/>
        </w:rPr>
        <w:t xml:space="preserve">a dummy variable is created, namely, </w:t>
      </w:r>
      <w:r w:rsidR="00954DCD" w:rsidRPr="006F5D71">
        <w:rPr>
          <w:i/>
          <w:iCs/>
          <w:color w:val="000000" w:themeColor="text1"/>
        </w:rPr>
        <w:t>Financial Crisis</w:t>
      </w:r>
      <w:r w:rsidR="00954DCD" w:rsidRPr="006F5D71">
        <w:rPr>
          <w:color w:val="000000" w:themeColor="text1"/>
        </w:rPr>
        <w:t xml:space="preserve"> which takes 1 for </w:t>
      </w:r>
      <w:r w:rsidR="005E6BDE" w:rsidRPr="006F5D71">
        <w:rPr>
          <w:color w:val="000000" w:themeColor="text1"/>
        </w:rPr>
        <w:t xml:space="preserve">the </w:t>
      </w:r>
      <w:r w:rsidR="00954DCD" w:rsidRPr="006F5D71">
        <w:rPr>
          <w:color w:val="000000" w:themeColor="text1"/>
        </w:rPr>
        <w:t>year 2008 and above and 0</w:t>
      </w:r>
      <w:r w:rsidR="008B4AE1">
        <w:rPr>
          <w:color w:val="000000" w:themeColor="text1"/>
        </w:rPr>
        <w:t xml:space="preserve"> otherwise</w:t>
      </w:r>
      <w:r w:rsidR="00954DCD" w:rsidRPr="006F5D71">
        <w:rPr>
          <w:color w:val="000000" w:themeColor="text1"/>
        </w:rPr>
        <w:t>.</w:t>
      </w:r>
      <w:r w:rsidR="00F72D31">
        <w:rPr>
          <w:color w:val="000000" w:themeColor="text1"/>
        </w:rPr>
        <w:t xml:space="preserve"> </w:t>
      </w:r>
    </w:p>
    <w:p w14:paraId="5831E17E" w14:textId="77777777" w:rsidR="008A0981" w:rsidRPr="006F5D71" w:rsidRDefault="008A0981" w:rsidP="00C91A3C">
      <w:pPr>
        <w:spacing w:after="0" w:line="360" w:lineRule="auto"/>
        <w:ind w:firstLine="720"/>
        <w:jc w:val="both"/>
        <w:rPr>
          <w:color w:val="000000" w:themeColor="text1"/>
        </w:rPr>
      </w:pPr>
      <w:r w:rsidRPr="006F5D71">
        <w:rPr>
          <w:color w:val="000000" w:themeColor="text1"/>
        </w:rPr>
        <w:t xml:space="preserve">We follow </w:t>
      </w:r>
      <w:proofErr w:type="spellStart"/>
      <w:r w:rsidRPr="006F5D71">
        <w:rPr>
          <w:color w:val="000000" w:themeColor="text1"/>
        </w:rPr>
        <w:t>Leblang</w:t>
      </w:r>
      <w:proofErr w:type="spellEnd"/>
      <w:r w:rsidRPr="006F5D71">
        <w:rPr>
          <w:color w:val="000000" w:themeColor="text1"/>
        </w:rPr>
        <w:t xml:space="preserve"> (2010) and </w:t>
      </w:r>
      <w:r w:rsidR="005A4268" w:rsidRPr="006F5D71">
        <w:rPr>
          <w:color w:val="000000" w:themeColor="text1"/>
        </w:rPr>
        <w:t xml:space="preserve">use the </w:t>
      </w:r>
      <w:r w:rsidR="00507605" w:rsidRPr="006F5D71">
        <w:rPr>
          <w:color w:val="000000" w:themeColor="text1"/>
        </w:rPr>
        <w:t xml:space="preserve">ratio of </w:t>
      </w:r>
      <w:r w:rsidR="005A4268" w:rsidRPr="006F5D71">
        <w:rPr>
          <w:color w:val="000000" w:themeColor="text1"/>
        </w:rPr>
        <w:t xml:space="preserve">total number of immigrants from China and India residing in the host country </w:t>
      </w:r>
      <w:r w:rsidR="00507605" w:rsidRPr="006F5D71">
        <w:rPr>
          <w:color w:val="000000" w:themeColor="text1"/>
        </w:rPr>
        <w:t>to</w:t>
      </w:r>
      <w:r w:rsidR="005A4268" w:rsidRPr="006F5D71">
        <w:rPr>
          <w:color w:val="000000" w:themeColor="text1"/>
        </w:rPr>
        <w:t xml:space="preserve"> the total population of the respective host country</w:t>
      </w:r>
      <w:r w:rsidRPr="006F5D71">
        <w:rPr>
          <w:color w:val="000000" w:themeColor="text1"/>
        </w:rPr>
        <w:t xml:space="preserve"> to measure </w:t>
      </w:r>
      <w:r w:rsidRPr="006F5D71">
        <w:rPr>
          <w:i/>
          <w:color w:val="000000" w:themeColor="text1"/>
        </w:rPr>
        <w:t>Home Country Diaspora</w:t>
      </w:r>
      <w:r w:rsidRPr="006F5D71">
        <w:rPr>
          <w:color w:val="000000" w:themeColor="text1"/>
        </w:rPr>
        <w:t xml:space="preserve">. For the moderation effect of </w:t>
      </w:r>
      <w:r w:rsidRPr="006F5D71">
        <w:rPr>
          <w:i/>
          <w:color w:val="000000" w:themeColor="text1"/>
        </w:rPr>
        <w:t>Home Country</w:t>
      </w:r>
      <w:r w:rsidRPr="006F5D71">
        <w:rPr>
          <w:color w:val="000000" w:themeColor="text1"/>
        </w:rPr>
        <w:t xml:space="preserve"> </w:t>
      </w:r>
      <w:r w:rsidRPr="006F5D71">
        <w:rPr>
          <w:i/>
          <w:iCs/>
          <w:color w:val="000000" w:themeColor="text1"/>
        </w:rPr>
        <w:t>Diaspora</w:t>
      </w:r>
      <w:r w:rsidRPr="006F5D71">
        <w:rPr>
          <w:color w:val="000000" w:themeColor="text1"/>
        </w:rPr>
        <w:t xml:space="preserve"> on the relation between </w:t>
      </w:r>
      <w:r w:rsidRPr="006F5D71">
        <w:rPr>
          <w:i/>
          <w:iCs/>
          <w:color w:val="000000" w:themeColor="text1"/>
        </w:rPr>
        <w:t>endogenous uncertainties</w:t>
      </w:r>
      <w:r w:rsidRPr="006F5D71">
        <w:rPr>
          <w:color w:val="000000" w:themeColor="text1"/>
        </w:rPr>
        <w:t xml:space="preserve"> and survival of subsidiaries, two interactive terms</w:t>
      </w:r>
      <w:r w:rsidR="008B4AE1">
        <w:rPr>
          <w:color w:val="000000" w:themeColor="text1"/>
        </w:rPr>
        <w:t>,</w:t>
      </w:r>
      <w:r w:rsidRPr="006F5D71">
        <w:rPr>
          <w:color w:val="000000" w:themeColor="text1"/>
        </w:rPr>
        <w:t xml:space="preserve"> i.e., </w:t>
      </w:r>
      <w:r w:rsidRPr="006F5D71">
        <w:rPr>
          <w:i/>
          <w:iCs/>
          <w:color w:val="000000" w:themeColor="text1"/>
        </w:rPr>
        <w:t>Home Country Diaspora × Country Risk</w:t>
      </w:r>
      <w:r w:rsidRPr="006F5D71">
        <w:rPr>
          <w:color w:val="000000" w:themeColor="text1"/>
        </w:rPr>
        <w:t xml:space="preserve"> and </w:t>
      </w:r>
      <w:r w:rsidRPr="006F5D71">
        <w:rPr>
          <w:i/>
          <w:iCs/>
          <w:color w:val="000000" w:themeColor="text1"/>
        </w:rPr>
        <w:t xml:space="preserve">Home Country Diaspora × Institutional Distance </w:t>
      </w:r>
      <w:r w:rsidRPr="006F5D71">
        <w:rPr>
          <w:color w:val="000000" w:themeColor="text1"/>
        </w:rPr>
        <w:t xml:space="preserve">are included. </w:t>
      </w:r>
    </w:p>
    <w:p w14:paraId="0CA4856E" w14:textId="77777777" w:rsidR="008B0E26" w:rsidRPr="006F5D71" w:rsidRDefault="000960F7" w:rsidP="00D945F9">
      <w:pPr>
        <w:spacing w:line="360" w:lineRule="auto"/>
        <w:ind w:firstLine="720"/>
        <w:jc w:val="both"/>
        <w:rPr>
          <w:color w:val="000000" w:themeColor="text1"/>
        </w:rPr>
      </w:pPr>
      <w:r w:rsidRPr="006F5D71">
        <w:rPr>
          <w:color w:val="000000" w:themeColor="text1"/>
        </w:rPr>
        <w:t xml:space="preserve">Following </w:t>
      </w:r>
      <w:r w:rsidR="00F56AEE" w:rsidRPr="006F5D71">
        <w:rPr>
          <w:color w:val="000000" w:themeColor="text1"/>
        </w:rPr>
        <w:t xml:space="preserve">the </w:t>
      </w:r>
      <w:r w:rsidRPr="006F5D71">
        <w:rPr>
          <w:color w:val="000000" w:themeColor="text1"/>
        </w:rPr>
        <w:t xml:space="preserve">existing literature, we also include </w:t>
      </w:r>
      <w:r w:rsidR="00F06452" w:rsidRPr="006F5D71">
        <w:rPr>
          <w:color w:val="000000" w:themeColor="text1"/>
        </w:rPr>
        <w:t>several</w:t>
      </w:r>
      <w:r w:rsidRPr="006F5D71">
        <w:rPr>
          <w:color w:val="000000" w:themeColor="text1"/>
        </w:rPr>
        <w:t xml:space="preserve"> subsidiary and parent level control variables. </w:t>
      </w:r>
      <w:r w:rsidR="005A07C8" w:rsidRPr="006F5D71">
        <w:rPr>
          <w:i/>
          <w:iCs/>
          <w:color w:val="000000" w:themeColor="text1"/>
        </w:rPr>
        <w:t>Sunk Cost</w:t>
      </w:r>
      <w:r w:rsidR="005A07C8" w:rsidRPr="006F5D71">
        <w:rPr>
          <w:color w:val="000000" w:themeColor="text1"/>
        </w:rPr>
        <w:t xml:space="preserve"> is measured as sale of </w:t>
      </w:r>
      <w:r w:rsidR="00F06452" w:rsidRPr="006F5D71">
        <w:rPr>
          <w:color w:val="000000" w:themeColor="text1"/>
        </w:rPr>
        <w:t xml:space="preserve">a </w:t>
      </w:r>
      <w:r w:rsidR="005A07C8" w:rsidRPr="006F5D71">
        <w:rPr>
          <w:color w:val="000000" w:themeColor="text1"/>
        </w:rPr>
        <w:t xml:space="preserve">foreign subsidiary divided by </w:t>
      </w:r>
      <w:r w:rsidR="005E6BDE" w:rsidRPr="006F5D71">
        <w:rPr>
          <w:color w:val="000000" w:themeColor="text1"/>
        </w:rPr>
        <w:t xml:space="preserve">the </w:t>
      </w:r>
      <w:r w:rsidR="005A07C8" w:rsidRPr="006F5D71">
        <w:rPr>
          <w:color w:val="000000" w:themeColor="text1"/>
        </w:rPr>
        <w:t>sale of its parent firm (Song, 2014).</w:t>
      </w:r>
      <w:r w:rsidR="008D7CCF" w:rsidRPr="006F5D71">
        <w:rPr>
          <w:color w:val="000000" w:themeColor="text1"/>
        </w:rPr>
        <w:t xml:space="preserve"> </w:t>
      </w:r>
      <w:r w:rsidR="008D7CCF" w:rsidRPr="006F5D71">
        <w:rPr>
          <w:i/>
          <w:iCs/>
          <w:color w:val="000000" w:themeColor="text1"/>
        </w:rPr>
        <w:t>ROA</w:t>
      </w:r>
      <w:r w:rsidR="008D7CCF" w:rsidRPr="006F5D71">
        <w:rPr>
          <w:color w:val="000000" w:themeColor="text1"/>
        </w:rPr>
        <w:t xml:space="preserve"> (Return on Asset) </w:t>
      </w:r>
      <w:r w:rsidR="005A4268" w:rsidRPr="006F5D71">
        <w:rPr>
          <w:color w:val="000000" w:themeColor="text1"/>
        </w:rPr>
        <w:t>is measured as net income divided by total assets of a subsidiary</w:t>
      </w:r>
      <w:r w:rsidR="008D7CCF" w:rsidRPr="006F5D71">
        <w:rPr>
          <w:color w:val="000000" w:themeColor="text1"/>
        </w:rPr>
        <w:t xml:space="preserve">. </w:t>
      </w:r>
      <w:r w:rsidR="008D7CCF" w:rsidRPr="006F5D71">
        <w:rPr>
          <w:i/>
          <w:iCs/>
          <w:color w:val="000000" w:themeColor="text1"/>
        </w:rPr>
        <w:t>Equity Ownership</w:t>
      </w:r>
      <w:r w:rsidR="008D7CCF" w:rsidRPr="006F5D71">
        <w:rPr>
          <w:color w:val="000000" w:themeColor="text1"/>
        </w:rPr>
        <w:t xml:space="preserve"> is calculated as </w:t>
      </w:r>
      <w:r w:rsidR="00F06452" w:rsidRPr="006F5D71">
        <w:rPr>
          <w:color w:val="000000" w:themeColor="text1"/>
        </w:rPr>
        <w:t xml:space="preserve">the </w:t>
      </w:r>
      <w:r w:rsidR="008D7CCF" w:rsidRPr="006F5D71">
        <w:rPr>
          <w:color w:val="000000" w:themeColor="text1"/>
        </w:rPr>
        <w:t xml:space="preserve">natural log of share of ownership by the parent firm in </w:t>
      </w:r>
      <w:r w:rsidR="00F06452" w:rsidRPr="006F5D71">
        <w:rPr>
          <w:color w:val="000000" w:themeColor="text1"/>
        </w:rPr>
        <w:t xml:space="preserve">a </w:t>
      </w:r>
      <w:r w:rsidR="008D7CCF" w:rsidRPr="006F5D71">
        <w:rPr>
          <w:color w:val="000000" w:themeColor="text1"/>
        </w:rPr>
        <w:t>foreign subsidiary (</w:t>
      </w:r>
      <w:proofErr w:type="spellStart"/>
      <w:r w:rsidR="00387B07" w:rsidRPr="006F5D71">
        <w:rPr>
          <w:color w:val="000000" w:themeColor="text1"/>
        </w:rPr>
        <w:t>Demirbag</w:t>
      </w:r>
      <w:proofErr w:type="spellEnd"/>
      <w:r w:rsidR="00387B07" w:rsidRPr="006F5D71">
        <w:rPr>
          <w:color w:val="000000" w:themeColor="text1"/>
        </w:rPr>
        <w:t xml:space="preserve">, </w:t>
      </w:r>
      <w:proofErr w:type="spellStart"/>
      <w:r w:rsidR="00387B07" w:rsidRPr="006F5D71">
        <w:rPr>
          <w:color w:val="000000" w:themeColor="text1"/>
        </w:rPr>
        <w:t>Apaydin</w:t>
      </w:r>
      <w:proofErr w:type="spellEnd"/>
      <w:r w:rsidR="00387B07" w:rsidRPr="006F5D71">
        <w:rPr>
          <w:color w:val="000000" w:themeColor="text1"/>
        </w:rPr>
        <w:t xml:space="preserve">, &amp; </w:t>
      </w:r>
      <w:proofErr w:type="spellStart"/>
      <w:r w:rsidR="00387B07" w:rsidRPr="006F5D71">
        <w:rPr>
          <w:color w:val="000000" w:themeColor="text1"/>
        </w:rPr>
        <w:t>Tatoglu</w:t>
      </w:r>
      <w:proofErr w:type="spellEnd"/>
      <w:r w:rsidR="00387B07" w:rsidRPr="006F5D71">
        <w:rPr>
          <w:color w:val="000000" w:themeColor="text1"/>
        </w:rPr>
        <w:t>,</w:t>
      </w:r>
      <w:r w:rsidR="00DD54E0" w:rsidRPr="006F5D71">
        <w:rPr>
          <w:color w:val="000000" w:themeColor="text1"/>
        </w:rPr>
        <w:t xml:space="preserve"> 2011</w:t>
      </w:r>
      <w:r w:rsidR="008D7CCF" w:rsidRPr="006F5D71">
        <w:rPr>
          <w:color w:val="000000" w:themeColor="text1"/>
        </w:rPr>
        <w:t>).</w:t>
      </w:r>
      <w:r w:rsidR="00B97B60" w:rsidRPr="006F5D71">
        <w:rPr>
          <w:color w:val="000000" w:themeColor="text1"/>
        </w:rPr>
        <w:t xml:space="preserve"> To measure the </w:t>
      </w:r>
      <w:r w:rsidR="00B97B60" w:rsidRPr="006F5D71">
        <w:rPr>
          <w:i/>
          <w:iCs/>
          <w:color w:val="000000" w:themeColor="text1"/>
        </w:rPr>
        <w:t>Asset Seeking Motive</w:t>
      </w:r>
      <w:r w:rsidR="00B97B60" w:rsidRPr="006F5D71">
        <w:rPr>
          <w:color w:val="000000" w:themeColor="text1"/>
        </w:rPr>
        <w:t xml:space="preserve">, we use a dummy variable that takes 1 if a subsidiary belongs to technologically advanced sectors, for instance, software-IT, automobile, chemicals, electronics, iron </w:t>
      </w:r>
      <w:r w:rsidR="008B4AE1">
        <w:rPr>
          <w:color w:val="000000" w:themeColor="text1"/>
        </w:rPr>
        <w:t>and</w:t>
      </w:r>
      <w:r w:rsidR="008B4AE1" w:rsidRPr="006F5D71">
        <w:rPr>
          <w:color w:val="000000" w:themeColor="text1"/>
        </w:rPr>
        <w:t xml:space="preserve"> </w:t>
      </w:r>
      <w:r w:rsidR="00B97B60" w:rsidRPr="006F5D71">
        <w:rPr>
          <w:color w:val="000000" w:themeColor="text1"/>
        </w:rPr>
        <w:t>steel, pharmaceuticals, and telecommunication</w:t>
      </w:r>
      <w:r w:rsidR="008B4AE1">
        <w:rPr>
          <w:color w:val="000000" w:themeColor="text1"/>
        </w:rPr>
        <w:t>s</w:t>
      </w:r>
      <w:r w:rsidR="00B97B60" w:rsidRPr="006F5D71">
        <w:rPr>
          <w:color w:val="000000" w:themeColor="text1"/>
        </w:rPr>
        <w:t xml:space="preserve"> sectors by following Lu et al. (2011).</w:t>
      </w:r>
      <w:r w:rsidR="005A07C8" w:rsidRPr="006F5D71">
        <w:rPr>
          <w:color w:val="000000" w:themeColor="text1"/>
        </w:rPr>
        <w:t xml:space="preserve"> </w:t>
      </w:r>
      <w:r w:rsidR="005A07C8" w:rsidRPr="006F5D71">
        <w:rPr>
          <w:i/>
          <w:iCs/>
          <w:color w:val="000000" w:themeColor="text1"/>
        </w:rPr>
        <w:t>Parent Size</w:t>
      </w:r>
      <w:r w:rsidR="005A07C8" w:rsidRPr="006F5D71">
        <w:rPr>
          <w:color w:val="000000" w:themeColor="text1"/>
        </w:rPr>
        <w:t xml:space="preserve"> is calculated by following </w:t>
      </w:r>
      <w:proofErr w:type="spellStart"/>
      <w:r w:rsidR="00DD54E0" w:rsidRPr="006F5D71">
        <w:rPr>
          <w:color w:val="000000" w:themeColor="text1"/>
        </w:rPr>
        <w:t>Dikova</w:t>
      </w:r>
      <w:proofErr w:type="spellEnd"/>
      <w:r w:rsidR="00DD54E0" w:rsidRPr="006F5D71">
        <w:rPr>
          <w:color w:val="000000" w:themeColor="text1"/>
        </w:rPr>
        <w:t xml:space="preserve"> (2009)</w:t>
      </w:r>
      <w:r w:rsidR="005A07C8" w:rsidRPr="006F5D71">
        <w:rPr>
          <w:color w:val="000000" w:themeColor="text1"/>
        </w:rPr>
        <w:t xml:space="preserve"> as </w:t>
      </w:r>
      <w:r w:rsidR="00F06452" w:rsidRPr="006F5D71">
        <w:rPr>
          <w:color w:val="000000" w:themeColor="text1"/>
        </w:rPr>
        <w:t xml:space="preserve">a </w:t>
      </w:r>
      <w:r w:rsidR="00DD54E0" w:rsidRPr="006F5D71">
        <w:rPr>
          <w:color w:val="000000" w:themeColor="text1"/>
        </w:rPr>
        <w:t xml:space="preserve">natural log of </w:t>
      </w:r>
      <w:r w:rsidR="00F06452" w:rsidRPr="006F5D71">
        <w:rPr>
          <w:color w:val="000000" w:themeColor="text1"/>
        </w:rPr>
        <w:t xml:space="preserve">the </w:t>
      </w:r>
      <w:r w:rsidR="00DD54E0" w:rsidRPr="006F5D71">
        <w:rPr>
          <w:color w:val="000000" w:themeColor="text1"/>
        </w:rPr>
        <w:t xml:space="preserve">number of employees of </w:t>
      </w:r>
      <w:r w:rsidR="00F06452" w:rsidRPr="006F5D71">
        <w:rPr>
          <w:color w:val="000000" w:themeColor="text1"/>
        </w:rPr>
        <w:t xml:space="preserve">the </w:t>
      </w:r>
      <w:r w:rsidR="00DD54E0" w:rsidRPr="006F5D71">
        <w:rPr>
          <w:color w:val="000000" w:themeColor="text1"/>
        </w:rPr>
        <w:t>parent firm</w:t>
      </w:r>
      <w:r w:rsidR="005A07C8" w:rsidRPr="006F5D71">
        <w:rPr>
          <w:color w:val="000000" w:themeColor="text1"/>
        </w:rPr>
        <w:t>.</w:t>
      </w:r>
      <w:r w:rsidR="00081CFC" w:rsidRPr="006F5D71">
        <w:rPr>
          <w:color w:val="000000" w:themeColor="text1"/>
        </w:rPr>
        <w:t xml:space="preserve"> To operationalize the international experience of parent firms in all five regions, namely </w:t>
      </w:r>
      <w:r w:rsidR="00081CFC" w:rsidRPr="006F5D71">
        <w:rPr>
          <w:i/>
          <w:iCs/>
          <w:color w:val="000000" w:themeColor="text1"/>
        </w:rPr>
        <w:t>American, European, African, Asian, and Arab</w:t>
      </w:r>
      <w:r w:rsidR="00081CFC" w:rsidRPr="006F5D71">
        <w:rPr>
          <w:color w:val="000000" w:themeColor="text1"/>
        </w:rPr>
        <w:t xml:space="preserve">, we include five variables for measuring the </w:t>
      </w:r>
      <w:r w:rsidR="00081CFC" w:rsidRPr="006F5D71">
        <w:rPr>
          <w:i/>
          <w:iCs/>
          <w:color w:val="000000" w:themeColor="text1"/>
        </w:rPr>
        <w:t>parent experience</w:t>
      </w:r>
      <w:r w:rsidR="00081CFC" w:rsidRPr="006F5D71">
        <w:rPr>
          <w:color w:val="000000" w:themeColor="text1"/>
        </w:rPr>
        <w:t xml:space="preserve"> as a number of foreign subsidiaries, following </w:t>
      </w:r>
      <w:proofErr w:type="spellStart"/>
      <w:r w:rsidR="00081CFC" w:rsidRPr="006F5D71">
        <w:rPr>
          <w:color w:val="000000" w:themeColor="text1"/>
        </w:rPr>
        <w:t>Dikova</w:t>
      </w:r>
      <w:proofErr w:type="spellEnd"/>
      <w:r w:rsidR="00081CFC" w:rsidRPr="006F5D71">
        <w:rPr>
          <w:color w:val="000000" w:themeColor="text1"/>
        </w:rPr>
        <w:t xml:space="preserve"> (2009), in </w:t>
      </w:r>
      <w:r w:rsidR="00081CFC" w:rsidRPr="006F5D71">
        <w:rPr>
          <w:i/>
          <w:iCs/>
          <w:color w:val="000000" w:themeColor="text1"/>
        </w:rPr>
        <w:t>American, European, African, Asian, and Arab</w:t>
      </w:r>
      <w:r w:rsidR="00081CFC" w:rsidRPr="006F5D71">
        <w:rPr>
          <w:color w:val="000000" w:themeColor="text1"/>
        </w:rPr>
        <w:t xml:space="preserve"> regions, respectively.</w:t>
      </w:r>
      <w:r w:rsidR="00DD54E0" w:rsidRPr="006F5D71">
        <w:rPr>
          <w:color w:val="000000" w:themeColor="text1"/>
        </w:rPr>
        <w:t xml:space="preserve"> </w:t>
      </w:r>
      <w:r w:rsidR="00DD54E0" w:rsidRPr="006F5D71">
        <w:rPr>
          <w:i/>
          <w:iCs/>
          <w:color w:val="000000" w:themeColor="text1"/>
        </w:rPr>
        <w:t>Subsidiary Size</w:t>
      </w:r>
      <w:r w:rsidR="00DD54E0" w:rsidRPr="006F5D71">
        <w:rPr>
          <w:color w:val="000000" w:themeColor="text1"/>
        </w:rPr>
        <w:t xml:space="preserve"> is measured as </w:t>
      </w:r>
      <w:r w:rsidR="00F06452" w:rsidRPr="006F5D71">
        <w:rPr>
          <w:color w:val="000000" w:themeColor="text1"/>
        </w:rPr>
        <w:t xml:space="preserve">a </w:t>
      </w:r>
      <w:r w:rsidR="00DD54E0" w:rsidRPr="006F5D71">
        <w:rPr>
          <w:color w:val="000000" w:themeColor="text1"/>
        </w:rPr>
        <w:t xml:space="preserve">natural log of </w:t>
      </w:r>
      <w:r w:rsidR="00F06452" w:rsidRPr="006F5D71">
        <w:rPr>
          <w:color w:val="000000" w:themeColor="text1"/>
        </w:rPr>
        <w:t xml:space="preserve">the </w:t>
      </w:r>
      <w:r w:rsidR="00DD54E0" w:rsidRPr="006F5D71">
        <w:rPr>
          <w:color w:val="000000" w:themeColor="text1"/>
        </w:rPr>
        <w:t xml:space="preserve">number of employees of </w:t>
      </w:r>
      <w:r w:rsidR="00F06452" w:rsidRPr="006F5D71">
        <w:rPr>
          <w:color w:val="000000" w:themeColor="text1"/>
        </w:rPr>
        <w:t xml:space="preserve">a </w:t>
      </w:r>
      <w:r w:rsidR="00DD54E0" w:rsidRPr="006F5D71">
        <w:rPr>
          <w:color w:val="000000" w:themeColor="text1"/>
        </w:rPr>
        <w:t>subsidiary (</w:t>
      </w:r>
      <w:proofErr w:type="spellStart"/>
      <w:r w:rsidR="00DD54E0" w:rsidRPr="006F5D71">
        <w:rPr>
          <w:color w:val="000000" w:themeColor="text1"/>
        </w:rPr>
        <w:t>Dikova</w:t>
      </w:r>
      <w:proofErr w:type="spellEnd"/>
      <w:r w:rsidR="00DD54E0" w:rsidRPr="006F5D71">
        <w:rPr>
          <w:color w:val="000000" w:themeColor="text1"/>
        </w:rPr>
        <w:t xml:space="preserve">, 2009). For </w:t>
      </w:r>
      <w:r w:rsidR="00DD54E0" w:rsidRPr="006F5D71">
        <w:rPr>
          <w:i/>
          <w:iCs/>
          <w:color w:val="000000" w:themeColor="text1"/>
        </w:rPr>
        <w:t>Leverage</w:t>
      </w:r>
      <w:r w:rsidR="00DD54E0" w:rsidRPr="006F5D71">
        <w:rPr>
          <w:color w:val="000000" w:themeColor="text1"/>
        </w:rPr>
        <w:t xml:space="preserve"> effect, debt to asset ratio is used (Gu </w:t>
      </w:r>
      <w:r w:rsidR="00DD54E0" w:rsidRPr="006F5D71">
        <w:rPr>
          <w:color w:val="000000" w:themeColor="text1"/>
        </w:rPr>
        <w:lastRenderedPageBreak/>
        <w:t xml:space="preserve">et al., 2018). </w:t>
      </w:r>
      <w:r w:rsidR="00DD54E0" w:rsidRPr="006F5D71">
        <w:rPr>
          <w:i/>
          <w:iCs/>
          <w:color w:val="000000" w:themeColor="text1"/>
        </w:rPr>
        <w:t>State Affiliation</w:t>
      </w:r>
      <w:r w:rsidR="00DD54E0" w:rsidRPr="006F5D71">
        <w:rPr>
          <w:color w:val="000000" w:themeColor="text1"/>
        </w:rPr>
        <w:t xml:space="preserve"> takes 1 if a subsidiary belongs to state-owned parent firm</w:t>
      </w:r>
      <w:r w:rsidR="008B4AE1">
        <w:rPr>
          <w:color w:val="000000" w:themeColor="text1"/>
        </w:rPr>
        <w:t>,</w:t>
      </w:r>
      <w:r w:rsidR="00DD54E0" w:rsidRPr="006F5D71">
        <w:rPr>
          <w:color w:val="000000" w:themeColor="text1"/>
        </w:rPr>
        <w:t xml:space="preserve"> 0</w:t>
      </w:r>
      <w:r w:rsidR="008B4AE1">
        <w:rPr>
          <w:color w:val="000000" w:themeColor="text1"/>
        </w:rPr>
        <w:t xml:space="preserve"> otherwise</w:t>
      </w:r>
      <w:r w:rsidR="00DD54E0" w:rsidRPr="006F5D71">
        <w:rPr>
          <w:color w:val="000000" w:themeColor="text1"/>
        </w:rPr>
        <w:t xml:space="preserve"> (</w:t>
      </w:r>
      <w:proofErr w:type="spellStart"/>
      <w:r w:rsidR="00DD54E0" w:rsidRPr="006F5D71">
        <w:rPr>
          <w:color w:val="000000" w:themeColor="text1"/>
        </w:rPr>
        <w:t>Adarkwah</w:t>
      </w:r>
      <w:proofErr w:type="spellEnd"/>
      <w:r w:rsidR="00DD54E0" w:rsidRPr="006F5D71">
        <w:rPr>
          <w:color w:val="000000" w:themeColor="text1"/>
        </w:rPr>
        <w:t xml:space="preserve"> &amp; </w:t>
      </w:r>
      <w:proofErr w:type="spellStart"/>
      <w:r w:rsidR="00DD54E0" w:rsidRPr="006F5D71">
        <w:rPr>
          <w:color w:val="000000" w:themeColor="text1"/>
        </w:rPr>
        <w:t>Malonæs</w:t>
      </w:r>
      <w:proofErr w:type="spellEnd"/>
      <w:r w:rsidR="00DD54E0" w:rsidRPr="006F5D71">
        <w:rPr>
          <w:color w:val="000000" w:themeColor="text1"/>
        </w:rPr>
        <w:t>, 2020</w:t>
      </w:r>
      <w:r w:rsidR="00EF56C0" w:rsidRPr="006F5D71">
        <w:rPr>
          <w:color w:val="000000" w:themeColor="text1"/>
        </w:rPr>
        <w:t>; Saeed et al., 2016; Saeed and Sameer, 2017</w:t>
      </w:r>
      <w:r w:rsidR="00DD54E0" w:rsidRPr="006F5D71">
        <w:rPr>
          <w:color w:val="000000" w:themeColor="text1"/>
        </w:rPr>
        <w:t xml:space="preserve">). To control the country level effect, </w:t>
      </w:r>
      <w:r w:rsidR="00DD54E0" w:rsidRPr="006F5D71">
        <w:rPr>
          <w:i/>
          <w:iCs/>
          <w:color w:val="000000" w:themeColor="text1"/>
        </w:rPr>
        <w:t>China Dummy</w:t>
      </w:r>
      <w:r w:rsidR="00DD54E0" w:rsidRPr="006F5D71">
        <w:rPr>
          <w:color w:val="000000" w:themeColor="text1"/>
        </w:rPr>
        <w:t xml:space="preserve"> is included as it takes 1 if a subsidiary belongs to Chinese parent firms. </w:t>
      </w:r>
      <w:r w:rsidR="00DD54E0" w:rsidRPr="006F5D71">
        <w:rPr>
          <w:i/>
          <w:iCs/>
          <w:color w:val="000000" w:themeColor="text1"/>
        </w:rPr>
        <w:t>Subsidiary Age</w:t>
      </w:r>
      <w:r w:rsidR="00DD54E0" w:rsidRPr="006F5D71">
        <w:rPr>
          <w:color w:val="000000" w:themeColor="text1"/>
        </w:rPr>
        <w:t xml:space="preserve"> is measured as </w:t>
      </w:r>
      <w:r w:rsidR="00F06452" w:rsidRPr="006F5D71">
        <w:rPr>
          <w:color w:val="000000" w:themeColor="text1"/>
        </w:rPr>
        <w:t xml:space="preserve">the </w:t>
      </w:r>
      <w:r w:rsidR="00DD54E0" w:rsidRPr="006F5D71">
        <w:rPr>
          <w:color w:val="000000" w:themeColor="text1"/>
        </w:rPr>
        <w:t xml:space="preserve">difference between </w:t>
      </w:r>
      <w:r w:rsidR="00F06452" w:rsidRPr="006F5D71">
        <w:rPr>
          <w:color w:val="000000" w:themeColor="text1"/>
        </w:rPr>
        <w:t xml:space="preserve">the </w:t>
      </w:r>
      <w:r w:rsidR="00DD54E0" w:rsidRPr="006F5D71">
        <w:rPr>
          <w:color w:val="000000" w:themeColor="text1"/>
        </w:rPr>
        <w:t>current year and founding year (</w:t>
      </w:r>
      <w:proofErr w:type="spellStart"/>
      <w:r w:rsidR="00DD54E0" w:rsidRPr="006F5D71">
        <w:rPr>
          <w:color w:val="000000" w:themeColor="text1"/>
        </w:rPr>
        <w:t>Demirbag</w:t>
      </w:r>
      <w:proofErr w:type="spellEnd"/>
      <w:r w:rsidR="00DD54E0" w:rsidRPr="006F5D71">
        <w:rPr>
          <w:color w:val="000000" w:themeColor="text1"/>
        </w:rPr>
        <w:t xml:space="preserve"> et al., 2011).</w:t>
      </w:r>
      <w:r w:rsidR="00C7148F" w:rsidRPr="006F5D71">
        <w:rPr>
          <w:color w:val="000000" w:themeColor="text1"/>
        </w:rPr>
        <w:t xml:space="preserve"> </w:t>
      </w:r>
      <w:r w:rsidR="001445E2" w:rsidRPr="006F5D71">
        <w:rPr>
          <w:i/>
          <w:iCs/>
          <w:color w:val="000000" w:themeColor="text1"/>
        </w:rPr>
        <w:t>Family Controlled</w:t>
      </w:r>
      <w:r w:rsidR="001445E2" w:rsidRPr="006F5D71">
        <w:rPr>
          <w:color w:val="000000" w:themeColor="text1"/>
        </w:rPr>
        <w:t xml:space="preserve"> takes 1 if </w:t>
      </w:r>
      <w:r w:rsidR="004B05C7" w:rsidRPr="006F5D71">
        <w:rPr>
          <w:color w:val="000000" w:themeColor="text1"/>
        </w:rPr>
        <w:t>a subsidiary is controlled by one family or sets of fam</w:t>
      </w:r>
      <w:r w:rsidR="008D6764" w:rsidRPr="006F5D71">
        <w:rPr>
          <w:color w:val="000000" w:themeColor="text1"/>
        </w:rPr>
        <w:t>ilies (</w:t>
      </w:r>
      <w:proofErr w:type="spellStart"/>
      <w:r w:rsidR="008D6764" w:rsidRPr="006F5D71">
        <w:rPr>
          <w:color w:val="000000" w:themeColor="text1"/>
        </w:rPr>
        <w:t>Adarkwah</w:t>
      </w:r>
      <w:proofErr w:type="spellEnd"/>
      <w:r w:rsidR="008D6764" w:rsidRPr="006F5D71">
        <w:rPr>
          <w:color w:val="000000" w:themeColor="text1"/>
        </w:rPr>
        <w:t xml:space="preserve"> &amp; </w:t>
      </w:r>
      <w:proofErr w:type="spellStart"/>
      <w:r w:rsidR="008D6764" w:rsidRPr="006F5D71">
        <w:rPr>
          <w:color w:val="000000" w:themeColor="text1"/>
        </w:rPr>
        <w:t>Malonæs</w:t>
      </w:r>
      <w:proofErr w:type="spellEnd"/>
      <w:r w:rsidR="008D6764" w:rsidRPr="006F5D71">
        <w:rPr>
          <w:color w:val="000000" w:themeColor="text1"/>
        </w:rPr>
        <w:t>, 2020</w:t>
      </w:r>
      <w:r w:rsidR="004B05C7" w:rsidRPr="006F5D71">
        <w:rPr>
          <w:color w:val="000000" w:themeColor="text1"/>
        </w:rPr>
        <w:t xml:space="preserve">). We define </w:t>
      </w:r>
      <w:r w:rsidR="00DB1670" w:rsidRPr="006F5D71">
        <w:rPr>
          <w:color w:val="000000" w:themeColor="text1"/>
        </w:rPr>
        <w:t xml:space="preserve">a subsidiary </w:t>
      </w:r>
      <w:r w:rsidR="005E6BDE" w:rsidRPr="006F5D71">
        <w:rPr>
          <w:color w:val="000000" w:themeColor="text1"/>
        </w:rPr>
        <w:t>a</w:t>
      </w:r>
      <w:r w:rsidR="00DB1670" w:rsidRPr="006F5D71">
        <w:rPr>
          <w:color w:val="000000" w:themeColor="text1"/>
        </w:rPr>
        <w:t>s family</w:t>
      </w:r>
      <w:r w:rsidR="005E6BDE" w:rsidRPr="006F5D71">
        <w:rPr>
          <w:color w:val="000000" w:themeColor="text1"/>
        </w:rPr>
        <w:t>-</w:t>
      </w:r>
      <w:r w:rsidR="008A1797" w:rsidRPr="006F5D71">
        <w:rPr>
          <w:color w:val="000000" w:themeColor="text1"/>
        </w:rPr>
        <w:t xml:space="preserve">controlled if </w:t>
      </w:r>
      <w:r w:rsidR="00726768" w:rsidRPr="006F5D71">
        <w:rPr>
          <w:color w:val="000000" w:themeColor="text1"/>
        </w:rPr>
        <w:t>two</w:t>
      </w:r>
      <w:r w:rsidR="008B4AE1">
        <w:rPr>
          <w:color w:val="000000" w:themeColor="text1"/>
        </w:rPr>
        <w:t>,</w:t>
      </w:r>
      <w:r w:rsidR="00726768" w:rsidRPr="006F5D71">
        <w:rPr>
          <w:color w:val="000000" w:themeColor="text1"/>
        </w:rPr>
        <w:t xml:space="preserve"> or more than two</w:t>
      </w:r>
      <w:r w:rsidR="008B4AE1">
        <w:rPr>
          <w:color w:val="000000" w:themeColor="text1"/>
        </w:rPr>
        <w:t>,</w:t>
      </w:r>
      <w:r w:rsidR="00726768" w:rsidRPr="006F5D71">
        <w:rPr>
          <w:color w:val="000000" w:themeColor="text1"/>
        </w:rPr>
        <w:t xml:space="preserve"> board members possess </w:t>
      </w:r>
      <w:r w:rsidR="005E6BDE" w:rsidRPr="006F5D71">
        <w:rPr>
          <w:color w:val="000000" w:themeColor="text1"/>
        </w:rPr>
        <w:t xml:space="preserve">a </w:t>
      </w:r>
      <w:r w:rsidR="00726768" w:rsidRPr="006F5D71">
        <w:rPr>
          <w:color w:val="000000" w:themeColor="text1"/>
        </w:rPr>
        <w:t>family relationship (</w:t>
      </w:r>
      <w:r w:rsidR="00387B07" w:rsidRPr="006F5D71">
        <w:rPr>
          <w:color w:val="000000" w:themeColor="text1"/>
        </w:rPr>
        <w:t xml:space="preserve">Gomez‐Mejia, </w:t>
      </w:r>
      <w:proofErr w:type="spellStart"/>
      <w:r w:rsidR="00387B07" w:rsidRPr="006F5D71">
        <w:rPr>
          <w:color w:val="000000" w:themeColor="text1"/>
        </w:rPr>
        <w:t>Makri</w:t>
      </w:r>
      <w:proofErr w:type="spellEnd"/>
      <w:r w:rsidR="00387B07" w:rsidRPr="006F5D71">
        <w:rPr>
          <w:color w:val="000000" w:themeColor="text1"/>
        </w:rPr>
        <w:t xml:space="preserve">, &amp; </w:t>
      </w:r>
      <w:proofErr w:type="spellStart"/>
      <w:r w:rsidR="00387B07" w:rsidRPr="006F5D71">
        <w:rPr>
          <w:color w:val="000000" w:themeColor="text1"/>
        </w:rPr>
        <w:t>Kintana</w:t>
      </w:r>
      <w:proofErr w:type="spellEnd"/>
      <w:r w:rsidR="00387B07" w:rsidRPr="006F5D71">
        <w:rPr>
          <w:color w:val="000000" w:themeColor="text1"/>
        </w:rPr>
        <w:t>,</w:t>
      </w:r>
      <w:r w:rsidR="00726768" w:rsidRPr="006F5D71">
        <w:rPr>
          <w:color w:val="000000" w:themeColor="text1"/>
        </w:rPr>
        <w:t xml:space="preserve"> 2010)</w:t>
      </w:r>
      <w:r w:rsidR="008A1797" w:rsidRPr="006F5D71">
        <w:rPr>
          <w:color w:val="000000" w:themeColor="text1"/>
        </w:rPr>
        <w:t>.</w:t>
      </w:r>
      <w:r w:rsidR="00D2412D" w:rsidRPr="006F5D71">
        <w:rPr>
          <w:color w:val="000000" w:themeColor="text1"/>
        </w:rPr>
        <w:t xml:space="preserve"> All main explanatory and financial variables are one-year lagged (t-1) following Jain (1985) as he suggests that financial measures of a firm start </w:t>
      </w:r>
      <w:r w:rsidR="00C7148F" w:rsidRPr="006F5D71">
        <w:rPr>
          <w:color w:val="000000" w:themeColor="text1"/>
        </w:rPr>
        <w:t>suffering</w:t>
      </w:r>
      <w:r w:rsidR="00D2412D" w:rsidRPr="006F5D71">
        <w:rPr>
          <w:color w:val="000000" w:themeColor="text1"/>
        </w:rPr>
        <w:t xml:space="preserve"> one year </w:t>
      </w:r>
      <w:r w:rsidR="00547C76" w:rsidRPr="006F5D71">
        <w:rPr>
          <w:color w:val="000000" w:themeColor="text1"/>
        </w:rPr>
        <w:t>earlier</w:t>
      </w:r>
      <w:r w:rsidR="00D2412D" w:rsidRPr="006F5D71">
        <w:rPr>
          <w:color w:val="000000" w:themeColor="text1"/>
        </w:rPr>
        <w:t xml:space="preserve"> to </w:t>
      </w:r>
      <w:r w:rsidR="00547C76" w:rsidRPr="006F5D71">
        <w:rPr>
          <w:color w:val="000000" w:themeColor="text1"/>
        </w:rPr>
        <w:t>exit</w:t>
      </w:r>
      <w:r w:rsidR="00D2412D" w:rsidRPr="006F5D71">
        <w:rPr>
          <w:color w:val="000000" w:themeColor="text1"/>
        </w:rPr>
        <w:t>.</w:t>
      </w:r>
    </w:p>
    <w:p w14:paraId="1E9F7A98" w14:textId="77777777" w:rsidR="000F0BE3" w:rsidRPr="006F5D71" w:rsidRDefault="000F0BE3" w:rsidP="00107559">
      <w:pPr>
        <w:pStyle w:val="NoSpacing"/>
        <w:spacing w:after="240"/>
        <w:jc w:val="both"/>
        <w:rPr>
          <w:b/>
          <w:bCs/>
          <w:color w:val="000000" w:themeColor="text1"/>
          <w:sz w:val="28"/>
          <w:szCs w:val="28"/>
        </w:rPr>
      </w:pPr>
      <w:r w:rsidRPr="006F5D71">
        <w:rPr>
          <w:b/>
          <w:bCs/>
          <w:color w:val="000000" w:themeColor="text1"/>
          <w:sz w:val="28"/>
          <w:szCs w:val="28"/>
        </w:rPr>
        <w:t xml:space="preserve">4. </w:t>
      </w:r>
      <w:r w:rsidR="003F6A26" w:rsidRPr="006F5D71">
        <w:rPr>
          <w:b/>
          <w:bCs/>
          <w:color w:val="000000" w:themeColor="text1"/>
          <w:sz w:val="28"/>
          <w:szCs w:val="28"/>
        </w:rPr>
        <w:t xml:space="preserve">Empirical </w:t>
      </w:r>
      <w:r w:rsidRPr="006F5D71">
        <w:rPr>
          <w:b/>
          <w:bCs/>
          <w:color w:val="000000" w:themeColor="text1"/>
          <w:sz w:val="28"/>
          <w:szCs w:val="28"/>
        </w:rPr>
        <w:t xml:space="preserve">Results </w:t>
      </w:r>
    </w:p>
    <w:p w14:paraId="672EE472" w14:textId="77777777" w:rsidR="00052F34" w:rsidRPr="006F5D71" w:rsidRDefault="000F0BE3" w:rsidP="00905929">
      <w:pPr>
        <w:spacing w:line="360" w:lineRule="auto"/>
        <w:jc w:val="both"/>
        <w:rPr>
          <w:i/>
          <w:iCs/>
          <w:color w:val="000000" w:themeColor="text1"/>
        </w:rPr>
      </w:pPr>
      <w:r w:rsidRPr="006F5D71">
        <w:rPr>
          <w:i/>
          <w:iCs/>
          <w:color w:val="000000" w:themeColor="text1"/>
        </w:rPr>
        <w:t>4.1 Descriptive</w:t>
      </w:r>
      <w:r w:rsidR="00747E5B" w:rsidRPr="006F5D71">
        <w:rPr>
          <w:i/>
          <w:iCs/>
          <w:color w:val="000000" w:themeColor="text1"/>
        </w:rPr>
        <w:t xml:space="preserve"> statistics</w:t>
      </w:r>
    </w:p>
    <w:p w14:paraId="0CFED158" w14:textId="77777777" w:rsidR="00182440" w:rsidRPr="006F5D71" w:rsidRDefault="000F0BE3" w:rsidP="00182440">
      <w:pPr>
        <w:pStyle w:val="NoSpacing"/>
        <w:spacing w:after="240" w:line="360" w:lineRule="auto"/>
        <w:ind w:firstLine="720"/>
        <w:jc w:val="both"/>
        <w:rPr>
          <w:color w:val="000000" w:themeColor="text1"/>
        </w:rPr>
      </w:pPr>
      <w:r w:rsidRPr="006F5D71">
        <w:rPr>
          <w:color w:val="000000" w:themeColor="text1"/>
        </w:rPr>
        <w:t>Table 2 presents the descriptive stat</w:t>
      </w:r>
      <w:r w:rsidR="007D3001" w:rsidRPr="006F5D71">
        <w:rPr>
          <w:color w:val="000000" w:themeColor="text1"/>
        </w:rPr>
        <w:t>istic</w:t>
      </w:r>
      <w:r w:rsidRPr="006F5D71">
        <w:rPr>
          <w:color w:val="000000" w:themeColor="text1"/>
        </w:rPr>
        <w:t xml:space="preserve">s of </w:t>
      </w:r>
      <w:r w:rsidR="007D3001" w:rsidRPr="006F5D71">
        <w:rPr>
          <w:color w:val="000000" w:themeColor="text1"/>
        </w:rPr>
        <w:t xml:space="preserve">the </w:t>
      </w:r>
      <w:r w:rsidRPr="006F5D71">
        <w:rPr>
          <w:color w:val="000000" w:themeColor="text1"/>
        </w:rPr>
        <w:t xml:space="preserve">variables used in this study for foreign subsidiaries in North and South regions. On average, </w:t>
      </w:r>
      <w:r w:rsidR="00182440" w:rsidRPr="006F5D71">
        <w:rPr>
          <w:color w:val="000000" w:themeColor="text1"/>
        </w:rPr>
        <w:t xml:space="preserve">more </w:t>
      </w:r>
      <w:r w:rsidR="007D3001" w:rsidRPr="006F5D71">
        <w:rPr>
          <w:color w:val="000000" w:themeColor="text1"/>
        </w:rPr>
        <w:t xml:space="preserve">Chinese and Indian </w:t>
      </w:r>
      <w:r w:rsidRPr="006F5D71">
        <w:rPr>
          <w:color w:val="000000" w:themeColor="text1"/>
        </w:rPr>
        <w:t xml:space="preserve">subsidiaries </w:t>
      </w:r>
      <w:r w:rsidR="00182440" w:rsidRPr="006F5D71">
        <w:rPr>
          <w:color w:val="000000" w:themeColor="text1"/>
        </w:rPr>
        <w:t>exit from</w:t>
      </w:r>
      <w:r w:rsidRPr="006F5D71">
        <w:rPr>
          <w:color w:val="000000" w:themeColor="text1"/>
        </w:rPr>
        <w:t xml:space="preserve"> North</w:t>
      </w:r>
      <w:r w:rsidR="00182440" w:rsidRPr="006F5D71">
        <w:rPr>
          <w:color w:val="000000" w:themeColor="text1"/>
        </w:rPr>
        <w:t xml:space="preserve">ern </w:t>
      </w:r>
      <w:r w:rsidRPr="006F5D71">
        <w:rPr>
          <w:color w:val="000000" w:themeColor="text1"/>
        </w:rPr>
        <w:t>than</w:t>
      </w:r>
      <w:r w:rsidR="00182440" w:rsidRPr="006F5D71">
        <w:rPr>
          <w:color w:val="000000" w:themeColor="text1"/>
        </w:rPr>
        <w:t xml:space="preserve"> </w:t>
      </w:r>
      <w:r w:rsidRPr="006F5D71">
        <w:rPr>
          <w:color w:val="000000" w:themeColor="text1"/>
        </w:rPr>
        <w:t>South</w:t>
      </w:r>
      <w:r w:rsidR="00182440" w:rsidRPr="006F5D71">
        <w:rPr>
          <w:color w:val="000000" w:themeColor="text1"/>
        </w:rPr>
        <w:t xml:space="preserve">ern </w:t>
      </w:r>
      <w:r w:rsidR="008B4AE1" w:rsidRPr="006F5D71">
        <w:rPr>
          <w:color w:val="000000" w:themeColor="text1"/>
        </w:rPr>
        <w:t>locations</w:t>
      </w:r>
      <w:r w:rsidRPr="006F5D71">
        <w:rPr>
          <w:color w:val="000000" w:themeColor="text1"/>
        </w:rPr>
        <w:t xml:space="preserve">. </w:t>
      </w:r>
      <w:r w:rsidR="00182440" w:rsidRPr="006F5D71">
        <w:rPr>
          <w:color w:val="000000" w:themeColor="text1"/>
        </w:rPr>
        <w:t xml:space="preserve">Figure 1 </w:t>
      </w:r>
      <w:r w:rsidR="007D3001" w:rsidRPr="006F5D71">
        <w:rPr>
          <w:color w:val="000000" w:themeColor="text1"/>
        </w:rPr>
        <w:t xml:space="preserve">also </w:t>
      </w:r>
      <w:r w:rsidR="00182440" w:rsidRPr="006F5D71">
        <w:rPr>
          <w:color w:val="000000" w:themeColor="text1"/>
        </w:rPr>
        <w:t>shows the survival rate</w:t>
      </w:r>
      <w:r w:rsidR="00B9154D" w:rsidRPr="006F5D71">
        <w:rPr>
          <w:color w:val="000000" w:themeColor="text1"/>
        </w:rPr>
        <w:t xml:space="preserve"> of the </w:t>
      </w:r>
      <w:r w:rsidR="00387B03" w:rsidRPr="006F5D71">
        <w:rPr>
          <w:color w:val="000000" w:themeColor="text1"/>
        </w:rPr>
        <w:t>sample</w:t>
      </w:r>
      <w:r w:rsidR="00B9154D" w:rsidRPr="006F5D71">
        <w:rPr>
          <w:color w:val="000000" w:themeColor="text1"/>
        </w:rPr>
        <w:t xml:space="preserve"> firms</w:t>
      </w:r>
      <w:r w:rsidR="00182440" w:rsidRPr="006F5D71">
        <w:rPr>
          <w:color w:val="000000" w:themeColor="text1"/>
        </w:rPr>
        <w:t xml:space="preserve"> through the sample period</w:t>
      </w:r>
      <w:r w:rsidR="00876D2E" w:rsidRPr="006F5D71">
        <w:rPr>
          <w:color w:val="000000" w:themeColor="text1"/>
        </w:rPr>
        <w:t xml:space="preserve">. By construction, survival rates are downward sloping because only a fraction of the entire cohort of 2005 </w:t>
      </w:r>
      <w:r w:rsidR="004B4D19" w:rsidRPr="006F5D71">
        <w:rPr>
          <w:color w:val="000000" w:themeColor="text1"/>
        </w:rPr>
        <w:t>is</w:t>
      </w:r>
      <w:r w:rsidR="00876D2E" w:rsidRPr="006F5D71">
        <w:rPr>
          <w:color w:val="000000" w:themeColor="text1"/>
        </w:rPr>
        <w:t xml:space="preserve"> likely to survive until 2015</w:t>
      </w:r>
      <w:r w:rsidR="00B9154D" w:rsidRPr="006F5D71">
        <w:rPr>
          <w:rStyle w:val="FootnoteReference"/>
          <w:color w:val="000000" w:themeColor="text1"/>
        </w:rPr>
        <w:footnoteReference w:id="7"/>
      </w:r>
      <w:r w:rsidR="00876D2E" w:rsidRPr="006F5D71">
        <w:rPr>
          <w:color w:val="000000" w:themeColor="text1"/>
        </w:rPr>
        <w:t xml:space="preserve">. </w:t>
      </w:r>
      <w:r w:rsidR="00DD1FEC" w:rsidRPr="006F5D71">
        <w:rPr>
          <w:color w:val="000000" w:themeColor="text1"/>
        </w:rPr>
        <w:t xml:space="preserve">The overall declining trend of EMNCs’ survival can partially be explained by the slow-down in globalization and the sharper contraction of Western markets after the </w:t>
      </w:r>
      <w:r w:rsidR="008B4AE1" w:rsidRPr="006F5D71">
        <w:rPr>
          <w:color w:val="000000" w:themeColor="text1"/>
        </w:rPr>
        <w:t>2008</w:t>
      </w:r>
      <w:r w:rsidR="008B4AE1">
        <w:rPr>
          <w:color w:val="000000" w:themeColor="text1"/>
        </w:rPr>
        <w:t xml:space="preserve"> </w:t>
      </w:r>
      <w:r w:rsidR="00DD1FEC" w:rsidRPr="006F5D71">
        <w:rPr>
          <w:color w:val="000000" w:themeColor="text1"/>
        </w:rPr>
        <w:t xml:space="preserve">global financial crisis. </w:t>
      </w:r>
      <w:r w:rsidR="00876D2E" w:rsidRPr="006F5D71">
        <w:rPr>
          <w:color w:val="000000" w:themeColor="text1"/>
        </w:rPr>
        <w:t xml:space="preserve">Figure 1 shows this </w:t>
      </w:r>
      <w:r w:rsidR="00DF7C53" w:rsidRPr="006F5D71">
        <w:rPr>
          <w:color w:val="000000" w:themeColor="text1"/>
        </w:rPr>
        <w:t xml:space="preserve">– 80% of the subsidiaries in Southern locations in 2005 were still active in 2018, while only 65% of subsidiaries in Northern locations in 2005 </w:t>
      </w:r>
      <w:r w:rsidR="008B4AE1">
        <w:rPr>
          <w:color w:val="000000" w:themeColor="text1"/>
        </w:rPr>
        <w:t xml:space="preserve">remained </w:t>
      </w:r>
      <w:r w:rsidR="00DF7C53" w:rsidRPr="006F5D71">
        <w:rPr>
          <w:color w:val="000000" w:themeColor="text1"/>
        </w:rPr>
        <w:t>active in 2018.</w:t>
      </w:r>
      <w:r w:rsidR="00F72D31">
        <w:rPr>
          <w:color w:val="000000" w:themeColor="text1"/>
        </w:rPr>
        <w:t xml:space="preserve"> </w:t>
      </w:r>
      <w:r w:rsidR="00DF7C53" w:rsidRPr="006F5D71">
        <w:rPr>
          <w:color w:val="000000" w:themeColor="text1"/>
        </w:rPr>
        <w:t xml:space="preserve">Furthermore, we can </w:t>
      </w:r>
      <w:r w:rsidR="00876D2E" w:rsidRPr="006F5D71">
        <w:rPr>
          <w:color w:val="000000" w:themeColor="text1"/>
        </w:rPr>
        <w:t xml:space="preserve">also </w:t>
      </w:r>
      <w:r w:rsidR="007D3001" w:rsidRPr="006F5D71">
        <w:rPr>
          <w:color w:val="000000" w:themeColor="text1"/>
        </w:rPr>
        <w:t>see</w:t>
      </w:r>
      <w:r w:rsidR="00182440" w:rsidRPr="006F5D71">
        <w:rPr>
          <w:color w:val="000000" w:themeColor="text1"/>
        </w:rPr>
        <w:t xml:space="preserve"> that the gap in survival </w:t>
      </w:r>
      <w:r w:rsidR="00876D2E" w:rsidRPr="006F5D71">
        <w:rPr>
          <w:color w:val="000000" w:themeColor="text1"/>
        </w:rPr>
        <w:t xml:space="preserve">in Northern and Southern locations </w:t>
      </w:r>
      <w:r w:rsidR="00182440" w:rsidRPr="006F5D71">
        <w:rPr>
          <w:color w:val="000000" w:themeColor="text1"/>
        </w:rPr>
        <w:t xml:space="preserve">is </w:t>
      </w:r>
      <w:r w:rsidR="00876D2E" w:rsidRPr="006F5D71">
        <w:rPr>
          <w:color w:val="000000" w:themeColor="text1"/>
        </w:rPr>
        <w:t>widening</w:t>
      </w:r>
      <w:r w:rsidR="00182440" w:rsidRPr="006F5D71">
        <w:rPr>
          <w:color w:val="000000" w:themeColor="text1"/>
        </w:rPr>
        <w:t xml:space="preserve"> over time</w:t>
      </w:r>
      <w:r w:rsidR="00DF7C53" w:rsidRPr="006F5D71">
        <w:rPr>
          <w:color w:val="000000" w:themeColor="text1"/>
        </w:rPr>
        <w:t xml:space="preserve"> and especially after the </w:t>
      </w:r>
      <w:r w:rsidR="00674C50" w:rsidRPr="006F5D71">
        <w:rPr>
          <w:color w:val="000000" w:themeColor="text1"/>
        </w:rPr>
        <w:t>financial</w:t>
      </w:r>
      <w:r w:rsidR="00DF7C53" w:rsidRPr="006F5D71">
        <w:rPr>
          <w:color w:val="000000" w:themeColor="text1"/>
        </w:rPr>
        <w:t xml:space="preserve"> crisis</w:t>
      </w:r>
      <w:r w:rsidR="00182440" w:rsidRPr="006F5D71">
        <w:rPr>
          <w:color w:val="000000" w:themeColor="text1"/>
        </w:rPr>
        <w:t>.</w:t>
      </w:r>
      <w:r w:rsidR="00DF7C53" w:rsidRPr="006F5D71">
        <w:rPr>
          <w:color w:val="000000" w:themeColor="text1"/>
        </w:rPr>
        <w:t xml:space="preserve"> This is consistent with what we observe in Table</w:t>
      </w:r>
      <w:r w:rsidR="00674C50" w:rsidRPr="006F5D71">
        <w:rPr>
          <w:color w:val="000000" w:themeColor="text1"/>
        </w:rPr>
        <w:t xml:space="preserve"> A2</w:t>
      </w:r>
      <w:r w:rsidR="00B33821">
        <w:rPr>
          <w:color w:val="000000" w:themeColor="text1"/>
        </w:rPr>
        <w:t>, where a larger number of unprofitable firms exited after 2008</w:t>
      </w:r>
      <w:r w:rsidR="00674C50" w:rsidRPr="006F5D71">
        <w:rPr>
          <w:color w:val="000000" w:themeColor="text1"/>
        </w:rPr>
        <w:t>.</w:t>
      </w:r>
      <w:r w:rsidR="00F72D31">
        <w:rPr>
          <w:color w:val="000000" w:themeColor="text1"/>
        </w:rPr>
        <w:t xml:space="preserve"> </w:t>
      </w:r>
    </w:p>
    <w:p w14:paraId="26B1CDF9" w14:textId="77777777" w:rsidR="00182440" w:rsidRPr="006F5D71" w:rsidRDefault="00182440" w:rsidP="00182440">
      <w:pPr>
        <w:spacing w:line="360" w:lineRule="auto"/>
        <w:jc w:val="center"/>
        <w:rPr>
          <w:color w:val="000000" w:themeColor="text1"/>
        </w:rPr>
      </w:pPr>
      <w:r w:rsidRPr="006F5D71">
        <w:rPr>
          <w:color w:val="000000" w:themeColor="text1"/>
        </w:rPr>
        <w:t>[Insert Figure 1 here]</w:t>
      </w:r>
    </w:p>
    <w:p w14:paraId="0E379B5B" w14:textId="77777777" w:rsidR="00182440" w:rsidRPr="006F5D71" w:rsidRDefault="00182440" w:rsidP="008B0E26">
      <w:pPr>
        <w:spacing w:line="360" w:lineRule="auto"/>
        <w:ind w:firstLine="720"/>
        <w:jc w:val="both"/>
        <w:rPr>
          <w:color w:val="000000" w:themeColor="text1"/>
        </w:rPr>
      </w:pPr>
      <w:r w:rsidRPr="006F5D71">
        <w:rPr>
          <w:color w:val="000000" w:themeColor="text1"/>
        </w:rPr>
        <w:t>Chinese and Indian s</w:t>
      </w:r>
      <w:r w:rsidR="000F0BE3" w:rsidRPr="006F5D71">
        <w:rPr>
          <w:color w:val="000000" w:themeColor="text1"/>
        </w:rPr>
        <w:t xml:space="preserve">ubsidiaries in </w:t>
      </w:r>
      <w:r w:rsidR="005E6BDE" w:rsidRPr="006F5D71">
        <w:rPr>
          <w:color w:val="000000" w:themeColor="text1"/>
        </w:rPr>
        <w:t xml:space="preserve">the </w:t>
      </w:r>
      <w:r w:rsidR="000F0BE3" w:rsidRPr="006F5D71">
        <w:rPr>
          <w:color w:val="000000" w:themeColor="text1"/>
        </w:rPr>
        <w:t>South possess high</w:t>
      </w:r>
      <w:r w:rsidR="00DF7C53" w:rsidRPr="006F5D71">
        <w:rPr>
          <w:color w:val="000000" w:themeColor="text1"/>
        </w:rPr>
        <w:t>er</w:t>
      </w:r>
      <w:r w:rsidR="000F0BE3" w:rsidRPr="006F5D71">
        <w:rPr>
          <w:color w:val="000000" w:themeColor="text1"/>
        </w:rPr>
        <w:t xml:space="preserve"> </w:t>
      </w:r>
      <w:r w:rsidR="0010157C" w:rsidRPr="006F5D71">
        <w:rPr>
          <w:i/>
          <w:iCs/>
          <w:color w:val="000000" w:themeColor="text1"/>
        </w:rPr>
        <w:t>Profitability</w:t>
      </w:r>
      <w:r w:rsidR="000F0BE3" w:rsidRPr="006F5D71">
        <w:rPr>
          <w:i/>
          <w:iCs/>
          <w:color w:val="000000" w:themeColor="text1"/>
        </w:rPr>
        <w:t xml:space="preserve"> </w:t>
      </w:r>
      <w:r w:rsidR="000F0BE3" w:rsidRPr="006F5D71">
        <w:rPr>
          <w:color w:val="000000" w:themeColor="text1"/>
        </w:rPr>
        <w:t xml:space="preserve">and </w:t>
      </w:r>
      <w:r w:rsidR="00F64834" w:rsidRPr="006F5D71">
        <w:rPr>
          <w:i/>
          <w:color w:val="000000" w:themeColor="text1"/>
        </w:rPr>
        <w:t>Labor Productivity</w:t>
      </w:r>
      <w:r w:rsidR="000F0BE3" w:rsidRPr="006F5D71">
        <w:rPr>
          <w:color w:val="000000" w:themeColor="text1"/>
        </w:rPr>
        <w:t xml:space="preserve"> than subsidiaries in </w:t>
      </w:r>
      <w:r w:rsidR="005E6BDE" w:rsidRPr="006F5D71">
        <w:rPr>
          <w:color w:val="000000" w:themeColor="text1"/>
        </w:rPr>
        <w:t xml:space="preserve">the </w:t>
      </w:r>
      <w:r w:rsidR="000F0BE3" w:rsidRPr="006F5D71">
        <w:rPr>
          <w:color w:val="000000" w:themeColor="text1"/>
        </w:rPr>
        <w:t xml:space="preserve">North. </w:t>
      </w:r>
      <w:r w:rsidR="0010157C" w:rsidRPr="006F5D71">
        <w:rPr>
          <w:i/>
          <w:iCs/>
          <w:color w:val="000000" w:themeColor="text1"/>
        </w:rPr>
        <w:t>Absorptive Capacity</w:t>
      </w:r>
      <w:r w:rsidR="0010157C" w:rsidRPr="006F5D71">
        <w:rPr>
          <w:iCs/>
          <w:color w:val="000000" w:themeColor="text1"/>
        </w:rPr>
        <w:t xml:space="preserve"> of Chinese and Indian firms is higher in </w:t>
      </w:r>
      <w:r w:rsidR="008B4AE1">
        <w:rPr>
          <w:iCs/>
          <w:color w:val="000000" w:themeColor="text1"/>
        </w:rPr>
        <w:t xml:space="preserve">the </w:t>
      </w:r>
      <w:r w:rsidR="0010157C" w:rsidRPr="006F5D71">
        <w:rPr>
          <w:iCs/>
          <w:color w:val="000000" w:themeColor="text1"/>
        </w:rPr>
        <w:t xml:space="preserve">North; </w:t>
      </w:r>
      <w:r w:rsidR="00700EDE" w:rsidRPr="006F5D71">
        <w:rPr>
          <w:iCs/>
          <w:color w:val="000000" w:themeColor="text1"/>
        </w:rPr>
        <w:t>however,</w:t>
      </w:r>
      <w:r w:rsidR="0010157C" w:rsidRPr="006F5D71">
        <w:rPr>
          <w:iCs/>
          <w:color w:val="000000" w:themeColor="text1"/>
        </w:rPr>
        <w:t xml:space="preserve"> </w:t>
      </w:r>
      <w:r w:rsidR="00E91788" w:rsidRPr="006F5D71">
        <w:rPr>
          <w:i/>
          <w:iCs/>
          <w:color w:val="000000" w:themeColor="text1"/>
        </w:rPr>
        <w:t xml:space="preserve">Absorptive Capacity Leadership, </w:t>
      </w:r>
      <w:r w:rsidR="00E91788" w:rsidRPr="006F5D71">
        <w:rPr>
          <w:iCs/>
          <w:color w:val="000000" w:themeColor="text1"/>
        </w:rPr>
        <w:t xml:space="preserve">measures if Indian and </w:t>
      </w:r>
      <w:r w:rsidR="00E91788" w:rsidRPr="006F5D71">
        <w:rPr>
          <w:iCs/>
          <w:color w:val="000000" w:themeColor="text1"/>
        </w:rPr>
        <w:lastRenderedPageBreak/>
        <w:t>Chinese firms spend more or less than domestic firms.</w:t>
      </w:r>
      <w:r w:rsidR="00F72D31">
        <w:rPr>
          <w:iCs/>
          <w:color w:val="000000" w:themeColor="text1"/>
        </w:rPr>
        <w:t xml:space="preserve"> </w:t>
      </w:r>
      <w:r w:rsidR="00E91788" w:rsidRPr="006F5D71">
        <w:rPr>
          <w:iCs/>
          <w:color w:val="000000" w:themeColor="text1"/>
        </w:rPr>
        <w:t>Specifically</w:t>
      </w:r>
      <w:r w:rsidR="008B4AE1">
        <w:rPr>
          <w:iCs/>
          <w:color w:val="000000" w:themeColor="text1"/>
        </w:rPr>
        <w:t>,</w:t>
      </w:r>
      <w:r w:rsidR="00E91788" w:rsidRPr="006F5D71">
        <w:rPr>
          <w:iCs/>
          <w:color w:val="000000" w:themeColor="text1"/>
        </w:rPr>
        <w:t xml:space="preserve"> it takes </w:t>
      </w:r>
      <w:r w:rsidR="008B4AE1">
        <w:rPr>
          <w:iCs/>
          <w:color w:val="000000" w:themeColor="text1"/>
        </w:rPr>
        <w:t xml:space="preserve">the </w:t>
      </w:r>
      <w:r w:rsidR="00E91788" w:rsidRPr="006F5D71">
        <w:rPr>
          <w:iCs/>
          <w:color w:val="000000" w:themeColor="text1"/>
        </w:rPr>
        <w:t>value</w:t>
      </w:r>
      <w:r w:rsidR="008B4AE1">
        <w:rPr>
          <w:iCs/>
          <w:color w:val="000000" w:themeColor="text1"/>
        </w:rPr>
        <w:t xml:space="preserve"> of</w:t>
      </w:r>
      <w:r w:rsidR="00E91788" w:rsidRPr="006F5D71">
        <w:rPr>
          <w:iCs/>
          <w:color w:val="000000" w:themeColor="text1"/>
        </w:rPr>
        <w:t xml:space="preserve"> 1 if EMNE</w:t>
      </w:r>
      <w:r w:rsidR="008B4AE1">
        <w:rPr>
          <w:iCs/>
          <w:color w:val="000000" w:themeColor="text1"/>
        </w:rPr>
        <w:t>s</w:t>
      </w:r>
      <w:r w:rsidR="00E91788" w:rsidRPr="006F5D71">
        <w:rPr>
          <w:iCs/>
          <w:color w:val="000000" w:themeColor="text1"/>
        </w:rPr>
        <w:t xml:space="preserve"> spend more than host country firms and zero otherwise.</w:t>
      </w:r>
      <w:r w:rsidR="00F72D31">
        <w:rPr>
          <w:i/>
          <w:iCs/>
          <w:color w:val="000000" w:themeColor="text1"/>
        </w:rPr>
        <w:t xml:space="preserve"> </w:t>
      </w:r>
      <w:r w:rsidR="00E91788" w:rsidRPr="006F5D71">
        <w:rPr>
          <w:i/>
          <w:iCs/>
          <w:color w:val="000000" w:themeColor="text1"/>
        </w:rPr>
        <w:t xml:space="preserve">Absorptive Capacity </w:t>
      </w:r>
      <w:r w:rsidR="00E91788" w:rsidRPr="006F5D71">
        <w:rPr>
          <w:iCs/>
          <w:color w:val="000000" w:themeColor="text1"/>
        </w:rPr>
        <w:t xml:space="preserve">of Chinese and Indian firms is higher in </w:t>
      </w:r>
      <w:r w:rsidR="00573CD5">
        <w:rPr>
          <w:iCs/>
          <w:color w:val="000000" w:themeColor="text1"/>
        </w:rPr>
        <w:t xml:space="preserve">the </w:t>
      </w:r>
      <w:r w:rsidR="00E91788" w:rsidRPr="006F5D71">
        <w:rPr>
          <w:iCs/>
          <w:color w:val="000000" w:themeColor="text1"/>
        </w:rPr>
        <w:t>North which means their R&amp;D intensity is higher in Northern than Southern locations.</w:t>
      </w:r>
      <w:r w:rsidR="00F72D31">
        <w:rPr>
          <w:iCs/>
          <w:color w:val="000000" w:themeColor="text1"/>
        </w:rPr>
        <w:t xml:space="preserve"> </w:t>
      </w:r>
      <w:r w:rsidR="00E91788" w:rsidRPr="006F5D71">
        <w:rPr>
          <w:iCs/>
          <w:color w:val="000000" w:themeColor="text1"/>
        </w:rPr>
        <w:t xml:space="preserve">Indian and Chinese firms invest more in R&amp;D in </w:t>
      </w:r>
      <w:r w:rsidR="00573CD5">
        <w:rPr>
          <w:iCs/>
          <w:color w:val="000000" w:themeColor="text1"/>
        </w:rPr>
        <w:t xml:space="preserve">the </w:t>
      </w:r>
      <w:r w:rsidR="00E91788" w:rsidRPr="006F5D71">
        <w:rPr>
          <w:iCs/>
          <w:color w:val="000000" w:themeColor="text1"/>
        </w:rPr>
        <w:t xml:space="preserve">North compared to </w:t>
      </w:r>
      <w:r w:rsidR="00573CD5">
        <w:rPr>
          <w:iCs/>
          <w:color w:val="000000" w:themeColor="text1"/>
        </w:rPr>
        <w:t xml:space="preserve">the </w:t>
      </w:r>
      <w:r w:rsidR="00E91788" w:rsidRPr="006F5D71">
        <w:rPr>
          <w:iCs/>
          <w:color w:val="000000" w:themeColor="text1"/>
        </w:rPr>
        <w:t>South due to the asset</w:t>
      </w:r>
      <w:r w:rsidR="00573CD5">
        <w:rPr>
          <w:iCs/>
          <w:color w:val="000000" w:themeColor="text1"/>
        </w:rPr>
        <w:t>-</w:t>
      </w:r>
      <w:r w:rsidR="00E91788" w:rsidRPr="006F5D71">
        <w:rPr>
          <w:iCs/>
          <w:color w:val="000000" w:themeColor="text1"/>
        </w:rPr>
        <w:t xml:space="preserve">seeking nature of investments in </w:t>
      </w:r>
      <w:r w:rsidR="00573CD5">
        <w:rPr>
          <w:iCs/>
          <w:color w:val="000000" w:themeColor="text1"/>
        </w:rPr>
        <w:t xml:space="preserve">the </w:t>
      </w:r>
      <w:r w:rsidR="00E91788" w:rsidRPr="006F5D71">
        <w:rPr>
          <w:iCs/>
          <w:color w:val="000000" w:themeColor="text1"/>
        </w:rPr>
        <w:t>North.</w:t>
      </w:r>
      <w:r w:rsidR="00F72D31">
        <w:rPr>
          <w:iCs/>
          <w:color w:val="000000" w:themeColor="text1"/>
        </w:rPr>
        <w:t xml:space="preserve"> </w:t>
      </w:r>
      <w:r w:rsidR="00E91788" w:rsidRPr="006F5D71">
        <w:rPr>
          <w:iCs/>
          <w:color w:val="000000" w:themeColor="text1"/>
        </w:rPr>
        <w:t xml:space="preserve">However, </w:t>
      </w:r>
      <w:proofErr w:type="gramStart"/>
      <w:r w:rsidR="00E91788" w:rsidRPr="006F5D71">
        <w:rPr>
          <w:iCs/>
          <w:color w:val="000000" w:themeColor="text1"/>
        </w:rPr>
        <w:t>despite the fact that</w:t>
      </w:r>
      <w:proofErr w:type="gramEnd"/>
      <w:r w:rsidR="00E91788" w:rsidRPr="006F5D71">
        <w:rPr>
          <w:iCs/>
          <w:color w:val="000000" w:themeColor="text1"/>
        </w:rPr>
        <w:t xml:space="preserve"> Indian and Chinese firms have low R&amp;D spending in </w:t>
      </w:r>
      <w:r w:rsidR="00573CD5">
        <w:rPr>
          <w:iCs/>
          <w:color w:val="000000" w:themeColor="text1"/>
        </w:rPr>
        <w:t xml:space="preserve">the </w:t>
      </w:r>
      <w:r w:rsidR="00E91788" w:rsidRPr="006F5D71">
        <w:rPr>
          <w:iCs/>
          <w:color w:val="000000" w:themeColor="text1"/>
        </w:rPr>
        <w:t xml:space="preserve">South, it is still higher than the R&amp;D spending of domestic firms which confers them </w:t>
      </w:r>
      <w:r w:rsidR="00573CD5">
        <w:rPr>
          <w:iCs/>
          <w:color w:val="000000" w:themeColor="text1"/>
        </w:rPr>
        <w:t xml:space="preserve">as </w:t>
      </w:r>
      <w:r w:rsidR="00E91788" w:rsidRPr="006F5D71">
        <w:rPr>
          <w:iCs/>
          <w:color w:val="000000" w:themeColor="text1"/>
        </w:rPr>
        <w:t>an absorptive capacity leadership.</w:t>
      </w:r>
      <w:r w:rsidR="00AD2217" w:rsidRPr="006F5D71">
        <w:rPr>
          <w:color w:val="000000" w:themeColor="text1"/>
        </w:rPr>
        <w:t xml:space="preserve"> </w:t>
      </w:r>
      <w:r w:rsidRPr="006F5D71">
        <w:rPr>
          <w:color w:val="000000" w:themeColor="text1"/>
        </w:rPr>
        <w:t xml:space="preserve">The levels </w:t>
      </w:r>
      <w:r w:rsidR="00655BE2" w:rsidRPr="006F5D71">
        <w:rPr>
          <w:color w:val="000000" w:themeColor="text1"/>
        </w:rPr>
        <w:t xml:space="preserve">of </w:t>
      </w:r>
      <w:r w:rsidR="00D17530" w:rsidRPr="006F5D71">
        <w:rPr>
          <w:i/>
          <w:iCs/>
          <w:color w:val="000000" w:themeColor="text1"/>
        </w:rPr>
        <w:t>e</w:t>
      </w:r>
      <w:r w:rsidR="000F0BE3" w:rsidRPr="006F5D71">
        <w:rPr>
          <w:i/>
          <w:iCs/>
          <w:color w:val="000000" w:themeColor="text1"/>
        </w:rPr>
        <w:t>xogenous</w:t>
      </w:r>
      <w:r w:rsidR="000F0BE3" w:rsidRPr="006F5D71">
        <w:rPr>
          <w:i/>
          <w:color w:val="000000" w:themeColor="text1"/>
        </w:rPr>
        <w:t xml:space="preserve"> uncertaint</w:t>
      </w:r>
      <w:r w:rsidRPr="006F5D71">
        <w:rPr>
          <w:i/>
          <w:color w:val="000000" w:themeColor="text1"/>
        </w:rPr>
        <w:t>y</w:t>
      </w:r>
      <w:r w:rsidRPr="006F5D71">
        <w:rPr>
          <w:color w:val="000000" w:themeColor="text1"/>
        </w:rPr>
        <w:t xml:space="preserve"> faced by Chinese and India firms are higher in Northern</w:t>
      </w:r>
      <w:r w:rsidR="000F0BE3" w:rsidRPr="006F5D71">
        <w:rPr>
          <w:color w:val="000000" w:themeColor="text1"/>
        </w:rPr>
        <w:t xml:space="preserve"> than in South</w:t>
      </w:r>
      <w:r w:rsidRPr="006F5D71">
        <w:rPr>
          <w:color w:val="000000" w:themeColor="text1"/>
        </w:rPr>
        <w:t>ern locations</w:t>
      </w:r>
      <w:r w:rsidR="006671E2" w:rsidRPr="006F5D71">
        <w:rPr>
          <w:color w:val="000000" w:themeColor="text1"/>
        </w:rPr>
        <w:t>, whereas endogenous uncertainty in terms of country risk is higher in South</w:t>
      </w:r>
      <w:r w:rsidR="00700EDE" w:rsidRPr="006F5D71">
        <w:rPr>
          <w:color w:val="000000" w:themeColor="text1"/>
        </w:rPr>
        <w:t>ern locations</w:t>
      </w:r>
      <w:r w:rsidR="006671E2" w:rsidRPr="006F5D71">
        <w:rPr>
          <w:color w:val="000000" w:themeColor="text1"/>
        </w:rPr>
        <w:t xml:space="preserve"> for these firms.</w:t>
      </w:r>
      <w:r w:rsidR="00F72D31">
        <w:rPr>
          <w:color w:val="000000" w:themeColor="text1"/>
        </w:rPr>
        <w:t xml:space="preserve"> </w:t>
      </w:r>
    </w:p>
    <w:p w14:paraId="064FB9FE" w14:textId="77777777" w:rsidR="00182440" w:rsidRPr="006F5D71" w:rsidRDefault="00182440" w:rsidP="00182440">
      <w:pPr>
        <w:spacing w:line="360" w:lineRule="auto"/>
        <w:jc w:val="center"/>
        <w:rPr>
          <w:color w:val="000000" w:themeColor="text1"/>
        </w:rPr>
      </w:pPr>
      <w:r w:rsidRPr="006F5D71">
        <w:rPr>
          <w:color w:val="000000" w:themeColor="text1"/>
        </w:rPr>
        <w:t>[Insert Table 2 here]</w:t>
      </w:r>
    </w:p>
    <w:p w14:paraId="3B9F0723" w14:textId="77777777" w:rsidR="000F0BE3" w:rsidRPr="006F5D71" w:rsidRDefault="00182440" w:rsidP="00C91A3C">
      <w:pPr>
        <w:spacing w:after="0" w:line="360" w:lineRule="auto"/>
        <w:ind w:firstLine="720"/>
        <w:jc w:val="both"/>
        <w:rPr>
          <w:color w:val="000000" w:themeColor="text1"/>
        </w:rPr>
      </w:pPr>
      <w:r w:rsidRPr="006F5D71">
        <w:rPr>
          <w:color w:val="000000" w:themeColor="text1"/>
        </w:rPr>
        <w:t xml:space="preserve">The </w:t>
      </w:r>
      <w:r w:rsidR="000F0BE3" w:rsidRPr="006F5D71">
        <w:rPr>
          <w:color w:val="000000" w:themeColor="text1"/>
        </w:rPr>
        <w:t>North</w:t>
      </w:r>
      <w:r w:rsidRPr="006F5D71">
        <w:rPr>
          <w:color w:val="000000" w:themeColor="text1"/>
        </w:rPr>
        <w:t>ern</w:t>
      </w:r>
      <w:r w:rsidR="000F0BE3" w:rsidRPr="006F5D71">
        <w:rPr>
          <w:color w:val="000000" w:themeColor="text1"/>
        </w:rPr>
        <w:t xml:space="preserve"> region has </w:t>
      </w:r>
      <w:r w:rsidRPr="006F5D71">
        <w:rPr>
          <w:color w:val="000000" w:themeColor="text1"/>
        </w:rPr>
        <w:t xml:space="preserve">a lower level of </w:t>
      </w:r>
      <w:r w:rsidRPr="006F5D71">
        <w:rPr>
          <w:i/>
          <w:color w:val="000000" w:themeColor="text1"/>
        </w:rPr>
        <w:t>Home Country</w:t>
      </w:r>
      <w:r w:rsidR="000F0BE3" w:rsidRPr="006F5D71">
        <w:rPr>
          <w:color w:val="000000" w:themeColor="text1"/>
        </w:rPr>
        <w:t xml:space="preserve"> </w:t>
      </w:r>
      <w:r w:rsidR="000F0BE3" w:rsidRPr="006F5D71">
        <w:rPr>
          <w:i/>
          <w:iCs/>
          <w:color w:val="000000" w:themeColor="text1"/>
        </w:rPr>
        <w:t>Diaspora</w:t>
      </w:r>
      <w:r w:rsidR="00F64834" w:rsidRPr="006F5D71">
        <w:rPr>
          <w:i/>
          <w:iCs/>
          <w:color w:val="000000" w:themeColor="text1"/>
        </w:rPr>
        <w:t>,</w:t>
      </w:r>
      <w:r w:rsidRPr="006F5D71">
        <w:rPr>
          <w:i/>
          <w:iCs/>
          <w:color w:val="000000" w:themeColor="text1"/>
        </w:rPr>
        <w:t xml:space="preserve"> </w:t>
      </w:r>
      <w:r w:rsidR="000F0BE3" w:rsidRPr="006F5D71">
        <w:rPr>
          <w:color w:val="000000" w:themeColor="text1"/>
        </w:rPr>
        <w:t xml:space="preserve">and </w:t>
      </w:r>
      <w:r w:rsidR="003D007B" w:rsidRPr="006F5D71">
        <w:rPr>
          <w:color w:val="000000" w:themeColor="text1"/>
        </w:rPr>
        <w:t>subsidiaries of this region ha</w:t>
      </w:r>
      <w:r w:rsidR="00F06452" w:rsidRPr="006F5D71">
        <w:rPr>
          <w:color w:val="000000" w:themeColor="text1"/>
        </w:rPr>
        <w:t>ve</w:t>
      </w:r>
      <w:r w:rsidR="003D007B" w:rsidRPr="006F5D71">
        <w:rPr>
          <w:color w:val="000000" w:themeColor="text1"/>
        </w:rPr>
        <w:t xml:space="preserve"> </w:t>
      </w:r>
      <w:r w:rsidR="000F0BE3" w:rsidRPr="006F5D71">
        <w:rPr>
          <w:color w:val="000000" w:themeColor="text1"/>
        </w:rPr>
        <w:t xml:space="preserve">lower </w:t>
      </w:r>
      <w:r w:rsidR="000F0BE3" w:rsidRPr="006F5D71">
        <w:rPr>
          <w:i/>
          <w:iCs/>
          <w:color w:val="000000" w:themeColor="text1"/>
        </w:rPr>
        <w:t>Subsidiary Size</w:t>
      </w:r>
      <w:r w:rsidR="000F0BE3" w:rsidRPr="006F5D71">
        <w:rPr>
          <w:color w:val="000000" w:themeColor="text1"/>
        </w:rPr>
        <w:t>,</w:t>
      </w:r>
      <w:r w:rsidR="003D007B" w:rsidRPr="006F5D71">
        <w:rPr>
          <w:color w:val="000000" w:themeColor="text1"/>
        </w:rPr>
        <w:t xml:space="preserve"> </w:t>
      </w:r>
      <w:r w:rsidR="003D007B" w:rsidRPr="006F5D71">
        <w:rPr>
          <w:i/>
          <w:iCs/>
          <w:color w:val="000000" w:themeColor="text1"/>
        </w:rPr>
        <w:t>Subsidiary Age,</w:t>
      </w:r>
      <w:r w:rsidR="003D007B" w:rsidRPr="006F5D71">
        <w:rPr>
          <w:color w:val="000000" w:themeColor="text1"/>
        </w:rPr>
        <w:t xml:space="preserve"> </w:t>
      </w:r>
      <w:r w:rsidR="003D007B" w:rsidRPr="006F5D71">
        <w:rPr>
          <w:i/>
          <w:iCs/>
          <w:color w:val="000000" w:themeColor="text1"/>
        </w:rPr>
        <w:t>ROA</w:t>
      </w:r>
      <w:r w:rsidR="003D007B" w:rsidRPr="006F5D71">
        <w:rPr>
          <w:color w:val="000000" w:themeColor="text1"/>
        </w:rPr>
        <w:t xml:space="preserve">, </w:t>
      </w:r>
      <w:r w:rsidR="003D007B" w:rsidRPr="006F5D71">
        <w:rPr>
          <w:i/>
          <w:iCs/>
          <w:color w:val="000000" w:themeColor="text1"/>
        </w:rPr>
        <w:t>Parent Size,</w:t>
      </w:r>
      <w:r w:rsidR="000F0BE3" w:rsidRPr="006F5D71">
        <w:rPr>
          <w:color w:val="000000" w:themeColor="text1"/>
        </w:rPr>
        <w:t xml:space="preserve"> and share of parent investment</w:t>
      </w:r>
      <w:r w:rsidR="003D007B" w:rsidRPr="006F5D71">
        <w:rPr>
          <w:color w:val="000000" w:themeColor="text1"/>
        </w:rPr>
        <w:t xml:space="preserve"> (</w:t>
      </w:r>
      <w:r w:rsidR="003D007B" w:rsidRPr="006F5D71">
        <w:rPr>
          <w:i/>
          <w:iCs/>
          <w:color w:val="000000" w:themeColor="text1"/>
        </w:rPr>
        <w:t>Sunk Cost</w:t>
      </w:r>
      <w:r w:rsidR="003D007B" w:rsidRPr="006F5D71">
        <w:rPr>
          <w:color w:val="000000" w:themeColor="text1"/>
        </w:rPr>
        <w:t>)</w:t>
      </w:r>
      <w:r w:rsidR="000F0BE3" w:rsidRPr="006F5D71">
        <w:rPr>
          <w:color w:val="000000" w:themeColor="text1"/>
        </w:rPr>
        <w:t xml:space="preserve"> than </w:t>
      </w:r>
      <w:r w:rsidR="00573CD5">
        <w:rPr>
          <w:color w:val="000000" w:themeColor="text1"/>
        </w:rPr>
        <w:t xml:space="preserve">the </w:t>
      </w:r>
      <w:r w:rsidR="000F0BE3" w:rsidRPr="006F5D71">
        <w:rPr>
          <w:color w:val="000000" w:themeColor="text1"/>
        </w:rPr>
        <w:t>South</w:t>
      </w:r>
      <w:r w:rsidR="00573CD5">
        <w:rPr>
          <w:color w:val="000000" w:themeColor="text1"/>
        </w:rPr>
        <w:t>ern</w:t>
      </w:r>
      <w:r w:rsidR="000F0BE3" w:rsidRPr="006F5D71">
        <w:rPr>
          <w:color w:val="000000" w:themeColor="text1"/>
        </w:rPr>
        <w:t xml:space="preserve"> region. </w:t>
      </w:r>
      <w:r w:rsidR="00573CD5">
        <w:rPr>
          <w:color w:val="000000" w:themeColor="text1"/>
        </w:rPr>
        <w:t xml:space="preserve">The </w:t>
      </w:r>
      <w:r w:rsidR="000F0BE3" w:rsidRPr="006F5D71">
        <w:rPr>
          <w:color w:val="000000" w:themeColor="text1"/>
        </w:rPr>
        <w:t>North</w:t>
      </w:r>
      <w:r w:rsidR="00573CD5">
        <w:rPr>
          <w:color w:val="000000" w:themeColor="text1"/>
        </w:rPr>
        <w:t>ern</w:t>
      </w:r>
      <w:r w:rsidR="000F0BE3" w:rsidRPr="006F5D71">
        <w:rPr>
          <w:color w:val="000000" w:themeColor="text1"/>
        </w:rPr>
        <w:t xml:space="preserve"> region has</w:t>
      </w:r>
      <w:r w:rsidR="003D007B" w:rsidRPr="006F5D71">
        <w:rPr>
          <w:color w:val="000000" w:themeColor="text1"/>
        </w:rPr>
        <w:t xml:space="preserve"> </w:t>
      </w:r>
      <w:r w:rsidR="00B33821">
        <w:rPr>
          <w:color w:val="000000" w:themeColor="text1"/>
        </w:rPr>
        <w:t xml:space="preserve">more </w:t>
      </w:r>
      <w:r w:rsidR="003D007B" w:rsidRPr="006F5D71">
        <w:rPr>
          <w:color w:val="000000" w:themeColor="text1"/>
        </w:rPr>
        <w:t>subsidiaries with</w:t>
      </w:r>
      <w:r w:rsidR="000F0BE3" w:rsidRPr="006F5D71">
        <w:rPr>
          <w:color w:val="000000" w:themeColor="text1"/>
        </w:rPr>
        <w:t xml:space="preserve"> state affiliat</w:t>
      </w:r>
      <w:r w:rsidR="003D007B" w:rsidRPr="006F5D71">
        <w:rPr>
          <w:color w:val="000000" w:themeColor="text1"/>
        </w:rPr>
        <w:t>ion</w:t>
      </w:r>
      <w:r w:rsidR="00580EE3" w:rsidRPr="006F5D71">
        <w:rPr>
          <w:color w:val="000000" w:themeColor="text1"/>
        </w:rPr>
        <w:t xml:space="preserve"> </w:t>
      </w:r>
      <w:r w:rsidR="003D007B" w:rsidRPr="006F5D71">
        <w:rPr>
          <w:color w:val="000000" w:themeColor="text1"/>
        </w:rPr>
        <w:t xml:space="preserve">and </w:t>
      </w:r>
      <w:r w:rsidR="00B33821">
        <w:rPr>
          <w:color w:val="000000" w:themeColor="text1"/>
        </w:rPr>
        <w:t xml:space="preserve">higher </w:t>
      </w:r>
      <w:r w:rsidR="003D007B" w:rsidRPr="006F5D71">
        <w:rPr>
          <w:i/>
          <w:iCs/>
          <w:color w:val="000000" w:themeColor="text1"/>
        </w:rPr>
        <w:t>Leverage</w:t>
      </w:r>
      <w:r w:rsidR="000F0BE3" w:rsidRPr="006F5D71">
        <w:rPr>
          <w:color w:val="000000" w:themeColor="text1"/>
        </w:rPr>
        <w:t xml:space="preserve"> while </w:t>
      </w:r>
      <w:r w:rsidR="00573CD5">
        <w:rPr>
          <w:color w:val="000000" w:themeColor="text1"/>
        </w:rPr>
        <w:t xml:space="preserve">the </w:t>
      </w:r>
      <w:r w:rsidR="000F0BE3" w:rsidRPr="006F5D71">
        <w:rPr>
          <w:color w:val="000000" w:themeColor="text1"/>
        </w:rPr>
        <w:t>South</w:t>
      </w:r>
      <w:r w:rsidR="00573CD5">
        <w:rPr>
          <w:color w:val="000000" w:themeColor="text1"/>
        </w:rPr>
        <w:t>ern</w:t>
      </w:r>
      <w:r w:rsidR="000F0BE3" w:rsidRPr="006F5D71">
        <w:rPr>
          <w:color w:val="000000" w:themeColor="text1"/>
        </w:rPr>
        <w:t xml:space="preserve"> region has </w:t>
      </w:r>
      <w:r w:rsidR="00B33821">
        <w:rPr>
          <w:color w:val="000000" w:themeColor="text1"/>
        </w:rPr>
        <w:t xml:space="preserve">more </w:t>
      </w:r>
      <w:r w:rsidR="000F0BE3" w:rsidRPr="006F5D71">
        <w:rPr>
          <w:color w:val="000000" w:themeColor="text1"/>
        </w:rPr>
        <w:t xml:space="preserve">subsidiaries with family control. </w:t>
      </w:r>
      <w:r w:rsidR="00573CD5">
        <w:rPr>
          <w:color w:val="000000" w:themeColor="text1"/>
        </w:rPr>
        <w:t xml:space="preserve">The </w:t>
      </w:r>
      <w:r w:rsidR="00580EE3" w:rsidRPr="006F5D71">
        <w:rPr>
          <w:color w:val="000000" w:themeColor="text1"/>
        </w:rPr>
        <w:t>North</w:t>
      </w:r>
      <w:r w:rsidR="00573CD5">
        <w:rPr>
          <w:color w:val="000000" w:themeColor="text1"/>
        </w:rPr>
        <w:t>ern</w:t>
      </w:r>
      <w:r w:rsidR="00580EE3" w:rsidRPr="006F5D71">
        <w:rPr>
          <w:color w:val="000000" w:themeColor="text1"/>
        </w:rPr>
        <w:t xml:space="preserve"> region has subsidiaries with </w:t>
      </w:r>
      <w:r w:rsidR="00B33821">
        <w:rPr>
          <w:color w:val="000000" w:themeColor="text1"/>
        </w:rPr>
        <w:t>greater</w:t>
      </w:r>
      <w:r w:rsidR="00B33821" w:rsidRPr="006F5D71">
        <w:rPr>
          <w:color w:val="000000" w:themeColor="text1"/>
        </w:rPr>
        <w:t xml:space="preserve"> </w:t>
      </w:r>
      <w:r w:rsidR="00580EE3" w:rsidRPr="006F5D71">
        <w:rPr>
          <w:i/>
          <w:iCs/>
          <w:color w:val="000000" w:themeColor="text1"/>
        </w:rPr>
        <w:t>Parent Experience</w:t>
      </w:r>
      <w:r w:rsidR="00580EE3" w:rsidRPr="006F5D71">
        <w:rPr>
          <w:color w:val="000000" w:themeColor="text1"/>
        </w:rPr>
        <w:t xml:space="preserve"> in </w:t>
      </w:r>
      <w:r w:rsidR="00580EE3" w:rsidRPr="006F5D71">
        <w:rPr>
          <w:i/>
          <w:iCs/>
          <w:color w:val="000000" w:themeColor="text1"/>
        </w:rPr>
        <w:t xml:space="preserve">American </w:t>
      </w:r>
      <w:r w:rsidR="00580EE3" w:rsidRPr="006F5D71">
        <w:rPr>
          <w:color w:val="000000" w:themeColor="text1"/>
        </w:rPr>
        <w:t xml:space="preserve">and </w:t>
      </w:r>
      <w:r w:rsidR="00580EE3" w:rsidRPr="006F5D71">
        <w:rPr>
          <w:i/>
          <w:iCs/>
          <w:color w:val="000000" w:themeColor="text1"/>
        </w:rPr>
        <w:t>European</w:t>
      </w:r>
      <w:r w:rsidR="00580EE3" w:rsidRPr="006F5D71">
        <w:rPr>
          <w:color w:val="000000" w:themeColor="text1"/>
        </w:rPr>
        <w:t xml:space="preserve"> regions while </w:t>
      </w:r>
      <w:r w:rsidR="00573CD5">
        <w:rPr>
          <w:color w:val="000000" w:themeColor="text1"/>
        </w:rPr>
        <w:t xml:space="preserve">the </w:t>
      </w:r>
      <w:r w:rsidR="00580EE3" w:rsidRPr="006F5D71">
        <w:rPr>
          <w:color w:val="000000" w:themeColor="text1"/>
        </w:rPr>
        <w:t>South</w:t>
      </w:r>
      <w:r w:rsidR="00573CD5">
        <w:rPr>
          <w:color w:val="000000" w:themeColor="text1"/>
        </w:rPr>
        <w:t>ern</w:t>
      </w:r>
      <w:r w:rsidR="00580EE3" w:rsidRPr="006F5D71">
        <w:rPr>
          <w:color w:val="000000" w:themeColor="text1"/>
        </w:rPr>
        <w:t xml:space="preserve"> region has subsidiaries with </w:t>
      </w:r>
      <w:r w:rsidR="00B33821">
        <w:rPr>
          <w:color w:val="000000" w:themeColor="text1"/>
        </w:rPr>
        <w:t xml:space="preserve">greater </w:t>
      </w:r>
      <w:r w:rsidR="00580EE3" w:rsidRPr="006F5D71">
        <w:rPr>
          <w:i/>
          <w:iCs/>
          <w:color w:val="000000" w:themeColor="text1"/>
        </w:rPr>
        <w:t>Parent Experience</w:t>
      </w:r>
      <w:r w:rsidR="00580EE3" w:rsidRPr="006F5D71">
        <w:rPr>
          <w:color w:val="000000" w:themeColor="text1"/>
        </w:rPr>
        <w:t xml:space="preserve"> in </w:t>
      </w:r>
      <w:r w:rsidR="00580EE3" w:rsidRPr="006F5D71">
        <w:rPr>
          <w:i/>
          <w:iCs/>
          <w:color w:val="000000" w:themeColor="text1"/>
        </w:rPr>
        <w:t>African, Asian</w:t>
      </w:r>
      <w:r w:rsidR="00F06452" w:rsidRPr="006F5D71">
        <w:rPr>
          <w:i/>
          <w:iCs/>
          <w:color w:val="000000" w:themeColor="text1"/>
        </w:rPr>
        <w:t>,</w:t>
      </w:r>
      <w:r w:rsidR="00580EE3" w:rsidRPr="006F5D71">
        <w:rPr>
          <w:i/>
          <w:iCs/>
          <w:color w:val="000000" w:themeColor="text1"/>
        </w:rPr>
        <w:t xml:space="preserve"> </w:t>
      </w:r>
      <w:r w:rsidR="00580EE3" w:rsidRPr="006F5D71">
        <w:rPr>
          <w:color w:val="000000" w:themeColor="text1"/>
        </w:rPr>
        <w:t xml:space="preserve">and </w:t>
      </w:r>
      <w:r w:rsidR="00580EE3" w:rsidRPr="006F5D71">
        <w:rPr>
          <w:i/>
          <w:iCs/>
          <w:color w:val="000000" w:themeColor="text1"/>
        </w:rPr>
        <w:t>Arab</w:t>
      </w:r>
      <w:r w:rsidR="00580EE3" w:rsidRPr="006F5D71">
        <w:rPr>
          <w:color w:val="000000" w:themeColor="text1"/>
        </w:rPr>
        <w:t xml:space="preserve"> regions.</w:t>
      </w:r>
    </w:p>
    <w:p w14:paraId="5EE19697" w14:textId="77777777" w:rsidR="000F0BE3" w:rsidRPr="006F5D71" w:rsidRDefault="000F0BE3" w:rsidP="005E6BDE">
      <w:pPr>
        <w:spacing w:line="360" w:lineRule="auto"/>
        <w:ind w:firstLine="720"/>
        <w:jc w:val="both"/>
        <w:rPr>
          <w:color w:val="000000" w:themeColor="text1"/>
        </w:rPr>
      </w:pPr>
      <w:r w:rsidRPr="006F5D71">
        <w:rPr>
          <w:color w:val="000000" w:themeColor="text1"/>
        </w:rPr>
        <w:t xml:space="preserve">Panels A and B present the correlation matrix in Table </w:t>
      </w:r>
      <w:r w:rsidR="003D007B" w:rsidRPr="006F5D71">
        <w:rPr>
          <w:color w:val="000000" w:themeColor="text1"/>
        </w:rPr>
        <w:t>3</w:t>
      </w:r>
      <w:r w:rsidRPr="006F5D71">
        <w:rPr>
          <w:color w:val="000000" w:themeColor="text1"/>
        </w:rPr>
        <w:t xml:space="preserve"> for subsidiaries in North</w:t>
      </w:r>
      <w:r w:rsidR="00573CD5">
        <w:rPr>
          <w:color w:val="000000" w:themeColor="text1"/>
        </w:rPr>
        <w:t>ern</w:t>
      </w:r>
      <w:r w:rsidRPr="006F5D71">
        <w:rPr>
          <w:color w:val="000000" w:themeColor="text1"/>
        </w:rPr>
        <w:t xml:space="preserve"> and South</w:t>
      </w:r>
      <w:r w:rsidR="00573CD5">
        <w:rPr>
          <w:color w:val="000000" w:themeColor="text1"/>
        </w:rPr>
        <w:t>ern</w:t>
      </w:r>
      <w:r w:rsidRPr="006F5D71">
        <w:rPr>
          <w:color w:val="000000" w:themeColor="text1"/>
        </w:rPr>
        <w:t xml:space="preserve"> regions, respectively. The correlatio</w:t>
      </w:r>
      <w:r w:rsidR="00E15BC6" w:rsidRPr="006F5D71">
        <w:rPr>
          <w:color w:val="000000" w:themeColor="text1"/>
        </w:rPr>
        <w:t xml:space="preserve">n values are low so there </w:t>
      </w:r>
      <w:r w:rsidR="00573CD5">
        <w:rPr>
          <w:color w:val="000000" w:themeColor="text1"/>
        </w:rPr>
        <w:t>is</w:t>
      </w:r>
      <w:r w:rsidR="00573CD5" w:rsidRPr="006F5D71">
        <w:rPr>
          <w:color w:val="000000" w:themeColor="text1"/>
        </w:rPr>
        <w:t xml:space="preserve"> </w:t>
      </w:r>
      <w:r w:rsidRPr="006F5D71">
        <w:rPr>
          <w:color w:val="000000" w:themeColor="text1"/>
        </w:rPr>
        <w:t xml:space="preserve">no concern of multicollinearity in the </w:t>
      </w:r>
      <w:r w:rsidR="00B33821">
        <w:rPr>
          <w:color w:val="000000" w:themeColor="text1"/>
        </w:rPr>
        <w:t xml:space="preserve">estimated </w:t>
      </w:r>
      <w:r w:rsidRPr="006F5D71">
        <w:rPr>
          <w:color w:val="000000" w:themeColor="text1"/>
        </w:rPr>
        <w:t>model</w:t>
      </w:r>
      <w:r w:rsidR="00B33821">
        <w:rPr>
          <w:color w:val="000000" w:themeColor="text1"/>
        </w:rPr>
        <w:t>s</w:t>
      </w:r>
      <w:r w:rsidRPr="006F5D71">
        <w:rPr>
          <w:color w:val="000000" w:themeColor="text1"/>
        </w:rPr>
        <w:t>.</w:t>
      </w:r>
    </w:p>
    <w:p w14:paraId="0F5B06A2" w14:textId="77777777" w:rsidR="007D3001" w:rsidRPr="006F5D71" w:rsidRDefault="000F0BE3" w:rsidP="00387B07">
      <w:pPr>
        <w:spacing w:line="360" w:lineRule="auto"/>
        <w:jc w:val="center"/>
        <w:rPr>
          <w:color w:val="000000" w:themeColor="text1"/>
        </w:rPr>
      </w:pPr>
      <w:r w:rsidRPr="006F5D71">
        <w:rPr>
          <w:color w:val="000000" w:themeColor="text1"/>
        </w:rPr>
        <w:t>[Insert Table 3 here]</w:t>
      </w:r>
    </w:p>
    <w:p w14:paraId="321A3E48" w14:textId="77777777" w:rsidR="000F0BE3" w:rsidRPr="006F5D71" w:rsidRDefault="000F0BE3" w:rsidP="00446B96">
      <w:pPr>
        <w:spacing w:line="360" w:lineRule="auto"/>
        <w:ind w:left="720"/>
        <w:jc w:val="both"/>
        <w:rPr>
          <w:i/>
          <w:iCs/>
          <w:color w:val="000000" w:themeColor="text1"/>
        </w:rPr>
      </w:pPr>
      <w:r w:rsidRPr="006F5D71">
        <w:rPr>
          <w:i/>
          <w:iCs/>
          <w:color w:val="000000" w:themeColor="text1"/>
        </w:rPr>
        <w:t xml:space="preserve">4.2 </w:t>
      </w:r>
      <w:r w:rsidR="00747E5B" w:rsidRPr="006F5D71">
        <w:rPr>
          <w:i/>
          <w:iCs/>
          <w:color w:val="000000" w:themeColor="text1"/>
        </w:rPr>
        <w:t>Regression e</w:t>
      </w:r>
      <w:r w:rsidR="00174D72" w:rsidRPr="006F5D71">
        <w:rPr>
          <w:i/>
          <w:iCs/>
          <w:color w:val="000000" w:themeColor="text1"/>
        </w:rPr>
        <w:t>stimates</w:t>
      </w:r>
    </w:p>
    <w:p w14:paraId="33D42A4C" w14:textId="77777777" w:rsidR="000F0BE3" w:rsidRPr="006F5D71" w:rsidRDefault="00446B96" w:rsidP="00C91A3C">
      <w:pPr>
        <w:spacing w:line="360" w:lineRule="auto"/>
        <w:jc w:val="both"/>
        <w:rPr>
          <w:color w:val="000000" w:themeColor="text1"/>
        </w:rPr>
      </w:pPr>
      <w:r w:rsidRPr="006F5D71">
        <w:rPr>
          <w:color w:val="000000" w:themeColor="text1"/>
        </w:rPr>
        <w:tab/>
      </w:r>
      <w:r w:rsidR="00723F9D" w:rsidRPr="006F5D71">
        <w:rPr>
          <w:color w:val="000000" w:themeColor="text1"/>
        </w:rPr>
        <w:t>Regression results of the Cox proportional hazard model (1) estimated in a hierarchical linear processing way</w:t>
      </w:r>
      <w:r w:rsidR="00700EDE" w:rsidRPr="006F5D71">
        <w:rPr>
          <w:color w:val="000000" w:themeColor="text1"/>
        </w:rPr>
        <w:t>,</w:t>
      </w:r>
      <w:r w:rsidR="00723F9D" w:rsidRPr="006F5D71">
        <w:rPr>
          <w:color w:val="000000" w:themeColor="text1"/>
        </w:rPr>
        <w:t xml:space="preserve"> are reported in Table 4. Columns 1, 3, and 5 show the results of main independent and control variables for the entire sample and subsidiaries in the North and South regions, respectively, while columns 2, 4, and 6 present the results of </w:t>
      </w:r>
      <w:r w:rsidR="00573CD5">
        <w:rPr>
          <w:color w:val="000000" w:themeColor="text1"/>
        </w:rPr>
        <w:t xml:space="preserve">the </w:t>
      </w:r>
      <w:r w:rsidR="00723F9D" w:rsidRPr="006F5D71">
        <w:rPr>
          <w:color w:val="000000" w:themeColor="text1"/>
        </w:rPr>
        <w:t xml:space="preserve">full model by including the interactive terms in all three cases. The significant probabilities of Chi-Square indicate that explanatory variables significantly predicted the dependent variable and improved the model fitness. Table 5 presents </w:t>
      </w:r>
      <w:r w:rsidR="00573CD5">
        <w:rPr>
          <w:color w:val="000000" w:themeColor="text1"/>
        </w:rPr>
        <w:t xml:space="preserve">the </w:t>
      </w:r>
      <w:r w:rsidR="00723F9D" w:rsidRPr="006F5D71">
        <w:rPr>
          <w:color w:val="000000" w:themeColor="text1"/>
        </w:rPr>
        <w:t xml:space="preserve">results of tests of homogeneity in </w:t>
      </w:r>
      <w:r w:rsidR="00573CD5">
        <w:rPr>
          <w:color w:val="000000" w:themeColor="text1"/>
        </w:rPr>
        <w:t>the</w:t>
      </w:r>
      <w:r w:rsidR="00723F9D" w:rsidRPr="006F5D71">
        <w:rPr>
          <w:color w:val="000000" w:themeColor="text1"/>
        </w:rPr>
        <w:t xml:space="preserve"> full model which tests the null hypothesis that surviv</w:t>
      </w:r>
      <w:r w:rsidRPr="006F5D71">
        <w:rPr>
          <w:color w:val="000000" w:themeColor="text1"/>
        </w:rPr>
        <w:t>al</w:t>
      </w:r>
      <w:r w:rsidR="00723F9D" w:rsidRPr="006F5D71">
        <w:rPr>
          <w:color w:val="000000" w:themeColor="text1"/>
        </w:rPr>
        <w:t xml:space="preserve"> functions are the same across North and South. </w:t>
      </w:r>
      <w:r w:rsidRPr="006F5D71">
        <w:rPr>
          <w:color w:val="000000" w:themeColor="text1"/>
        </w:rPr>
        <w:t>This hypothesis is</w:t>
      </w:r>
      <w:r w:rsidR="00723F9D" w:rsidRPr="006F5D71">
        <w:rPr>
          <w:color w:val="000000" w:themeColor="text1"/>
        </w:rPr>
        <w:t xml:space="preserve"> rejected in all four homogeneity tests, i</w:t>
      </w:r>
      <w:r w:rsidRPr="006F5D71">
        <w:rPr>
          <w:color w:val="000000" w:themeColor="text1"/>
        </w:rPr>
        <w:t>ndicating that survival</w:t>
      </w:r>
      <w:r w:rsidR="00723F9D" w:rsidRPr="006F5D71">
        <w:rPr>
          <w:color w:val="000000" w:themeColor="text1"/>
        </w:rPr>
        <w:t xml:space="preserve"> </w:t>
      </w:r>
      <w:r w:rsidR="00723F9D" w:rsidRPr="006F5D71">
        <w:rPr>
          <w:color w:val="000000" w:themeColor="text1"/>
        </w:rPr>
        <w:lastRenderedPageBreak/>
        <w:t>functions are not the same across the two groups and providing statistical proof of heterogeneity. As explained ear</w:t>
      </w:r>
      <w:r w:rsidR="00F25418" w:rsidRPr="006F5D71">
        <w:rPr>
          <w:color w:val="000000" w:themeColor="text1"/>
        </w:rPr>
        <w:t>lier, negative coefficients in T</w:t>
      </w:r>
      <w:r w:rsidR="00723F9D" w:rsidRPr="006F5D71">
        <w:rPr>
          <w:color w:val="000000" w:themeColor="text1"/>
        </w:rPr>
        <w:t>able 4 predict survival and one can compute hazard rates by taking the exponential of the coefficient. Table 6 reports these associated hazard rates computed from Table 4.</w:t>
      </w:r>
    </w:p>
    <w:p w14:paraId="6D676CCA" w14:textId="77777777" w:rsidR="000A5553" w:rsidRPr="006F5D71" w:rsidRDefault="000A5553" w:rsidP="000A5553">
      <w:pPr>
        <w:spacing w:line="360" w:lineRule="auto"/>
        <w:jc w:val="center"/>
        <w:rPr>
          <w:color w:val="000000" w:themeColor="text1"/>
        </w:rPr>
      </w:pPr>
      <w:r w:rsidRPr="006F5D71">
        <w:rPr>
          <w:color w:val="000000" w:themeColor="text1"/>
        </w:rPr>
        <w:t>[Insert Table 4, 5</w:t>
      </w:r>
      <w:r w:rsidR="00B0173B" w:rsidRPr="006F5D71">
        <w:rPr>
          <w:color w:val="000000" w:themeColor="text1"/>
        </w:rPr>
        <w:t>,</w:t>
      </w:r>
      <w:r w:rsidRPr="006F5D71">
        <w:rPr>
          <w:color w:val="000000" w:themeColor="text1"/>
        </w:rPr>
        <w:t xml:space="preserve"> and 6 here]</w:t>
      </w:r>
    </w:p>
    <w:p w14:paraId="33C570A7" w14:textId="77777777" w:rsidR="00F25418" w:rsidRPr="006F5D71" w:rsidRDefault="00723F9D" w:rsidP="00723F9D">
      <w:pPr>
        <w:spacing w:after="0" w:line="360" w:lineRule="auto"/>
        <w:ind w:firstLine="720"/>
        <w:jc w:val="both"/>
        <w:rPr>
          <w:color w:val="000000" w:themeColor="text1"/>
        </w:rPr>
      </w:pPr>
      <w:r w:rsidRPr="006F5D71">
        <w:rPr>
          <w:color w:val="000000" w:themeColor="text1"/>
        </w:rPr>
        <w:t xml:space="preserve">Columns 1 and 2 of Table 4 indicate that FSAs significantly reduce the chance of exit and increase the likelihood of survival, but these results vary across subsidiaries in the North and the South. In the case of </w:t>
      </w:r>
      <w:r w:rsidR="00573CD5">
        <w:rPr>
          <w:color w:val="000000" w:themeColor="text1"/>
        </w:rPr>
        <w:t xml:space="preserve">the </w:t>
      </w:r>
      <w:r w:rsidRPr="006F5D71">
        <w:rPr>
          <w:color w:val="000000" w:themeColor="text1"/>
        </w:rPr>
        <w:t xml:space="preserve">North (columns 3 and 4), coefficients of Absorptive Capacity and Labor Productivity are insignificant while the coefficient of Profitability increases the survival of subsidiaries. </w:t>
      </w:r>
      <w:r w:rsidR="00573CD5">
        <w:rPr>
          <w:color w:val="000000" w:themeColor="text1"/>
        </w:rPr>
        <w:t>This</w:t>
      </w:r>
      <w:r w:rsidR="00573CD5" w:rsidRPr="006F5D71">
        <w:rPr>
          <w:color w:val="000000" w:themeColor="text1"/>
        </w:rPr>
        <w:t xml:space="preserve"> </w:t>
      </w:r>
      <w:r w:rsidRPr="006F5D71">
        <w:rPr>
          <w:color w:val="000000" w:themeColor="text1"/>
        </w:rPr>
        <w:t xml:space="preserve">means an increase in Profitability of foreign subsidiaries in </w:t>
      </w:r>
      <w:r w:rsidR="00573CD5">
        <w:rPr>
          <w:color w:val="000000" w:themeColor="text1"/>
        </w:rPr>
        <w:t xml:space="preserve">the </w:t>
      </w:r>
      <w:r w:rsidRPr="006F5D71">
        <w:rPr>
          <w:color w:val="000000" w:themeColor="text1"/>
        </w:rPr>
        <w:t xml:space="preserve">North can reduce the probability of exit by 30% (1-0.703) in </w:t>
      </w:r>
      <w:r w:rsidR="00573CD5">
        <w:rPr>
          <w:color w:val="000000" w:themeColor="text1"/>
        </w:rPr>
        <w:t xml:space="preserve">the </w:t>
      </w:r>
      <w:r w:rsidRPr="006F5D71">
        <w:rPr>
          <w:color w:val="000000" w:themeColor="text1"/>
        </w:rPr>
        <w:t xml:space="preserve">case of column 4. In the case of </w:t>
      </w:r>
      <w:r w:rsidR="00573CD5">
        <w:rPr>
          <w:color w:val="000000" w:themeColor="text1"/>
        </w:rPr>
        <w:t xml:space="preserve">the </w:t>
      </w:r>
      <w:r w:rsidRPr="006F5D71">
        <w:rPr>
          <w:color w:val="000000" w:themeColor="text1"/>
        </w:rPr>
        <w:t xml:space="preserve">South (columns 5 and 6), coefficients of all three FSA variables are negative and significant, indicating that FSAs significantly increase the likelihood of survival of subsidiaries. </w:t>
      </w:r>
    </w:p>
    <w:p w14:paraId="387F8678" w14:textId="77777777" w:rsidR="000A5553" w:rsidRPr="006F5D71" w:rsidRDefault="00723F9D" w:rsidP="00723F9D">
      <w:pPr>
        <w:spacing w:after="0" w:line="360" w:lineRule="auto"/>
        <w:ind w:firstLine="720"/>
        <w:jc w:val="both"/>
        <w:rPr>
          <w:color w:val="000000" w:themeColor="text1"/>
        </w:rPr>
      </w:pPr>
      <w:r w:rsidRPr="006F5D71">
        <w:rPr>
          <w:color w:val="000000" w:themeColor="text1"/>
        </w:rPr>
        <w:t xml:space="preserve">The positive effect of relative FSAs is </w:t>
      </w:r>
      <w:r w:rsidR="00F25418" w:rsidRPr="006F5D71">
        <w:rPr>
          <w:color w:val="000000" w:themeColor="text1"/>
        </w:rPr>
        <w:t>larger</w:t>
      </w:r>
      <w:r w:rsidRPr="006F5D71">
        <w:rPr>
          <w:color w:val="000000" w:themeColor="text1"/>
        </w:rPr>
        <w:t xml:space="preserve"> for subsidiaries in the South than North. </w:t>
      </w:r>
      <w:r w:rsidR="00573CD5">
        <w:rPr>
          <w:color w:val="000000" w:themeColor="text1"/>
        </w:rPr>
        <w:t xml:space="preserve">This </w:t>
      </w:r>
      <w:r w:rsidRPr="006F5D71">
        <w:rPr>
          <w:color w:val="000000" w:themeColor="text1"/>
        </w:rPr>
        <w:t xml:space="preserve">means that in </w:t>
      </w:r>
      <w:r w:rsidR="00D14A21" w:rsidRPr="006F5D71">
        <w:rPr>
          <w:color w:val="000000" w:themeColor="text1"/>
        </w:rPr>
        <w:t xml:space="preserve">the </w:t>
      </w:r>
      <w:r w:rsidRPr="006F5D71">
        <w:rPr>
          <w:color w:val="000000" w:themeColor="text1"/>
        </w:rPr>
        <w:t xml:space="preserve">case of column 6, an increase in Absorptive Capacity, Labor Productivity, and Profitability of foreign subsidiaries in </w:t>
      </w:r>
      <w:r w:rsidR="00573CD5">
        <w:rPr>
          <w:color w:val="000000" w:themeColor="text1"/>
        </w:rPr>
        <w:t xml:space="preserve">the </w:t>
      </w:r>
      <w:r w:rsidRPr="006F5D71">
        <w:rPr>
          <w:color w:val="000000" w:themeColor="text1"/>
        </w:rPr>
        <w:t>South can reduce the probability of exit by 38%, 7</w:t>
      </w:r>
      <w:r w:rsidR="00573CD5">
        <w:rPr>
          <w:color w:val="000000" w:themeColor="text1"/>
        </w:rPr>
        <w:t>%</w:t>
      </w:r>
      <w:r w:rsidR="00573CD5" w:rsidRPr="006F5D71">
        <w:rPr>
          <w:color w:val="000000" w:themeColor="text1"/>
        </w:rPr>
        <w:t xml:space="preserve"> </w:t>
      </w:r>
      <w:r w:rsidRPr="006F5D71">
        <w:rPr>
          <w:color w:val="000000" w:themeColor="text1"/>
        </w:rPr>
        <w:t>and 55%, respectively. The same is true for the leaders</w:t>
      </w:r>
      <w:r w:rsidR="00F25418" w:rsidRPr="006F5D71">
        <w:rPr>
          <w:color w:val="000000" w:themeColor="text1"/>
        </w:rPr>
        <w:t>hip dummies. For example, from T</w:t>
      </w:r>
      <w:r w:rsidRPr="006F5D71">
        <w:rPr>
          <w:color w:val="000000" w:themeColor="text1"/>
        </w:rPr>
        <w:t xml:space="preserve">able 6 we can see that being a Profitability Leader can reduce the probability of exit by 50% (computed as 1.00-0.50) in the North (column 4), but by 81% (computed as 1.00 -0.187) in the South (column 6). Similarly, being </w:t>
      </w:r>
      <w:r w:rsidR="00573CD5">
        <w:rPr>
          <w:color w:val="000000" w:themeColor="text1"/>
        </w:rPr>
        <w:t xml:space="preserve">an </w:t>
      </w:r>
      <w:r w:rsidRPr="006F5D71">
        <w:rPr>
          <w:color w:val="000000" w:themeColor="text1"/>
        </w:rPr>
        <w:t>Absorptive Capacity Leader and Labor Productivity Leader (in case of column 6) can reduce the probability of exit by 56% and 78%, respectively. These results support our first hypothesis (H1) that subsidiaries are more likely to survive in the South due to their stronger FSA vis-</w:t>
      </w:r>
      <w:r w:rsidR="00573CD5">
        <w:rPr>
          <w:color w:val="000000" w:themeColor="text1"/>
        </w:rPr>
        <w:t>a-</w:t>
      </w:r>
      <w:r w:rsidRPr="006F5D71">
        <w:rPr>
          <w:color w:val="000000" w:themeColor="text1"/>
        </w:rPr>
        <w:t xml:space="preserve">vis their local rivals. The results remain consistent and </w:t>
      </w:r>
      <w:r w:rsidR="00573CD5">
        <w:rPr>
          <w:color w:val="000000" w:themeColor="text1"/>
        </w:rPr>
        <w:t xml:space="preserve">little </w:t>
      </w:r>
      <w:r w:rsidRPr="006F5D71">
        <w:rPr>
          <w:color w:val="000000" w:themeColor="text1"/>
        </w:rPr>
        <w:t>change</w:t>
      </w:r>
      <w:r w:rsidR="00573CD5">
        <w:rPr>
          <w:color w:val="000000" w:themeColor="text1"/>
        </w:rPr>
        <w:t>d</w:t>
      </w:r>
      <w:r w:rsidRPr="006F5D71">
        <w:rPr>
          <w:color w:val="000000" w:themeColor="text1"/>
        </w:rPr>
        <w:t xml:space="preserve"> by including moderating variables in columns 2, 4, and 6.</w:t>
      </w:r>
      <w:r w:rsidR="002361E4" w:rsidRPr="006F5D71">
        <w:rPr>
          <w:color w:val="000000" w:themeColor="text1"/>
        </w:rPr>
        <w:t xml:space="preserve"> </w:t>
      </w:r>
    </w:p>
    <w:p w14:paraId="0F566E3B" w14:textId="77777777" w:rsidR="00723F9D" w:rsidRPr="006F5D71" w:rsidRDefault="00723F9D" w:rsidP="00674C50">
      <w:pPr>
        <w:spacing w:after="0" w:line="360" w:lineRule="auto"/>
        <w:ind w:firstLine="720"/>
        <w:jc w:val="both"/>
        <w:rPr>
          <w:color w:val="000000" w:themeColor="text1"/>
        </w:rPr>
      </w:pPr>
      <w:r w:rsidRPr="006F5D71">
        <w:rPr>
          <w:color w:val="000000" w:themeColor="text1"/>
        </w:rPr>
        <w:t>Regarding the effect of endogenous uncertainties, coefficients of both Country Risk and Institutional Distance are positive and significant in North</w:t>
      </w:r>
      <w:r w:rsidR="00F25418" w:rsidRPr="006F5D71">
        <w:rPr>
          <w:color w:val="000000" w:themeColor="text1"/>
        </w:rPr>
        <w:t xml:space="preserve">ern locations (columns 3 and 4) </w:t>
      </w:r>
      <w:r w:rsidRPr="006F5D71">
        <w:rPr>
          <w:color w:val="000000" w:themeColor="text1"/>
        </w:rPr>
        <w:t>increasing the hazard rate by 107% and 19% respectively, while insignificant in the South (columns 5 and 6). This finding fully supports our second hypothesis (H2a). This means that subsidiaries in the North are less likely to survive due to endogenous uncertainties while in South</w:t>
      </w:r>
      <w:r w:rsidR="00F25418" w:rsidRPr="006F5D71">
        <w:rPr>
          <w:color w:val="000000" w:themeColor="text1"/>
        </w:rPr>
        <w:t>ern locations</w:t>
      </w:r>
      <w:r w:rsidRPr="006F5D71">
        <w:rPr>
          <w:color w:val="000000" w:themeColor="text1"/>
        </w:rPr>
        <w:t xml:space="preserve">, subsidiaries are less likely to </w:t>
      </w:r>
      <w:r w:rsidR="00F25418" w:rsidRPr="006F5D71">
        <w:rPr>
          <w:color w:val="000000" w:themeColor="text1"/>
        </w:rPr>
        <w:t>exit due to</w:t>
      </w:r>
      <w:r w:rsidRPr="006F5D71">
        <w:rPr>
          <w:color w:val="000000" w:themeColor="text1"/>
        </w:rPr>
        <w:t xml:space="preserve"> endogenous uncertainties. In the case of exogenous uncertainties, coefficients of Exchange Rate Risk, Production Cost Risk, </w:t>
      </w:r>
      <w:r w:rsidRPr="006F5D71">
        <w:rPr>
          <w:color w:val="000000" w:themeColor="text1"/>
        </w:rPr>
        <w:lastRenderedPageBreak/>
        <w:t xml:space="preserve">Demand Risk, and Financial Crisis are positive and significant in the case of </w:t>
      </w:r>
      <w:r w:rsidR="00945501">
        <w:rPr>
          <w:color w:val="000000" w:themeColor="text1"/>
        </w:rPr>
        <w:t xml:space="preserve">the </w:t>
      </w:r>
      <w:r w:rsidRPr="006F5D71">
        <w:rPr>
          <w:color w:val="000000" w:themeColor="text1"/>
        </w:rPr>
        <w:t xml:space="preserve">North (columns 3 and 4) and South (columns 5 and 6) except Financial </w:t>
      </w:r>
      <w:r w:rsidR="00700EDE" w:rsidRPr="006F5D71">
        <w:rPr>
          <w:color w:val="000000" w:themeColor="text1"/>
        </w:rPr>
        <w:t>Crisis, which</w:t>
      </w:r>
      <w:r w:rsidRPr="006F5D71">
        <w:rPr>
          <w:color w:val="000000" w:themeColor="text1"/>
        </w:rPr>
        <w:t xml:space="preserve"> is insignificant for </w:t>
      </w:r>
      <w:r w:rsidR="00945501">
        <w:rPr>
          <w:color w:val="000000" w:themeColor="text1"/>
        </w:rPr>
        <w:t xml:space="preserve">the </w:t>
      </w:r>
      <w:r w:rsidRPr="006F5D71">
        <w:rPr>
          <w:color w:val="000000" w:themeColor="text1"/>
        </w:rPr>
        <w:t xml:space="preserve">South (columns 5 and 6). </w:t>
      </w:r>
      <w:r w:rsidR="00F25418" w:rsidRPr="006F5D71">
        <w:rPr>
          <w:color w:val="000000" w:themeColor="text1"/>
        </w:rPr>
        <w:t>Thus,</w:t>
      </w:r>
      <w:r w:rsidRPr="006F5D71">
        <w:rPr>
          <w:color w:val="000000" w:themeColor="text1"/>
        </w:rPr>
        <w:t xml:space="preserve"> </w:t>
      </w:r>
      <w:r w:rsidR="00F25418" w:rsidRPr="006F5D71">
        <w:rPr>
          <w:color w:val="000000" w:themeColor="text1"/>
        </w:rPr>
        <w:t xml:space="preserve">survival of </w:t>
      </w:r>
      <w:r w:rsidRPr="006F5D71">
        <w:rPr>
          <w:color w:val="000000" w:themeColor="text1"/>
        </w:rPr>
        <w:t xml:space="preserve">subsidiaries in </w:t>
      </w:r>
      <w:r w:rsidR="00F25418" w:rsidRPr="006F5D71">
        <w:rPr>
          <w:color w:val="000000" w:themeColor="text1"/>
        </w:rPr>
        <w:t xml:space="preserve">both </w:t>
      </w:r>
      <w:r w:rsidRPr="006F5D71">
        <w:rPr>
          <w:color w:val="000000" w:themeColor="text1"/>
        </w:rPr>
        <w:t>North</w:t>
      </w:r>
      <w:r w:rsidR="00F25418" w:rsidRPr="006F5D71">
        <w:rPr>
          <w:color w:val="000000" w:themeColor="text1"/>
        </w:rPr>
        <w:t>ern</w:t>
      </w:r>
      <w:r w:rsidRPr="006F5D71">
        <w:rPr>
          <w:color w:val="000000" w:themeColor="text1"/>
        </w:rPr>
        <w:t xml:space="preserve"> and South</w:t>
      </w:r>
      <w:r w:rsidR="00F25418" w:rsidRPr="006F5D71">
        <w:rPr>
          <w:color w:val="000000" w:themeColor="text1"/>
        </w:rPr>
        <w:t>ern locations</w:t>
      </w:r>
      <w:r w:rsidRPr="006F5D71">
        <w:rPr>
          <w:color w:val="000000" w:themeColor="text1"/>
        </w:rPr>
        <w:t xml:space="preserve"> are adversely influenced by exogenous uncertainties. This finding supports hypothesis H2b.</w:t>
      </w:r>
    </w:p>
    <w:p w14:paraId="01CF8F99" w14:textId="77777777" w:rsidR="00723F9D" w:rsidRPr="006F5D71" w:rsidRDefault="00F25418" w:rsidP="00C91A3C">
      <w:pPr>
        <w:spacing w:after="0" w:line="360" w:lineRule="auto"/>
        <w:ind w:firstLine="720"/>
        <w:jc w:val="both"/>
        <w:rPr>
          <w:color w:val="000000" w:themeColor="text1"/>
        </w:rPr>
      </w:pPr>
      <w:r w:rsidRPr="006F5D71">
        <w:rPr>
          <w:color w:val="000000" w:themeColor="text1"/>
        </w:rPr>
        <w:t>T</w:t>
      </w:r>
      <w:r w:rsidR="00723F9D" w:rsidRPr="006F5D71">
        <w:rPr>
          <w:color w:val="000000" w:themeColor="text1"/>
        </w:rPr>
        <w:t xml:space="preserve">he coefficient of Home Country Diaspora is insignificant in the North (columns 3 and 4) while it is negative and significant in the South (columns 5 and 6). This result supports our third hypothesis (H3a) which states that immigrant Home Country Diaspora increases the chances of survival more in the South. </w:t>
      </w:r>
      <w:r w:rsidRPr="006F5D71">
        <w:rPr>
          <w:color w:val="000000" w:themeColor="text1"/>
        </w:rPr>
        <w:t>The estimates suggest</w:t>
      </w:r>
      <w:r w:rsidR="00723F9D" w:rsidRPr="006F5D71">
        <w:rPr>
          <w:color w:val="000000" w:themeColor="text1"/>
        </w:rPr>
        <w:t xml:space="preserve"> an increase in Home Country Diaspora can reduce the likelihood of exit in </w:t>
      </w:r>
      <w:r w:rsidR="00945501">
        <w:rPr>
          <w:color w:val="000000" w:themeColor="text1"/>
        </w:rPr>
        <w:t xml:space="preserve">the </w:t>
      </w:r>
      <w:r w:rsidR="00723F9D" w:rsidRPr="006F5D71">
        <w:rPr>
          <w:color w:val="000000" w:themeColor="text1"/>
        </w:rPr>
        <w:t xml:space="preserve">South (column 6) by 44%. To determine the moderation effect of Home Country Diaspora on endogenous uncertainties, the coefficients of Home Country Diaspora × Country Risk and Home Country Diaspora × Institutional Distance are negative but insignificant in the North (column 4) while these are negatively significant in the South (column 6). This result partially supports our fourth hypothesis (H3b) which states that </w:t>
      </w:r>
      <w:r w:rsidR="00945501">
        <w:rPr>
          <w:color w:val="000000" w:themeColor="text1"/>
        </w:rPr>
        <w:t xml:space="preserve">the </w:t>
      </w:r>
      <w:r w:rsidR="00723F9D" w:rsidRPr="006F5D71">
        <w:rPr>
          <w:color w:val="000000" w:themeColor="text1"/>
        </w:rPr>
        <w:t xml:space="preserve">immigrant diaspora helps firms to overcome the endogenous uncertainties and increase the chance of survival but only in the South. In </w:t>
      </w:r>
      <w:r w:rsidR="00945501">
        <w:rPr>
          <w:color w:val="000000" w:themeColor="text1"/>
        </w:rPr>
        <w:t xml:space="preserve">the </w:t>
      </w:r>
      <w:r w:rsidR="00723F9D" w:rsidRPr="006F5D71">
        <w:rPr>
          <w:color w:val="000000" w:themeColor="text1"/>
        </w:rPr>
        <w:t xml:space="preserve">North, the negative effect of endogenous uncertainties on the survival of EMNCs is more dominant. </w:t>
      </w:r>
      <w:r w:rsidR="00945501">
        <w:rPr>
          <w:color w:val="000000" w:themeColor="text1"/>
        </w:rPr>
        <w:t>Meanwhile,</w:t>
      </w:r>
      <w:r w:rsidR="00945501" w:rsidRPr="006F5D71">
        <w:rPr>
          <w:color w:val="000000" w:themeColor="text1"/>
        </w:rPr>
        <w:t xml:space="preserve"> </w:t>
      </w:r>
      <w:r w:rsidR="00723F9D" w:rsidRPr="006F5D71">
        <w:rPr>
          <w:color w:val="000000" w:themeColor="text1"/>
        </w:rPr>
        <w:t>in</w:t>
      </w:r>
      <w:r w:rsidR="00945501">
        <w:rPr>
          <w:color w:val="000000" w:themeColor="text1"/>
        </w:rPr>
        <w:t xml:space="preserve"> the</w:t>
      </w:r>
      <w:r w:rsidR="00723F9D" w:rsidRPr="006F5D71">
        <w:rPr>
          <w:color w:val="000000" w:themeColor="text1"/>
        </w:rPr>
        <w:t xml:space="preserve"> South (column 6), Home Country Diaspora helps firms to overcome the endogenous uncertainties and can reduce the likelihood of exit by 22% and 5% respectively.</w:t>
      </w:r>
      <w:r w:rsidR="00F72D31">
        <w:rPr>
          <w:color w:val="000000" w:themeColor="text1"/>
        </w:rPr>
        <w:t xml:space="preserve"> </w:t>
      </w:r>
    </w:p>
    <w:p w14:paraId="12C4A2F9" w14:textId="77777777" w:rsidR="00F84092" w:rsidRPr="006F5D71" w:rsidRDefault="00723F9D" w:rsidP="00F84092">
      <w:pPr>
        <w:spacing w:after="0" w:line="360" w:lineRule="auto"/>
        <w:ind w:firstLine="720"/>
        <w:jc w:val="both"/>
        <w:rPr>
          <w:color w:val="000000" w:themeColor="text1"/>
        </w:rPr>
      </w:pPr>
      <w:r w:rsidRPr="006F5D71">
        <w:rPr>
          <w:color w:val="000000" w:themeColor="text1"/>
        </w:rPr>
        <w:t xml:space="preserve">The control variables have the expected signs, and their results are the following: The coefficients of Sunk Cost, ROA, Parent Size, Subsidiary Size, State Affiliation, China Dummy, Subsidiary Age, and Family Controlled are statistically negative in both North (columns 3 and 4) and South (columns 5 and 6) cases. </w:t>
      </w:r>
      <w:r w:rsidR="00945501">
        <w:rPr>
          <w:color w:val="000000" w:themeColor="text1"/>
        </w:rPr>
        <w:t>This</w:t>
      </w:r>
      <w:r w:rsidRPr="006F5D71">
        <w:rPr>
          <w:color w:val="000000" w:themeColor="text1"/>
        </w:rPr>
        <w:t xml:space="preserve"> means subsidiaries’ size, age, return on asset, the share of parent investment and size, and affiliation with state and family increase their chances of survival in both regions but these effects are more prominent in </w:t>
      </w:r>
      <w:r w:rsidR="00945501">
        <w:rPr>
          <w:color w:val="000000" w:themeColor="text1"/>
        </w:rPr>
        <w:t xml:space="preserve">the </w:t>
      </w:r>
      <w:r w:rsidRPr="006F5D71">
        <w:rPr>
          <w:color w:val="000000" w:themeColor="text1"/>
        </w:rPr>
        <w:t xml:space="preserve">South than </w:t>
      </w:r>
      <w:r w:rsidR="00BE5629">
        <w:rPr>
          <w:color w:val="000000" w:themeColor="text1"/>
        </w:rPr>
        <w:t xml:space="preserve">the </w:t>
      </w:r>
      <w:r w:rsidRPr="006F5D71">
        <w:rPr>
          <w:color w:val="000000" w:themeColor="text1"/>
        </w:rPr>
        <w:t xml:space="preserve">North. The coefficient of Equity Ownership is positively significant in the North (columns 3 and 4) while negatively significant in the South (columns 5 and 6). Table 4 also shows that subsidiaries in the North (columns 3 and 4) with asset seeking motives are less likely to survive but a similar subsidiary in the South (columns 5 and 6) will survive. This can be more clearly seen from Table 6, where subsidiaries with asset seeking motives have a hazard rate of 56% in the North (column 4), but in the South (column 6) being an asset seeking subsidiary reduces the probability of exit by 27%. </w:t>
      </w:r>
      <w:r w:rsidR="00F25418" w:rsidRPr="006F5D71">
        <w:rPr>
          <w:color w:val="000000" w:themeColor="text1"/>
        </w:rPr>
        <w:t>T</w:t>
      </w:r>
      <w:r w:rsidRPr="006F5D71">
        <w:rPr>
          <w:color w:val="000000" w:themeColor="text1"/>
        </w:rPr>
        <w:t xml:space="preserve">he coefficients of Parent Experience in American Region and Parent Experience in European Region are negatively significant in the North (columns 3 and 4) and can reduce the likelihood of exit by 15% and </w:t>
      </w:r>
      <w:r w:rsidRPr="006F5D71">
        <w:rPr>
          <w:color w:val="000000" w:themeColor="text1"/>
        </w:rPr>
        <w:lastRenderedPageBreak/>
        <w:t xml:space="preserve">12% respectively. </w:t>
      </w:r>
      <w:r w:rsidR="00BE5629">
        <w:rPr>
          <w:color w:val="000000" w:themeColor="text1"/>
        </w:rPr>
        <w:t>Meanwhile,</w:t>
      </w:r>
      <w:r w:rsidR="00BE5629" w:rsidRPr="006F5D71">
        <w:rPr>
          <w:color w:val="000000" w:themeColor="text1"/>
        </w:rPr>
        <w:t xml:space="preserve"> </w:t>
      </w:r>
      <w:r w:rsidRPr="006F5D71">
        <w:rPr>
          <w:color w:val="000000" w:themeColor="text1"/>
        </w:rPr>
        <w:t xml:space="preserve">the coefficients of Parent Experience in African Region, Parent Experience in Asian Region, and Parent Experience in Arab Region are negative and significant in </w:t>
      </w:r>
      <w:r w:rsidR="00BE5629">
        <w:rPr>
          <w:color w:val="000000" w:themeColor="text1"/>
        </w:rPr>
        <w:t xml:space="preserve">the </w:t>
      </w:r>
      <w:r w:rsidRPr="006F5D71">
        <w:rPr>
          <w:color w:val="000000" w:themeColor="text1"/>
        </w:rPr>
        <w:t>South (columns 5 and 6) and can reduce the likelihood of exit by 42%, 86%, and 96% respectively. The coefficient of Leverage is positive and significant in the North (columns 3 and 4) while insignificant in the South. It means an increase in debt lowers the chance of survival for subsidiaries in the North and increase</w:t>
      </w:r>
      <w:r w:rsidR="00BE5629">
        <w:rPr>
          <w:color w:val="000000" w:themeColor="text1"/>
        </w:rPr>
        <w:t>s</w:t>
      </w:r>
      <w:r w:rsidRPr="006F5D71">
        <w:rPr>
          <w:color w:val="000000" w:themeColor="text1"/>
        </w:rPr>
        <w:t xml:space="preserve"> the hazard rate by 40% (columns 4)</w:t>
      </w:r>
      <w:r w:rsidR="005F4162" w:rsidRPr="006F5D71">
        <w:rPr>
          <w:color w:val="000000" w:themeColor="text1"/>
        </w:rPr>
        <w:t xml:space="preserve">. </w:t>
      </w:r>
      <w:r w:rsidR="00F84092" w:rsidRPr="006F5D71">
        <w:rPr>
          <w:color w:val="000000" w:themeColor="text1"/>
        </w:rPr>
        <w:t>Collectively, Table 6 shows that the hazard rate associated with better performance is higher in the North than in the South.</w:t>
      </w:r>
      <w:r w:rsidR="00F72D31">
        <w:rPr>
          <w:color w:val="000000" w:themeColor="text1"/>
        </w:rPr>
        <w:t xml:space="preserve"> </w:t>
      </w:r>
      <w:r w:rsidR="00F84092" w:rsidRPr="006F5D71">
        <w:rPr>
          <w:color w:val="000000" w:themeColor="text1"/>
        </w:rPr>
        <w:t xml:space="preserve">More precisely better performance is associated with a decreased probability of exit of 20% in Northern locations and 55% in Southern locations. </w:t>
      </w:r>
    </w:p>
    <w:p w14:paraId="1CACDB64" w14:textId="77777777" w:rsidR="00A8680D" w:rsidRPr="006F5D71" w:rsidRDefault="00481B17" w:rsidP="00F90D5B">
      <w:pPr>
        <w:spacing w:line="360" w:lineRule="auto"/>
        <w:ind w:firstLine="720"/>
        <w:jc w:val="both"/>
        <w:rPr>
          <w:color w:val="000000" w:themeColor="text1"/>
        </w:rPr>
      </w:pPr>
      <w:r w:rsidRPr="006F5D71">
        <w:rPr>
          <w:color w:val="000000" w:themeColor="text1"/>
        </w:rPr>
        <w:t>In sum</w:t>
      </w:r>
      <w:r w:rsidR="00700EDE" w:rsidRPr="006F5D71">
        <w:rPr>
          <w:color w:val="000000" w:themeColor="text1"/>
        </w:rPr>
        <w:t>,</w:t>
      </w:r>
      <w:r w:rsidR="005B52B6" w:rsidRPr="006F5D71">
        <w:rPr>
          <w:color w:val="000000" w:themeColor="text1"/>
        </w:rPr>
        <w:t xml:space="preserve"> our findi</w:t>
      </w:r>
      <w:r w:rsidR="007D6290" w:rsidRPr="006F5D71">
        <w:rPr>
          <w:color w:val="000000" w:themeColor="text1"/>
        </w:rPr>
        <w:t xml:space="preserve">ngs </w:t>
      </w:r>
      <w:r w:rsidRPr="006F5D71">
        <w:rPr>
          <w:color w:val="000000" w:themeColor="text1"/>
        </w:rPr>
        <w:t>validate</w:t>
      </w:r>
      <w:r w:rsidR="007D6290" w:rsidRPr="006F5D71">
        <w:rPr>
          <w:color w:val="000000" w:themeColor="text1"/>
        </w:rPr>
        <w:t xml:space="preserve"> </w:t>
      </w:r>
      <w:r w:rsidR="00700EDE" w:rsidRPr="006F5D71">
        <w:rPr>
          <w:color w:val="000000" w:themeColor="text1"/>
        </w:rPr>
        <w:t xml:space="preserve">all </w:t>
      </w:r>
      <w:r w:rsidR="007D6290" w:rsidRPr="006F5D71">
        <w:rPr>
          <w:color w:val="000000" w:themeColor="text1"/>
        </w:rPr>
        <w:t>our hypotheses. EMNC</w:t>
      </w:r>
      <w:r w:rsidR="005B52B6" w:rsidRPr="006F5D71">
        <w:rPr>
          <w:color w:val="000000" w:themeColor="text1"/>
        </w:rPr>
        <w:t xml:space="preserve">s with FSAs have </w:t>
      </w:r>
      <w:r w:rsidR="005E6BDE" w:rsidRPr="006F5D71">
        <w:rPr>
          <w:color w:val="000000" w:themeColor="text1"/>
        </w:rPr>
        <w:t xml:space="preserve">a </w:t>
      </w:r>
      <w:r w:rsidR="005B52B6" w:rsidRPr="006F5D71">
        <w:rPr>
          <w:color w:val="000000" w:themeColor="text1"/>
        </w:rPr>
        <w:t xml:space="preserve">competitive edge over domestic rivals in </w:t>
      </w:r>
      <w:r w:rsidR="005E6BDE" w:rsidRPr="006F5D71">
        <w:rPr>
          <w:color w:val="000000" w:themeColor="text1"/>
        </w:rPr>
        <w:t xml:space="preserve">the </w:t>
      </w:r>
      <w:r w:rsidR="005B52B6" w:rsidRPr="006F5D71">
        <w:rPr>
          <w:color w:val="000000" w:themeColor="text1"/>
        </w:rPr>
        <w:t xml:space="preserve">South and are more likely </w:t>
      </w:r>
      <w:r w:rsidR="007D6290" w:rsidRPr="006F5D71">
        <w:rPr>
          <w:color w:val="000000" w:themeColor="text1"/>
        </w:rPr>
        <w:t>to survive than EMNC</w:t>
      </w:r>
      <w:r w:rsidR="005B52B6" w:rsidRPr="006F5D71">
        <w:rPr>
          <w:color w:val="000000" w:themeColor="text1"/>
        </w:rPr>
        <w:t xml:space="preserve">s in </w:t>
      </w:r>
      <w:r w:rsidR="005E6BDE" w:rsidRPr="006F5D71">
        <w:rPr>
          <w:color w:val="000000" w:themeColor="text1"/>
        </w:rPr>
        <w:t xml:space="preserve">the </w:t>
      </w:r>
      <w:r w:rsidR="005B52B6" w:rsidRPr="006F5D71">
        <w:rPr>
          <w:color w:val="000000" w:themeColor="text1"/>
        </w:rPr>
        <w:t>North. Similarly, endogenous uncertainties are more likely to reduc</w:t>
      </w:r>
      <w:r w:rsidR="007D6290" w:rsidRPr="006F5D71">
        <w:rPr>
          <w:color w:val="000000" w:themeColor="text1"/>
        </w:rPr>
        <w:t>e the chance of survival of EMNC</w:t>
      </w:r>
      <w:r w:rsidR="005B52B6" w:rsidRPr="006F5D71">
        <w:rPr>
          <w:color w:val="000000" w:themeColor="text1"/>
        </w:rPr>
        <w:t xml:space="preserve">s in </w:t>
      </w:r>
      <w:r w:rsidR="005E6BDE" w:rsidRPr="006F5D71">
        <w:rPr>
          <w:color w:val="000000" w:themeColor="text1"/>
        </w:rPr>
        <w:t xml:space="preserve">the </w:t>
      </w:r>
      <w:r w:rsidR="005B52B6" w:rsidRPr="006F5D71">
        <w:rPr>
          <w:color w:val="000000" w:themeColor="text1"/>
        </w:rPr>
        <w:t>North than South</w:t>
      </w:r>
      <w:r w:rsidR="005F4162" w:rsidRPr="006F5D71">
        <w:rPr>
          <w:color w:val="000000" w:themeColor="text1"/>
        </w:rPr>
        <w:t xml:space="preserve"> while exogenous uncertainties adversely </w:t>
      </w:r>
      <w:r w:rsidR="00BE5629" w:rsidRPr="006F5D71">
        <w:rPr>
          <w:color w:val="000000" w:themeColor="text1"/>
        </w:rPr>
        <w:t>influence</w:t>
      </w:r>
      <w:r w:rsidR="00BE5629">
        <w:rPr>
          <w:color w:val="000000" w:themeColor="text1"/>
        </w:rPr>
        <w:t>s</w:t>
      </w:r>
      <w:r w:rsidR="00BE5629" w:rsidRPr="006F5D71">
        <w:rPr>
          <w:color w:val="000000" w:themeColor="text1"/>
        </w:rPr>
        <w:t xml:space="preserve"> </w:t>
      </w:r>
      <w:r w:rsidR="00B0173B" w:rsidRPr="006F5D71">
        <w:rPr>
          <w:color w:val="000000" w:themeColor="text1"/>
        </w:rPr>
        <w:t xml:space="preserve">the </w:t>
      </w:r>
      <w:r w:rsidR="005F4162" w:rsidRPr="006F5D71">
        <w:rPr>
          <w:color w:val="000000" w:themeColor="text1"/>
        </w:rPr>
        <w:t>survival</w:t>
      </w:r>
      <w:r w:rsidR="007D6290" w:rsidRPr="006F5D71">
        <w:rPr>
          <w:color w:val="000000" w:themeColor="text1"/>
        </w:rPr>
        <w:t xml:space="preserve"> of EMNC</w:t>
      </w:r>
      <w:r w:rsidR="00543B4B" w:rsidRPr="006F5D71">
        <w:rPr>
          <w:color w:val="000000" w:themeColor="text1"/>
        </w:rPr>
        <w:t>s in both regions</w:t>
      </w:r>
      <w:r w:rsidR="005B52B6" w:rsidRPr="006F5D71">
        <w:rPr>
          <w:color w:val="000000" w:themeColor="text1"/>
        </w:rPr>
        <w:t xml:space="preserve">. </w:t>
      </w:r>
      <w:r w:rsidR="00700EDE" w:rsidRPr="006F5D71">
        <w:rPr>
          <w:color w:val="000000" w:themeColor="text1"/>
        </w:rPr>
        <w:t>A large i</w:t>
      </w:r>
      <w:r w:rsidR="005B52B6" w:rsidRPr="006F5D71">
        <w:rPr>
          <w:color w:val="000000" w:themeColor="text1"/>
        </w:rPr>
        <w:t xml:space="preserve">mmigrant </w:t>
      </w:r>
      <w:r w:rsidRPr="006F5D71">
        <w:rPr>
          <w:color w:val="000000" w:themeColor="text1"/>
        </w:rPr>
        <w:t>d</w:t>
      </w:r>
      <w:r w:rsidR="005B52B6" w:rsidRPr="006F5D71">
        <w:rPr>
          <w:color w:val="000000" w:themeColor="text1"/>
        </w:rPr>
        <w:t xml:space="preserve">iaspora </w:t>
      </w:r>
      <w:r w:rsidR="00BE5629" w:rsidRPr="006F5D71">
        <w:rPr>
          <w:color w:val="000000" w:themeColor="text1"/>
        </w:rPr>
        <w:t>increase</w:t>
      </w:r>
      <w:r w:rsidR="00BE5629">
        <w:rPr>
          <w:color w:val="000000" w:themeColor="text1"/>
        </w:rPr>
        <w:t>s</w:t>
      </w:r>
      <w:r w:rsidR="00BE5629" w:rsidRPr="006F5D71">
        <w:rPr>
          <w:color w:val="000000" w:themeColor="text1"/>
        </w:rPr>
        <w:t xml:space="preserve"> </w:t>
      </w:r>
      <w:r w:rsidR="005B52B6" w:rsidRPr="006F5D71">
        <w:rPr>
          <w:color w:val="000000" w:themeColor="text1"/>
        </w:rPr>
        <w:t>th</w:t>
      </w:r>
      <w:r w:rsidR="007D6290" w:rsidRPr="006F5D71">
        <w:rPr>
          <w:color w:val="000000" w:themeColor="text1"/>
        </w:rPr>
        <w:t>e likelihood of survival of EMNC</w:t>
      </w:r>
      <w:r w:rsidR="005B52B6" w:rsidRPr="006F5D71">
        <w:rPr>
          <w:color w:val="000000" w:themeColor="text1"/>
        </w:rPr>
        <w:t xml:space="preserve">s in </w:t>
      </w:r>
      <w:r w:rsidR="00BE5629">
        <w:rPr>
          <w:color w:val="000000" w:themeColor="text1"/>
        </w:rPr>
        <w:t xml:space="preserve">the </w:t>
      </w:r>
      <w:r w:rsidR="005B52B6" w:rsidRPr="006F5D71">
        <w:rPr>
          <w:color w:val="000000" w:themeColor="text1"/>
        </w:rPr>
        <w:t xml:space="preserve">South </w:t>
      </w:r>
      <w:r w:rsidR="00700EDE" w:rsidRPr="006F5D71">
        <w:rPr>
          <w:color w:val="000000" w:themeColor="text1"/>
        </w:rPr>
        <w:t>(</w:t>
      </w:r>
      <w:r w:rsidR="005B52B6" w:rsidRPr="006F5D71">
        <w:rPr>
          <w:color w:val="000000" w:themeColor="text1"/>
        </w:rPr>
        <w:t>than North</w:t>
      </w:r>
      <w:r w:rsidR="00700EDE" w:rsidRPr="006F5D71">
        <w:rPr>
          <w:color w:val="000000" w:themeColor="text1"/>
        </w:rPr>
        <w:t>)</w:t>
      </w:r>
      <w:r w:rsidR="005B52B6" w:rsidRPr="006F5D71">
        <w:rPr>
          <w:color w:val="000000" w:themeColor="text1"/>
        </w:rPr>
        <w:t xml:space="preserve"> and </w:t>
      </w:r>
      <w:r w:rsidR="00700EDE" w:rsidRPr="006F5D71">
        <w:rPr>
          <w:color w:val="000000" w:themeColor="text1"/>
        </w:rPr>
        <w:t xml:space="preserve">also </w:t>
      </w:r>
      <w:r w:rsidR="00BE5629" w:rsidRPr="006F5D71">
        <w:rPr>
          <w:color w:val="000000" w:themeColor="text1"/>
        </w:rPr>
        <w:t>mitigate</w:t>
      </w:r>
      <w:r w:rsidR="00BE5629">
        <w:rPr>
          <w:color w:val="000000" w:themeColor="text1"/>
        </w:rPr>
        <w:t>s</w:t>
      </w:r>
      <w:r w:rsidR="00BE5629" w:rsidRPr="006F5D71">
        <w:rPr>
          <w:color w:val="000000" w:themeColor="text1"/>
        </w:rPr>
        <w:t xml:space="preserve"> </w:t>
      </w:r>
      <w:r w:rsidR="005B52B6" w:rsidRPr="006F5D71">
        <w:rPr>
          <w:color w:val="000000" w:themeColor="text1"/>
        </w:rPr>
        <w:t>the impact of e</w:t>
      </w:r>
      <w:r w:rsidR="007D6290" w:rsidRPr="006F5D71">
        <w:rPr>
          <w:color w:val="000000" w:themeColor="text1"/>
        </w:rPr>
        <w:t>ndogenous uncertainties for EMNC</w:t>
      </w:r>
      <w:r w:rsidR="005B52B6" w:rsidRPr="006F5D71">
        <w:rPr>
          <w:color w:val="000000" w:themeColor="text1"/>
        </w:rPr>
        <w:t xml:space="preserve">s in </w:t>
      </w:r>
      <w:r w:rsidR="00BE5629">
        <w:rPr>
          <w:color w:val="000000" w:themeColor="text1"/>
        </w:rPr>
        <w:t xml:space="preserve">the </w:t>
      </w:r>
      <w:r w:rsidR="005B52B6" w:rsidRPr="006F5D71">
        <w:rPr>
          <w:color w:val="000000" w:themeColor="text1"/>
        </w:rPr>
        <w:t>South.</w:t>
      </w:r>
    </w:p>
    <w:p w14:paraId="2E6946E6" w14:textId="77777777" w:rsidR="006F0A78" w:rsidRPr="006F5D71" w:rsidRDefault="000B6858" w:rsidP="006F0A78">
      <w:pPr>
        <w:spacing w:line="360" w:lineRule="auto"/>
        <w:jc w:val="both"/>
        <w:rPr>
          <w:i/>
          <w:iCs/>
          <w:color w:val="000000" w:themeColor="text1"/>
        </w:rPr>
      </w:pPr>
      <w:r w:rsidRPr="006F5D71">
        <w:rPr>
          <w:i/>
          <w:iCs/>
          <w:color w:val="000000" w:themeColor="text1"/>
        </w:rPr>
        <w:t>4.3.</w:t>
      </w:r>
      <w:r w:rsidR="006F0A78" w:rsidRPr="006F5D71">
        <w:rPr>
          <w:i/>
          <w:iCs/>
          <w:color w:val="000000" w:themeColor="text1"/>
        </w:rPr>
        <w:t xml:space="preserve"> </w:t>
      </w:r>
      <w:r w:rsidRPr="006F5D71">
        <w:rPr>
          <w:i/>
          <w:iCs/>
          <w:color w:val="000000" w:themeColor="text1"/>
        </w:rPr>
        <w:t>Robustness</w:t>
      </w:r>
      <w:r w:rsidR="00F56AEE" w:rsidRPr="006F5D71">
        <w:rPr>
          <w:i/>
          <w:iCs/>
          <w:color w:val="000000" w:themeColor="text1"/>
        </w:rPr>
        <w:t xml:space="preserve"> of results</w:t>
      </w:r>
      <w:r w:rsidR="00481B17" w:rsidRPr="006F5D71">
        <w:rPr>
          <w:rStyle w:val="FootnoteReference"/>
          <w:i/>
          <w:iCs/>
          <w:color w:val="000000" w:themeColor="text1"/>
        </w:rPr>
        <w:footnoteReference w:id="8"/>
      </w:r>
    </w:p>
    <w:p w14:paraId="17D1A88B" w14:textId="77777777" w:rsidR="00700EDE" w:rsidRPr="006F5D71" w:rsidRDefault="005A4268" w:rsidP="000B6858">
      <w:pPr>
        <w:spacing w:after="0" w:line="360" w:lineRule="auto"/>
        <w:jc w:val="both"/>
        <w:rPr>
          <w:color w:val="000000" w:themeColor="text1"/>
        </w:rPr>
      </w:pPr>
      <w:r w:rsidRPr="006F5D71">
        <w:rPr>
          <w:color w:val="000000" w:themeColor="text1"/>
        </w:rPr>
        <w:t>To determine the robustne</w:t>
      </w:r>
      <w:r w:rsidR="00CE01E3" w:rsidRPr="006F5D71">
        <w:rPr>
          <w:color w:val="000000" w:themeColor="text1"/>
        </w:rPr>
        <w:t xml:space="preserve">ss of our findings, we </w:t>
      </w:r>
      <w:r w:rsidR="00700EDE" w:rsidRPr="006F5D71">
        <w:rPr>
          <w:color w:val="000000" w:themeColor="text1"/>
        </w:rPr>
        <w:t xml:space="preserve">undertook </w:t>
      </w:r>
      <w:r w:rsidR="00481B17" w:rsidRPr="006F5D71">
        <w:rPr>
          <w:color w:val="000000" w:themeColor="text1"/>
        </w:rPr>
        <w:t xml:space="preserve">some </w:t>
      </w:r>
      <w:r w:rsidR="00700EDE" w:rsidRPr="006F5D71">
        <w:rPr>
          <w:color w:val="000000" w:themeColor="text1"/>
        </w:rPr>
        <w:t xml:space="preserve">more empirical </w:t>
      </w:r>
      <w:r w:rsidR="001C03EC" w:rsidRPr="006F5D71">
        <w:rPr>
          <w:color w:val="000000" w:themeColor="text1"/>
        </w:rPr>
        <w:t>analyses</w:t>
      </w:r>
      <w:r w:rsidRPr="006F5D71">
        <w:rPr>
          <w:color w:val="000000" w:themeColor="text1"/>
        </w:rPr>
        <w:t xml:space="preserve">. </w:t>
      </w:r>
    </w:p>
    <w:p w14:paraId="613B9ECE" w14:textId="77777777" w:rsidR="000C6D76" w:rsidRPr="006F5D71" w:rsidRDefault="00700EDE" w:rsidP="000B6858">
      <w:pPr>
        <w:spacing w:after="0" w:line="360" w:lineRule="auto"/>
        <w:jc w:val="both"/>
        <w:rPr>
          <w:color w:val="000000" w:themeColor="text1"/>
        </w:rPr>
      </w:pPr>
      <w:r w:rsidRPr="006F5D71">
        <w:rPr>
          <w:color w:val="000000" w:themeColor="text1"/>
        </w:rPr>
        <w:t>(i)</w:t>
      </w:r>
      <w:r w:rsidR="00F72D31">
        <w:rPr>
          <w:color w:val="000000" w:themeColor="text1"/>
        </w:rPr>
        <w:t xml:space="preserve"> </w:t>
      </w:r>
      <w:r w:rsidR="00B33821">
        <w:rPr>
          <w:color w:val="000000" w:themeColor="text1"/>
        </w:rPr>
        <w:t xml:space="preserve"> </w:t>
      </w:r>
      <w:r w:rsidR="00BE019A" w:rsidRPr="006F5D71">
        <w:rPr>
          <w:i/>
          <w:color w:val="000000" w:themeColor="text1"/>
        </w:rPr>
        <w:t>Can the data</w:t>
      </w:r>
      <w:r w:rsidR="00B33821">
        <w:rPr>
          <w:i/>
          <w:color w:val="000000" w:themeColor="text1"/>
        </w:rPr>
        <w:t xml:space="preserve"> from India and China</w:t>
      </w:r>
      <w:r w:rsidR="00BE019A" w:rsidRPr="006F5D71">
        <w:rPr>
          <w:i/>
          <w:color w:val="000000" w:themeColor="text1"/>
        </w:rPr>
        <w:t xml:space="preserve"> be pooled</w:t>
      </w:r>
      <w:r w:rsidRPr="006F5D71">
        <w:rPr>
          <w:i/>
          <w:color w:val="000000" w:themeColor="text1"/>
        </w:rPr>
        <w:t>?</w:t>
      </w:r>
      <w:r w:rsidRPr="006F5D71">
        <w:rPr>
          <w:color w:val="000000" w:themeColor="text1"/>
        </w:rPr>
        <w:t xml:space="preserve"> </w:t>
      </w:r>
      <w:r w:rsidR="00BE019A" w:rsidRPr="006F5D71">
        <w:rPr>
          <w:color w:val="000000" w:themeColor="text1"/>
        </w:rPr>
        <w:t xml:space="preserve">In our </w:t>
      </w:r>
      <w:r w:rsidR="00674C50" w:rsidRPr="006F5D71">
        <w:rPr>
          <w:color w:val="000000" w:themeColor="text1"/>
        </w:rPr>
        <w:t>analysis</w:t>
      </w:r>
      <w:r w:rsidR="00BE019A" w:rsidRPr="006F5D71">
        <w:rPr>
          <w:color w:val="000000" w:themeColor="text1"/>
        </w:rPr>
        <w:t xml:space="preserve"> reported in Table 4 we assume that Chinese and </w:t>
      </w:r>
      <w:r w:rsidR="00674C50" w:rsidRPr="006F5D71">
        <w:rPr>
          <w:color w:val="000000" w:themeColor="text1"/>
        </w:rPr>
        <w:t>Indian firms behave similarly (</w:t>
      </w:r>
      <w:r w:rsidR="00BE019A" w:rsidRPr="006F5D71">
        <w:rPr>
          <w:color w:val="000000" w:themeColor="text1"/>
        </w:rPr>
        <w:t>and are pooled into one sample) but the two regions presen</w:t>
      </w:r>
      <w:r w:rsidR="00674C50" w:rsidRPr="006F5D71">
        <w:rPr>
          <w:color w:val="000000" w:themeColor="text1"/>
        </w:rPr>
        <w:t>t different survival functions.</w:t>
      </w:r>
      <w:r w:rsidR="00BE019A" w:rsidRPr="006F5D71">
        <w:rPr>
          <w:color w:val="000000" w:themeColor="text1"/>
        </w:rPr>
        <w:t xml:space="preserve"> To check the validity of this assumption, t</w:t>
      </w:r>
      <w:r w:rsidR="005A4268" w:rsidRPr="006F5D71">
        <w:rPr>
          <w:color w:val="000000" w:themeColor="text1"/>
        </w:rPr>
        <w:t xml:space="preserve">he </w:t>
      </w:r>
      <w:r w:rsidRPr="006F5D71">
        <w:rPr>
          <w:color w:val="000000" w:themeColor="text1"/>
        </w:rPr>
        <w:t xml:space="preserve">survival function was estimated </w:t>
      </w:r>
      <w:r w:rsidR="005A4268" w:rsidRPr="006F5D71">
        <w:rPr>
          <w:color w:val="000000" w:themeColor="text1"/>
        </w:rPr>
        <w:t>separately for Chinese and Indian firms</w:t>
      </w:r>
      <w:r w:rsidR="000B6858" w:rsidRPr="006F5D71">
        <w:rPr>
          <w:color w:val="000000" w:themeColor="text1"/>
        </w:rPr>
        <w:t>,</w:t>
      </w:r>
      <w:r w:rsidR="005A4268" w:rsidRPr="006F5D71">
        <w:rPr>
          <w:color w:val="000000" w:themeColor="text1"/>
        </w:rPr>
        <w:t xml:space="preserve"> and </w:t>
      </w:r>
      <w:r w:rsidR="00BE5629">
        <w:rPr>
          <w:color w:val="000000" w:themeColor="text1"/>
        </w:rPr>
        <w:t xml:space="preserve">the </w:t>
      </w:r>
      <w:r w:rsidR="005A4268" w:rsidRPr="006F5D71">
        <w:rPr>
          <w:color w:val="000000" w:themeColor="text1"/>
        </w:rPr>
        <w:t xml:space="preserve">results are presented in </w:t>
      </w:r>
      <w:r w:rsidRPr="006F5D71">
        <w:rPr>
          <w:color w:val="000000" w:themeColor="text1"/>
        </w:rPr>
        <w:t>the supplementary tables to this paper (</w:t>
      </w:r>
      <w:r w:rsidR="005A4268" w:rsidRPr="006F5D71">
        <w:rPr>
          <w:color w:val="000000" w:themeColor="text1"/>
        </w:rPr>
        <w:t>Table</w:t>
      </w:r>
      <w:r w:rsidR="00521C64" w:rsidRPr="006F5D71">
        <w:rPr>
          <w:color w:val="000000" w:themeColor="text1"/>
        </w:rPr>
        <w:t>s</w:t>
      </w:r>
      <w:r w:rsidR="005A4268" w:rsidRPr="006F5D71">
        <w:rPr>
          <w:color w:val="000000" w:themeColor="text1"/>
        </w:rPr>
        <w:t xml:space="preserve"> </w:t>
      </w:r>
      <w:r w:rsidR="00674C50" w:rsidRPr="006F5D71">
        <w:rPr>
          <w:color w:val="000000" w:themeColor="text1"/>
        </w:rPr>
        <w:t>A3</w:t>
      </w:r>
      <w:r w:rsidR="005A4268" w:rsidRPr="006F5D71">
        <w:rPr>
          <w:color w:val="000000" w:themeColor="text1"/>
        </w:rPr>
        <w:t xml:space="preserve"> and </w:t>
      </w:r>
      <w:r w:rsidR="00674C50" w:rsidRPr="006F5D71">
        <w:rPr>
          <w:color w:val="000000" w:themeColor="text1"/>
        </w:rPr>
        <w:t>A4</w:t>
      </w:r>
      <w:r w:rsidR="005A4268" w:rsidRPr="006F5D71">
        <w:rPr>
          <w:color w:val="000000" w:themeColor="text1"/>
        </w:rPr>
        <w:t xml:space="preserve">). The results </w:t>
      </w:r>
      <w:r w:rsidR="00481B17" w:rsidRPr="006F5D71">
        <w:rPr>
          <w:color w:val="000000" w:themeColor="text1"/>
        </w:rPr>
        <w:t xml:space="preserve">of the main parameters of interest </w:t>
      </w:r>
      <w:r w:rsidR="005A4268" w:rsidRPr="006F5D71">
        <w:rPr>
          <w:color w:val="000000" w:themeColor="text1"/>
        </w:rPr>
        <w:t xml:space="preserve">remain the same </w:t>
      </w:r>
      <w:r w:rsidR="00F56AEE" w:rsidRPr="006F5D71">
        <w:rPr>
          <w:color w:val="000000" w:themeColor="text1"/>
        </w:rPr>
        <w:t xml:space="preserve">as </w:t>
      </w:r>
      <w:r w:rsidR="005A4268" w:rsidRPr="006F5D71">
        <w:rPr>
          <w:color w:val="000000" w:themeColor="text1"/>
        </w:rPr>
        <w:t xml:space="preserve">reported in Table 4. </w:t>
      </w:r>
    </w:p>
    <w:p w14:paraId="47483B86" w14:textId="77777777" w:rsidR="00F56AEE" w:rsidRPr="006F5D71" w:rsidRDefault="00D01B51" w:rsidP="00674C50">
      <w:pPr>
        <w:spacing w:after="0" w:line="360" w:lineRule="auto"/>
        <w:ind w:firstLine="720"/>
        <w:jc w:val="both"/>
        <w:rPr>
          <w:color w:val="000000" w:themeColor="text1"/>
        </w:rPr>
      </w:pPr>
      <w:r w:rsidRPr="006F5D71">
        <w:rPr>
          <w:color w:val="000000" w:themeColor="text1"/>
        </w:rPr>
        <w:t>Further, t</w:t>
      </w:r>
      <w:r w:rsidR="00700EDE" w:rsidRPr="006F5D71">
        <w:rPr>
          <w:color w:val="000000" w:themeColor="text1"/>
        </w:rPr>
        <w:t xml:space="preserve">wo types of </w:t>
      </w:r>
      <w:r w:rsidR="005A4268" w:rsidRPr="006F5D71">
        <w:rPr>
          <w:color w:val="000000" w:themeColor="text1"/>
        </w:rPr>
        <w:t>homogeneity test</w:t>
      </w:r>
      <w:r w:rsidR="00700EDE" w:rsidRPr="006F5D71">
        <w:rPr>
          <w:color w:val="000000" w:themeColor="text1"/>
        </w:rPr>
        <w:t>s</w:t>
      </w:r>
      <w:r w:rsidR="005A4268" w:rsidRPr="006F5D71">
        <w:rPr>
          <w:color w:val="000000" w:themeColor="text1"/>
        </w:rPr>
        <w:t xml:space="preserve"> </w:t>
      </w:r>
      <w:r w:rsidR="00700EDE" w:rsidRPr="006F5D71">
        <w:rPr>
          <w:color w:val="000000" w:themeColor="text1"/>
        </w:rPr>
        <w:t xml:space="preserve">were </w:t>
      </w:r>
      <w:r w:rsidR="00BE019A" w:rsidRPr="006F5D71">
        <w:rPr>
          <w:color w:val="000000" w:themeColor="text1"/>
        </w:rPr>
        <w:t xml:space="preserve">performed </w:t>
      </w:r>
      <w:r w:rsidR="005A4268" w:rsidRPr="006F5D71">
        <w:rPr>
          <w:color w:val="000000" w:themeColor="text1"/>
        </w:rPr>
        <w:t>to determine whether Chinese and Indian firms operating in North and South regions behave differently and whether</w:t>
      </w:r>
      <w:r w:rsidR="00BE5629">
        <w:rPr>
          <w:color w:val="000000" w:themeColor="text1"/>
        </w:rPr>
        <w:t>,</w:t>
      </w:r>
      <w:r w:rsidR="005A4268" w:rsidRPr="006F5D71">
        <w:rPr>
          <w:color w:val="000000" w:themeColor="text1"/>
        </w:rPr>
        <w:t xml:space="preserve"> within </w:t>
      </w:r>
      <w:r w:rsidR="000B6858" w:rsidRPr="006F5D71">
        <w:rPr>
          <w:color w:val="000000" w:themeColor="text1"/>
        </w:rPr>
        <w:t xml:space="preserve">the </w:t>
      </w:r>
      <w:r w:rsidR="005A4268" w:rsidRPr="006F5D71">
        <w:rPr>
          <w:color w:val="000000" w:themeColor="text1"/>
        </w:rPr>
        <w:t>same region</w:t>
      </w:r>
      <w:r w:rsidR="00BE5629">
        <w:rPr>
          <w:color w:val="000000" w:themeColor="text1"/>
        </w:rPr>
        <w:t>,</w:t>
      </w:r>
      <w:r w:rsidR="005A4268" w:rsidRPr="006F5D71">
        <w:rPr>
          <w:color w:val="000000" w:themeColor="text1"/>
        </w:rPr>
        <w:t xml:space="preserve"> there </w:t>
      </w:r>
      <w:r w:rsidR="00BE5629">
        <w:rPr>
          <w:color w:val="000000" w:themeColor="text1"/>
        </w:rPr>
        <w:t xml:space="preserve">is </w:t>
      </w:r>
      <w:r w:rsidR="005A4268" w:rsidRPr="006F5D71">
        <w:rPr>
          <w:color w:val="000000" w:themeColor="text1"/>
        </w:rPr>
        <w:t xml:space="preserve">any difference between </w:t>
      </w:r>
      <w:r w:rsidR="00481B17" w:rsidRPr="006F5D71">
        <w:rPr>
          <w:color w:val="000000" w:themeColor="text1"/>
        </w:rPr>
        <w:t xml:space="preserve">the survival of </w:t>
      </w:r>
      <w:r w:rsidR="005A4268" w:rsidRPr="006F5D71">
        <w:rPr>
          <w:color w:val="000000" w:themeColor="text1"/>
        </w:rPr>
        <w:t>Chinese and Indian firms. The</w:t>
      </w:r>
      <w:r w:rsidR="00F56AEE" w:rsidRPr="006F5D71">
        <w:rPr>
          <w:color w:val="000000" w:themeColor="text1"/>
        </w:rPr>
        <w:t>se</w:t>
      </w:r>
      <w:r w:rsidR="00674C50" w:rsidRPr="006F5D71">
        <w:rPr>
          <w:color w:val="000000" w:themeColor="text1"/>
        </w:rPr>
        <w:t xml:space="preserve"> results are reported in Table A</w:t>
      </w:r>
      <w:r w:rsidRPr="006F5D71">
        <w:rPr>
          <w:color w:val="000000" w:themeColor="text1"/>
        </w:rPr>
        <w:t>5</w:t>
      </w:r>
      <w:r w:rsidR="005A4268" w:rsidRPr="006F5D71">
        <w:rPr>
          <w:color w:val="000000" w:themeColor="text1"/>
        </w:rPr>
        <w:t>.</w:t>
      </w:r>
      <w:r w:rsidR="000C6D76" w:rsidRPr="006F5D71">
        <w:rPr>
          <w:color w:val="000000" w:themeColor="text1"/>
        </w:rPr>
        <w:t xml:space="preserve"> </w:t>
      </w:r>
      <w:r w:rsidR="005A4268" w:rsidRPr="006F5D71">
        <w:rPr>
          <w:color w:val="000000" w:themeColor="text1"/>
        </w:rPr>
        <w:t>In case of column 1 (for Chinese firms), the null hypothesis is rejected in all four homogeneity tests, indicating that their surviv</w:t>
      </w:r>
      <w:r w:rsidR="00BE019A" w:rsidRPr="006F5D71">
        <w:rPr>
          <w:color w:val="000000" w:themeColor="text1"/>
        </w:rPr>
        <w:t>al</w:t>
      </w:r>
      <w:r w:rsidR="005A4268" w:rsidRPr="006F5D71">
        <w:rPr>
          <w:color w:val="000000" w:themeColor="text1"/>
        </w:rPr>
        <w:t xml:space="preserve"> functions are not </w:t>
      </w:r>
      <w:r w:rsidR="000B6858" w:rsidRPr="006F5D71">
        <w:rPr>
          <w:color w:val="000000" w:themeColor="text1"/>
        </w:rPr>
        <w:t xml:space="preserve">the </w:t>
      </w:r>
      <w:r w:rsidR="005A4268" w:rsidRPr="006F5D71">
        <w:rPr>
          <w:color w:val="000000" w:themeColor="text1"/>
        </w:rPr>
        <w:t xml:space="preserve">same across North and South regions. Similarly, for Indian firms (column 2), the significant probabilities of all four homogeneity tests indicate that the </w:t>
      </w:r>
      <w:r w:rsidR="005A4268" w:rsidRPr="006F5D71">
        <w:rPr>
          <w:color w:val="000000" w:themeColor="text1"/>
        </w:rPr>
        <w:lastRenderedPageBreak/>
        <w:t>surviv</w:t>
      </w:r>
      <w:r w:rsidR="00BE019A" w:rsidRPr="006F5D71">
        <w:rPr>
          <w:color w:val="000000" w:themeColor="text1"/>
        </w:rPr>
        <w:t>al</w:t>
      </w:r>
      <w:r w:rsidR="005A4268" w:rsidRPr="006F5D71">
        <w:rPr>
          <w:color w:val="000000" w:themeColor="text1"/>
        </w:rPr>
        <w:t xml:space="preserve"> functions are not </w:t>
      </w:r>
      <w:r w:rsidR="000B6858" w:rsidRPr="006F5D71">
        <w:rPr>
          <w:color w:val="000000" w:themeColor="text1"/>
        </w:rPr>
        <w:t xml:space="preserve">the </w:t>
      </w:r>
      <w:r w:rsidR="005A4268" w:rsidRPr="006F5D71">
        <w:rPr>
          <w:color w:val="000000" w:themeColor="text1"/>
        </w:rPr>
        <w:t>same across both regions</w:t>
      </w:r>
      <w:r w:rsidR="00BE5629">
        <w:rPr>
          <w:color w:val="000000" w:themeColor="text1"/>
        </w:rPr>
        <w:t>,</w:t>
      </w:r>
      <w:r w:rsidR="005A4268" w:rsidRPr="006F5D71">
        <w:rPr>
          <w:color w:val="000000" w:themeColor="text1"/>
        </w:rPr>
        <w:t xml:space="preserve"> thus providing statistical proof of heterogeneity</w:t>
      </w:r>
      <w:r w:rsidR="00F56AEE" w:rsidRPr="006F5D71">
        <w:rPr>
          <w:color w:val="000000" w:themeColor="text1"/>
        </w:rPr>
        <w:t xml:space="preserve"> of the North</w:t>
      </w:r>
      <w:r w:rsidR="00BE019A" w:rsidRPr="006F5D71">
        <w:rPr>
          <w:color w:val="000000" w:themeColor="text1"/>
        </w:rPr>
        <w:t>ern and S</w:t>
      </w:r>
      <w:r w:rsidR="00F56AEE" w:rsidRPr="006F5D71">
        <w:rPr>
          <w:color w:val="000000" w:themeColor="text1"/>
        </w:rPr>
        <w:t>outh</w:t>
      </w:r>
      <w:r w:rsidR="00BE019A" w:rsidRPr="006F5D71">
        <w:rPr>
          <w:color w:val="000000" w:themeColor="text1"/>
        </w:rPr>
        <w:t xml:space="preserve">ern locations for </w:t>
      </w:r>
      <w:r w:rsidR="00236E35" w:rsidRPr="006F5D71">
        <w:rPr>
          <w:color w:val="000000" w:themeColor="text1"/>
        </w:rPr>
        <w:t xml:space="preserve">the </w:t>
      </w:r>
      <w:r w:rsidR="00BE019A" w:rsidRPr="006F5D71">
        <w:rPr>
          <w:color w:val="000000" w:themeColor="text1"/>
        </w:rPr>
        <w:t xml:space="preserve">survival of EMNE </w:t>
      </w:r>
      <w:r w:rsidRPr="006F5D71">
        <w:rPr>
          <w:color w:val="000000" w:themeColor="text1"/>
        </w:rPr>
        <w:t>subsidiaries</w:t>
      </w:r>
      <w:r w:rsidR="005A4268" w:rsidRPr="006F5D71">
        <w:rPr>
          <w:color w:val="000000" w:themeColor="text1"/>
        </w:rPr>
        <w:t xml:space="preserve">. </w:t>
      </w:r>
    </w:p>
    <w:p w14:paraId="392052BB" w14:textId="77777777" w:rsidR="005A4268" w:rsidRPr="006F5D71" w:rsidRDefault="00F56AEE" w:rsidP="00723F9D">
      <w:pPr>
        <w:spacing w:after="0" w:line="360" w:lineRule="auto"/>
        <w:ind w:firstLine="720"/>
        <w:jc w:val="both"/>
        <w:rPr>
          <w:color w:val="000000" w:themeColor="text1"/>
        </w:rPr>
      </w:pPr>
      <w:r w:rsidRPr="006F5D71">
        <w:rPr>
          <w:color w:val="000000" w:themeColor="text1"/>
        </w:rPr>
        <w:t xml:space="preserve">We also explored </w:t>
      </w:r>
      <w:r w:rsidR="00BE5629">
        <w:rPr>
          <w:color w:val="000000" w:themeColor="text1"/>
        </w:rPr>
        <w:t>whether</w:t>
      </w:r>
      <w:r w:rsidR="00BE5629" w:rsidRPr="006F5D71">
        <w:rPr>
          <w:color w:val="000000" w:themeColor="text1"/>
        </w:rPr>
        <w:t xml:space="preserve"> </w:t>
      </w:r>
      <w:r w:rsidR="005A4268" w:rsidRPr="006F5D71">
        <w:rPr>
          <w:color w:val="000000" w:themeColor="text1"/>
        </w:rPr>
        <w:t xml:space="preserve">Chinese and Indian firms operating in </w:t>
      </w:r>
      <w:r w:rsidR="00BE5629">
        <w:rPr>
          <w:color w:val="000000" w:themeColor="text1"/>
        </w:rPr>
        <w:t xml:space="preserve">the </w:t>
      </w:r>
      <w:r w:rsidR="005A4268" w:rsidRPr="006F5D71">
        <w:rPr>
          <w:color w:val="000000" w:themeColor="text1"/>
        </w:rPr>
        <w:t>North (column 3) region</w:t>
      </w:r>
      <w:r w:rsidRPr="006F5D71">
        <w:rPr>
          <w:color w:val="000000" w:themeColor="text1"/>
        </w:rPr>
        <w:t xml:space="preserve"> could be pooled together.</w:t>
      </w:r>
      <w:r w:rsidR="00F72D31">
        <w:rPr>
          <w:color w:val="000000" w:themeColor="text1"/>
        </w:rPr>
        <w:t xml:space="preserve"> </w:t>
      </w:r>
      <w:r w:rsidRPr="006F5D71">
        <w:rPr>
          <w:color w:val="000000" w:themeColor="text1"/>
        </w:rPr>
        <w:t>Th</w:t>
      </w:r>
      <w:r w:rsidR="005A4268" w:rsidRPr="006F5D71">
        <w:rPr>
          <w:color w:val="000000" w:themeColor="text1"/>
        </w:rPr>
        <w:t xml:space="preserve">e insignificant probabilities of homogeneity tests </w:t>
      </w:r>
      <w:r w:rsidRPr="006F5D71">
        <w:rPr>
          <w:color w:val="000000" w:themeColor="text1"/>
        </w:rPr>
        <w:t xml:space="preserve">suggest the two </w:t>
      </w:r>
      <w:r w:rsidR="00C91A3C" w:rsidRPr="006F5D71">
        <w:rPr>
          <w:color w:val="000000" w:themeColor="text1"/>
        </w:rPr>
        <w:t>types</w:t>
      </w:r>
      <w:r w:rsidRPr="006F5D71">
        <w:rPr>
          <w:color w:val="000000" w:themeColor="text1"/>
        </w:rPr>
        <w:t xml:space="preserve"> of firms can be pooled together and </w:t>
      </w:r>
      <w:r w:rsidR="005A4268" w:rsidRPr="006F5D71">
        <w:rPr>
          <w:color w:val="000000" w:themeColor="text1"/>
        </w:rPr>
        <w:t>the surviv</w:t>
      </w:r>
      <w:r w:rsidRPr="006F5D71">
        <w:rPr>
          <w:color w:val="000000" w:themeColor="text1"/>
        </w:rPr>
        <w:t>al</w:t>
      </w:r>
      <w:r w:rsidR="005A4268" w:rsidRPr="006F5D71">
        <w:rPr>
          <w:color w:val="000000" w:themeColor="text1"/>
        </w:rPr>
        <w:t xml:space="preserve"> functions of Chinese and Indian firms</w:t>
      </w:r>
      <w:r w:rsidRPr="006F5D71">
        <w:rPr>
          <w:color w:val="000000" w:themeColor="text1"/>
        </w:rPr>
        <w:t xml:space="preserve"> are similar</w:t>
      </w:r>
      <w:r w:rsidR="005A4268" w:rsidRPr="006F5D71">
        <w:rPr>
          <w:color w:val="000000" w:themeColor="text1"/>
        </w:rPr>
        <w:t xml:space="preserve">. </w:t>
      </w:r>
      <w:r w:rsidR="00236E35" w:rsidRPr="006F5D71">
        <w:rPr>
          <w:color w:val="000000" w:themeColor="text1"/>
        </w:rPr>
        <w:t>The s</w:t>
      </w:r>
      <w:r w:rsidR="005A4268" w:rsidRPr="006F5D71">
        <w:rPr>
          <w:color w:val="000000" w:themeColor="text1"/>
        </w:rPr>
        <w:t xml:space="preserve">ame can be seen in </w:t>
      </w:r>
      <w:r w:rsidR="000B6858" w:rsidRPr="006F5D71">
        <w:rPr>
          <w:color w:val="000000" w:themeColor="text1"/>
        </w:rPr>
        <w:t xml:space="preserve">the </w:t>
      </w:r>
      <w:r w:rsidR="005A4268" w:rsidRPr="006F5D71">
        <w:rPr>
          <w:color w:val="000000" w:themeColor="text1"/>
        </w:rPr>
        <w:t xml:space="preserve">case of column 4 where insignificant probabilities of these homogeneity tests provide statistical proof of </w:t>
      </w:r>
      <w:r w:rsidR="000B6858" w:rsidRPr="006F5D71">
        <w:rPr>
          <w:color w:val="000000" w:themeColor="text1"/>
        </w:rPr>
        <w:t xml:space="preserve">the </w:t>
      </w:r>
      <w:r w:rsidR="005A4268" w:rsidRPr="006F5D71">
        <w:rPr>
          <w:color w:val="000000" w:themeColor="text1"/>
        </w:rPr>
        <w:t>existence of homogeneity among the surviv</w:t>
      </w:r>
      <w:r w:rsidR="00BE019A" w:rsidRPr="006F5D71">
        <w:rPr>
          <w:color w:val="000000" w:themeColor="text1"/>
        </w:rPr>
        <w:t>al</w:t>
      </w:r>
      <w:r w:rsidR="005A4268" w:rsidRPr="006F5D71">
        <w:rPr>
          <w:color w:val="000000" w:themeColor="text1"/>
        </w:rPr>
        <w:t xml:space="preserve"> functions of Chinese and Indian firms operating in </w:t>
      </w:r>
      <w:r w:rsidR="00BE5629">
        <w:rPr>
          <w:color w:val="000000" w:themeColor="text1"/>
        </w:rPr>
        <w:t xml:space="preserve">the </w:t>
      </w:r>
      <w:r w:rsidR="005A4268" w:rsidRPr="006F5D71">
        <w:rPr>
          <w:color w:val="000000" w:themeColor="text1"/>
        </w:rPr>
        <w:t>South</w:t>
      </w:r>
      <w:r w:rsidR="00BE5629">
        <w:rPr>
          <w:color w:val="000000" w:themeColor="text1"/>
        </w:rPr>
        <w:t>ern</w:t>
      </w:r>
      <w:r w:rsidR="005A4268" w:rsidRPr="006F5D71">
        <w:rPr>
          <w:color w:val="000000" w:themeColor="text1"/>
        </w:rPr>
        <w:t xml:space="preserve"> region. </w:t>
      </w:r>
      <w:r w:rsidRPr="006F5D71">
        <w:rPr>
          <w:color w:val="000000" w:themeColor="text1"/>
        </w:rPr>
        <w:t xml:space="preserve">Taken together, these results </w:t>
      </w:r>
      <w:r w:rsidR="00BE019A" w:rsidRPr="006F5D71">
        <w:rPr>
          <w:color w:val="000000" w:themeColor="text1"/>
        </w:rPr>
        <w:t xml:space="preserve">confirm </w:t>
      </w:r>
      <w:r w:rsidRPr="006F5D71">
        <w:rPr>
          <w:color w:val="000000" w:themeColor="text1"/>
        </w:rPr>
        <w:t xml:space="preserve">that </w:t>
      </w:r>
      <w:r w:rsidR="00481B17" w:rsidRPr="006F5D71">
        <w:rPr>
          <w:color w:val="000000" w:themeColor="text1"/>
        </w:rPr>
        <w:t xml:space="preserve">data on </w:t>
      </w:r>
      <w:r w:rsidR="005A4268" w:rsidRPr="006F5D71">
        <w:rPr>
          <w:color w:val="000000" w:themeColor="text1"/>
        </w:rPr>
        <w:t>Chinese and Indian firms can be pooled within the same region</w:t>
      </w:r>
      <w:r w:rsidR="00BE019A" w:rsidRPr="006F5D71">
        <w:rPr>
          <w:color w:val="000000" w:themeColor="text1"/>
        </w:rPr>
        <w:t xml:space="preserve"> but not across Northern and S</w:t>
      </w:r>
      <w:r w:rsidR="00232638" w:rsidRPr="006F5D71">
        <w:rPr>
          <w:color w:val="000000" w:themeColor="text1"/>
        </w:rPr>
        <w:t>outh</w:t>
      </w:r>
      <w:r w:rsidR="00BE019A" w:rsidRPr="006F5D71">
        <w:rPr>
          <w:color w:val="000000" w:themeColor="text1"/>
        </w:rPr>
        <w:t xml:space="preserve">ern locations. </w:t>
      </w:r>
    </w:p>
    <w:p w14:paraId="28129B9D" w14:textId="77777777" w:rsidR="005A4268" w:rsidRPr="006F5D71" w:rsidRDefault="00BE019A" w:rsidP="00CE01E3">
      <w:pPr>
        <w:spacing w:after="0" w:line="360" w:lineRule="auto"/>
        <w:ind w:firstLine="720"/>
        <w:jc w:val="both"/>
        <w:rPr>
          <w:color w:val="000000" w:themeColor="text1"/>
        </w:rPr>
      </w:pPr>
      <w:r w:rsidRPr="006F5D71">
        <w:rPr>
          <w:color w:val="000000" w:themeColor="text1"/>
        </w:rPr>
        <w:t xml:space="preserve">(ii) </w:t>
      </w:r>
      <w:r w:rsidRPr="006F5D71">
        <w:rPr>
          <w:i/>
          <w:color w:val="000000" w:themeColor="text1"/>
        </w:rPr>
        <w:t xml:space="preserve">Do </w:t>
      </w:r>
      <w:r w:rsidR="00CE01E3" w:rsidRPr="006F5D71">
        <w:rPr>
          <w:i/>
          <w:color w:val="000000" w:themeColor="text1"/>
        </w:rPr>
        <w:t>host-home country political relations influence the survival likelihood of EMNCs</w:t>
      </w:r>
      <w:r w:rsidRPr="006F5D71">
        <w:rPr>
          <w:i/>
          <w:color w:val="000000" w:themeColor="text1"/>
        </w:rPr>
        <w:t>?</w:t>
      </w:r>
      <w:r w:rsidR="00F72D31">
        <w:rPr>
          <w:color w:val="000000" w:themeColor="text1"/>
        </w:rPr>
        <w:t xml:space="preserve"> </w:t>
      </w:r>
      <w:r w:rsidR="00481B17" w:rsidRPr="006F5D71">
        <w:rPr>
          <w:color w:val="000000" w:themeColor="text1"/>
        </w:rPr>
        <w:t xml:space="preserve">Following </w:t>
      </w:r>
      <w:proofErr w:type="spellStart"/>
      <w:r w:rsidR="00CE01E3" w:rsidRPr="006F5D71">
        <w:rPr>
          <w:color w:val="000000" w:themeColor="text1"/>
        </w:rPr>
        <w:t>Duanmu</w:t>
      </w:r>
      <w:proofErr w:type="spellEnd"/>
      <w:r w:rsidR="00CE01E3" w:rsidRPr="006F5D71">
        <w:rPr>
          <w:color w:val="000000" w:themeColor="text1"/>
        </w:rPr>
        <w:t xml:space="preserve">, </w:t>
      </w:r>
      <w:r w:rsidR="00481B17" w:rsidRPr="006F5D71">
        <w:rPr>
          <w:color w:val="000000" w:themeColor="text1"/>
        </w:rPr>
        <w:t>(</w:t>
      </w:r>
      <w:r w:rsidR="00CE01E3" w:rsidRPr="006F5D71">
        <w:rPr>
          <w:color w:val="000000" w:themeColor="text1"/>
        </w:rPr>
        <w:t xml:space="preserve">2014), </w:t>
      </w:r>
      <w:r w:rsidR="005A4268" w:rsidRPr="006F5D71">
        <w:rPr>
          <w:color w:val="000000" w:themeColor="text1"/>
        </w:rPr>
        <w:t>w</w:t>
      </w:r>
      <w:r w:rsidR="00CE01E3" w:rsidRPr="006F5D71">
        <w:rPr>
          <w:color w:val="000000" w:themeColor="text1"/>
        </w:rPr>
        <w:t xml:space="preserve">e consider bilateral relations with </w:t>
      </w:r>
      <w:r w:rsidR="00BE5629">
        <w:rPr>
          <w:color w:val="000000" w:themeColor="text1"/>
        </w:rPr>
        <w:t xml:space="preserve">the </w:t>
      </w:r>
      <w:r w:rsidR="00CE01E3" w:rsidRPr="006F5D71">
        <w:rPr>
          <w:color w:val="000000" w:themeColor="text1"/>
        </w:rPr>
        <w:t>US as most sensitive and vulnerable</w:t>
      </w:r>
      <w:r w:rsidR="00BE5629">
        <w:rPr>
          <w:color w:val="000000" w:themeColor="text1"/>
        </w:rPr>
        <w:t>,</w:t>
      </w:r>
      <w:r w:rsidR="00CE01E3" w:rsidRPr="006F5D71">
        <w:rPr>
          <w:color w:val="000000" w:themeColor="text1"/>
        </w:rPr>
        <w:t xml:space="preserve"> which may influence the business environment for emerging markets’ subsidiaries in </w:t>
      </w:r>
      <w:r w:rsidR="00BE5629">
        <w:rPr>
          <w:color w:val="000000" w:themeColor="text1"/>
        </w:rPr>
        <w:t xml:space="preserve">the </w:t>
      </w:r>
      <w:r w:rsidR="00CE01E3" w:rsidRPr="006F5D71">
        <w:rPr>
          <w:color w:val="000000" w:themeColor="text1"/>
        </w:rPr>
        <w:t xml:space="preserve">US. Empirically, we exclude the </w:t>
      </w:r>
      <w:r w:rsidR="00481B17" w:rsidRPr="006F5D71">
        <w:rPr>
          <w:color w:val="000000" w:themeColor="text1"/>
        </w:rPr>
        <w:t xml:space="preserve">subsidiaries in </w:t>
      </w:r>
      <w:r w:rsidR="00CE01E3" w:rsidRPr="006F5D71">
        <w:rPr>
          <w:color w:val="000000" w:themeColor="text1"/>
        </w:rPr>
        <w:t xml:space="preserve">US </w:t>
      </w:r>
      <w:r w:rsidR="00481B17" w:rsidRPr="006F5D71">
        <w:rPr>
          <w:color w:val="000000" w:themeColor="text1"/>
        </w:rPr>
        <w:t>locations</w:t>
      </w:r>
      <w:r w:rsidR="00CE01E3" w:rsidRPr="006F5D71">
        <w:rPr>
          <w:color w:val="000000" w:themeColor="text1"/>
        </w:rPr>
        <w:t xml:space="preserve"> from our sample and re-estimate</w:t>
      </w:r>
      <w:r w:rsidR="005A4268" w:rsidRPr="006F5D71">
        <w:rPr>
          <w:color w:val="000000" w:themeColor="text1"/>
        </w:rPr>
        <w:t xml:space="preserve"> the model. </w:t>
      </w:r>
      <w:r w:rsidRPr="006F5D71">
        <w:rPr>
          <w:color w:val="000000" w:themeColor="text1"/>
        </w:rPr>
        <w:t xml:space="preserve">The </w:t>
      </w:r>
      <w:r w:rsidR="00481B17" w:rsidRPr="006F5D71">
        <w:rPr>
          <w:color w:val="000000" w:themeColor="text1"/>
        </w:rPr>
        <w:t xml:space="preserve">empirical </w:t>
      </w:r>
      <w:r w:rsidRPr="006F5D71">
        <w:rPr>
          <w:color w:val="000000" w:themeColor="text1"/>
        </w:rPr>
        <w:t>findings remain consistent with the original results</w:t>
      </w:r>
      <w:r w:rsidR="00D27E94" w:rsidRPr="006F5D71">
        <w:rPr>
          <w:color w:val="000000" w:themeColor="text1"/>
        </w:rPr>
        <w:t xml:space="preserve"> and confirm</w:t>
      </w:r>
      <w:r w:rsidR="00481B17" w:rsidRPr="006F5D71">
        <w:rPr>
          <w:color w:val="000000" w:themeColor="text1"/>
        </w:rPr>
        <w:t xml:space="preserve"> that</w:t>
      </w:r>
      <w:r w:rsidRPr="006F5D71">
        <w:rPr>
          <w:color w:val="000000" w:themeColor="text1"/>
        </w:rPr>
        <w:t xml:space="preserve"> our findings are not driven by these US subsidiaries. </w:t>
      </w:r>
      <w:r w:rsidR="005A4268" w:rsidRPr="006F5D71">
        <w:rPr>
          <w:color w:val="000000" w:themeColor="text1"/>
        </w:rPr>
        <w:t>The</w:t>
      </w:r>
      <w:r w:rsidRPr="006F5D71">
        <w:rPr>
          <w:color w:val="000000" w:themeColor="text1"/>
        </w:rPr>
        <w:t>se</w:t>
      </w:r>
      <w:r w:rsidR="005A4268" w:rsidRPr="006F5D71">
        <w:rPr>
          <w:color w:val="000000" w:themeColor="text1"/>
        </w:rPr>
        <w:t xml:space="preserve"> results </w:t>
      </w:r>
      <w:r w:rsidR="000B6858" w:rsidRPr="006F5D71">
        <w:rPr>
          <w:color w:val="000000" w:themeColor="text1"/>
        </w:rPr>
        <w:t xml:space="preserve">are </w:t>
      </w:r>
      <w:r w:rsidR="005A4268" w:rsidRPr="006F5D71">
        <w:rPr>
          <w:color w:val="000000" w:themeColor="text1"/>
        </w:rPr>
        <w:t xml:space="preserve">reported in </w:t>
      </w:r>
      <w:r w:rsidR="00BE5629">
        <w:rPr>
          <w:color w:val="000000" w:themeColor="text1"/>
        </w:rPr>
        <w:t xml:space="preserve">supplementary </w:t>
      </w:r>
      <w:r w:rsidR="005A4268" w:rsidRPr="006F5D71">
        <w:rPr>
          <w:color w:val="000000" w:themeColor="text1"/>
        </w:rPr>
        <w:t xml:space="preserve">Tables </w:t>
      </w:r>
      <w:r w:rsidR="00674C50" w:rsidRPr="006F5D71">
        <w:rPr>
          <w:color w:val="000000" w:themeColor="text1"/>
        </w:rPr>
        <w:t>A</w:t>
      </w:r>
      <w:r w:rsidR="00D01B51" w:rsidRPr="006F5D71">
        <w:rPr>
          <w:color w:val="000000" w:themeColor="text1"/>
        </w:rPr>
        <w:t>6</w:t>
      </w:r>
      <w:r w:rsidR="005A4268" w:rsidRPr="006F5D71">
        <w:rPr>
          <w:color w:val="000000" w:themeColor="text1"/>
        </w:rPr>
        <w:t xml:space="preserve"> </w:t>
      </w:r>
      <w:r w:rsidR="00674C50" w:rsidRPr="006F5D71">
        <w:rPr>
          <w:color w:val="000000" w:themeColor="text1"/>
        </w:rPr>
        <w:t>and A</w:t>
      </w:r>
      <w:r w:rsidR="00D01B51" w:rsidRPr="006F5D71">
        <w:rPr>
          <w:color w:val="000000" w:themeColor="text1"/>
        </w:rPr>
        <w:t>7</w:t>
      </w:r>
      <w:r w:rsidR="005A4268" w:rsidRPr="006F5D71">
        <w:rPr>
          <w:color w:val="000000" w:themeColor="text1"/>
        </w:rPr>
        <w:t xml:space="preserve">. </w:t>
      </w:r>
    </w:p>
    <w:p w14:paraId="6CE89B0B" w14:textId="77777777" w:rsidR="005A4268" w:rsidRPr="006F5D71" w:rsidRDefault="00B02D20" w:rsidP="009D4CE9">
      <w:pPr>
        <w:spacing w:after="0" w:line="360" w:lineRule="auto"/>
        <w:ind w:firstLine="720"/>
        <w:jc w:val="both"/>
        <w:rPr>
          <w:color w:val="000000" w:themeColor="text1"/>
        </w:rPr>
      </w:pPr>
      <w:r w:rsidRPr="006F5D71">
        <w:rPr>
          <w:i/>
          <w:color w:val="000000" w:themeColor="text1"/>
        </w:rPr>
        <w:t>(iii)</w:t>
      </w:r>
      <w:r w:rsidR="00F72D31">
        <w:rPr>
          <w:i/>
          <w:color w:val="000000" w:themeColor="text1"/>
        </w:rPr>
        <w:t xml:space="preserve"> </w:t>
      </w:r>
      <w:r w:rsidRPr="006F5D71">
        <w:rPr>
          <w:i/>
          <w:color w:val="000000" w:themeColor="text1"/>
        </w:rPr>
        <w:t xml:space="preserve">Does </w:t>
      </w:r>
      <w:r w:rsidR="00B33821">
        <w:rPr>
          <w:i/>
          <w:color w:val="000000" w:themeColor="text1"/>
        </w:rPr>
        <w:t xml:space="preserve">the measure of </w:t>
      </w:r>
      <w:r w:rsidRPr="006F5D71">
        <w:rPr>
          <w:i/>
          <w:color w:val="000000" w:themeColor="text1"/>
        </w:rPr>
        <w:t>asset seeking influence survival</w:t>
      </w:r>
      <w:r w:rsidR="00BE5629">
        <w:rPr>
          <w:i/>
          <w:color w:val="000000" w:themeColor="text1"/>
        </w:rPr>
        <w:t>?</w:t>
      </w:r>
      <w:r w:rsidR="00F72D31">
        <w:rPr>
          <w:i/>
          <w:color w:val="000000" w:themeColor="text1"/>
        </w:rPr>
        <w:t xml:space="preserve"> </w:t>
      </w:r>
      <w:r w:rsidR="00A12FCA" w:rsidRPr="006F5D71">
        <w:rPr>
          <w:color w:val="000000" w:themeColor="text1"/>
        </w:rPr>
        <w:t>W</w:t>
      </w:r>
      <w:r w:rsidR="005A4268" w:rsidRPr="006F5D71">
        <w:rPr>
          <w:color w:val="000000" w:themeColor="text1"/>
        </w:rPr>
        <w:t>e used an alternative measure of asset</w:t>
      </w:r>
      <w:r w:rsidR="00BE5629">
        <w:rPr>
          <w:color w:val="000000" w:themeColor="text1"/>
        </w:rPr>
        <w:t>-</w:t>
      </w:r>
      <w:r w:rsidR="005A4268" w:rsidRPr="006F5D71">
        <w:rPr>
          <w:color w:val="000000" w:themeColor="text1"/>
        </w:rPr>
        <w:t>seeking motive by following Li et al. (2012) and define a subsidiary with an asset</w:t>
      </w:r>
      <w:r w:rsidR="000B6858" w:rsidRPr="006F5D71">
        <w:rPr>
          <w:color w:val="000000" w:themeColor="text1"/>
        </w:rPr>
        <w:t>-</w:t>
      </w:r>
      <w:r w:rsidR="005A4268" w:rsidRPr="006F5D71">
        <w:rPr>
          <w:color w:val="000000" w:themeColor="text1"/>
        </w:rPr>
        <w:t xml:space="preserve">seeking motive if it operates in a host country </w:t>
      </w:r>
      <w:r w:rsidR="000B6858" w:rsidRPr="006F5D71">
        <w:rPr>
          <w:color w:val="000000" w:themeColor="text1"/>
        </w:rPr>
        <w:t>that</w:t>
      </w:r>
      <w:r w:rsidR="005A4268" w:rsidRPr="006F5D71">
        <w:rPr>
          <w:color w:val="000000" w:themeColor="text1"/>
        </w:rPr>
        <w:t xml:space="preserve"> has </w:t>
      </w:r>
      <w:r w:rsidR="00BE5629">
        <w:rPr>
          <w:color w:val="000000" w:themeColor="text1"/>
        </w:rPr>
        <w:t xml:space="preserve">an </w:t>
      </w:r>
      <w:r w:rsidR="005A4268" w:rsidRPr="006F5D71">
        <w:rPr>
          <w:color w:val="000000" w:themeColor="text1"/>
        </w:rPr>
        <w:t xml:space="preserve">industry-specific technology advantage over its home country. This specific industry-specific technology advantage takes place if the number of patents in a particular industry (that a subsidiary belongs to) </w:t>
      </w:r>
      <w:r w:rsidR="000B6858" w:rsidRPr="006F5D71">
        <w:rPr>
          <w:color w:val="000000" w:themeColor="text1"/>
        </w:rPr>
        <w:t>in</w:t>
      </w:r>
      <w:r w:rsidR="005A4268" w:rsidRPr="006F5D71">
        <w:rPr>
          <w:color w:val="000000" w:themeColor="text1"/>
        </w:rPr>
        <w:t xml:space="preserve"> the particular host country is higher than the number of patents in that particular industry </w:t>
      </w:r>
      <w:r w:rsidR="000B6858" w:rsidRPr="006F5D71">
        <w:rPr>
          <w:color w:val="000000" w:themeColor="text1"/>
        </w:rPr>
        <w:t>in</w:t>
      </w:r>
      <w:r w:rsidR="005A4268" w:rsidRPr="006F5D71">
        <w:rPr>
          <w:color w:val="000000" w:themeColor="text1"/>
        </w:rPr>
        <w:t xml:space="preserve"> </w:t>
      </w:r>
      <w:r w:rsidR="000B6858" w:rsidRPr="006F5D71">
        <w:rPr>
          <w:color w:val="000000" w:themeColor="text1"/>
        </w:rPr>
        <w:t xml:space="preserve">the </w:t>
      </w:r>
      <w:r w:rsidR="005A4268" w:rsidRPr="006F5D71">
        <w:rPr>
          <w:color w:val="000000" w:themeColor="text1"/>
        </w:rPr>
        <w:t xml:space="preserve">home country. We re-estimate the model and the results are reported in </w:t>
      </w:r>
      <w:r w:rsidR="00BE5629">
        <w:rPr>
          <w:color w:val="000000" w:themeColor="text1"/>
        </w:rPr>
        <w:t xml:space="preserve">supplementary </w:t>
      </w:r>
      <w:r w:rsidR="005A4268" w:rsidRPr="006F5D71">
        <w:rPr>
          <w:color w:val="000000" w:themeColor="text1"/>
        </w:rPr>
        <w:t xml:space="preserve">Tables </w:t>
      </w:r>
      <w:r w:rsidR="00674C50" w:rsidRPr="006F5D71">
        <w:rPr>
          <w:color w:val="000000" w:themeColor="text1"/>
        </w:rPr>
        <w:t>A</w:t>
      </w:r>
      <w:r w:rsidR="00D01B51" w:rsidRPr="006F5D71">
        <w:rPr>
          <w:color w:val="000000" w:themeColor="text1"/>
        </w:rPr>
        <w:t>8</w:t>
      </w:r>
      <w:r w:rsidR="00674C50" w:rsidRPr="006F5D71">
        <w:rPr>
          <w:color w:val="000000" w:themeColor="text1"/>
        </w:rPr>
        <w:t xml:space="preserve"> and A</w:t>
      </w:r>
      <w:r w:rsidR="00D01B51" w:rsidRPr="006F5D71">
        <w:rPr>
          <w:color w:val="000000" w:themeColor="text1"/>
        </w:rPr>
        <w:t>9</w:t>
      </w:r>
      <w:r w:rsidR="00A12FCA" w:rsidRPr="006F5D71">
        <w:rPr>
          <w:color w:val="000000" w:themeColor="text1"/>
        </w:rPr>
        <w:t>.</w:t>
      </w:r>
      <w:r w:rsidR="005A4268" w:rsidRPr="006F5D71">
        <w:rPr>
          <w:color w:val="000000" w:themeColor="text1"/>
        </w:rPr>
        <w:t xml:space="preserve"> Our findings remain consistent with the original results</w:t>
      </w:r>
      <w:r w:rsidR="00674C50" w:rsidRPr="006F5D71">
        <w:rPr>
          <w:color w:val="000000" w:themeColor="text1"/>
        </w:rPr>
        <w:t xml:space="preserve"> </w:t>
      </w:r>
      <w:r w:rsidR="00A12FCA" w:rsidRPr="006F5D71">
        <w:rPr>
          <w:color w:val="000000" w:themeColor="text1"/>
        </w:rPr>
        <w:t>reported in table</w:t>
      </w:r>
      <w:r w:rsidR="00BE5629">
        <w:rPr>
          <w:color w:val="000000" w:themeColor="text1"/>
        </w:rPr>
        <w:t>s</w:t>
      </w:r>
      <w:r w:rsidR="00A12FCA" w:rsidRPr="006F5D71">
        <w:rPr>
          <w:color w:val="000000" w:themeColor="text1"/>
        </w:rPr>
        <w:t xml:space="preserve"> 4 and 5.</w:t>
      </w:r>
    </w:p>
    <w:p w14:paraId="3290DA00" w14:textId="77777777" w:rsidR="00580B15" w:rsidRPr="006F5D71" w:rsidRDefault="00A12FCA" w:rsidP="009D4CE9">
      <w:pPr>
        <w:spacing w:after="0" w:line="360" w:lineRule="auto"/>
        <w:ind w:firstLine="720"/>
        <w:jc w:val="both"/>
        <w:rPr>
          <w:color w:val="000000" w:themeColor="text1"/>
        </w:rPr>
      </w:pPr>
      <w:r w:rsidRPr="006F5D71">
        <w:rPr>
          <w:color w:val="000000" w:themeColor="text1"/>
        </w:rPr>
        <w:t xml:space="preserve">(iv) </w:t>
      </w:r>
      <w:r w:rsidRPr="006F5D71">
        <w:rPr>
          <w:i/>
          <w:color w:val="000000" w:themeColor="text1"/>
        </w:rPr>
        <w:t>Does the international experience of the parent matter?</w:t>
      </w:r>
      <w:r w:rsidRPr="006F5D71">
        <w:rPr>
          <w:color w:val="000000" w:themeColor="text1"/>
        </w:rPr>
        <w:t xml:space="preserve"> W</w:t>
      </w:r>
      <w:r w:rsidR="00580B15" w:rsidRPr="006F5D71">
        <w:rPr>
          <w:color w:val="000000" w:themeColor="text1"/>
        </w:rPr>
        <w:t xml:space="preserve">e included two additional control variables related to </w:t>
      </w:r>
      <w:r w:rsidR="00065511" w:rsidRPr="006F5D71">
        <w:rPr>
          <w:color w:val="000000" w:themeColor="text1"/>
        </w:rPr>
        <w:t xml:space="preserve">the </w:t>
      </w:r>
      <w:r w:rsidR="00580B15" w:rsidRPr="006F5D71">
        <w:rPr>
          <w:color w:val="000000" w:themeColor="text1"/>
        </w:rPr>
        <w:t xml:space="preserve">parent firm. In particular, </w:t>
      </w:r>
      <w:r w:rsidRPr="006F5D71">
        <w:rPr>
          <w:color w:val="000000" w:themeColor="text1"/>
        </w:rPr>
        <w:t>the</w:t>
      </w:r>
      <w:r w:rsidR="00065511" w:rsidRPr="006F5D71">
        <w:rPr>
          <w:color w:val="000000" w:themeColor="text1"/>
        </w:rPr>
        <w:t xml:space="preserve"> </w:t>
      </w:r>
      <w:r w:rsidR="00580B15" w:rsidRPr="006F5D71">
        <w:rPr>
          <w:color w:val="000000" w:themeColor="text1"/>
        </w:rPr>
        <w:t>total number of foreign subsidiaries of the parent firm is included to control the parent firm</w:t>
      </w:r>
      <w:r w:rsidR="00065511" w:rsidRPr="006F5D71">
        <w:rPr>
          <w:color w:val="000000" w:themeColor="text1"/>
        </w:rPr>
        <w:t>'s</w:t>
      </w:r>
      <w:r w:rsidR="00580B15" w:rsidRPr="006F5D71">
        <w:rPr>
          <w:color w:val="000000" w:themeColor="text1"/>
        </w:rPr>
        <w:t xml:space="preserve"> </w:t>
      </w:r>
      <w:r w:rsidR="007D74B1" w:rsidRPr="006F5D71">
        <w:rPr>
          <w:color w:val="000000" w:themeColor="text1"/>
        </w:rPr>
        <w:t xml:space="preserve">learning </w:t>
      </w:r>
      <w:r w:rsidR="00580B15" w:rsidRPr="006F5D71">
        <w:rPr>
          <w:color w:val="000000" w:themeColor="text1"/>
        </w:rPr>
        <w:t xml:space="preserve">experience in foreign markets, and the total number of subsidiaries in the host country is used to control the effect of the presence of sister subsidiaries in the country. </w:t>
      </w:r>
      <w:r w:rsidR="00DD1FEC" w:rsidRPr="006F5D71">
        <w:rPr>
          <w:color w:val="000000" w:themeColor="text1"/>
        </w:rPr>
        <w:t>Results reported in Tables A10 and A11</w:t>
      </w:r>
      <w:r w:rsidRPr="006F5D71">
        <w:rPr>
          <w:color w:val="000000" w:themeColor="text1"/>
        </w:rPr>
        <w:t xml:space="preserve"> show that the </w:t>
      </w:r>
      <w:r w:rsidR="00580B15" w:rsidRPr="006F5D71">
        <w:rPr>
          <w:color w:val="000000" w:themeColor="text1"/>
        </w:rPr>
        <w:t>effect of both variables is statis</w:t>
      </w:r>
      <w:r w:rsidR="00127F31" w:rsidRPr="006F5D71">
        <w:rPr>
          <w:color w:val="000000" w:themeColor="text1"/>
        </w:rPr>
        <w:t xml:space="preserve">tically insignificant. </w:t>
      </w:r>
      <w:r w:rsidRPr="006F5D71">
        <w:rPr>
          <w:color w:val="000000" w:themeColor="text1"/>
        </w:rPr>
        <w:t xml:space="preserve">Furthermore, the inclusion of these additional controls did not change the </w:t>
      </w:r>
      <w:r w:rsidR="00127F31" w:rsidRPr="006F5D71">
        <w:rPr>
          <w:color w:val="000000" w:themeColor="text1"/>
        </w:rPr>
        <w:t>overall result</w:t>
      </w:r>
      <w:r w:rsidR="00065511" w:rsidRPr="006F5D71">
        <w:rPr>
          <w:color w:val="000000" w:themeColor="text1"/>
        </w:rPr>
        <w:t xml:space="preserve">s </w:t>
      </w:r>
      <w:r w:rsidRPr="006F5D71">
        <w:rPr>
          <w:color w:val="000000" w:themeColor="text1"/>
        </w:rPr>
        <w:t xml:space="preserve">which </w:t>
      </w:r>
      <w:r w:rsidR="00065511" w:rsidRPr="006F5D71">
        <w:rPr>
          <w:color w:val="000000" w:themeColor="text1"/>
        </w:rPr>
        <w:t>remain</w:t>
      </w:r>
      <w:r w:rsidR="00127F31" w:rsidRPr="006F5D71">
        <w:rPr>
          <w:color w:val="000000" w:themeColor="text1"/>
        </w:rPr>
        <w:t xml:space="preserve"> consistent</w:t>
      </w:r>
      <w:r w:rsidR="00481B17" w:rsidRPr="006F5D71">
        <w:rPr>
          <w:color w:val="000000" w:themeColor="text1"/>
        </w:rPr>
        <w:t xml:space="preserve"> with those reported </w:t>
      </w:r>
      <w:r w:rsidR="00BE5629">
        <w:rPr>
          <w:color w:val="000000" w:themeColor="text1"/>
        </w:rPr>
        <w:t>in</w:t>
      </w:r>
      <w:r w:rsidR="00BE5629" w:rsidRPr="006F5D71">
        <w:rPr>
          <w:color w:val="000000" w:themeColor="text1"/>
        </w:rPr>
        <w:t xml:space="preserve"> </w:t>
      </w:r>
      <w:r w:rsidR="00481B17" w:rsidRPr="006F5D71">
        <w:rPr>
          <w:color w:val="000000" w:themeColor="text1"/>
        </w:rPr>
        <w:t>Table 4</w:t>
      </w:r>
      <w:r w:rsidR="00580B15" w:rsidRPr="006F5D71">
        <w:rPr>
          <w:color w:val="000000" w:themeColor="text1"/>
        </w:rPr>
        <w:t xml:space="preserve">. </w:t>
      </w:r>
    </w:p>
    <w:p w14:paraId="7A080624" w14:textId="77777777" w:rsidR="001669A2" w:rsidRPr="006F5D71" w:rsidRDefault="00481B17" w:rsidP="005E6BDE">
      <w:pPr>
        <w:spacing w:before="240" w:line="360" w:lineRule="auto"/>
        <w:jc w:val="both"/>
        <w:rPr>
          <w:b/>
          <w:bCs/>
          <w:color w:val="000000" w:themeColor="text1"/>
          <w:sz w:val="28"/>
          <w:szCs w:val="24"/>
        </w:rPr>
      </w:pPr>
      <w:r w:rsidRPr="006F5D71">
        <w:rPr>
          <w:b/>
          <w:bCs/>
          <w:color w:val="000000" w:themeColor="text1"/>
          <w:sz w:val="28"/>
          <w:szCs w:val="24"/>
        </w:rPr>
        <w:lastRenderedPageBreak/>
        <w:tab/>
      </w:r>
      <w:r w:rsidR="001669A2" w:rsidRPr="006F5D71">
        <w:rPr>
          <w:b/>
          <w:bCs/>
          <w:color w:val="000000" w:themeColor="text1"/>
          <w:sz w:val="28"/>
          <w:szCs w:val="24"/>
        </w:rPr>
        <w:t xml:space="preserve">5. </w:t>
      </w:r>
      <w:r w:rsidR="004454C8" w:rsidRPr="006F5D71">
        <w:rPr>
          <w:b/>
          <w:bCs/>
          <w:color w:val="000000" w:themeColor="text1"/>
          <w:sz w:val="28"/>
          <w:szCs w:val="24"/>
        </w:rPr>
        <w:t>Discussion and Conclusion</w:t>
      </w:r>
    </w:p>
    <w:p w14:paraId="20E0929C" w14:textId="77777777" w:rsidR="0082136F" w:rsidRPr="006F5D71" w:rsidRDefault="00481B17" w:rsidP="00582853">
      <w:pPr>
        <w:spacing w:after="0" w:line="360" w:lineRule="auto"/>
        <w:jc w:val="both"/>
        <w:rPr>
          <w:color w:val="000000" w:themeColor="text1"/>
        </w:rPr>
      </w:pPr>
      <w:r w:rsidRPr="006F5D71">
        <w:rPr>
          <w:color w:val="000000" w:themeColor="text1"/>
        </w:rPr>
        <w:tab/>
      </w:r>
      <w:r w:rsidR="00655BE2" w:rsidRPr="006F5D71">
        <w:rPr>
          <w:color w:val="000000" w:themeColor="text1"/>
        </w:rPr>
        <w:t xml:space="preserve">Our study highlights a North-South divide in the survival of Chinese and Indian </w:t>
      </w:r>
      <w:r w:rsidR="0082136F" w:rsidRPr="006F5D71">
        <w:rPr>
          <w:color w:val="000000" w:themeColor="text1"/>
        </w:rPr>
        <w:t>foreign subsidiaries</w:t>
      </w:r>
      <w:r w:rsidR="00473243" w:rsidRPr="006F5D71">
        <w:rPr>
          <w:color w:val="000000" w:themeColor="text1"/>
        </w:rPr>
        <w:t xml:space="preserve"> becaus</w:t>
      </w:r>
      <w:r w:rsidR="00822DC5" w:rsidRPr="006F5D71">
        <w:rPr>
          <w:color w:val="000000" w:themeColor="text1"/>
        </w:rPr>
        <w:t>e investments in the North and S</w:t>
      </w:r>
      <w:r w:rsidR="00473243" w:rsidRPr="006F5D71">
        <w:rPr>
          <w:color w:val="000000" w:themeColor="text1"/>
        </w:rPr>
        <w:t>outh offer different risk-reward bundles.</w:t>
      </w:r>
      <w:r w:rsidR="0082136F" w:rsidRPr="006F5D71">
        <w:rPr>
          <w:color w:val="000000" w:themeColor="text1"/>
        </w:rPr>
        <w:t xml:space="preserve"> Drawing on data from 747 foreign subsidiaries from China and India, we provide evidence </w:t>
      </w:r>
      <w:r w:rsidRPr="006F5D71">
        <w:rPr>
          <w:color w:val="000000" w:themeColor="text1"/>
        </w:rPr>
        <w:t>of</w:t>
      </w:r>
      <w:r w:rsidR="0082136F" w:rsidRPr="006F5D71">
        <w:rPr>
          <w:color w:val="000000" w:themeColor="text1"/>
        </w:rPr>
        <w:t xml:space="preserve"> the factors associated with subsidiary survival in the North</w:t>
      </w:r>
      <w:r w:rsidR="00A12FCA" w:rsidRPr="006F5D71">
        <w:rPr>
          <w:color w:val="000000" w:themeColor="text1"/>
        </w:rPr>
        <w:t xml:space="preserve">ern </w:t>
      </w:r>
      <w:r w:rsidR="0082136F" w:rsidRPr="006F5D71">
        <w:rPr>
          <w:color w:val="000000" w:themeColor="text1"/>
        </w:rPr>
        <w:t>and South</w:t>
      </w:r>
      <w:r w:rsidR="00A12FCA" w:rsidRPr="006F5D71">
        <w:rPr>
          <w:color w:val="000000" w:themeColor="text1"/>
        </w:rPr>
        <w:t>ern locations</w:t>
      </w:r>
      <w:r w:rsidR="00473243" w:rsidRPr="006F5D71">
        <w:rPr>
          <w:color w:val="000000" w:themeColor="text1"/>
        </w:rPr>
        <w:t xml:space="preserve"> and show that they are quite different. Thus, conclusions drawn from the analysis of survival </w:t>
      </w:r>
      <w:r w:rsidR="00A12FCA" w:rsidRPr="006F5D71">
        <w:rPr>
          <w:color w:val="000000" w:themeColor="text1"/>
        </w:rPr>
        <w:t>of EMNEs</w:t>
      </w:r>
      <w:r w:rsidR="00FF4FE6" w:rsidRPr="006F5D71">
        <w:rPr>
          <w:color w:val="000000" w:themeColor="text1"/>
        </w:rPr>
        <w:t xml:space="preserve">, without considering the </w:t>
      </w:r>
      <w:r w:rsidR="00A12FCA" w:rsidRPr="006F5D71">
        <w:rPr>
          <w:color w:val="000000" w:themeColor="text1"/>
        </w:rPr>
        <w:t xml:space="preserve">heterogeneity of the </w:t>
      </w:r>
      <w:r w:rsidR="00FF4FE6" w:rsidRPr="006F5D71">
        <w:rPr>
          <w:color w:val="000000" w:themeColor="text1"/>
        </w:rPr>
        <w:t>location,</w:t>
      </w:r>
      <w:r w:rsidR="00473243" w:rsidRPr="006F5D71">
        <w:rPr>
          <w:color w:val="000000" w:themeColor="text1"/>
        </w:rPr>
        <w:t xml:space="preserve"> can be seriously misleading.</w:t>
      </w:r>
      <w:r w:rsidR="00FF4FE6" w:rsidRPr="006F5D71">
        <w:rPr>
          <w:color w:val="000000" w:themeColor="text1"/>
        </w:rPr>
        <w:t xml:space="preserve"> </w:t>
      </w:r>
      <w:r w:rsidR="00A12FCA" w:rsidRPr="006F5D71">
        <w:rPr>
          <w:color w:val="000000" w:themeColor="text1"/>
        </w:rPr>
        <w:t>Furthermore, o</w:t>
      </w:r>
      <w:r w:rsidR="00FF4FE6" w:rsidRPr="006F5D71">
        <w:rPr>
          <w:color w:val="000000" w:themeColor="text1"/>
        </w:rPr>
        <w:t xml:space="preserve">ur </w:t>
      </w:r>
      <w:r w:rsidR="00A12FCA" w:rsidRPr="006F5D71">
        <w:rPr>
          <w:color w:val="000000" w:themeColor="text1"/>
        </w:rPr>
        <w:t xml:space="preserve">empirical analysis </w:t>
      </w:r>
      <w:r w:rsidR="008D7FF6" w:rsidRPr="006F5D71">
        <w:rPr>
          <w:color w:val="000000" w:themeColor="text1"/>
        </w:rPr>
        <w:t>contribute</w:t>
      </w:r>
      <w:r w:rsidR="00A12FCA" w:rsidRPr="006F5D71">
        <w:rPr>
          <w:color w:val="000000" w:themeColor="text1"/>
        </w:rPr>
        <w:t>s</w:t>
      </w:r>
      <w:r w:rsidR="00FF4FE6" w:rsidRPr="006F5D71">
        <w:rPr>
          <w:color w:val="000000" w:themeColor="text1"/>
        </w:rPr>
        <w:t xml:space="preserve"> to the existing international business literature in many ways.</w:t>
      </w:r>
    </w:p>
    <w:p w14:paraId="62652424" w14:textId="77777777" w:rsidR="0015728F" w:rsidRPr="006F5D71" w:rsidRDefault="001669A2" w:rsidP="00B347CF">
      <w:pPr>
        <w:spacing w:after="0" w:line="360" w:lineRule="auto"/>
        <w:ind w:firstLine="720"/>
        <w:jc w:val="both"/>
        <w:rPr>
          <w:color w:val="000000" w:themeColor="text1"/>
        </w:rPr>
      </w:pPr>
      <w:r w:rsidRPr="006F5D71">
        <w:rPr>
          <w:color w:val="000000" w:themeColor="text1"/>
        </w:rPr>
        <w:t xml:space="preserve">Our results highlight the role of relative FSAs in </w:t>
      </w:r>
      <w:r w:rsidR="00A12FCA" w:rsidRPr="006F5D71">
        <w:rPr>
          <w:color w:val="000000" w:themeColor="text1"/>
        </w:rPr>
        <w:t xml:space="preserve">the survival of subsidiaries </w:t>
      </w:r>
      <w:r w:rsidRPr="006F5D71">
        <w:rPr>
          <w:color w:val="000000" w:themeColor="text1"/>
        </w:rPr>
        <w:t xml:space="preserve">in different locations. </w:t>
      </w:r>
      <w:r w:rsidR="0082136F" w:rsidRPr="006F5D71">
        <w:rPr>
          <w:color w:val="000000" w:themeColor="text1"/>
        </w:rPr>
        <w:t>I</w:t>
      </w:r>
      <w:r w:rsidRPr="006F5D71">
        <w:rPr>
          <w:color w:val="000000" w:themeColor="text1"/>
        </w:rPr>
        <w:t xml:space="preserve">nvestments in the North benefit from </w:t>
      </w:r>
      <w:r w:rsidR="005E6BDE" w:rsidRPr="006F5D71">
        <w:rPr>
          <w:color w:val="000000" w:themeColor="text1"/>
        </w:rPr>
        <w:t xml:space="preserve">a </w:t>
      </w:r>
      <w:r w:rsidRPr="006F5D71">
        <w:rPr>
          <w:color w:val="000000" w:themeColor="text1"/>
        </w:rPr>
        <w:t>highly developed institutional framework that promote</w:t>
      </w:r>
      <w:r w:rsidR="00E03C6D" w:rsidRPr="006F5D71">
        <w:rPr>
          <w:color w:val="000000" w:themeColor="text1"/>
        </w:rPr>
        <w:t>s</w:t>
      </w:r>
      <w:r w:rsidRPr="006F5D71">
        <w:rPr>
          <w:color w:val="000000" w:themeColor="text1"/>
        </w:rPr>
        <w:t xml:space="preserve"> efficient operations</w:t>
      </w:r>
      <w:r w:rsidR="004B2327">
        <w:rPr>
          <w:color w:val="000000" w:themeColor="text1"/>
        </w:rPr>
        <w:t>;</w:t>
      </w:r>
      <w:r w:rsidRPr="006F5D71">
        <w:rPr>
          <w:color w:val="000000" w:themeColor="text1"/>
        </w:rPr>
        <w:t xml:space="preserve"> however, it is also subject to more intense market competitive pressure due to </w:t>
      </w:r>
      <w:r w:rsidR="005E6BDE" w:rsidRPr="006F5D71">
        <w:rPr>
          <w:color w:val="000000" w:themeColor="text1"/>
        </w:rPr>
        <w:t xml:space="preserve">the </w:t>
      </w:r>
      <w:r w:rsidRPr="006F5D71">
        <w:rPr>
          <w:color w:val="000000" w:themeColor="text1"/>
        </w:rPr>
        <w:t>stronger technological and managerial abilities of domestic firms</w:t>
      </w:r>
      <w:r w:rsidR="00B347CF" w:rsidRPr="006F5D71">
        <w:rPr>
          <w:color w:val="000000" w:themeColor="text1"/>
        </w:rPr>
        <w:t xml:space="preserve"> (Elia</w:t>
      </w:r>
      <w:r w:rsidR="00431E42" w:rsidRPr="006F5D71">
        <w:rPr>
          <w:color w:val="000000" w:themeColor="text1"/>
        </w:rPr>
        <w:t xml:space="preserve"> et</w:t>
      </w:r>
      <w:r w:rsidR="00387B07" w:rsidRPr="006F5D71">
        <w:rPr>
          <w:color w:val="000000" w:themeColor="text1"/>
        </w:rPr>
        <w:t xml:space="preserve"> </w:t>
      </w:r>
      <w:r w:rsidR="00431E42" w:rsidRPr="006F5D71">
        <w:rPr>
          <w:color w:val="000000" w:themeColor="text1"/>
        </w:rPr>
        <w:t>al.</w:t>
      </w:r>
      <w:r w:rsidR="00B347CF" w:rsidRPr="006F5D71">
        <w:rPr>
          <w:color w:val="000000" w:themeColor="text1"/>
        </w:rPr>
        <w:t>, 2020)</w:t>
      </w:r>
      <w:r w:rsidRPr="006F5D71">
        <w:rPr>
          <w:color w:val="000000" w:themeColor="text1"/>
        </w:rPr>
        <w:t xml:space="preserve">. </w:t>
      </w:r>
      <w:r w:rsidR="0082136F" w:rsidRPr="006F5D71">
        <w:rPr>
          <w:color w:val="000000" w:themeColor="text1"/>
        </w:rPr>
        <w:t>In Southern locations, Chinese and Indian firms enjoy competitive advantages and leadership in several areas</w:t>
      </w:r>
      <w:r w:rsidR="00B347CF" w:rsidRPr="006F5D71">
        <w:rPr>
          <w:color w:val="000000" w:themeColor="text1"/>
        </w:rPr>
        <w:t xml:space="preserve"> (</w:t>
      </w:r>
      <w:proofErr w:type="spellStart"/>
      <w:r w:rsidR="00B347CF" w:rsidRPr="006F5D71">
        <w:rPr>
          <w:color w:val="000000" w:themeColor="text1"/>
        </w:rPr>
        <w:t>Korbi</w:t>
      </w:r>
      <w:proofErr w:type="spellEnd"/>
      <w:r w:rsidR="00B347CF" w:rsidRPr="006F5D71">
        <w:rPr>
          <w:color w:val="000000" w:themeColor="text1"/>
        </w:rPr>
        <w:t xml:space="preserve"> et al., 2021)</w:t>
      </w:r>
      <w:r w:rsidR="0082136F" w:rsidRPr="006F5D71">
        <w:rPr>
          <w:color w:val="000000" w:themeColor="text1"/>
        </w:rPr>
        <w:t>.</w:t>
      </w:r>
      <w:r w:rsidR="00F72D31">
        <w:rPr>
          <w:color w:val="000000" w:themeColor="text1"/>
        </w:rPr>
        <w:t xml:space="preserve"> </w:t>
      </w:r>
      <w:r w:rsidR="0015728F" w:rsidRPr="006F5D71">
        <w:rPr>
          <w:color w:val="000000" w:themeColor="text1"/>
        </w:rPr>
        <w:t>The low competitive pressure due to weaker FSAs of local firms makes it easier for EMNCs to develop market power and earn profit</w:t>
      </w:r>
      <w:r w:rsidR="00B347CF" w:rsidRPr="006F5D71">
        <w:rPr>
          <w:color w:val="000000" w:themeColor="text1"/>
        </w:rPr>
        <w:t xml:space="preserve"> (Getachew and Beamish, 2017)</w:t>
      </w:r>
      <w:r w:rsidR="0015728F" w:rsidRPr="006F5D71">
        <w:rPr>
          <w:color w:val="000000" w:themeColor="text1"/>
        </w:rPr>
        <w:t>. Th</w:t>
      </w:r>
      <w:r w:rsidR="0082136F" w:rsidRPr="006F5D71">
        <w:rPr>
          <w:color w:val="000000" w:themeColor="text1"/>
        </w:rPr>
        <w:t xml:space="preserve">ere is little domestic competition that can imitate away these advantages. In the North, </w:t>
      </w:r>
      <w:r w:rsidR="0015728F" w:rsidRPr="006F5D71">
        <w:rPr>
          <w:color w:val="000000" w:themeColor="text1"/>
        </w:rPr>
        <w:t xml:space="preserve">relative </w:t>
      </w:r>
      <w:r w:rsidR="0082136F" w:rsidRPr="006F5D71">
        <w:rPr>
          <w:color w:val="000000" w:themeColor="text1"/>
        </w:rPr>
        <w:t>profitability is higher on account of cost leadership but</w:t>
      </w:r>
      <w:r w:rsidR="004B2327">
        <w:rPr>
          <w:color w:val="000000" w:themeColor="text1"/>
        </w:rPr>
        <w:t>,</w:t>
      </w:r>
      <w:r w:rsidR="0082136F" w:rsidRPr="006F5D71">
        <w:rPr>
          <w:color w:val="000000" w:themeColor="text1"/>
        </w:rPr>
        <w:t xml:space="preserve"> as noted in Section 2.1, these can be easily imitated by Northern competitors by establishing similar supply chains.</w:t>
      </w:r>
      <w:r w:rsidR="0015728F" w:rsidRPr="006F5D71">
        <w:rPr>
          <w:color w:val="000000" w:themeColor="text1"/>
        </w:rPr>
        <w:t xml:space="preserve"> However, our findings contradict the studies examining the effects of FSAs on firm survival across contrasting instit</w:t>
      </w:r>
      <w:r w:rsidR="000A4526" w:rsidRPr="006F5D71">
        <w:rPr>
          <w:color w:val="000000" w:themeColor="text1"/>
        </w:rPr>
        <w:t>utional environments (Gu et al.</w:t>
      </w:r>
      <w:r w:rsidR="0015728F" w:rsidRPr="006F5D71">
        <w:rPr>
          <w:color w:val="000000" w:themeColor="text1"/>
        </w:rPr>
        <w:t xml:space="preserve"> </w:t>
      </w:r>
      <w:r w:rsidR="001635D4" w:rsidRPr="006F5D71">
        <w:rPr>
          <w:color w:val="000000" w:themeColor="text1"/>
        </w:rPr>
        <w:t xml:space="preserve">2018; </w:t>
      </w:r>
      <w:proofErr w:type="spellStart"/>
      <w:r w:rsidR="001635D4" w:rsidRPr="006F5D71">
        <w:rPr>
          <w:color w:val="000000" w:themeColor="text1"/>
        </w:rPr>
        <w:t>Getchew</w:t>
      </w:r>
      <w:proofErr w:type="spellEnd"/>
      <w:r w:rsidR="001635D4" w:rsidRPr="006F5D71">
        <w:rPr>
          <w:color w:val="000000" w:themeColor="text1"/>
        </w:rPr>
        <w:t xml:space="preserve"> and Beamish, 2017</w:t>
      </w:r>
      <w:r w:rsidR="0015728F" w:rsidRPr="006F5D71">
        <w:rPr>
          <w:color w:val="000000" w:themeColor="text1"/>
        </w:rPr>
        <w:t xml:space="preserve">). These studies show that investing in developed countries could increase firms’ survival. We attribute the difference in results to </w:t>
      </w:r>
      <w:r w:rsidR="00A12FCA" w:rsidRPr="006F5D71">
        <w:rPr>
          <w:color w:val="000000" w:themeColor="text1"/>
        </w:rPr>
        <w:t>our</w:t>
      </w:r>
      <w:r w:rsidR="0015728F" w:rsidRPr="006F5D71">
        <w:rPr>
          <w:color w:val="000000" w:themeColor="text1"/>
        </w:rPr>
        <w:t xml:space="preserve"> use of relative FSAs that precisely measure firms’ ownership advantages compared to competing firms</w:t>
      </w:r>
      <w:r w:rsidR="00A12FCA" w:rsidRPr="006F5D71">
        <w:rPr>
          <w:color w:val="000000" w:themeColor="text1"/>
        </w:rPr>
        <w:t xml:space="preserve"> in that location</w:t>
      </w:r>
      <w:r w:rsidR="0015728F" w:rsidRPr="006F5D71">
        <w:rPr>
          <w:color w:val="000000" w:themeColor="text1"/>
        </w:rPr>
        <w:t>.</w:t>
      </w:r>
    </w:p>
    <w:p w14:paraId="5D285F21" w14:textId="77777777" w:rsidR="00254F23" w:rsidRPr="006F5D71" w:rsidRDefault="0082136F" w:rsidP="00F23AD7">
      <w:pPr>
        <w:spacing w:after="0" w:line="360" w:lineRule="auto"/>
        <w:ind w:firstLine="720"/>
        <w:jc w:val="both"/>
        <w:rPr>
          <w:color w:val="000000" w:themeColor="text1"/>
        </w:rPr>
      </w:pPr>
      <w:r w:rsidRPr="006F5D71">
        <w:rPr>
          <w:color w:val="000000" w:themeColor="text1"/>
        </w:rPr>
        <w:t>Against</w:t>
      </w:r>
      <w:r w:rsidR="009A1484" w:rsidRPr="006F5D71">
        <w:rPr>
          <w:color w:val="000000" w:themeColor="text1"/>
        </w:rPr>
        <w:t xml:space="preserve"> th</w:t>
      </w:r>
      <w:r w:rsidR="00737A36" w:rsidRPr="006F5D71">
        <w:rPr>
          <w:color w:val="000000" w:themeColor="text1"/>
        </w:rPr>
        <w:t>e</w:t>
      </w:r>
      <w:r w:rsidR="009A1484" w:rsidRPr="006F5D71">
        <w:rPr>
          <w:color w:val="000000" w:themeColor="text1"/>
        </w:rPr>
        <w:t xml:space="preserve"> backdrop</w:t>
      </w:r>
      <w:r w:rsidR="0015728F" w:rsidRPr="006F5D71">
        <w:rPr>
          <w:color w:val="000000" w:themeColor="text1"/>
        </w:rPr>
        <w:t xml:space="preserve"> of rewards</w:t>
      </w:r>
      <w:r w:rsidR="009A1484" w:rsidRPr="006F5D71">
        <w:rPr>
          <w:color w:val="000000" w:themeColor="text1"/>
        </w:rPr>
        <w:t>,</w:t>
      </w:r>
      <w:r w:rsidR="0015728F" w:rsidRPr="006F5D71">
        <w:rPr>
          <w:color w:val="000000" w:themeColor="text1"/>
        </w:rPr>
        <w:t xml:space="preserve"> exogenous and endogenous sources of uncertainty also define the switch/stay option on subsidiary investments. An increase in uncertai</w:t>
      </w:r>
      <w:r w:rsidR="00F13410" w:rsidRPr="006F5D71">
        <w:rPr>
          <w:color w:val="000000" w:themeColor="text1"/>
        </w:rPr>
        <w:t>nty (whatever the source)</w:t>
      </w:r>
      <w:r w:rsidR="0015728F" w:rsidRPr="006F5D71">
        <w:rPr>
          <w:color w:val="000000" w:themeColor="text1"/>
        </w:rPr>
        <w:t xml:space="preserve"> trigger</w:t>
      </w:r>
      <w:r w:rsidR="00F13410" w:rsidRPr="006F5D71">
        <w:rPr>
          <w:color w:val="000000" w:themeColor="text1"/>
        </w:rPr>
        <w:t>s</w:t>
      </w:r>
      <w:r w:rsidR="0015728F" w:rsidRPr="006F5D71">
        <w:rPr>
          <w:color w:val="000000" w:themeColor="text1"/>
        </w:rPr>
        <w:t xml:space="preserve"> a switch response and reduce</w:t>
      </w:r>
      <w:r w:rsidR="00F13410" w:rsidRPr="006F5D71">
        <w:rPr>
          <w:color w:val="000000" w:themeColor="text1"/>
        </w:rPr>
        <w:t>s</w:t>
      </w:r>
      <w:r w:rsidR="0015728F" w:rsidRPr="006F5D71">
        <w:rPr>
          <w:color w:val="000000" w:themeColor="text1"/>
        </w:rPr>
        <w:t xml:space="preserve"> the chances of survival</w:t>
      </w:r>
      <w:r w:rsidR="00B347CF" w:rsidRPr="006F5D71">
        <w:rPr>
          <w:color w:val="000000" w:themeColor="text1"/>
        </w:rPr>
        <w:t xml:space="preserve"> (</w:t>
      </w:r>
      <w:r w:rsidR="00F23AD7" w:rsidRPr="006F5D71">
        <w:rPr>
          <w:color w:val="000000" w:themeColor="text1"/>
        </w:rPr>
        <w:t>Tong and Li, 2008</w:t>
      </w:r>
      <w:r w:rsidR="00B347CF" w:rsidRPr="006F5D71">
        <w:rPr>
          <w:color w:val="000000" w:themeColor="text1"/>
        </w:rPr>
        <w:t>)</w:t>
      </w:r>
      <w:r w:rsidR="0015728F" w:rsidRPr="006F5D71">
        <w:rPr>
          <w:color w:val="000000" w:themeColor="text1"/>
        </w:rPr>
        <w:t>.</w:t>
      </w:r>
      <w:r w:rsidR="00F72D31">
        <w:rPr>
          <w:color w:val="000000" w:themeColor="text1"/>
        </w:rPr>
        <w:t xml:space="preserve"> </w:t>
      </w:r>
      <w:r w:rsidR="00254F23" w:rsidRPr="006F5D71">
        <w:rPr>
          <w:color w:val="000000" w:themeColor="text1"/>
        </w:rPr>
        <w:t>From the real options perspective, it can also be suggested that EMNCs are more likely to survive when risk is managed effectively (uncertainty is resolved favorably).</w:t>
      </w:r>
      <w:r w:rsidR="00FF4FE6" w:rsidRPr="006F5D71">
        <w:rPr>
          <w:color w:val="000000" w:themeColor="text1"/>
        </w:rPr>
        <w:t xml:space="preserve"> </w:t>
      </w:r>
      <w:r w:rsidR="0015728F" w:rsidRPr="006F5D71">
        <w:rPr>
          <w:color w:val="000000" w:themeColor="text1"/>
        </w:rPr>
        <w:t>T</w:t>
      </w:r>
      <w:r w:rsidR="00E03C6D" w:rsidRPr="006F5D71">
        <w:rPr>
          <w:color w:val="000000" w:themeColor="text1"/>
        </w:rPr>
        <w:t xml:space="preserve">he financial crisis </w:t>
      </w:r>
      <w:r w:rsidR="005E6BDE" w:rsidRPr="006F5D71">
        <w:rPr>
          <w:color w:val="000000" w:themeColor="text1"/>
        </w:rPr>
        <w:t xml:space="preserve">of </w:t>
      </w:r>
      <w:r w:rsidR="00E03C6D" w:rsidRPr="006F5D71">
        <w:rPr>
          <w:color w:val="000000" w:themeColor="text1"/>
        </w:rPr>
        <w:t>2008</w:t>
      </w:r>
      <w:r w:rsidR="009A1484" w:rsidRPr="006F5D71">
        <w:rPr>
          <w:color w:val="000000" w:themeColor="text1"/>
        </w:rPr>
        <w:t xml:space="preserve"> t</w:t>
      </w:r>
      <w:r w:rsidR="00E03C6D" w:rsidRPr="006F5D71">
        <w:rPr>
          <w:color w:val="000000" w:themeColor="text1"/>
        </w:rPr>
        <w:t xml:space="preserve">riggered exchange rate </w:t>
      </w:r>
      <w:r w:rsidR="0015728F" w:rsidRPr="006F5D71">
        <w:rPr>
          <w:color w:val="000000" w:themeColor="text1"/>
        </w:rPr>
        <w:t xml:space="preserve">volatility, shrank </w:t>
      </w:r>
      <w:r w:rsidR="00E03C6D" w:rsidRPr="006F5D71">
        <w:rPr>
          <w:color w:val="000000" w:themeColor="text1"/>
        </w:rPr>
        <w:t xml:space="preserve">demand, </w:t>
      </w:r>
      <w:r w:rsidR="0015728F" w:rsidRPr="006F5D71">
        <w:rPr>
          <w:color w:val="000000" w:themeColor="text1"/>
        </w:rPr>
        <w:t xml:space="preserve">and </w:t>
      </w:r>
      <w:r w:rsidR="004B2327" w:rsidRPr="006F5D71">
        <w:rPr>
          <w:color w:val="000000" w:themeColor="text1"/>
        </w:rPr>
        <w:t xml:space="preserve">even </w:t>
      </w:r>
      <w:r w:rsidR="00E03C6D" w:rsidRPr="006F5D71">
        <w:rPr>
          <w:color w:val="000000" w:themeColor="text1"/>
        </w:rPr>
        <w:t xml:space="preserve">made </w:t>
      </w:r>
      <w:r w:rsidR="009A1484" w:rsidRPr="006F5D71">
        <w:rPr>
          <w:color w:val="000000" w:themeColor="text1"/>
        </w:rPr>
        <w:t xml:space="preserve">the </w:t>
      </w:r>
      <w:r w:rsidR="00E03C6D" w:rsidRPr="006F5D71">
        <w:rPr>
          <w:color w:val="000000" w:themeColor="text1"/>
        </w:rPr>
        <w:t xml:space="preserve">survival of EMNCs difficult in </w:t>
      </w:r>
      <w:r w:rsidR="005E6BDE" w:rsidRPr="006F5D71">
        <w:rPr>
          <w:color w:val="000000" w:themeColor="text1"/>
        </w:rPr>
        <w:t xml:space="preserve">the </w:t>
      </w:r>
      <w:r w:rsidR="00E03C6D" w:rsidRPr="006F5D71">
        <w:rPr>
          <w:color w:val="000000" w:themeColor="text1"/>
        </w:rPr>
        <w:t>North</w:t>
      </w:r>
      <w:r w:rsidR="00F23AD7" w:rsidRPr="006F5D71">
        <w:rPr>
          <w:color w:val="000000" w:themeColor="text1"/>
        </w:rPr>
        <w:t xml:space="preserve"> (</w:t>
      </w:r>
      <w:proofErr w:type="spellStart"/>
      <w:r w:rsidR="00F23AD7" w:rsidRPr="006F5D71">
        <w:rPr>
          <w:color w:val="000000" w:themeColor="text1"/>
        </w:rPr>
        <w:t>Athreye</w:t>
      </w:r>
      <w:proofErr w:type="spellEnd"/>
      <w:r w:rsidR="00F23AD7" w:rsidRPr="006F5D71">
        <w:rPr>
          <w:color w:val="000000" w:themeColor="text1"/>
        </w:rPr>
        <w:t xml:space="preserve"> et al., 2021)</w:t>
      </w:r>
      <w:r w:rsidR="00E03C6D" w:rsidRPr="006F5D71">
        <w:rPr>
          <w:color w:val="000000" w:themeColor="text1"/>
        </w:rPr>
        <w:t xml:space="preserve">. </w:t>
      </w:r>
      <w:r w:rsidR="00254F23" w:rsidRPr="006F5D71">
        <w:rPr>
          <w:color w:val="000000" w:themeColor="text1"/>
        </w:rPr>
        <w:t xml:space="preserve">We found very high hazard rates for these factors with the </w:t>
      </w:r>
      <w:r w:rsidR="004B2327" w:rsidRPr="006F5D71">
        <w:rPr>
          <w:color w:val="000000" w:themeColor="text1"/>
        </w:rPr>
        <w:t xml:space="preserve">financial crisis </w:t>
      </w:r>
      <w:r w:rsidR="00254F23" w:rsidRPr="006F5D71">
        <w:rPr>
          <w:color w:val="000000" w:themeColor="text1"/>
        </w:rPr>
        <w:t>increasi</w:t>
      </w:r>
      <w:r w:rsidR="00EE1184" w:rsidRPr="006F5D71">
        <w:rPr>
          <w:color w:val="000000" w:themeColor="text1"/>
        </w:rPr>
        <w:t xml:space="preserve">ng the probability of exit by </w:t>
      </w:r>
      <w:r w:rsidR="00EE1184" w:rsidRPr="006F5D71">
        <w:rPr>
          <w:color w:val="000000" w:themeColor="text1"/>
        </w:rPr>
        <w:lastRenderedPageBreak/>
        <w:t>86</w:t>
      </w:r>
      <w:r w:rsidR="00254F23" w:rsidRPr="006F5D71">
        <w:rPr>
          <w:color w:val="000000" w:themeColor="text1"/>
        </w:rPr>
        <w:t>%.</w:t>
      </w:r>
      <w:r w:rsidR="00F72D31">
        <w:rPr>
          <w:color w:val="000000" w:themeColor="text1"/>
        </w:rPr>
        <w:t xml:space="preserve"> </w:t>
      </w:r>
      <w:r w:rsidR="00254F23" w:rsidRPr="006F5D71">
        <w:rPr>
          <w:color w:val="000000" w:themeColor="text1"/>
        </w:rPr>
        <w:t xml:space="preserve">Endogenous risk also </w:t>
      </w:r>
      <w:r w:rsidR="00737A36" w:rsidRPr="006F5D71">
        <w:rPr>
          <w:color w:val="000000" w:themeColor="text1"/>
        </w:rPr>
        <w:t>presents</w:t>
      </w:r>
      <w:r w:rsidR="00254F23" w:rsidRPr="006F5D71">
        <w:rPr>
          <w:color w:val="000000" w:themeColor="text1"/>
        </w:rPr>
        <w:t xml:space="preserve"> high hazard in North</w:t>
      </w:r>
      <w:r w:rsidR="00737A36" w:rsidRPr="006F5D71">
        <w:rPr>
          <w:color w:val="000000" w:themeColor="text1"/>
        </w:rPr>
        <w:t>ern locations</w:t>
      </w:r>
      <w:r w:rsidR="00254F23" w:rsidRPr="006F5D71">
        <w:rPr>
          <w:color w:val="000000" w:themeColor="text1"/>
        </w:rPr>
        <w:t xml:space="preserve"> and increase</w:t>
      </w:r>
      <w:r w:rsidR="00F06452" w:rsidRPr="006F5D71">
        <w:rPr>
          <w:color w:val="000000" w:themeColor="text1"/>
        </w:rPr>
        <w:t>s</w:t>
      </w:r>
      <w:r w:rsidR="00254F23" w:rsidRPr="006F5D71">
        <w:rPr>
          <w:color w:val="000000" w:themeColor="text1"/>
        </w:rPr>
        <w:t xml:space="preserve"> the probability of exit. </w:t>
      </w:r>
      <w:r w:rsidR="00674C50" w:rsidRPr="006F5D71">
        <w:rPr>
          <w:color w:val="000000" w:themeColor="text1"/>
        </w:rPr>
        <w:t>This is because</w:t>
      </w:r>
      <w:r w:rsidR="00254F23" w:rsidRPr="006F5D71">
        <w:rPr>
          <w:color w:val="000000" w:themeColor="text1"/>
        </w:rPr>
        <w:t xml:space="preserve"> it is easier for EMNCs to exit the market when formal institutions are well developed, so both endogenous and exogenous risk trigger exits.</w:t>
      </w:r>
    </w:p>
    <w:p w14:paraId="70D65DF6" w14:textId="77777777" w:rsidR="001669A2" w:rsidRPr="006F5D71" w:rsidRDefault="001669A2" w:rsidP="00582853">
      <w:pPr>
        <w:spacing w:after="0" w:line="360" w:lineRule="auto"/>
        <w:ind w:firstLine="720"/>
        <w:jc w:val="both"/>
        <w:rPr>
          <w:color w:val="000000" w:themeColor="text1"/>
        </w:rPr>
      </w:pPr>
      <w:r w:rsidRPr="006F5D71">
        <w:rPr>
          <w:color w:val="000000" w:themeColor="text1"/>
        </w:rPr>
        <w:t xml:space="preserve">The institutional similarity between </w:t>
      </w:r>
      <w:r w:rsidR="004B2327">
        <w:rPr>
          <w:color w:val="000000" w:themeColor="text1"/>
        </w:rPr>
        <w:t xml:space="preserve">an </w:t>
      </w:r>
      <w:r w:rsidRPr="006F5D71">
        <w:rPr>
          <w:color w:val="000000" w:themeColor="text1"/>
        </w:rPr>
        <w:t>EMNC’s home market and South</w:t>
      </w:r>
      <w:r w:rsidR="00737A36" w:rsidRPr="006F5D71">
        <w:rPr>
          <w:color w:val="000000" w:themeColor="text1"/>
        </w:rPr>
        <w:t>ern locations</w:t>
      </w:r>
      <w:r w:rsidRPr="006F5D71">
        <w:rPr>
          <w:color w:val="000000" w:themeColor="text1"/>
        </w:rPr>
        <w:t xml:space="preserve"> </w:t>
      </w:r>
      <w:r w:rsidR="00254F23" w:rsidRPr="006F5D71">
        <w:rPr>
          <w:color w:val="000000" w:themeColor="text1"/>
        </w:rPr>
        <w:t xml:space="preserve">is reflected in the lack of a clear hazard associated with endogenous risks in the South. Learning from the home environment </w:t>
      </w:r>
      <w:r w:rsidRPr="006F5D71">
        <w:rPr>
          <w:color w:val="000000" w:themeColor="text1"/>
        </w:rPr>
        <w:t xml:space="preserve">enhances </w:t>
      </w:r>
      <w:r w:rsidR="004B2327">
        <w:rPr>
          <w:color w:val="000000" w:themeColor="text1"/>
        </w:rPr>
        <w:t xml:space="preserve">the </w:t>
      </w:r>
      <w:r w:rsidR="00254F23" w:rsidRPr="006F5D71">
        <w:rPr>
          <w:color w:val="000000" w:themeColor="text1"/>
        </w:rPr>
        <w:t>subsidiary</w:t>
      </w:r>
      <w:r w:rsidRPr="006F5D71">
        <w:rPr>
          <w:color w:val="000000" w:themeColor="text1"/>
        </w:rPr>
        <w:t xml:space="preserve"> abilities of ad</w:t>
      </w:r>
      <w:r w:rsidR="005E6BDE" w:rsidRPr="006F5D71">
        <w:rPr>
          <w:color w:val="000000" w:themeColor="text1"/>
        </w:rPr>
        <w:t>a</w:t>
      </w:r>
      <w:r w:rsidRPr="006F5D71">
        <w:rPr>
          <w:color w:val="000000" w:themeColor="text1"/>
        </w:rPr>
        <w:t>ptability and learning the market conditions</w:t>
      </w:r>
      <w:r w:rsidR="00F23AD7" w:rsidRPr="006F5D71">
        <w:rPr>
          <w:color w:val="000000" w:themeColor="text1"/>
        </w:rPr>
        <w:t xml:space="preserve"> (</w:t>
      </w:r>
      <w:proofErr w:type="spellStart"/>
      <w:r w:rsidR="00F23AD7" w:rsidRPr="006F5D71">
        <w:rPr>
          <w:color w:val="000000" w:themeColor="text1"/>
        </w:rPr>
        <w:t>Bordilovska</w:t>
      </w:r>
      <w:proofErr w:type="spellEnd"/>
      <w:r w:rsidR="00F23AD7" w:rsidRPr="006F5D71">
        <w:rPr>
          <w:color w:val="000000" w:themeColor="text1"/>
        </w:rPr>
        <w:t xml:space="preserve"> &amp; </w:t>
      </w:r>
      <w:proofErr w:type="spellStart"/>
      <w:r w:rsidR="00F23AD7" w:rsidRPr="006F5D71">
        <w:rPr>
          <w:color w:val="000000" w:themeColor="text1"/>
        </w:rPr>
        <w:t>Ugwu</w:t>
      </w:r>
      <w:proofErr w:type="spellEnd"/>
      <w:r w:rsidR="00F23AD7" w:rsidRPr="006F5D71">
        <w:rPr>
          <w:color w:val="000000" w:themeColor="text1"/>
        </w:rPr>
        <w:t>, 2018) which,</w:t>
      </w:r>
      <w:r w:rsidRPr="006F5D71">
        <w:rPr>
          <w:color w:val="000000" w:themeColor="text1"/>
        </w:rPr>
        <w:t xml:space="preserve"> in turn</w:t>
      </w:r>
      <w:r w:rsidR="00D14A21" w:rsidRPr="006F5D71">
        <w:rPr>
          <w:color w:val="000000" w:themeColor="text1"/>
        </w:rPr>
        <w:t>,</w:t>
      </w:r>
      <w:r w:rsidRPr="006F5D71">
        <w:rPr>
          <w:color w:val="000000" w:themeColor="text1"/>
        </w:rPr>
        <w:t xml:space="preserve"> enable them to deal with the risks arising from the lack (or absence) of market</w:t>
      </w:r>
      <w:r w:rsidR="004B2327">
        <w:rPr>
          <w:color w:val="000000" w:themeColor="text1"/>
        </w:rPr>
        <w:t>-</w:t>
      </w:r>
      <w:r w:rsidRPr="006F5D71">
        <w:rPr>
          <w:color w:val="000000" w:themeColor="text1"/>
        </w:rPr>
        <w:t>supporting institutions and avail</w:t>
      </w:r>
      <w:r w:rsidR="004B2327">
        <w:rPr>
          <w:color w:val="000000" w:themeColor="text1"/>
        </w:rPr>
        <w:t>ing</w:t>
      </w:r>
      <w:r w:rsidRPr="006F5D71">
        <w:rPr>
          <w:color w:val="000000" w:themeColor="text1"/>
        </w:rPr>
        <w:t xml:space="preserve"> opportunities arising from the decreased competitive intensity. </w:t>
      </w:r>
    </w:p>
    <w:p w14:paraId="6ADF9290" w14:textId="77777777" w:rsidR="001669A2" w:rsidRPr="006F5D71" w:rsidRDefault="001669A2" w:rsidP="00B0173B">
      <w:pPr>
        <w:spacing w:line="360" w:lineRule="auto"/>
        <w:ind w:firstLine="720"/>
        <w:jc w:val="both"/>
        <w:rPr>
          <w:color w:val="000000" w:themeColor="text1"/>
        </w:rPr>
      </w:pPr>
      <w:r w:rsidRPr="006F5D71">
        <w:rPr>
          <w:color w:val="000000" w:themeColor="text1"/>
        </w:rPr>
        <w:t xml:space="preserve">Our results </w:t>
      </w:r>
      <w:r w:rsidR="00254F23" w:rsidRPr="006F5D71">
        <w:rPr>
          <w:color w:val="000000" w:themeColor="text1"/>
        </w:rPr>
        <w:t xml:space="preserve">also </w:t>
      </w:r>
      <w:r w:rsidRPr="006F5D71">
        <w:rPr>
          <w:color w:val="000000" w:themeColor="text1"/>
        </w:rPr>
        <w:t xml:space="preserve">show </w:t>
      </w:r>
      <w:r w:rsidR="00254F23" w:rsidRPr="006F5D71">
        <w:rPr>
          <w:color w:val="000000" w:themeColor="text1"/>
        </w:rPr>
        <w:t xml:space="preserve">that home country </w:t>
      </w:r>
      <w:r w:rsidRPr="006F5D71">
        <w:rPr>
          <w:color w:val="000000" w:themeColor="text1"/>
        </w:rPr>
        <w:t xml:space="preserve">diaspora </w:t>
      </w:r>
      <w:r w:rsidR="00254F23" w:rsidRPr="006F5D71">
        <w:rPr>
          <w:color w:val="000000" w:themeColor="text1"/>
        </w:rPr>
        <w:t>i</w:t>
      </w:r>
      <w:r w:rsidRPr="006F5D71">
        <w:rPr>
          <w:color w:val="000000" w:themeColor="text1"/>
        </w:rPr>
        <w:t xml:space="preserve">s </w:t>
      </w:r>
      <w:r w:rsidR="00473243" w:rsidRPr="006F5D71">
        <w:rPr>
          <w:color w:val="000000" w:themeColor="text1"/>
        </w:rPr>
        <w:t>an</w:t>
      </w:r>
      <w:r w:rsidRPr="006F5D71">
        <w:rPr>
          <w:color w:val="000000" w:themeColor="text1"/>
        </w:rPr>
        <w:t xml:space="preserve"> </w:t>
      </w:r>
      <w:r w:rsidR="00254F23" w:rsidRPr="006F5D71">
        <w:rPr>
          <w:color w:val="000000" w:themeColor="text1"/>
        </w:rPr>
        <w:t xml:space="preserve">endogenous </w:t>
      </w:r>
      <w:r w:rsidRPr="006F5D71">
        <w:rPr>
          <w:color w:val="000000" w:themeColor="text1"/>
        </w:rPr>
        <w:t>risk</w:t>
      </w:r>
      <w:r w:rsidR="005E6BDE" w:rsidRPr="006F5D71">
        <w:rPr>
          <w:color w:val="000000" w:themeColor="text1"/>
        </w:rPr>
        <w:t>-</w:t>
      </w:r>
      <w:r w:rsidRPr="006F5D71">
        <w:rPr>
          <w:color w:val="000000" w:themeColor="text1"/>
        </w:rPr>
        <w:t>mitigating factor in host location</w:t>
      </w:r>
      <w:r w:rsidR="00254F23" w:rsidRPr="006F5D71">
        <w:rPr>
          <w:color w:val="000000" w:themeColor="text1"/>
        </w:rPr>
        <w:t>s in the South</w:t>
      </w:r>
      <w:r w:rsidRPr="006F5D71">
        <w:rPr>
          <w:color w:val="000000" w:themeColor="text1"/>
        </w:rPr>
        <w:t xml:space="preserve">. This result is in line with earlier studies that acknowledge </w:t>
      </w:r>
      <w:r w:rsidR="005E6BDE" w:rsidRPr="006F5D71">
        <w:rPr>
          <w:color w:val="000000" w:themeColor="text1"/>
        </w:rPr>
        <w:t xml:space="preserve">the </w:t>
      </w:r>
      <w:r w:rsidRPr="006F5D71">
        <w:rPr>
          <w:color w:val="000000" w:themeColor="text1"/>
        </w:rPr>
        <w:t xml:space="preserve">immigrant community as a ready market available to foreign firms in host locations (Shukla and Cantwell 2018; </w:t>
      </w:r>
      <w:proofErr w:type="spellStart"/>
      <w:r w:rsidRPr="006F5D71">
        <w:rPr>
          <w:color w:val="000000" w:themeColor="text1"/>
        </w:rPr>
        <w:t>Foad</w:t>
      </w:r>
      <w:proofErr w:type="spellEnd"/>
      <w:r w:rsidRPr="006F5D71">
        <w:rPr>
          <w:color w:val="000000" w:themeColor="text1"/>
        </w:rPr>
        <w:t xml:space="preserve">, 2012). We argue that immigrants’ </w:t>
      </w:r>
      <w:r w:rsidR="00254F23" w:rsidRPr="006F5D71">
        <w:rPr>
          <w:color w:val="000000" w:themeColor="text1"/>
        </w:rPr>
        <w:t>insider</w:t>
      </w:r>
      <w:r w:rsidRPr="006F5D71">
        <w:rPr>
          <w:color w:val="000000" w:themeColor="text1"/>
        </w:rPr>
        <w:t xml:space="preserve"> knowledge and information about customers, suppliers, producers</w:t>
      </w:r>
      <w:r w:rsidR="005E6BDE" w:rsidRPr="006F5D71">
        <w:rPr>
          <w:color w:val="000000" w:themeColor="text1"/>
        </w:rPr>
        <w:t>,</w:t>
      </w:r>
      <w:r w:rsidRPr="006F5D71">
        <w:rPr>
          <w:color w:val="000000" w:themeColor="text1"/>
        </w:rPr>
        <w:t xml:space="preserve"> and distributors</w:t>
      </w:r>
      <w:r w:rsidR="004B2327">
        <w:rPr>
          <w:color w:val="000000" w:themeColor="text1"/>
        </w:rPr>
        <w:t>,</w:t>
      </w:r>
      <w:r w:rsidRPr="006F5D71">
        <w:rPr>
          <w:color w:val="000000" w:themeColor="text1"/>
        </w:rPr>
        <w:t xml:space="preserve"> enable</w:t>
      </w:r>
      <w:r w:rsidR="004B2327">
        <w:rPr>
          <w:color w:val="000000" w:themeColor="text1"/>
        </w:rPr>
        <w:t>s</w:t>
      </w:r>
      <w:r w:rsidRPr="006F5D71">
        <w:rPr>
          <w:color w:val="000000" w:themeColor="text1"/>
        </w:rPr>
        <w:t xml:space="preserve"> EMNCs to mitigate the endogenous risks</w:t>
      </w:r>
      <w:r w:rsidR="000510CF" w:rsidRPr="006F5D71">
        <w:rPr>
          <w:color w:val="000000" w:themeColor="text1"/>
        </w:rPr>
        <w:t xml:space="preserve"> </w:t>
      </w:r>
      <w:r w:rsidRPr="006F5D71">
        <w:rPr>
          <w:color w:val="000000" w:themeColor="text1"/>
        </w:rPr>
        <w:t xml:space="preserve">in host markets </w:t>
      </w:r>
      <w:r w:rsidR="004B2327">
        <w:rPr>
          <w:color w:val="000000" w:themeColor="text1"/>
        </w:rPr>
        <w:t xml:space="preserve">and </w:t>
      </w:r>
      <w:r w:rsidR="005E6BDE" w:rsidRPr="006F5D71">
        <w:rPr>
          <w:color w:val="000000" w:themeColor="text1"/>
        </w:rPr>
        <w:t>are</w:t>
      </w:r>
      <w:r w:rsidRPr="006F5D71">
        <w:rPr>
          <w:color w:val="000000" w:themeColor="text1"/>
        </w:rPr>
        <w:t xml:space="preserve"> more important for firms in locations </w:t>
      </w:r>
      <w:r w:rsidR="00473243" w:rsidRPr="006F5D71">
        <w:rPr>
          <w:color w:val="000000" w:themeColor="text1"/>
        </w:rPr>
        <w:t>with weak institutions</w:t>
      </w:r>
      <w:r w:rsidR="000510CF" w:rsidRPr="006F5D71">
        <w:rPr>
          <w:color w:val="000000" w:themeColor="text1"/>
        </w:rPr>
        <w:t xml:space="preserve"> which help longer survival</w:t>
      </w:r>
      <w:r w:rsidRPr="006F5D71">
        <w:rPr>
          <w:color w:val="000000" w:themeColor="text1"/>
        </w:rPr>
        <w:t xml:space="preserve">. From this perspective, the information exchange and collaboration between </w:t>
      </w:r>
      <w:r w:rsidR="00473243" w:rsidRPr="006F5D71">
        <w:rPr>
          <w:color w:val="000000" w:themeColor="text1"/>
        </w:rPr>
        <w:t>home country diaspora</w:t>
      </w:r>
      <w:r w:rsidRPr="006F5D71">
        <w:rPr>
          <w:color w:val="000000" w:themeColor="text1"/>
        </w:rPr>
        <w:t xml:space="preserve"> and EMNCs help</w:t>
      </w:r>
      <w:r w:rsidR="004B2327">
        <w:rPr>
          <w:color w:val="000000" w:themeColor="text1"/>
        </w:rPr>
        <w:t>s</w:t>
      </w:r>
      <w:r w:rsidRPr="006F5D71">
        <w:rPr>
          <w:color w:val="000000" w:themeColor="text1"/>
        </w:rPr>
        <w:t xml:space="preserve"> </w:t>
      </w:r>
      <w:r w:rsidR="00F06452" w:rsidRPr="006F5D71">
        <w:rPr>
          <w:color w:val="000000" w:themeColor="text1"/>
        </w:rPr>
        <w:t>to reduce</w:t>
      </w:r>
      <w:r w:rsidRPr="006F5D71">
        <w:rPr>
          <w:color w:val="000000" w:themeColor="text1"/>
        </w:rPr>
        <w:t xml:space="preserve"> operational barriers and risks in </w:t>
      </w:r>
      <w:r w:rsidR="00473243" w:rsidRPr="006F5D71">
        <w:rPr>
          <w:color w:val="000000" w:themeColor="text1"/>
        </w:rPr>
        <w:t>countries of the South</w:t>
      </w:r>
      <w:r w:rsidRPr="006F5D71">
        <w:rPr>
          <w:color w:val="000000" w:themeColor="text1"/>
        </w:rPr>
        <w:t xml:space="preserve">. </w:t>
      </w:r>
      <w:r w:rsidR="00473243" w:rsidRPr="006F5D71">
        <w:rPr>
          <w:color w:val="000000" w:themeColor="text1"/>
        </w:rPr>
        <w:t xml:space="preserve">In contrast, </w:t>
      </w:r>
      <w:r w:rsidR="00737A36" w:rsidRPr="006F5D71">
        <w:rPr>
          <w:color w:val="000000" w:themeColor="text1"/>
        </w:rPr>
        <w:t>p</w:t>
      </w:r>
      <w:r w:rsidR="00473243" w:rsidRPr="006F5D71">
        <w:rPr>
          <w:color w:val="000000" w:themeColor="text1"/>
        </w:rPr>
        <w:t xml:space="preserve">arent learning from the experience of running other subsidiaries in the region is a mitigating factor </w:t>
      </w:r>
      <w:r w:rsidR="00737A36" w:rsidRPr="006F5D71">
        <w:rPr>
          <w:color w:val="000000" w:themeColor="text1"/>
        </w:rPr>
        <w:t xml:space="preserve">with </w:t>
      </w:r>
      <w:r w:rsidR="00236E35" w:rsidRPr="006F5D71">
        <w:rPr>
          <w:color w:val="000000" w:themeColor="text1"/>
        </w:rPr>
        <w:t xml:space="preserve">a </w:t>
      </w:r>
      <w:r w:rsidR="00737A36" w:rsidRPr="006F5D71">
        <w:rPr>
          <w:color w:val="000000" w:themeColor="text1"/>
        </w:rPr>
        <w:t>much lower effect on the probability of exit. In</w:t>
      </w:r>
      <w:r w:rsidR="003A4431" w:rsidRPr="006F5D71">
        <w:rPr>
          <w:color w:val="000000" w:themeColor="text1"/>
        </w:rPr>
        <w:t xml:space="preserve"> North</w:t>
      </w:r>
      <w:r w:rsidR="00737A36" w:rsidRPr="006F5D71">
        <w:rPr>
          <w:color w:val="000000" w:themeColor="text1"/>
        </w:rPr>
        <w:t>ern locations</w:t>
      </w:r>
      <w:r w:rsidR="003A4431" w:rsidRPr="006F5D71">
        <w:rPr>
          <w:color w:val="000000" w:themeColor="text1"/>
        </w:rPr>
        <w:t xml:space="preserve"> </w:t>
      </w:r>
      <w:r w:rsidR="00737A36" w:rsidRPr="006F5D71">
        <w:rPr>
          <w:color w:val="000000" w:themeColor="text1"/>
        </w:rPr>
        <w:t xml:space="preserve">parent experience </w:t>
      </w:r>
      <w:r w:rsidR="005E1AA1" w:rsidRPr="006F5D71">
        <w:rPr>
          <w:color w:val="000000" w:themeColor="text1"/>
        </w:rPr>
        <w:t>reduc</w:t>
      </w:r>
      <w:r w:rsidR="00737A36" w:rsidRPr="006F5D71">
        <w:rPr>
          <w:color w:val="000000" w:themeColor="text1"/>
        </w:rPr>
        <w:t>es</w:t>
      </w:r>
      <w:r w:rsidR="005E1AA1" w:rsidRPr="006F5D71">
        <w:rPr>
          <w:color w:val="000000" w:themeColor="text1"/>
        </w:rPr>
        <w:t xml:space="preserve"> the probability of exit </w:t>
      </w:r>
      <w:r w:rsidR="00737A36" w:rsidRPr="006F5D71">
        <w:rPr>
          <w:color w:val="000000" w:themeColor="text1"/>
        </w:rPr>
        <w:t xml:space="preserve">by </w:t>
      </w:r>
      <w:r w:rsidR="005E1AA1" w:rsidRPr="006F5D71">
        <w:rPr>
          <w:color w:val="000000" w:themeColor="text1"/>
        </w:rPr>
        <w:t>1</w:t>
      </w:r>
      <w:r w:rsidR="00911C08" w:rsidRPr="006F5D71">
        <w:rPr>
          <w:color w:val="000000" w:themeColor="text1"/>
        </w:rPr>
        <w:t>5</w:t>
      </w:r>
      <w:r w:rsidR="00FD73DA" w:rsidRPr="006F5D71">
        <w:rPr>
          <w:color w:val="000000" w:themeColor="text1"/>
        </w:rPr>
        <w:t>% for the American region and 12</w:t>
      </w:r>
      <w:r w:rsidR="005E1AA1" w:rsidRPr="006F5D71">
        <w:rPr>
          <w:color w:val="000000" w:themeColor="text1"/>
        </w:rPr>
        <w:t>% for the European region</w:t>
      </w:r>
      <w:r w:rsidR="00674C50" w:rsidRPr="006F5D71">
        <w:rPr>
          <w:color w:val="000000" w:themeColor="text1"/>
        </w:rPr>
        <w:t>, while in</w:t>
      </w:r>
      <w:r w:rsidR="005E1AA1" w:rsidRPr="006F5D71">
        <w:rPr>
          <w:color w:val="000000" w:themeColor="text1"/>
        </w:rPr>
        <w:t xml:space="preserve"> South</w:t>
      </w:r>
      <w:r w:rsidR="00737A36" w:rsidRPr="006F5D71">
        <w:rPr>
          <w:color w:val="000000" w:themeColor="text1"/>
        </w:rPr>
        <w:t>ern locations this effect is larger</w:t>
      </w:r>
      <w:r w:rsidR="005E1AA1" w:rsidRPr="006F5D71">
        <w:rPr>
          <w:color w:val="000000" w:themeColor="text1"/>
        </w:rPr>
        <w:t xml:space="preserve"> (42% for Africa, 85% for Asia an</w:t>
      </w:r>
      <w:r w:rsidR="00EB2896" w:rsidRPr="006F5D71">
        <w:rPr>
          <w:color w:val="000000" w:themeColor="text1"/>
        </w:rPr>
        <w:t>d 62</w:t>
      </w:r>
      <w:r w:rsidR="005E1AA1" w:rsidRPr="006F5D71">
        <w:rPr>
          <w:color w:val="000000" w:themeColor="text1"/>
        </w:rPr>
        <w:t>% for Arab countries).</w:t>
      </w:r>
    </w:p>
    <w:p w14:paraId="1E06833E" w14:textId="77777777" w:rsidR="004454C8" w:rsidRPr="006F5D71" w:rsidRDefault="00481B17" w:rsidP="004454C8">
      <w:pPr>
        <w:spacing w:line="360" w:lineRule="auto"/>
        <w:jc w:val="both"/>
        <w:rPr>
          <w:i/>
          <w:color w:val="000000" w:themeColor="text1"/>
        </w:rPr>
      </w:pPr>
      <w:r w:rsidRPr="006F5D71">
        <w:rPr>
          <w:b/>
          <w:color w:val="000000" w:themeColor="text1"/>
        </w:rPr>
        <w:tab/>
      </w:r>
      <w:r w:rsidR="004454C8" w:rsidRPr="006F5D71">
        <w:rPr>
          <w:i/>
          <w:color w:val="000000" w:themeColor="text1"/>
        </w:rPr>
        <w:t>5.1. Theoretical implications</w:t>
      </w:r>
    </w:p>
    <w:p w14:paraId="7AE5AEC5" w14:textId="77777777" w:rsidR="003B55C6" w:rsidRDefault="004F37B5" w:rsidP="003B55C6">
      <w:pPr>
        <w:spacing w:after="0" w:line="360" w:lineRule="auto"/>
        <w:jc w:val="both"/>
        <w:rPr>
          <w:color w:val="000000" w:themeColor="text1"/>
        </w:rPr>
      </w:pPr>
      <w:r w:rsidRPr="006F5D71">
        <w:rPr>
          <w:color w:val="000000" w:themeColor="text1"/>
        </w:rPr>
        <w:tab/>
      </w:r>
      <w:r w:rsidR="00861B08" w:rsidRPr="006F5D71">
        <w:rPr>
          <w:color w:val="000000" w:themeColor="text1"/>
        </w:rPr>
        <w:t>The location boundedness of FSAs emphasizes the transferability of FSAs across locations and suggests that some FSAs remain sticky to certain locations and require significant adaption to be used in other locations</w:t>
      </w:r>
      <w:r w:rsidR="001635D4" w:rsidRPr="006F5D71">
        <w:rPr>
          <w:color w:val="000000" w:themeColor="text1"/>
        </w:rPr>
        <w:t xml:space="preserve"> (Rugman and Verbeke, 2003</w:t>
      </w:r>
      <w:r w:rsidR="00861B08" w:rsidRPr="006F5D71">
        <w:rPr>
          <w:color w:val="000000" w:themeColor="text1"/>
        </w:rPr>
        <w:t>; Narula, 2012). Earlier studies generally consider</w:t>
      </w:r>
      <w:r w:rsidR="00423BAE" w:rsidRPr="006F5D71">
        <w:rPr>
          <w:color w:val="000000" w:themeColor="text1"/>
        </w:rPr>
        <w:t xml:space="preserve"> contextually embedded</w:t>
      </w:r>
      <w:r w:rsidR="00861B08" w:rsidRPr="006F5D71">
        <w:rPr>
          <w:color w:val="000000" w:themeColor="text1"/>
        </w:rPr>
        <w:t xml:space="preserve"> </w:t>
      </w:r>
      <w:r w:rsidR="00F23AD7" w:rsidRPr="006F5D71">
        <w:rPr>
          <w:color w:val="000000" w:themeColor="text1"/>
        </w:rPr>
        <w:t>factors</w:t>
      </w:r>
      <w:r w:rsidR="00861B08" w:rsidRPr="006F5D71">
        <w:rPr>
          <w:color w:val="000000" w:themeColor="text1"/>
        </w:rPr>
        <w:t xml:space="preserve"> such as</w:t>
      </w:r>
      <w:r w:rsidR="00F23AD7" w:rsidRPr="006F5D71">
        <w:rPr>
          <w:color w:val="000000" w:themeColor="text1"/>
        </w:rPr>
        <w:t xml:space="preserve"> production-related inputs</w:t>
      </w:r>
      <w:r w:rsidR="00861B08" w:rsidRPr="006F5D71">
        <w:rPr>
          <w:color w:val="000000" w:themeColor="text1"/>
        </w:rPr>
        <w:t xml:space="preserve"> (low</w:t>
      </w:r>
      <w:r w:rsidR="00F52463" w:rsidRPr="006F5D71">
        <w:rPr>
          <w:color w:val="000000" w:themeColor="text1"/>
        </w:rPr>
        <w:t>-</w:t>
      </w:r>
      <w:r w:rsidR="00861B08" w:rsidRPr="006F5D71">
        <w:rPr>
          <w:color w:val="000000" w:themeColor="text1"/>
        </w:rPr>
        <w:t xml:space="preserve">cost capital, labor, and raw material) state-support, contextual knowledge, and local </w:t>
      </w:r>
      <w:r w:rsidR="00423BAE" w:rsidRPr="006F5D71">
        <w:rPr>
          <w:color w:val="000000" w:themeColor="text1"/>
        </w:rPr>
        <w:t>connections</w:t>
      </w:r>
      <w:r w:rsidR="00861B08" w:rsidRPr="006F5D71">
        <w:rPr>
          <w:color w:val="000000" w:themeColor="text1"/>
        </w:rPr>
        <w:t xml:space="preserve"> as location</w:t>
      </w:r>
      <w:r w:rsidR="004B2327">
        <w:rPr>
          <w:color w:val="000000" w:themeColor="text1"/>
        </w:rPr>
        <w:t>-</w:t>
      </w:r>
      <w:r w:rsidR="00861B08" w:rsidRPr="006F5D71">
        <w:rPr>
          <w:color w:val="000000" w:themeColor="text1"/>
        </w:rPr>
        <w:t>bounded FSAs of EMN</w:t>
      </w:r>
      <w:r w:rsidR="00737A36" w:rsidRPr="006F5D71">
        <w:rPr>
          <w:color w:val="000000" w:themeColor="text1"/>
        </w:rPr>
        <w:t>E</w:t>
      </w:r>
      <w:r w:rsidR="00861B08" w:rsidRPr="006F5D71">
        <w:rPr>
          <w:color w:val="000000" w:themeColor="text1"/>
        </w:rPr>
        <w:t>s (</w:t>
      </w:r>
      <w:r w:rsidR="003B55C6" w:rsidRPr="006F5D71">
        <w:rPr>
          <w:color w:val="000000" w:themeColor="text1"/>
        </w:rPr>
        <w:t>Suter et al., 2021</w:t>
      </w:r>
      <w:r w:rsidR="003B55C6">
        <w:rPr>
          <w:color w:val="000000" w:themeColor="text1"/>
        </w:rPr>
        <w:t xml:space="preserve">; </w:t>
      </w:r>
      <w:proofErr w:type="spellStart"/>
      <w:r w:rsidR="00861B08" w:rsidRPr="006F5D71">
        <w:rPr>
          <w:color w:val="000000" w:themeColor="text1"/>
        </w:rPr>
        <w:t>Bilgili</w:t>
      </w:r>
      <w:proofErr w:type="spellEnd"/>
      <w:r w:rsidR="00861B08" w:rsidRPr="006F5D71">
        <w:rPr>
          <w:color w:val="000000" w:themeColor="text1"/>
        </w:rPr>
        <w:t xml:space="preserve">, </w:t>
      </w:r>
      <w:proofErr w:type="spellStart"/>
      <w:r w:rsidR="00861B08" w:rsidRPr="006F5D71">
        <w:rPr>
          <w:color w:val="000000" w:themeColor="text1"/>
        </w:rPr>
        <w:t>Kedia</w:t>
      </w:r>
      <w:proofErr w:type="spellEnd"/>
      <w:r w:rsidR="00861B08" w:rsidRPr="006F5D71">
        <w:rPr>
          <w:color w:val="000000" w:themeColor="text1"/>
        </w:rPr>
        <w:t xml:space="preserve">, &amp; </w:t>
      </w:r>
      <w:proofErr w:type="spellStart"/>
      <w:r w:rsidR="00861B08" w:rsidRPr="006F5D71">
        <w:rPr>
          <w:color w:val="000000" w:themeColor="text1"/>
        </w:rPr>
        <w:t>Bilgili</w:t>
      </w:r>
      <w:proofErr w:type="spellEnd"/>
      <w:r w:rsidR="00861B08" w:rsidRPr="006F5D71">
        <w:rPr>
          <w:color w:val="000000" w:themeColor="text1"/>
        </w:rPr>
        <w:t xml:space="preserve">, 2016; </w:t>
      </w:r>
      <w:proofErr w:type="spellStart"/>
      <w:r w:rsidR="003B55C6" w:rsidRPr="006F5D71">
        <w:rPr>
          <w:color w:val="000000" w:themeColor="text1"/>
        </w:rPr>
        <w:t>Bhaumik</w:t>
      </w:r>
      <w:proofErr w:type="spellEnd"/>
      <w:r w:rsidR="003B55C6" w:rsidRPr="006F5D71">
        <w:rPr>
          <w:color w:val="000000" w:themeColor="text1"/>
        </w:rPr>
        <w:t xml:space="preserve"> et al., 2016</w:t>
      </w:r>
      <w:r w:rsidR="003B55C6">
        <w:rPr>
          <w:color w:val="000000" w:themeColor="text1"/>
        </w:rPr>
        <w:t xml:space="preserve">; </w:t>
      </w:r>
      <w:r w:rsidR="00861B08" w:rsidRPr="006F5D71">
        <w:rPr>
          <w:color w:val="000000" w:themeColor="text1"/>
        </w:rPr>
        <w:t xml:space="preserve">Wang, Hong, </w:t>
      </w:r>
      <w:proofErr w:type="spellStart"/>
      <w:r w:rsidR="00861B08" w:rsidRPr="006F5D71">
        <w:rPr>
          <w:color w:val="000000" w:themeColor="text1"/>
        </w:rPr>
        <w:t>Kafouros</w:t>
      </w:r>
      <w:proofErr w:type="spellEnd"/>
      <w:r w:rsidR="00861B08" w:rsidRPr="006F5D71">
        <w:rPr>
          <w:color w:val="000000" w:themeColor="text1"/>
        </w:rPr>
        <w:t xml:space="preserve">, &amp; Boateng, 2012; </w:t>
      </w:r>
      <w:r w:rsidR="003B55C6" w:rsidRPr="006F5D71">
        <w:rPr>
          <w:color w:val="000000" w:themeColor="text1"/>
        </w:rPr>
        <w:t xml:space="preserve">Rugman, </w:t>
      </w:r>
      <w:proofErr w:type="gramStart"/>
      <w:r w:rsidR="003B55C6" w:rsidRPr="006F5D71">
        <w:rPr>
          <w:color w:val="000000" w:themeColor="text1"/>
        </w:rPr>
        <w:t>2009;</w:t>
      </w:r>
      <w:r w:rsidR="00861B08" w:rsidRPr="006F5D71">
        <w:rPr>
          <w:color w:val="000000" w:themeColor="text1"/>
        </w:rPr>
        <w:t>Cuervo</w:t>
      </w:r>
      <w:proofErr w:type="gramEnd"/>
      <w:r w:rsidR="004B2327">
        <w:rPr>
          <w:color w:val="000000" w:themeColor="text1"/>
        </w:rPr>
        <w:t>-</w:t>
      </w:r>
      <w:r w:rsidR="00861B08" w:rsidRPr="006F5D71">
        <w:rPr>
          <w:color w:val="000000" w:themeColor="text1"/>
        </w:rPr>
        <w:t xml:space="preserve">Cazurra et al., 2007). </w:t>
      </w:r>
      <w:r w:rsidR="00232638" w:rsidRPr="006F5D71">
        <w:rPr>
          <w:color w:val="000000" w:themeColor="text1"/>
        </w:rPr>
        <w:t xml:space="preserve">Many </w:t>
      </w:r>
      <w:r w:rsidR="00F13410" w:rsidRPr="006F5D71">
        <w:rPr>
          <w:color w:val="000000" w:themeColor="text1"/>
        </w:rPr>
        <w:t>of these</w:t>
      </w:r>
      <w:r w:rsidR="009B0273" w:rsidRPr="006F5D71">
        <w:rPr>
          <w:color w:val="000000" w:themeColor="text1"/>
        </w:rPr>
        <w:t xml:space="preserve"> strengths </w:t>
      </w:r>
      <w:r w:rsidR="00232638" w:rsidRPr="006F5D71">
        <w:rPr>
          <w:color w:val="000000" w:themeColor="text1"/>
        </w:rPr>
        <w:t>are</w:t>
      </w:r>
      <w:r w:rsidR="009B0273" w:rsidRPr="006F5D71">
        <w:rPr>
          <w:color w:val="000000" w:themeColor="text1"/>
        </w:rPr>
        <w:t xml:space="preserve"> ‘location bound FSAs’ (Rugman and Verbeke, 2003) which </w:t>
      </w:r>
      <w:r w:rsidR="00232638" w:rsidRPr="006F5D71">
        <w:rPr>
          <w:color w:val="000000" w:themeColor="text1"/>
        </w:rPr>
        <w:t xml:space="preserve">suggests </w:t>
      </w:r>
      <w:r w:rsidR="009B0273" w:rsidRPr="006F5D71">
        <w:rPr>
          <w:color w:val="000000" w:themeColor="text1"/>
        </w:rPr>
        <w:t xml:space="preserve">EMNCs cannot be cost-efficient in foreign </w:t>
      </w:r>
      <w:r w:rsidR="009B0273" w:rsidRPr="006F5D71">
        <w:rPr>
          <w:color w:val="000000" w:themeColor="text1"/>
        </w:rPr>
        <w:lastRenderedPageBreak/>
        <w:t xml:space="preserve">markets </w:t>
      </w:r>
      <w:r w:rsidR="00232638" w:rsidRPr="006F5D71">
        <w:rPr>
          <w:color w:val="000000" w:themeColor="text1"/>
        </w:rPr>
        <w:t>because</w:t>
      </w:r>
      <w:r w:rsidR="009B0273" w:rsidRPr="006F5D71">
        <w:rPr>
          <w:color w:val="000000" w:themeColor="text1"/>
        </w:rPr>
        <w:t xml:space="preserve"> it is difficult to transfer the market position and the relationships with the home government abroad. </w:t>
      </w:r>
      <w:r w:rsidR="00232638" w:rsidRPr="006F5D71">
        <w:rPr>
          <w:color w:val="000000" w:themeColor="text1"/>
        </w:rPr>
        <w:t>N</w:t>
      </w:r>
      <w:r w:rsidR="009B0273" w:rsidRPr="006F5D71">
        <w:rPr>
          <w:color w:val="000000" w:themeColor="text1"/>
        </w:rPr>
        <w:t>on-location</w:t>
      </w:r>
      <w:r w:rsidR="004B2327">
        <w:rPr>
          <w:color w:val="000000" w:themeColor="text1"/>
        </w:rPr>
        <w:t>-</w:t>
      </w:r>
      <w:r w:rsidR="009B0273" w:rsidRPr="006F5D71">
        <w:rPr>
          <w:color w:val="000000" w:themeColor="text1"/>
        </w:rPr>
        <w:t xml:space="preserve">bound FSAs that are transferable to other locations </w:t>
      </w:r>
      <w:r w:rsidR="00232638" w:rsidRPr="006F5D71">
        <w:rPr>
          <w:color w:val="000000" w:themeColor="text1"/>
        </w:rPr>
        <w:t>do</w:t>
      </w:r>
      <w:r w:rsidR="009B0273" w:rsidRPr="006F5D71">
        <w:rPr>
          <w:color w:val="000000" w:themeColor="text1"/>
        </w:rPr>
        <w:t xml:space="preserve"> help EMNCs to expand o</w:t>
      </w:r>
      <w:r w:rsidR="001635D4" w:rsidRPr="006F5D71">
        <w:rPr>
          <w:color w:val="000000" w:themeColor="text1"/>
        </w:rPr>
        <w:t>verseas (</w:t>
      </w:r>
      <w:r w:rsidR="008C247F" w:rsidRPr="006F5D71">
        <w:rPr>
          <w:color w:val="000000" w:themeColor="text1"/>
        </w:rPr>
        <w:t>Narula, 2012</w:t>
      </w:r>
      <w:r w:rsidR="009B0273" w:rsidRPr="006F5D71">
        <w:rPr>
          <w:color w:val="000000" w:themeColor="text1"/>
        </w:rPr>
        <w:t xml:space="preserve">). </w:t>
      </w:r>
      <w:r w:rsidR="00232638" w:rsidRPr="006F5D71">
        <w:rPr>
          <w:color w:val="000000" w:themeColor="text1"/>
        </w:rPr>
        <w:t>Nevertheless</w:t>
      </w:r>
      <w:r w:rsidR="009B0273" w:rsidRPr="006F5D71">
        <w:rPr>
          <w:color w:val="000000" w:themeColor="text1"/>
        </w:rPr>
        <w:t xml:space="preserve">, it </w:t>
      </w:r>
      <w:r w:rsidR="004B2327">
        <w:rPr>
          <w:color w:val="000000" w:themeColor="text1"/>
        </w:rPr>
        <w:t>remains</w:t>
      </w:r>
      <w:r w:rsidR="009B0273" w:rsidRPr="006F5D71">
        <w:rPr>
          <w:color w:val="000000" w:themeColor="text1"/>
        </w:rPr>
        <w:t xml:space="preserve"> difficult to explain how EMNCs possessing transferable FSAs can survive longer in one location compared to another. </w:t>
      </w:r>
    </w:p>
    <w:p w14:paraId="586EC62F" w14:textId="77777777" w:rsidR="003B55C6" w:rsidRDefault="003B55C6" w:rsidP="003B55C6">
      <w:pPr>
        <w:spacing w:after="0" w:line="360" w:lineRule="auto"/>
        <w:jc w:val="both"/>
        <w:rPr>
          <w:color w:val="000000" w:themeColor="text1"/>
        </w:rPr>
      </w:pPr>
    </w:p>
    <w:p w14:paraId="2CB5D46A" w14:textId="77777777" w:rsidR="003630BD" w:rsidRPr="006F5D71" w:rsidRDefault="003B55C6" w:rsidP="003B55C6">
      <w:pPr>
        <w:spacing w:after="0" w:line="360" w:lineRule="auto"/>
        <w:jc w:val="both"/>
        <w:rPr>
          <w:color w:val="000000" w:themeColor="text1"/>
        </w:rPr>
      </w:pPr>
      <w:r w:rsidRPr="006F5D71">
        <w:rPr>
          <w:color w:val="000000" w:themeColor="text1"/>
        </w:rPr>
        <w:t xml:space="preserve">We extend this line of thinking by showing that location boundedness is also influenced by the capabilities of host country firms.  </w:t>
      </w:r>
      <w:r w:rsidR="009B0273" w:rsidRPr="006F5D71">
        <w:rPr>
          <w:color w:val="000000" w:themeColor="text1"/>
        </w:rPr>
        <w:t>Our identification of relative FSAs indicates that transferable ownership advantages are valuable in certain locations where these capabilities are superior as compared to their rival firms. Recognizing that FSAs are relative and their effectiveness depends on the institutional environment would lead to a nuanced understanding of the contrasting survival</w:t>
      </w:r>
      <w:r w:rsidR="00F52463" w:rsidRPr="006F5D71">
        <w:rPr>
          <w:color w:val="000000" w:themeColor="text1"/>
        </w:rPr>
        <w:t xml:space="preserve"> </w:t>
      </w:r>
      <w:r w:rsidR="009B0273" w:rsidRPr="006F5D71">
        <w:rPr>
          <w:color w:val="000000" w:themeColor="text1"/>
        </w:rPr>
        <w:t xml:space="preserve">pattern of EMNCs across North and South. In other words, the utilization of relative FSAs </w:t>
      </w:r>
      <w:r w:rsidR="003630BD" w:rsidRPr="006F5D71">
        <w:rPr>
          <w:color w:val="000000" w:themeColor="text1"/>
        </w:rPr>
        <w:t xml:space="preserve">helps in better understanding the competitiveness of EMNCs across different locations, which is now a </w:t>
      </w:r>
      <w:r w:rsidR="00232638" w:rsidRPr="006F5D71">
        <w:rPr>
          <w:color w:val="000000" w:themeColor="text1"/>
        </w:rPr>
        <w:t>leading issue</w:t>
      </w:r>
      <w:r w:rsidR="003630BD" w:rsidRPr="006F5D71">
        <w:rPr>
          <w:color w:val="000000" w:themeColor="text1"/>
        </w:rPr>
        <w:t xml:space="preserve"> in the study of EMNCs. </w:t>
      </w:r>
    </w:p>
    <w:p w14:paraId="56A2AA18" w14:textId="77777777" w:rsidR="0060334B" w:rsidRPr="006F5D71" w:rsidRDefault="00213B2C" w:rsidP="00861B08">
      <w:pPr>
        <w:spacing w:after="0" w:line="360" w:lineRule="auto"/>
        <w:ind w:firstLine="720"/>
        <w:jc w:val="both"/>
        <w:rPr>
          <w:color w:val="000000" w:themeColor="text1"/>
        </w:rPr>
      </w:pPr>
      <w:r w:rsidRPr="006F5D71">
        <w:rPr>
          <w:color w:val="000000" w:themeColor="text1"/>
        </w:rPr>
        <w:t>Our study</w:t>
      </w:r>
      <w:r w:rsidR="009B0273" w:rsidRPr="006F5D71">
        <w:rPr>
          <w:color w:val="000000" w:themeColor="text1"/>
        </w:rPr>
        <w:t xml:space="preserve"> also </w:t>
      </w:r>
      <w:r w:rsidR="003B55C6">
        <w:rPr>
          <w:color w:val="000000" w:themeColor="text1"/>
        </w:rPr>
        <w:t xml:space="preserve">outlines and </w:t>
      </w:r>
      <w:proofErr w:type="gramStart"/>
      <w:r w:rsidR="003B55C6">
        <w:rPr>
          <w:color w:val="000000" w:themeColor="text1"/>
        </w:rPr>
        <w:t xml:space="preserve">alternative </w:t>
      </w:r>
      <w:r w:rsidR="009D2DEF" w:rsidRPr="006F5D71">
        <w:rPr>
          <w:color w:val="000000" w:themeColor="text1"/>
        </w:rPr>
        <w:t xml:space="preserve"> measurement</w:t>
      </w:r>
      <w:proofErr w:type="gramEnd"/>
      <w:r w:rsidR="009D2DEF" w:rsidRPr="006F5D71">
        <w:rPr>
          <w:color w:val="000000" w:themeColor="text1"/>
        </w:rPr>
        <w:t xml:space="preserve"> of </w:t>
      </w:r>
      <w:r w:rsidR="00FC253A" w:rsidRPr="006F5D71">
        <w:rPr>
          <w:color w:val="000000" w:themeColor="text1"/>
        </w:rPr>
        <w:t>FSAs.</w:t>
      </w:r>
      <w:r w:rsidR="00C669E2" w:rsidRPr="006F5D71">
        <w:rPr>
          <w:color w:val="000000" w:themeColor="text1"/>
        </w:rPr>
        <w:t xml:space="preserve"> </w:t>
      </w:r>
      <w:r w:rsidR="00FC253A" w:rsidRPr="006F5D71">
        <w:rPr>
          <w:color w:val="000000" w:themeColor="text1"/>
        </w:rPr>
        <w:t>I</w:t>
      </w:r>
      <w:r w:rsidR="0060334B" w:rsidRPr="006F5D71">
        <w:rPr>
          <w:color w:val="000000" w:themeColor="text1"/>
        </w:rPr>
        <w:t xml:space="preserve">n contrast to earlier studies (James et al., 2018; Gu et al., 2018; He et al., 2019) that </w:t>
      </w:r>
      <w:r w:rsidR="009D2DEF" w:rsidRPr="006F5D71">
        <w:rPr>
          <w:color w:val="000000" w:themeColor="text1"/>
        </w:rPr>
        <w:t>use</w:t>
      </w:r>
      <w:r w:rsidR="0060334B" w:rsidRPr="006F5D71">
        <w:rPr>
          <w:color w:val="000000" w:themeColor="text1"/>
        </w:rPr>
        <w:t xml:space="preserve"> absolute measures of FSAs (such as absolute values of R&amp;D expenditure and technological innovation to reflect firm’s absorptive capability), our </w:t>
      </w:r>
      <w:r w:rsidR="009D2DEF" w:rsidRPr="006F5D71">
        <w:rPr>
          <w:color w:val="000000" w:themeColor="text1"/>
        </w:rPr>
        <w:t>approach of measuring FSA,</w:t>
      </w:r>
      <w:r w:rsidR="0060334B" w:rsidRPr="006F5D71">
        <w:rPr>
          <w:color w:val="000000" w:themeColor="text1"/>
        </w:rPr>
        <w:t xml:space="preserve"> is based on the relative strength of FSAs of EMNCs as compared to competing firms in the host location</w:t>
      </w:r>
      <w:r w:rsidR="009D2DEF" w:rsidRPr="006F5D71">
        <w:rPr>
          <w:color w:val="000000" w:themeColor="text1"/>
        </w:rPr>
        <w:t xml:space="preserve">. This </w:t>
      </w:r>
      <w:r w:rsidR="0060334B" w:rsidRPr="006F5D71">
        <w:rPr>
          <w:color w:val="000000" w:themeColor="text1"/>
        </w:rPr>
        <w:t xml:space="preserve">not only provides an accurate picture but also directly relates to the survival likelihood of firms in the host market. </w:t>
      </w:r>
    </w:p>
    <w:p w14:paraId="39642E6A" w14:textId="77777777" w:rsidR="00A92425" w:rsidRPr="006F5D71" w:rsidRDefault="00A92425" w:rsidP="0060334B">
      <w:pPr>
        <w:spacing w:line="360" w:lineRule="auto"/>
        <w:ind w:firstLine="720"/>
        <w:jc w:val="both"/>
        <w:rPr>
          <w:color w:val="000000" w:themeColor="text1"/>
        </w:rPr>
      </w:pPr>
      <w:r w:rsidRPr="006F5D71">
        <w:rPr>
          <w:color w:val="000000" w:themeColor="text1"/>
        </w:rPr>
        <w:t xml:space="preserve">Lastly, our </w:t>
      </w:r>
      <w:r w:rsidR="00213B2C" w:rsidRPr="006F5D71">
        <w:rPr>
          <w:color w:val="000000" w:themeColor="text1"/>
        </w:rPr>
        <w:t>findings on the moderating effect of diaspora on the likelihood of firm survival are</w:t>
      </w:r>
      <w:r w:rsidRPr="006F5D71">
        <w:rPr>
          <w:color w:val="000000" w:themeColor="text1"/>
        </w:rPr>
        <w:t xml:space="preserve"> consistent with </w:t>
      </w:r>
      <w:r w:rsidR="005B56BD" w:rsidRPr="006F5D71">
        <w:rPr>
          <w:color w:val="000000" w:themeColor="text1"/>
        </w:rPr>
        <w:t>Estrin et al. (2018</w:t>
      </w:r>
      <w:r w:rsidR="00CB519B">
        <w:rPr>
          <w:color w:val="000000" w:themeColor="text1"/>
        </w:rPr>
        <w:t>b</w:t>
      </w:r>
      <w:r w:rsidRPr="006F5D71">
        <w:rPr>
          <w:color w:val="000000" w:themeColor="text1"/>
        </w:rPr>
        <w:t xml:space="preserve">) and </w:t>
      </w:r>
      <w:r w:rsidR="005B56BD" w:rsidRPr="006F5D71">
        <w:rPr>
          <w:color w:val="000000" w:themeColor="text1"/>
        </w:rPr>
        <w:t>Buch et al. (2006)</w:t>
      </w:r>
      <w:r w:rsidRPr="006F5D71">
        <w:rPr>
          <w:color w:val="000000" w:themeColor="text1"/>
        </w:rPr>
        <w:t>.</w:t>
      </w:r>
      <w:r w:rsidR="001670EA" w:rsidRPr="006F5D71">
        <w:rPr>
          <w:color w:val="000000" w:themeColor="text1"/>
        </w:rPr>
        <w:t xml:space="preserve"> By examining the contingency effect of </w:t>
      </w:r>
      <w:r w:rsidR="00F52463" w:rsidRPr="006F5D71">
        <w:rPr>
          <w:color w:val="000000" w:themeColor="text1"/>
        </w:rPr>
        <w:t xml:space="preserve">the </w:t>
      </w:r>
      <w:r w:rsidR="001670EA" w:rsidRPr="006F5D71">
        <w:rPr>
          <w:color w:val="000000" w:themeColor="text1"/>
        </w:rPr>
        <w:t xml:space="preserve">diaspora in EMNCs’ survival, we respond to </w:t>
      </w:r>
      <w:r w:rsidR="00D27E94" w:rsidRPr="006F5D71">
        <w:rPr>
          <w:color w:val="000000" w:themeColor="text1"/>
        </w:rPr>
        <w:t xml:space="preserve">research </w:t>
      </w:r>
      <w:r w:rsidR="001670EA" w:rsidRPr="006F5D71">
        <w:rPr>
          <w:color w:val="000000" w:themeColor="text1"/>
        </w:rPr>
        <w:t>calls for an investigation of the conditions delimiting the EMNCs’ survival phenomenon (</w:t>
      </w:r>
      <w:proofErr w:type="spellStart"/>
      <w:r w:rsidR="00984D66" w:rsidRPr="006F5D71">
        <w:rPr>
          <w:color w:val="000000" w:themeColor="text1"/>
        </w:rPr>
        <w:t>Adarkwah</w:t>
      </w:r>
      <w:proofErr w:type="spellEnd"/>
      <w:r w:rsidR="00984D66" w:rsidRPr="006F5D71">
        <w:rPr>
          <w:color w:val="000000" w:themeColor="text1"/>
        </w:rPr>
        <w:t xml:space="preserve"> and </w:t>
      </w:r>
      <w:proofErr w:type="spellStart"/>
      <w:r w:rsidR="00984D66" w:rsidRPr="006F5D71">
        <w:rPr>
          <w:color w:val="000000" w:themeColor="text1"/>
        </w:rPr>
        <w:t>Malonaes</w:t>
      </w:r>
      <w:proofErr w:type="spellEnd"/>
      <w:r w:rsidR="00984D66" w:rsidRPr="006F5D71">
        <w:rPr>
          <w:color w:val="000000" w:themeColor="text1"/>
        </w:rPr>
        <w:t>, 2020</w:t>
      </w:r>
      <w:r w:rsidR="007E3F73" w:rsidRPr="006F5D71">
        <w:rPr>
          <w:color w:val="000000" w:themeColor="text1"/>
        </w:rPr>
        <w:t xml:space="preserve">; </w:t>
      </w:r>
      <w:proofErr w:type="spellStart"/>
      <w:r w:rsidR="007E3F73" w:rsidRPr="006F5D71">
        <w:rPr>
          <w:color w:val="000000" w:themeColor="text1"/>
        </w:rPr>
        <w:t>Ozkan</w:t>
      </w:r>
      <w:proofErr w:type="spellEnd"/>
      <w:r w:rsidR="007E3F73" w:rsidRPr="006F5D71">
        <w:rPr>
          <w:color w:val="000000" w:themeColor="text1"/>
        </w:rPr>
        <w:t>, 2020</w:t>
      </w:r>
      <w:r w:rsidR="001670EA" w:rsidRPr="006F5D71">
        <w:rPr>
          <w:color w:val="000000" w:themeColor="text1"/>
        </w:rPr>
        <w:t xml:space="preserve">). </w:t>
      </w:r>
    </w:p>
    <w:p w14:paraId="53556E3A" w14:textId="77777777" w:rsidR="004454C8" w:rsidRPr="006F5D71" w:rsidRDefault="004F37B5" w:rsidP="004454C8">
      <w:pPr>
        <w:spacing w:line="360" w:lineRule="auto"/>
        <w:jc w:val="both"/>
        <w:rPr>
          <w:i/>
          <w:color w:val="000000" w:themeColor="text1"/>
        </w:rPr>
      </w:pPr>
      <w:r w:rsidRPr="006F5D71">
        <w:rPr>
          <w:b/>
          <w:color w:val="000000" w:themeColor="text1"/>
        </w:rPr>
        <w:tab/>
      </w:r>
      <w:r w:rsidR="004454C8" w:rsidRPr="006F5D71">
        <w:rPr>
          <w:i/>
          <w:color w:val="000000" w:themeColor="text1"/>
        </w:rPr>
        <w:t>5.2. Managerial implications</w:t>
      </w:r>
    </w:p>
    <w:p w14:paraId="0F72791F" w14:textId="77777777" w:rsidR="001A59B7" w:rsidRPr="006F5D71" w:rsidRDefault="004F37B5" w:rsidP="003719F1">
      <w:pPr>
        <w:spacing w:after="0" w:line="360" w:lineRule="auto"/>
        <w:jc w:val="both"/>
        <w:rPr>
          <w:color w:val="000000" w:themeColor="text1"/>
        </w:rPr>
      </w:pPr>
      <w:r w:rsidRPr="006F5D71">
        <w:rPr>
          <w:color w:val="000000" w:themeColor="text1"/>
        </w:rPr>
        <w:tab/>
      </w:r>
      <w:r w:rsidR="00A12C1B" w:rsidRPr="006F5D71">
        <w:rPr>
          <w:color w:val="000000" w:themeColor="text1"/>
        </w:rPr>
        <w:t xml:space="preserve">The findings of the study provide important insights for practitioners. First, </w:t>
      </w:r>
      <w:r w:rsidR="001C0826" w:rsidRPr="006F5D71">
        <w:rPr>
          <w:color w:val="000000" w:themeColor="text1"/>
        </w:rPr>
        <w:t xml:space="preserve">the study highlights the significance of relative FSAs to managers. </w:t>
      </w:r>
      <w:r w:rsidR="00A12C1B" w:rsidRPr="006F5D71">
        <w:rPr>
          <w:color w:val="000000" w:themeColor="text1"/>
        </w:rPr>
        <w:t xml:space="preserve">FSAs do not bestow competitive advantage equally across all foreign markets. </w:t>
      </w:r>
      <w:r w:rsidR="00255935" w:rsidRPr="006F5D71">
        <w:rPr>
          <w:color w:val="000000" w:themeColor="text1"/>
        </w:rPr>
        <w:t>EMNCs</w:t>
      </w:r>
      <w:r w:rsidR="004B2327">
        <w:rPr>
          <w:color w:val="000000" w:themeColor="text1"/>
        </w:rPr>
        <w:t>’</w:t>
      </w:r>
      <w:r w:rsidR="00255935" w:rsidRPr="006F5D71">
        <w:rPr>
          <w:color w:val="000000" w:themeColor="text1"/>
        </w:rPr>
        <w:t xml:space="preserve"> managers</w:t>
      </w:r>
      <w:r w:rsidR="004B2327">
        <w:rPr>
          <w:color w:val="000000" w:themeColor="text1"/>
        </w:rPr>
        <w:t>,</w:t>
      </w:r>
      <w:r w:rsidR="00255935" w:rsidRPr="006F5D71">
        <w:rPr>
          <w:color w:val="000000" w:themeColor="text1"/>
        </w:rPr>
        <w:t xml:space="preserve"> when selecting </w:t>
      </w:r>
      <w:r w:rsidR="00F52463" w:rsidRPr="006F5D71">
        <w:rPr>
          <w:color w:val="000000" w:themeColor="text1"/>
        </w:rPr>
        <w:t xml:space="preserve">a </w:t>
      </w:r>
      <w:r w:rsidR="00255935" w:rsidRPr="006F5D71">
        <w:rPr>
          <w:color w:val="000000" w:themeColor="text1"/>
        </w:rPr>
        <w:t xml:space="preserve">foreign location, in addition to focusing on their motivations for outward investment, must also be cognizant of the relative strength of their FSAs. </w:t>
      </w:r>
      <w:r w:rsidR="00954A2E" w:rsidRPr="006F5D71">
        <w:rPr>
          <w:color w:val="000000" w:themeColor="text1"/>
        </w:rPr>
        <w:t xml:space="preserve">Second, the nature and extent of endogenous risks differ across North and South (Buckley et al., 2020). Dealing with endogenous risks is a </w:t>
      </w:r>
      <w:r w:rsidR="00954A2E" w:rsidRPr="006F5D71">
        <w:rPr>
          <w:color w:val="000000" w:themeColor="text1"/>
        </w:rPr>
        <w:lastRenderedPageBreak/>
        <w:t>component of the market and competition analysis</w:t>
      </w:r>
      <w:r w:rsidR="00255935" w:rsidRPr="006F5D71">
        <w:rPr>
          <w:color w:val="000000" w:themeColor="text1"/>
        </w:rPr>
        <w:t xml:space="preserve"> (</w:t>
      </w:r>
      <w:proofErr w:type="spellStart"/>
      <w:r w:rsidR="00255935" w:rsidRPr="006F5D71">
        <w:rPr>
          <w:color w:val="000000" w:themeColor="text1"/>
        </w:rPr>
        <w:t>Ozkan</w:t>
      </w:r>
      <w:proofErr w:type="spellEnd"/>
      <w:r w:rsidR="00255935" w:rsidRPr="006F5D71">
        <w:rPr>
          <w:color w:val="000000" w:themeColor="text1"/>
        </w:rPr>
        <w:t>, 2020)</w:t>
      </w:r>
      <w:r w:rsidR="000D44E2" w:rsidRPr="006F5D71">
        <w:rPr>
          <w:color w:val="000000" w:themeColor="text1"/>
        </w:rPr>
        <w:t>. EMNE managers</w:t>
      </w:r>
      <w:r w:rsidR="00954A2E" w:rsidRPr="006F5D71">
        <w:rPr>
          <w:color w:val="000000" w:themeColor="text1"/>
        </w:rPr>
        <w:t xml:space="preserve"> must pay greater attention to the foreign market risk environment scanning and design</w:t>
      </w:r>
      <w:r w:rsidR="00BD4CDB">
        <w:rPr>
          <w:color w:val="000000" w:themeColor="text1"/>
        </w:rPr>
        <w:t>ing</w:t>
      </w:r>
      <w:r w:rsidR="00954A2E" w:rsidRPr="006F5D71">
        <w:rPr>
          <w:color w:val="000000" w:themeColor="text1"/>
        </w:rPr>
        <w:t xml:space="preserve"> strategies </w:t>
      </w:r>
      <w:r w:rsidR="004B2327">
        <w:rPr>
          <w:color w:val="000000" w:themeColor="text1"/>
        </w:rPr>
        <w:t xml:space="preserve">in order </w:t>
      </w:r>
      <w:r w:rsidR="00954A2E" w:rsidRPr="006F5D71">
        <w:rPr>
          <w:color w:val="000000" w:themeColor="text1"/>
        </w:rPr>
        <w:t>to deal with endogenous risks based on their FSAs.</w:t>
      </w:r>
      <w:r w:rsidR="00CD560F" w:rsidRPr="006F5D71">
        <w:rPr>
          <w:color w:val="000000" w:themeColor="text1"/>
        </w:rPr>
        <w:t xml:space="preserve"> </w:t>
      </w:r>
      <w:r w:rsidR="000D44E2" w:rsidRPr="006F5D71">
        <w:rPr>
          <w:color w:val="000000" w:themeColor="text1"/>
        </w:rPr>
        <w:t>Apart from identification, a</w:t>
      </w:r>
      <w:r w:rsidR="00CD560F" w:rsidRPr="006F5D71">
        <w:rPr>
          <w:color w:val="000000" w:themeColor="text1"/>
        </w:rPr>
        <w:t xml:space="preserve"> difficult </w:t>
      </w:r>
      <w:r w:rsidRPr="006F5D71">
        <w:rPr>
          <w:color w:val="000000" w:themeColor="text1"/>
        </w:rPr>
        <w:t>task</w:t>
      </w:r>
      <w:r w:rsidR="00CD560F" w:rsidRPr="006F5D71">
        <w:rPr>
          <w:color w:val="000000" w:themeColor="text1"/>
        </w:rPr>
        <w:t xml:space="preserve"> for international managers is </w:t>
      </w:r>
      <w:r w:rsidR="001A59B7" w:rsidRPr="006F5D71">
        <w:rPr>
          <w:color w:val="000000" w:themeColor="text1"/>
        </w:rPr>
        <w:t xml:space="preserve">to </w:t>
      </w:r>
      <w:r w:rsidR="00CD560F" w:rsidRPr="006F5D71">
        <w:rPr>
          <w:color w:val="000000" w:themeColor="text1"/>
        </w:rPr>
        <w:t xml:space="preserve">manage endogenous risk in foreign markets. </w:t>
      </w:r>
      <w:r w:rsidR="000D44E2" w:rsidRPr="006F5D71">
        <w:rPr>
          <w:color w:val="000000" w:themeColor="text1"/>
        </w:rPr>
        <w:t xml:space="preserve">A common strategy is </w:t>
      </w:r>
      <w:r w:rsidR="00CD560F" w:rsidRPr="006F5D71">
        <w:rPr>
          <w:color w:val="000000" w:themeColor="text1"/>
        </w:rPr>
        <w:t>establishing good relationships with host governments</w:t>
      </w:r>
      <w:r w:rsidR="001C0826" w:rsidRPr="006F5D71">
        <w:rPr>
          <w:color w:val="000000" w:themeColor="text1"/>
        </w:rPr>
        <w:t xml:space="preserve"> through</w:t>
      </w:r>
      <w:r w:rsidR="00CD560F" w:rsidRPr="006F5D71">
        <w:rPr>
          <w:color w:val="000000" w:themeColor="text1"/>
        </w:rPr>
        <w:t xml:space="preserve"> deploying resources to lobbying, campaign c</w:t>
      </w:r>
      <w:r w:rsidR="001C0826" w:rsidRPr="006F5D71">
        <w:rPr>
          <w:color w:val="000000" w:themeColor="text1"/>
        </w:rPr>
        <w:t>ontributions, and appointing politically connected top executives</w:t>
      </w:r>
      <w:r w:rsidR="001A59B7" w:rsidRPr="006F5D71">
        <w:rPr>
          <w:color w:val="000000" w:themeColor="text1"/>
        </w:rPr>
        <w:t xml:space="preserve"> (</w:t>
      </w:r>
      <w:r w:rsidR="009D4CE9" w:rsidRPr="006F5D71">
        <w:rPr>
          <w:color w:val="000000" w:themeColor="text1"/>
          <w:szCs w:val="24"/>
        </w:rPr>
        <w:t>Cui and Xu, 2019</w:t>
      </w:r>
      <w:r w:rsidR="003630BD" w:rsidRPr="006F5D71">
        <w:rPr>
          <w:color w:val="000000" w:themeColor="text1"/>
        </w:rPr>
        <w:t xml:space="preserve">; </w:t>
      </w:r>
      <w:r w:rsidR="009D4CE9" w:rsidRPr="006F5D71">
        <w:rPr>
          <w:color w:val="000000" w:themeColor="text1"/>
        </w:rPr>
        <w:t>Sheng et al., 2011</w:t>
      </w:r>
      <w:r w:rsidR="001A59B7" w:rsidRPr="006F5D71">
        <w:rPr>
          <w:color w:val="000000" w:themeColor="text1"/>
        </w:rPr>
        <w:t>)</w:t>
      </w:r>
      <w:r w:rsidR="000D44E2" w:rsidRPr="006F5D71">
        <w:rPr>
          <w:color w:val="000000" w:themeColor="text1"/>
        </w:rPr>
        <w:t xml:space="preserve">. Our analysis </w:t>
      </w:r>
      <w:r w:rsidR="001A59B7" w:rsidRPr="006F5D71">
        <w:rPr>
          <w:color w:val="000000" w:themeColor="text1"/>
        </w:rPr>
        <w:t>suggest</w:t>
      </w:r>
      <w:r w:rsidR="000D44E2" w:rsidRPr="006F5D71">
        <w:rPr>
          <w:color w:val="000000" w:themeColor="text1"/>
        </w:rPr>
        <w:t>s</w:t>
      </w:r>
      <w:r w:rsidR="001A59B7" w:rsidRPr="006F5D71">
        <w:rPr>
          <w:color w:val="000000" w:themeColor="text1"/>
        </w:rPr>
        <w:t xml:space="preserve"> that </w:t>
      </w:r>
      <w:r w:rsidR="008D74A5" w:rsidRPr="006F5D71">
        <w:rPr>
          <w:color w:val="000000" w:themeColor="text1"/>
        </w:rPr>
        <w:t xml:space="preserve">enlisting the </w:t>
      </w:r>
      <w:r w:rsidR="000D44E2" w:rsidRPr="006F5D71">
        <w:rPr>
          <w:color w:val="000000" w:themeColor="text1"/>
        </w:rPr>
        <w:t xml:space="preserve">support of the </w:t>
      </w:r>
      <w:r w:rsidR="001C0826" w:rsidRPr="006F5D71">
        <w:rPr>
          <w:color w:val="000000" w:themeColor="text1"/>
        </w:rPr>
        <w:t>immigrant diaspora</w:t>
      </w:r>
      <w:r w:rsidR="008D74A5" w:rsidRPr="006F5D71">
        <w:rPr>
          <w:color w:val="000000" w:themeColor="text1"/>
        </w:rPr>
        <w:t xml:space="preserve"> </w:t>
      </w:r>
      <w:r w:rsidR="001C0826" w:rsidRPr="006F5D71">
        <w:rPr>
          <w:color w:val="000000" w:themeColor="text1"/>
        </w:rPr>
        <w:t xml:space="preserve">can </w:t>
      </w:r>
      <w:r w:rsidR="008D74A5" w:rsidRPr="006F5D71">
        <w:rPr>
          <w:color w:val="000000" w:themeColor="text1"/>
        </w:rPr>
        <w:t xml:space="preserve">also be a viable strategy </w:t>
      </w:r>
      <w:r w:rsidR="00F23AD7" w:rsidRPr="006F5D71">
        <w:rPr>
          <w:color w:val="000000" w:themeColor="text1"/>
        </w:rPr>
        <w:t>to mitigate endogenous risks</w:t>
      </w:r>
      <w:r w:rsidR="00CD560F" w:rsidRPr="006F5D71">
        <w:rPr>
          <w:color w:val="000000" w:themeColor="text1"/>
        </w:rPr>
        <w:t xml:space="preserve">. </w:t>
      </w:r>
      <w:r w:rsidR="00BD4CDB">
        <w:rPr>
          <w:color w:val="000000" w:themeColor="text1"/>
        </w:rPr>
        <w:t>Such strategies have been used by technology firms in Silicon Valley that extended operations in Taiwan and India, but to the best of our knowledge it has not been highlighted among EMNCs.</w:t>
      </w:r>
    </w:p>
    <w:p w14:paraId="359D49C4" w14:textId="77777777" w:rsidR="001669A2" w:rsidRPr="006F5D71" w:rsidRDefault="001A59B7" w:rsidP="001A59B7">
      <w:pPr>
        <w:spacing w:line="360" w:lineRule="auto"/>
        <w:ind w:firstLine="720"/>
        <w:jc w:val="both"/>
        <w:rPr>
          <w:color w:val="000000" w:themeColor="text1"/>
        </w:rPr>
      </w:pPr>
      <w:r w:rsidRPr="006F5D71">
        <w:rPr>
          <w:color w:val="000000" w:themeColor="text1"/>
        </w:rPr>
        <w:t xml:space="preserve">Lastly, </w:t>
      </w:r>
      <w:r w:rsidR="00954A2E" w:rsidRPr="006F5D71">
        <w:rPr>
          <w:color w:val="000000" w:themeColor="text1"/>
        </w:rPr>
        <w:t>the findings of this study also offer implication</w:t>
      </w:r>
      <w:r w:rsidR="00F52463" w:rsidRPr="006F5D71">
        <w:rPr>
          <w:color w:val="000000" w:themeColor="text1"/>
        </w:rPr>
        <w:t>s</w:t>
      </w:r>
      <w:r w:rsidR="00954A2E" w:rsidRPr="006F5D71">
        <w:rPr>
          <w:color w:val="000000" w:themeColor="text1"/>
        </w:rPr>
        <w:t xml:space="preserve"> for policymakers in </w:t>
      </w:r>
      <w:r w:rsidR="00163B9C">
        <w:rPr>
          <w:color w:val="000000" w:themeColor="text1"/>
        </w:rPr>
        <w:t xml:space="preserve">the </w:t>
      </w:r>
      <w:r w:rsidR="00954A2E" w:rsidRPr="006F5D71">
        <w:rPr>
          <w:color w:val="000000" w:themeColor="text1"/>
        </w:rPr>
        <w:t>South</w:t>
      </w:r>
      <w:r w:rsidR="00F91F99" w:rsidRPr="006F5D71">
        <w:rPr>
          <w:color w:val="000000" w:themeColor="text1"/>
        </w:rPr>
        <w:t xml:space="preserve"> (host governments)</w:t>
      </w:r>
      <w:r w:rsidR="00954A2E" w:rsidRPr="006F5D71">
        <w:rPr>
          <w:color w:val="000000" w:themeColor="text1"/>
        </w:rPr>
        <w:t xml:space="preserve"> that are trying to </w:t>
      </w:r>
      <w:r w:rsidR="007A731D" w:rsidRPr="006F5D71">
        <w:rPr>
          <w:color w:val="000000" w:themeColor="text1"/>
        </w:rPr>
        <w:t xml:space="preserve">build </w:t>
      </w:r>
      <w:r w:rsidR="00323E5A" w:rsidRPr="006F5D71">
        <w:rPr>
          <w:color w:val="000000" w:themeColor="text1"/>
        </w:rPr>
        <w:t>competenc</w:t>
      </w:r>
      <w:r w:rsidR="00F52463" w:rsidRPr="006F5D71">
        <w:rPr>
          <w:color w:val="000000" w:themeColor="text1"/>
        </w:rPr>
        <w:t>i</w:t>
      </w:r>
      <w:r w:rsidR="00323E5A" w:rsidRPr="006F5D71">
        <w:rPr>
          <w:color w:val="000000" w:themeColor="text1"/>
        </w:rPr>
        <w:t>es</w:t>
      </w:r>
      <w:r w:rsidR="007A731D" w:rsidRPr="006F5D71">
        <w:rPr>
          <w:color w:val="000000" w:themeColor="text1"/>
        </w:rPr>
        <w:t xml:space="preserve"> of their domestic firms and </w:t>
      </w:r>
      <w:r w:rsidR="001C0826" w:rsidRPr="006F5D71">
        <w:rPr>
          <w:color w:val="000000" w:themeColor="text1"/>
        </w:rPr>
        <w:t>desire</w:t>
      </w:r>
      <w:r w:rsidR="00323E5A" w:rsidRPr="006F5D71">
        <w:rPr>
          <w:color w:val="000000" w:themeColor="text1"/>
        </w:rPr>
        <w:t xml:space="preserve"> to encourage domestic firms to </w:t>
      </w:r>
      <w:r w:rsidR="007A731D" w:rsidRPr="006F5D71">
        <w:rPr>
          <w:color w:val="000000" w:themeColor="text1"/>
        </w:rPr>
        <w:t xml:space="preserve">venture out in foreign markets. As our findings indicate that EMNCs possess superior FSAs compared to domestic firms in </w:t>
      </w:r>
      <w:r w:rsidR="00163B9C">
        <w:rPr>
          <w:color w:val="000000" w:themeColor="text1"/>
        </w:rPr>
        <w:t xml:space="preserve">the </w:t>
      </w:r>
      <w:r w:rsidR="007A731D" w:rsidRPr="006F5D71">
        <w:rPr>
          <w:color w:val="000000" w:themeColor="text1"/>
        </w:rPr>
        <w:t>South,</w:t>
      </w:r>
      <w:r w:rsidR="00323E5A" w:rsidRPr="006F5D71">
        <w:rPr>
          <w:color w:val="000000" w:themeColor="text1"/>
        </w:rPr>
        <w:t xml:space="preserve"> there is a strong need to increase the absorptive capacities of domestic firms so that they can acquire the assets, technology, and </w:t>
      </w:r>
      <w:r w:rsidR="00F91F99" w:rsidRPr="006F5D71">
        <w:rPr>
          <w:color w:val="000000" w:themeColor="text1"/>
        </w:rPr>
        <w:t xml:space="preserve">knowledge about </w:t>
      </w:r>
      <w:r w:rsidR="00255935" w:rsidRPr="006F5D71">
        <w:rPr>
          <w:color w:val="000000" w:themeColor="text1"/>
        </w:rPr>
        <w:t>superior human resources</w:t>
      </w:r>
      <w:r w:rsidR="00323E5A" w:rsidRPr="006F5D71">
        <w:rPr>
          <w:color w:val="000000" w:themeColor="text1"/>
        </w:rPr>
        <w:t xml:space="preserve"> </w:t>
      </w:r>
      <w:r w:rsidR="0063194E" w:rsidRPr="006F5D71">
        <w:rPr>
          <w:color w:val="000000" w:themeColor="text1"/>
        </w:rPr>
        <w:t xml:space="preserve">and managerial practices </w:t>
      </w:r>
      <w:r w:rsidR="00323E5A" w:rsidRPr="006F5D71">
        <w:rPr>
          <w:color w:val="000000" w:themeColor="text1"/>
        </w:rPr>
        <w:t xml:space="preserve">from EMNCs which are </w:t>
      </w:r>
      <w:r w:rsidR="00F91F99" w:rsidRPr="006F5D71">
        <w:rPr>
          <w:color w:val="000000" w:themeColor="text1"/>
        </w:rPr>
        <w:t>e</w:t>
      </w:r>
      <w:r w:rsidR="0063194E" w:rsidRPr="006F5D71">
        <w:rPr>
          <w:color w:val="000000" w:themeColor="text1"/>
        </w:rPr>
        <w:t>ssential</w:t>
      </w:r>
      <w:r w:rsidR="00323E5A" w:rsidRPr="006F5D71">
        <w:rPr>
          <w:color w:val="000000" w:themeColor="text1"/>
        </w:rPr>
        <w:t xml:space="preserve"> to becom</w:t>
      </w:r>
      <w:r w:rsidR="00F52463" w:rsidRPr="006F5D71">
        <w:rPr>
          <w:color w:val="000000" w:themeColor="text1"/>
        </w:rPr>
        <w:t>ing</w:t>
      </w:r>
      <w:r w:rsidR="00323E5A" w:rsidRPr="006F5D71">
        <w:rPr>
          <w:color w:val="000000" w:themeColor="text1"/>
        </w:rPr>
        <w:t xml:space="preserve"> global firms.</w:t>
      </w:r>
      <w:r w:rsidR="00F72D31">
        <w:rPr>
          <w:color w:val="000000" w:themeColor="text1"/>
        </w:rPr>
        <w:t xml:space="preserve"> </w:t>
      </w:r>
    </w:p>
    <w:p w14:paraId="6E23C42F" w14:textId="77777777" w:rsidR="004454C8" w:rsidRPr="006F5D71" w:rsidRDefault="000D44E2" w:rsidP="000510CF">
      <w:pPr>
        <w:spacing w:before="240" w:line="360" w:lineRule="auto"/>
        <w:jc w:val="both"/>
        <w:rPr>
          <w:i/>
          <w:color w:val="000000" w:themeColor="text1"/>
        </w:rPr>
      </w:pPr>
      <w:r w:rsidRPr="006F5D71">
        <w:rPr>
          <w:b/>
          <w:color w:val="000000" w:themeColor="text1"/>
        </w:rPr>
        <w:tab/>
      </w:r>
      <w:r w:rsidR="004454C8" w:rsidRPr="006F5D71">
        <w:rPr>
          <w:i/>
          <w:color w:val="000000" w:themeColor="text1"/>
        </w:rPr>
        <w:t>5.3. Limitations and future research implications</w:t>
      </w:r>
    </w:p>
    <w:p w14:paraId="6D2A3310" w14:textId="77777777" w:rsidR="001669A2" w:rsidRPr="006F5D71" w:rsidRDefault="000D44E2" w:rsidP="00F91F99">
      <w:pPr>
        <w:spacing w:after="0" w:line="360" w:lineRule="auto"/>
        <w:jc w:val="both"/>
        <w:rPr>
          <w:color w:val="000000" w:themeColor="text1"/>
        </w:rPr>
      </w:pPr>
      <w:r w:rsidRPr="006F5D71">
        <w:rPr>
          <w:color w:val="000000" w:themeColor="text1"/>
        </w:rPr>
        <w:tab/>
      </w:r>
      <w:r w:rsidR="001669A2" w:rsidRPr="006F5D71">
        <w:rPr>
          <w:color w:val="000000" w:themeColor="text1"/>
        </w:rPr>
        <w:t xml:space="preserve">Like any empirical study, this work also has some limitations, which offer opportunities for future research. We cannot distinguish between </w:t>
      </w:r>
      <w:r w:rsidR="00163B9C">
        <w:rPr>
          <w:color w:val="000000" w:themeColor="text1"/>
        </w:rPr>
        <w:t>an</w:t>
      </w:r>
      <w:r w:rsidR="00163B9C" w:rsidRPr="006F5D71">
        <w:rPr>
          <w:color w:val="000000" w:themeColor="text1"/>
        </w:rPr>
        <w:t xml:space="preserve"> </w:t>
      </w:r>
      <w:r w:rsidR="001669A2" w:rsidRPr="006F5D71">
        <w:rPr>
          <w:color w:val="000000" w:themeColor="text1"/>
        </w:rPr>
        <w:t xml:space="preserve">exit decision driven by </w:t>
      </w:r>
      <w:r w:rsidR="005E6BDE" w:rsidRPr="006F5D71">
        <w:rPr>
          <w:color w:val="000000" w:themeColor="text1"/>
        </w:rPr>
        <w:t xml:space="preserve">the </w:t>
      </w:r>
      <w:r w:rsidR="001669A2" w:rsidRPr="006F5D71">
        <w:rPr>
          <w:color w:val="000000" w:themeColor="text1"/>
        </w:rPr>
        <w:t>inability to compete in the foreign market (weak</w:t>
      </w:r>
      <w:r w:rsidR="009A1484" w:rsidRPr="006F5D71">
        <w:rPr>
          <w:color w:val="000000" w:themeColor="text1"/>
        </w:rPr>
        <w:t>er</w:t>
      </w:r>
      <w:r w:rsidR="001669A2" w:rsidRPr="006F5D71">
        <w:rPr>
          <w:color w:val="000000" w:themeColor="text1"/>
        </w:rPr>
        <w:t xml:space="preserve"> FSAs) or the strategic reconfiguration of resources</w:t>
      </w:r>
      <w:r w:rsidR="009A1484" w:rsidRPr="006F5D71">
        <w:rPr>
          <w:color w:val="000000" w:themeColor="text1"/>
        </w:rPr>
        <w:t>. Future research using survey</w:t>
      </w:r>
      <w:r w:rsidR="001669A2" w:rsidRPr="006F5D71">
        <w:rPr>
          <w:color w:val="000000" w:themeColor="text1"/>
        </w:rPr>
        <w:t xml:space="preserve"> data could gather such information and examine h</w:t>
      </w:r>
      <w:r w:rsidR="005E6BDE" w:rsidRPr="006F5D71">
        <w:rPr>
          <w:color w:val="000000" w:themeColor="text1"/>
        </w:rPr>
        <w:t xml:space="preserve">ow exits with two </w:t>
      </w:r>
      <w:r w:rsidR="00163B9C" w:rsidRPr="006F5D71">
        <w:rPr>
          <w:color w:val="000000" w:themeColor="text1"/>
        </w:rPr>
        <w:t xml:space="preserve">such </w:t>
      </w:r>
      <w:r w:rsidR="005E6BDE" w:rsidRPr="006F5D71">
        <w:rPr>
          <w:color w:val="000000" w:themeColor="text1"/>
        </w:rPr>
        <w:t>contrasting</w:t>
      </w:r>
      <w:r w:rsidR="001669A2" w:rsidRPr="006F5D71">
        <w:rPr>
          <w:color w:val="000000" w:themeColor="text1"/>
        </w:rPr>
        <w:t xml:space="preserve"> reasons var</w:t>
      </w:r>
      <w:r w:rsidR="005E6BDE" w:rsidRPr="006F5D71">
        <w:rPr>
          <w:color w:val="000000" w:themeColor="text1"/>
        </w:rPr>
        <w:t>y</w:t>
      </w:r>
      <w:r w:rsidR="001669A2" w:rsidRPr="006F5D71">
        <w:rPr>
          <w:color w:val="000000" w:themeColor="text1"/>
        </w:rPr>
        <w:t xml:space="preserve"> across locations. Moreover, we acknowledge that immigrant diaspora is not the only practice foreign firms adopt to reduce endogenous risk; there are a number of other practices that serve the same purpose (</w:t>
      </w:r>
      <w:r w:rsidR="000A3222" w:rsidRPr="006F5D71">
        <w:rPr>
          <w:color w:val="000000" w:themeColor="text1"/>
        </w:rPr>
        <w:t xml:space="preserve">Shapiro, </w:t>
      </w:r>
      <w:proofErr w:type="spellStart"/>
      <w:r w:rsidR="000A3222" w:rsidRPr="006F5D71">
        <w:rPr>
          <w:color w:val="000000" w:themeColor="text1"/>
        </w:rPr>
        <w:t>Vecino</w:t>
      </w:r>
      <w:proofErr w:type="spellEnd"/>
      <w:r w:rsidR="000A3222" w:rsidRPr="006F5D71">
        <w:rPr>
          <w:color w:val="000000" w:themeColor="text1"/>
        </w:rPr>
        <w:t>, &amp; Li</w:t>
      </w:r>
      <w:r w:rsidR="001669A2" w:rsidRPr="006F5D71">
        <w:rPr>
          <w:color w:val="000000" w:themeColor="text1"/>
        </w:rPr>
        <w:t xml:space="preserve">, 2018). Existing literature indicates that firms may adopt various risk-reducing strategies simultaneously (e.g., </w:t>
      </w:r>
      <w:proofErr w:type="spellStart"/>
      <w:r w:rsidR="001669A2" w:rsidRPr="006F5D71">
        <w:rPr>
          <w:color w:val="000000" w:themeColor="text1"/>
        </w:rPr>
        <w:t>Adarkwah</w:t>
      </w:r>
      <w:proofErr w:type="spellEnd"/>
      <w:r w:rsidR="001669A2" w:rsidRPr="006F5D71">
        <w:rPr>
          <w:color w:val="000000" w:themeColor="text1"/>
        </w:rPr>
        <w:t xml:space="preserve"> and </w:t>
      </w:r>
      <w:proofErr w:type="spellStart"/>
      <w:r w:rsidR="001669A2" w:rsidRPr="006F5D71">
        <w:rPr>
          <w:color w:val="000000" w:themeColor="text1"/>
        </w:rPr>
        <w:t>Malonaes</w:t>
      </w:r>
      <w:proofErr w:type="spellEnd"/>
      <w:r w:rsidR="001669A2" w:rsidRPr="006F5D71">
        <w:rPr>
          <w:color w:val="000000" w:themeColor="text1"/>
        </w:rPr>
        <w:t>, 2020), but a comparative analysis is lacking. As we do not include the impact of other risk-reducing strateg</w:t>
      </w:r>
      <w:r w:rsidR="005E6BDE" w:rsidRPr="006F5D71">
        <w:rPr>
          <w:color w:val="000000" w:themeColor="text1"/>
        </w:rPr>
        <w:t>ies</w:t>
      </w:r>
      <w:r w:rsidR="001669A2" w:rsidRPr="006F5D71">
        <w:rPr>
          <w:color w:val="000000" w:themeColor="text1"/>
        </w:rPr>
        <w:t xml:space="preserve"> in this study, future research could compare the effectiveness of different approaches such as global distribution channels, and informal networks.</w:t>
      </w:r>
    </w:p>
    <w:p w14:paraId="06F5CD8C" w14:textId="77777777" w:rsidR="00F91F99" w:rsidRPr="006F5D71" w:rsidRDefault="00F91F99" w:rsidP="005E6BDE">
      <w:pPr>
        <w:spacing w:line="360" w:lineRule="auto"/>
        <w:jc w:val="both"/>
        <w:rPr>
          <w:color w:val="000000" w:themeColor="text1"/>
        </w:rPr>
      </w:pPr>
      <w:r w:rsidRPr="006F5D71">
        <w:rPr>
          <w:color w:val="000000" w:themeColor="text1"/>
        </w:rPr>
        <w:tab/>
      </w:r>
      <w:r w:rsidR="00012571" w:rsidRPr="006F5D71">
        <w:rPr>
          <w:color w:val="000000" w:themeColor="text1"/>
        </w:rPr>
        <w:t xml:space="preserve">Prior studies such as </w:t>
      </w:r>
      <w:proofErr w:type="spellStart"/>
      <w:r w:rsidR="00012571" w:rsidRPr="006F5D71">
        <w:rPr>
          <w:color w:val="000000" w:themeColor="text1"/>
        </w:rPr>
        <w:t>Duanmu</w:t>
      </w:r>
      <w:proofErr w:type="spellEnd"/>
      <w:r w:rsidR="00012571" w:rsidRPr="006F5D71">
        <w:rPr>
          <w:color w:val="000000" w:themeColor="text1"/>
        </w:rPr>
        <w:t xml:space="preserve"> (2014) show </w:t>
      </w:r>
      <w:r w:rsidR="006F7004" w:rsidRPr="006F5D71">
        <w:rPr>
          <w:color w:val="000000" w:themeColor="text1"/>
        </w:rPr>
        <w:t>how</w:t>
      </w:r>
      <w:r w:rsidR="00012571" w:rsidRPr="006F5D71">
        <w:rPr>
          <w:color w:val="000000" w:themeColor="text1"/>
        </w:rPr>
        <w:t xml:space="preserve"> </w:t>
      </w:r>
      <w:r w:rsidR="00F52463" w:rsidRPr="006F5D71">
        <w:rPr>
          <w:color w:val="000000" w:themeColor="text1"/>
        </w:rPr>
        <w:t xml:space="preserve">the </w:t>
      </w:r>
      <w:r w:rsidR="00012571" w:rsidRPr="006F5D71">
        <w:rPr>
          <w:color w:val="000000" w:themeColor="text1"/>
        </w:rPr>
        <w:t>home-host government relationship in</w:t>
      </w:r>
      <w:r w:rsidR="006F7004" w:rsidRPr="006F5D71">
        <w:rPr>
          <w:color w:val="000000" w:themeColor="text1"/>
        </w:rPr>
        <w:t>fluences</w:t>
      </w:r>
      <w:r w:rsidR="00012571" w:rsidRPr="006F5D71">
        <w:rPr>
          <w:color w:val="000000" w:themeColor="text1"/>
        </w:rPr>
        <w:t xml:space="preserve"> the </w:t>
      </w:r>
      <w:r w:rsidR="006F7004" w:rsidRPr="006F5D71">
        <w:rPr>
          <w:color w:val="000000" w:themeColor="text1"/>
        </w:rPr>
        <w:t>host market institutional environment which, in turn, determine</w:t>
      </w:r>
      <w:r w:rsidR="00F52463" w:rsidRPr="006F5D71">
        <w:rPr>
          <w:color w:val="000000" w:themeColor="text1"/>
        </w:rPr>
        <w:t>s</w:t>
      </w:r>
      <w:r w:rsidR="006F7004" w:rsidRPr="006F5D71">
        <w:rPr>
          <w:color w:val="000000" w:themeColor="text1"/>
        </w:rPr>
        <w:t xml:space="preserve"> </w:t>
      </w:r>
      <w:r w:rsidR="006F7004" w:rsidRPr="006F5D71">
        <w:rPr>
          <w:color w:val="000000" w:themeColor="text1"/>
        </w:rPr>
        <w:lastRenderedPageBreak/>
        <w:t xml:space="preserve">the </w:t>
      </w:r>
      <w:r w:rsidR="00012571" w:rsidRPr="006F5D71">
        <w:rPr>
          <w:color w:val="000000" w:themeColor="text1"/>
        </w:rPr>
        <w:t>survival of foreign investment. As globalization unfolds and the economic</w:t>
      </w:r>
      <w:r w:rsidR="00F52463" w:rsidRPr="006F5D71">
        <w:rPr>
          <w:color w:val="000000" w:themeColor="text1"/>
        </w:rPr>
        <w:t xml:space="preserve"> </w:t>
      </w:r>
      <w:r w:rsidR="00012571" w:rsidRPr="006F5D71">
        <w:rPr>
          <w:color w:val="000000" w:themeColor="text1"/>
        </w:rPr>
        <w:t>interdependence of countries is ever increasing, bilateral diplomatic relationship</w:t>
      </w:r>
      <w:r w:rsidR="00163B9C">
        <w:rPr>
          <w:color w:val="000000" w:themeColor="text1"/>
        </w:rPr>
        <w:t>s</w:t>
      </w:r>
      <w:r w:rsidR="00012571" w:rsidRPr="006F5D71">
        <w:rPr>
          <w:color w:val="000000" w:themeColor="text1"/>
        </w:rPr>
        <w:t xml:space="preserve"> </w:t>
      </w:r>
      <w:r w:rsidR="006458E9" w:rsidRPr="006F5D71">
        <w:rPr>
          <w:color w:val="000000" w:themeColor="text1"/>
        </w:rPr>
        <w:t>play an</w:t>
      </w:r>
      <w:r w:rsidR="00012571" w:rsidRPr="006F5D71">
        <w:rPr>
          <w:color w:val="000000" w:themeColor="text1"/>
        </w:rPr>
        <w:t xml:space="preserve"> important</w:t>
      </w:r>
      <w:r w:rsidR="006F7004" w:rsidRPr="006F5D71">
        <w:rPr>
          <w:color w:val="000000" w:themeColor="text1"/>
        </w:rPr>
        <w:t xml:space="preserve"> </w:t>
      </w:r>
      <w:r w:rsidR="00D27E94" w:rsidRPr="006F5D71">
        <w:rPr>
          <w:color w:val="000000" w:themeColor="text1"/>
        </w:rPr>
        <w:t>role</w:t>
      </w:r>
      <w:r w:rsidR="006458E9" w:rsidRPr="006F5D71">
        <w:rPr>
          <w:color w:val="000000" w:themeColor="text1"/>
        </w:rPr>
        <w:t xml:space="preserve"> </w:t>
      </w:r>
      <w:r w:rsidR="006F7004" w:rsidRPr="006F5D71">
        <w:rPr>
          <w:color w:val="000000" w:themeColor="text1"/>
        </w:rPr>
        <w:t>(Buckley et al., 2020)</w:t>
      </w:r>
      <w:r w:rsidR="00012571" w:rsidRPr="006F5D71">
        <w:rPr>
          <w:color w:val="000000" w:themeColor="text1"/>
        </w:rPr>
        <w:t>. The significance of bilateral relationship</w:t>
      </w:r>
      <w:r w:rsidR="00F52463" w:rsidRPr="006F5D71">
        <w:rPr>
          <w:color w:val="000000" w:themeColor="text1"/>
        </w:rPr>
        <w:t>s</w:t>
      </w:r>
      <w:r w:rsidR="00012571" w:rsidRPr="006F5D71">
        <w:rPr>
          <w:color w:val="000000" w:themeColor="text1"/>
        </w:rPr>
        <w:t xml:space="preserve"> for firm survival in </w:t>
      </w:r>
      <w:r w:rsidR="00F52463" w:rsidRPr="006F5D71">
        <w:rPr>
          <w:color w:val="000000" w:themeColor="text1"/>
        </w:rPr>
        <w:t xml:space="preserve">the </w:t>
      </w:r>
      <w:r w:rsidR="00012571" w:rsidRPr="006F5D71">
        <w:rPr>
          <w:color w:val="000000" w:themeColor="text1"/>
        </w:rPr>
        <w:t xml:space="preserve">host market </w:t>
      </w:r>
      <w:r w:rsidR="00F52463" w:rsidRPr="006F5D71">
        <w:rPr>
          <w:color w:val="000000" w:themeColor="text1"/>
        </w:rPr>
        <w:t xml:space="preserve">has </w:t>
      </w:r>
      <w:r w:rsidR="00012571" w:rsidRPr="006F5D71">
        <w:rPr>
          <w:color w:val="000000" w:themeColor="text1"/>
        </w:rPr>
        <w:t xml:space="preserve">become more apparent in </w:t>
      </w:r>
      <w:r w:rsidR="00F52463" w:rsidRPr="006F5D71">
        <w:rPr>
          <w:color w:val="000000" w:themeColor="text1"/>
        </w:rPr>
        <w:t xml:space="preserve">the </w:t>
      </w:r>
      <w:r w:rsidR="00012571" w:rsidRPr="006F5D71">
        <w:rPr>
          <w:color w:val="000000" w:themeColor="text1"/>
        </w:rPr>
        <w:t xml:space="preserve">recent US-China trade war, where </w:t>
      </w:r>
      <w:r w:rsidR="006F7004" w:rsidRPr="006F5D71">
        <w:rPr>
          <w:color w:val="000000" w:themeColor="text1"/>
        </w:rPr>
        <w:t xml:space="preserve">bilateral relations outweigh the importance of FSAs of </w:t>
      </w:r>
      <w:r w:rsidR="00012571" w:rsidRPr="006F5D71">
        <w:rPr>
          <w:color w:val="000000" w:themeColor="text1"/>
        </w:rPr>
        <w:t>Chinese MNCs</w:t>
      </w:r>
      <w:r w:rsidR="006F7004" w:rsidRPr="006F5D71">
        <w:rPr>
          <w:color w:val="000000" w:themeColor="text1"/>
        </w:rPr>
        <w:t xml:space="preserve">. In this study, </w:t>
      </w:r>
      <w:r w:rsidR="00CE01E3" w:rsidRPr="006F5D71">
        <w:rPr>
          <w:color w:val="000000" w:themeColor="text1"/>
        </w:rPr>
        <w:t xml:space="preserve">though we re-estimate the results without the firms operating in </w:t>
      </w:r>
      <w:r w:rsidR="00163B9C">
        <w:rPr>
          <w:color w:val="000000" w:themeColor="text1"/>
        </w:rPr>
        <w:t xml:space="preserve">the </w:t>
      </w:r>
      <w:r w:rsidR="00CE01E3" w:rsidRPr="006F5D71">
        <w:rPr>
          <w:color w:val="000000" w:themeColor="text1"/>
        </w:rPr>
        <w:t xml:space="preserve">US, </w:t>
      </w:r>
      <w:r w:rsidR="006F7004" w:rsidRPr="006F5D71">
        <w:rPr>
          <w:color w:val="000000" w:themeColor="text1"/>
        </w:rPr>
        <w:t xml:space="preserve">we could not </w:t>
      </w:r>
      <w:r w:rsidR="00CE01E3" w:rsidRPr="006F5D71">
        <w:rPr>
          <w:color w:val="000000" w:themeColor="text1"/>
        </w:rPr>
        <w:t xml:space="preserve">directly </w:t>
      </w:r>
      <w:r w:rsidR="006F7004" w:rsidRPr="006F5D71">
        <w:rPr>
          <w:color w:val="000000" w:themeColor="text1"/>
        </w:rPr>
        <w:t xml:space="preserve">account for risk arising from home-host bilateral relationships. </w:t>
      </w:r>
      <w:r w:rsidR="00713AFF" w:rsidRPr="006F5D71">
        <w:rPr>
          <w:color w:val="000000" w:themeColor="text1"/>
        </w:rPr>
        <w:t>One promising line of future research</w:t>
      </w:r>
      <w:r w:rsidR="006F7004" w:rsidRPr="006F5D71">
        <w:rPr>
          <w:color w:val="000000" w:themeColor="text1"/>
        </w:rPr>
        <w:t xml:space="preserve"> </w:t>
      </w:r>
      <w:r w:rsidR="00713AFF" w:rsidRPr="006F5D71">
        <w:rPr>
          <w:color w:val="000000" w:themeColor="text1"/>
        </w:rPr>
        <w:t xml:space="preserve">could </w:t>
      </w:r>
      <w:r w:rsidR="0089796E" w:rsidRPr="006F5D71">
        <w:rPr>
          <w:color w:val="000000" w:themeColor="text1"/>
        </w:rPr>
        <w:t>center on</w:t>
      </w:r>
      <w:r w:rsidR="006F7004" w:rsidRPr="006F5D71">
        <w:rPr>
          <w:color w:val="000000" w:themeColor="text1"/>
        </w:rPr>
        <w:t xml:space="preserve"> the role of home-host government relationships in facilitating or hampering the </w:t>
      </w:r>
      <w:r w:rsidR="006458E9" w:rsidRPr="006F5D71">
        <w:rPr>
          <w:color w:val="000000" w:themeColor="text1"/>
        </w:rPr>
        <w:t>survival</w:t>
      </w:r>
      <w:r w:rsidR="0089796E" w:rsidRPr="006F5D71">
        <w:rPr>
          <w:color w:val="000000" w:themeColor="text1"/>
        </w:rPr>
        <w:t xml:space="preserve"> of EMNCs in foreign markets</w:t>
      </w:r>
      <w:r w:rsidR="006458E9" w:rsidRPr="006F5D71">
        <w:rPr>
          <w:color w:val="000000" w:themeColor="text1"/>
        </w:rPr>
        <w:t xml:space="preserve">. </w:t>
      </w:r>
    </w:p>
    <w:p w14:paraId="1EDB3A85" w14:textId="77777777" w:rsidR="009311A1" w:rsidRPr="006F5D71" w:rsidRDefault="009311A1" w:rsidP="00267EBB">
      <w:pPr>
        <w:spacing w:line="360" w:lineRule="auto"/>
        <w:jc w:val="both"/>
        <w:rPr>
          <w:b/>
          <w:bCs/>
          <w:color w:val="000000" w:themeColor="text1"/>
          <w:sz w:val="28"/>
          <w:szCs w:val="28"/>
        </w:rPr>
      </w:pPr>
    </w:p>
    <w:p w14:paraId="5B60BECE" w14:textId="77777777" w:rsidR="009311A1" w:rsidRPr="006F5D71" w:rsidRDefault="009311A1" w:rsidP="00267EBB">
      <w:pPr>
        <w:spacing w:line="360" w:lineRule="auto"/>
        <w:jc w:val="both"/>
        <w:rPr>
          <w:b/>
          <w:bCs/>
          <w:color w:val="000000" w:themeColor="text1"/>
          <w:sz w:val="28"/>
          <w:szCs w:val="28"/>
        </w:rPr>
      </w:pPr>
    </w:p>
    <w:p w14:paraId="2984D169" w14:textId="77777777" w:rsidR="009311A1" w:rsidRPr="006F5D71" w:rsidRDefault="009311A1" w:rsidP="00267EBB">
      <w:pPr>
        <w:spacing w:line="360" w:lineRule="auto"/>
        <w:jc w:val="both"/>
        <w:rPr>
          <w:b/>
          <w:bCs/>
          <w:color w:val="000000" w:themeColor="text1"/>
          <w:sz w:val="28"/>
          <w:szCs w:val="28"/>
        </w:rPr>
      </w:pPr>
    </w:p>
    <w:p w14:paraId="67626430" w14:textId="77777777" w:rsidR="009311A1" w:rsidRPr="006F5D71" w:rsidRDefault="009311A1" w:rsidP="00267EBB">
      <w:pPr>
        <w:spacing w:line="360" w:lineRule="auto"/>
        <w:jc w:val="both"/>
        <w:rPr>
          <w:b/>
          <w:bCs/>
          <w:color w:val="000000" w:themeColor="text1"/>
          <w:sz w:val="28"/>
          <w:szCs w:val="28"/>
        </w:rPr>
      </w:pPr>
    </w:p>
    <w:p w14:paraId="44AA645F" w14:textId="77777777" w:rsidR="00D27E94" w:rsidRPr="006F5D71" w:rsidRDefault="00D27E94">
      <w:pPr>
        <w:rPr>
          <w:b/>
          <w:bCs/>
          <w:color w:val="000000" w:themeColor="text1"/>
          <w:sz w:val="28"/>
          <w:szCs w:val="28"/>
        </w:rPr>
      </w:pPr>
      <w:r w:rsidRPr="006F5D71">
        <w:rPr>
          <w:b/>
          <w:bCs/>
          <w:color w:val="000000" w:themeColor="text1"/>
          <w:sz w:val="28"/>
          <w:szCs w:val="28"/>
        </w:rPr>
        <w:br w:type="page"/>
      </w:r>
    </w:p>
    <w:p w14:paraId="57D96FAB" w14:textId="77777777" w:rsidR="009C0DCC" w:rsidRPr="006F5D71" w:rsidRDefault="00747E5B" w:rsidP="00267EBB">
      <w:pPr>
        <w:spacing w:line="360" w:lineRule="auto"/>
        <w:jc w:val="both"/>
        <w:rPr>
          <w:b/>
          <w:bCs/>
          <w:color w:val="000000" w:themeColor="text1"/>
          <w:sz w:val="28"/>
          <w:szCs w:val="28"/>
        </w:rPr>
      </w:pPr>
      <w:r w:rsidRPr="006F5D71">
        <w:rPr>
          <w:b/>
          <w:bCs/>
          <w:color w:val="000000" w:themeColor="text1"/>
          <w:sz w:val="28"/>
          <w:szCs w:val="28"/>
        </w:rPr>
        <w:lastRenderedPageBreak/>
        <w:t>References</w:t>
      </w:r>
    </w:p>
    <w:p w14:paraId="4B9DE72F"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FD5849">
        <w:rPr>
          <w:rFonts w:eastAsia="Times New Roman" w:cs="Times New Roman"/>
          <w:color w:val="000000" w:themeColor="text1"/>
          <w:szCs w:val="24"/>
          <w:lang w:val="es-ES"/>
        </w:rPr>
        <w:t>Adarkwah</w:t>
      </w:r>
      <w:proofErr w:type="spellEnd"/>
      <w:r w:rsidRPr="00FD5849">
        <w:rPr>
          <w:rFonts w:eastAsia="Times New Roman" w:cs="Times New Roman"/>
          <w:color w:val="000000" w:themeColor="text1"/>
          <w:szCs w:val="24"/>
          <w:lang w:val="es-ES"/>
        </w:rPr>
        <w:t xml:space="preserve">, G. K., &amp; </w:t>
      </w:r>
      <w:proofErr w:type="spellStart"/>
      <w:r w:rsidRPr="00FD5849">
        <w:rPr>
          <w:rFonts w:eastAsia="Times New Roman" w:cs="Times New Roman"/>
          <w:color w:val="000000" w:themeColor="text1"/>
          <w:szCs w:val="24"/>
          <w:lang w:val="es-ES"/>
        </w:rPr>
        <w:t>Malonæs</w:t>
      </w:r>
      <w:proofErr w:type="spellEnd"/>
      <w:r w:rsidRPr="00FD5849">
        <w:rPr>
          <w:rFonts w:eastAsia="Times New Roman" w:cs="Times New Roman"/>
          <w:color w:val="000000" w:themeColor="text1"/>
          <w:szCs w:val="24"/>
          <w:lang w:val="es-ES"/>
        </w:rPr>
        <w:t xml:space="preserve">, T. P. (2020). </w:t>
      </w:r>
      <w:r w:rsidRPr="006F5D71">
        <w:rPr>
          <w:rFonts w:eastAsia="Times New Roman" w:cs="Times New Roman"/>
          <w:color w:val="000000" w:themeColor="text1"/>
          <w:szCs w:val="24"/>
        </w:rPr>
        <w:t xml:space="preserve">Firm-specific advantages: a comprehensive review with a focus on emerging markets. </w:t>
      </w:r>
      <w:r w:rsidRPr="006F5D71">
        <w:rPr>
          <w:rFonts w:eastAsia="Times New Roman" w:cs="Times New Roman"/>
          <w:i/>
          <w:iCs/>
          <w:color w:val="000000" w:themeColor="text1"/>
          <w:szCs w:val="24"/>
        </w:rPr>
        <w:t>Asia Pacific Journal of Management</w:t>
      </w:r>
      <w:r w:rsidRPr="006F5D71">
        <w:rPr>
          <w:rFonts w:eastAsia="Times New Roman" w:cs="Times New Roman"/>
          <w:color w:val="000000" w:themeColor="text1"/>
          <w:szCs w:val="24"/>
        </w:rPr>
        <w:t>, 1-47.</w:t>
      </w:r>
    </w:p>
    <w:p w14:paraId="03BADDC7"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Ahsan, F. M., Fuad, M., &amp; Sinha, A. K. (2021). Seeking strategic assets within cross-border acquisition waves: a study of Indian firms. </w:t>
      </w:r>
      <w:r w:rsidRPr="006F5D71">
        <w:rPr>
          <w:rFonts w:eastAsia="Times New Roman" w:cs="Times New Roman"/>
          <w:i/>
          <w:iCs/>
          <w:color w:val="000000" w:themeColor="text1"/>
          <w:szCs w:val="24"/>
        </w:rPr>
        <w:t>Journal of International Management</w:t>
      </w:r>
      <w:r w:rsidRPr="006F5D71">
        <w:rPr>
          <w:rFonts w:eastAsia="Times New Roman" w:cs="Times New Roman"/>
          <w:color w:val="000000" w:themeColor="text1"/>
          <w:szCs w:val="24"/>
        </w:rPr>
        <w:t>, 27(4), 100875.</w:t>
      </w:r>
    </w:p>
    <w:p w14:paraId="32DADDC1"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Athreye</w:t>
      </w:r>
      <w:proofErr w:type="spellEnd"/>
      <w:r w:rsidRPr="006F5D71">
        <w:rPr>
          <w:rFonts w:eastAsia="Times New Roman" w:cs="Times New Roman"/>
          <w:color w:val="000000" w:themeColor="text1"/>
          <w:szCs w:val="24"/>
        </w:rPr>
        <w:t xml:space="preserve">, S., &amp; </w:t>
      </w:r>
      <w:proofErr w:type="spellStart"/>
      <w:r w:rsidRPr="006F5D71">
        <w:rPr>
          <w:rFonts w:eastAsia="Times New Roman" w:cs="Times New Roman"/>
          <w:color w:val="000000" w:themeColor="text1"/>
          <w:szCs w:val="24"/>
        </w:rPr>
        <w:t>Kapur</w:t>
      </w:r>
      <w:proofErr w:type="spellEnd"/>
      <w:r w:rsidRPr="006F5D71">
        <w:rPr>
          <w:rFonts w:eastAsia="Times New Roman" w:cs="Times New Roman"/>
          <w:color w:val="000000" w:themeColor="text1"/>
          <w:szCs w:val="24"/>
        </w:rPr>
        <w:t xml:space="preserve">, S. (2009). Introduction: The internationalization of Chinese and Indian firms—trends, motivations and strategy. </w:t>
      </w:r>
      <w:r w:rsidRPr="006F5D71">
        <w:rPr>
          <w:rFonts w:eastAsia="Times New Roman" w:cs="Times New Roman"/>
          <w:i/>
          <w:iCs/>
          <w:color w:val="000000" w:themeColor="text1"/>
          <w:szCs w:val="24"/>
        </w:rPr>
        <w:t>Industrial and Corporate Change</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18</w:t>
      </w:r>
      <w:r w:rsidRPr="006F5D71">
        <w:rPr>
          <w:rFonts w:eastAsia="Times New Roman" w:cs="Times New Roman"/>
          <w:color w:val="000000" w:themeColor="text1"/>
          <w:szCs w:val="24"/>
        </w:rPr>
        <w:t>(2), 209-221.</w:t>
      </w:r>
    </w:p>
    <w:p w14:paraId="117A1360" w14:textId="77777777" w:rsidR="00EA4439" w:rsidRPr="00FD5849" w:rsidRDefault="00EA4439" w:rsidP="009311A1">
      <w:pPr>
        <w:spacing w:after="0" w:line="240" w:lineRule="auto"/>
        <w:ind w:left="450" w:hanging="450"/>
        <w:jc w:val="both"/>
        <w:rPr>
          <w:rFonts w:eastAsia="Times New Roman" w:cs="Times New Roman"/>
          <w:color w:val="000000" w:themeColor="text1"/>
          <w:szCs w:val="24"/>
          <w:lang w:val="en-GB"/>
        </w:rPr>
      </w:pPr>
      <w:proofErr w:type="spellStart"/>
      <w:r w:rsidRPr="006F5D71">
        <w:rPr>
          <w:rFonts w:eastAsia="Times New Roman" w:cs="Times New Roman"/>
          <w:color w:val="000000" w:themeColor="text1"/>
          <w:szCs w:val="24"/>
        </w:rPr>
        <w:t>Athreye</w:t>
      </w:r>
      <w:proofErr w:type="spellEnd"/>
      <w:r w:rsidRPr="006F5D71">
        <w:rPr>
          <w:rFonts w:eastAsia="Times New Roman" w:cs="Times New Roman"/>
          <w:color w:val="000000" w:themeColor="text1"/>
          <w:szCs w:val="24"/>
        </w:rPr>
        <w:t xml:space="preserve">, S., Saeed, A., &amp; Baloch, M. S. (2021). Financial crisis of 2008 and outward foreign investments from China and India. </w:t>
      </w:r>
      <w:r w:rsidRPr="006F5D71">
        <w:rPr>
          <w:rFonts w:eastAsia="Times New Roman" w:cs="Times New Roman"/>
          <w:i/>
          <w:iCs/>
          <w:color w:val="000000" w:themeColor="text1"/>
          <w:szCs w:val="24"/>
        </w:rPr>
        <w:t>Journal of World Business</w:t>
      </w:r>
      <w:r w:rsidRPr="006F5D71">
        <w:rPr>
          <w:rFonts w:eastAsia="Times New Roman" w:cs="Times New Roman"/>
          <w:color w:val="000000" w:themeColor="text1"/>
          <w:szCs w:val="24"/>
        </w:rPr>
        <w:t xml:space="preserve">, 101190. </w:t>
      </w:r>
      <w:r w:rsidRPr="00967826">
        <w:rPr>
          <w:rFonts w:eastAsia="Times New Roman" w:cs="Times New Roman"/>
          <w:color w:val="000000" w:themeColor="text1"/>
          <w:szCs w:val="24"/>
        </w:rPr>
        <w:t>https://doi.org/10.1016/j.jwb.2021.101190</w:t>
      </w:r>
      <w:r w:rsidRPr="00FD5849">
        <w:rPr>
          <w:rFonts w:eastAsia="Times New Roman" w:cs="Times New Roman"/>
          <w:color w:val="000000" w:themeColor="text1"/>
          <w:szCs w:val="24"/>
          <w:lang w:val="en-GB"/>
        </w:rPr>
        <w:t>.</w:t>
      </w:r>
    </w:p>
    <w:p w14:paraId="134610AF"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FD5849">
        <w:rPr>
          <w:rFonts w:eastAsia="Times New Roman" w:cs="Times New Roman"/>
          <w:color w:val="000000" w:themeColor="text1"/>
          <w:szCs w:val="24"/>
          <w:lang w:val="en-GB"/>
        </w:rPr>
        <w:t>Awate</w:t>
      </w:r>
      <w:proofErr w:type="spellEnd"/>
      <w:r w:rsidRPr="00FD5849">
        <w:rPr>
          <w:rFonts w:eastAsia="Times New Roman" w:cs="Times New Roman"/>
          <w:color w:val="000000" w:themeColor="text1"/>
          <w:szCs w:val="24"/>
          <w:lang w:val="en-GB"/>
        </w:rPr>
        <w:t xml:space="preserve">, S., Larsen, M. M., &amp; </w:t>
      </w:r>
      <w:proofErr w:type="spellStart"/>
      <w:r w:rsidRPr="00FD5849">
        <w:rPr>
          <w:rFonts w:eastAsia="Times New Roman" w:cs="Times New Roman"/>
          <w:color w:val="000000" w:themeColor="text1"/>
          <w:szCs w:val="24"/>
          <w:lang w:val="en-GB"/>
        </w:rPr>
        <w:t>Mudambi</w:t>
      </w:r>
      <w:proofErr w:type="spellEnd"/>
      <w:r w:rsidRPr="00FD5849">
        <w:rPr>
          <w:rFonts w:eastAsia="Times New Roman" w:cs="Times New Roman"/>
          <w:color w:val="000000" w:themeColor="text1"/>
          <w:szCs w:val="24"/>
          <w:lang w:val="en-GB"/>
        </w:rPr>
        <w:t xml:space="preserve">, R. (2015). </w:t>
      </w:r>
      <w:r w:rsidRPr="00967826">
        <w:rPr>
          <w:rFonts w:eastAsia="Times New Roman" w:cs="Times New Roman"/>
          <w:color w:val="000000" w:themeColor="text1"/>
          <w:szCs w:val="24"/>
        </w:rPr>
        <w:t xml:space="preserve">Accessing vs sourcing knowledge: A comparative study of R&amp;D internationalization between emerging and advanced economy firms. </w:t>
      </w:r>
      <w:r w:rsidRPr="00EA4439">
        <w:rPr>
          <w:rFonts w:eastAsia="Times New Roman" w:cs="Times New Roman"/>
          <w:i/>
          <w:iCs/>
          <w:color w:val="000000" w:themeColor="text1"/>
          <w:szCs w:val="24"/>
        </w:rPr>
        <w:t>Journal of International Business Studies</w:t>
      </w:r>
      <w:r w:rsidRPr="00967826">
        <w:rPr>
          <w:rFonts w:eastAsia="Times New Roman" w:cs="Times New Roman"/>
          <w:color w:val="000000" w:themeColor="text1"/>
          <w:szCs w:val="24"/>
        </w:rPr>
        <w:t>, 46(1), 63-86.</w:t>
      </w:r>
    </w:p>
    <w:p w14:paraId="01FAD601"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Barnard, H. (2010). Overcoming the liability of foreignness without strong firm capabilities—the value of market-based resources. </w:t>
      </w:r>
      <w:r w:rsidRPr="006F5D71">
        <w:rPr>
          <w:rFonts w:eastAsia="Times New Roman" w:cs="Times New Roman"/>
          <w:i/>
          <w:iCs/>
          <w:color w:val="000000" w:themeColor="text1"/>
          <w:szCs w:val="24"/>
        </w:rPr>
        <w:t>Journal of International Management</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16</w:t>
      </w:r>
      <w:r w:rsidRPr="006F5D71">
        <w:rPr>
          <w:rFonts w:eastAsia="Times New Roman" w:cs="Times New Roman"/>
          <w:color w:val="000000" w:themeColor="text1"/>
          <w:szCs w:val="24"/>
        </w:rPr>
        <w:t>(2), 165-176.</w:t>
      </w:r>
    </w:p>
    <w:p w14:paraId="0EF0A255"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Barnard, H. (2021). Host countries' level of development and internationalization from emerging markets: A typology of firm strategies. </w:t>
      </w:r>
      <w:r w:rsidRPr="006F5D71">
        <w:rPr>
          <w:rFonts w:eastAsia="Times New Roman" w:cs="Times New Roman"/>
          <w:i/>
          <w:iCs/>
          <w:color w:val="000000" w:themeColor="text1"/>
          <w:szCs w:val="24"/>
        </w:rPr>
        <w:t>Journal of International Management</w:t>
      </w:r>
      <w:r w:rsidRPr="006F5D71">
        <w:rPr>
          <w:rFonts w:eastAsia="Times New Roman" w:cs="Times New Roman"/>
          <w:color w:val="000000" w:themeColor="text1"/>
          <w:szCs w:val="24"/>
        </w:rPr>
        <w:t>, 100828.</w:t>
      </w:r>
    </w:p>
    <w:p w14:paraId="409052AD"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Baron, J., &amp; </w:t>
      </w:r>
      <w:proofErr w:type="spellStart"/>
      <w:r w:rsidRPr="006F5D71">
        <w:rPr>
          <w:rFonts w:eastAsia="Times New Roman" w:cs="Times New Roman"/>
          <w:color w:val="000000" w:themeColor="text1"/>
          <w:szCs w:val="24"/>
        </w:rPr>
        <w:t>Spulber</w:t>
      </w:r>
      <w:proofErr w:type="spellEnd"/>
      <w:r w:rsidRPr="006F5D71">
        <w:rPr>
          <w:rFonts w:eastAsia="Times New Roman" w:cs="Times New Roman"/>
          <w:color w:val="000000" w:themeColor="text1"/>
          <w:szCs w:val="24"/>
        </w:rPr>
        <w:t xml:space="preserve">, D. F. (2017). The effect of technological change on firm survival and growth-evidence from technology standards. </w:t>
      </w:r>
      <w:r w:rsidRPr="006F5D71">
        <w:rPr>
          <w:rFonts w:eastAsia="Times New Roman" w:cs="Times New Roman"/>
          <w:i/>
          <w:iCs/>
          <w:color w:val="000000" w:themeColor="text1"/>
          <w:szCs w:val="24"/>
        </w:rPr>
        <w:t xml:space="preserve">Chicago: </w:t>
      </w:r>
      <w:proofErr w:type="spellStart"/>
      <w:r w:rsidRPr="006F5D71">
        <w:rPr>
          <w:rFonts w:eastAsia="Times New Roman" w:cs="Times New Roman"/>
          <w:i/>
          <w:iCs/>
          <w:color w:val="000000" w:themeColor="text1"/>
          <w:szCs w:val="24"/>
        </w:rPr>
        <w:t>NorthWest</w:t>
      </w:r>
      <w:proofErr w:type="spellEnd"/>
      <w:r w:rsidRPr="006F5D71">
        <w:rPr>
          <w:rFonts w:eastAsia="Times New Roman" w:cs="Times New Roman"/>
          <w:i/>
          <w:iCs/>
          <w:color w:val="000000" w:themeColor="text1"/>
          <w:szCs w:val="24"/>
        </w:rPr>
        <w:t xml:space="preserve"> University</w:t>
      </w:r>
      <w:r w:rsidRPr="006F5D71">
        <w:rPr>
          <w:rFonts w:eastAsia="Times New Roman" w:cs="Times New Roman"/>
          <w:color w:val="000000" w:themeColor="text1"/>
          <w:szCs w:val="24"/>
        </w:rPr>
        <w:t>.</w:t>
      </w:r>
    </w:p>
    <w:p w14:paraId="7BC07F60"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de-DE"/>
        </w:rPr>
        <w:t xml:space="preserve">Bhaumik, S. K., Driffield, N., &amp; Zhou, Y. (2016). </w:t>
      </w:r>
      <w:r w:rsidRPr="006F5D71">
        <w:rPr>
          <w:rFonts w:eastAsia="Times New Roman" w:cs="Times New Roman"/>
          <w:color w:val="000000" w:themeColor="text1"/>
          <w:szCs w:val="24"/>
        </w:rPr>
        <w:t xml:space="preserve">Country specific advantage, firm specific advantage and </w:t>
      </w:r>
      <w:proofErr w:type="spellStart"/>
      <w:r w:rsidRPr="006F5D71">
        <w:rPr>
          <w:rFonts w:eastAsia="Times New Roman" w:cs="Times New Roman"/>
          <w:color w:val="000000" w:themeColor="text1"/>
          <w:szCs w:val="24"/>
        </w:rPr>
        <w:t>multinationality</w:t>
      </w:r>
      <w:proofErr w:type="spellEnd"/>
      <w:r w:rsidRPr="006F5D71">
        <w:rPr>
          <w:rFonts w:eastAsia="Times New Roman" w:cs="Times New Roman"/>
          <w:color w:val="000000" w:themeColor="text1"/>
          <w:szCs w:val="24"/>
        </w:rPr>
        <w:t xml:space="preserve">–Sources of competitive advantage in emerging markets: Evidence from the electronics industry in China. </w:t>
      </w:r>
      <w:r w:rsidRPr="006F5D71">
        <w:rPr>
          <w:rFonts w:eastAsia="Times New Roman" w:cs="Times New Roman"/>
          <w:i/>
          <w:iCs/>
          <w:color w:val="000000" w:themeColor="text1"/>
          <w:szCs w:val="24"/>
        </w:rPr>
        <w:t>International Business Review</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25</w:t>
      </w:r>
      <w:r w:rsidRPr="006F5D71">
        <w:rPr>
          <w:rFonts w:eastAsia="Times New Roman" w:cs="Times New Roman"/>
          <w:color w:val="000000" w:themeColor="text1"/>
          <w:szCs w:val="24"/>
        </w:rPr>
        <w:t>(1), 165-176.</w:t>
      </w:r>
    </w:p>
    <w:p w14:paraId="22E37F7C"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it-IT"/>
        </w:rPr>
        <w:t xml:space="preserve">Bilgili, T. V., Kedia, B. L., &amp; Bilgili, H. (2016). </w:t>
      </w:r>
      <w:r w:rsidRPr="006F5D71">
        <w:rPr>
          <w:rFonts w:eastAsia="Times New Roman" w:cs="Times New Roman"/>
          <w:color w:val="000000" w:themeColor="text1"/>
          <w:szCs w:val="24"/>
        </w:rPr>
        <w:t xml:space="preserve">Exploring the influence of resource environments on absorptive capacity development: The case of emerging market firms. </w:t>
      </w:r>
      <w:r w:rsidRPr="006F5D71">
        <w:rPr>
          <w:rFonts w:eastAsia="Times New Roman" w:cs="Times New Roman"/>
          <w:i/>
          <w:iCs/>
          <w:color w:val="000000" w:themeColor="text1"/>
          <w:szCs w:val="24"/>
        </w:rPr>
        <w:t>Journal of World Business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51</w:t>
      </w:r>
      <w:r w:rsidRPr="006F5D71">
        <w:rPr>
          <w:rFonts w:eastAsia="Times New Roman" w:cs="Times New Roman"/>
          <w:color w:val="000000" w:themeColor="text1"/>
          <w:szCs w:val="24"/>
        </w:rPr>
        <w:t>(5), 700-712.</w:t>
      </w:r>
    </w:p>
    <w:p w14:paraId="0C9E8A66"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it-IT"/>
        </w:rPr>
        <w:t xml:space="preserve">Bordilovska, O., &amp; Ugwu, V. (2018). Sino-Indian Competition in Africa. </w:t>
      </w:r>
      <w:proofErr w:type="spellStart"/>
      <w:r w:rsidRPr="006F5D71">
        <w:rPr>
          <w:rFonts w:eastAsia="Times New Roman" w:cs="Times New Roman"/>
          <w:i/>
          <w:iCs/>
          <w:color w:val="000000" w:themeColor="text1"/>
          <w:szCs w:val="24"/>
        </w:rPr>
        <w:t>Східний</w:t>
      </w:r>
      <w:proofErr w:type="spellEnd"/>
      <w:r w:rsidRPr="006F5D71">
        <w:rPr>
          <w:rFonts w:eastAsia="Times New Roman" w:cs="Times New Roman"/>
          <w:i/>
          <w:iCs/>
          <w:color w:val="000000" w:themeColor="text1"/>
          <w:szCs w:val="24"/>
        </w:rPr>
        <w:t xml:space="preserve"> </w:t>
      </w:r>
      <w:proofErr w:type="spellStart"/>
      <w:r w:rsidRPr="006F5D71">
        <w:rPr>
          <w:rFonts w:eastAsia="Times New Roman" w:cs="Times New Roman"/>
          <w:i/>
          <w:iCs/>
          <w:color w:val="000000" w:themeColor="text1"/>
          <w:szCs w:val="24"/>
        </w:rPr>
        <w:t>світ</w:t>
      </w:r>
      <w:proofErr w:type="spellEnd"/>
      <w:r w:rsidRPr="006F5D71">
        <w:rPr>
          <w:rFonts w:eastAsia="Times New Roman" w:cs="Times New Roman"/>
          <w:color w:val="000000" w:themeColor="text1"/>
          <w:szCs w:val="24"/>
        </w:rPr>
        <w:t>, (1), 5-17.</w:t>
      </w:r>
    </w:p>
    <w:p w14:paraId="39301012" w14:textId="77777777" w:rsidR="00EA4439"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Bowman, E. H., &amp; Hurry, D. (1993). Strategy through the option lens: An integrated view of resource investments and the incremental-choice process. </w:t>
      </w:r>
      <w:r w:rsidRPr="006F5D71">
        <w:rPr>
          <w:rFonts w:eastAsia="Times New Roman" w:cs="Times New Roman"/>
          <w:i/>
          <w:iCs/>
          <w:color w:val="000000" w:themeColor="text1"/>
          <w:szCs w:val="24"/>
        </w:rPr>
        <w:t>Academy of Management Review</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18</w:t>
      </w:r>
      <w:r w:rsidRPr="006F5D71">
        <w:rPr>
          <w:rFonts w:eastAsia="Times New Roman" w:cs="Times New Roman"/>
          <w:color w:val="000000" w:themeColor="text1"/>
          <w:szCs w:val="24"/>
        </w:rPr>
        <w:t>(4), 760-782.</w:t>
      </w:r>
    </w:p>
    <w:p w14:paraId="03E5520B"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de-DE"/>
        </w:rPr>
        <w:t xml:space="preserve">Buch, C. M., Kleinert, J., &amp; Toubal, F. (2006). </w:t>
      </w:r>
      <w:r w:rsidRPr="00967826">
        <w:rPr>
          <w:rFonts w:eastAsia="Times New Roman" w:cs="Times New Roman"/>
          <w:color w:val="000000" w:themeColor="text1"/>
          <w:szCs w:val="24"/>
        </w:rPr>
        <w:t xml:space="preserve">Where enterprises lead, people follow? Links between migration and FDI in Germany. </w:t>
      </w:r>
      <w:r w:rsidRPr="00EA4439">
        <w:rPr>
          <w:rFonts w:eastAsia="Times New Roman" w:cs="Times New Roman"/>
          <w:i/>
          <w:iCs/>
          <w:color w:val="000000" w:themeColor="text1"/>
          <w:szCs w:val="24"/>
        </w:rPr>
        <w:t>European Economic Review</w:t>
      </w:r>
      <w:r w:rsidRPr="00967826">
        <w:rPr>
          <w:rFonts w:eastAsia="Times New Roman" w:cs="Times New Roman"/>
          <w:color w:val="000000" w:themeColor="text1"/>
          <w:szCs w:val="24"/>
        </w:rPr>
        <w:t>, 50(8), 2017-2036.</w:t>
      </w:r>
    </w:p>
    <w:p w14:paraId="0F8918C3" w14:textId="77777777" w:rsidR="00EA4439" w:rsidRPr="006F5D71" w:rsidRDefault="00EA4439" w:rsidP="009311A1">
      <w:pPr>
        <w:autoSpaceDE w:val="0"/>
        <w:autoSpaceDN w:val="0"/>
        <w:adjustRightInd w:val="0"/>
        <w:spacing w:after="0" w:line="240" w:lineRule="auto"/>
        <w:ind w:left="450" w:hanging="450"/>
        <w:jc w:val="both"/>
        <w:rPr>
          <w:rFonts w:cs="Times New Roman"/>
          <w:color w:val="000000" w:themeColor="text1"/>
          <w:szCs w:val="24"/>
        </w:rPr>
      </w:pPr>
      <w:r w:rsidRPr="006F5D71">
        <w:rPr>
          <w:rFonts w:cs="Times New Roman"/>
          <w:color w:val="000000" w:themeColor="text1"/>
          <w:szCs w:val="24"/>
        </w:rPr>
        <w:t xml:space="preserve">Buckley, P. J. (2007). The strategy of multinational enterprises in the light of the rise of China. </w:t>
      </w:r>
      <w:r w:rsidRPr="006F5D71">
        <w:rPr>
          <w:rFonts w:cs="Times New Roman"/>
          <w:i/>
          <w:iCs/>
          <w:color w:val="000000" w:themeColor="text1"/>
          <w:szCs w:val="24"/>
        </w:rPr>
        <w:t>Scandinavian Journal of Management</w:t>
      </w:r>
      <w:r w:rsidRPr="006F5D71">
        <w:rPr>
          <w:rFonts w:cs="Times New Roman"/>
          <w:color w:val="000000" w:themeColor="text1"/>
          <w:szCs w:val="24"/>
        </w:rPr>
        <w:t xml:space="preserve">, </w:t>
      </w:r>
      <w:r w:rsidRPr="006F5D71">
        <w:rPr>
          <w:rFonts w:cs="Times New Roman"/>
          <w:i/>
          <w:iCs/>
          <w:color w:val="000000" w:themeColor="text1"/>
          <w:szCs w:val="24"/>
        </w:rPr>
        <w:t>23</w:t>
      </w:r>
      <w:r w:rsidRPr="006F5D71">
        <w:rPr>
          <w:rFonts w:cs="Times New Roman"/>
          <w:color w:val="000000" w:themeColor="text1"/>
          <w:szCs w:val="24"/>
        </w:rPr>
        <w:t>(2), 107-126.</w:t>
      </w:r>
    </w:p>
    <w:p w14:paraId="19879D20" w14:textId="77777777" w:rsidR="00EA4439" w:rsidRPr="006F5D71" w:rsidRDefault="00EA4439" w:rsidP="009311A1">
      <w:pPr>
        <w:autoSpaceDE w:val="0"/>
        <w:autoSpaceDN w:val="0"/>
        <w:adjustRightInd w:val="0"/>
        <w:spacing w:after="0" w:line="240" w:lineRule="auto"/>
        <w:ind w:left="450" w:hanging="450"/>
        <w:jc w:val="both"/>
        <w:rPr>
          <w:rFonts w:cs="Times New Roman"/>
          <w:color w:val="000000" w:themeColor="text1"/>
          <w:szCs w:val="24"/>
        </w:rPr>
      </w:pPr>
      <w:r w:rsidRPr="006F5D71">
        <w:rPr>
          <w:rFonts w:cs="Times New Roman"/>
          <w:color w:val="000000" w:themeColor="text1"/>
          <w:szCs w:val="24"/>
        </w:rPr>
        <w:t xml:space="preserve">Buckley, P. J. (2016). The contribution of </w:t>
      </w:r>
      <w:proofErr w:type="spellStart"/>
      <w:r w:rsidRPr="006F5D71">
        <w:rPr>
          <w:rFonts w:cs="Times New Roman"/>
          <w:color w:val="000000" w:themeColor="text1"/>
          <w:szCs w:val="24"/>
        </w:rPr>
        <w:t>internalisation</w:t>
      </w:r>
      <w:proofErr w:type="spellEnd"/>
      <w:r w:rsidRPr="006F5D71">
        <w:rPr>
          <w:rFonts w:cs="Times New Roman"/>
          <w:color w:val="000000" w:themeColor="text1"/>
          <w:szCs w:val="24"/>
        </w:rPr>
        <w:t xml:space="preserve"> theory to international business: New realities and unanswered questions. </w:t>
      </w:r>
      <w:r w:rsidRPr="006F5D71">
        <w:rPr>
          <w:rFonts w:cs="Times New Roman"/>
          <w:i/>
          <w:iCs/>
          <w:color w:val="000000" w:themeColor="text1"/>
          <w:szCs w:val="24"/>
        </w:rPr>
        <w:t>Journal of World Business</w:t>
      </w:r>
      <w:r w:rsidRPr="006F5D71">
        <w:rPr>
          <w:rFonts w:cs="Times New Roman"/>
          <w:color w:val="000000" w:themeColor="text1"/>
          <w:szCs w:val="24"/>
        </w:rPr>
        <w:t xml:space="preserve">, </w:t>
      </w:r>
      <w:r w:rsidRPr="006F5D71">
        <w:rPr>
          <w:rFonts w:cs="Times New Roman"/>
          <w:i/>
          <w:iCs/>
          <w:color w:val="000000" w:themeColor="text1"/>
          <w:szCs w:val="24"/>
        </w:rPr>
        <w:t>51</w:t>
      </w:r>
      <w:r w:rsidRPr="006F5D71">
        <w:rPr>
          <w:rFonts w:cs="Times New Roman"/>
          <w:color w:val="000000" w:themeColor="text1"/>
          <w:szCs w:val="24"/>
        </w:rPr>
        <w:t>(1), 74-82.</w:t>
      </w:r>
    </w:p>
    <w:p w14:paraId="02A39584" w14:textId="77777777" w:rsidR="00EA4439" w:rsidRPr="006F5D71" w:rsidRDefault="00EA4439" w:rsidP="009311A1">
      <w:pPr>
        <w:autoSpaceDE w:val="0"/>
        <w:autoSpaceDN w:val="0"/>
        <w:adjustRightInd w:val="0"/>
        <w:spacing w:after="0" w:line="240" w:lineRule="auto"/>
        <w:ind w:left="450" w:hanging="450"/>
        <w:jc w:val="both"/>
        <w:rPr>
          <w:rFonts w:cs="Times New Roman"/>
          <w:color w:val="000000" w:themeColor="text1"/>
          <w:szCs w:val="24"/>
        </w:rPr>
      </w:pPr>
      <w:r w:rsidRPr="006F5D71">
        <w:rPr>
          <w:rFonts w:cs="Times New Roman"/>
          <w:color w:val="000000" w:themeColor="text1"/>
          <w:szCs w:val="24"/>
        </w:rPr>
        <w:t xml:space="preserve">Buckley, P. J., Chen, L., Clegg, L. J., and Voss, H. (2020). The role of endogenous and exogenous risk in FDI entry choices. </w:t>
      </w:r>
      <w:r w:rsidRPr="006F5D71">
        <w:rPr>
          <w:rFonts w:cs="Times New Roman"/>
          <w:i/>
          <w:iCs/>
          <w:color w:val="000000" w:themeColor="text1"/>
          <w:szCs w:val="24"/>
        </w:rPr>
        <w:t>Journal of World Business</w:t>
      </w:r>
      <w:r w:rsidRPr="006F5D71">
        <w:rPr>
          <w:rFonts w:cs="Times New Roman"/>
          <w:color w:val="000000" w:themeColor="text1"/>
          <w:szCs w:val="24"/>
        </w:rPr>
        <w:t xml:space="preserve">, </w:t>
      </w:r>
      <w:r w:rsidRPr="006F5D71">
        <w:rPr>
          <w:rFonts w:cs="Times New Roman"/>
          <w:bCs/>
          <w:color w:val="000000" w:themeColor="text1"/>
          <w:szCs w:val="24"/>
        </w:rPr>
        <w:t>55</w:t>
      </w:r>
      <w:r w:rsidRPr="006F5D71">
        <w:rPr>
          <w:rFonts w:cs="Times New Roman"/>
          <w:color w:val="000000" w:themeColor="text1"/>
          <w:szCs w:val="24"/>
        </w:rPr>
        <w:t>(1), 101040.</w:t>
      </w:r>
    </w:p>
    <w:p w14:paraId="58ABA7F7"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Carreira</w:t>
      </w:r>
      <w:proofErr w:type="spellEnd"/>
      <w:r w:rsidRPr="006F5D71">
        <w:rPr>
          <w:rFonts w:eastAsia="Times New Roman" w:cs="Times New Roman"/>
          <w:color w:val="000000" w:themeColor="text1"/>
          <w:szCs w:val="24"/>
        </w:rPr>
        <w:t xml:space="preserve">, C., &amp; Teixeira, P. (2016). Entry and exit in severe recessions: lessons from the 2008–2013 Portuguese economic crisis. </w:t>
      </w:r>
      <w:r w:rsidRPr="006F5D71">
        <w:rPr>
          <w:rFonts w:eastAsia="Times New Roman" w:cs="Times New Roman"/>
          <w:i/>
          <w:iCs/>
          <w:color w:val="000000" w:themeColor="text1"/>
          <w:szCs w:val="24"/>
        </w:rPr>
        <w:t>Small Business Economics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46</w:t>
      </w:r>
      <w:r w:rsidRPr="006F5D71">
        <w:rPr>
          <w:rFonts w:eastAsia="Times New Roman" w:cs="Times New Roman"/>
          <w:color w:val="000000" w:themeColor="text1"/>
          <w:szCs w:val="24"/>
        </w:rPr>
        <w:t>(4), 591-617.</w:t>
      </w:r>
    </w:p>
    <w:p w14:paraId="4C57A5B8"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Casson, M. (1994). </w:t>
      </w:r>
      <w:r w:rsidRPr="006F5D71">
        <w:rPr>
          <w:rFonts w:eastAsia="Times New Roman" w:cs="Times New Roman"/>
          <w:i/>
          <w:iCs/>
          <w:color w:val="000000" w:themeColor="text1"/>
          <w:szCs w:val="24"/>
        </w:rPr>
        <w:t>The economics of business culture: Game theory, transaction costs, and economic performance</w:t>
      </w:r>
      <w:r w:rsidRPr="006F5D71">
        <w:rPr>
          <w:rFonts w:eastAsia="Times New Roman" w:cs="Times New Roman"/>
          <w:color w:val="000000" w:themeColor="text1"/>
          <w:szCs w:val="24"/>
        </w:rPr>
        <w:t>. Oxford University Press.</w:t>
      </w:r>
    </w:p>
    <w:p w14:paraId="597D5F68" w14:textId="77777777" w:rsidR="00EA4439" w:rsidRPr="006F5D71" w:rsidRDefault="00EA4439" w:rsidP="009311A1">
      <w:pPr>
        <w:spacing w:after="0" w:line="240" w:lineRule="auto"/>
        <w:ind w:left="450" w:hanging="450"/>
        <w:jc w:val="both"/>
        <w:rPr>
          <w:rFonts w:cs="Times New Roman"/>
          <w:color w:val="000000" w:themeColor="text1"/>
          <w:szCs w:val="24"/>
        </w:rPr>
      </w:pPr>
      <w:r w:rsidRPr="006F5D71">
        <w:rPr>
          <w:rFonts w:cs="Times New Roman"/>
          <w:color w:val="000000" w:themeColor="text1"/>
          <w:szCs w:val="24"/>
        </w:rPr>
        <w:t xml:space="preserve">Chang, S. J., &amp; Rhee, J. H. (2011). Rapid FDI expansion and firm performance. </w:t>
      </w:r>
      <w:r w:rsidRPr="006F5D71">
        <w:rPr>
          <w:rFonts w:cs="Times New Roman"/>
          <w:i/>
          <w:iCs/>
          <w:color w:val="000000" w:themeColor="text1"/>
          <w:szCs w:val="24"/>
        </w:rPr>
        <w:t>Journal of International Business Studies</w:t>
      </w:r>
      <w:r w:rsidRPr="006F5D71">
        <w:rPr>
          <w:rFonts w:cs="Times New Roman"/>
          <w:color w:val="000000" w:themeColor="text1"/>
          <w:szCs w:val="24"/>
        </w:rPr>
        <w:t xml:space="preserve">, </w:t>
      </w:r>
      <w:r w:rsidRPr="006F5D71">
        <w:rPr>
          <w:rFonts w:cs="Times New Roman"/>
          <w:i/>
          <w:iCs/>
          <w:color w:val="000000" w:themeColor="text1"/>
          <w:szCs w:val="24"/>
        </w:rPr>
        <w:t>42</w:t>
      </w:r>
      <w:r w:rsidRPr="006F5D71">
        <w:rPr>
          <w:rFonts w:cs="Times New Roman"/>
          <w:color w:val="000000" w:themeColor="text1"/>
          <w:szCs w:val="24"/>
        </w:rPr>
        <w:t>(8), 979-994.</w:t>
      </w:r>
    </w:p>
    <w:p w14:paraId="39C1F146"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lastRenderedPageBreak/>
        <w:t xml:space="preserve">Chang, S. J., &amp; Singh, H. (1999). The impact of modes of entry and resource fit on modes of exit by </w:t>
      </w:r>
      <w:proofErr w:type="spellStart"/>
      <w:r w:rsidRPr="006F5D71">
        <w:rPr>
          <w:rFonts w:eastAsia="Times New Roman" w:cs="Times New Roman"/>
          <w:color w:val="000000" w:themeColor="text1"/>
          <w:szCs w:val="24"/>
        </w:rPr>
        <w:t>multibusiness</w:t>
      </w:r>
      <w:proofErr w:type="spellEnd"/>
      <w:r w:rsidRPr="006F5D71">
        <w:rPr>
          <w:rFonts w:eastAsia="Times New Roman" w:cs="Times New Roman"/>
          <w:color w:val="000000" w:themeColor="text1"/>
          <w:szCs w:val="24"/>
        </w:rPr>
        <w:t xml:space="preserve"> firms. </w:t>
      </w:r>
      <w:r w:rsidRPr="006F5D71">
        <w:rPr>
          <w:rFonts w:eastAsia="Times New Roman" w:cs="Times New Roman"/>
          <w:i/>
          <w:iCs/>
          <w:color w:val="000000" w:themeColor="text1"/>
          <w:szCs w:val="24"/>
        </w:rPr>
        <w:t>Strategic Management Journal</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20</w:t>
      </w:r>
      <w:r w:rsidRPr="006F5D71">
        <w:rPr>
          <w:rFonts w:eastAsia="Times New Roman" w:cs="Times New Roman"/>
          <w:color w:val="000000" w:themeColor="text1"/>
          <w:szCs w:val="24"/>
        </w:rPr>
        <w:t>(11), 1019-1035.</w:t>
      </w:r>
    </w:p>
    <w:p w14:paraId="6051D1C3"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Charmes</w:t>
      </w:r>
      <w:proofErr w:type="spellEnd"/>
      <w:r w:rsidRPr="006F5D71">
        <w:rPr>
          <w:rFonts w:eastAsia="Times New Roman" w:cs="Times New Roman"/>
          <w:color w:val="000000" w:themeColor="text1"/>
          <w:szCs w:val="24"/>
        </w:rPr>
        <w:t xml:space="preserve">, J. (2012). The informal economy worldwide: Trends and characteristics. </w:t>
      </w:r>
      <w:r w:rsidRPr="006F5D71">
        <w:rPr>
          <w:rFonts w:eastAsia="Times New Roman" w:cs="Times New Roman"/>
          <w:i/>
          <w:iCs/>
          <w:color w:val="000000" w:themeColor="text1"/>
          <w:szCs w:val="24"/>
        </w:rPr>
        <w:t>Margin: The Journal of Applied Economic Research</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6</w:t>
      </w:r>
      <w:r w:rsidRPr="006F5D71">
        <w:rPr>
          <w:rFonts w:eastAsia="Times New Roman" w:cs="Times New Roman"/>
          <w:color w:val="000000" w:themeColor="text1"/>
          <w:szCs w:val="24"/>
        </w:rPr>
        <w:t>(2), 103-132.</w:t>
      </w:r>
    </w:p>
    <w:p w14:paraId="3DE8FCAF"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de-DE"/>
        </w:rPr>
        <w:t xml:space="preserve">Chen, J., Hu, M. &amp; Hu, P. (2002). </w:t>
      </w:r>
      <w:r w:rsidRPr="006F5D71">
        <w:rPr>
          <w:rFonts w:eastAsia="Times New Roman" w:cs="Times New Roman"/>
          <w:color w:val="000000" w:themeColor="text1"/>
          <w:szCs w:val="24"/>
        </w:rPr>
        <w:t xml:space="preserve">Ownership strategy of multinationals from ASEAN: the case of their investment in Sino-foreign joint ventures. </w:t>
      </w:r>
      <w:r w:rsidRPr="006F5D71">
        <w:rPr>
          <w:rFonts w:eastAsia="Times New Roman" w:cs="Times New Roman"/>
          <w:i/>
          <w:color w:val="000000" w:themeColor="text1"/>
          <w:szCs w:val="24"/>
        </w:rPr>
        <w:t>Management International Review</w:t>
      </w:r>
      <w:r w:rsidRPr="006F5D71">
        <w:rPr>
          <w:rFonts w:eastAsia="Times New Roman" w:cs="Times New Roman"/>
          <w:color w:val="000000" w:themeColor="text1"/>
          <w:szCs w:val="24"/>
        </w:rPr>
        <w:t>, 42(3), 309-326.</w:t>
      </w:r>
    </w:p>
    <w:p w14:paraId="2E328D0F"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Chichilnisky</w:t>
      </w:r>
      <w:proofErr w:type="spellEnd"/>
      <w:r w:rsidRPr="006F5D71">
        <w:rPr>
          <w:rFonts w:eastAsia="Times New Roman" w:cs="Times New Roman"/>
          <w:color w:val="000000" w:themeColor="text1"/>
          <w:szCs w:val="24"/>
        </w:rPr>
        <w:t xml:space="preserve">, G. (1981). Terms of trade and domestic distribution: Export-led growth with abundant </w:t>
      </w:r>
      <w:proofErr w:type="spellStart"/>
      <w:r w:rsidRPr="006F5D71">
        <w:rPr>
          <w:rFonts w:eastAsia="Times New Roman" w:cs="Times New Roman"/>
          <w:color w:val="000000" w:themeColor="text1"/>
          <w:szCs w:val="24"/>
        </w:rPr>
        <w:t>labour</w:t>
      </w:r>
      <w:proofErr w:type="spellEnd"/>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Journal of Development Economics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8</w:t>
      </w:r>
      <w:r w:rsidRPr="006F5D71">
        <w:rPr>
          <w:rFonts w:eastAsia="Times New Roman" w:cs="Times New Roman"/>
          <w:color w:val="000000" w:themeColor="text1"/>
          <w:szCs w:val="24"/>
        </w:rPr>
        <w:t>(2), 163-192.</w:t>
      </w:r>
    </w:p>
    <w:p w14:paraId="645A36DD"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de-DE"/>
        </w:rPr>
        <w:t xml:space="preserve">Chung, R., Fung, S., &amp; Hung, S. Y. K. (2012). </w:t>
      </w:r>
      <w:r w:rsidRPr="006F5D71">
        <w:rPr>
          <w:rFonts w:eastAsia="Times New Roman" w:cs="Times New Roman"/>
          <w:color w:val="000000" w:themeColor="text1"/>
          <w:szCs w:val="24"/>
        </w:rPr>
        <w:t xml:space="preserve">Institutional investors and firm efficiency of real estate investment trusts. </w:t>
      </w:r>
      <w:r w:rsidRPr="006F5D71">
        <w:rPr>
          <w:rFonts w:eastAsia="Times New Roman" w:cs="Times New Roman"/>
          <w:i/>
          <w:iCs/>
          <w:color w:val="000000" w:themeColor="text1"/>
          <w:szCs w:val="24"/>
        </w:rPr>
        <w:t>The Journal of Real Estate Finance and Economics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45</w:t>
      </w:r>
      <w:r w:rsidRPr="006F5D71">
        <w:rPr>
          <w:rFonts w:eastAsia="Times New Roman" w:cs="Times New Roman"/>
          <w:color w:val="000000" w:themeColor="text1"/>
          <w:szCs w:val="24"/>
        </w:rPr>
        <w:t>(1), 171-211.</w:t>
      </w:r>
    </w:p>
    <w:p w14:paraId="73F7A1E3" w14:textId="77777777" w:rsidR="00EA4439"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Cooke, F. L. (2014). Chinese multinational firms in Asia and Africa: Relationships with institutional actors and patterns of HRM practices. </w:t>
      </w:r>
      <w:r w:rsidRPr="006F5D71">
        <w:rPr>
          <w:rFonts w:eastAsia="Times New Roman" w:cs="Times New Roman"/>
          <w:i/>
          <w:iCs/>
          <w:color w:val="000000" w:themeColor="text1"/>
          <w:szCs w:val="24"/>
        </w:rPr>
        <w:t>Human Resource Management</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53</w:t>
      </w:r>
      <w:r w:rsidRPr="006F5D71">
        <w:rPr>
          <w:rFonts w:eastAsia="Times New Roman" w:cs="Times New Roman"/>
          <w:color w:val="000000" w:themeColor="text1"/>
          <w:szCs w:val="24"/>
        </w:rPr>
        <w:t>(6), 877-896.</w:t>
      </w:r>
    </w:p>
    <w:p w14:paraId="7E0A66FD"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es-ES"/>
        </w:rPr>
        <w:t xml:space="preserve">Cuervo-Cazurra, A., Maloney, M. M., &amp; </w:t>
      </w:r>
      <w:proofErr w:type="spellStart"/>
      <w:r w:rsidRPr="00FD5849">
        <w:rPr>
          <w:rFonts w:eastAsia="Times New Roman" w:cs="Times New Roman"/>
          <w:color w:val="000000" w:themeColor="text1"/>
          <w:szCs w:val="24"/>
          <w:lang w:val="es-ES"/>
        </w:rPr>
        <w:t>Manrakhan</w:t>
      </w:r>
      <w:proofErr w:type="spellEnd"/>
      <w:r w:rsidRPr="00FD5849">
        <w:rPr>
          <w:rFonts w:eastAsia="Times New Roman" w:cs="Times New Roman"/>
          <w:color w:val="000000" w:themeColor="text1"/>
          <w:szCs w:val="24"/>
          <w:lang w:val="es-ES"/>
        </w:rPr>
        <w:t xml:space="preserve">, S. (2007). </w:t>
      </w:r>
      <w:r w:rsidRPr="00967826">
        <w:rPr>
          <w:rFonts w:eastAsia="Times New Roman" w:cs="Times New Roman"/>
          <w:color w:val="000000" w:themeColor="text1"/>
          <w:szCs w:val="24"/>
        </w:rPr>
        <w:t xml:space="preserve">Causes of the difficulties in internationalization. </w:t>
      </w:r>
      <w:r w:rsidRPr="00EA4439">
        <w:rPr>
          <w:rFonts w:eastAsia="Times New Roman" w:cs="Times New Roman"/>
          <w:i/>
          <w:iCs/>
          <w:color w:val="000000" w:themeColor="text1"/>
          <w:szCs w:val="24"/>
        </w:rPr>
        <w:t>Journal of International Business Studies</w:t>
      </w:r>
      <w:r w:rsidRPr="00967826">
        <w:rPr>
          <w:rFonts w:eastAsia="Times New Roman" w:cs="Times New Roman"/>
          <w:color w:val="000000" w:themeColor="text1"/>
          <w:szCs w:val="24"/>
        </w:rPr>
        <w:t>, 38(5), 709-725.</w:t>
      </w:r>
    </w:p>
    <w:p w14:paraId="701DFCE8"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Cui, L., &amp; Xu, Y. (2019). Outward FDI and profitability of emerging economy firms: Diversifying from home resource dependence in early stage internationalization. </w:t>
      </w:r>
      <w:r w:rsidRPr="006F5D71">
        <w:rPr>
          <w:rFonts w:eastAsia="Times New Roman" w:cs="Times New Roman"/>
          <w:i/>
          <w:iCs/>
          <w:color w:val="000000" w:themeColor="text1"/>
          <w:szCs w:val="24"/>
        </w:rPr>
        <w:t>Journal of World Business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54</w:t>
      </w:r>
      <w:r w:rsidRPr="006F5D71">
        <w:rPr>
          <w:rFonts w:eastAsia="Times New Roman" w:cs="Times New Roman"/>
          <w:color w:val="000000" w:themeColor="text1"/>
          <w:szCs w:val="24"/>
        </w:rPr>
        <w:t>(4), 372-386.</w:t>
      </w:r>
    </w:p>
    <w:p w14:paraId="497C3A01"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Cuypers</w:t>
      </w:r>
      <w:proofErr w:type="spellEnd"/>
      <w:r w:rsidRPr="006F5D71">
        <w:rPr>
          <w:rFonts w:eastAsia="Times New Roman" w:cs="Times New Roman"/>
          <w:color w:val="000000" w:themeColor="text1"/>
          <w:szCs w:val="24"/>
        </w:rPr>
        <w:t xml:space="preserve">, I. R., &amp; Martin, X. (2010). What makes and what does not make a real option? A study of equity shares in international joint ventures. </w:t>
      </w:r>
      <w:r w:rsidRPr="006F5D71">
        <w:rPr>
          <w:rFonts w:eastAsia="Times New Roman" w:cs="Times New Roman"/>
          <w:i/>
          <w:iCs/>
          <w:color w:val="000000" w:themeColor="text1"/>
          <w:szCs w:val="24"/>
        </w:rPr>
        <w:t>Journal of International Business Studies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41</w:t>
      </w:r>
      <w:r w:rsidRPr="006F5D71">
        <w:rPr>
          <w:rFonts w:eastAsia="Times New Roman" w:cs="Times New Roman"/>
          <w:color w:val="000000" w:themeColor="text1"/>
          <w:szCs w:val="24"/>
        </w:rPr>
        <w:t>(1), 47-69.</w:t>
      </w:r>
    </w:p>
    <w:p w14:paraId="3DCA1D98"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Dai, L., Eden, L., &amp; Beamish, P. W. (2017). Caught in the crossfire: Dimensions of vulnerability and foreign multinationals' exit from war‐afflicted countries. </w:t>
      </w:r>
      <w:r w:rsidRPr="006F5D71">
        <w:rPr>
          <w:rFonts w:eastAsia="Times New Roman" w:cs="Times New Roman"/>
          <w:i/>
          <w:iCs/>
          <w:color w:val="000000" w:themeColor="text1"/>
          <w:szCs w:val="24"/>
        </w:rPr>
        <w:t>Strategic Management Journal</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38</w:t>
      </w:r>
      <w:r w:rsidRPr="006F5D71">
        <w:rPr>
          <w:rFonts w:eastAsia="Times New Roman" w:cs="Times New Roman"/>
          <w:color w:val="000000" w:themeColor="text1"/>
          <w:szCs w:val="24"/>
        </w:rPr>
        <w:t>(7), 1478-1498.</w:t>
      </w:r>
    </w:p>
    <w:p w14:paraId="0DDE12E9" w14:textId="77777777" w:rsidR="00EA4439" w:rsidRPr="006F5D71" w:rsidRDefault="00EA4439" w:rsidP="009311A1">
      <w:pPr>
        <w:spacing w:after="0" w:line="240" w:lineRule="auto"/>
        <w:ind w:left="450" w:hanging="450"/>
        <w:jc w:val="both"/>
        <w:rPr>
          <w:rFonts w:cs="Times New Roman"/>
          <w:color w:val="000000" w:themeColor="text1"/>
          <w:szCs w:val="24"/>
        </w:rPr>
      </w:pPr>
      <w:proofErr w:type="spellStart"/>
      <w:r w:rsidRPr="006F5D71">
        <w:rPr>
          <w:rFonts w:cs="Times New Roman"/>
          <w:color w:val="000000" w:themeColor="text1"/>
          <w:szCs w:val="24"/>
        </w:rPr>
        <w:t>Demirbag</w:t>
      </w:r>
      <w:proofErr w:type="spellEnd"/>
      <w:r w:rsidRPr="006F5D71">
        <w:rPr>
          <w:rFonts w:cs="Times New Roman"/>
          <w:color w:val="000000" w:themeColor="text1"/>
          <w:szCs w:val="24"/>
        </w:rPr>
        <w:t xml:space="preserve">, M., </w:t>
      </w:r>
      <w:proofErr w:type="spellStart"/>
      <w:r w:rsidRPr="006F5D71">
        <w:rPr>
          <w:rFonts w:cs="Times New Roman"/>
          <w:color w:val="000000" w:themeColor="text1"/>
          <w:szCs w:val="24"/>
        </w:rPr>
        <w:t>Apaydin</w:t>
      </w:r>
      <w:proofErr w:type="spellEnd"/>
      <w:r w:rsidRPr="006F5D71">
        <w:rPr>
          <w:rFonts w:cs="Times New Roman"/>
          <w:color w:val="000000" w:themeColor="text1"/>
          <w:szCs w:val="24"/>
        </w:rPr>
        <w:t xml:space="preserve">, M., &amp; </w:t>
      </w:r>
      <w:proofErr w:type="spellStart"/>
      <w:r w:rsidRPr="006F5D71">
        <w:rPr>
          <w:rFonts w:cs="Times New Roman"/>
          <w:color w:val="000000" w:themeColor="text1"/>
          <w:szCs w:val="24"/>
        </w:rPr>
        <w:t>Tatoglu</w:t>
      </w:r>
      <w:proofErr w:type="spellEnd"/>
      <w:r w:rsidRPr="006F5D71">
        <w:rPr>
          <w:rFonts w:cs="Times New Roman"/>
          <w:color w:val="000000" w:themeColor="text1"/>
          <w:szCs w:val="24"/>
        </w:rPr>
        <w:t xml:space="preserve">, E. (2011). Survival of Japanese subsidiaries in the Middle East and North Africa. </w:t>
      </w:r>
      <w:r w:rsidRPr="006F5D71">
        <w:rPr>
          <w:rFonts w:cs="Times New Roman"/>
          <w:i/>
          <w:iCs/>
          <w:color w:val="000000" w:themeColor="text1"/>
          <w:szCs w:val="24"/>
        </w:rPr>
        <w:t>Journal of World Business</w:t>
      </w:r>
      <w:r w:rsidRPr="006F5D71">
        <w:rPr>
          <w:rFonts w:cs="Times New Roman"/>
          <w:color w:val="000000" w:themeColor="text1"/>
          <w:szCs w:val="24"/>
        </w:rPr>
        <w:t>, 46(4), 411-425.</w:t>
      </w:r>
    </w:p>
    <w:p w14:paraId="1B881B16" w14:textId="77777777" w:rsidR="00EA4439" w:rsidRPr="006F5D71" w:rsidRDefault="00EA4439" w:rsidP="009311A1">
      <w:pPr>
        <w:spacing w:after="0" w:line="240" w:lineRule="auto"/>
        <w:ind w:left="450" w:hanging="450"/>
        <w:jc w:val="both"/>
        <w:rPr>
          <w:rFonts w:cs="Times New Roman"/>
          <w:color w:val="000000" w:themeColor="text1"/>
          <w:szCs w:val="24"/>
        </w:rPr>
      </w:pPr>
      <w:proofErr w:type="spellStart"/>
      <w:r w:rsidRPr="006F5D71">
        <w:rPr>
          <w:rFonts w:cs="Times New Roman"/>
          <w:color w:val="000000" w:themeColor="text1"/>
          <w:szCs w:val="24"/>
        </w:rPr>
        <w:t>Dikova</w:t>
      </w:r>
      <w:proofErr w:type="spellEnd"/>
      <w:r w:rsidRPr="006F5D71">
        <w:rPr>
          <w:rFonts w:cs="Times New Roman"/>
          <w:color w:val="000000" w:themeColor="text1"/>
          <w:szCs w:val="24"/>
        </w:rPr>
        <w:t xml:space="preserve">, D. (2009). Performance of foreign subsidiaries: Does psychic distance matter? </w:t>
      </w:r>
      <w:r w:rsidRPr="006F5D71">
        <w:rPr>
          <w:rFonts w:cs="Times New Roman"/>
          <w:i/>
          <w:iCs/>
          <w:color w:val="000000" w:themeColor="text1"/>
          <w:szCs w:val="24"/>
        </w:rPr>
        <w:t>International Business Review</w:t>
      </w:r>
      <w:r w:rsidRPr="006F5D71">
        <w:rPr>
          <w:rFonts w:cs="Times New Roman"/>
          <w:color w:val="000000" w:themeColor="text1"/>
          <w:szCs w:val="24"/>
        </w:rPr>
        <w:t>, 18(1), 38-49.</w:t>
      </w:r>
    </w:p>
    <w:p w14:paraId="4F83D570"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Dixit, A. (1989). Entry and exit decisions under uncertainty. </w:t>
      </w:r>
      <w:r w:rsidRPr="006F5D71">
        <w:rPr>
          <w:rFonts w:eastAsia="Times New Roman" w:cs="Times New Roman"/>
          <w:i/>
          <w:iCs/>
          <w:color w:val="000000" w:themeColor="text1"/>
          <w:szCs w:val="24"/>
        </w:rPr>
        <w:t>Journal of Political Economy</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97</w:t>
      </w:r>
      <w:r w:rsidRPr="006F5D71">
        <w:rPr>
          <w:rFonts w:eastAsia="Times New Roman" w:cs="Times New Roman"/>
          <w:color w:val="000000" w:themeColor="text1"/>
          <w:szCs w:val="24"/>
        </w:rPr>
        <w:t>(3), 620-638.</w:t>
      </w:r>
    </w:p>
    <w:p w14:paraId="0F9FF73E"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Dixit, A. K., &amp; </w:t>
      </w:r>
      <w:proofErr w:type="spellStart"/>
      <w:r w:rsidRPr="006F5D71">
        <w:rPr>
          <w:rFonts w:eastAsia="Times New Roman" w:cs="Times New Roman"/>
          <w:color w:val="000000" w:themeColor="text1"/>
          <w:szCs w:val="24"/>
        </w:rPr>
        <w:t>Pindyck</w:t>
      </w:r>
      <w:proofErr w:type="spellEnd"/>
      <w:r w:rsidRPr="006F5D71">
        <w:rPr>
          <w:rFonts w:eastAsia="Times New Roman" w:cs="Times New Roman"/>
          <w:color w:val="000000" w:themeColor="text1"/>
          <w:szCs w:val="24"/>
        </w:rPr>
        <w:t>, R. S. (1994). Investment under uncertainty. Princeton, NJ: Princeton. University Press.</w:t>
      </w:r>
    </w:p>
    <w:p w14:paraId="06DCB8EE"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Duanmu</w:t>
      </w:r>
      <w:proofErr w:type="spellEnd"/>
      <w:r w:rsidRPr="006F5D71">
        <w:rPr>
          <w:rFonts w:eastAsia="Times New Roman" w:cs="Times New Roman"/>
          <w:color w:val="000000" w:themeColor="text1"/>
          <w:szCs w:val="24"/>
        </w:rPr>
        <w:t xml:space="preserve">, J. L. (2014). State-owned MNCs and host country expropriation risk: The role of home state soft power and economic gunboat diplomacy. </w:t>
      </w:r>
      <w:r w:rsidRPr="006F5D71">
        <w:rPr>
          <w:rFonts w:eastAsia="Times New Roman" w:cs="Times New Roman"/>
          <w:i/>
          <w:iCs/>
          <w:color w:val="000000" w:themeColor="text1"/>
          <w:szCs w:val="24"/>
        </w:rPr>
        <w:t>Journal of International Business Studies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45</w:t>
      </w:r>
      <w:r w:rsidRPr="006F5D71">
        <w:rPr>
          <w:rFonts w:eastAsia="Times New Roman" w:cs="Times New Roman"/>
          <w:color w:val="000000" w:themeColor="text1"/>
          <w:szCs w:val="24"/>
        </w:rPr>
        <w:t>(8), 1044-1060.</w:t>
      </w:r>
    </w:p>
    <w:p w14:paraId="5CAF26CD"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Dunning, J. H. (2006). Comment on Dragon multinationals: New players in 21 </w:t>
      </w:r>
      <w:proofErr w:type="spellStart"/>
      <w:r w:rsidRPr="006F5D71">
        <w:rPr>
          <w:rFonts w:eastAsia="Times New Roman" w:cs="Times New Roman"/>
          <w:color w:val="000000" w:themeColor="text1"/>
          <w:szCs w:val="24"/>
        </w:rPr>
        <w:t>st</w:t>
      </w:r>
      <w:proofErr w:type="spellEnd"/>
      <w:r w:rsidRPr="006F5D71">
        <w:rPr>
          <w:rFonts w:eastAsia="Times New Roman" w:cs="Times New Roman"/>
          <w:color w:val="000000" w:themeColor="text1"/>
          <w:szCs w:val="24"/>
        </w:rPr>
        <w:t xml:space="preserve"> century globalization. </w:t>
      </w:r>
      <w:r w:rsidRPr="006F5D71">
        <w:rPr>
          <w:rFonts w:eastAsia="Times New Roman" w:cs="Times New Roman"/>
          <w:i/>
          <w:iCs/>
          <w:color w:val="000000" w:themeColor="text1"/>
          <w:szCs w:val="24"/>
        </w:rPr>
        <w:t>Asia Pacific Journal of Management</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23</w:t>
      </w:r>
      <w:r w:rsidRPr="006F5D71">
        <w:rPr>
          <w:rFonts w:eastAsia="Times New Roman" w:cs="Times New Roman"/>
          <w:color w:val="000000" w:themeColor="text1"/>
          <w:szCs w:val="24"/>
        </w:rPr>
        <w:t>(2), 139-141.</w:t>
      </w:r>
    </w:p>
    <w:p w14:paraId="467063FC"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pt-PT"/>
        </w:rPr>
        <w:t xml:space="preserve">Elia, S., Kafouros, M., &amp; Buckley, P. J. (2020). </w:t>
      </w:r>
      <w:r w:rsidRPr="006F5D71">
        <w:rPr>
          <w:rFonts w:eastAsia="Times New Roman" w:cs="Times New Roman"/>
          <w:color w:val="000000" w:themeColor="text1"/>
          <w:szCs w:val="24"/>
        </w:rPr>
        <w:t xml:space="preserve">The role of internationalization in enhancing the innovation performance of Chinese EMNEs: A geographic relational approach. </w:t>
      </w:r>
      <w:r w:rsidRPr="006F5D71">
        <w:rPr>
          <w:rFonts w:eastAsia="Times New Roman" w:cs="Times New Roman"/>
          <w:i/>
          <w:iCs/>
          <w:color w:val="000000" w:themeColor="text1"/>
          <w:szCs w:val="24"/>
        </w:rPr>
        <w:t>Journal of International Management</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26</w:t>
      </w:r>
      <w:r w:rsidRPr="006F5D71">
        <w:rPr>
          <w:rFonts w:eastAsia="Times New Roman" w:cs="Times New Roman"/>
          <w:color w:val="000000" w:themeColor="text1"/>
          <w:szCs w:val="24"/>
        </w:rPr>
        <w:t>(4), 100801.</w:t>
      </w:r>
    </w:p>
    <w:p w14:paraId="60B88865"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Estrin, S., </w:t>
      </w:r>
      <w:proofErr w:type="spellStart"/>
      <w:r w:rsidRPr="006F5D71">
        <w:rPr>
          <w:rFonts w:eastAsia="Times New Roman" w:cs="Times New Roman"/>
          <w:color w:val="000000" w:themeColor="text1"/>
          <w:szCs w:val="24"/>
        </w:rPr>
        <w:t>Gozman</w:t>
      </w:r>
      <w:proofErr w:type="spellEnd"/>
      <w:r w:rsidRPr="006F5D71">
        <w:rPr>
          <w:rFonts w:eastAsia="Times New Roman" w:cs="Times New Roman"/>
          <w:color w:val="000000" w:themeColor="text1"/>
          <w:szCs w:val="24"/>
        </w:rPr>
        <w:t xml:space="preserve">, D., &amp; </w:t>
      </w:r>
      <w:proofErr w:type="spellStart"/>
      <w:r w:rsidRPr="006F5D71">
        <w:rPr>
          <w:rFonts w:eastAsia="Times New Roman" w:cs="Times New Roman"/>
          <w:color w:val="000000" w:themeColor="text1"/>
          <w:szCs w:val="24"/>
        </w:rPr>
        <w:t>Khavul</w:t>
      </w:r>
      <w:proofErr w:type="spellEnd"/>
      <w:r w:rsidRPr="006F5D71">
        <w:rPr>
          <w:rFonts w:eastAsia="Times New Roman" w:cs="Times New Roman"/>
          <w:color w:val="000000" w:themeColor="text1"/>
          <w:szCs w:val="24"/>
        </w:rPr>
        <w:t>, S. (2018</w:t>
      </w:r>
      <w:r>
        <w:rPr>
          <w:rFonts w:eastAsia="Times New Roman" w:cs="Times New Roman"/>
          <w:color w:val="000000" w:themeColor="text1"/>
          <w:szCs w:val="24"/>
        </w:rPr>
        <w:t>a</w:t>
      </w:r>
      <w:r w:rsidRPr="006F5D71">
        <w:rPr>
          <w:rFonts w:eastAsia="Times New Roman" w:cs="Times New Roman"/>
          <w:color w:val="000000" w:themeColor="text1"/>
          <w:szCs w:val="24"/>
        </w:rPr>
        <w:t xml:space="preserve">). The evolution and adoption of equity crowdfunding: entrepreneur and investor entry into a new market. </w:t>
      </w:r>
      <w:r w:rsidRPr="006F5D71">
        <w:rPr>
          <w:rFonts w:eastAsia="Times New Roman" w:cs="Times New Roman"/>
          <w:i/>
          <w:iCs/>
          <w:color w:val="000000" w:themeColor="text1"/>
          <w:szCs w:val="24"/>
        </w:rPr>
        <w:t>Small Business Economics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51</w:t>
      </w:r>
      <w:r w:rsidRPr="006F5D71">
        <w:rPr>
          <w:rFonts w:eastAsia="Times New Roman" w:cs="Times New Roman"/>
          <w:color w:val="000000" w:themeColor="text1"/>
          <w:szCs w:val="24"/>
        </w:rPr>
        <w:t>(2), 425-439.</w:t>
      </w:r>
    </w:p>
    <w:p w14:paraId="22558055"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EA4439">
        <w:rPr>
          <w:rFonts w:eastAsia="Times New Roman" w:cs="Times New Roman"/>
          <w:color w:val="000000" w:themeColor="text1"/>
          <w:szCs w:val="24"/>
        </w:rPr>
        <w:t>Estrin, S., Meyer, K.E. &amp; Pelletier, A. (2018</w:t>
      </w:r>
      <w:r w:rsidRPr="00967826">
        <w:rPr>
          <w:rFonts w:eastAsia="Times New Roman" w:cs="Times New Roman"/>
          <w:color w:val="000000" w:themeColor="text1"/>
          <w:szCs w:val="24"/>
          <w:lang w:val="fr-FR"/>
        </w:rPr>
        <w:t>b</w:t>
      </w:r>
      <w:r w:rsidRPr="00EA4439">
        <w:rPr>
          <w:rFonts w:eastAsia="Times New Roman" w:cs="Times New Roman"/>
          <w:color w:val="000000" w:themeColor="text1"/>
          <w:szCs w:val="24"/>
          <w:lang w:val="fr-FR"/>
        </w:rPr>
        <w:t xml:space="preserve">). </w:t>
      </w:r>
      <w:r w:rsidRPr="006F5D71">
        <w:rPr>
          <w:rFonts w:eastAsia="Times New Roman" w:cs="Times New Roman"/>
          <w:color w:val="000000" w:themeColor="text1"/>
          <w:szCs w:val="24"/>
        </w:rPr>
        <w:t xml:space="preserve">Emerging Economy MNEs: How does home country munificence matter? </w:t>
      </w:r>
      <w:r w:rsidRPr="006F5D71">
        <w:rPr>
          <w:rFonts w:eastAsia="Times New Roman" w:cs="Times New Roman"/>
          <w:i/>
          <w:color w:val="000000" w:themeColor="text1"/>
          <w:szCs w:val="24"/>
        </w:rPr>
        <w:t>Journal of World Business</w:t>
      </w:r>
      <w:r w:rsidRPr="006F5D71">
        <w:rPr>
          <w:rFonts w:eastAsia="Times New Roman" w:cs="Times New Roman"/>
          <w:color w:val="000000" w:themeColor="text1"/>
          <w:szCs w:val="24"/>
        </w:rPr>
        <w:t>, 53 (4), 514-528.</w:t>
      </w:r>
    </w:p>
    <w:p w14:paraId="4528F719"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pt-PT"/>
        </w:rPr>
        <w:t xml:space="preserve">Figueira, S., de Oliveira, R. T., Rottig, D., &amp; Spigarelli, F. (2020). </w:t>
      </w:r>
      <w:r w:rsidRPr="006F5D71">
        <w:rPr>
          <w:rFonts w:eastAsia="Times New Roman" w:cs="Times New Roman"/>
          <w:color w:val="000000" w:themeColor="text1"/>
          <w:szCs w:val="24"/>
        </w:rPr>
        <w:t xml:space="preserve">Lessons on a novel integration approach of emerging market acquisitions in developed countries. </w:t>
      </w:r>
      <w:r w:rsidRPr="006F5D71">
        <w:rPr>
          <w:rFonts w:eastAsia="Times New Roman" w:cs="Times New Roman"/>
          <w:i/>
          <w:iCs/>
          <w:color w:val="000000" w:themeColor="text1"/>
          <w:szCs w:val="24"/>
        </w:rPr>
        <w:lastRenderedPageBreak/>
        <w:t>International Journal of Emerging Markets</w:t>
      </w:r>
      <w:r w:rsidRPr="006F5D71">
        <w:rPr>
          <w:rFonts w:eastAsia="Times New Roman" w:cs="Times New Roman"/>
          <w:color w:val="000000" w:themeColor="text1"/>
          <w:szCs w:val="24"/>
        </w:rPr>
        <w:t xml:space="preserve">. https://doi.org/10.1016/j.ibusrev.2020.101702. </w:t>
      </w:r>
    </w:p>
    <w:p w14:paraId="4F9C5917"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Findlay, R. (1980). The terms of trade and equilibrium growth in the world economy. </w:t>
      </w:r>
      <w:r w:rsidRPr="006F5D71">
        <w:rPr>
          <w:rFonts w:eastAsia="Times New Roman" w:cs="Times New Roman"/>
          <w:i/>
          <w:iCs/>
          <w:color w:val="000000" w:themeColor="text1"/>
          <w:szCs w:val="24"/>
        </w:rPr>
        <w:t>The American Economic Review</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70</w:t>
      </w:r>
      <w:r w:rsidRPr="006F5D71">
        <w:rPr>
          <w:rFonts w:eastAsia="Times New Roman" w:cs="Times New Roman"/>
          <w:color w:val="000000" w:themeColor="text1"/>
          <w:szCs w:val="24"/>
        </w:rPr>
        <w:t>(3), 291-299.</w:t>
      </w:r>
    </w:p>
    <w:p w14:paraId="3C12AD7C"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Findlay, R. (1984). Growth and development in trade models. </w:t>
      </w:r>
      <w:r w:rsidRPr="006F5D71">
        <w:rPr>
          <w:rFonts w:eastAsia="Times New Roman" w:cs="Times New Roman"/>
          <w:i/>
          <w:iCs/>
          <w:color w:val="000000" w:themeColor="text1"/>
          <w:szCs w:val="24"/>
        </w:rPr>
        <w:t>Handbook of international economics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1</w:t>
      </w:r>
      <w:r w:rsidRPr="006F5D71">
        <w:rPr>
          <w:rFonts w:eastAsia="Times New Roman" w:cs="Times New Roman"/>
          <w:color w:val="000000" w:themeColor="text1"/>
          <w:szCs w:val="24"/>
        </w:rPr>
        <w:t>, 185-236.</w:t>
      </w:r>
    </w:p>
    <w:p w14:paraId="339637A1"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Foad</w:t>
      </w:r>
      <w:proofErr w:type="spellEnd"/>
      <w:r w:rsidRPr="006F5D71">
        <w:rPr>
          <w:rFonts w:eastAsia="Times New Roman" w:cs="Times New Roman"/>
          <w:color w:val="000000" w:themeColor="text1"/>
          <w:szCs w:val="24"/>
        </w:rPr>
        <w:t xml:space="preserve">, H. (2012). FDI and immigration: a regional analysis. </w:t>
      </w:r>
      <w:r w:rsidRPr="006F5D71">
        <w:rPr>
          <w:rFonts w:eastAsia="Times New Roman" w:cs="Times New Roman"/>
          <w:i/>
          <w:iCs/>
          <w:color w:val="000000" w:themeColor="text1"/>
          <w:szCs w:val="24"/>
        </w:rPr>
        <w:t>The Annals of Regional Science</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49</w:t>
      </w:r>
      <w:r w:rsidRPr="006F5D71">
        <w:rPr>
          <w:rFonts w:eastAsia="Times New Roman" w:cs="Times New Roman"/>
          <w:color w:val="000000" w:themeColor="text1"/>
          <w:szCs w:val="24"/>
        </w:rPr>
        <w:t>(1), 237-259.</w:t>
      </w:r>
    </w:p>
    <w:p w14:paraId="24E0DD34"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Garg, M., &amp; </w:t>
      </w:r>
      <w:proofErr w:type="spellStart"/>
      <w:r w:rsidRPr="006F5D71">
        <w:rPr>
          <w:rFonts w:eastAsia="Times New Roman" w:cs="Times New Roman"/>
          <w:color w:val="000000" w:themeColor="text1"/>
          <w:szCs w:val="24"/>
        </w:rPr>
        <w:t>Delios</w:t>
      </w:r>
      <w:proofErr w:type="spellEnd"/>
      <w:r w:rsidRPr="006F5D71">
        <w:rPr>
          <w:rFonts w:eastAsia="Times New Roman" w:cs="Times New Roman"/>
          <w:color w:val="000000" w:themeColor="text1"/>
          <w:szCs w:val="24"/>
        </w:rPr>
        <w:t xml:space="preserve">, A. (2007). Survival of the foreign subsidiaries of TMNCs: The influence of business group affiliation. </w:t>
      </w:r>
      <w:r w:rsidRPr="006F5D71">
        <w:rPr>
          <w:rFonts w:eastAsia="Times New Roman" w:cs="Times New Roman"/>
          <w:i/>
          <w:iCs/>
          <w:color w:val="000000" w:themeColor="text1"/>
          <w:szCs w:val="24"/>
        </w:rPr>
        <w:t>Journal of International Management</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13</w:t>
      </w:r>
      <w:r w:rsidRPr="006F5D71">
        <w:rPr>
          <w:rFonts w:eastAsia="Times New Roman" w:cs="Times New Roman"/>
          <w:color w:val="000000" w:themeColor="text1"/>
          <w:szCs w:val="24"/>
        </w:rPr>
        <w:t>(3), 278-295.</w:t>
      </w:r>
    </w:p>
    <w:p w14:paraId="6192D2D4"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fr-FR"/>
        </w:rPr>
        <w:t xml:space="preserve">Gaur, A. S., &amp; Lu, J. W. (2007). </w:t>
      </w:r>
      <w:r w:rsidRPr="006F5D71">
        <w:rPr>
          <w:rFonts w:eastAsia="Times New Roman" w:cs="Times New Roman"/>
          <w:color w:val="000000" w:themeColor="text1"/>
          <w:szCs w:val="24"/>
        </w:rPr>
        <w:t xml:space="preserve">Ownership strategies and survival of foreign subsidiaries: Impacts of institutional distance and experience. </w:t>
      </w:r>
      <w:r w:rsidRPr="006F5D71">
        <w:rPr>
          <w:rFonts w:eastAsia="Times New Roman" w:cs="Times New Roman"/>
          <w:i/>
          <w:iCs/>
          <w:color w:val="000000" w:themeColor="text1"/>
          <w:szCs w:val="24"/>
        </w:rPr>
        <w:t>Journal of Management</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33</w:t>
      </w:r>
      <w:r w:rsidRPr="006F5D71">
        <w:rPr>
          <w:rFonts w:eastAsia="Times New Roman" w:cs="Times New Roman"/>
          <w:color w:val="000000" w:themeColor="text1"/>
          <w:szCs w:val="24"/>
        </w:rPr>
        <w:t>(1), 84-110.</w:t>
      </w:r>
    </w:p>
    <w:p w14:paraId="58AEFF08"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Gaur, A. S., </w:t>
      </w:r>
      <w:proofErr w:type="spellStart"/>
      <w:r w:rsidRPr="006F5D71">
        <w:rPr>
          <w:rFonts w:eastAsia="Times New Roman" w:cs="Times New Roman"/>
          <w:color w:val="000000" w:themeColor="text1"/>
          <w:szCs w:val="24"/>
        </w:rPr>
        <w:t>Pattnaik</w:t>
      </w:r>
      <w:proofErr w:type="spellEnd"/>
      <w:r w:rsidRPr="006F5D71">
        <w:rPr>
          <w:rFonts w:eastAsia="Times New Roman" w:cs="Times New Roman"/>
          <w:color w:val="000000" w:themeColor="text1"/>
          <w:szCs w:val="24"/>
        </w:rPr>
        <w:t xml:space="preserve">, C., Singh, D., &amp; Lee, J. Y. 2019. Internalization advantage and subsidiary performance: The role of business group affiliation and host country characteristics. </w:t>
      </w:r>
      <w:r w:rsidRPr="006F5D71">
        <w:rPr>
          <w:rFonts w:eastAsia="Times New Roman" w:cs="Times New Roman"/>
          <w:i/>
          <w:color w:val="000000" w:themeColor="text1"/>
          <w:szCs w:val="24"/>
        </w:rPr>
        <w:t>Journal of International Business Studies</w:t>
      </w:r>
      <w:r w:rsidRPr="006F5D71">
        <w:rPr>
          <w:rFonts w:eastAsia="Times New Roman" w:cs="Times New Roman"/>
          <w:color w:val="000000" w:themeColor="text1"/>
          <w:szCs w:val="24"/>
        </w:rPr>
        <w:t>, 50(8): 1253</w:t>
      </w:r>
    </w:p>
    <w:p w14:paraId="4C7AC4F3"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Getachew, Y. S., &amp; Beamish, P. W. (2017). Foreign subsidiary exit from Africa: The effects of investment purpose diversity and orientation. </w:t>
      </w:r>
      <w:r w:rsidRPr="006F5D71">
        <w:rPr>
          <w:rFonts w:eastAsia="Times New Roman" w:cs="Times New Roman"/>
          <w:i/>
          <w:iCs/>
          <w:color w:val="000000" w:themeColor="text1"/>
          <w:szCs w:val="24"/>
        </w:rPr>
        <w:t>Global Strategy Journal</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7</w:t>
      </w:r>
      <w:r w:rsidRPr="006F5D71">
        <w:rPr>
          <w:rFonts w:eastAsia="Times New Roman" w:cs="Times New Roman"/>
          <w:color w:val="000000" w:themeColor="text1"/>
          <w:szCs w:val="24"/>
        </w:rPr>
        <w:t>(1), 58-82.</w:t>
      </w:r>
    </w:p>
    <w:p w14:paraId="1CE27F76"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de-DE"/>
        </w:rPr>
        <w:t xml:space="preserve">Getachew, Y. S., &amp; Beamish, P. W. (2021). </w:t>
      </w:r>
      <w:r w:rsidRPr="006F5D71">
        <w:rPr>
          <w:rFonts w:eastAsia="Times New Roman" w:cs="Times New Roman"/>
          <w:color w:val="000000" w:themeColor="text1"/>
          <w:szCs w:val="24"/>
        </w:rPr>
        <w:t xml:space="preserve">Unbundling the effects of host-country institutions on foreign subsidiary survival: A case for subsidiary heterogeneity, </w:t>
      </w:r>
      <w:r w:rsidRPr="006F5D71">
        <w:rPr>
          <w:rFonts w:eastAsia="Times New Roman" w:cs="Times New Roman"/>
          <w:i/>
          <w:color w:val="000000" w:themeColor="text1"/>
          <w:szCs w:val="24"/>
        </w:rPr>
        <w:t>Journal of World Business</w:t>
      </w:r>
      <w:r w:rsidRPr="006F5D71">
        <w:rPr>
          <w:rFonts w:eastAsia="Times New Roman" w:cs="Times New Roman"/>
          <w:color w:val="000000" w:themeColor="text1"/>
          <w:szCs w:val="24"/>
        </w:rPr>
        <w:t>, 56(4), 101226.</w:t>
      </w:r>
      <w:r w:rsidRPr="006F5D71">
        <w:rPr>
          <w:rFonts w:cs="Times New Roman"/>
          <w:color w:val="000000" w:themeColor="text1"/>
        </w:rPr>
        <w:t xml:space="preserve"> </w:t>
      </w:r>
      <w:r w:rsidRPr="006F5D71">
        <w:rPr>
          <w:rFonts w:eastAsia="Times New Roman" w:cs="Times New Roman"/>
          <w:color w:val="000000" w:themeColor="text1"/>
          <w:szCs w:val="24"/>
        </w:rPr>
        <w:t>doi.org/10.1016/j.jwb.2021.101226</w:t>
      </w:r>
    </w:p>
    <w:p w14:paraId="38409BE6" w14:textId="77777777" w:rsidR="00EA4439" w:rsidRPr="00FD5849" w:rsidRDefault="00EA4439" w:rsidP="009311A1">
      <w:pPr>
        <w:spacing w:after="0" w:line="240" w:lineRule="auto"/>
        <w:ind w:left="450" w:hanging="450"/>
        <w:jc w:val="both"/>
        <w:rPr>
          <w:rFonts w:eastAsia="Times New Roman" w:cs="Times New Roman"/>
          <w:color w:val="000000" w:themeColor="text1"/>
          <w:szCs w:val="24"/>
          <w:lang w:val="it-IT"/>
        </w:rPr>
      </w:pPr>
      <w:proofErr w:type="spellStart"/>
      <w:r w:rsidRPr="006F5D71">
        <w:rPr>
          <w:rFonts w:eastAsia="Times New Roman" w:cs="Times New Roman"/>
          <w:color w:val="000000" w:themeColor="text1"/>
          <w:szCs w:val="24"/>
        </w:rPr>
        <w:t>Giebel</w:t>
      </w:r>
      <w:proofErr w:type="spellEnd"/>
      <w:r w:rsidRPr="006F5D71">
        <w:rPr>
          <w:rFonts w:eastAsia="Times New Roman" w:cs="Times New Roman"/>
          <w:color w:val="000000" w:themeColor="text1"/>
          <w:szCs w:val="24"/>
        </w:rPr>
        <w:t xml:space="preserve">, M., &amp; Kraft, K. (2020). Bank credit supply and firm innovation behavior in the financial crisis. </w:t>
      </w:r>
      <w:r w:rsidRPr="00FD5849">
        <w:rPr>
          <w:rFonts w:eastAsia="Times New Roman" w:cs="Times New Roman"/>
          <w:i/>
          <w:iCs/>
          <w:color w:val="000000" w:themeColor="text1"/>
          <w:szCs w:val="24"/>
          <w:lang w:val="it-IT"/>
        </w:rPr>
        <w:t>Journal of Banking &amp; Finance</w:t>
      </w:r>
      <w:r w:rsidRPr="00FD5849">
        <w:rPr>
          <w:rFonts w:eastAsia="Times New Roman" w:cs="Times New Roman"/>
          <w:color w:val="000000" w:themeColor="text1"/>
          <w:szCs w:val="24"/>
          <w:lang w:val="it-IT"/>
        </w:rPr>
        <w:t>, 121, 105961.</w:t>
      </w:r>
    </w:p>
    <w:p w14:paraId="21A98BB7"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it-IT"/>
        </w:rPr>
        <w:t xml:space="preserve">Giovannetti, G., Ricchiuti, G., &amp; Velucchi, M. (2011). </w:t>
      </w:r>
      <w:r w:rsidRPr="006F5D71">
        <w:rPr>
          <w:rFonts w:eastAsia="Times New Roman" w:cs="Times New Roman"/>
          <w:color w:val="000000" w:themeColor="text1"/>
          <w:szCs w:val="24"/>
        </w:rPr>
        <w:t xml:space="preserve">Size, innovation and internationalization: a survival analysis of Italian firms. </w:t>
      </w:r>
      <w:r w:rsidRPr="006F5D71">
        <w:rPr>
          <w:rFonts w:eastAsia="Times New Roman" w:cs="Times New Roman"/>
          <w:i/>
          <w:iCs/>
          <w:color w:val="000000" w:themeColor="text1"/>
          <w:szCs w:val="24"/>
        </w:rPr>
        <w:t>Applied Economics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43</w:t>
      </w:r>
      <w:r w:rsidRPr="006F5D71">
        <w:rPr>
          <w:rFonts w:eastAsia="Times New Roman" w:cs="Times New Roman"/>
          <w:color w:val="000000" w:themeColor="text1"/>
          <w:szCs w:val="24"/>
        </w:rPr>
        <w:t>(12), 1511-1520.</w:t>
      </w:r>
    </w:p>
    <w:p w14:paraId="0061B810"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Gomez‐Mejia, L. R., </w:t>
      </w:r>
      <w:proofErr w:type="spellStart"/>
      <w:r w:rsidRPr="006F5D71">
        <w:rPr>
          <w:rFonts w:eastAsia="Times New Roman" w:cs="Times New Roman"/>
          <w:color w:val="000000" w:themeColor="text1"/>
          <w:szCs w:val="24"/>
        </w:rPr>
        <w:t>Makri</w:t>
      </w:r>
      <w:proofErr w:type="spellEnd"/>
      <w:r w:rsidRPr="006F5D71">
        <w:rPr>
          <w:rFonts w:eastAsia="Times New Roman" w:cs="Times New Roman"/>
          <w:color w:val="000000" w:themeColor="text1"/>
          <w:szCs w:val="24"/>
        </w:rPr>
        <w:t xml:space="preserve">, M., &amp; </w:t>
      </w:r>
      <w:proofErr w:type="spellStart"/>
      <w:r w:rsidRPr="006F5D71">
        <w:rPr>
          <w:rFonts w:eastAsia="Times New Roman" w:cs="Times New Roman"/>
          <w:color w:val="000000" w:themeColor="text1"/>
          <w:szCs w:val="24"/>
        </w:rPr>
        <w:t>Kintana</w:t>
      </w:r>
      <w:proofErr w:type="spellEnd"/>
      <w:r w:rsidRPr="006F5D71">
        <w:rPr>
          <w:rFonts w:eastAsia="Times New Roman" w:cs="Times New Roman"/>
          <w:color w:val="000000" w:themeColor="text1"/>
          <w:szCs w:val="24"/>
        </w:rPr>
        <w:t xml:space="preserve">, M. L. (2010). Diversification decisions in family‐controlled firms. </w:t>
      </w:r>
      <w:r w:rsidRPr="006F5D71">
        <w:rPr>
          <w:rFonts w:eastAsia="Times New Roman" w:cs="Times New Roman"/>
          <w:i/>
          <w:iCs/>
          <w:color w:val="000000" w:themeColor="text1"/>
          <w:szCs w:val="24"/>
        </w:rPr>
        <w:t>Journal of Management Studies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47</w:t>
      </w:r>
      <w:r w:rsidRPr="006F5D71">
        <w:rPr>
          <w:rFonts w:eastAsia="Times New Roman" w:cs="Times New Roman"/>
          <w:color w:val="000000" w:themeColor="text1"/>
          <w:szCs w:val="24"/>
        </w:rPr>
        <w:t>(2), 223-252.</w:t>
      </w:r>
    </w:p>
    <w:p w14:paraId="3FDEE35A"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it-IT"/>
        </w:rPr>
        <w:t xml:space="preserve">Grazzi, M., Piccardo, C., &amp; Vergari, C. (2021). </w:t>
      </w:r>
      <w:r w:rsidRPr="006F5D71">
        <w:rPr>
          <w:rFonts w:eastAsia="Times New Roman" w:cs="Times New Roman"/>
          <w:color w:val="000000" w:themeColor="text1"/>
          <w:szCs w:val="24"/>
        </w:rPr>
        <w:t xml:space="preserve">Turmoil over the crisis: innovation capabilities and firm exit. </w:t>
      </w:r>
      <w:r w:rsidRPr="006F5D71">
        <w:rPr>
          <w:rFonts w:eastAsia="Times New Roman" w:cs="Times New Roman"/>
          <w:i/>
          <w:iCs/>
          <w:color w:val="000000" w:themeColor="text1"/>
          <w:szCs w:val="24"/>
        </w:rPr>
        <w:t>Small Business Economics</w:t>
      </w:r>
      <w:r w:rsidRPr="006F5D71">
        <w:rPr>
          <w:rFonts w:eastAsia="Times New Roman" w:cs="Times New Roman"/>
          <w:color w:val="000000" w:themeColor="text1"/>
          <w:szCs w:val="24"/>
        </w:rPr>
        <w:t>, 1-28.</w:t>
      </w:r>
    </w:p>
    <w:p w14:paraId="64C4CD9C"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it-IT"/>
        </w:rPr>
        <w:t xml:space="preserve">Gregoric, A., Rabbiosi, L., &amp; Santangelo, G. D. (2021). </w:t>
      </w:r>
      <w:r w:rsidRPr="006F5D71">
        <w:rPr>
          <w:rFonts w:eastAsia="Times New Roman" w:cs="Times New Roman"/>
          <w:color w:val="000000" w:themeColor="text1"/>
          <w:szCs w:val="24"/>
        </w:rPr>
        <w:t xml:space="preserve">Diaspora ownership and international technology licensing by emerging market firms. </w:t>
      </w:r>
      <w:r w:rsidRPr="006F5D71">
        <w:rPr>
          <w:rFonts w:eastAsia="Times New Roman" w:cs="Times New Roman"/>
          <w:i/>
          <w:color w:val="000000" w:themeColor="text1"/>
          <w:szCs w:val="24"/>
        </w:rPr>
        <w:t>Journal of International Business Studies</w:t>
      </w:r>
      <w:r w:rsidRPr="006F5D71">
        <w:rPr>
          <w:rFonts w:eastAsia="Times New Roman" w:cs="Times New Roman"/>
          <w:color w:val="000000" w:themeColor="text1"/>
          <w:szCs w:val="24"/>
        </w:rPr>
        <w:t>. 52,</w:t>
      </w:r>
      <w:r w:rsidRPr="006F5D71">
        <w:rPr>
          <w:rFonts w:cs="Times New Roman"/>
          <w:color w:val="000000" w:themeColor="text1"/>
        </w:rPr>
        <w:t xml:space="preserve"> </w:t>
      </w:r>
      <w:r w:rsidRPr="006F5D71">
        <w:rPr>
          <w:rFonts w:eastAsia="Times New Roman" w:cs="Times New Roman"/>
          <w:color w:val="000000" w:themeColor="text1"/>
          <w:szCs w:val="24"/>
        </w:rPr>
        <w:t>671–691.</w:t>
      </w:r>
    </w:p>
    <w:p w14:paraId="6D10C0B2"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de-DE"/>
        </w:rPr>
        <w:t xml:space="preserve">Gu, J., Yang, Y., &amp; Strange, R. (2018). </w:t>
      </w:r>
      <w:r w:rsidRPr="006F5D71">
        <w:rPr>
          <w:rFonts w:eastAsia="Times New Roman" w:cs="Times New Roman"/>
          <w:color w:val="000000" w:themeColor="text1"/>
          <w:szCs w:val="24"/>
        </w:rPr>
        <w:t xml:space="preserve">Location choice, ownership structure and multinational performance. </w:t>
      </w:r>
      <w:r w:rsidRPr="006F5D71">
        <w:rPr>
          <w:rFonts w:eastAsia="Times New Roman" w:cs="Times New Roman"/>
          <w:i/>
          <w:iCs/>
          <w:color w:val="000000" w:themeColor="text1"/>
          <w:szCs w:val="24"/>
        </w:rPr>
        <w:t>Multinational Business Review</w:t>
      </w:r>
      <w:r w:rsidRPr="006F5D71">
        <w:rPr>
          <w:rFonts w:eastAsia="Times New Roman" w:cs="Times New Roman"/>
          <w:color w:val="000000" w:themeColor="text1"/>
          <w:szCs w:val="24"/>
        </w:rPr>
        <w:t>.</w:t>
      </w:r>
      <w:r w:rsidRPr="006F5D71">
        <w:rPr>
          <w:rFonts w:cs="Times New Roman"/>
          <w:color w:val="000000" w:themeColor="text1"/>
          <w:szCs w:val="24"/>
        </w:rPr>
        <w:t xml:space="preserve"> </w:t>
      </w:r>
      <w:r w:rsidRPr="006F5D71">
        <w:rPr>
          <w:rFonts w:eastAsia="Times New Roman" w:cs="Times New Roman"/>
          <w:color w:val="000000" w:themeColor="text1"/>
          <w:szCs w:val="24"/>
        </w:rPr>
        <w:t>26(3), 250-276.</w:t>
      </w:r>
    </w:p>
    <w:p w14:paraId="36BD6380"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Gubbi, S. R., </w:t>
      </w:r>
      <w:proofErr w:type="spellStart"/>
      <w:r w:rsidRPr="006F5D71">
        <w:rPr>
          <w:rFonts w:eastAsia="Times New Roman" w:cs="Times New Roman"/>
          <w:color w:val="000000" w:themeColor="text1"/>
          <w:szCs w:val="24"/>
        </w:rPr>
        <w:t>Aulakh</w:t>
      </w:r>
      <w:proofErr w:type="spellEnd"/>
      <w:r w:rsidRPr="006F5D71">
        <w:rPr>
          <w:rFonts w:eastAsia="Times New Roman" w:cs="Times New Roman"/>
          <w:color w:val="000000" w:themeColor="text1"/>
          <w:szCs w:val="24"/>
        </w:rPr>
        <w:t xml:space="preserve">, P. S., Ray, S., Sarkar, M. B., &amp; Chittoor, R. (2010). Do international acquisitions by emerging-economy firms create shareholder value? The case of Indian firms. </w:t>
      </w:r>
      <w:r w:rsidRPr="006F5D71">
        <w:rPr>
          <w:rFonts w:eastAsia="Times New Roman" w:cs="Times New Roman"/>
          <w:i/>
          <w:iCs/>
          <w:color w:val="000000" w:themeColor="text1"/>
          <w:szCs w:val="24"/>
        </w:rPr>
        <w:t>Journal of International Business Studies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41</w:t>
      </w:r>
      <w:r w:rsidRPr="006F5D71">
        <w:rPr>
          <w:rFonts w:eastAsia="Times New Roman" w:cs="Times New Roman"/>
          <w:color w:val="000000" w:themeColor="text1"/>
          <w:szCs w:val="24"/>
        </w:rPr>
        <w:t>(3), 397-418.</w:t>
      </w:r>
    </w:p>
    <w:p w14:paraId="1A9F02A3" w14:textId="77777777" w:rsidR="00EA4439"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Guo, W., &amp; Clougherty, J. A. (2020). Cross-border acquisition activity by Chinese multinationals and domestic-productivity upgrading. </w:t>
      </w:r>
      <w:r w:rsidRPr="006F5D71">
        <w:rPr>
          <w:rFonts w:eastAsia="Times New Roman" w:cs="Times New Roman"/>
          <w:i/>
          <w:iCs/>
          <w:color w:val="000000" w:themeColor="text1"/>
          <w:szCs w:val="24"/>
        </w:rPr>
        <w:t>Asia Pacific Journal of Management</w:t>
      </w:r>
      <w:r w:rsidRPr="006F5D71">
        <w:rPr>
          <w:rFonts w:eastAsia="Times New Roman" w:cs="Times New Roman"/>
          <w:color w:val="000000" w:themeColor="text1"/>
          <w:szCs w:val="24"/>
        </w:rPr>
        <w:t>, 1-36.</w:t>
      </w:r>
    </w:p>
    <w:p w14:paraId="6134F896"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967826">
        <w:rPr>
          <w:rFonts w:eastAsia="Times New Roman" w:cs="Times New Roman"/>
          <w:color w:val="000000" w:themeColor="text1"/>
          <w:szCs w:val="24"/>
        </w:rPr>
        <w:t xml:space="preserve">He, S., Khan, Z., Lew, Y. K., &amp; Fallon, G. (2019). Technological innovation as a source of Chinese multinationals’ firm-specific advantages and internationalization. </w:t>
      </w:r>
      <w:r w:rsidRPr="00EA4439">
        <w:rPr>
          <w:rFonts w:eastAsia="Times New Roman" w:cs="Times New Roman"/>
          <w:i/>
          <w:iCs/>
          <w:color w:val="000000" w:themeColor="text1"/>
          <w:szCs w:val="24"/>
        </w:rPr>
        <w:t>International Journal of Emerging Markets</w:t>
      </w:r>
      <w:r w:rsidRPr="00967826">
        <w:rPr>
          <w:rFonts w:eastAsia="Times New Roman" w:cs="Times New Roman"/>
          <w:color w:val="000000" w:themeColor="text1"/>
          <w:szCs w:val="24"/>
        </w:rPr>
        <w:t>.</w:t>
      </w:r>
    </w:p>
    <w:p w14:paraId="4831765F" w14:textId="77777777" w:rsidR="00EA4439" w:rsidRPr="006F5D71" w:rsidRDefault="00EA4439" w:rsidP="009311A1">
      <w:pPr>
        <w:autoSpaceDE w:val="0"/>
        <w:autoSpaceDN w:val="0"/>
        <w:adjustRightInd w:val="0"/>
        <w:spacing w:after="0" w:line="240" w:lineRule="auto"/>
        <w:ind w:left="450" w:hanging="450"/>
        <w:jc w:val="both"/>
        <w:rPr>
          <w:rFonts w:cs="Times New Roman"/>
          <w:color w:val="000000" w:themeColor="text1"/>
          <w:szCs w:val="24"/>
        </w:rPr>
      </w:pPr>
      <w:r w:rsidRPr="006F5D71">
        <w:rPr>
          <w:rFonts w:cs="Times New Roman"/>
          <w:color w:val="000000" w:themeColor="text1"/>
          <w:szCs w:val="24"/>
        </w:rPr>
        <w:t xml:space="preserve">Hendricks, K. B., and Singhal, V. R. (1997). ‘Does implementing an effective TQM program actually improve operating performance? Empirical evidence from firms that have won quality </w:t>
      </w:r>
      <w:proofErr w:type="gramStart"/>
      <w:r w:rsidRPr="006F5D71">
        <w:rPr>
          <w:rFonts w:cs="Times New Roman"/>
          <w:color w:val="000000" w:themeColor="text1"/>
          <w:szCs w:val="24"/>
        </w:rPr>
        <w:t>awards’</w:t>
      </w:r>
      <w:proofErr w:type="gramEnd"/>
      <w:r w:rsidRPr="006F5D71">
        <w:rPr>
          <w:rFonts w:cs="Times New Roman"/>
          <w:color w:val="000000" w:themeColor="text1"/>
          <w:szCs w:val="24"/>
        </w:rPr>
        <w:t xml:space="preserve">. </w:t>
      </w:r>
      <w:r w:rsidRPr="006F5D71">
        <w:rPr>
          <w:rFonts w:cs="Times New Roman"/>
          <w:i/>
          <w:iCs/>
          <w:color w:val="000000" w:themeColor="text1"/>
          <w:szCs w:val="24"/>
        </w:rPr>
        <w:t>Management Science</w:t>
      </w:r>
      <w:r w:rsidRPr="006F5D71">
        <w:rPr>
          <w:rFonts w:cs="Times New Roman"/>
          <w:color w:val="000000" w:themeColor="text1"/>
          <w:szCs w:val="24"/>
        </w:rPr>
        <w:t xml:space="preserve">, </w:t>
      </w:r>
      <w:r w:rsidRPr="006F5D71">
        <w:rPr>
          <w:rFonts w:cs="Times New Roman"/>
          <w:b/>
          <w:bCs/>
          <w:color w:val="000000" w:themeColor="text1"/>
          <w:szCs w:val="24"/>
        </w:rPr>
        <w:t>43</w:t>
      </w:r>
      <w:r w:rsidRPr="006F5D71">
        <w:rPr>
          <w:rFonts w:cs="Times New Roman"/>
          <w:color w:val="000000" w:themeColor="text1"/>
          <w:szCs w:val="24"/>
        </w:rPr>
        <w:t>(9), 1258-1274.</w:t>
      </w:r>
    </w:p>
    <w:p w14:paraId="2C96F939"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Herzer, D. (2011) The long-run relationship between outward foreign direct investment and total factor productivity: Evidence for developing countries, </w:t>
      </w:r>
      <w:r w:rsidRPr="006F5D71">
        <w:rPr>
          <w:rFonts w:eastAsia="Times New Roman" w:cs="Times New Roman"/>
          <w:i/>
          <w:color w:val="000000" w:themeColor="text1"/>
          <w:szCs w:val="24"/>
        </w:rPr>
        <w:t>The Journal of Development Studies</w:t>
      </w:r>
      <w:r w:rsidRPr="006F5D71">
        <w:rPr>
          <w:rFonts w:eastAsia="Times New Roman" w:cs="Times New Roman"/>
          <w:color w:val="000000" w:themeColor="text1"/>
          <w:szCs w:val="24"/>
        </w:rPr>
        <w:t>, 47:5, 767-785.</w:t>
      </w:r>
    </w:p>
    <w:p w14:paraId="36E3C9F6" w14:textId="77777777" w:rsidR="00EA4439" w:rsidRPr="006F5D71" w:rsidRDefault="00EA4439" w:rsidP="009311A1">
      <w:pPr>
        <w:spacing w:after="0" w:line="240" w:lineRule="auto"/>
        <w:ind w:left="450" w:hanging="450"/>
        <w:jc w:val="both"/>
        <w:rPr>
          <w:rFonts w:cs="Times New Roman"/>
          <w:color w:val="000000" w:themeColor="text1"/>
          <w:szCs w:val="24"/>
        </w:rPr>
      </w:pPr>
      <w:bookmarkStart w:id="1" w:name="_Hlk79183816"/>
      <w:proofErr w:type="spellStart"/>
      <w:r w:rsidRPr="006F5D71">
        <w:rPr>
          <w:rFonts w:cs="Times New Roman"/>
          <w:color w:val="000000" w:themeColor="text1"/>
          <w:szCs w:val="24"/>
        </w:rPr>
        <w:lastRenderedPageBreak/>
        <w:t>Hodzi</w:t>
      </w:r>
      <w:proofErr w:type="spellEnd"/>
      <w:r w:rsidRPr="006F5D71">
        <w:rPr>
          <w:rFonts w:cs="Times New Roman"/>
          <w:color w:val="000000" w:themeColor="text1"/>
          <w:szCs w:val="24"/>
        </w:rPr>
        <w:t>, O. (2019</w:t>
      </w:r>
      <w:bookmarkEnd w:id="1"/>
      <w:r w:rsidRPr="006F5D71">
        <w:rPr>
          <w:rFonts w:cs="Times New Roman"/>
          <w:color w:val="000000" w:themeColor="text1"/>
          <w:szCs w:val="24"/>
        </w:rPr>
        <w:t>). Chinese in Africa: ‘Cheesiness’ and the complexities of identities.</w:t>
      </w:r>
      <w:r w:rsidRPr="006F5D71">
        <w:rPr>
          <w:rFonts w:cs="Times New Roman"/>
          <w:color w:val="000000" w:themeColor="text1"/>
        </w:rPr>
        <w:t xml:space="preserve"> </w:t>
      </w:r>
      <w:r w:rsidRPr="006F5D71">
        <w:rPr>
          <w:rFonts w:cs="Times New Roman"/>
          <w:i/>
          <w:color w:val="000000" w:themeColor="text1"/>
          <w:szCs w:val="24"/>
        </w:rPr>
        <w:t>Asian Ethnicity</w:t>
      </w:r>
      <w:r w:rsidRPr="006F5D71">
        <w:rPr>
          <w:rFonts w:cs="Times New Roman"/>
          <w:color w:val="000000" w:themeColor="text1"/>
          <w:szCs w:val="24"/>
        </w:rPr>
        <w:t>, 20:1, 1-7,</w:t>
      </w:r>
    </w:p>
    <w:p w14:paraId="5BC7BC6E" w14:textId="77777777" w:rsidR="00EA4439" w:rsidRPr="006F5D71" w:rsidRDefault="00EA4439" w:rsidP="009311A1">
      <w:pPr>
        <w:autoSpaceDE w:val="0"/>
        <w:autoSpaceDN w:val="0"/>
        <w:adjustRightInd w:val="0"/>
        <w:spacing w:after="0" w:line="240" w:lineRule="auto"/>
        <w:ind w:left="450" w:hanging="450"/>
        <w:jc w:val="both"/>
        <w:rPr>
          <w:rFonts w:cs="Times New Roman"/>
          <w:color w:val="000000" w:themeColor="text1"/>
          <w:szCs w:val="24"/>
        </w:rPr>
      </w:pPr>
      <w:r w:rsidRPr="006F5D71">
        <w:rPr>
          <w:rFonts w:cs="Times New Roman"/>
          <w:color w:val="000000" w:themeColor="text1"/>
          <w:szCs w:val="24"/>
        </w:rPr>
        <w:t xml:space="preserve">Hooper, P., and Larin, K. (1989). ‘International comparisons of labor costs in manufacturing’. </w:t>
      </w:r>
      <w:r w:rsidRPr="006F5D71">
        <w:rPr>
          <w:rFonts w:cs="Times New Roman"/>
          <w:i/>
          <w:iCs/>
          <w:color w:val="000000" w:themeColor="text1"/>
          <w:szCs w:val="24"/>
        </w:rPr>
        <w:t>Review of Income and Wealth</w:t>
      </w:r>
      <w:r w:rsidRPr="006F5D71">
        <w:rPr>
          <w:rFonts w:cs="Times New Roman"/>
          <w:color w:val="000000" w:themeColor="text1"/>
          <w:szCs w:val="24"/>
        </w:rPr>
        <w:t xml:space="preserve">, </w:t>
      </w:r>
      <w:r w:rsidRPr="006F5D71">
        <w:rPr>
          <w:rFonts w:cs="Times New Roman"/>
          <w:b/>
          <w:bCs/>
          <w:color w:val="000000" w:themeColor="text1"/>
          <w:szCs w:val="24"/>
        </w:rPr>
        <w:t>35</w:t>
      </w:r>
      <w:r w:rsidRPr="006F5D71">
        <w:rPr>
          <w:rFonts w:cs="Times New Roman"/>
          <w:color w:val="000000" w:themeColor="text1"/>
          <w:szCs w:val="24"/>
        </w:rPr>
        <w:t>(4), 335-355.</w:t>
      </w:r>
    </w:p>
    <w:p w14:paraId="1894AE8A" w14:textId="77777777" w:rsidR="00EA4439" w:rsidRPr="006F5D71" w:rsidRDefault="00EA4439" w:rsidP="009311A1">
      <w:pPr>
        <w:spacing w:after="0" w:line="240" w:lineRule="auto"/>
        <w:ind w:left="450" w:hanging="450"/>
        <w:jc w:val="both"/>
        <w:rPr>
          <w:rStyle w:val="selectable"/>
          <w:rFonts w:cs="Times New Roman"/>
          <w:color w:val="000000" w:themeColor="text1"/>
          <w:szCs w:val="24"/>
        </w:rPr>
      </w:pPr>
      <w:r w:rsidRPr="006F5D71">
        <w:rPr>
          <w:rStyle w:val="selectable"/>
          <w:rFonts w:cs="Times New Roman"/>
          <w:color w:val="000000" w:themeColor="text1"/>
          <w:szCs w:val="24"/>
        </w:rPr>
        <w:t xml:space="preserve"> </w:t>
      </w:r>
      <w:r w:rsidRPr="006F5D71">
        <w:rPr>
          <w:rStyle w:val="selectable"/>
          <w:rFonts w:cs="Times New Roman"/>
          <w:color w:val="000000" w:themeColor="text1"/>
          <w:szCs w:val="24"/>
        </w:rPr>
        <w:tab/>
        <w:t>https://www.stlouisfed.org/publications/regional-economist/january-2012/emerging-markets-a-source-of-and-destination-for-capital.</w:t>
      </w:r>
    </w:p>
    <w:p w14:paraId="1AF8B129" w14:textId="77777777" w:rsidR="00EA4439" w:rsidRPr="006F5D71" w:rsidRDefault="00EA4439" w:rsidP="009311A1">
      <w:pPr>
        <w:autoSpaceDE w:val="0"/>
        <w:autoSpaceDN w:val="0"/>
        <w:adjustRightInd w:val="0"/>
        <w:spacing w:after="0" w:line="240" w:lineRule="auto"/>
        <w:ind w:left="450" w:hanging="450"/>
        <w:jc w:val="both"/>
        <w:rPr>
          <w:rFonts w:cs="Times New Roman"/>
          <w:color w:val="000000" w:themeColor="text1"/>
          <w:szCs w:val="24"/>
        </w:rPr>
      </w:pPr>
      <w:r w:rsidRPr="006F5D71">
        <w:rPr>
          <w:rFonts w:cs="Times New Roman"/>
          <w:color w:val="000000" w:themeColor="text1"/>
          <w:szCs w:val="24"/>
        </w:rPr>
        <w:t>Indian Ministry of External Affairs (2018) Population of Overseas Indians" (PDF). Ministry of External Affairs (India). 31 December 2018. Retrieved 18 April 2019.</w:t>
      </w:r>
    </w:p>
    <w:p w14:paraId="51B1413E"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Ioulianou</w:t>
      </w:r>
      <w:proofErr w:type="spellEnd"/>
      <w:r w:rsidRPr="006F5D71">
        <w:rPr>
          <w:rFonts w:eastAsia="Times New Roman" w:cs="Times New Roman"/>
          <w:color w:val="000000" w:themeColor="text1"/>
          <w:szCs w:val="24"/>
        </w:rPr>
        <w:t xml:space="preserve">, S. P., </w:t>
      </w:r>
      <w:proofErr w:type="spellStart"/>
      <w:r w:rsidRPr="006F5D71">
        <w:rPr>
          <w:rFonts w:eastAsia="Times New Roman" w:cs="Times New Roman"/>
          <w:color w:val="000000" w:themeColor="text1"/>
          <w:szCs w:val="24"/>
        </w:rPr>
        <w:t>Leiblein</w:t>
      </w:r>
      <w:proofErr w:type="spellEnd"/>
      <w:r w:rsidRPr="006F5D71">
        <w:rPr>
          <w:rFonts w:eastAsia="Times New Roman" w:cs="Times New Roman"/>
          <w:color w:val="000000" w:themeColor="text1"/>
          <w:szCs w:val="24"/>
        </w:rPr>
        <w:t xml:space="preserve">, M. J., &amp; </w:t>
      </w:r>
      <w:proofErr w:type="spellStart"/>
      <w:r w:rsidRPr="006F5D71">
        <w:rPr>
          <w:rFonts w:eastAsia="Times New Roman" w:cs="Times New Roman"/>
          <w:color w:val="000000" w:themeColor="text1"/>
          <w:szCs w:val="24"/>
        </w:rPr>
        <w:t>Trigeorgis</w:t>
      </w:r>
      <w:proofErr w:type="spellEnd"/>
      <w:r w:rsidRPr="006F5D71">
        <w:rPr>
          <w:rFonts w:eastAsia="Times New Roman" w:cs="Times New Roman"/>
          <w:color w:val="000000" w:themeColor="text1"/>
          <w:szCs w:val="24"/>
        </w:rPr>
        <w:t xml:space="preserve">, L. (2021). </w:t>
      </w:r>
      <w:proofErr w:type="spellStart"/>
      <w:r w:rsidRPr="006F5D71">
        <w:rPr>
          <w:rFonts w:eastAsia="Times New Roman" w:cs="Times New Roman"/>
          <w:color w:val="000000" w:themeColor="text1"/>
          <w:szCs w:val="24"/>
        </w:rPr>
        <w:t>Multinationality</w:t>
      </w:r>
      <w:proofErr w:type="spellEnd"/>
      <w:r w:rsidRPr="006F5D71">
        <w:rPr>
          <w:rFonts w:eastAsia="Times New Roman" w:cs="Times New Roman"/>
          <w:color w:val="000000" w:themeColor="text1"/>
          <w:szCs w:val="24"/>
        </w:rPr>
        <w:t>, portfolio diversification, and asymmetric MNE performance: The moderating role of real options awareness</w:t>
      </w:r>
      <w:r w:rsidRPr="006F5D71">
        <w:rPr>
          <w:rFonts w:eastAsia="Times New Roman" w:cs="Times New Roman"/>
          <w:i/>
          <w:iCs/>
          <w:color w:val="000000" w:themeColor="text1"/>
          <w:szCs w:val="24"/>
        </w:rPr>
        <w:t>. Journal of International Business Studies</w:t>
      </w:r>
      <w:r w:rsidRPr="006F5D71">
        <w:rPr>
          <w:rFonts w:eastAsia="Times New Roman" w:cs="Times New Roman"/>
          <w:color w:val="000000" w:themeColor="text1"/>
          <w:szCs w:val="24"/>
        </w:rPr>
        <w:t>, 52(3), 388-408.</w:t>
      </w:r>
    </w:p>
    <w:p w14:paraId="1820CF14" w14:textId="77777777" w:rsidR="00EA4439" w:rsidRPr="006F5D71" w:rsidRDefault="00EA4439" w:rsidP="009311A1">
      <w:pPr>
        <w:autoSpaceDE w:val="0"/>
        <w:autoSpaceDN w:val="0"/>
        <w:adjustRightInd w:val="0"/>
        <w:spacing w:after="0" w:line="240" w:lineRule="auto"/>
        <w:ind w:left="450" w:hanging="450"/>
        <w:jc w:val="both"/>
        <w:rPr>
          <w:rFonts w:cs="Times New Roman"/>
          <w:i/>
          <w:iCs/>
          <w:color w:val="000000" w:themeColor="text1"/>
          <w:szCs w:val="24"/>
        </w:rPr>
      </w:pPr>
      <w:r w:rsidRPr="006F5D71">
        <w:rPr>
          <w:rFonts w:cs="Times New Roman"/>
          <w:color w:val="000000" w:themeColor="text1"/>
          <w:szCs w:val="24"/>
        </w:rPr>
        <w:t>Jain, P. C. (1985). ‘The effect of voluntary sell</w:t>
      </w:r>
      <w:r w:rsidRPr="006F5D71">
        <w:rPr>
          <w:rFonts w:eastAsia="CambriaMath" w:cs="Times New Roman"/>
          <w:color w:val="000000" w:themeColor="text1"/>
          <w:szCs w:val="24"/>
        </w:rPr>
        <w:t>‐</w:t>
      </w:r>
      <w:r w:rsidRPr="006F5D71">
        <w:rPr>
          <w:rFonts w:cs="Times New Roman"/>
          <w:color w:val="000000" w:themeColor="text1"/>
          <w:szCs w:val="24"/>
        </w:rPr>
        <w:t xml:space="preserve">off announcements on shareholder wealth’. </w:t>
      </w:r>
      <w:r w:rsidRPr="006F5D71">
        <w:rPr>
          <w:rFonts w:cs="Times New Roman"/>
          <w:i/>
          <w:iCs/>
          <w:color w:val="000000" w:themeColor="text1"/>
          <w:szCs w:val="24"/>
        </w:rPr>
        <w:t>The Journal of Finance</w:t>
      </w:r>
      <w:r w:rsidRPr="006F5D71">
        <w:rPr>
          <w:rFonts w:cs="Times New Roman"/>
          <w:color w:val="000000" w:themeColor="text1"/>
          <w:szCs w:val="24"/>
        </w:rPr>
        <w:t xml:space="preserve">, </w:t>
      </w:r>
      <w:r w:rsidRPr="006F5D71">
        <w:rPr>
          <w:rFonts w:cs="Times New Roman"/>
          <w:b/>
          <w:bCs/>
          <w:color w:val="000000" w:themeColor="text1"/>
          <w:szCs w:val="24"/>
        </w:rPr>
        <w:t>40</w:t>
      </w:r>
      <w:r w:rsidRPr="006F5D71">
        <w:rPr>
          <w:rFonts w:cs="Times New Roman"/>
          <w:color w:val="000000" w:themeColor="text1"/>
          <w:szCs w:val="24"/>
        </w:rPr>
        <w:t>(1), 209-224.</w:t>
      </w:r>
    </w:p>
    <w:p w14:paraId="3DB4E6CA"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James, B. E., Sawant, R. J., &amp; </w:t>
      </w:r>
      <w:proofErr w:type="spellStart"/>
      <w:r w:rsidRPr="006F5D71">
        <w:rPr>
          <w:rFonts w:eastAsia="Times New Roman" w:cs="Times New Roman"/>
          <w:color w:val="000000" w:themeColor="text1"/>
          <w:szCs w:val="24"/>
        </w:rPr>
        <w:t>Bendickson</w:t>
      </w:r>
      <w:proofErr w:type="spellEnd"/>
      <w:r w:rsidRPr="006F5D71">
        <w:rPr>
          <w:rFonts w:eastAsia="Times New Roman" w:cs="Times New Roman"/>
          <w:color w:val="000000" w:themeColor="text1"/>
          <w:szCs w:val="24"/>
        </w:rPr>
        <w:t xml:space="preserve">, J. S. (2020). Emerging market multinationals’ firm-specific advantages, institutional distance, and foreign acquisition location choice. </w:t>
      </w:r>
      <w:r w:rsidRPr="006F5D71">
        <w:rPr>
          <w:rFonts w:eastAsia="Times New Roman" w:cs="Times New Roman"/>
          <w:i/>
          <w:iCs/>
          <w:color w:val="000000" w:themeColor="text1"/>
          <w:szCs w:val="24"/>
        </w:rPr>
        <w:t>International Business Review</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29</w:t>
      </w:r>
      <w:r w:rsidRPr="006F5D71">
        <w:rPr>
          <w:rFonts w:eastAsia="Times New Roman" w:cs="Times New Roman"/>
          <w:color w:val="000000" w:themeColor="text1"/>
          <w:szCs w:val="24"/>
        </w:rPr>
        <w:t>(5), 101702.</w:t>
      </w:r>
    </w:p>
    <w:p w14:paraId="6006B9E2"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Johanson</w:t>
      </w:r>
      <w:proofErr w:type="spellEnd"/>
      <w:r w:rsidRPr="006F5D71">
        <w:rPr>
          <w:rFonts w:eastAsia="Times New Roman" w:cs="Times New Roman"/>
          <w:color w:val="000000" w:themeColor="text1"/>
          <w:szCs w:val="24"/>
        </w:rPr>
        <w:t xml:space="preserve">, J., &amp; Vahlne, J.-E. (1977). The internationalization process of the firm—a model of knowledge development and increasing foreign market commitments. </w:t>
      </w:r>
      <w:r w:rsidRPr="006F5D71">
        <w:rPr>
          <w:rFonts w:eastAsia="Times New Roman" w:cs="Times New Roman"/>
          <w:i/>
          <w:color w:val="000000" w:themeColor="text1"/>
          <w:szCs w:val="24"/>
        </w:rPr>
        <w:t>Journal of International Business Studies</w:t>
      </w:r>
      <w:r w:rsidRPr="006F5D71">
        <w:rPr>
          <w:rFonts w:eastAsia="Times New Roman" w:cs="Times New Roman"/>
          <w:color w:val="000000" w:themeColor="text1"/>
          <w:szCs w:val="24"/>
        </w:rPr>
        <w:t>, 8(1), 23-32.</w:t>
      </w:r>
    </w:p>
    <w:p w14:paraId="7D15FF85"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Karabag</w:t>
      </w:r>
      <w:proofErr w:type="spellEnd"/>
      <w:r w:rsidRPr="006F5D71">
        <w:rPr>
          <w:rFonts w:eastAsia="Times New Roman" w:cs="Times New Roman"/>
          <w:color w:val="000000" w:themeColor="text1"/>
          <w:szCs w:val="24"/>
        </w:rPr>
        <w:t xml:space="preserve">, S. F. (2019). Factors impacting firm failure and technological development: A study of three emerging-economy firms. </w:t>
      </w:r>
      <w:r w:rsidRPr="006F5D71">
        <w:rPr>
          <w:rFonts w:eastAsia="Times New Roman" w:cs="Times New Roman"/>
          <w:i/>
          <w:iCs/>
          <w:color w:val="000000" w:themeColor="text1"/>
          <w:szCs w:val="24"/>
        </w:rPr>
        <w:t>Journal of Business Research</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98</w:t>
      </w:r>
      <w:r w:rsidRPr="006F5D71">
        <w:rPr>
          <w:rFonts w:eastAsia="Times New Roman" w:cs="Times New Roman"/>
          <w:color w:val="000000" w:themeColor="text1"/>
          <w:szCs w:val="24"/>
        </w:rPr>
        <w:t>, 462-474.</w:t>
      </w:r>
    </w:p>
    <w:p w14:paraId="4FF88B26"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Khanna, T., &amp; Palepu, K. (1997). Why focused strategies may be wrong for emerging markets. </w:t>
      </w:r>
      <w:r w:rsidRPr="006F5D71">
        <w:rPr>
          <w:rFonts w:eastAsia="Times New Roman" w:cs="Times New Roman"/>
          <w:i/>
          <w:iCs/>
          <w:color w:val="000000" w:themeColor="text1"/>
          <w:szCs w:val="24"/>
        </w:rPr>
        <w:t>Harvard Business Review</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75</w:t>
      </w:r>
      <w:r w:rsidRPr="006F5D71">
        <w:rPr>
          <w:rFonts w:eastAsia="Times New Roman" w:cs="Times New Roman"/>
          <w:color w:val="000000" w:themeColor="text1"/>
          <w:szCs w:val="24"/>
        </w:rPr>
        <w:t>, 41-54.</w:t>
      </w:r>
    </w:p>
    <w:p w14:paraId="0CFF1822"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Kogut</w:t>
      </w:r>
      <w:proofErr w:type="spellEnd"/>
      <w:r w:rsidRPr="006F5D71">
        <w:rPr>
          <w:rFonts w:eastAsia="Times New Roman" w:cs="Times New Roman"/>
          <w:color w:val="000000" w:themeColor="text1"/>
          <w:szCs w:val="24"/>
        </w:rPr>
        <w:t xml:space="preserve">, B., &amp; </w:t>
      </w:r>
      <w:proofErr w:type="spellStart"/>
      <w:r w:rsidRPr="006F5D71">
        <w:rPr>
          <w:rFonts w:eastAsia="Times New Roman" w:cs="Times New Roman"/>
          <w:color w:val="000000" w:themeColor="text1"/>
          <w:szCs w:val="24"/>
        </w:rPr>
        <w:t>Kulatilaka</w:t>
      </w:r>
      <w:proofErr w:type="spellEnd"/>
      <w:r w:rsidRPr="006F5D71">
        <w:rPr>
          <w:rFonts w:eastAsia="Times New Roman" w:cs="Times New Roman"/>
          <w:color w:val="000000" w:themeColor="text1"/>
          <w:szCs w:val="24"/>
        </w:rPr>
        <w:t xml:space="preserve">, N. (1994). Operating flexibility, global manufacturing, and the option value of a multinational network. </w:t>
      </w:r>
      <w:r w:rsidRPr="006F5D71">
        <w:rPr>
          <w:rFonts w:eastAsia="Times New Roman" w:cs="Times New Roman"/>
          <w:i/>
          <w:iCs/>
          <w:color w:val="000000" w:themeColor="text1"/>
          <w:szCs w:val="24"/>
        </w:rPr>
        <w:t>Management Science</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40</w:t>
      </w:r>
      <w:r w:rsidRPr="006F5D71">
        <w:rPr>
          <w:rFonts w:eastAsia="Times New Roman" w:cs="Times New Roman"/>
          <w:color w:val="000000" w:themeColor="text1"/>
          <w:szCs w:val="24"/>
        </w:rPr>
        <w:t>(1), 123-139.</w:t>
      </w:r>
    </w:p>
    <w:p w14:paraId="314D9656"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Konara</w:t>
      </w:r>
      <w:proofErr w:type="spellEnd"/>
      <w:r w:rsidRPr="006F5D71">
        <w:rPr>
          <w:rFonts w:eastAsia="Times New Roman" w:cs="Times New Roman"/>
          <w:color w:val="000000" w:themeColor="text1"/>
          <w:szCs w:val="24"/>
        </w:rPr>
        <w:t xml:space="preserve">, P., &amp; </w:t>
      </w:r>
      <w:proofErr w:type="spellStart"/>
      <w:r w:rsidRPr="006F5D71">
        <w:rPr>
          <w:rFonts w:eastAsia="Times New Roman" w:cs="Times New Roman"/>
          <w:color w:val="000000" w:themeColor="text1"/>
          <w:szCs w:val="24"/>
        </w:rPr>
        <w:t>Ganotakis</w:t>
      </w:r>
      <w:proofErr w:type="spellEnd"/>
      <w:r w:rsidRPr="006F5D71">
        <w:rPr>
          <w:rFonts w:eastAsia="Times New Roman" w:cs="Times New Roman"/>
          <w:color w:val="000000" w:themeColor="text1"/>
          <w:szCs w:val="24"/>
        </w:rPr>
        <w:t xml:space="preserve">, P. (2020). Firm-specific resources and foreign divestments via selloffs: Value is in the eye of the beholder. </w:t>
      </w:r>
      <w:r w:rsidRPr="006F5D71">
        <w:rPr>
          <w:rFonts w:eastAsia="Times New Roman" w:cs="Times New Roman"/>
          <w:i/>
          <w:iCs/>
          <w:color w:val="000000" w:themeColor="text1"/>
          <w:szCs w:val="24"/>
        </w:rPr>
        <w:t>Journal of Business Research</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110</w:t>
      </w:r>
      <w:r w:rsidRPr="006F5D71">
        <w:rPr>
          <w:rFonts w:eastAsia="Times New Roman" w:cs="Times New Roman"/>
          <w:color w:val="000000" w:themeColor="text1"/>
          <w:szCs w:val="24"/>
        </w:rPr>
        <w:t>, 423-434.</w:t>
      </w:r>
    </w:p>
    <w:p w14:paraId="088D2DBF"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it-IT"/>
        </w:rPr>
        <w:t xml:space="preserve">Korbi, F. B., Ben-Slimane, K., &amp; Triki, D. (2021). </w:t>
      </w:r>
      <w:r w:rsidRPr="006F5D71">
        <w:rPr>
          <w:rFonts w:eastAsia="Times New Roman" w:cs="Times New Roman"/>
          <w:color w:val="000000" w:themeColor="text1"/>
          <w:szCs w:val="24"/>
        </w:rPr>
        <w:t xml:space="preserve">How do international joint ventures build resilience to navigate institutional crisis? The case of a </w:t>
      </w:r>
      <w:proofErr w:type="gramStart"/>
      <w:r w:rsidRPr="006F5D71">
        <w:rPr>
          <w:rFonts w:eastAsia="Times New Roman" w:cs="Times New Roman"/>
          <w:color w:val="000000" w:themeColor="text1"/>
          <w:szCs w:val="24"/>
        </w:rPr>
        <w:t>Tunisian-French</w:t>
      </w:r>
      <w:proofErr w:type="gramEnd"/>
      <w:r w:rsidRPr="006F5D71">
        <w:rPr>
          <w:rFonts w:eastAsia="Times New Roman" w:cs="Times New Roman"/>
          <w:color w:val="000000" w:themeColor="text1"/>
          <w:szCs w:val="24"/>
        </w:rPr>
        <w:t xml:space="preserve"> IJV during the Arab-Spring. </w:t>
      </w:r>
      <w:r w:rsidRPr="006F5D71">
        <w:rPr>
          <w:rFonts w:eastAsia="Times New Roman" w:cs="Times New Roman"/>
          <w:i/>
          <w:iCs/>
          <w:color w:val="000000" w:themeColor="text1"/>
          <w:szCs w:val="24"/>
        </w:rPr>
        <w:t>Journal of Business Research</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129</w:t>
      </w:r>
      <w:r w:rsidRPr="006F5D71">
        <w:rPr>
          <w:rFonts w:eastAsia="Times New Roman" w:cs="Times New Roman"/>
          <w:color w:val="000000" w:themeColor="text1"/>
          <w:szCs w:val="24"/>
        </w:rPr>
        <w:t>, 157-168.</w:t>
      </w:r>
    </w:p>
    <w:p w14:paraId="2B20BD53"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Kumar, </w:t>
      </w:r>
      <w:proofErr w:type="gramStart"/>
      <w:r w:rsidRPr="006F5D71">
        <w:rPr>
          <w:rFonts w:eastAsia="Times New Roman" w:cs="Times New Roman"/>
          <w:color w:val="000000" w:themeColor="text1"/>
          <w:szCs w:val="24"/>
        </w:rPr>
        <w:t>N.</w:t>
      </w:r>
      <w:proofErr w:type="gramEnd"/>
      <w:r w:rsidRPr="006F5D71">
        <w:rPr>
          <w:rFonts w:eastAsia="Times New Roman" w:cs="Times New Roman"/>
          <w:color w:val="000000" w:themeColor="text1"/>
          <w:szCs w:val="24"/>
        </w:rPr>
        <w:t xml:space="preserve"> and Steenkamp, J.B.E. (2013), ‘Diaspora marketing’, </w:t>
      </w:r>
      <w:r w:rsidRPr="006F5D71">
        <w:rPr>
          <w:rFonts w:eastAsia="Times New Roman" w:cs="Times New Roman"/>
          <w:i/>
          <w:iCs/>
          <w:color w:val="000000" w:themeColor="text1"/>
          <w:szCs w:val="24"/>
        </w:rPr>
        <w:t>Harvard Business Review</w:t>
      </w:r>
      <w:r w:rsidRPr="006F5D71">
        <w:rPr>
          <w:rFonts w:eastAsia="Times New Roman" w:cs="Times New Roman"/>
          <w:color w:val="000000" w:themeColor="text1"/>
          <w:szCs w:val="24"/>
        </w:rPr>
        <w:t>, 91 (10), 127–50.</w:t>
      </w:r>
    </w:p>
    <w:p w14:paraId="220BD0D4"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de-DE"/>
        </w:rPr>
        <w:t xml:space="preserve">Kunczer, V., Lindner, T., &amp; Puck, J. (2019). </w:t>
      </w:r>
      <w:r w:rsidRPr="006F5D71">
        <w:rPr>
          <w:rFonts w:eastAsia="Times New Roman" w:cs="Times New Roman"/>
          <w:color w:val="000000" w:themeColor="text1"/>
          <w:szCs w:val="24"/>
        </w:rPr>
        <w:t xml:space="preserve">Benefitting from immigration: The value of immigrants’ country knowledge for firm internationalization. </w:t>
      </w:r>
      <w:r w:rsidRPr="006F5D71">
        <w:rPr>
          <w:rFonts w:eastAsia="Times New Roman" w:cs="Times New Roman"/>
          <w:i/>
          <w:iCs/>
          <w:color w:val="000000" w:themeColor="text1"/>
          <w:szCs w:val="24"/>
        </w:rPr>
        <w:t>Journal of International Business Policy</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w:t>
      </w:r>
      <w:r w:rsidRPr="006F5D71">
        <w:rPr>
          <w:rFonts w:eastAsia="Times New Roman" w:cs="Times New Roman"/>
          <w:color w:val="000000" w:themeColor="text1"/>
          <w:szCs w:val="24"/>
        </w:rPr>
        <w:t>(4), 356-375.</w:t>
      </w:r>
    </w:p>
    <w:p w14:paraId="3A5706EB"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Lawton, T., McGuire, S., &amp; </w:t>
      </w:r>
      <w:proofErr w:type="spellStart"/>
      <w:r w:rsidRPr="006F5D71">
        <w:rPr>
          <w:rFonts w:eastAsia="Times New Roman" w:cs="Times New Roman"/>
          <w:color w:val="000000" w:themeColor="text1"/>
          <w:szCs w:val="24"/>
        </w:rPr>
        <w:t>Rajwani</w:t>
      </w:r>
      <w:proofErr w:type="spellEnd"/>
      <w:r w:rsidRPr="006F5D71">
        <w:rPr>
          <w:rFonts w:eastAsia="Times New Roman" w:cs="Times New Roman"/>
          <w:color w:val="000000" w:themeColor="text1"/>
          <w:szCs w:val="24"/>
        </w:rPr>
        <w:t xml:space="preserve">, T. (2013). Corporate political activity: A literature review and research agenda. </w:t>
      </w:r>
      <w:r w:rsidRPr="006F5D71">
        <w:rPr>
          <w:rFonts w:eastAsia="Times New Roman" w:cs="Times New Roman"/>
          <w:i/>
          <w:iCs/>
          <w:color w:val="000000" w:themeColor="text1"/>
          <w:szCs w:val="24"/>
        </w:rPr>
        <w:t>International Journal of Management Reviews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15</w:t>
      </w:r>
      <w:r w:rsidRPr="006F5D71">
        <w:rPr>
          <w:rFonts w:eastAsia="Times New Roman" w:cs="Times New Roman"/>
          <w:color w:val="000000" w:themeColor="text1"/>
          <w:szCs w:val="24"/>
        </w:rPr>
        <w:t>(1), 86-105.</w:t>
      </w:r>
    </w:p>
    <w:p w14:paraId="37B13E29"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Leblang</w:t>
      </w:r>
      <w:proofErr w:type="spellEnd"/>
      <w:r w:rsidRPr="006F5D71">
        <w:rPr>
          <w:rFonts w:eastAsia="Times New Roman" w:cs="Times New Roman"/>
          <w:color w:val="000000" w:themeColor="text1"/>
          <w:szCs w:val="24"/>
        </w:rPr>
        <w:t xml:space="preserve">, D. (2010). Familiarity breeds investment: Diaspora networks and international investment. </w:t>
      </w:r>
      <w:r w:rsidRPr="006F5D71">
        <w:rPr>
          <w:rFonts w:eastAsia="Times New Roman" w:cs="Times New Roman"/>
          <w:i/>
          <w:iCs/>
          <w:color w:val="000000" w:themeColor="text1"/>
          <w:szCs w:val="24"/>
        </w:rPr>
        <w:t>American Political Science Review</w:t>
      </w:r>
      <w:r w:rsidRPr="006F5D71">
        <w:rPr>
          <w:rFonts w:eastAsia="Times New Roman" w:cs="Times New Roman"/>
          <w:color w:val="000000" w:themeColor="text1"/>
          <w:szCs w:val="24"/>
        </w:rPr>
        <w:t>, 584-600.</w:t>
      </w:r>
    </w:p>
    <w:p w14:paraId="25AA8E1A"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Lee, J. M., Narula, R., &amp; </w:t>
      </w:r>
      <w:proofErr w:type="spellStart"/>
      <w:r w:rsidRPr="006F5D71">
        <w:rPr>
          <w:rFonts w:eastAsia="Times New Roman" w:cs="Times New Roman"/>
          <w:color w:val="000000" w:themeColor="text1"/>
          <w:szCs w:val="24"/>
        </w:rPr>
        <w:t>Hillemann</w:t>
      </w:r>
      <w:proofErr w:type="spellEnd"/>
      <w:r w:rsidRPr="006F5D71">
        <w:rPr>
          <w:rFonts w:eastAsia="Times New Roman" w:cs="Times New Roman"/>
          <w:color w:val="000000" w:themeColor="text1"/>
          <w:szCs w:val="24"/>
        </w:rPr>
        <w:t xml:space="preserve">, J. (2021). Unraveling asset recombination through the lens of firm-specific advantages: A dynamic capabilities perspective. </w:t>
      </w:r>
      <w:r w:rsidRPr="006F5D71">
        <w:rPr>
          <w:rFonts w:eastAsia="Times New Roman" w:cs="Times New Roman"/>
          <w:i/>
          <w:iCs/>
          <w:color w:val="000000" w:themeColor="text1"/>
          <w:szCs w:val="24"/>
        </w:rPr>
        <w:t>Journal of World Business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56</w:t>
      </w:r>
      <w:r w:rsidRPr="006F5D71">
        <w:rPr>
          <w:rFonts w:eastAsia="Times New Roman" w:cs="Times New Roman"/>
          <w:color w:val="000000" w:themeColor="text1"/>
          <w:szCs w:val="24"/>
        </w:rPr>
        <w:t>(2), 101193.</w:t>
      </w:r>
    </w:p>
    <w:p w14:paraId="1B1A41CE" w14:textId="77777777" w:rsidR="00EA4439"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Li, C. B., &amp; Li, J. J. (2008). Achieving superior financial performance in China: differentiation, cost leadership, or both? </w:t>
      </w:r>
      <w:r w:rsidRPr="006F5D71">
        <w:rPr>
          <w:rFonts w:eastAsia="Times New Roman" w:cs="Times New Roman"/>
          <w:i/>
          <w:iCs/>
          <w:color w:val="000000" w:themeColor="text1"/>
          <w:szCs w:val="24"/>
        </w:rPr>
        <w:t>Journal of International Marketing</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16</w:t>
      </w:r>
      <w:r w:rsidRPr="006F5D71">
        <w:rPr>
          <w:rFonts w:eastAsia="Times New Roman" w:cs="Times New Roman"/>
          <w:color w:val="000000" w:themeColor="text1"/>
          <w:szCs w:val="24"/>
        </w:rPr>
        <w:t>(3), 1-22.</w:t>
      </w:r>
    </w:p>
    <w:p w14:paraId="595B44D1"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it-IT"/>
        </w:rPr>
        <w:t xml:space="preserve">Li, J., Li, Y., &amp; Shapiro, D. (2012). </w:t>
      </w:r>
      <w:r w:rsidRPr="00967826">
        <w:rPr>
          <w:rFonts w:eastAsia="Times New Roman" w:cs="Times New Roman"/>
          <w:color w:val="000000" w:themeColor="text1"/>
          <w:szCs w:val="24"/>
        </w:rPr>
        <w:t xml:space="preserve">Knowledge seeking and outward FDI of emerging market firms: The moderating effect of inward FDI. </w:t>
      </w:r>
      <w:r w:rsidRPr="00EA4439">
        <w:rPr>
          <w:rFonts w:eastAsia="Times New Roman" w:cs="Times New Roman"/>
          <w:i/>
          <w:iCs/>
          <w:color w:val="000000" w:themeColor="text1"/>
          <w:szCs w:val="24"/>
        </w:rPr>
        <w:t>Global Strategy Journal</w:t>
      </w:r>
      <w:r w:rsidRPr="00967826">
        <w:rPr>
          <w:rFonts w:eastAsia="Times New Roman" w:cs="Times New Roman"/>
          <w:color w:val="000000" w:themeColor="text1"/>
          <w:szCs w:val="24"/>
        </w:rPr>
        <w:t>, 2(4), 277-295.</w:t>
      </w:r>
    </w:p>
    <w:p w14:paraId="1D6BDC9F"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it-IT"/>
        </w:rPr>
        <w:t xml:space="preserve">Li, M., Li, D., Lyles, M., &amp; Liu, S. (2016). </w:t>
      </w:r>
      <w:r w:rsidRPr="006F5D71">
        <w:rPr>
          <w:rFonts w:eastAsia="Times New Roman" w:cs="Times New Roman"/>
          <w:color w:val="000000" w:themeColor="text1"/>
          <w:szCs w:val="24"/>
        </w:rPr>
        <w:t xml:space="preserve">Chinese MNEs' outward FDI and home country productivity: The moderating effect of technology gap. </w:t>
      </w:r>
      <w:r w:rsidRPr="006F5D71">
        <w:rPr>
          <w:rFonts w:eastAsia="Times New Roman" w:cs="Times New Roman"/>
          <w:i/>
          <w:iCs/>
          <w:color w:val="000000" w:themeColor="text1"/>
          <w:szCs w:val="24"/>
        </w:rPr>
        <w:t>Global Strategy Journal</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6</w:t>
      </w:r>
      <w:r w:rsidRPr="006F5D71">
        <w:rPr>
          <w:rFonts w:eastAsia="Times New Roman" w:cs="Times New Roman"/>
          <w:color w:val="000000" w:themeColor="text1"/>
          <w:szCs w:val="24"/>
        </w:rPr>
        <w:t>(4), 289-308.</w:t>
      </w:r>
    </w:p>
    <w:p w14:paraId="4DFB794E" w14:textId="77777777" w:rsidR="00EA4439" w:rsidRPr="006F5D71" w:rsidRDefault="00EA4439" w:rsidP="009311A1">
      <w:pPr>
        <w:autoSpaceDE w:val="0"/>
        <w:autoSpaceDN w:val="0"/>
        <w:adjustRightInd w:val="0"/>
        <w:spacing w:after="0" w:line="240" w:lineRule="auto"/>
        <w:ind w:left="450" w:hanging="450"/>
        <w:jc w:val="both"/>
        <w:rPr>
          <w:rFonts w:cs="Times New Roman"/>
          <w:color w:val="000000" w:themeColor="text1"/>
          <w:szCs w:val="24"/>
        </w:rPr>
      </w:pPr>
      <w:r w:rsidRPr="006F5D71">
        <w:rPr>
          <w:rFonts w:cs="Times New Roman"/>
          <w:color w:val="000000" w:themeColor="text1"/>
          <w:szCs w:val="24"/>
        </w:rPr>
        <w:lastRenderedPageBreak/>
        <w:t xml:space="preserve">Li, W., Guo, B. and Xu, G.X. (2017), “How do linking, leveraging and learning capabilities influence the entry mode choice for multinational firms from emerging markets?”, </w:t>
      </w:r>
      <w:r w:rsidRPr="006F5D71">
        <w:rPr>
          <w:rFonts w:cs="Times New Roman"/>
          <w:i/>
          <w:color w:val="000000" w:themeColor="text1"/>
          <w:szCs w:val="24"/>
        </w:rPr>
        <w:t>Baltic Journal of Management</w:t>
      </w:r>
      <w:r w:rsidRPr="006F5D71">
        <w:rPr>
          <w:rFonts w:cs="Times New Roman"/>
          <w:color w:val="000000" w:themeColor="text1"/>
          <w:szCs w:val="24"/>
        </w:rPr>
        <w:t xml:space="preserve">, </w:t>
      </w:r>
      <w:r w:rsidRPr="006F5D71">
        <w:rPr>
          <w:rFonts w:cs="Times New Roman"/>
          <w:b/>
          <w:color w:val="000000" w:themeColor="text1"/>
          <w:szCs w:val="24"/>
        </w:rPr>
        <w:t>12</w:t>
      </w:r>
      <w:r w:rsidRPr="006F5D71">
        <w:rPr>
          <w:rFonts w:cs="Times New Roman"/>
          <w:color w:val="000000" w:themeColor="text1"/>
          <w:szCs w:val="24"/>
        </w:rPr>
        <w:t xml:space="preserve">(2), 171-193. </w:t>
      </w:r>
    </w:p>
    <w:p w14:paraId="4369925B" w14:textId="77777777" w:rsidR="00EA4439" w:rsidRPr="006F5D71" w:rsidRDefault="00EA4439" w:rsidP="009311A1">
      <w:pPr>
        <w:autoSpaceDE w:val="0"/>
        <w:autoSpaceDN w:val="0"/>
        <w:adjustRightInd w:val="0"/>
        <w:spacing w:after="0" w:line="240" w:lineRule="auto"/>
        <w:ind w:left="450" w:hanging="450"/>
        <w:jc w:val="both"/>
        <w:rPr>
          <w:rFonts w:cs="Times New Roman"/>
          <w:color w:val="000000" w:themeColor="text1"/>
          <w:szCs w:val="24"/>
        </w:rPr>
      </w:pPr>
      <w:r w:rsidRPr="006F5D71">
        <w:rPr>
          <w:rFonts w:cs="Times New Roman"/>
          <w:color w:val="000000" w:themeColor="text1"/>
          <w:szCs w:val="24"/>
        </w:rPr>
        <w:t xml:space="preserve">Lin, S., Shi, K., and Ye, H. (2018). ‘Exchange rate volatility and trade: The role of credit constraints’. </w:t>
      </w:r>
      <w:r w:rsidRPr="006F5D71">
        <w:rPr>
          <w:rFonts w:cs="Times New Roman"/>
          <w:i/>
          <w:iCs/>
          <w:color w:val="000000" w:themeColor="text1"/>
          <w:szCs w:val="24"/>
        </w:rPr>
        <w:t>Review of Economic Dynamics</w:t>
      </w:r>
      <w:r w:rsidRPr="006F5D71">
        <w:rPr>
          <w:rFonts w:cs="Times New Roman"/>
          <w:color w:val="000000" w:themeColor="text1"/>
          <w:szCs w:val="24"/>
        </w:rPr>
        <w:t xml:space="preserve">, </w:t>
      </w:r>
      <w:r w:rsidRPr="006F5D71">
        <w:rPr>
          <w:rFonts w:cs="Times New Roman"/>
          <w:b/>
          <w:bCs/>
          <w:color w:val="000000" w:themeColor="text1"/>
          <w:szCs w:val="24"/>
        </w:rPr>
        <w:t>30</w:t>
      </w:r>
      <w:r w:rsidRPr="006F5D71">
        <w:rPr>
          <w:rFonts w:cs="Times New Roman"/>
          <w:color w:val="000000" w:themeColor="text1"/>
          <w:szCs w:val="24"/>
        </w:rPr>
        <w:t>, 203-222.</w:t>
      </w:r>
    </w:p>
    <w:p w14:paraId="442091EA"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Liu, C., &amp; Li, D. (2020). Divestment response to host-country terrorist attacks: Inter-firm influence and the role of temporal consistency. </w:t>
      </w:r>
      <w:r w:rsidRPr="006F5D71">
        <w:rPr>
          <w:rFonts w:eastAsia="Times New Roman" w:cs="Times New Roman"/>
          <w:i/>
          <w:iCs/>
          <w:color w:val="000000" w:themeColor="text1"/>
          <w:szCs w:val="24"/>
        </w:rPr>
        <w:t>Journal of International Business Studies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51</w:t>
      </w:r>
      <w:r w:rsidRPr="006F5D71">
        <w:rPr>
          <w:rFonts w:eastAsia="Times New Roman" w:cs="Times New Roman"/>
          <w:color w:val="000000" w:themeColor="text1"/>
          <w:szCs w:val="24"/>
        </w:rPr>
        <w:t>, 1331-1346.</w:t>
      </w:r>
    </w:p>
    <w:p w14:paraId="308A8438"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es-ES"/>
        </w:rPr>
        <w:t xml:space="preserve">Liu, Y., &amp; Meyer, K. E. (2020). </w:t>
      </w:r>
      <w:r w:rsidRPr="006F5D71">
        <w:rPr>
          <w:rFonts w:eastAsia="Times New Roman" w:cs="Times New Roman"/>
          <w:color w:val="000000" w:themeColor="text1"/>
          <w:szCs w:val="24"/>
        </w:rPr>
        <w:t xml:space="preserve">Boundary spanners, HRM practices, and reverse knowledge transfer: The case of Chinese cross-border acquisitions. </w:t>
      </w:r>
      <w:r w:rsidRPr="006F5D71">
        <w:rPr>
          <w:rFonts w:eastAsia="Times New Roman" w:cs="Times New Roman"/>
          <w:i/>
          <w:iCs/>
          <w:color w:val="000000" w:themeColor="text1"/>
          <w:szCs w:val="24"/>
        </w:rPr>
        <w:t>Journal of World Business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55</w:t>
      </w:r>
      <w:r w:rsidRPr="006F5D71">
        <w:rPr>
          <w:rFonts w:eastAsia="Times New Roman" w:cs="Times New Roman"/>
          <w:color w:val="000000" w:themeColor="text1"/>
          <w:szCs w:val="24"/>
        </w:rPr>
        <w:t>(2), 100958.</w:t>
      </w:r>
    </w:p>
    <w:p w14:paraId="4CFF1363"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London, T., &amp; Hart, S. L. (2004). Reinventing strategies for emerging markets: beyond the transnational model. </w:t>
      </w:r>
      <w:r w:rsidRPr="006F5D71">
        <w:rPr>
          <w:rFonts w:eastAsia="Times New Roman" w:cs="Times New Roman"/>
          <w:i/>
          <w:iCs/>
          <w:color w:val="000000" w:themeColor="text1"/>
          <w:szCs w:val="24"/>
        </w:rPr>
        <w:t>Journal of International Business Studies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35</w:t>
      </w:r>
      <w:r w:rsidRPr="006F5D71">
        <w:rPr>
          <w:rFonts w:eastAsia="Times New Roman" w:cs="Times New Roman"/>
          <w:color w:val="000000" w:themeColor="text1"/>
          <w:szCs w:val="24"/>
        </w:rPr>
        <w:t>(5), 350-370.</w:t>
      </w:r>
    </w:p>
    <w:p w14:paraId="70979BE5" w14:textId="77777777" w:rsidR="00EA4439" w:rsidRPr="006F5D71" w:rsidRDefault="00EA4439" w:rsidP="009311A1">
      <w:pPr>
        <w:spacing w:after="0" w:line="240" w:lineRule="auto"/>
        <w:ind w:left="450" w:hanging="450"/>
        <w:jc w:val="both"/>
        <w:rPr>
          <w:rFonts w:cs="Times New Roman"/>
          <w:color w:val="000000" w:themeColor="text1"/>
          <w:szCs w:val="24"/>
        </w:rPr>
      </w:pPr>
      <w:r w:rsidRPr="00FD5849">
        <w:rPr>
          <w:rFonts w:cs="Times New Roman"/>
          <w:color w:val="000000" w:themeColor="text1"/>
          <w:szCs w:val="24"/>
          <w:lang w:val="de-DE"/>
        </w:rPr>
        <w:t xml:space="preserve">Lu, J., Liu, X., and Wang, H. (2011). </w:t>
      </w:r>
      <w:r w:rsidRPr="006F5D71">
        <w:rPr>
          <w:rFonts w:cs="Times New Roman"/>
          <w:color w:val="000000" w:themeColor="text1"/>
          <w:szCs w:val="24"/>
        </w:rPr>
        <w:t xml:space="preserve">‘Motives for Outward FDI of Chinese Private Firms Firm Resources, Industry Dynamics, and Government Policies’. </w:t>
      </w:r>
      <w:r w:rsidRPr="006F5D71">
        <w:rPr>
          <w:rFonts w:cs="Times New Roman"/>
          <w:i/>
          <w:iCs/>
          <w:color w:val="000000" w:themeColor="text1"/>
          <w:szCs w:val="24"/>
        </w:rPr>
        <w:t>Management and Organization Review</w:t>
      </w:r>
      <w:r w:rsidRPr="006F5D71">
        <w:rPr>
          <w:rFonts w:cs="Times New Roman"/>
          <w:color w:val="000000" w:themeColor="text1"/>
          <w:szCs w:val="24"/>
        </w:rPr>
        <w:t>, 7(2), 223-248.</w:t>
      </w:r>
    </w:p>
    <w:p w14:paraId="0344A5B8"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de-DE"/>
        </w:rPr>
        <w:t xml:space="preserve">Luo, Y., &amp; Tung, R. L. (2007). </w:t>
      </w:r>
      <w:r w:rsidRPr="006F5D71">
        <w:rPr>
          <w:rFonts w:eastAsia="Times New Roman" w:cs="Times New Roman"/>
          <w:color w:val="000000" w:themeColor="text1"/>
          <w:szCs w:val="24"/>
        </w:rPr>
        <w:t>International expansion of emerging market enterprises: A springboard perspective.</w:t>
      </w:r>
    </w:p>
    <w:p w14:paraId="7B962B54"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Madhok, A., &amp; </w:t>
      </w:r>
      <w:proofErr w:type="spellStart"/>
      <w:r w:rsidRPr="006F5D71">
        <w:rPr>
          <w:rFonts w:eastAsia="Times New Roman" w:cs="Times New Roman"/>
          <w:color w:val="000000" w:themeColor="text1"/>
          <w:szCs w:val="24"/>
        </w:rPr>
        <w:t>Keyhani</w:t>
      </w:r>
      <w:proofErr w:type="spellEnd"/>
      <w:r w:rsidRPr="006F5D71">
        <w:rPr>
          <w:rFonts w:eastAsia="Times New Roman" w:cs="Times New Roman"/>
          <w:color w:val="000000" w:themeColor="text1"/>
          <w:szCs w:val="24"/>
        </w:rPr>
        <w:t xml:space="preserve">, M. (2012). Acquisitions as entrepreneurship: Asymmetries, opportunities, and the internationalization of multinationals from emerging economies. </w:t>
      </w:r>
      <w:r w:rsidRPr="006F5D71">
        <w:rPr>
          <w:rFonts w:eastAsia="Times New Roman" w:cs="Times New Roman"/>
          <w:i/>
          <w:iCs/>
          <w:color w:val="000000" w:themeColor="text1"/>
          <w:szCs w:val="24"/>
        </w:rPr>
        <w:t>Global Strategy Journal</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w:t>
      </w:r>
      <w:r w:rsidRPr="006F5D71">
        <w:rPr>
          <w:rFonts w:eastAsia="Times New Roman" w:cs="Times New Roman"/>
          <w:color w:val="000000" w:themeColor="text1"/>
          <w:szCs w:val="24"/>
        </w:rPr>
        <w:t>(1), 26-40.</w:t>
      </w:r>
    </w:p>
    <w:p w14:paraId="4B092B28"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Makino, S., Lau, C. M., &amp; Yeh, R. S. (2002). Asset-exploitation versus asset-seeking: Implications for location choice of foreign direct investment from newly industrialized economies. </w:t>
      </w:r>
      <w:r w:rsidRPr="006F5D71">
        <w:rPr>
          <w:rFonts w:eastAsia="Times New Roman" w:cs="Times New Roman"/>
          <w:i/>
          <w:iCs/>
          <w:color w:val="000000" w:themeColor="text1"/>
          <w:szCs w:val="24"/>
        </w:rPr>
        <w:t>Journal of International Business Studies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33</w:t>
      </w:r>
      <w:r w:rsidRPr="006F5D71">
        <w:rPr>
          <w:rFonts w:eastAsia="Times New Roman" w:cs="Times New Roman"/>
          <w:color w:val="000000" w:themeColor="text1"/>
          <w:szCs w:val="24"/>
        </w:rPr>
        <w:t>(3), 403-421.</w:t>
      </w:r>
    </w:p>
    <w:p w14:paraId="39C96ED4"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Mathews, J. A. (2006). Dragon multinationals: New players in 21st century globalization. </w:t>
      </w:r>
      <w:r w:rsidRPr="006F5D71">
        <w:rPr>
          <w:rFonts w:eastAsia="Times New Roman" w:cs="Times New Roman"/>
          <w:i/>
          <w:iCs/>
          <w:color w:val="000000" w:themeColor="text1"/>
          <w:szCs w:val="24"/>
        </w:rPr>
        <w:t>Asia Pacific Journal of Management</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23</w:t>
      </w:r>
      <w:r w:rsidRPr="006F5D71">
        <w:rPr>
          <w:rFonts w:eastAsia="Times New Roman" w:cs="Times New Roman"/>
          <w:color w:val="000000" w:themeColor="text1"/>
          <w:szCs w:val="24"/>
        </w:rPr>
        <w:t>(1), 5-27.</w:t>
      </w:r>
    </w:p>
    <w:p w14:paraId="7FAD97EC"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Mazé</w:t>
      </w:r>
      <w:proofErr w:type="spellEnd"/>
      <w:r w:rsidRPr="006F5D71">
        <w:rPr>
          <w:rFonts w:eastAsia="Times New Roman" w:cs="Times New Roman"/>
          <w:color w:val="000000" w:themeColor="text1"/>
          <w:szCs w:val="24"/>
        </w:rPr>
        <w:t xml:space="preserve">, D., &amp; </w:t>
      </w:r>
      <w:proofErr w:type="spellStart"/>
      <w:r w:rsidRPr="006F5D71">
        <w:rPr>
          <w:rFonts w:eastAsia="Times New Roman" w:cs="Times New Roman"/>
          <w:color w:val="000000" w:themeColor="text1"/>
          <w:szCs w:val="24"/>
        </w:rPr>
        <w:t>Chailan</w:t>
      </w:r>
      <w:proofErr w:type="spellEnd"/>
      <w:r w:rsidRPr="006F5D71">
        <w:rPr>
          <w:rFonts w:eastAsia="Times New Roman" w:cs="Times New Roman"/>
          <w:color w:val="000000" w:themeColor="text1"/>
          <w:szCs w:val="24"/>
        </w:rPr>
        <w:t xml:space="preserve">, C. (2021). A South-South perspective on emerging economy companies and institutional coevolution: An empirical study of Chinese multinationals in Africa. </w:t>
      </w:r>
      <w:r w:rsidRPr="006F5D71">
        <w:rPr>
          <w:rFonts w:eastAsia="Times New Roman" w:cs="Times New Roman"/>
          <w:i/>
          <w:iCs/>
          <w:color w:val="000000" w:themeColor="text1"/>
          <w:szCs w:val="24"/>
        </w:rPr>
        <w:t>International Business Review</w:t>
      </w:r>
      <w:r w:rsidRPr="006F5D71">
        <w:rPr>
          <w:rFonts w:eastAsia="Times New Roman" w:cs="Times New Roman"/>
          <w:color w:val="000000" w:themeColor="text1"/>
          <w:szCs w:val="24"/>
        </w:rPr>
        <w:t>, 30(4), 101704.</w:t>
      </w:r>
    </w:p>
    <w:p w14:paraId="41AA41EE"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Meyer, K. E., &amp; </w:t>
      </w:r>
      <w:proofErr w:type="spellStart"/>
      <w:r w:rsidRPr="006F5D71">
        <w:rPr>
          <w:rFonts w:eastAsia="Times New Roman" w:cs="Times New Roman"/>
          <w:color w:val="000000" w:themeColor="text1"/>
          <w:szCs w:val="24"/>
        </w:rPr>
        <w:t>Thaijongrak</w:t>
      </w:r>
      <w:proofErr w:type="spellEnd"/>
      <w:r w:rsidRPr="006F5D71">
        <w:rPr>
          <w:rFonts w:eastAsia="Times New Roman" w:cs="Times New Roman"/>
          <w:color w:val="000000" w:themeColor="text1"/>
          <w:szCs w:val="24"/>
        </w:rPr>
        <w:t xml:space="preserve">, O. (2013). The dynamics of emerging economy MNEs: How the internationalization process model can guide future research. </w:t>
      </w:r>
      <w:r w:rsidRPr="006F5D71">
        <w:rPr>
          <w:rFonts w:eastAsia="Times New Roman" w:cs="Times New Roman"/>
          <w:i/>
          <w:color w:val="000000" w:themeColor="text1"/>
          <w:szCs w:val="24"/>
        </w:rPr>
        <w:t>Asia Pacific Journal of Management</w:t>
      </w:r>
      <w:r w:rsidRPr="006F5D71">
        <w:rPr>
          <w:rFonts w:eastAsia="Times New Roman" w:cs="Times New Roman"/>
          <w:color w:val="000000" w:themeColor="text1"/>
          <w:szCs w:val="24"/>
        </w:rPr>
        <w:t>, 30(4), 1125-1153.</w:t>
      </w:r>
    </w:p>
    <w:p w14:paraId="3BB0116A"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Mohr, A., Batsakis, G., &amp; Stone, Z. (2018). Explaining the effect of rapid internationalization on horizontal foreign divestment in the retail sector: An extended </w:t>
      </w:r>
      <w:proofErr w:type="spellStart"/>
      <w:r w:rsidRPr="006F5D71">
        <w:rPr>
          <w:rFonts w:eastAsia="Times New Roman" w:cs="Times New Roman"/>
          <w:color w:val="000000" w:themeColor="text1"/>
          <w:szCs w:val="24"/>
        </w:rPr>
        <w:t>Penrosean</w:t>
      </w:r>
      <w:proofErr w:type="spellEnd"/>
      <w:r w:rsidRPr="006F5D71">
        <w:rPr>
          <w:rFonts w:eastAsia="Times New Roman" w:cs="Times New Roman"/>
          <w:color w:val="000000" w:themeColor="text1"/>
          <w:szCs w:val="24"/>
        </w:rPr>
        <w:t xml:space="preserve"> perspective. </w:t>
      </w:r>
      <w:r w:rsidRPr="006F5D71">
        <w:rPr>
          <w:rFonts w:eastAsia="Times New Roman" w:cs="Times New Roman"/>
          <w:i/>
          <w:iCs/>
          <w:color w:val="000000" w:themeColor="text1"/>
          <w:szCs w:val="24"/>
        </w:rPr>
        <w:t>Journal of International Business Studies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49</w:t>
      </w:r>
      <w:r w:rsidRPr="006F5D71">
        <w:rPr>
          <w:rFonts w:eastAsia="Times New Roman" w:cs="Times New Roman"/>
          <w:color w:val="000000" w:themeColor="text1"/>
          <w:szCs w:val="24"/>
        </w:rPr>
        <w:t>(7), 779-808.</w:t>
      </w:r>
    </w:p>
    <w:p w14:paraId="6C98F40F" w14:textId="77777777" w:rsidR="00EA4439" w:rsidRPr="006F5D71" w:rsidRDefault="00EA4439" w:rsidP="005E473F">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Mukherjee, D., Kumar, S., Mukherjee, D. &amp; Goyal, K. (2022). Mapping five decades of international business and management research on India: A bibliometric analysis and future directions. </w:t>
      </w:r>
      <w:r w:rsidRPr="006F5D71">
        <w:rPr>
          <w:rFonts w:eastAsia="Times New Roman" w:cs="Times New Roman"/>
          <w:i/>
          <w:color w:val="000000" w:themeColor="text1"/>
          <w:szCs w:val="24"/>
        </w:rPr>
        <w:t>Journal of Business Research</w:t>
      </w:r>
      <w:r w:rsidRPr="006F5D71">
        <w:rPr>
          <w:rFonts w:eastAsia="Times New Roman" w:cs="Times New Roman"/>
          <w:color w:val="000000" w:themeColor="text1"/>
          <w:szCs w:val="24"/>
        </w:rPr>
        <w:t>, 145, 864-891. doi.org/10.1016/j.jbusres.2022.03.011</w:t>
      </w:r>
    </w:p>
    <w:p w14:paraId="42D7DA83" w14:textId="77777777" w:rsidR="00EA4439" w:rsidRPr="006F5D71" w:rsidRDefault="00EA4439" w:rsidP="005E473F">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Munjal, S., Bhasin, N., </w:t>
      </w:r>
      <w:proofErr w:type="spellStart"/>
      <w:r w:rsidRPr="006F5D71">
        <w:rPr>
          <w:rFonts w:eastAsia="Times New Roman" w:cs="Times New Roman"/>
          <w:color w:val="000000" w:themeColor="text1"/>
          <w:szCs w:val="24"/>
        </w:rPr>
        <w:t>Nandrajog</w:t>
      </w:r>
      <w:proofErr w:type="spellEnd"/>
      <w:r w:rsidRPr="006F5D71">
        <w:rPr>
          <w:rFonts w:eastAsia="Times New Roman" w:cs="Times New Roman"/>
          <w:color w:val="000000" w:themeColor="text1"/>
          <w:szCs w:val="24"/>
        </w:rPr>
        <w:t xml:space="preserve">, D. &amp; Kundu, S. (2022). Examining the evolution of emerging market multinational enterprises’ competitive advantages: Evidence from India. </w:t>
      </w:r>
      <w:r w:rsidRPr="006F5D71">
        <w:rPr>
          <w:rFonts w:eastAsia="Times New Roman" w:cs="Times New Roman"/>
          <w:i/>
          <w:color w:val="000000" w:themeColor="text1"/>
          <w:szCs w:val="24"/>
        </w:rPr>
        <w:t>Journal of Business Research</w:t>
      </w:r>
      <w:r w:rsidRPr="006F5D71">
        <w:rPr>
          <w:rFonts w:eastAsia="Times New Roman" w:cs="Times New Roman"/>
          <w:color w:val="000000" w:themeColor="text1"/>
          <w:szCs w:val="24"/>
        </w:rPr>
        <w:t xml:space="preserve"> 145, 732-744.</w:t>
      </w:r>
      <w:r w:rsidRPr="006F5D71">
        <w:rPr>
          <w:color w:val="000000" w:themeColor="text1"/>
        </w:rPr>
        <w:t xml:space="preserve"> </w:t>
      </w:r>
      <w:r w:rsidRPr="006F5D71">
        <w:rPr>
          <w:rFonts w:eastAsia="Times New Roman" w:cs="Times New Roman"/>
          <w:color w:val="000000" w:themeColor="text1"/>
          <w:szCs w:val="24"/>
        </w:rPr>
        <w:t>doi.org/10.1016/j.jbusres.2022.03.027</w:t>
      </w:r>
    </w:p>
    <w:p w14:paraId="6DE69F31"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Nair, S.R., </w:t>
      </w:r>
      <w:proofErr w:type="spellStart"/>
      <w:r w:rsidRPr="006F5D71">
        <w:rPr>
          <w:rFonts w:eastAsia="Times New Roman" w:cs="Times New Roman"/>
          <w:color w:val="000000" w:themeColor="text1"/>
          <w:szCs w:val="24"/>
        </w:rPr>
        <w:t>Demirbag</w:t>
      </w:r>
      <w:proofErr w:type="spellEnd"/>
      <w:r w:rsidRPr="006F5D71">
        <w:rPr>
          <w:rFonts w:eastAsia="Times New Roman" w:cs="Times New Roman"/>
          <w:color w:val="000000" w:themeColor="text1"/>
          <w:szCs w:val="24"/>
        </w:rPr>
        <w:t xml:space="preserve">, M. &amp; </w:t>
      </w:r>
      <w:proofErr w:type="spellStart"/>
      <w:r w:rsidRPr="006F5D71">
        <w:rPr>
          <w:rFonts w:eastAsia="Times New Roman" w:cs="Times New Roman"/>
          <w:color w:val="000000" w:themeColor="text1"/>
          <w:szCs w:val="24"/>
        </w:rPr>
        <w:t>Mellahi</w:t>
      </w:r>
      <w:proofErr w:type="spellEnd"/>
      <w:r w:rsidRPr="006F5D71">
        <w:rPr>
          <w:rFonts w:eastAsia="Times New Roman" w:cs="Times New Roman"/>
          <w:color w:val="000000" w:themeColor="text1"/>
          <w:szCs w:val="24"/>
        </w:rPr>
        <w:t>, K. (2016) Reverse knowledge transfer in emerging market</w:t>
      </w:r>
      <w:r>
        <w:rPr>
          <w:rFonts w:eastAsia="Times New Roman" w:cs="Times New Roman"/>
          <w:color w:val="000000" w:themeColor="text1"/>
          <w:szCs w:val="24"/>
        </w:rPr>
        <w:t xml:space="preserve"> </w:t>
      </w:r>
      <w:r w:rsidRPr="006F5D71">
        <w:rPr>
          <w:rFonts w:eastAsia="Times New Roman" w:cs="Times New Roman"/>
          <w:color w:val="000000" w:themeColor="text1"/>
          <w:szCs w:val="24"/>
        </w:rPr>
        <w:t xml:space="preserve">multinationals: The Indian context. </w:t>
      </w:r>
      <w:r w:rsidRPr="006F5D71">
        <w:rPr>
          <w:rFonts w:eastAsia="Times New Roman" w:cs="Times New Roman"/>
          <w:i/>
          <w:iCs/>
          <w:color w:val="000000" w:themeColor="text1"/>
          <w:szCs w:val="24"/>
        </w:rPr>
        <w:t>International Business Review</w:t>
      </w:r>
      <w:r w:rsidRPr="006F5D71">
        <w:rPr>
          <w:rFonts w:eastAsia="Times New Roman" w:cs="Times New Roman"/>
          <w:color w:val="000000" w:themeColor="text1"/>
          <w:szCs w:val="24"/>
        </w:rPr>
        <w:t>, 25,152-164</w:t>
      </w:r>
    </w:p>
    <w:p w14:paraId="4375FF34"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Narula, R. (2012). Do we need different frameworks to explain infant MNEs from developing countries? </w:t>
      </w:r>
      <w:r w:rsidRPr="006F5D71">
        <w:rPr>
          <w:rFonts w:eastAsia="Times New Roman" w:cs="Times New Roman"/>
          <w:i/>
          <w:iCs/>
          <w:color w:val="000000" w:themeColor="text1"/>
          <w:szCs w:val="24"/>
        </w:rPr>
        <w:t>Global Strategy Journal</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w:t>
      </w:r>
      <w:r w:rsidRPr="006F5D71">
        <w:rPr>
          <w:rFonts w:eastAsia="Times New Roman" w:cs="Times New Roman"/>
          <w:color w:val="000000" w:themeColor="text1"/>
          <w:szCs w:val="24"/>
        </w:rPr>
        <w:t>(3), 188-204.</w:t>
      </w:r>
    </w:p>
    <w:p w14:paraId="20CC5704"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O'Brien, J., &amp; </w:t>
      </w:r>
      <w:proofErr w:type="spellStart"/>
      <w:r w:rsidRPr="006F5D71">
        <w:rPr>
          <w:rFonts w:eastAsia="Times New Roman" w:cs="Times New Roman"/>
          <w:color w:val="000000" w:themeColor="text1"/>
          <w:szCs w:val="24"/>
        </w:rPr>
        <w:t>Folta</w:t>
      </w:r>
      <w:proofErr w:type="spellEnd"/>
      <w:r w:rsidRPr="006F5D71">
        <w:rPr>
          <w:rFonts w:eastAsia="Times New Roman" w:cs="Times New Roman"/>
          <w:color w:val="000000" w:themeColor="text1"/>
          <w:szCs w:val="24"/>
        </w:rPr>
        <w:t xml:space="preserve">, T. (2009). Sunk costs, </w:t>
      </w:r>
      <w:proofErr w:type="gramStart"/>
      <w:r w:rsidRPr="006F5D71">
        <w:rPr>
          <w:rFonts w:eastAsia="Times New Roman" w:cs="Times New Roman"/>
          <w:color w:val="000000" w:themeColor="text1"/>
          <w:szCs w:val="24"/>
        </w:rPr>
        <w:t>uncertainty</w:t>
      </w:r>
      <w:proofErr w:type="gramEnd"/>
      <w:r w:rsidRPr="006F5D71">
        <w:rPr>
          <w:rFonts w:eastAsia="Times New Roman" w:cs="Times New Roman"/>
          <w:color w:val="000000" w:themeColor="text1"/>
          <w:szCs w:val="24"/>
        </w:rPr>
        <w:t xml:space="preserve"> and market exit: A real options perspective. </w:t>
      </w:r>
      <w:r w:rsidRPr="006F5D71">
        <w:rPr>
          <w:rFonts w:eastAsia="Times New Roman" w:cs="Times New Roman"/>
          <w:i/>
          <w:iCs/>
          <w:color w:val="000000" w:themeColor="text1"/>
          <w:szCs w:val="24"/>
        </w:rPr>
        <w:t>Industrial and Corporate Change</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18</w:t>
      </w:r>
      <w:r w:rsidRPr="006F5D71">
        <w:rPr>
          <w:rFonts w:eastAsia="Times New Roman" w:cs="Times New Roman"/>
          <w:color w:val="000000" w:themeColor="text1"/>
          <w:szCs w:val="24"/>
        </w:rPr>
        <w:t>(5), 807-833.</w:t>
      </w:r>
    </w:p>
    <w:p w14:paraId="5A330839"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lastRenderedPageBreak/>
        <w:t xml:space="preserve">Oh, C. H., &amp; </w:t>
      </w:r>
      <w:proofErr w:type="spellStart"/>
      <w:r w:rsidRPr="006F5D71">
        <w:rPr>
          <w:rFonts w:eastAsia="Times New Roman" w:cs="Times New Roman"/>
          <w:color w:val="000000" w:themeColor="text1"/>
          <w:szCs w:val="24"/>
        </w:rPr>
        <w:t>Oetzel</w:t>
      </w:r>
      <w:proofErr w:type="spellEnd"/>
      <w:r w:rsidRPr="006F5D71">
        <w:rPr>
          <w:rFonts w:eastAsia="Times New Roman" w:cs="Times New Roman"/>
          <w:color w:val="000000" w:themeColor="text1"/>
          <w:szCs w:val="24"/>
        </w:rPr>
        <w:t xml:space="preserve">, J. (2017). Once bitten twice shy? Experience managing violent conflict risk and MNC subsidiary‐level investment and expansion. </w:t>
      </w:r>
      <w:r w:rsidRPr="006F5D71">
        <w:rPr>
          <w:rFonts w:eastAsia="Times New Roman" w:cs="Times New Roman"/>
          <w:i/>
          <w:iCs/>
          <w:color w:val="000000" w:themeColor="text1"/>
          <w:szCs w:val="24"/>
        </w:rPr>
        <w:t>Strategic Management Journal</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38</w:t>
      </w:r>
      <w:r w:rsidRPr="006F5D71">
        <w:rPr>
          <w:rFonts w:eastAsia="Times New Roman" w:cs="Times New Roman"/>
          <w:color w:val="000000" w:themeColor="text1"/>
          <w:szCs w:val="24"/>
        </w:rPr>
        <w:t>(3), 714-731.</w:t>
      </w:r>
    </w:p>
    <w:p w14:paraId="72CF4F64"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cs="Times New Roman"/>
          <w:color w:val="000000" w:themeColor="text1"/>
          <w:szCs w:val="24"/>
        </w:rPr>
        <w:t>Ozkan</w:t>
      </w:r>
      <w:proofErr w:type="spellEnd"/>
      <w:r w:rsidRPr="006F5D71">
        <w:rPr>
          <w:rFonts w:cs="Times New Roman"/>
          <w:color w:val="000000" w:themeColor="text1"/>
          <w:szCs w:val="24"/>
        </w:rPr>
        <w:t xml:space="preserve">, K. S. (2020). International market exit by firms: Misalignment of strategy with the foreign market risk environment. </w:t>
      </w:r>
      <w:r w:rsidRPr="006F5D71">
        <w:rPr>
          <w:rFonts w:cs="Times New Roman"/>
          <w:i/>
          <w:iCs/>
          <w:color w:val="000000" w:themeColor="text1"/>
          <w:szCs w:val="24"/>
        </w:rPr>
        <w:t>International Business Review</w:t>
      </w:r>
      <w:r w:rsidRPr="006F5D71">
        <w:rPr>
          <w:rFonts w:cs="Times New Roman"/>
          <w:color w:val="000000" w:themeColor="text1"/>
          <w:szCs w:val="24"/>
        </w:rPr>
        <w:t>, 29(6), 101741.</w:t>
      </w:r>
    </w:p>
    <w:p w14:paraId="1625A39F"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Park, B. I., &amp; Lee, J. Y. (2021). The survival of the fittest in the global markets: multinational corporation challenge, evolution and decline. </w:t>
      </w:r>
      <w:r w:rsidRPr="006F5D71">
        <w:rPr>
          <w:rFonts w:eastAsia="Times New Roman" w:cs="Times New Roman"/>
          <w:i/>
          <w:iCs/>
          <w:color w:val="000000" w:themeColor="text1"/>
          <w:szCs w:val="24"/>
        </w:rPr>
        <w:t>Management Decision</w:t>
      </w:r>
      <w:r w:rsidRPr="006F5D71">
        <w:rPr>
          <w:rFonts w:eastAsia="Times New Roman" w:cs="Times New Roman"/>
          <w:color w:val="000000" w:themeColor="text1"/>
          <w:szCs w:val="24"/>
        </w:rPr>
        <w:t>.</w:t>
      </w:r>
    </w:p>
    <w:p w14:paraId="3D02BAA4" w14:textId="77777777" w:rsidR="00EA4439"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Peng, M. W. (2012). The global strategy of emerging multinationals from China. </w:t>
      </w:r>
      <w:r w:rsidRPr="006F5D71">
        <w:rPr>
          <w:rFonts w:eastAsia="Times New Roman" w:cs="Times New Roman"/>
          <w:i/>
          <w:iCs/>
          <w:color w:val="000000" w:themeColor="text1"/>
          <w:szCs w:val="24"/>
        </w:rPr>
        <w:t>Global Strategy Journal</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w:t>
      </w:r>
      <w:r w:rsidRPr="006F5D71">
        <w:rPr>
          <w:rFonts w:eastAsia="Times New Roman" w:cs="Times New Roman"/>
          <w:color w:val="000000" w:themeColor="text1"/>
          <w:szCs w:val="24"/>
        </w:rPr>
        <w:t>(2), 97-107.</w:t>
      </w:r>
    </w:p>
    <w:p w14:paraId="2CBF020B"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de-DE"/>
        </w:rPr>
        <w:t xml:space="preserve">Piperopoulos, P., Wu, J., &amp; Wang, C. (2018). </w:t>
      </w:r>
      <w:r w:rsidRPr="00967826">
        <w:rPr>
          <w:rFonts w:eastAsia="Times New Roman" w:cs="Times New Roman"/>
          <w:color w:val="000000" w:themeColor="text1"/>
          <w:szCs w:val="24"/>
        </w:rPr>
        <w:t xml:space="preserve">Outward FDI, location choices and innovation performance of emerging market enterprises. </w:t>
      </w:r>
      <w:r w:rsidRPr="00EA4439">
        <w:rPr>
          <w:rFonts w:eastAsia="Times New Roman" w:cs="Times New Roman"/>
          <w:i/>
          <w:iCs/>
          <w:color w:val="000000" w:themeColor="text1"/>
          <w:szCs w:val="24"/>
        </w:rPr>
        <w:t>Research Policy</w:t>
      </w:r>
      <w:r w:rsidRPr="00967826">
        <w:rPr>
          <w:rFonts w:eastAsia="Times New Roman" w:cs="Times New Roman"/>
          <w:color w:val="000000" w:themeColor="text1"/>
          <w:szCs w:val="24"/>
        </w:rPr>
        <w:t>, 47(1), 232-240.</w:t>
      </w:r>
    </w:p>
    <w:p w14:paraId="36BE1904" w14:textId="77777777" w:rsidR="00EA4439" w:rsidRPr="006F5D71" w:rsidRDefault="00EA4439" w:rsidP="009311A1">
      <w:pPr>
        <w:spacing w:after="0" w:line="240" w:lineRule="auto"/>
        <w:ind w:left="450" w:hanging="450"/>
        <w:jc w:val="both"/>
        <w:rPr>
          <w:rStyle w:val="selectable"/>
          <w:rFonts w:eastAsia="Times New Roman" w:cs="Times New Roman"/>
          <w:color w:val="000000" w:themeColor="text1"/>
          <w:szCs w:val="24"/>
        </w:rPr>
      </w:pPr>
      <w:proofErr w:type="spellStart"/>
      <w:r w:rsidRPr="006F5D71">
        <w:rPr>
          <w:rFonts w:eastAsia="Times New Roman" w:cs="Times New Roman"/>
          <w:color w:val="000000" w:themeColor="text1"/>
          <w:szCs w:val="24"/>
        </w:rPr>
        <w:t>Puthusserry</w:t>
      </w:r>
      <w:proofErr w:type="spellEnd"/>
      <w:r w:rsidRPr="006F5D71">
        <w:rPr>
          <w:rFonts w:eastAsia="Times New Roman" w:cs="Times New Roman"/>
          <w:color w:val="000000" w:themeColor="text1"/>
          <w:szCs w:val="24"/>
        </w:rPr>
        <w:t xml:space="preserve">, P., Khan, Z., Knight, G., &amp; Miller, K. (2020). How do rapidly internationalizing SMEs learn? Exploring the link between network relationships, learning approaches and post-entry growth of rapidly Internationalizing SMEs from Emerging Markets. </w:t>
      </w:r>
      <w:r w:rsidRPr="006F5D71">
        <w:rPr>
          <w:rFonts w:eastAsia="Times New Roman" w:cs="Times New Roman"/>
          <w:i/>
          <w:iCs/>
          <w:color w:val="000000" w:themeColor="text1"/>
          <w:szCs w:val="24"/>
        </w:rPr>
        <w:t>Management International Review</w:t>
      </w:r>
      <w:r w:rsidRPr="006F5D71">
        <w:rPr>
          <w:rFonts w:eastAsia="Times New Roman" w:cs="Times New Roman"/>
          <w:color w:val="000000" w:themeColor="text1"/>
          <w:szCs w:val="24"/>
        </w:rPr>
        <w:t>, 60(4), 515-542.</w:t>
      </w:r>
    </w:p>
    <w:p w14:paraId="35D2910F"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bookmarkStart w:id="2" w:name="_Hlk79159514"/>
      <w:r w:rsidRPr="00FD5849">
        <w:rPr>
          <w:rFonts w:eastAsia="Times New Roman" w:cs="Times New Roman"/>
          <w:color w:val="000000" w:themeColor="text1"/>
          <w:szCs w:val="24"/>
          <w:lang w:val="de-DE"/>
        </w:rPr>
        <w:t>Qian, C., Wang, H., Geng, X., &amp; Yu</w:t>
      </w:r>
      <w:bookmarkEnd w:id="2"/>
      <w:r w:rsidRPr="00FD5849">
        <w:rPr>
          <w:rFonts w:eastAsia="Times New Roman" w:cs="Times New Roman"/>
          <w:color w:val="000000" w:themeColor="text1"/>
          <w:szCs w:val="24"/>
          <w:lang w:val="de-DE"/>
        </w:rPr>
        <w:t xml:space="preserve">, Y. (2017). </w:t>
      </w:r>
      <w:r w:rsidRPr="006F5D71">
        <w:rPr>
          <w:rFonts w:eastAsia="Times New Roman" w:cs="Times New Roman"/>
          <w:color w:val="000000" w:themeColor="text1"/>
          <w:szCs w:val="24"/>
        </w:rPr>
        <w:t xml:space="preserve">Rent appropriation of knowledge‐based assets and firm performance when institutions are weak: A study of Chinese publicly listed firms. </w:t>
      </w:r>
      <w:r w:rsidRPr="006F5D71">
        <w:rPr>
          <w:rFonts w:eastAsia="Times New Roman" w:cs="Times New Roman"/>
          <w:i/>
          <w:iCs/>
          <w:color w:val="000000" w:themeColor="text1"/>
          <w:szCs w:val="24"/>
        </w:rPr>
        <w:t>Strategic Management Journal</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38</w:t>
      </w:r>
      <w:r w:rsidRPr="006F5D71">
        <w:rPr>
          <w:rFonts w:eastAsia="Times New Roman" w:cs="Times New Roman"/>
          <w:color w:val="000000" w:themeColor="text1"/>
          <w:szCs w:val="24"/>
        </w:rPr>
        <w:t>(4), 892-911.</w:t>
      </w:r>
    </w:p>
    <w:p w14:paraId="6A13C7C9"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Ramamurti</w:t>
      </w:r>
      <w:proofErr w:type="spellEnd"/>
      <w:r w:rsidRPr="006F5D71">
        <w:rPr>
          <w:rFonts w:eastAsia="Times New Roman" w:cs="Times New Roman"/>
          <w:color w:val="000000" w:themeColor="text1"/>
          <w:szCs w:val="24"/>
        </w:rPr>
        <w:t xml:space="preserve">, R. (2008). What have we learned about emerging-market MNEs? Insights from a multi-country research project. In </w:t>
      </w:r>
      <w:r w:rsidRPr="006F5D71">
        <w:rPr>
          <w:rFonts w:eastAsia="Times New Roman" w:cs="Times New Roman"/>
          <w:i/>
          <w:iCs/>
          <w:color w:val="000000" w:themeColor="text1"/>
          <w:szCs w:val="24"/>
        </w:rPr>
        <w:t>Copenhagen Business School Conference Emerging Multinationals: Outward FDI from Emerging and Developing Economies, Copenhagen, Denmark</w:t>
      </w:r>
      <w:r w:rsidRPr="006F5D71">
        <w:rPr>
          <w:rFonts w:eastAsia="Times New Roman" w:cs="Times New Roman"/>
          <w:color w:val="000000" w:themeColor="text1"/>
          <w:szCs w:val="24"/>
        </w:rPr>
        <w:t>.</w:t>
      </w:r>
    </w:p>
    <w:p w14:paraId="13E453F9" w14:textId="77777777" w:rsidR="00EA4439"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Ramamurti</w:t>
      </w:r>
      <w:proofErr w:type="spellEnd"/>
      <w:r w:rsidRPr="006F5D71">
        <w:rPr>
          <w:rFonts w:eastAsia="Times New Roman" w:cs="Times New Roman"/>
          <w:color w:val="000000" w:themeColor="text1"/>
          <w:szCs w:val="24"/>
        </w:rPr>
        <w:t xml:space="preserve">, R., &amp; </w:t>
      </w:r>
      <w:proofErr w:type="spellStart"/>
      <w:r w:rsidRPr="006F5D71">
        <w:rPr>
          <w:rFonts w:eastAsia="Times New Roman" w:cs="Times New Roman"/>
          <w:color w:val="000000" w:themeColor="text1"/>
          <w:szCs w:val="24"/>
        </w:rPr>
        <w:t>Hillemann</w:t>
      </w:r>
      <w:proofErr w:type="spellEnd"/>
      <w:r w:rsidRPr="006F5D71">
        <w:rPr>
          <w:rFonts w:eastAsia="Times New Roman" w:cs="Times New Roman"/>
          <w:color w:val="000000" w:themeColor="text1"/>
          <w:szCs w:val="24"/>
        </w:rPr>
        <w:t xml:space="preserve">, J. (2018). What is “Chinese” about Chinese multinationals? </w:t>
      </w:r>
      <w:r w:rsidRPr="006F5D71">
        <w:rPr>
          <w:rFonts w:eastAsia="Times New Roman" w:cs="Times New Roman"/>
          <w:i/>
          <w:iCs/>
          <w:color w:val="000000" w:themeColor="text1"/>
          <w:szCs w:val="24"/>
        </w:rPr>
        <w:t>Journal of International Business Studies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49</w:t>
      </w:r>
      <w:r w:rsidRPr="006F5D71">
        <w:rPr>
          <w:rFonts w:eastAsia="Times New Roman" w:cs="Times New Roman"/>
          <w:color w:val="000000" w:themeColor="text1"/>
          <w:szCs w:val="24"/>
        </w:rPr>
        <w:t>(1), 34-48.</w:t>
      </w:r>
    </w:p>
    <w:p w14:paraId="397624CA"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967826">
        <w:rPr>
          <w:rFonts w:eastAsia="Times New Roman" w:cs="Times New Roman"/>
          <w:color w:val="000000" w:themeColor="text1"/>
          <w:szCs w:val="24"/>
        </w:rPr>
        <w:t>Rugman, A. M. (Ed.). (2009). The Oxford handbook of international business. OUP Oxford</w:t>
      </w:r>
    </w:p>
    <w:p w14:paraId="046E2F1B"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de-DE"/>
        </w:rPr>
        <w:t xml:space="preserve">Rugman, A. M., &amp; Verbeke, A. (2003). </w:t>
      </w:r>
      <w:r w:rsidRPr="006F5D71">
        <w:rPr>
          <w:rFonts w:eastAsia="Times New Roman" w:cs="Times New Roman"/>
          <w:color w:val="000000" w:themeColor="text1"/>
          <w:szCs w:val="24"/>
        </w:rPr>
        <w:t xml:space="preserve">Extending the theory of the multinational enterprise: Internalization and strategic management perspectives. </w:t>
      </w:r>
      <w:r w:rsidRPr="006F5D71">
        <w:rPr>
          <w:rFonts w:eastAsia="Times New Roman" w:cs="Times New Roman"/>
          <w:i/>
          <w:iCs/>
          <w:color w:val="000000" w:themeColor="text1"/>
          <w:szCs w:val="24"/>
        </w:rPr>
        <w:t>Journal of International Business Studies</w:t>
      </w:r>
      <w:r w:rsidRPr="006F5D71">
        <w:rPr>
          <w:rFonts w:eastAsia="Times New Roman" w:cs="Times New Roman"/>
          <w:color w:val="000000" w:themeColor="text1"/>
          <w:szCs w:val="24"/>
        </w:rPr>
        <w:t>, 34(2), 125–137.</w:t>
      </w:r>
    </w:p>
    <w:p w14:paraId="1211CA7F"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it-IT"/>
        </w:rPr>
        <w:t xml:space="preserve">Rui, H., Cuervo-Cazurra, A., &amp; Un, C. A. (2016). </w:t>
      </w:r>
      <w:r w:rsidRPr="006F5D71">
        <w:rPr>
          <w:rFonts w:eastAsia="Times New Roman" w:cs="Times New Roman"/>
          <w:color w:val="000000" w:themeColor="text1"/>
          <w:szCs w:val="24"/>
        </w:rPr>
        <w:t xml:space="preserve">Learning-by-doing in emerging market multinationals: Integration, trial and error, repetition, and extension. </w:t>
      </w:r>
      <w:r w:rsidRPr="006F5D71">
        <w:rPr>
          <w:rFonts w:eastAsia="Times New Roman" w:cs="Times New Roman"/>
          <w:i/>
          <w:iCs/>
          <w:color w:val="000000" w:themeColor="text1"/>
          <w:szCs w:val="24"/>
        </w:rPr>
        <w:t>Journal of World Business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51</w:t>
      </w:r>
      <w:r w:rsidRPr="006F5D71">
        <w:rPr>
          <w:rFonts w:eastAsia="Times New Roman" w:cs="Times New Roman"/>
          <w:color w:val="000000" w:themeColor="text1"/>
          <w:szCs w:val="24"/>
        </w:rPr>
        <w:t>(5), 686-699.</w:t>
      </w:r>
    </w:p>
    <w:p w14:paraId="4F9219A4" w14:textId="77777777" w:rsidR="00EA4439" w:rsidRPr="006F5D71" w:rsidRDefault="00EA4439" w:rsidP="00EF56C0">
      <w:pPr>
        <w:spacing w:after="0"/>
        <w:ind w:left="450" w:hanging="450"/>
        <w:jc w:val="both"/>
        <w:rPr>
          <w:rFonts w:cs="Times New Roman"/>
          <w:color w:val="000000" w:themeColor="text1"/>
          <w:szCs w:val="24"/>
        </w:rPr>
      </w:pPr>
      <w:r w:rsidRPr="006F5D71">
        <w:rPr>
          <w:rFonts w:cs="Times New Roman"/>
          <w:color w:val="000000" w:themeColor="text1"/>
          <w:szCs w:val="24"/>
        </w:rPr>
        <w:t xml:space="preserve">Saeed, A. &amp; Sameer, M. (2017). Impact of board gender diversity on dividend payments: Evidence from some emerging economies. </w:t>
      </w:r>
      <w:r w:rsidRPr="006F5D71">
        <w:rPr>
          <w:rFonts w:cs="Times New Roman"/>
          <w:i/>
          <w:color w:val="000000" w:themeColor="text1"/>
          <w:szCs w:val="24"/>
        </w:rPr>
        <w:t>International Business Review</w:t>
      </w:r>
      <w:r w:rsidRPr="006F5D71">
        <w:rPr>
          <w:rFonts w:cs="Times New Roman"/>
          <w:color w:val="000000" w:themeColor="text1"/>
          <w:szCs w:val="24"/>
        </w:rPr>
        <w:t xml:space="preserve"> 26(6), 1100-1113.</w:t>
      </w:r>
    </w:p>
    <w:p w14:paraId="32EE8890" w14:textId="77777777" w:rsidR="00EA4439" w:rsidRPr="006F5D71" w:rsidRDefault="00EA4439" w:rsidP="00AB7DB6">
      <w:pPr>
        <w:spacing w:after="0"/>
        <w:ind w:left="450" w:hanging="450"/>
        <w:jc w:val="both"/>
        <w:rPr>
          <w:rFonts w:cs="Times New Roman"/>
          <w:color w:val="000000" w:themeColor="text1"/>
          <w:szCs w:val="24"/>
        </w:rPr>
      </w:pPr>
      <w:r w:rsidRPr="006F5D71">
        <w:rPr>
          <w:rFonts w:cs="Times New Roman"/>
          <w:color w:val="000000" w:themeColor="text1"/>
          <w:szCs w:val="24"/>
        </w:rPr>
        <w:t xml:space="preserve">Saeed, A., &amp; </w:t>
      </w:r>
      <w:proofErr w:type="spellStart"/>
      <w:r w:rsidRPr="006F5D71">
        <w:rPr>
          <w:rFonts w:cs="Times New Roman"/>
          <w:color w:val="000000" w:themeColor="text1"/>
          <w:szCs w:val="24"/>
        </w:rPr>
        <w:t>Athreye</w:t>
      </w:r>
      <w:proofErr w:type="spellEnd"/>
      <w:r w:rsidRPr="006F5D71">
        <w:rPr>
          <w:rFonts w:cs="Times New Roman"/>
          <w:color w:val="000000" w:themeColor="text1"/>
          <w:szCs w:val="24"/>
        </w:rPr>
        <w:t xml:space="preserve">, S. (2014). Internal capital markets and outward foreign investment from India and China. In International Business and Institutions after the Financial Crisis (pp. 93-108). Palgrave Macmillan, London. </w:t>
      </w:r>
    </w:p>
    <w:p w14:paraId="03F9C9F1" w14:textId="77777777" w:rsidR="00EA4439" w:rsidRPr="006F5D71" w:rsidRDefault="00EA4439" w:rsidP="00EF56C0">
      <w:pPr>
        <w:spacing w:after="0"/>
        <w:ind w:left="450" w:hanging="450"/>
        <w:jc w:val="both"/>
        <w:rPr>
          <w:rFonts w:cs="Times New Roman"/>
          <w:color w:val="000000" w:themeColor="text1"/>
          <w:szCs w:val="24"/>
        </w:rPr>
      </w:pPr>
      <w:r w:rsidRPr="006F5D71">
        <w:rPr>
          <w:rFonts w:cs="Times New Roman"/>
          <w:color w:val="000000" w:themeColor="text1"/>
          <w:szCs w:val="24"/>
        </w:rPr>
        <w:t xml:space="preserve">Saeed, A., </w:t>
      </w:r>
      <w:proofErr w:type="spellStart"/>
      <w:r w:rsidRPr="006F5D71">
        <w:rPr>
          <w:rFonts w:cs="Times New Roman"/>
          <w:color w:val="000000" w:themeColor="text1"/>
          <w:szCs w:val="24"/>
        </w:rPr>
        <w:t>Belghitar</w:t>
      </w:r>
      <w:proofErr w:type="spellEnd"/>
      <w:r w:rsidRPr="006F5D71">
        <w:rPr>
          <w:rFonts w:cs="Times New Roman"/>
          <w:color w:val="000000" w:themeColor="text1"/>
          <w:szCs w:val="24"/>
        </w:rPr>
        <w:t xml:space="preserve"> Y. &amp; Yousaf, A. (2016). Firm-level determinants of gender diversity in the boardrooms: Evidence from some emerging markets. </w:t>
      </w:r>
      <w:r w:rsidRPr="006F5D71">
        <w:rPr>
          <w:rFonts w:cs="Times New Roman"/>
          <w:i/>
          <w:color w:val="000000" w:themeColor="text1"/>
          <w:szCs w:val="24"/>
        </w:rPr>
        <w:t>International Business Review</w:t>
      </w:r>
      <w:r w:rsidRPr="006F5D71">
        <w:rPr>
          <w:rFonts w:cs="Times New Roman"/>
          <w:color w:val="000000" w:themeColor="text1"/>
          <w:szCs w:val="24"/>
        </w:rPr>
        <w:t>, 25(5): 1076-1088.</w:t>
      </w:r>
    </w:p>
    <w:p w14:paraId="20C4DCEC" w14:textId="77777777" w:rsidR="00EA4439" w:rsidRPr="006F5D71" w:rsidRDefault="00EA4439" w:rsidP="009311A1">
      <w:pPr>
        <w:spacing w:after="0" w:line="240" w:lineRule="auto"/>
        <w:ind w:left="450" w:hanging="450"/>
        <w:jc w:val="both"/>
        <w:rPr>
          <w:rFonts w:cs="Times New Roman"/>
          <w:color w:val="000000" w:themeColor="text1"/>
          <w:szCs w:val="24"/>
        </w:rPr>
      </w:pPr>
      <w:proofErr w:type="spellStart"/>
      <w:r w:rsidRPr="006F5D71">
        <w:rPr>
          <w:rFonts w:cs="Times New Roman"/>
          <w:color w:val="000000" w:themeColor="text1"/>
          <w:szCs w:val="24"/>
        </w:rPr>
        <w:t>Samant</w:t>
      </w:r>
      <w:proofErr w:type="spellEnd"/>
      <w:r w:rsidRPr="006F5D71">
        <w:rPr>
          <w:rFonts w:cs="Times New Roman"/>
          <w:color w:val="000000" w:themeColor="text1"/>
          <w:szCs w:val="24"/>
        </w:rPr>
        <w:t>, S., Thakur-</w:t>
      </w:r>
      <w:proofErr w:type="spellStart"/>
      <w:r w:rsidRPr="006F5D71">
        <w:rPr>
          <w:rFonts w:cs="Times New Roman"/>
          <w:color w:val="000000" w:themeColor="text1"/>
          <w:szCs w:val="24"/>
        </w:rPr>
        <w:t>Wernz</w:t>
      </w:r>
      <w:proofErr w:type="spellEnd"/>
      <w:r w:rsidRPr="006F5D71">
        <w:rPr>
          <w:rFonts w:cs="Times New Roman"/>
          <w:color w:val="000000" w:themeColor="text1"/>
          <w:szCs w:val="24"/>
        </w:rPr>
        <w:t xml:space="preserve">, P. &amp; Hatfield, D.E. (2021). The impact of differences in internationalization processes on innovation by emerging economy firms. </w:t>
      </w:r>
      <w:r w:rsidRPr="006F5D71">
        <w:rPr>
          <w:rFonts w:cs="Times New Roman"/>
          <w:i/>
          <w:color w:val="000000" w:themeColor="text1"/>
          <w:szCs w:val="24"/>
        </w:rPr>
        <w:t>International Journal of Emerging Markets</w:t>
      </w:r>
      <w:r w:rsidRPr="006F5D71">
        <w:rPr>
          <w:rFonts w:cs="Times New Roman"/>
          <w:color w:val="000000" w:themeColor="text1"/>
          <w:szCs w:val="24"/>
        </w:rPr>
        <w:t>, https://doi.org/10.1108/IJOEM-11-2020-1331</w:t>
      </w:r>
    </w:p>
    <w:p w14:paraId="3B5C1051" w14:textId="77777777" w:rsidR="00EA4439" w:rsidRPr="006F5D71" w:rsidRDefault="00EA4439" w:rsidP="009311A1">
      <w:pPr>
        <w:spacing w:after="0" w:line="240" w:lineRule="auto"/>
        <w:ind w:left="450" w:hanging="450"/>
        <w:jc w:val="both"/>
        <w:rPr>
          <w:rFonts w:cs="Times New Roman"/>
          <w:color w:val="000000" w:themeColor="text1"/>
          <w:szCs w:val="24"/>
        </w:rPr>
      </w:pPr>
      <w:r w:rsidRPr="006F5D71">
        <w:rPr>
          <w:rFonts w:cs="Times New Roman"/>
          <w:color w:val="000000" w:themeColor="text1"/>
          <w:szCs w:val="24"/>
        </w:rPr>
        <w:t xml:space="preserve">Sanfilippo, M. (2015). FDI from emerging markets and the productivity gap—An analysis on affiliates of BRICS EMNEs in Europe. </w:t>
      </w:r>
      <w:r w:rsidRPr="006F5D71">
        <w:rPr>
          <w:rFonts w:cs="Times New Roman"/>
          <w:i/>
          <w:iCs/>
          <w:color w:val="000000" w:themeColor="text1"/>
          <w:szCs w:val="24"/>
        </w:rPr>
        <w:t>International Business Review</w:t>
      </w:r>
      <w:r w:rsidRPr="006F5D71">
        <w:rPr>
          <w:rFonts w:cs="Times New Roman"/>
          <w:color w:val="000000" w:themeColor="text1"/>
          <w:szCs w:val="24"/>
        </w:rPr>
        <w:t xml:space="preserve">, </w:t>
      </w:r>
      <w:r w:rsidRPr="006F5D71">
        <w:rPr>
          <w:rFonts w:cs="Times New Roman"/>
          <w:i/>
          <w:iCs/>
          <w:color w:val="000000" w:themeColor="text1"/>
          <w:szCs w:val="24"/>
        </w:rPr>
        <w:t>24</w:t>
      </w:r>
      <w:r w:rsidRPr="006F5D71">
        <w:rPr>
          <w:rFonts w:cs="Times New Roman"/>
          <w:color w:val="000000" w:themeColor="text1"/>
          <w:szCs w:val="24"/>
        </w:rPr>
        <w:t>(4), 665-676.</w:t>
      </w:r>
    </w:p>
    <w:p w14:paraId="55EAD14F" w14:textId="77777777" w:rsidR="00EA4439" w:rsidRPr="006F5D71" w:rsidRDefault="00EA4439" w:rsidP="009311A1">
      <w:pPr>
        <w:spacing w:after="0" w:line="240" w:lineRule="auto"/>
        <w:ind w:left="450" w:hanging="450"/>
        <w:jc w:val="both"/>
        <w:rPr>
          <w:rFonts w:cs="Times New Roman"/>
          <w:color w:val="000000" w:themeColor="text1"/>
          <w:szCs w:val="24"/>
        </w:rPr>
      </w:pPr>
      <w:r w:rsidRPr="006F5D71">
        <w:rPr>
          <w:rFonts w:cs="Times New Roman"/>
          <w:color w:val="000000" w:themeColor="text1"/>
          <w:szCs w:val="24"/>
        </w:rPr>
        <w:t xml:space="preserve">Sartor M.A. &amp;. Beamish, P.W. (2020). Integration-oriented strategies, host market corruption and the likelihood of foreign subsidiary exit from emerging markets. </w:t>
      </w:r>
      <w:r w:rsidRPr="006F5D71">
        <w:rPr>
          <w:rFonts w:cs="Times New Roman"/>
          <w:i/>
          <w:color w:val="000000" w:themeColor="text1"/>
          <w:szCs w:val="24"/>
        </w:rPr>
        <w:t>Journal of International Business Studies</w:t>
      </w:r>
      <w:r w:rsidRPr="006F5D71">
        <w:rPr>
          <w:rFonts w:cs="Times New Roman"/>
          <w:color w:val="000000" w:themeColor="text1"/>
          <w:szCs w:val="24"/>
        </w:rPr>
        <w:t>, 51, 1-18</w:t>
      </w:r>
    </w:p>
    <w:p w14:paraId="2C6CB465"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de-DE"/>
        </w:rPr>
        <w:lastRenderedPageBreak/>
        <w:t xml:space="preserve">Schamp, E. W., &amp; Stamm, A. (2012). </w:t>
      </w:r>
      <w:r w:rsidRPr="006F5D71">
        <w:rPr>
          <w:rFonts w:eastAsia="Times New Roman" w:cs="Times New Roman"/>
          <w:color w:val="000000" w:themeColor="text1"/>
          <w:szCs w:val="24"/>
        </w:rPr>
        <w:t xml:space="preserve">New trends in an old sector: exploring global knowledge and HR management in MNCs and the North–South divide in human capital formation. </w:t>
      </w:r>
      <w:r w:rsidRPr="006F5D71">
        <w:rPr>
          <w:rFonts w:eastAsia="Times New Roman" w:cs="Times New Roman"/>
          <w:i/>
          <w:iCs/>
          <w:color w:val="000000" w:themeColor="text1"/>
          <w:szCs w:val="24"/>
        </w:rPr>
        <w:t>Innovation and Development</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w:t>
      </w:r>
      <w:r w:rsidRPr="006F5D71">
        <w:rPr>
          <w:rFonts w:eastAsia="Times New Roman" w:cs="Times New Roman"/>
          <w:color w:val="000000" w:themeColor="text1"/>
          <w:szCs w:val="24"/>
        </w:rPr>
        <w:t>(2), 285-302.</w:t>
      </w:r>
    </w:p>
    <w:p w14:paraId="6151415C"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Schulte, B. (2008). Second generation entrepreneurs of Turkish origin in Germany: diasporic identity and business engagement.</w:t>
      </w:r>
    </w:p>
    <w:p w14:paraId="054548E2"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it-IT"/>
        </w:rPr>
        <w:t xml:space="preserve">Shapiro, D. M., Vecino, C., &amp; Li, J. 2018. </w:t>
      </w:r>
      <w:r w:rsidRPr="006F5D71">
        <w:rPr>
          <w:rFonts w:eastAsia="Times New Roman" w:cs="Times New Roman"/>
          <w:color w:val="000000" w:themeColor="text1"/>
          <w:szCs w:val="24"/>
        </w:rPr>
        <w:t xml:space="preserve">Exploring China’s </w:t>
      </w:r>
      <w:proofErr w:type="gramStart"/>
      <w:r w:rsidRPr="006F5D71">
        <w:rPr>
          <w:rFonts w:eastAsia="Times New Roman" w:cs="Times New Roman"/>
          <w:color w:val="000000" w:themeColor="text1"/>
          <w:szCs w:val="24"/>
        </w:rPr>
        <w:t>state-led</w:t>
      </w:r>
      <w:proofErr w:type="gramEnd"/>
      <w:r w:rsidRPr="006F5D71">
        <w:rPr>
          <w:rFonts w:eastAsia="Times New Roman" w:cs="Times New Roman"/>
          <w:color w:val="000000" w:themeColor="text1"/>
          <w:szCs w:val="24"/>
        </w:rPr>
        <w:t xml:space="preserve"> FDI model: Evidence from the extractive sectors in Latin America. </w:t>
      </w:r>
      <w:r w:rsidRPr="006F5D71">
        <w:rPr>
          <w:rFonts w:eastAsia="Times New Roman" w:cs="Times New Roman"/>
          <w:i/>
          <w:iCs/>
          <w:color w:val="000000" w:themeColor="text1"/>
          <w:szCs w:val="24"/>
        </w:rPr>
        <w:t>Asia Pacific Journal of Management</w:t>
      </w:r>
      <w:r w:rsidRPr="006F5D71">
        <w:rPr>
          <w:rFonts w:eastAsia="Times New Roman" w:cs="Times New Roman"/>
          <w:color w:val="000000" w:themeColor="text1"/>
          <w:szCs w:val="24"/>
        </w:rPr>
        <w:t>, 35(1): 11-37.</w:t>
      </w:r>
    </w:p>
    <w:p w14:paraId="4E09AD24"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Shen, Z., &amp; Puig, F. (2018). Spatial dependence of the FDI entry mode decision: Empirical evidence from emerging market enterprises. </w:t>
      </w:r>
      <w:r w:rsidRPr="006F5D71">
        <w:rPr>
          <w:rFonts w:eastAsia="Times New Roman" w:cs="Times New Roman"/>
          <w:i/>
          <w:iCs/>
          <w:color w:val="000000" w:themeColor="text1"/>
          <w:szCs w:val="24"/>
        </w:rPr>
        <w:t>Management International Review</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58</w:t>
      </w:r>
      <w:r w:rsidRPr="006F5D71">
        <w:rPr>
          <w:rFonts w:eastAsia="Times New Roman" w:cs="Times New Roman"/>
          <w:color w:val="000000" w:themeColor="text1"/>
          <w:szCs w:val="24"/>
        </w:rPr>
        <w:t>(1), 171-193.</w:t>
      </w:r>
    </w:p>
    <w:p w14:paraId="644409E7"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bookmarkStart w:id="3" w:name="_Hlk79185483"/>
      <w:r w:rsidRPr="00FD5849">
        <w:rPr>
          <w:rFonts w:eastAsia="Times New Roman" w:cs="Times New Roman"/>
          <w:color w:val="000000" w:themeColor="text1"/>
          <w:szCs w:val="24"/>
          <w:lang w:val="it-IT"/>
        </w:rPr>
        <w:t xml:space="preserve">Sheng, S., Zhou, K. Z., &amp; Li, </w:t>
      </w:r>
      <w:bookmarkEnd w:id="3"/>
      <w:r w:rsidRPr="00FD5849">
        <w:rPr>
          <w:rFonts w:eastAsia="Times New Roman" w:cs="Times New Roman"/>
          <w:color w:val="000000" w:themeColor="text1"/>
          <w:szCs w:val="24"/>
          <w:lang w:val="it-IT"/>
        </w:rPr>
        <w:t xml:space="preserve">J. J. (2011). </w:t>
      </w:r>
      <w:r w:rsidRPr="006F5D71">
        <w:rPr>
          <w:rFonts w:eastAsia="Times New Roman" w:cs="Times New Roman"/>
          <w:color w:val="000000" w:themeColor="text1"/>
          <w:szCs w:val="24"/>
        </w:rPr>
        <w:t xml:space="preserve">The effects of business and political ties on firm performance: Evidence from China. </w:t>
      </w:r>
      <w:r w:rsidRPr="006F5D71">
        <w:rPr>
          <w:rFonts w:eastAsia="Times New Roman" w:cs="Times New Roman"/>
          <w:i/>
          <w:iCs/>
          <w:color w:val="000000" w:themeColor="text1"/>
          <w:szCs w:val="24"/>
        </w:rPr>
        <w:t>Journal of Marketing</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75</w:t>
      </w:r>
      <w:r w:rsidRPr="006F5D71">
        <w:rPr>
          <w:rFonts w:eastAsia="Times New Roman" w:cs="Times New Roman"/>
          <w:color w:val="000000" w:themeColor="text1"/>
          <w:szCs w:val="24"/>
        </w:rPr>
        <w:t>(1), 1-15.</w:t>
      </w:r>
    </w:p>
    <w:p w14:paraId="213CDC3B" w14:textId="77777777" w:rsidR="00EA4439" w:rsidRPr="006F5D71" w:rsidRDefault="00EA4439" w:rsidP="009311A1">
      <w:pPr>
        <w:autoSpaceDE w:val="0"/>
        <w:autoSpaceDN w:val="0"/>
        <w:adjustRightInd w:val="0"/>
        <w:spacing w:after="0" w:line="240" w:lineRule="auto"/>
        <w:ind w:left="450" w:hanging="450"/>
        <w:jc w:val="both"/>
        <w:rPr>
          <w:rFonts w:cs="Times New Roman"/>
          <w:color w:val="000000" w:themeColor="text1"/>
          <w:szCs w:val="24"/>
        </w:rPr>
      </w:pPr>
      <w:r w:rsidRPr="006F5D71">
        <w:rPr>
          <w:rFonts w:cs="Times New Roman"/>
          <w:color w:val="000000" w:themeColor="text1"/>
          <w:szCs w:val="24"/>
        </w:rPr>
        <w:t xml:space="preserve">Shirodkar, V., and </w:t>
      </w:r>
      <w:proofErr w:type="spellStart"/>
      <w:r w:rsidRPr="006F5D71">
        <w:rPr>
          <w:rFonts w:cs="Times New Roman"/>
          <w:color w:val="000000" w:themeColor="text1"/>
          <w:szCs w:val="24"/>
        </w:rPr>
        <w:t>Konara</w:t>
      </w:r>
      <w:proofErr w:type="spellEnd"/>
      <w:r w:rsidRPr="006F5D71">
        <w:rPr>
          <w:rFonts w:cs="Times New Roman"/>
          <w:color w:val="000000" w:themeColor="text1"/>
          <w:szCs w:val="24"/>
        </w:rPr>
        <w:t xml:space="preserve">, P. (2017). ‘Institutional distance and foreign subsidiary performance in emerging markets: Moderating effects of ownership strategy and host-country experience’. </w:t>
      </w:r>
      <w:r w:rsidRPr="006F5D71">
        <w:rPr>
          <w:rFonts w:cs="Times New Roman"/>
          <w:i/>
          <w:iCs/>
          <w:color w:val="000000" w:themeColor="text1"/>
          <w:szCs w:val="24"/>
        </w:rPr>
        <w:t>Management International Review</w:t>
      </w:r>
      <w:r w:rsidRPr="006F5D71">
        <w:rPr>
          <w:rFonts w:cs="Times New Roman"/>
          <w:color w:val="000000" w:themeColor="text1"/>
          <w:szCs w:val="24"/>
        </w:rPr>
        <w:t xml:space="preserve">, </w:t>
      </w:r>
      <w:r w:rsidRPr="006F5D71">
        <w:rPr>
          <w:rFonts w:cs="Times New Roman"/>
          <w:b/>
          <w:bCs/>
          <w:color w:val="000000" w:themeColor="text1"/>
          <w:szCs w:val="24"/>
        </w:rPr>
        <w:t>57</w:t>
      </w:r>
      <w:r w:rsidRPr="006F5D71">
        <w:rPr>
          <w:rFonts w:cs="Times New Roman"/>
          <w:color w:val="000000" w:themeColor="text1"/>
          <w:szCs w:val="24"/>
        </w:rPr>
        <w:t>(2), 179-207.</w:t>
      </w:r>
    </w:p>
    <w:p w14:paraId="36D979D5"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Shrestha, N. R., McKinley-Floyd, L., &amp; </w:t>
      </w:r>
      <w:proofErr w:type="spellStart"/>
      <w:r w:rsidRPr="006F5D71">
        <w:rPr>
          <w:rFonts w:eastAsia="Times New Roman" w:cs="Times New Roman"/>
          <w:color w:val="000000" w:themeColor="text1"/>
          <w:szCs w:val="24"/>
        </w:rPr>
        <w:t>Mtwige</w:t>
      </w:r>
      <w:proofErr w:type="spellEnd"/>
      <w:r w:rsidRPr="006F5D71">
        <w:rPr>
          <w:rFonts w:eastAsia="Times New Roman" w:cs="Times New Roman"/>
          <w:color w:val="000000" w:themeColor="text1"/>
          <w:szCs w:val="24"/>
        </w:rPr>
        <w:t xml:space="preserve">, B. (2008). Introduction to the special issue: Management in Africa in the global context. </w:t>
      </w:r>
      <w:r w:rsidRPr="006F5D71">
        <w:rPr>
          <w:rFonts w:eastAsia="Times New Roman" w:cs="Times New Roman"/>
          <w:i/>
          <w:iCs/>
          <w:color w:val="000000" w:themeColor="text1"/>
          <w:szCs w:val="24"/>
        </w:rPr>
        <w:t>Journal of African Business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9</w:t>
      </w:r>
      <w:r w:rsidRPr="006F5D71">
        <w:rPr>
          <w:rFonts w:eastAsia="Times New Roman" w:cs="Times New Roman"/>
          <w:color w:val="000000" w:themeColor="text1"/>
          <w:szCs w:val="24"/>
        </w:rPr>
        <w:t>(1), 1-25.</w:t>
      </w:r>
    </w:p>
    <w:p w14:paraId="5023B546"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Shukla, P., &amp; Cantwell, J. (2018). Migrants and multinational firms: The role of institutional affinity and connectedness in FDI. </w:t>
      </w:r>
      <w:r w:rsidRPr="006F5D71">
        <w:rPr>
          <w:rFonts w:eastAsia="Times New Roman" w:cs="Times New Roman"/>
          <w:i/>
          <w:iCs/>
          <w:color w:val="000000" w:themeColor="text1"/>
          <w:szCs w:val="24"/>
        </w:rPr>
        <w:t>Journal of World Business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53</w:t>
      </w:r>
      <w:r w:rsidRPr="006F5D71">
        <w:rPr>
          <w:rFonts w:eastAsia="Times New Roman" w:cs="Times New Roman"/>
          <w:color w:val="000000" w:themeColor="text1"/>
          <w:szCs w:val="24"/>
        </w:rPr>
        <w:t>(6), 835-849.</w:t>
      </w:r>
    </w:p>
    <w:p w14:paraId="04EE108E"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Song, S. (2014). Entry mode irreversibility, host market uncertainty, and foreign subsidiary exits. </w:t>
      </w:r>
      <w:r w:rsidRPr="006F5D71">
        <w:rPr>
          <w:rFonts w:eastAsia="Times New Roman" w:cs="Times New Roman"/>
          <w:i/>
          <w:iCs/>
          <w:color w:val="000000" w:themeColor="text1"/>
          <w:szCs w:val="24"/>
        </w:rPr>
        <w:t>Asia Pacific Journal of Management</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31</w:t>
      </w:r>
      <w:r w:rsidRPr="006F5D71">
        <w:rPr>
          <w:rFonts w:eastAsia="Times New Roman" w:cs="Times New Roman"/>
          <w:color w:val="000000" w:themeColor="text1"/>
          <w:szCs w:val="24"/>
        </w:rPr>
        <w:t>(2), 455-471.</w:t>
      </w:r>
    </w:p>
    <w:p w14:paraId="3BFDCE0F" w14:textId="77777777" w:rsidR="00EA4439" w:rsidRPr="006F5D71" w:rsidRDefault="00EA4439" w:rsidP="009311A1">
      <w:pPr>
        <w:spacing w:after="0" w:line="240" w:lineRule="auto"/>
        <w:ind w:left="450" w:hanging="450"/>
        <w:jc w:val="both"/>
        <w:rPr>
          <w:rFonts w:cs="Times New Roman"/>
          <w:color w:val="000000" w:themeColor="text1"/>
          <w:szCs w:val="24"/>
        </w:rPr>
      </w:pPr>
      <w:r w:rsidRPr="006F5D71">
        <w:rPr>
          <w:rFonts w:cs="Times New Roman"/>
          <w:color w:val="000000" w:themeColor="text1"/>
          <w:szCs w:val="24"/>
        </w:rPr>
        <w:t xml:space="preserve">Song, S. (2017). Host market uncertainty, subsidiary characteristics, and growth option exercise. </w:t>
      </w:r>
      <w:r w:rsidRPr="006F5D71">
        <w:rPr>
          <w:rFonts w:cs="Times New Roman"/>
          <w:i/>
          <w:iCs/>
          <w:color w:val="000000" w:themeColor="text1"/>
          <w:szCs w:val="24"/>
        </w:rPr>
        <w:t>Long Range Planning</w:t>
      </w:r>
      <w:r w:rsidRPr="006F5D71">
        <w:rPr>
          <w:rFonts w:cs="Times New Roman"/>
          <w:color w:val="000000" w:themeColor="text1"/>
          <w:szCs w:val="24"/>
        </w:rPr>
        <w:t xml:space="preserve">, </w:t>
      </w:r>
      <w:r w:rsidRPr="006F5D71">
        <w:rPr>
          <w:rFonts w:cs="Times New Roman"/>
          <w:i/>
          <w:iCs/>
          <w:color w:val="000000" w:themeColor="text1"/>
          <w:szCs w:val="24"/>
        </w:rPr>
        <w:t>50</w:t>
      </w:r>
      <w:r w:rsidRPr="006F5D71">
        <w:rPr>
          <w:rFonts w:cs="Times New Roman"/>
          <w:color w:val="000000" w:themeColor="text1"/>
          <w:szCs w:val="24"/>
        </w:rPr>
        <w:t>(1), 63-73.</w:t>
      </w:r>
    </w:p>
    <w:p w14:paraId="12D6F150"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Song, S. (2021). Do in-network ties help in lowering subsidiary divestment rates under environmental challenges? </w:t>
      </w:r>
      <w:r w:rsidRPr="006F5D71">
        <w:rPr>
          <w:rFonts w:eastAsia="Times New Roman" w:cs="Times New Roman"/>
          <w:i/>
          <w:iCs/>
          <w:color w:val="000000" w:themeColor="text1"/>
          <w:szCs w:val="24"/>
        </w:rPr>
        <w:t>Journal of Business Research</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128</w:t>
      </w:r>
      <w:r w:rsidRPr="006F5D71">
        <w:rPr>
          <w:rFonts w:eastAsia="Times New Roman" w:cs="Times New Roman"/>
          <w:color w:val="000000" w:themeColor="text1"/>
          <w:szCs w:val="24"/>
        </w:rPr>
        <w:t>, 257-265.</w:t>
      </w:r>
    </w:p>
    <w:p w14:paraId="5AF45810"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it-IT"/>
        </w:rPr>
        <w:t xml:space="preserve">Suter, M. B., Munjal, S., Borini, F. M., &amp; Floriani, D. (2021). </w:t>
      </w:r>
      <w:r w:rsidRPr="006F5D71">
        <w:rPr>
          <w:rFonts w:eastAsia="Times New Roman" w:cs="Times New Roman"/>
          <w:color w:val="000000" w:themeColor="text1"/>
          <w:szCs w:val="24"/>
        </w:rPr>
        <w:t xml:space="preserve">Conceptualizing country-of-origin image as a country-specific advantage: An insider perspective. </w:t>
      </w:r>
      <w:r w:rsidRPr="006F5D71">
        <w:rPr>
          <w:rFonts w:eastAsia="Times New Roman" w:cs="Times New Roman"/>
          <w:i/>
          <w:iCs/>
          <w:color w:val="000000" w:themeColor="text1"/>
          <w:szCs w:val="24"/>
        </w:rPr>
        <w:t>Journal of Business Research</w:t>
      </w:r>
      <w:r w:rsidRPr="006F5D71">
        <w:rPr>
          <w:rFonts w:eastAsia="Times New Roman" w:cs="Times New Roman"/>
          <w:color w:val="000000" w:themeColor="text1"/>
          <w:szCs w:val="24"/>
        </w:rPr>
        <w:t>, 134, 415-427.</w:t>
      </w:r>
    </w:p>
    <w:p w14:paraId="6AE33B05"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pt-PT"/>
        </w:rPr>
        <w:t xml:space="preserve">Tao, F., Liu, X., Gao, L., &amp; Xia, E. (2017). </w:t>
      </w:r>
      <w:r w:rsidRPr="006F5D71">
        <w:rPr>
          <w:rFonts w:eastAsia="Times New Roman" w:cs="Times New Roman"/>
          <w:color w:val="000000" w:themeColor="text1"/>
          <w:szCs w:val="24"/>
        </w:rPr>
        <w:t xml:space="preserve">Do cross-border mergers and acquisitions increase short-term market performance? The case of Chinese firms. </w:t>
      </w:r>
      <w:r w:rsidRPr="006F5D71">
        <w:rPr>
          <w:rFonts w:eastAsia="Times New Roman" w:cs="Times New Roman"/>
          <w:i/>
          <w:iCs/>
          <w:color w:val="000000" w:themeColor="text1"/>
          <w:szCs w:val="24"/>
        </w:rPr>
        <w:t>International Business Review</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26</w:t>
      </w:r>
      <w:r w:rsidRPr="006F5D71">
        <w:rPr>
          <w:rFonts w:eastAsia="Times New Roman" w:cs="Times New Roman"/>
          <w:color w:val="000000" w:themeColor="text1"/>
          <w:szCs w:val="24"/>
        </w:rPr>
        <w:t>(1), 189-202.</w:t>
      </w:r>
    </w:p>
    <w:p w14:paraId="2A5C2D86"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Taylor, L. (1981). South-north trade and southern growth: Bleak prospects from the structuralist point of view. </w:t>
      </w:r>
      <w:r w:rsidRPr="006F5D71">
        <w:rPr>
          <w:rFonts w:eastAsia="Times New Roman" w:cs="Times New Roman"/>
          <w:i/>
          <w:iCs/>
          <w:color w:val="000000" w:themeColor="text1"/>
          <w:szCs w:val="24"/>
        </w:rPr>
        <w:t>Journal of International Economics</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11</w:t>
      </w:r>
      <w:r w:rsidRPr="006F5D71">
        <w:rPr>
          <w:rFonts w:eastAsia="Times New Roman" w:cs="Times New Roman"/>
          <w:color w:val="000000" w:themeColor="text1"/>
          <w:szCs w:val="24"/>
        </w:rPr>
        <w:t>(4), 589-602.</w:t>
      </w:r>
    </w:p>
    <w:p w14:paraId="2D4B2727" w14:textId="77777777" w:rsidR="00EA4439" w:rsidRPr="006F5D71" w:rsidRDefault="00EA4439" w:rsidP="009311A1">
      <w:pPr>
        <w:spacing w:after="0" w:line="240" w:lineRule="auto"/>
        <w:ind w:left="450" w:hanging="450"/>
        <w:jc w:val="both"/>
        <w:rPr>
          <w:rStyle w:val="selectable"/>
          <w:rFonts w:cs="Times New Roman"/>
          <w:color w:val="000000" w:themeColor="text1"/>
          <w:szCs w:val="24"/>
        </w:rPr>
      </w:pPr>
      <w:bookmarkStart w:id="4" w:name="_Hlk79183976"/>
      <w:proofErr w:type="spellStart"/>
      <w:r w:rsidRPr="006F5D71">
        <w:rPr>
          <w:rStyle w:val="selectable"/>
          <w:rFonts w:cs="Times New Roman"/>
          <w:color w:val="000000" w:themeColor="text1"/>
          <w:szCs w:val="24"/>
        </w:rPr>
        <w:t>Textor</w:t>
      </w:r>
      <w:proofErr w:type="spellEnd"/>
      <w:r w:rsidRPr="006F5D71">
        <w:rPr>
          <w:rStyle w:val="selectable"/>
          <w:rFonts w:cs="Times New Roman"/>
          <w:color w:val="000000" w:themeColor="text1"/>
          <w:szCs w:val="24"/>
        </w:rPr>
        <w:t>, C. (2021)</w:t>
      </w:r>
      <w:bookmarkEnd w:id="4"/>
      <w:r w:rsidRPr="006F5D71">
        <w:rPr>
          <w:rStyle w:val="selectable"/>
          <w:rFonts w:cs="Times New Roman"/>
          <w:color w:val="000000" w:themeColor="text1"/>
          <w:szCs w:val="24"/>
        </w:rPr>
        <w:t>. China: countries with the largest number of overseas Chinese 2019 | Statista. Retrieved 5 August 2021, from https://www.statista.com/statistics/279530/countries-with-the-largest-number-of-overseas-chinese/</w:t>
      </w:r>
    </w:p>
    <w:p w14:paraId="3729C2DC"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de-DE"/>
        </w:rPr>
        <w:t xml:space="preserve">Thakur-Wernz, P., Cantwell, J., &amp; Samant, S. (2019). </w:t>
      </w:r>
      <w:r w:rsidRPr="006F5D71">
        <w:rPr>
          <w:rFonts w:eastAsia="Times New Roman" w:cs="Times New Roman"/>
          <w:color w:val="000000" w:themeColor="text1"/>
          <w:szCs w:val="24"/>
        </w:rPr>
        <w:t xml:space="preserve">Impact of international entry choices on the nature and type of innovation: Evidence from emerging economy firms from the Indian bio-pharmaceutical industry. </w:t>
      </w:r>
      <w:r w:rsidRPr="006F5D71">
        <w:rPr>
          <w:rFonts w:eastAsia="Times New Roman" w:cs="Times New Roman"/>
          <w:i/>
          <w:iCs/>
          <w:color w:val="000000" w:themeColor="text1"/>
          <w:szCs w:val="24"/>
        </w:rPr>
        <w:t>International Business Review</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28</w:t>
      </w:r>
      <w:r w:rsidRPr="006F5D71">
        <w:rPr>
          <w:rFonts w:eastAsia="Times New Roman" w:cs="Times New Roman"/>
          <w:color w:val="000000" w:themeColor="text1"/>
          <w:szCs w:val="24"/>
        </w:rPr>
        <w:t>(6), 101601.</w:t>
      </w:r>
    </w:p>
    <w:p w14:paraId="58253488"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Therien</w:t>
      </w:r>
      <w:proofErr w:type="spellEnd"/>
      <w:r w:rsidRPr="006F5D71">
        <w:rPr>
          <w:rFonts w:eastAsia="Times New Roman" w:cs="Times New Roman"/>
          <w:color w:val="000000" w:themeColor="text1"/>
          <w:szCs w:val="24"/>
        </w:rPr>
        <w:t xml:space="preserve">, J. P. (1999). Beyond the North-South divide: the two tales of world poverty. </w:t>
      </w:r>
      <w:r w:rsidRPr="006F5D71">
        <w:rPr>
          <w:rFonts w:eastAsia="Times New Roman" w:cs="Times New Roman"/>
          <w:i/>
          <w:iCs/>
          <w:color w:val="000000" w:themeColor="text1"/>
          <w:szCs w:val="24"/>
        </w:rPr>
        <w:t>Third World Quarterly</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20</w:t>
      </w:r>
      <w:r w:rsidRPr="006F5D71">
        <w:rPr>
          <w:rFonts w:eastAsia="Times New Roman" w:cs="Times New Roman"/>
          <w:color w:val="000000" w:themeColor="text1"/>
          <w:szCs w:val="24"/>
        </w:rPr>
        <w:t>(4), 723-742.</w:t>
      </w:r>
    </w:p>
    <w:p w14:paraId="265D319B"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Tong, T. W., &amp; Li, J. (2008). Real options and MNE strategies in Asia Pacific. </w:t>
      </w:r>
      <w:r w:rsidRPr="006F5D71">
        <w:rPr>
          <w:rFonts w:eastAsia="Times New Roman" w:cs="Times New Roman"/>
          <w:i/>
          <w:iCs/>
          <w:color w:val="000000" w:themeColor="text1"/>
          <w:szCs w:val="24"/>
        </w:rPr>
        <w:t>Asia Pacific Journal of Management</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25</w:t>
      </w:r>
      <w:r w:rsidRPr="006F5D71">
        <w:rPr>
          <w:rFonts w:eastAsia="Times New Roman" w:cs="Times New Roman"/>
          <w:color w:val="000000" w:themeColor="text1"/>
          <w:szCs w:val="24"/>
        </w:rPr>
        <w:t>(1), 153-169.</w:t>
      </w:r>
    </w:p>
    <w:p w14:paraId="6044C5DF"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Ufere</w:t>
      </w:r>
      <w:proofErr w:type="spellEnd"/>
      <w:r w:rsidRPr="006F5D71">
        <w:rPr>
          <w:rFonts w:eastAsia="Times New Roman" w:cs="Times New Roman"/>
          <w:color w:val="000000" w:themeColor="text1"/>
          <w:szCs w:val="24"/>
        </w:rPr>
        <w:t xml:space="preserve">, N., Gaskin, J., Perelli, S., Somers, A., &amp; Boland Jr, R. (2020). Why is bribery pervasive among firms in sub-Saharan African countries? Multi-industry empirical evidence of organizational isomorphism. </w:t>
      </w:r>
      <w:r w:rsidRPr="006F5D71">
        <w:rPr>
          <w:rFonts w:eastAsia="Times New Roman" w:cs="Times New Roman"/>
          <w:i/>
          <w:iCs/>
          <w:color w:val="000000" w:themeColor="text1"/>
          <w:szCs w:val="24"/>
        </w:rPr>
        <w:t>Journal of Business Research</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108</w:t>
      </w:r>
      <w:r w:rsidRPr="006F5D71">
        <w:rPr>
          <w:rFonts w:eastAsia="Times New Roman" w:cs="Times New Roman"/>
          <w:color w:val="000000" w:themeColor="text1"/>
          <w:szCs w:val="24"/>
        </w:rPr>
        <w:t>, 92-104.</w:t>
      </w:r>
    </w:p>
    <w:p w14:paraId="4967EF8D" w14:textId="77777777" w:rsidR="00EA4439" w:rsidRPr="006F5D71" w:rsidRDefault="00EA4439" w:rsidP="009311A1">
      <w:pPr>
        <w:spacing w:after="0" w:line="240" w:lineRule="auto"/>
        <w:ind w:left="450" w:hanging="450"/>
        <w:jc w:val="both"/>
        <w:rPr>
          <w:rStyle w:val="selectable"/>
          <w:rFonts w:cs="Times New Roman"/>
          <w:color w:val="000000" w:themeColor="text1"/>
          <w:szCs w:val="24"/>
        </w:rPr>
      </w:pPr>
      <w:r w:rsidRPr="006F5D71">
        <w:rPr>
          <w:rStyle w:val="selectable"/>
          <w:rFonts w:cs="Times New Roman"/>
          <w:color w:val="000000" w:themeColor="text1"/>
          <w:szCs w:val="24"/>
        </w:rPr>
        <w:t>UNCTAD. (2007). World Investment Report 2007 | UNCTAD. Retrieved 16 December 2021, from https://unctad.org/system/files/official-document/wir2008p1_en.pdf#page=3</w:t>
      </w:r>
    </w:p>
    <w:p w14:paraId="335DD182" w14:textId="77777777" w:rsidR="00EA4439" w:rsidRPr="006F5D71" w:rsidRDefault="00EA4439" w:rsidP="009311A1">
      <w:pPr>
        <w:spacing w:after="0" w:line="240" w:lineRule="auto"/>
        <w:ind w:left="450" w:hanging="450"/>
        <w:jc w:val="both"/>
        <w:rPr>
          <w:rStyle w:val="selectable"/>
          <w:rFonts w:cs="Times New Roman"/>
          <w:color w:val="000000" w:themeColor="text1"/>
          <w:szCs w:val="24"/>
        </w:rPr>
      </w:pPr>
      <w:r w:rsidRPr="006F5D71">
        <w:rPr>
          <w:rStyle w:val="selectable"/>
          <w:rFonts w:cs="Times New Roman"/>
          <w:color w:val="000000" w:themeColor="text1"/>
          <w:szCs w:val="24"/>
        </w:rPr>
        <w:lastRenderedPageBreak/>
        <w:t>UNCTAD. (2019). World Investment Report 2019 | UNCTAD. Retrieved 2 August 2021, from https://unctad.org/webflyer/world-investment-report-2019.</w:t>
      </w:r>
    </w:p>
    <w:p w14:paraId="313B4789" w14:textId="77777777" w:rsidR="00EA4439" w:rsidRPr="006F5D71" w:rsidRDefault="00EA4439" w:rsidP="009311A1">
      <w:pPr>
        <w:spacing w:after="0" w:line="240" w:lineRule="auto"/>
        <w:ind w:left="450" w:hanging="450"/>
        <w:jc w:val="both"/>
        <w:rPr>
          <w:rStyle w:val="selectable"/>
          <w:rFonts w:cs="Times New Roman"/>
          <w:color w:val="000000" w:themeColor="text1"/>
          <w:szCs w:val="24"/>
        </w:rPr>
      </w:pPr>
      <w:r w:rsidRPr="006F5D71">
        <w:rPr>
          <w:rStyle w:val="selectable"/>
          <w:rFonts w:cs="Times New Roman"/>
          <w:color w:val="000000" w:themeColor="text1"/>
          <w:szCs w:val="24"/>
        </w:rPr>
        <w:t>UNCTAD. (2020). World Investment Report 2020 | UNCTAD. Retrieved 1 August 2021, from https://unctad.org/webflyer/world-investment-report-2020.</w:t>
      </w:r>
    </w:p>
    <w:p w14:paraId="4A342E68"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USMPI (2019), U.S Migration Policy Institute Report-2019, https://www.migrationpolicy.org/article/.</w:t>
      </w:r>
    </w:p>
    <w:p w14:paraId="4EE52B3D"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it-IT"/>
        </w:rPr>
        <w:t xml:space="preserve">Vassolo, R. S., Anand, J., &amp; Folta, T. B. (2004). </w:t>
      </w:r>
      <w:r w:rsidRPr="006F5D71">
        <w:rPr>
          <w:rFonts w:eastAsia="Times New Roman" w:cs="Times New Roman"/>
          <w:color w:val="000000" w:themeColor="text1"/>
          <w:szCs w:val="24"/>
        </w:rPr>
        <w:t xml:space="preserve">Non‐additivity in portfolios of exploration activities: A real options‐based analysis of equity alliances in biotechnology. </w:t>
      </w:r>
      <w:r w:rsidRPr="006F5D71">
        <w:rPr>
          <w:rFonts w:eastAsia="Times New Roman" w:cs="Times New Roman"/>
          <w:i/>
          <w:iCs/>
          <w:color w:val="000000" w:themeColor="text1"/>
          <w:szCs w:val="24"/>
        </w:rPr>
        <w:t>Strategic Management Journal</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25</w:t>
      </w:r>
      <w:r w:rsidRPr="006F5D71">
        <w:rPr>
          <w:rFonts w:eastAsia="Times New Roman" w:cs="Times New Roman"/>
          <w:color w:val="000000" w:themeColor="text1"/>
          <w:szCs w:val="24"/>
        </w:rPr>
        <w:t>(11), 1045-1061.</w:t>
      </w:r>
    </w:p>
    <w:p w14:paraId="48B8ACBC"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proofErr w:type="spellStart"/>
      <w:r w:rsidRPr="006F5D71">
        <w:rPr>
          <w:rFonts w:eastAsia="Times New Roman" w:cs="Times New Roman"/>
          <w:color w:val="000000" w:themeColor="text1"/>
          <w:szCs w:val="24"/>
        </w:rPr>
        <w:t>Vural-Yavas</w:t>
      </w:r>
      <w:proofErr w:type="spellEnd"/>
      <w:r w:rsidRPr="006F5D71">
        <w:rPr>
          <w:rFonts w:eastAsia="Times New Roman" w:cs="Times New Roman"/>
          <w:color w:val="000000" w:themeColor="text1"/>
          <w:szCs w:val="24"/>
        </w:rPr>
        <w:t xml:space="preserve">, Ç. (2020). Corporate risk-taking in developed countries: The influence of economic policy uncertainty and macroeconomic conditions. </w:t>
      </w:r>
      <w:r w:rsidRPr="006F5D71">
        <w:rPr>
          <w:rFonts w:eastAsia="Times New Roman" w:cs="Times New Roman"/>
          <w:i/>
          <w:iCs/>
          <w:color w:val="000000" w:themeColor="text1"/>
          <w:szCs w:val="24"/>
        </w:rPr>
        <w:t>Journal of Multinational Financial Management</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54</w:t>
      </w:r>
      <w:r w:rsidRPr="006F5D71">
        <w:rPr>
          <w:rFonts w:eastAsia="Times New Roman" w:cs="Times New Roman"/>
          <w:color w:val="000000" w:themeColor="text1"/>
          <w:szCs w:val="24"/>
        </w:rPr>
        <w:t>, 100616.</w:t>
      </w:r>
    </w:p>
    <w:p w14:paraId="6FC77F83"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Wan, F., Williamson, P., &amp; Pandit, N. R. (2020). MNE liability of foreignness versus local firm-specific advantages: The case of the Chinese management software industry. </w:t>
      </w:r>
      <w:r w:rsidRPr="006F5D71">
        <w:rPr>
          <w:rFonts w:eastAsia="Times New Roman" w:cs="Times New Roman"/>
          <w:i/>
          <w:iCs/>
          <w:color w:val="000000" w:themeColor="text1"/>
          <w:szCs w:val="24"/>
        </w:rPr>
        <w:t>International Business Review</w:t>
      </w:r>
      <w:r w:rsidRPr="006F5D71">
        <w:rPr>
          <w:rFonts w:eastAsia="Times New Roman" w:cs="Times New Roman"/>
          <w:color w:val="000000" w:themeColor="text1"/>
          <w:szCs w:val="24"/>
        </w:rPr>
        <w:t xml:space="preserve">, </w:t>
      </w:r>
      <w:r w:rsidRPr="006F5D71">
        <w:rPr>
          <w:rFonts w:eastAsia="Times New Roman" w:cs="Times New Roman"/>
          <w:i/>
          <w:iCs/>
          <w:color w:val="000000" w:themeColor="text1"/>
          <w:szCs w:val="24"/>
        </w:rPr>
        <w:t>29</w:t>
      </w:r>
      <w:r w:rsidRPr="006F5D71">
        <w:rPr>
          <w:rFonts w:eastAsia="Times New Roman" w:cs="Times New Roman"/>
          <w:color w:val="000000" w:themeColor="text1"/>
          <w:szCs w:val="24"/>
        </w:rPr>
        <w:t>(1), 101623.</w:t>
      </w:r>
    </w:p>
    <w:p w14:paraId="5373AEEA"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bookmarkStart w:id="5" w:name="_Hlk79163476"/>
      <w:r w:rsidRPr="006F5D71">
        <w:rPr>
          <w:rFonts w:eastAsia="Times New Roman" w:cs="Times New Roman"/>
          <w:color w:val="000000" w:themeColor="text1"/>
          <w:szCs w:val="24"/>
        </w:rPr>
        <w:t xml:space="preserve">Wang, C., Hong, J., </w:t>
      </w:r>
      <w:proofErr w:type="spellStart"/>
      <w:r w:rsidRPr="006F5D71">
        <w:rPr>
          <w:rFonts w:eastAsia="Times New Roman" w:cs="Times New Roman"/>
          <w:color w:val="000000" w:themeColor="text1"/>
          <w:szCs w:val="24"/>
        </w:rPr>
        <w:t>Kafouros</w:t>
      </w:r>
      <w:proofErr w:type="spellEnd"/>
      <w:r w:rsidRPr="006F5D71">
        <w:rPr>
          <w:rFonts w:eastAsia="Times New Roman" w:cs="Times New Roman"/>
          <w:color w:val="000000" w:themeColor="text1"/>
          <w:szCs w:val="24"/>
        </w:rPr>
        <w:t>, M., &amp; Boateng</w:t>
      </w:r>
      <w:bookmarkEnd w:id="5"/>
      <w:r w:rsidRPr="006F5D71">
        <w:rPr>
          <w:rFonts w:eastAsia="Times New Roman" w:cs="Times New Roman"/>
          <w:color w:val="000000" w:themeColor="text1"/>
          <w:szCs w:val="24"/>
        </w:rPr>
        <w:t xml:space="preserve">, A. (2012). What drives outward FDI of Chinese firms? Testing the explanatory power of three theoretical frameworks. </w:t>
      </w:r>
      <w:r w:rsidRPr="006F5D71">
        <w:rPr>
          <w:rFonts w:eastAsia="Times New Roman" w:cs="Times New Roman"/>
          <w:i/>
          <w:iCs/>
          <w:color w:val="000000" w:themeColor="text1"/>
          <w:szCs w:val="24"/>
        </w:rPr>
        <w:t>International Business Review</w:t>
      </w:r>
      <w:r w:rsidRPr="006F5D71">
        <w:rPr>
          <w:rFonts w:eastAsia="Times New Roman" w:cs="Times New Roman"/>
          <w:color w:val="000000" w:themeColor="text1"/>
          <w:szCs w:val="24"/>
        </w:rPr>
        <w:t>, 21(3): 425-438.</w:t>
      </w:r>
    </w:p>
    <w:p w14:paraId="180A1742" w14:textId="77777777" w:rsidR="00EA4439" w:rsidRPr="006F5D71" w:rsidRDefault="00EA4439" w:rsidP="009311A1">
      <w:pPr>
        <w:spacing w:after="0" w:line="240" w:lineRule="auto"/>
        <w:ind w:left="450" w:hanging="450"/>
        <w:jc w:val="both"/>
        <w:rPr>
          <w:rStyle w:val="selectable"/>
          <w:rFonts w:cs="Times New Roman"/>
          <w:color w:val="000000" w:themeColor="text1"/>
          <w:szCs w:val="24"/>
        </w:rPr>
      </w:pPr>
      <w:r w:rsidRPr="006F5D71">
        <w:rPr>
          <w:rStyle w:val="selectable"/>
          <w:rFonts w:cs="Times New Roman"/>
          <w:color w:val="000000" w:themeColor="text1"/>
          <w:szCs w:val="24"/>
        </w:rPr>
        <w:t xml:space="preserve">Wentz, L., &amp; </w:t>
      </w:r>
      <w:proofErr w:type="spellStart"/>
      <w:r w:rsidRPr="006F5D71">
        <w:rPr>
          <w:rStyle w:val="selectable"/>
          <w:rFonts w:cs="Times New Roman"/>
          <w:color w:val="000000" w:themeColor="text1"/>
          <w:szCs w:val="24"/>
        </w:rPr>
        <w:t>Lwentz</w:t>
      </w:r>
      <w:proofErr w:type="spellEnd"/>
      <w:r w:rsidRPr="006F5D71">
        <w:rPr>
          <w:rStyle w:val="selectable"/>
          <w:rFonts w:cs="Times New Roman"/>
          <w:color w:val="000000" w:themeColor="text1"/>
          <w:szCs w:val="24"/>
        </w:rPr>
        <w:t xml:space="preserve">. (2009). </w:t>
      </w:r>
      <w:proofErr w:type="spellStart"/>
      <w:r w:rsidRPr="006F5D71">
        <w:rPr>
          <w:rStyle w:val="selectable"/>
          <w:rFonts w:cs="Times New Roman"/>
          <w:color w:val="000000" w:themeColor="text1"/>
          <w:szCs w:val="24"/>
        </w:rPr>
        <w:t>Tecate</w:t>
      </w:r>
      <w:proofErr w:type="spellEnd"/>
      <w:r w:rsidRPr="006F5D71">
        <w:rPr>
          <w:rStyle w:val="selectable"/>
          <w:rFonts w:cs="Times New Roman"/>
          <w:color w:val="000000" w:themeColor="text1"/>
          <w:szCs w:val="24"/>
        </w:rPr>
        <w:t xml:space="preserve"> Stays True to its Mexican Roots in U.S. Marketing Efforts. Retrieved 5 August 2021, from https://adage.com/article/hispanic-marketing/tecate-beer-stays-true-mexican-roots-u-s-marketing/136371.</w:t>
      </w:r>
    </w:p>
    <w:p w14:paraId="562B070E"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cs="Times New Roman"/>
          <w:color w:val="000000" w:themeColor="text1"/>
          <w:szCs w:val="24"/>
        </w:rPr>
        <w:t>World Economic Forum, (2015) 15 facts about the Indian diaspora in Africa https://www.weforum.org/agenda/2015/06/15-facts-about-the-indian-diaspora-in-africa/.</w:t>
      </w:r>
    </w:p>
    <w:p w14:paraId="4BBA9A3F" w14:textId="77777777" w:rsidR="00EA4439"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Wu, J. (2013), Diverse Institutional Environments and Product Innovation of Emerging Market Firms, </w:t>
      </w:r>
      <w:r w:rsidRPr="006F5D71">
        <w:rPr>
          <w:rFonts w:eastAsia="Times New Roman" w:cs="Times New Roman"/>
          <w:i/>
          <w:color w:val="000000" w:themeColor="text1"/>
          <w:szCs w:val="24"/>
        </w:rPr>
        <w:t>Management International Review</w:t>
      </w:r>
      <w:r w:rsidRPr="006F5D71">
        <w:rPr>
          <w:rFonts w:eastAsia="Times New Roman" w:cs="Times New Roman"/>
          <w:color w:val="000000" w:themeColor="text1"/>
          <w:szCs w:val="24"/>
        </w:rPr>
        <w:t>, 53:39–59.</w:t>
      </w:r>
    </w:p>
    <w:p w14:paraId="50BC4DE2"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EA4439">
        <w:rPr>
          <w:rFonts w:eastAsia="Times New Roman" w:cs="Times New Roman"/>
          <w:color w:val="000000" w:themeColor="text1"/>
          <w:szCs w:val="24"/>
        </w:rPr>
        <w:t xml:space="preserve">Wu, J., Wang, C., Hong, J., </w:t>
      </w:r>
      <w:proofErr w:type="spellStart"/>
      <w:r w:rsidRPr="00EA4439">
        <w:rPr>
          <w:rFonts w:eastAsia="Times New Roman" w:cs="Times New Roman"/>
          <w:color w:val="000000" w:themeColor="text1"/>
          <w:szCs w:val="24"/>
        </w:rPr>
        <w:t>Piperopoulos</w:t>
      </w:r>
      <w:proofErr w:type="spellEnd"/>
      <w:r w:rsidRPr="00EA4439">
        <w:rPr>
          <w:rFonts w:eastAsia="Times New Roman" w:cs="Times New Roman"/>
          <w:color w:val="000000" w:themeColor="text1"/>
          <w:szCs w:val="24"/>
        </w:rPr>
        <w:t xml:space="preserve">, P., &amp; </w:t>
      </w:r>
      <w:proofErr w:type="spellStart"/>
      <w:r w:rsidRPr="00EA4439">
        <w:rPr>
          <w:rFonts w:eastAsia="Times New Roman" w:cs="Times New Roman"/>
          <w:color w:val="000000" w:themeColor="text1"/>
          <w:szCs w:val="24"/>
        </w:rPr>
        <w:t>Zhuo</w:t>
      </w:r>
      <w:proofErr w:type="spellEnd"/>
      <w:r w:rsidRPr="00EA4439">
        <w:rPr>
          <w:rFonts w:eastAsia="Times New Roman" w:cs="Times New Roman"/>
          <w:color w:val="000000" w:themeColor="text1"/>
          <w:szCs w:val="24"/>
        </w:rPr>
        <w:t xml:space="preserve">, S. (2016). Internationalization and innovation performance of emerging market enterprises: The role of host-country institutional development. </w:t>
      </w:r>
      <w:r w:rsidRPr="00EA4439">
        <w:rPr>
          <w:rFonts w:eastAsia="Times New Roman" w:cs="Times New Roman"/>
          <w:i/>
          <w:iCs/>
          <w:color w:val="000000" w:themeColor="text1"/>
          <w:szCs w:val="24"/>
        </w:rPr>
        <w:t>Journal of World Business</w:t>
      </w:r>
      <w:r w:rsidRPr="00EA4439">
        <w:rPr>
          <w:rFonts w:eastAsia="Times New Roman" w:cs="Times New Roman"/>
          <w:color w:val="000000" w:themeColor="text1"/>
          <w:szCs w:val="24"/>
        </w:rPr>
        <w:t>, 51(2), 251-263.</w:t>
      </w:r>
    </w:p>
    <w:p w14:paraId="6304BFA0"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FD5849">
        <w:rPr>
          <w:rFonts w:eastAsia="Times New Roman" w:cs="Times New Roman"/>
          <w:color w:val="000000" w:themeColor="text1"/>
          <w:szCs w:val="24"/>
          <w:lang w:val="pt-PT"/>
        </w:rPr>
        <w:t xml:space="preserve">Xu, D., Zhou, C., &amp; Phan, P. H. (2010). </w:t>
      </w:r>
      <w:r w:rsidRPr="006F5D71">
        <w:rPr>
          <w:rFonts w:eastAsia="Times New Roman" w:cs="Times New Roman"/>
          <w:color w:val="000000" w:themeColor="text1"/>
          <w:szCs w:val="24"/>
        </w:rPr>
        <w:t xml:space="preserve">A real options perspective on sequential acquisitions in China. </w:t>
      </w:r>
      <w:r w:rsidRPr="006F5D71">
        <w:rPr>
          <w:rFonts w:eastAsia="Times New Roman" w:cs="Times New Roman"/>
          <w:i/>
          <w:color w:val="000000" w:themeColor="text1"/>
          <w:szCs w:val="24"/>
        </w:rPr>
        <w:t>Journal of International Business Studies</w:t>
      </w:r>
      <w:r w:rsidRPr="006F5D71">
        <w:rPr>
          <w:rFonts w:eastAsia="Times New Roman" w:cs="Times New Roman"/>
          <w:color w:val="000000" w:themeColor="text1"/>
          <w:szCs w:val="24"/>
        </w:rPr>
        <w:t xml:space="preserve"> 41 (1), 166-174.</w:t>
      </w:r>
    </w:p>
    <w:p w14:paraId="483845E0"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Yi, C., Zhan, Y., Zhang, J., &amp; Zhao, X. (2021). Ownership structure and OFDI by EMNES: the moderating effects of international experience and migrant networks. </w:t>
      </w:r>
      <w:r w:rsidRPr="006F5D71">
        <w:rPr>
          <w:rFonts w:eastAsia="Times New Roman" w:cs="Times New Roman"/>
          <w:i/>
          <w:iCs/>
          <w:color w:val="000000" w:themeColor="text1"/>
          <w:szCs w:val="24"/>
        </w:rPr>
        <w:t>International Journal of Emerging Markets</w:t>
      </w:r>
      <w:r w:rsidRPr="006F5D71">
        <w:rPr>
          <w:rFonts w:eastAsia="Times New Roman" w:cs="Times New Roman"/>
          <w:color w:val="000000" w:themeColor="text1"/>
          <w:szCs w:val="24"/>
        </w:rPr>
        <w:t xml:space="preserve">. </w:t>
      </w:r>
    </w:p>
    <w:p w14:paraId="31DD79AB" w14:textId="77777777" w:rsidR="00EA4439" w:rsidRPr="006F5D71" w:rsidRDefault="00EA4439" w:rsidP="009311A1">
      <w:pPr>
        <w:spacing w:after="0" w:line="240" w:lineRule="auto"/>
        <w:ind w:left="450" w:hanging="450"/>
        <w:jc w:val="both"/>
        <w:rPr>
          <w:rFonts w:eastAsia="Times New Roman" w:cs="Times New Roman"/>
          <w:color w:val="000000" w:themeColor="text1"/>
          <w:szCs w:val="24"/>
        </w:rPr>
      </w:pPr>
      <w:r w:rsidRPr="006F5D71">
        <w:rPr>
          <w:rFonts w:eastAsia="Times New Roman" w:cs="Times New Roman"/>
          <w:color w:val="000000" w:themeColor="text1"/>
          <w:szCs w:val="24"/>
        </w:rPr>
        <w:t xml:space="preserve">Zamir, F., &amp; Saeed, A. (2020). Location matters: Impact of geographical proximity to financial centers on corporate social responsibility (CSR) disclosure in emerging economies. </w:t>
      </w:r>
      <w:r w:rsidRPr="006F5D71">
        <w:rPr>
          <w:rFonts w:eastAsia="Times New Roman" w:cs="Times New Roman"/>
          <w:i/>
          <w:color w:val="000000" w:themeColor="text1"/>
          <w:szCs w:val="24"/>
        </w:rPr>
        <w:t>Asia Pacific Journal of Management</w:t>
      </w:r>
      <w:r w:rsidRPr="006F5D71">
        <w:rPr>
          <w:rFonts w:eastAsia="Times New Roman" w:cs="Times New Roman"/>
          <w:color w:val="000000" w:themeColor="text1"/>
          <w:szCs w:val="24"/>
        </w:rPr>
        <w:t>, 37, 263–295.</w:t>
      </w:r>
    </w:p>
    <w:p w14:paraId="1891600D" w14:textId="77777777" w:rsidR="00DB28D0" w:rsidRPr="006F5D71" w:rsidRDefault="00DB28D0">
      <w:pPr>
        <w:rPr>
          <w:rFonts w:cs="Times New Roman"/>
          <w:b/>
          <w:bCs/>
          <w:color w:val="000000" w:themeColor="text1"/>
          <w:szCs w:val="24"/>
        </w:rPr>
      </w:pPr>
      <w:r w:rsidRPr="006F5D71">
        <w:rPr>
          <w:rFonts w:cs="Times New Roman"/>
          <w:b/>
          <w:bCs/>
          <w:color w:val="000000" w:themeColor="text1"/>
          <w:szCs w:val="24"/>
        </w:rPr>
        <w:br w:type="page"/>
      </w:r>
    </w:p>
    <w:p w14:paraId="1C1E9EC7" w14:textId="77777777" w:rsidR="004A2E45" w:rsidRPr="006F5D71" w:rsidRDefault="00594FC4" w:rsidP="00726768">
      <w:pPr>
        <w:widowControl w:val="0"/>
        <w:autoSpaceDE w:val="0"/>
        <w:autoSpaceDN w:val="0"/>
        <w:adjustRightInd w:val="0"/>
        <w:spacing w:after="0" w:line="240" w:lineRule="auto"/>
        <w:rPr>
          <w:rFonts w:cs="Times New Roman"/>
          <w:b/>
          <w:bCs/>
          <w:color w:val="000000" w:themeColor="text1"/>
          <w:szCs w:val="24"/>
        </w:rPr>
      </w:pPr>
      <w:r w:rsidRPr="006F5D71">
        <w:rPr>
          <w:rFonts w:cs="Times New Roman"/>
          <w:b/>
          <w:bCs/>
          <w:color w:val="000000" w:themeColor="text1"/>
          <w:szCs w:val="24"/>
        </w:rPr>
        <w:lastRenderedPageBreak/>
        <w:t>Table 1</w:t>
      </w:r>
      <w:r w:rsidR="004A2E45" w:rsidRPr="006F5D71">
        <w:rPr>
          <w:rFonts w:cs="Times New Roman"/>
          <w:b/>
          <w:bCs/>
          <w:color w:val="000000" w:themeColor="text1"/>
          <w:szCs w:val="24"/>
        </w:rPr>
        <w:t>: Variable Definitions</w:t>
      </w:r>
    </w:p>
    <w:tbl>
      <w:tblPr>
        <w:tblW w:w="11498" w:type="dxa"/>
        <w:jc w:val="center"/>
        <w:tblLayout w:type="fixed"/>
        <w:tblCellMar>
          <w:left w:w="75" w:type="dxa"/>
          <w:right w:w="75" w:type="dxa"/>
        </w:tblCellMar>
        <w:tblLook w:val="0000" w:firstRow="0" w:lastRow="0" w:firstColumn="0" w:lastColumn="0" w:noHBand="0" w:noVBand="0"/>
      </w:tblPr>
      <w:tblGrid>
        <w:gridCol w:w="2160"/>
        <w:gridCol w:w="2700"/>
        <w:gridCol w:w="6638"/>
      </w:tblGrid>
      <w:tr w:rsidR="00727A9B" w:rsidRPr="006F5D71" w14:paraId="0332545F" w14:textId="77777777" w:rsidTr="00D17530">
        <w:trPr>
          <w:trHeight w:val="233"/>
          <w:jc w:val="center"/>
        </w:trPr>
        <w:tc>
          <w:tcPr>
            <w:tcW w:w="2160" w:type="dxa"/>
            <w:tcBorders>
              <w:top w:val="single" w:sz="4" w:space="0" w:color="auto"/>
              <w:bottom w:val="single" w:sz="4" w:space="0" w:color="auto"/>
            </w:tcBorders>
            <w:shd w:val="clear" w:color="auto" w:fill="auto"/>
            <w:vAlign w:val="center"/>
          </w:tcPr>
          <w:p w14:paraId="5DBDF9C7" w14:textId="77777777" w:rsidR="00C7148F" w:rsidRPr="006F5D71" w:rsidRDefault="00C7148F" w:rsidP="006446B4">
            <w:pPr>
              <w:widowControl w:val="0"/>
              <w:autoSpaceDE w:val="0"/>
              <w:autoSpaceDN w:val="0"/>
              <w:adjustRightInd w:val="0"/>
              <w:spacing w:after="0" w:line="240" w:lineRule="auto"/>
              <w:rPr>
                <w:rFonts w:cs="Times New Roman"/>
                <w:color w:val="000000" w:themeColor="text1"/>
                <w:sz w:val="20"/>
                <w:szCs w:val="20"/>
              </w:rPr>
            </w:pPr>
          </w:p>
        </w:tc>
        <w:tc>
          <w:tcPr>
            <w:tcW w:w="2700" w:type="dxa"/>
            <w:tcBorders>
              <w:top w:val="single" w:sz="4" w:space="0" w:color="auto"/>
              <w:bottom w:val="single" w:sz="4" w:space="0" w:color="auto"/>
            </w:tcBorders>
            <w:shd w:val="clear" w:color="auto" w:fill="auto"/>
            <w:vAlign w:val="center"/>
          </w:tcPr>
          <w:p w14:paraId="5C243E0E" w14:textId="77777777" w:rsidR="00C7148F" w:rsidRPr="006F5D71" w:rsidRDefault="00C7148F" w:rsidP="00D17530">
            <w:pPr>
              <w:widowControl w:val="0"/>
              <w:autoSpaceDE w:val="0"/>
              <w:autoSpaceDN w:val="0"/>
              <w:adjustRightInd w:val="0"/>
              <w:spacing w:after="0" w:line="240" w:lineRule="auto"/>
              <w:rPr>
                <w:rFonts w:cs="Times New Roman"/>
                <w:b/>
                <w:bCs/>
                <w:i/>
                <w:iCs/>
                <w:color w:val="000000" w:themeColor="text1"/>
                <w:sz w:val="20"/>
                <w:szCs w:val="20"/>
              </w:rPr>
            </w:pPr>
            <w:r w:rsidRPr="006F5D71">
              <w:rPr>
                <w:rFonts w:cs="Times New Roman"/>
                <w:b/>
                <w:bCs/>
                <w:color w:val="000000" w:themeColor="text1"/>
                <w:sz w:val="20"/>
                <w:szCs w:val="20"/>
              </w:rPr>
              <w:t>Variables</w:t>
            </w:r>
          </w:p>
        </w:tc>
        <w:tc>
          <w:tcPr>
            <w:tcW w:w="6638" w:type="dxa"/>
            <w:tcBorders>
              <w:top w:val="single" w:sz="4" w:space="0" w:color="auto"/>
              <w:bottom w:val="single" w:sz="4" w:space="0" w:color="auto"/>
            </w:tcBorders>
            <w:shd w:val="clear" w:color="auto" w:fill="auto"/>
            <w:vAlign w:val="center"/>
          </w:tcPr>
          <w:p w14:paraId="756D751A" w14:textId="77777777" w:rsidR="00C7148F" w:rsidRPr="006F5D71" w:rsidRDefault="00C7148F" w:rsidP="006446B4">
            <w:pPr>
              <w:widowControl w:val="0"/>
              <w:autoSpaceDE w:val="0"/>
              <w:autoSpaceDN w:val="0"/>
              <w:adjustRightInd w:val="0"/>
              <w:spacing w:after="0" w:line="240" w:lineRule="auto"/>
              <w:jc w:val="center"/>
              <w:rPr>
                <w:rFonts w:cs="Times New Roman"/>
                <w:b/>
                <w:bCs/>
                <w:color w:val="000000" w:themeColor="text1"/>
                <w:sz w:val="20"/>
                <w:szCs w:val="20"/>
              </w:rPr>
            </w:pPr>
            <w:r w:rsidRPr="006F5D71">
              <w:rPr>
                <w:rFonts w:cs="Times New Roman"/>
                <w:b/>
                <w:bCs/>
                <w:color w:val="000000" w:themeColor="text1"/>
                <w:sz w:val="20"/>
                <w:szCs w:val="20"/>
              </w:rPr>
              <w:t>Definitions</w:t>
            </w:r>
          </w:p>
        </w:tc>
      </w:tr>
      <w:tr w:rsidR="00727A9B" w:rsidRPr="006F5D71" w14:paraId="70F868AF" w14:textId="77777777" w:rsidTr="00D17530">
        <w:trPr>
          <w:trHeight w:val="217"/>
          <w:jc w:val="center"/>
        </w:trPr>
        <w:tc>
          <w:tcPr>
            <w:tcW w:w="2160" w:type="dxa"/>
            <w:tcBorders>
              <w:top w:val="single" w:sz="4" w:space="0" w:color="auto"/>
              <w:bottom w:val="single" w:sz="4" w:space="0" w:color="auto"/>
            </w:tcBorders>
            <w:shd w:val="clear" w:color="auto" w:fill="auto"/>
            <w:vAlign w:val="center"/>
          </w:tcPr>
          <w:p w14:paraId="3CDB5F9C" w14:textId="77777777" w:rsidR="00C7148F" w:rsidRPr="006F5D71" w:rsidRDefault="00C7148F" w:rsidP="006446B4">
            <w:pPr>
              <w:widowControl w:val="0"/>
              <w:autoSpaceDE w:val="0"/>
              <w:autoSpaceDN w:val="0"/>
              <w:adjustRightInd w:val="0"/>
              <w:spacing w:after="0" w:line="240" w:lineRule="auto"/>
              <w:rPr>
                <w:rFonts w:cs="Times New Roman"/>
                <w:b/>
                <w:bCs/>
                <w:color w:val="000000" w:themeColor="text1"/>
                <w:sz w:val="20"/>
                <w:szCs w:val="20"/>
              </w:rPr>
            </w:pPr>
            <w:r w:rsidRPr="006F5D71">
              <w:rPr>
                <w:rFonts w:cs="Times New Roman"/>
                <w:b/>
                <w:bCs/>
                <w:color w:val="000000" w:themeColor="text1"/>
                <w:sz w:val="20"/>
                <w:szCs w:val="20"/>
              </w:rPr>
              <w:t>Firm Survival</w:t>
            </w:r>
          </w:p>
        </w:tc>
        <w:tc>
          <w:tcPr>
            <w:tcW w:w="2700" w:type="dxa"/>
            <w:tcBorders>
              <w:top w:val="single" w:sz="4" w:space="0" w:color="auto"/>
              <w:bottom w:val="single" w:sz="4" w:space="0" w:color="auto"/>
            </w:tcBorders>
            <w:shd w:val="clear" w:color="auto" w:fill="auto"/>
            <w:vAlign w:val="center"/>
          </w:tcPr>
          <w:p w14:paraId="46EFA5C3" w14:textId="77777777" w:rsidR="00C7148F" w:rsidRPr="006F5D71" w:rsidRDefault="00C7148F" w:rsidP="00D17530">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Instant Hazard Rate</w:t>
            </w:r>
          </w:p>
        </w:tc>
        <w:tc>
          <w:tcPr>
            <w:tcW w:w="6638" w:type="dxa"/>
            <w:tcBorders>
              <w:top w:val="single" w:sz="4" w:space="0" w:color="auto"/>
              <w:bottom w:val="single" w:sz="4" w:space="0" w:color="auto"/>
            </w:tcBorders>
            <w:shd w:val="clear" w:color="auto" w:fill="auto"/>
            <w:vAlign w:val="center"/>
          </w:tcPr>
          <w:p w14:paraId="72B6FC42" w14:textId="77777777" w:rsidR="00C7148F" w:rsidRPr="006F5D71" w:rsidRDefault="00C7148F" w:rsidP="00163B9C">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Instant hazard rates based on duration (difference between current year and founding year) and event (exit dummy which takes 1 for complete withdrawal</w:t>
            </w:r>
            <w:r w:rsidR="00163B9C">
              <w:rPr>
                <w:rFonts w:cs="Times New Roman"/>
                <w:color w:val="000000" w:themeColor="text1"/>
                <w:sz w:val="20"/>
                <w:szCs w:val="20"/>
              </w:rPr>
              <w:t>,</w:t>
            </w:r>
            <w:r w:rsidRPr="006F5D71">
              <w:rPr>
                <w:rFonts w:cs="Times New Roman"/>
                <w:color w:val="000000" w:themeColor="text1"/>
                <w:sz w:val="20"/>
                <w:szCs w:val="20"/>
              </w:rPr>
              <w:t xml:space="preserve"> 0</w:t>
            </w:r>
            <w:r w:rsidR="00163B9C">
              <w:rPr>
                <w:rFonts w:cs="Times New Roman"/>
                <w:color w:val="000000" w:themeColor="text1"/>
                <w:sz w:val="20"/>
                <w:szCs w:val="20"/>
              </w:rPr>
              <w:t xml:space="preserve"> otherwise</w:t>
            </w:r>
            <w:r w:rsidRPr="006F5D71">
              <w:rPr>
                <w:rFonts w:cs="Times New Roman"/>
                <w:color w:val="000000" w:themeColor="text1"/>
                <w:sz w:val="20"/>
                <w:szCs w:val="20"/>
              </w:rPr>
              <w:t>) variable</w:t>
            </w:r>
            <w:r w:rsidR="00163B9C">
              <w:rPr>
                <w:rFonts w:cs="Times New Roman"/>
                <w:color w:val="000000" w:themeColor="text1"/>
                <w:sz w:val="20"/>
                <w:szCs w:val="20"/>
              </w:rPr>
              <w:t>.</w:t>
            </w:r>
          </w:p>
        </w:tc>
      </w:tr>
      <w:tr w:rsidR="00727A9B" w:rsidRPr="006F5D71" w14:paraId="17C8FF99" w14:textId="77777777" w:rsidTr="00D17530">
        <w:trPr>
          <w:trHeight w:val="234"/>
          <w:jc w:val="center"/>
        </w:trPr>
        <w:tc>
          <w:tcPr>
            <w:tcW w:w="2160" w:type="dxa"/>
            <w:vMerge w:val="restart"/>
            <w:tcBorders>
              <w:top w:val="single" w:sz="4" w:space="0" w:color="auto"/>
            </w:tcBorders>
            <w:shd w:val="clear" w:color="auto" w:fill="auto"/>
            <w:vAlign w:val="center"/>
          </w:tcPr>
          <w:p w14:paraId="04D4F365" w14:textId="77777777" w:rsidR="00C7148F" w:rsidRPr="006F5D71" w:rsidRDefault="00C7148F" w:rsidP="00163B9C">
            <w:pPr>
              <w:widowControl w:val="0"/>
              <w:autoSpaceDE w:val="0"/>
              <w:autoSpaceDN w:val="0"/>
              <w:adjustRightInd w:val="0"/>
              <w:spacing w:after="0" w:line="240" w:lineRule="auto"/>
              <w:rPr>
                <w:rFonts w:cs="Times New Roman"/>
                <w:b/>
                <w:bCs/>
                <w:color w:val="000000" w:themeColor="text1"/>
                <w:sz w:val="20"/>
                <w:szCs w:val="20"/>
              </w:rPr>
            </w:pPr>
            <w:r w:rsidRPr="006F5D71">
              <w:rPr>
                <w:rFonts w:cs="Times New Roman"/>
                <w:b/>
                <w:bCs/>
                <w:color w:val="000000" w:themeColor="text1"/>
                <w:sz w:val="20"/>
                <w:szCs w:val="20"/>
              </w:rPr>
              <w:t>Firm</w:t>
            </w:r>
            <w:r w:rsidR="00163B9C">
              <w:rPr>
                <w:rFonts w:cs="Times New Roman"/>
                <w:b/>
                <w:bCs/>
                <w:color w:val="000000" w:themeColor="text1"/>
                <w:sz w:val="20"/>
                <w:szCs w:val="20"/>
              </w:rPr>
              <w:t>-s</w:t>
            </w:r>
            <w:r w:rsidRPr="006F5D71">
              <w:rPr>
                <w:rFonts w:cs="Times New Roman"/>
                <w:b/>
                <w:bCs/>
                <w:color w:val="000000" w:themeColor="text1"/>
                <w:sz w:val="20"/>
                <w:szCs w:val="20"/>
              </w:rPr>
              <w:t>pecific Advantages</w:t>
            </w:r>
          </w:p>
        </w:tc>
        <w:tc>
          <w:tcPr>
            <w:tcW w:w="2700" w:type="dxa"/>
            <w:tcBorders>
              <w:top w:val="single" w:sz="4" w:space="0" w:color="auto"/>
            </w:tcBorders>
            <w:shd w:val="clear" w:color="auto" w:fill="auto"/>
            <w:vAlign w:val="center"/>
          </w:tcPr>
          <w:p w14:paraId="788A19DE" w14:textId="77777777" w:rsidR="00C7148F" w:rsidRPr="006F5D71" w:rsidRDefault="00C7148F" w:rsidP="00D17530">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Absor</w:t>
            </w:r>
            <w:r w:rsidR="00D17530" w:rsidRPr="006F5D71">
              <w:rPr>
                <w:rFonts w:cs="Times New Roman"/>
                <w:i/>
                <w:iCs/>
                <w:color w:val="000000" w:themeColor="text1"/>
                <w:sz w:val="20"/>
                <w:szCs w:val="20"/>
              </w:rPr>
              <w:t>ptive C</w:t>
            </w:r>
            <w:r w:rsidRPr="006F5D71">
              <w:rPr>
                <w:rFonts w:cs="Times New Roman"/>
                <w:i/>
                <w:iCs/>
                <w:color w:val="000000" w:themeColor="text1"/>
                <w:sz w:val="20"/>
                <w:szCs w:val="20"/>
              </w:rPr>
              <w:t>apacity</w:t>
            </w:r>
          </w:p>
        </w:tc>
        <w:tc>
          <w:tcPr>
            <w:tcW w:w="6638" w:type="dxa"/>
            <w:tcBorders>
              <w:top w:val="single" w:sz="4" w:space="0" w:color="auto"/>
            </w:tcBorders>
            <w:shd w:val="clear" w:color="auto" w:fill="auto"/>
            <w:vAlign w:val="center"/>
          </w:tcPr>
          <w:p w14:paraId="650F51FB" w14:textId="77777777" w:rsidR="00C7148F" w:rsidRPr="006F5D71" w:rsidRDefault="00C7148F" w:rsidP="006446B4">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 xml:space="preserve">R&amp;D expenditures divided by total revenues. </w:t>
            </w:r>
          </w:p>
        </w:tc>
      </w:tr>
      <w:tr w:rsidR="00727A9B" w:rsidRPr="006F5D71" w14:paraId="7A0A7962" w14:textId="77777777" w:rsidTr="00D17530">
        <w:trPr>
          <w:trHeight w:val="460"/>
          <w:jc w:val="center"/>
        </w:trPr>
        <w:tc>
          <w:tcPr>
            <w:tcW w:w="2160" w:type="dxa"/>
            <w:vMerge/>
            <w:shd w:val="clear" w:color="auto" w:fill="auto"/>
            <w:vAlign w:val="center"/>
          </w:tcPr>
          <w:p w14:paraId="15025C43" w14:textId="77777777" w:rsidR="00C7148F" w:rsidRPr="006F5D71" w:rsidRDefault="00C7148F" w:rsidP="006446B4">
            <w:pPr>
              <w:widowControl w:val="0"/>
              <w:autoSpaceDE w:val="0"/>
              <w:autoSpaceDN w:val="0"/>
              <w:adjustRightInd w:val="0"/>
              <w:spacing w:after="0" w:line="240" w:lineRule="auto"/>
              <w:rPr>
                <w:rFonts w:cs="Times New Roman"/>
                <w:b/>
                <w:bCs/>
                <w:color w:val="000000" w:themeColor="text1"/>
                <w:sz w:val="20"/>
                <w:szCs w:val="20"/>
              </w:rPr>
            </w:pPr>
          </w:p>
        </w:tc>
        <w:tc>
          <w:tcPr>
            <w:tcW w:w="2700" w:type="dxa"/>
            <w:shd w:val="clear" w:color="auto" w:fill="auto"/>
            <w:vAlign w:val="center"/>
          </w:tcPr>
          <w:p w14:paraId="169A3B5A" w14:textId="77777777" w:rsidR="00C7148F" w:rsidRPr="006F5D71" w:rsidRDefault="00C7148F" w:rsidP="00D17530">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 xml:space="preserve">Absorptive Capacity Leader </w:t>
            </w:r>
          </w:p>
        </w:tc>
        <w:tc>
          <w:tcPr>
            <w:tcW w:w="6638" w:type="dxa"/>
            <w:shd w:val="clear" w:color="auto" w:fill="auto"/>
            <w:vAlign w:val="center"/>
          </w:tcPr>
          <w:p w14:paraId="35E3AA56" w14:textId="77777777" w:rsidR="00C7148F" w:rsidRPr="006F5D71" w:rsidRDefault="00C7148F" w:rsidP="006446B4">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Dummy takes 1 if the absorptive capacity ratio of a subsidiary is greater than its industry average in that particular host country.</w:t>
            </w:r>
          </w:p>
        </w:tc>
      </w:tr>
      <w:tr w:rsidR="00727A9B" w:rsidRPr="006F5D71" w14:paraId="45F74573" w14:textId="77777777" w:rsidTr="00D17530">
        <w:trPr>
          <w:trHeight w:val="362"/>
          <w:jc w:val="center"/>
        </w:trPr>
        <w:tc>
          <w:tcPr>
            <w:tcW w:w="2160" w:type="dxa"/>
            <w:vMerge/>
            <w:shd w:val="clear" w:color="auto" w:fill="auto"/>
            <w:vAlign w:val="center"/>
          </w:tcPr>
          <w:p w14:paraId="7EDFA420" w14:textId="77777777" w:rsidR="00C7148F" w:rsidRPr="006F5D71" w:rsidRDefault="00C7148F" w:rsidP="006446B4">
            <w:pPr>
              <w:widowControl w:val="0"/>
              <w:autoSpaceDE w:val="0"/>
              <w:autoSpaceDN w:val="0"/>
              <w:adjustRightInd w:val="0"/>
              <w:spacing w:after="0" w:line="240" w:lineRule="auto"/>
              <w:rPr>
                <w:rFonts w:cs="Times New Roman"/>
                <w:b/>
                <w:bCs/>
                <w:color w:val="000000" w:themeColor="text1"/>
                <w:sz w:val="20"/>
                <w:szCs w:val="20"/>
              </w:rPr>
            </w:pPr>
          </w:p>
        </w:tc>
        <w:tc>
          <w:tcPr>
            <w:tcW w:w="2700" w:type="dxa"/>
            <w:shd w:val="clear" w:color="auto" w:fill="auto"/>
            <w:vAlign w:val="center"/>
          </w:tcPr>
          <w:p w14:paraId="64A865D2" w14:textId="77777777" w:rsidR="00C7148F" w:rsidRPr="006F5D71" w:rsidRDefault="00C7148F" w:rsidP="00D17530">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Profitability</w:t>
            </w:r>
          </w:p>
        </w:tc>
        <w:tc>
          <w:tcPr>
            <w:tcW w:w="6638" w:type="dxa"/>
            <w:shd w:val="clear" w:color="auto" w:fill="auto"/>
            <w:vAlign w:val="center"/>
          </w:tcPr>
          <w:p w14:paraId="2B570F6B" w14:textId="77777777" w:rsidR="00C7148F" w:rsidRPr="006F5D71" w:rsidRDefault="00C7148F" w:rsidP="006446B4">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 xml:space="preserve">Earnings before interest, taxes, depreciation and amortization (EBITDA) divided by assets. </w:t>
            </w:r>
          </w:p>
        </w:tc>
      </w:tr>
      <w:tr w:rsidR="00727A9B" w:rsidRPr="006F5D71" w14:paraId="4626F336" w14:textId="77777777" w:rsidTr="00D17530">
        <w:trPr>
          <w:trHeight w:val="460"/>
          <w:jc w:val="center"/>
        </w:trPr>
        <w:tc>
          <w:tcPr>
            <w:tcW w:w="2160" w:type="dxa"/>
            <w:vMerge/>
            <w:shd w:val="clear" w:color="auto" w:fill="auto"/>
            <w:vAlign w:val="center"/>
          </w:tcPr>
          <w:p w14:paraId="3A3034DA" w14:textId="77777777" w:rsidR="00C7148F" w:rsidRPr="006F5D71" w:rsidRDefault="00C7148F" w:rsidP="006446B4">
            <w:pPr>
              <w:widowControl w:val="0"/>
              <w:autoSpaceDE w:val="0"/>
              <w:autoSpaceDN w:val="0"/>
              <w:adjustRightInd w:val="0"/>
              <w:spacing w:after="0" w:line="240" w:lineRule="auto"/>
              <w:rPr>
                <w:rFonts w:cs="Times New Roman"/>
                <w:b/>
                <w:bCs/>
                <w:color w:val="000000" w:themeColor="text1"/>
                <w:sz w:val="20"/>
                <w:szCs w:val="20"/>
              </w:rPr>
            </w:pPr>
          </w:p>
        </w:tc>
        <w:tc>
          <w:tcPr>
            <w:tcW w:w="2700" w:type="dxa"/>
            <w:shd w:val="clear" w:color="auto" w:fill="auto"/>
            <w:vAlign w:val="center"/>
          </w:tcPr>
          <w:p w14:paraId="6668747F" w14:textId="77777777" w:rsidR="00C7148F" w:rsidRPr="006F5D71" w:rsidRDefault="00FE0765" w:rsidP="00D17530">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Profitability Leader</w:t>
            </w:r>
          </w:p>
        </w:tc>
        <w:tc>
          <w:tcPr>
            <w:tcW w:w="6638" w:type="dxa"/>
            <w:shd w:val="clear" w:color="auto" w:fill="auto"/>
            <w:vAlign w:val="center"/>
          </w:tcPr>
          <w:p w14:paraId="504A1C27" w14:textId="77777777" w:rsidR="00C7148F" w:rsidRPr="006F5D71" w:rsidRDefault="00C7148F" w:rsidP="006446B4">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Dummy takes 1 if the profitability ratio of a subsidiary is greater than its industry average in that particular host country.</w:t>
            </w:r>
          </w:p>
        </w:tc>
      </w:tr>
      <w:tr w:rsidR="00727A9B" w:rsidRPr="006F5D71" w14:paraId="4E7071C1" w14:textId="77777777" w:rsidTr="00D17530">
        <w:trPr>
          <w:trHeight w:val="287"/>
          <w:jc w:val="center"/>
        </w:trPr>
        <w:tc>
          <w:tcPr>
            <w:tcW w:w="2160" w:type="dxa"/>
            <w:vMerge/>
            <w:shd w:val="clear" w:color="auto" w:fill="auto"/>
            <w:vAlign w:val="center"/>
          </w:tcPr>
          <w:p w14:paraId="5F4D3FCC" w14:textId="77777777" w:rsidR="00C7148F" w:rsidRPr="006F5D71" w:rsidRDefault="00C7148F" w:rsidP="006446B4">
            <w:pPr>
              <w:widowControl w:val="0"/>
              <w:autoSpaceDE w:val="0"/>
              <w:autoSpaceDN w:val="0"/>
              <w:adjustRightInd w:val="0"/>
              <w:spacing w:after="0" w:line="240" w:lineRule="auto"/>
              <w:rPr>
                <w:rFonts w:cs="Times New Roman"/>
                <w:b/>
                <w:bCs/>
                <w:color w:val="000000" w:themeColor="text1"/>
                <w:sz w:val="20"/>
                <w:szCs w:val="20"/>
              </w:rPr>
            </w:pPr>
          </w:p>
        </w:tc>
        <w:tc>
          <w:tcPr>
            <w:tcW w:w="2700" w:type="dxa"/>
            <w:shd w:val="clear" w:color="auto" w:fill="auto"/>
            <w:vAlign w:val="center"/>
          </w:tcPr>
          <w:p w14:paraId="31956581" w14:textId="77777777" w:rsidR="00C7148F" w:rsidRPr="006F5D71" w:rsidRDefault="00C7148F" w:rsidP="00D17530">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Labor Productivity</w:t>
            </w:r>
          </w:p>
        </w:tc>
        <w:tc>
          <w:tcPr>
            <w:tcW w:w="6638" w:type="dxa"/>
            <w:shd w:val="clear" w:color="auto" w:fill="auto"/>
            <w:vAlign w:val="center"/>
          </w:tcPr>
          <w:p w14:paraId="4B63CB06" w14:textId="77777777" w:rsidR="00C7148F" w:rsidRPr="006F5D71" w:rsidRDefault="00C7148F" w:rsidP="006446B4">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 xml:space="preserve">Revenues divided by total number of employees. </w:t>
            </w:r>
          </w:p>
        </w:tc>
      </w:tr>
      <w:tr w:rsidR="00727A9B" w:rsidRPr="006F5D71" w14:paraId="33321C78" w14:textId="77777777" w:rsidTr="00D17530">
        <w:trPr>
          <w:trHeight w:val="217"/>
          <w:jc w:val="center"/>
        </w:trPr>
        <w:tc>
          <w:tcPr>
            <w:tcW w:w="2160" w:type="dxa"/>
            <w:vMerge/>
            <w:tcBorders>
              <w:bottom w:val="single" w:sz="4" w:space="0" w:color="auto"/>
            </w:tcBorders>
            <w:shd w:val="clear" w:color="auto" w:fill="auto"/>
            <w:vAlign w:val="center"/>
          </w:tcPr>
          <w:p w14:paraId="4AC8EB61" w14:textId="77777777" w:rsidR="00C7148F" w:rsidRPr="006F5D71" w:rsidRDefault="00C7148F" w:rsidP="006446B4">
            <w:pPr>
              <w:widowControl w:val="0"/>
              <w:autoSpaceDE w:val="0"/>
              <w:autoSpaceDN w:val="0"/>
              <w:adjustRightInd w:val="0"/>
              <w:spacing w:after="0" w:line="240" w:lineRule="auto"/>
              <w:rPr>
                <w:rFonts w:cs="Times New Roman"/>
                <w:b/>
                <w:bCs/>
                <w:color w:val="000000" w:themeColor="text1"/>
                <w:sz w:val="20"/>
                <w:szCs w:val="20"/>
              </w:rPr>
            </w:pPr>
          </w:p>
        </w:tc>
        <w:tc>
          <w:tcPr>
            <w:tcW w:w="2700" w:type="dxa"/>
            <w:tcBorders>
              <w:bottom w:val="single" w:sz="4" w:space="0" w:color="auto"/>
            </w:tcBorders>
            <w:shd w:val="clear" w:color="auto" w:fill="auto"/>
            <w:vAlign w:val="center"/>
          </w:tcPr>
          <w:p w14:paraId="18FAC228" w14:textId="77777777" w:rsidR="00C7148F" w:rsidRPr="006F5D71" w:rsidRDefault="00FE0765" w:rsidP="00D17530">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Labor Productivity Leader</w:t>
            </w:r>
          </w:p>
        </w:tc>
        <w:tc>
          <w:tcPr>
            <w:tcW w:w="6638" w:type="dxa"/>
            <w:tcBorders>
              <w:bottom w:val="single" w:sz="4" w:space="0" w:color="auto"/>
            </w:tcBorders>
            <w:shd w:val="clear" w:color="auto" w:fill="auto"/>
            <w:vAlign w:val="center"/>
          </w:tcPr>
          <w:p w14:paraId="66F72ACE" w14:textId="77777777" w:rsidR="00C7148F" w:rsidRPr="006F5D71" w:rsidRDefault="00C7148F" w:rsidP="006446B4">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Dummy takes 1 if the labor productivity ratio of a subsidiary is greater than its industry average in that particular host country.</w:t>
            </w:r>
          </w:p>
        </w:tc>
      </w:tr>
      <w:tr w:rsidR="00727A9B" w:rsidRPr="006F5D71" w14:paraId="1978FC5B" w14:textId="77777777" w:rsidTr="00D17530">
        <w:trPr>
          <w:trHeight w:val="407"/>
          <w:jc w:val="center"/>
        </w:trPr>
        <w:tc>
          <w:tcPr>
            <w:tcW w:w="2160" w:type="dxa"/>
            <w:vMerge w:val="restart"/>
            <w:tcBorders>
              <w:top w:val="single" w:sz="4" w:space="0" w:color="auto"/>
            </w:tcBorders>
            <w:shd w:val="clear" w:color="auto" w:fill="auto"/>
            <w:vAlign w:val="center"/>
          </w:tcPr>
          <w:p w14:paraId="247AF632" w14:textId="77777777" w:rsidR="00C7148F" w:rsidRPr="006F5D71" w:rsidRDefault="00C7148F" w:rsidP="006446B4">
            <w:pPr>
              <w:widowControl w:val="0"/>
              <w:autoSpaceDE w:val="0"/>
              <w:autoSpaceDN w:val="0"/>
              <w:adjustRightInd w:val="0"/>
              <w:spacing w:after="0" w:line="240" w:lineRule="auto"/>
              <w:rPr>
                <w:rFonts w:cs="Times New Roman"/>
                <w:b/>
                <w:bCs/>
                <w:color w:val="000000" w:themeColor="text1"/>
                <w:sz w:val="20"/>
                <w:szCs w:val="20"/>
              </w:rPr>
            </w:pPr>
            <w:r w:rsidRPr="006F5D71">
              <w:rPr>
                <w:rFonts w:cs="Times New Roman"/>
                <w:b/>
                <w:bCs/>
                <w:color w:val="000000" w:themeColor="text1"/>
                <w:sz w:val="20"/>
                <w:szCs w:val="20"/>
              </w:rPr>
              <w:t>Endogenous Risk</w:t>
            </w:r>
          </w:p>
        </w:tc>
        <w:tc>
          <w:tcPr>
            <w:tcW w:w="2700" w:type="dxa"/>
            <w:tcBorders>
              <w:top w:val="single" w:sz="4" w:space="0" w:color="auto"/>
            </w:tcBorders>
            <w:shd w:val="clear" w:color="auto" w:fill="auto"/>
            <w:vAlign w:val="center"/>
          </w:tcPr>
          <w:p w14:paraId="1C43A466" w14:textId="77777777" w:rsidR="00C7148F" w:rsidRPr="006F5D71" w:rsidRDefault="00C7148F" w:rsidP="00D17530">
            <w:pPr>
              <w:widowControl w:val="0"/>
              <w:tabs>
                <w:tab w:val="left" w:pos="300"/>
                <w:tab w:val="center" w:pos="651"/>
              </w:tabs>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Country Risk</w:t>
            </w:r>
          </w:p>
        </w:tc>
        <w:tc>
          <w:tcPr>
            <w:tcW w:w="6638" w:type="dxa"/>
            <w:tcBorders>
              <w:top w:val="single" w:sz="4" w:space="0" w:color="auto"/>
            </w:tcBorders>
            <w:shd w:val="clear" w:color="auto" w:fill="auto"/>
            <w:vAlign w:val="center"/>
          </w:tcPr>
          <w:p w14:paraId="6A06946D" w14:textId="77777777" w:rsidR="00C7148F" w:rsidRPr="006F5D71" w:rsidRDefault="00C7148F" w:rsidP="006446B4">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As Rule of Law WGI indicator of the host country in reverse order</w:t>
            </w:r>
            <w:r w:rsidR="00163B9C">
              <w:rPr>
                <w:rFonts w:cs="Times New Roman"/>
                <w:color w:val="000000" w:themeColor="text1"/>
                <w:sz w:val="20"/>
                <w:szCs w:val="20"/>
              </w:rPr>
              <w:t>.</w:t>
            </w:r>
          </w:p>
        </w:tc>
      </w:tr>
      <w:tr w:rsidR="00727A9B" w:rsidRPr="006F5D71" w14:paraId="50C93A0C" w14:textId="77777777" w:rsidTr="00D17530">
        <w:trPr>
          <w:trHeight w:val="217"/>
          <w:jc w:val="center"/>
        </w:trPr>
        <w:tc>
          <w:tcPr>
            <w:tcW w:w="2160" w:type="dxa"/>
            <w:vMerge/>
            <w:tcBorders>
              <w:bottom w:val="single" w:sz="4" w:space="0" w:color="auto"/>
            </w:tcBorders>
            <w:shd w:val="clear" w:color="auto" w:fill="auto"/>
            <w:vAlign w:val="center"/>
          </w:tcPr>
          <w:p w14:paraId="5175F1F8" w14:textId="77777777" w:rsidR="00C7148F" w:rsidRPr="006F5D71" w:rsidRDefault="00C7148F" w:rsidP="006446B4">
            <w:pPr>
              <w:widowControl w:val="0"/>
              <w:autoSpaceDE w:val="0"/>
              <w:autoSpaceDN w:val="0"/>
              <w:adjustRightInd w:val="0"/>
              <w:spacing w:after="0" w:line="240" w:lineRule="auto"/>
              <w:rPr>
                <w:rFonts w:cs="Times New Roman"/>
                <w:b/>
                <w:bCs/>
                <w:color w:val="000000" w:themeColor="text1"/>
                <w:sz w:val="20"/>
                <w:szCs w:val="20"/>
              </w:rPr>
            </w:pPr>
          </w:p>
        </w:tc>
        <w:tc>
          <w:tcPr>
            <w:tcW w:w="2700" w:type="dxa"/>
            <w:tcBorders>
              <w:bottom w:val="single" w:sz="4" w:space="0" w:color="auto"/>
            </w:tcBorders>
            <w:shd w:val="clear" w:color="auto" w:fill="auto"/>
            <w:vAlign w:val="center"/>
          </w:tcPr>
          <w:p w14:paraId="34D098CD" w14:textId="77777777" w:rsidR="00C7148F" w:rsidRPr="006F5D71" w:rsidRDefault="00C7148F" w:rsidP="00D17530">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Institutional Distance</w:t>
            </w:r>
          </w:p>
        </w:tc>
        <w:tc>
          <w:tcPr>
            <w:tcW w:w="6638" w:type="dxa"/>
            <w:tcBorders>
              <w:bottom w:val="single" w:sz="4" w:space="0" w:color="auto"/>
            </w:tcBorders>
            <w:shd w:val="clear" w:color="auto" w:fill="auto"/>
            <w:vAlign w:val="center"/>
          </w:tcPr>
          <w:p w14:paraId="4182C4EB" w14:textId="77777777" w:rsidR="00C7148F" w:rsidRPr="006F5D71" w:rsidRDefault="00C7148F" w:rsidP="006446B4">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The Kaufmann index from the WGI</w:t>
            </w:r>
            <w:r w:rsidR="00163B9C">
              <w:rPr>
                <w:rFonts w:cs="Times New Roman"/>
                <w:color w:val="000000" w:themeColor="text1"/>
                <w:sz w:val="20"/>
                <w:szCs w:val="20"/>
              </w:rPr>
              <w:t>.</w:t>
            </w:r>
          </w:p>
        </w:tc>
      </w:tr>
      <w:tr w:rsidR="00727A9B" w:rsidRPr="006F5D71" w14:paraId="05A12FCF" w14:textId="77777777" w:rsidTr="00D17530">
        <w:trPr>
          <w:trHeight w:val="217"/>
          <w:jc w:val="center"/>
        </w:trPr>
        <w:tc>
          <w:tcPr>
            <w:tcW w:w="2160" w:type="dxa"/>
            <w:vMerge w:val="restart"/>
            <w:tcBorders>
              <w:top w:val="single" w:sz="4" w:space="0" w:color="auto"/>
            </w:tcBorders>
            <w:shd w:val="clear" w:color="auto" w:fill="auto"/>
            <w:vAlign w:val="center"/>
          </w:tcPr>
          <w:p w14:paraId="52C4AD8F" w14:textId="77777777" w:rsidR="00C7148F" w:rsidRPr="006F5D71" w:rsidRDefault="00C7148F" w:rsidP="006446B4">
            <w:pPr>
              <w:widowControl w:val="0"/>
              <w:autoSpaceDE w:val="0"/>
              <w:autoSpaceDN w:val="0"/>
              <w:adjustRightInd w:val="0"/>
              <w:spacing w:after="0" w:line="240" w:lineRule="auto"/>
              <w:rPr>
                <w:rFonts w:cs="Times New Roman"/>
                <w:b/>
                <w:bCs/>
                <w:color w:val="000000" w:themeColor="text1"/>
                <w:sz w:val="20"/>
                <w:szCs w:val="20"/>
              </w:rPr>
            </w:pPr>
            <w:r w:rsidRPr="006F5D71">
              <w:rPr>
                <w:rFonts w:cs="Times New Roman"/>
                <w:b/>
                <w:bCs/>
                <w:color w:val="000000" w:themeColor="text1"/>
                <w:sz w:val="20"/>
                <w:szCs w:val="20"/>
              </w:rPr>
              <w:t>Exogenous Risk</w:t>
            </w:r>
          </w:p>
        </w:tc>
        <w:tc>
          <w:tcPr>
            <w:tcW w:w="2700" w:type="dxa"/>
            <w:tcBorders>
              <w:top w:val="single" w:sz="4" w:space="0" w:color="auto"/>
            </w:tcBorders>
            <w:shd w:val="clear" w:color="auto" w:fill="auto"/>
            <w:vAlign w:val="center"/>
          </w:tcPr>
          <w:p w14:paraId="5E432090" w14:textId="77777777" w:rsidR="00C7148F" w:rsidRPr="006F5D71" w:rsidRDefault="00C7148F" w:rsidP="00D17530">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Exchange Rate Risk</w:t>
            </w:r>
          </w:p>
        </w:tc>
        <w:tc>
          <w:tcPr>
            <w:tcW w:w="6638" w:type="dxa"/>
            <w:tcBorders>
              <w:top w:val="single" w:sz="4" w:space="0" w:color="auto"/>
            </w:tcBorders>
            <w:shd w:val="clear" w:color="auto" w:fill="auto"/>
            <w:vAlign w:val="center"/>
          </w:tcPr>
          <w:p w14:paraId="50451771" w14:textId="77777777" w:rsidR="00C7148F" w:rsidRPr="006F5D71" w:rsidRDefault="00C7148F" w:rsidP="006446B4">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Volatility of Foreign Exchange Rate is measured</w:t>
            </w:r>
            <w:r w:rsidR="00163B9C">
              <w:rPr>
                <w:rFonts w:cs="Times New Roman"/>
                <w:color w:val="000000" w:themeColor="text1"/>
                <w:sz w:val="20"/>
                <w:szCs w:val="20"/>
              </w:rPr>
              <w:t>.</w:t>
            </w:r>
          </w:p>
        </w:tc>
      </w:tr>
      <w:tr w:rsidR="00727A9B" w:rsidRPr="006F5D71" w14:paraId="7AB91B95" w14:textId="77777777" w:rsidTr="00D17530">
        <w:trPr>
          <w:trHeight w:val="217"/>
          <w:jc w:val="center"/>
        </w:trPr>
        <w:tc>
          <w:tcPr>
            <w:tcW w:w="2160" w:type="dxa"/>
            <w:vMerge/>
            <w:shd w:val="clear" w:color="auto" w:fill="auto"/>
            <w:vAlign w:val="center"/>
          </w:tcPr>
          <w:p w14:paraId="13B3BEF1" w14:textId="77777777" w:rsidR="00C7148F" w:rsidRPr="006F5D71" w:rsidRDefault="00C7148F" w:rsidP="006446B4">
            <w:pPr>
              <w:widowControl w:val="0"/>
              <w:autoSpaceDE w:val="0"/>
              <w:autoSpaceDN w:val="0"/>
              <w:adjustRightInd w:val="0"/>
              <w:spacing w:after="0" w:line="240" w:lineRule="auto"/>
              <w:rPr>
                <w:rFonts w:cs="Times New Roman"/>
                <w:b/>
                <w:bCs/>
                <w:color w:val="000000" w:themeColor="text1"/>
                <w:sz w:val="20"/>
                <w:szCs w:val="20"/>
              </w:rPr>
            </w:pPr>
          </w:p>
        </w:tc>
        <w:tc>
          <w:tcPr>
            <w:tcW w:w="2700" w:type="dxa"/>
            <w:shd w:val="clear" w:color="auto" w:fill="auto"/>
            <w:vAlign w:val="center"/>
          </w:tcPr>
          <w:p w14:paraId="71B0D381" w14:textId="77777777" w:rsidR="00C7148F" w:rsidRPr="006F5D71" w:rsidRDefault="00C7148F" w:rsidP="00D17530">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Production Cost Risk</w:t>
            </w:r>
          </w:p>
        </w:tc>
        <w:tc>
          <w:tcPr>
            <w:tcW w:w="6638" w:type="dxa"/>
            <w:shd w:val="clear" w:color="auto" w:fill="auto"/>
            <w:vAlign w:val="center"/>
          </w:tcPr>
          <w:p w14:paraId="27AEDF4C" w14:textId="77777777" w:rsidR="00C7148F" w:rsidRPr="006F5D71" w:rsidRDefault="00C7148F" w:rsidP="006446B4">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Standard deviation of unit labor cost series of respective host country over the period of five years preceding the current year.</w:t>
            </w:r>
          </w:p>
        </w:tc>
      </w:tr>
      <w:tr w:rsidR="00727A9B" w:rsidRPr="006F5D71" w14:paraId="09CF1BD3" w14:textId="77777777" w:rsidTr="00D17530">
        <w:trPr>
          <w:trHeight w:val="217"/>
          <w:jc w:val="center"/>
        </w:trPr>
        <w:tc>
          <w:tcPr>
            <w:tcW w:w="2160" w:type="dxa"/>
            <w:vMerge/>
            <w:shd w:val="clear" w:color="auto" w:fill="auto"/>
            <w:vAlign w:val="center"/>
          </w:tcPr>
          <w:p w14:paraId="2A640D14" w14:textId="77777777" w:rsidR="00C7148F" w:rsidRPr="006F5D71" w:rsidRDefault="00C7148F" w:rsidP="006446B4">
            <w:pPr>
              <w:widowControl w:val="0"/>
              <w:autoSpaceDE w:val="0"/>
              <w:autoSpaceDN w:val="0"/>
              <w:adjustRightInd w:val="0"/>
              <w:spacing w:after="0" w:line="240" w:lineRule="auto"/>
              <w:rPr>
                <w:rFonts w:cs="Times New Roman"/>
                <w:b/>
                <w:bCs/>
                <w:color w:val="000000" w:themeColor="text1"/>
                <w:sz w:val="20"/>
                <w:szCs w:val="20"/>
              </w:rPr>
            </w:pPr>
          </w:p>
        </w:tc>
        <w:tc>
          <w:tcPr>
            <w:tcW w:w="2700" w:type="dxa"/>
            <w:shd w:val="clear" w:color="auto" w:fill="auto"/>
            <w:vAlign w:val="center"/>
          </w:tcPr>
          <w:p w14:paraId="5B568C1C" w14:textId="77777777" w:rsidR="00C7148F" w:rsidRPr="006F5D71" w:rsidRDefault="00C7148F" w:rsidP="00D17530">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Demand Risk</w:t>
            </w:r>
          </w:p>
        </w:tc>
        <w:tc>
          <w:tcPr>
            <w:tcW w:w="6638" w:type="dxa"/>
            <w:shd w:val="clear" w:color="auto" w:fill="auto"/>
            <w:vAlign w:val="center"/>
          </w:tcPr>
          <w:p w14:paraId="2249F1D4" w14:textId="77777777" w:rsidR="00C7148F" w:rsidRPr="006F5D71" w:rsidRDefault="00C7148F" w:rsidP="006446B4">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Standard deviation of GDP series of the individual host country over the five years preceding the current year.</w:t>
            </w:r>
          </w:p>
        </w:tc>
      </w:tr>
      <w:tr w:rsidR="00727A9B" w:rsidRPr="006F5D71" w14:paraId="63883086" w14:textId="77777777" w:rsidTr="00D17530">
        <w:trPr>
          <w:trHeight w:val="217"/>
          <w:jc w:val="center"/>
        </w:trPr>
        <w:tc>
          <w:tcPr>
            <w:tcW w:w="2160" w:type="dxa"/>
            <w:vMerge/>
            <w:tcBorders>
              <w:bottom w:val="single" w:sz="4" w:space="0" w:color="auto"/>
            </w:tcBorders>
            <w:shd w:val="clear" w:color="auto" w:fill="auto"/>
            <w:vAlign w:val="center"/>
          </w:tcPr>
          <w:p w14:paraId="696B1DE7" w14:textId="77777777" w:rsidR="00C7148F" w:rsidRPr="006F5D71" w:rsidRDefault="00C7148F" w:rsidP="006446B4">
            <w:pPr>
              <w:widowControl w:val="0"/>
              <w:autoSpaceDE w:val="0"/>
              <w:autoSpaceDN w:val="0"/>
              <w:adjustRightInd w:val="0"/>
              <w:spacing w:after="0" w:line="240" w:lineRule="auto"/>
              <w:rPr>
                <w:rFonts w:cs="Times New Roman"/>
                <w:b/>
                <w:bCs/>
                <w:color w:val="000000" w:themeColor="text1"/>
                <w:sz w:val="20"/>
                <w:szCs w:val="20"/>
              </w:rPr>
            </w:pPr>
          </w:p>
        </w:tc>
        <w:tc>
          <w:tcPr>
            <w:tcW w:w="2700" w:type="dxa"/>
            <w:tcBorders>
              <w:bottom w:val="single" w:sz="4" w:space="0" w:color="auto"/>
            </w:tcBorders>
            <w:shd w:val="clear" w:color="auto" w:fill="auto"/>
            <w:vAlign w:val="center"/>
          </w:tcPr>
          <w:p w14:paraId="4D672638" w14:textId="77777777" w:rsidR="00C7148F" w:rsidRPr="006F5D71" w:rsidRDefault="00C7148F" w:rsidP="00D17530">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Financial Crisis</w:t>
            </w:r>
          </w:p>
        </w:tc>
        <w:tc>
          <w:tcPr>
            <w:tcW w:w="6638" w:type="dxa"/>
            <w:tcBorders>
              <w:bottom w:val="single" w:sz="4" w:space="0" w:color="auto"/>
            </w:tcBorders>
            <w:shd w:val="clear" w:color="auto" w:fill="auto"/>
            <w:vAlign w:val="center"/>
          </w:tcPr>
          <w:p w14:paraId="0932237D" w14:textId="77777777" w:rsidR="00C7148F" w:rsidRPr="006F5D71" w:rsidRDefault="00C7148F" w:rsidP="00163B9C">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Dummy 1 for year 2008 and above</w:t>
            </w:r>
            <w:r w:rsidR="00163B9C">
              <w:rPr>
                <w:rFonts w:cs="Times New Roman"/>
                <w:color w:val="000000" w:themeColor="text1"/>
                <w:sz w:val="20"/>
                <w:szCs w:val="20"/>
              </w:rPr>
              <w:t>,</w:t>
            </w:r>
            <w:r w:rsidRPr="006F5D71">
              <w:rPr>
                <w:rFonts w:cs="Times New Roman"/>
                <w:color w:val="000000" w:themeColor="text1"/>
                <w:sz w:val="20"/>
                <w:szCs w:val="20"/>
              </w:rPr>
              <w:t xml:space="preserve"> 0</w:t>
            </w:r>
            <w:r w:rsidR="00163B9C">
              <w:rPr>
                <w:rFonts w:cs="Times New Roman"/>
                <w:color w:val="000000" w:themeColor="text1"/>
                <w:sz w:val="20"/>
                <w:szCs w:val="20"/>
              </w:rPr>
              <w:t xml:space="preserve"> otherwise.</w:t>
            </w:r>
          </w:p>
        </w:tc>
      </w:tr>
      <w:tr w:rsidR="00727A9B" w:rsidRPr="006F5D71" w14:paraId="4CD3E84A" w14:textId="77777777" w:rsidTr="00D17530">
        <w:trPr>
          <w:trHeight w:val="217"/>
          <w:jc w:val="center"/>
        </w:trPr>
        <w:tc>
          <w:tcPr>
            <w:tcW w:w="2160" w:type="dxa"/>
            <w:tcBorders>
              <w:top w:val="single" w:sz="4" w:space="0" w:color="auto"/>
            </w:tcBorders>
            <w:shd w:val="clear" w:color="auto" w:fill="auto"/>
            <w:vAlign w:val="center"/>
          </w:tcPr>
          <w:p w14:paraId="7ABA74C5" w14:textId="77777777" w:rsidR="00C7148F" w:rsidRPr="006F5D71" w:rsidRDefault="00C7148F" w:rsidP="006446B4">
            <w:pPr>
              <w:widowControl w:val="0"/>
              <w:autoSpaceDE w:val="0"/>
              <w:autoSpaceDN w:val="0"/>
              <w:adjustRightInd w:val="0"/>
              <w:spacing w:after="0" w:line="240" w:lineRule="auto"/>
              <w:rPr>
                <w:rFonts w:cs="Times New Roman"/>
                <w:b/>
                <w:bCs/>
                <w:color w:val="000000" w:themeColor="text1"/>
                <w:sz w:val="20"/>
                <w:szCs w:val="20"/>
              </w:rPr>
            </w:pPr>
            <w:r w:rsidRPr="006F5D71">
              <w:rPr>
                <w:rFonts w:cs="Times New Roman"/>
                <w:b/>
                <w:bCs/>
                <w:color w:val="000000" w:themeColor="text1"/>
                <w:sz w:val="20"/>
                <w:szCs w:val="20"/>
              </w:rPr>
              <w:t>Immigrant Diaspora</w:t>
            </w:r>
          </w:p>
        </w:tc>
        <w:tc>
          <w:tcPr>
            <w:tcW w:w="2700" w:type="dxa"/>
            <w:tcBorders>
              <w:top w:val="single" w:sz="4" w:space="0" w:color="auto"/>
            </w:tcBorders>
            <w:shd w:val="clear" w:color="auto" w:fill="auto"/>
            <w:vAlign w:val="center"/>
          </w:tcPr>
          <w:p w14:paraId="5E1E9F94" w14:textId="77777777" w:rsidR="00C7148F" w:rsidRPr="006F5D71" w:rsidRDefault="00C7148F" w:rsidP="00D17530">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Home Country Diaspora</w:t>
            </w:r>
          </w:p>
        </w:tc>
        <w:tc>
          <w:tcPr>
            <w:tcW w:w="6638" w:type="dxa"/>
            <w:tcBorders>
              <w:top w:val="single" w:sz="4" w:space="0" w:color="auto"/>
            </w:tcBorders>
            <w:shd w:val="clear" w:color="auto" w:fill="auto"/>
            <w:vAlign w:val="center"/>
          </w:tcPr>
          <w:p w14:paraId="57DCCDE6" w14:textId="77777777" w:rsidR="00C7148F" w:rsidRPr="006F5D71" w:rsidRDefault="00507605" w:rsidP="00507605">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 xml:space="preserve">Ratio of </w:t>
            </w:r>
            <w:r w:rsidR="00521C64" w:rsidRPr="006F5D71">
              <w:rPr>
                <w:rFonts w:cs="Times New Roman"/>
                <w:color w:val="000000" w:themeColor="text1"/>
                <w:sz w:val="20"/>
                <w:szCs w:val="20"/>
              </w:rPr>
              <w:t xml:space="preserve">the total number of immigrants from China and India residing in the host country </w:t>
            </w:r>
            <w:r w:rsidRPr="006F5D71">
              <w:rPr>
                <w:rFonts w:cs="Times New Roman"/>
                <w:color w:val="000000" w:themeColor="text1"/>
                <w:sz w:val="20"/>
                <w:szCs w:val="20"/>
              </w:rPr>
              <w:t>to</w:t>
            </w:r>
            <w:r w:rsidR="00521C64" w:rsidRPr="006F5D71">
              <w:rPr>
                <w:rFonts w:cs="Times New Roman"/>
                <w:color w:val="000000" w:themeColor="text1"/>
                <w:sz w:val="20"/>
                <w:szCs w:val="20"/>
              </w:rPr>
              <w:t xml:space="preserve"> the total population of the respective host country.</w:t>
            </w:r>
          </w:p>
        </w:tc>
      </w:tr>
      <w:tr w:rsidR="00727A9B" w:rsidRPr="006F5D71" w14:paraId="5B7ADA62" w14:textId="77777777" w:rsidTr="00D17530">
        <w:trPr>
          <w:trHeight w:val="233"/>
          <w:jc w:val="center"/>
        </w:trPr>
        <w:tc>
          <w:tcPr>
            <w:tcW w:w="2160" w:type="dxa"/>
            <w:vMerge w:val="restart"/>
            <w:tcBorders>
              <w:top w:val="single" w:sz="4" w:space="0" w:color="auto"/>
              <w:bottom w:val="single" w:sz="4" w:space="0" w:color="auto"/>
            </w:tcBorders>
            <w:shd w:val="clear" w:color="auto" w:fill="auto"/>
            <w:vAlign w:val="center"/>
          </w:tcPr>
          <w:p w14:paraId="788342C2" w14:textId="77777777" w:rsidR="00C7148F" w:rsidRPr="006F5D71" w:rsidRDefault="00C7148F" w:rsidP="006446B4">
            <w:pPr>
              <w:widowControl w:val="0"/>
              <w:autoSpaceDE w:val="0"/>
              <w:autoSpaceDN w:val="0"/>
              <w:adjustRightInd w:val="0"/>
              <w:spacing w:after="0" w:line="240" w:lineRule="auto"/>
              <w:rPr>
                <w:rFonts w:cs="Times New Roman"/>
                <w:color w:val="000000" w:themeColor="text1"/>
                <w:sz w:val="20"/>
                <w:szCs w:val="20"/>
              </w:rPr>
            </w:pPr>
            <w:r w:rsidRPr="006F5D71">
              <w:rPr>
                <w:rFonts w:cs="Times New Roman"/>
                <w:b/>
                <w:bCs/>
                <w:color w:val="000000" w:themeColor="text1"/>
                <w:sz w:val="20"/>
                <w:szCs w:val="20"/>
              </w:rPr>
              <w:t>Control</w:t>
            </w:r>
          </w:p>
        </w:tc>
        <w:tc>
          <w:tcPr>
            <w:tcW w:w="2700" w:type="dxa"/>
            <w:tcBorders>
              <w:top w:val="single" w:sz="4" w:space="0" w:color="auto"/>
              <w:left w:val="nil"/>
            </w:tcBorders>
            <w:shd w:val="clear" w:color="auto" w:fill="auto"/>
            <w:vAlign w:val="center"/>
          </w:tcPr>
          <w:p w14:paraId="5EA5118C" w14:textId="77777777" w:rsidR="00C7148F" w:rsidRPr="006F5D71" w:rsidRDefault="00C7148F" w:rsidP="00D17530">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Sunk Cost</w:t>
            </w:r>
          </w:p>
        </w:tc>
        <w:tc>
          <w:tcPr>
            <w:tcW w:w="6638" w:type="dxa"/>
            <w:tcBorders>
              <w:top w:val="single" w:sz="4" w:space="0" w:color="auto"/>
            </w:tcBorders>
            <w:shd w:val="clear" w:color="auto" w:fill="auto"/>
            <w:vAlign w:val="center"/>
          </w:tcPr>
          <w:p w14:paraId="7D9F1879" w14:textId="77777777" w:rsidR="00C7148F" w:rsidRPr="006F5D71" w:rsidRDefault="00C7148F" w:rsidP="006446B4">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Sale of foreign subsidiary divided by sale of its parent firm</w:t>
            </w:r>
            <w:r w:rsidR="00163B9C">
              <w:rPr>
                <w:rFonts w:cs="Times New Roman"/>
                <w:color w:val="000000" w:themeColor="text1"/>
                <w:sz w:val="20"/>
                <w:szCs w:val="20"/>
              </w:rPr>
              <w:t>.</w:t>
            </w:r>
          </w:p>
        </w:tc>
      </w:tr>
      <w:tr w:rsidR="00727A9B" w:rsidRPr="006F5D71" w14:paraId="09820FB0" w14:textId="77777777" w:rsidTr="00D17530">
        <w:trPr>
          <w:trHeight w:val="233"/>
          <w:jc w:val="center"/>
        </w:trPr>
        <w:tc>
          <w:tcPr>
            <w:tcW w:w="2160" w:type="dxa"/>
            <w:vMerge/>
            <w:tcBorders>
              <w:top w:val="single" w:sz="4" w:space="0" w:color="auto"/>
              <w:bottom w:val="single" w:sz="4" w:space="0" w:color="auto"/>
            </w:tcBorders>
            <w:shd w:val="clear" w:color="auto" w:fill="auto"/>
            <w:vAlign w:val="center"/>
          </w:tcPr>
          <w:p w14:paraId="1318C855" w14:textId="77777777" w:rsidR="00C7148F" w:rsidRPr="006F5D71" w:rsidRDefault="00C7148F" w:rsidP="006446B4">
            <w:pPr>
              <w:widowControl w:val="0"/>
              <w:autoSpaceDE w:val="0"/>
              <w:autoSpaceDN w:val="0"/>
              <w:adjustRightInd w:val="0"/>
              <w:spacing w:after="0" w:line="240" w:lineRule="auto"/>
              <w:rPr>
                <w:rFonts w:cs="Times New Roman"/>
                <w:color w:val="000000" w:themeColor="text1"/>
                <w:sz w:val="20"/>
                <w:szCs w:val="20"/>
              </w:rPr>
            </w:pPr>
          </w:p>
        </w:tc>
        <w:tc>
          <w:tcPr>
            <w:tcW w:w="2700" w:type="dxa"/>
            <w:tcBorders>
              <w:left w:val="nil"/>
            </w:tcBorders>
            <w:shd w:val="clear" w:color="auto" w:fill="auto"/>
            <w:vAlign w:val="center"/>
          </w:tcPr>
          <w:p w14:paraId="38CA197B" w14:textId="77777777" w:rsidR="00C7148F" w:rsidRPr="006F5D71" w:rsidRDefault="00C7148F" w:rsidP="00D17530">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ROA</w:t>
            </w:r>
          </w:p>
        </w:tc>
        <w:tc>
          <w:tcPr>
            <w:tcW w:w="6638" w:type="dxa"/>
            <w:shd w:val="clear" w:color="auto" w:fill="auto"/>
            <w:vAlign w:val="center"/>
          </w:tcPr>
          <w:p w14:paraId="3C404ACB" w14:textId="77777777" w:rsidR="00C7148F" w:rsidRPr="006F5D71" w:rsidRDefault="00F21D3B" w:rsidP="006446B4">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Net income</w:t>
            </w:r>
            <w:r w:rsidR="00FC0D30" w:rsidRPr="006F5D71">
              <w:rPr>
                <w:rFonts w:cs="Times New Roman"/>
                <w:color w:val="000000" w:themeColor="text1"/>
                <w:sz w:val="20"/>
                <w:szCs w:val="20"/>
              </w:rPr>
              <w:t xml:space="preserve"> divided by total asset</w:t>
            </w:r>
            <w:r w:rsidRPr="006F5D71">
              <w:rPr>
                <w:rFonts w:cs="Times New Roman"/>
                <w:color w:val="000000" w:themeColor="text1"/>
                <w:sz w:val="20"/>
                <w:szCs w:val="20"/>
              </w:rPr>
              <w:t>s</w:t>
            </w:r>
            <w:r w:rsidR="00C13E3A" w:rsidRPr="006F5D71">
              <w:rPr>
                <w:rFonts w:cs="Times New Roman"/>
                <w:color w:val="000000" w:themeColor="text1"/>
                <w:sz w:val="20"/>
                <w:szCs w:val="20"/>
              </w:rPr>
              <w:t xml:space="preserve"> of a subsidiary</w:t>
            </w:r>
            <w:r w:rsidR="00163B9C">
              <w:rPr>
                <w:rFonts w:cs="Times New Roman"/>
                <w:color w:val="000000" w:themeColor="text1"/>
                <w:sz w:val="20"/>
                <w:szCs w:val="20"/>
              </w:rPr>
              <w:t>.</w:t>
            </w:r>
          </w:p>
        </w:tc>
      </w:tr>
      <w:tr w:rsidR="00727A9B" w:rsidRPr="006F5D71" w14:paraId="4CD79B86" w14:textId="77777777" w:rsidTr="00D17530">
        <w:trPr>
          <w:trHeight w:val="233"/>
          <w:jc w:val="center"/>
        </w:trPr>
        <w:tc>
          <w:tcPr>
            <w:tcW w:w="2160" w:type="dxa"/>
            <w:vMerge/>
            <w:tcBorders>
              <w:top w:val="single" w:sz="4" w:space="0" w:color="auto"/>
              <w:bottom w:val="single" w:sz="4" w:space="0" w:color="auto"/>
            </w:tcBorders>
            <w:shd w:val="clear" w:color="auto" w:fill="auto"/>
            <w:vAlign w:val="center"/>
          </w:tcPr>
          <w:p w14:paraId="5DA0806B" w14:textId="77777777" w:rsidR="00C7148F" w:rsidRPr="006F5D71" w:rsidRDefault="00C7148F" w:rsidP="006446B4">
            <w:pPr>
              <w:widowControl w:val="0"/>
              <w:autoSpaceDE w:val="0"/>
              <w:autoSpaceDN w:val="0"/>
              <w:adjustRightInd w:val="0"/>
              <w:spacing w:after="0" w:line="240" w:lineRule="auto"/>
              <w:rPr>
                <w:rFonts w:cs="Times New Roman"/>
                <w:color w:val="000000" w:themeColor="text1"/>
                <w:sz w:val="20"/>
                <w:szCs w:val="20"/>
              </w:rPr>
            </w:pPr>
          </w:p>
        </w:tc>
        <w:tc>
          <w:tcPr>
            <w:tcW w:w="2700" w:type="dxa"/>
            <w:tcBorders>
              <w:left w:val="nil"/>
            </w:tcBorders>
            <w:shd w:val="clear" w:color="auto" w:fill="auto"/>
            <w:vAlign w:val="center"/>
          </w:tcPr>
          <w:p w14:paraId="716B6C86" w14:textId="77777777" w:rsidR="00C7148F" w:rsidRPr="006F5D71" w:rsidRDefault="00C7148F" w:rsidP="00D17530">
            <w:pPr>
              <w:widowControl w:val="0"/>
              <w:autoSpaceDE w:val="0"/>
              <w:autoSpaceDN w:val="0"/>
              <w:adjustRightInd w:val="0"/>
              <w:spacing w:after="0" w:line="240" w:lineRule="auto"/>
              <w:rPr>
                <w:rFonts w:cs="Times New Roman"/>
                <w:i/>
                <w:iCs/>
                <w:color w:val="000000" w:themeColor="text1"/>
                <w:sz w:val="20"/>
                <w:szCs w:val="20"/>
              </w:rPr>
            </w:pPr>
            <w:bookmarkStart w:id="6" w:name="_Hlk63767785"/>
            <w:r w:rsidRPr="006F5D71">
              <w:rPr>
                <w:rFonts w:cs="Times New Roman"/>
                <w:i/>
                <w:iCs/>
                <w:color w:val="000000" w:themeColor="text1"/>
                <w:sz w:val="20"/>
                <w:szCs w:val="20"/>
              </w:rPr>
              <w:t>Equity Ownership</w:t>
            </w:r>
            <w:bookmarkEnd w:id="6"/>
          </w:p>
        </w:tc>
        <w:tc>
          <w:tcPr>
            <w:tcW w:w="6638" w:type="dxa"/>
            <w:shd w:val="clear" w:color="auto" w:fill="auto"/>
            <w:vAlign w:val="center"/>
          </w:tcPr>
          <w:p w14:paraId="412F40D9" w14:textId="77777777" w:rsidR="00C7148F" w:rsidRPr="006F5D71" w:rsidRDefault="00C7148F" w:rsidP="006446B4">
            <w:pPr>
              <w:widowControl w:val="0"/>
              <w:autoSpaceDE w:val="0"/>
              <w:autoSpaceDN w:val="0"/>
              <w:adjustRightInd w:val="0"/>
              <w:spacing w:after="0" w:line="240" w:lineRule="auto"/>
              <w:jc w:val="both"/>
              <w:rPr>
                <w:rFonts w:cs="Times New Roman"/>
                <w:color w:val="000000" w:themeColor="text1"/>
                <w:sz w:val="20"/>
                <w:szCs w:val="20"/>
              </w:rPr>
            </w:pPr>
            <w:bookmarkStart w:id="7" w:name="_Hlk63767805"/>
            <w:r w:rsidRPr="006F5D71">
              <w:rPr>
                <w:rFonts w:cs="Times New Roman"/>
                <w:color w:val="000000" w:themeColor="text1"/>
                <w:sz w:val="20"/>
                <w:szCs w:val="20"/>
              </w:rPr>
              <w:t>Natural log of share of ownership by the parent firm in foreign subsidiary</w:t>
            </w:r>
            <w:bookmarkEnd w:id="7"/>
            <w:r w:rsidR="00163B9C">
              <w:rPr>
                <w:rFonts w:cs="Times New Roman"/>
                <w:color w:val="000000" w:themeColor="text1"/>
                <w:sz w:val="20"/>
                <w:szCs w:val="20"/>
              </w:rPr>
              <w:t>.</w:t>
            </w:r>
          </w:p>
        </w:tc>
      </w:tr>
      <w:tr w:rsidR="00727A9B" w:rsidRPr="006F5D71" w14:paraId="5250B7A0" w14:textId="77777777" w:rsidTr="00D17530">
        <w:trPr>
          <w:trHeight w:val="233"/>
          <w:jc w:val="center"/>
        </w:trPr>
        <w:tc>
          <w:tcPr>
            <w:tcW w:w="2160" w:type="dxa"/>
            <w:vMerge/>
            <w:tcBorders>
              <w:top w:val="single" w:sz="4" w:space="0" w:color="auto"/>
              <w:bottom w:val="single" w:sz="4" w:space="0" w:color="auto"/>
            </w:tcBorders>
            <w:shd w:val="clear" w:color="auto" w:fill="auto"/>
            <w:vAlign w:val="center"/>
          </w:tcPr>
          <w:p w14:paraId="06764397" w14:textId="77777777" w:rsidR="008A2873" w:rsidRPr="006F5D71" w:rsidRDefault="008A2873" w:rsidP="008A2873">
            <w:pPr>
              <w:widowControl w:val="0"/>
              <w:autoSpaceDE w:val="0"/>
              <w:autoSpaceDN w:val="0"/>
              <w:adjustRightInd w:val="0"/>
              <w:spacing w:after="0" w:line="240" w:lineRule="auto"/>
              <w:rPr>
                <w:rFonts w:cs="Times New Roman"/>
                <w:color w:val="000000" w:themeColor="text1"/>
                <w:sz w:val="20"/>
                <w:szCs w:val="20"/>
              </w:rPr>
            </w:pPr>
          </w:p>
        </w:tc>
        <w:tc>
          <w:tcPr>
            <w:tcW w:w="2700" w:type="dxa"/>
            <w:tcBorders>
              <w:left w:val="nil"/>
            </w:tcBorders>
            <w:shd w:val="clear" w:color="auto" w:fill="auto"/>
            <w:vAlign w:val="center"/>
          </w:tcPr>
          <w:p w14:paraId="020BBE84" w14:textId="77777777" w:rsidR="008A2873" w:rsidRPr="006F5D71" w:rsidRDefault="008A2873" w:rsidP="008A2873">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Asset Seeking Motive</w:t>
            </w:r>
          </w:p>
        </w:tc>
        <w:tc>
          <w:tcPr>
            <w:tcW w:w="6638" w:type="dxa"/>
            <w:shd w:val="clear" w:color="auto" w:fill="auto"/>
            <w:vAlign w:val="center"/>
          </w:tcPr>
          <w:p w14:paraId="17988C72" w14:textId="77777777" w:rsidR="008A2873" w:rsidRPr="006F5D71" w:rsidRDefault="008A2873" w:rsidP="008A2873">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Dummy takes 1 if a subsidiary belongs to technologically advanced sectors, for instance, software-IT, automobile, chemicals, electronics, iron &amp; steels, pharmaceuticals, and telecommunication sectors</w:t>
            </w:r>
            <w:r w:rsidR="00163B9C">
              <w:rPr>
                <w:rFonts w:cs="Times New Roman"/>
                <w:color w:val="000000" w:themeColor="text1"/>
                <w:sz w:val="20"/>
                <w:szCs w:val="20"/>
              </w:rPr>
              <w:t>.</w:t>
            </w:r>
          </w:p>
        </w:tc>
      </w:tr>
      <w:tr w:rsidR="00727A9B" w:rsidRPr="006F5D71" w14:paraId="229EE915" w14:textId="77777777" w:rsidTr="00D17530">
        <w:trPr>
          <w:trHeight w:val="233"/>
          <w:jc w:val="center"/>
        </w:trPr>
        <w:tc>
          <w:tcPr>
            <w:tcW w:w="2160" w:type="dxa"/>
            <w:vMerge/>
            <w:tcBorders>
              <w:top w:val="single" w:sz="4" w:space="0" w:color="auto"/>
              <w:bottom w:val="single" w:sz="4" w:space="0" w:color="auto"/>
            </w:tcBorders>
            <w:shd w:val="clear" w:color="auto" w:fill="auto"/>
            <w:vAlign w:val="center"/>
          </w:tcPr>
          <w:p w14:paraId="7DA1472B" w14:textId="77777777" w:rsidR="008A2873" w:rsidRPr="006F5D71" w:rsidRDefault="008A2873" w:rsidP="008A2873">
            <w:pPr>
              <w:widowControl w:val="0"/>
              <w:autoSpaceDE w:val="0"/>
              <w:autoSpaceDN w:val="0"/>
              <w:adjustRightInd w:val="0"/>
              <w:spacing w:after="0" w:line="240" w:lineRule="auto"/>
              <w:rPr>
                <w:rFonts w:cs="Times New Roman"/>
                <w:color w:val="000000" w:themeColor="text1"/>
                <w:sz w:val="20"/>
                <w:szCs w:val="20"/>
              </w:rPr>
            </w:pPr>
          </w:p>
        </w:tc>
        <w:tc>
          <w:tcPr>
            <w:tcW w:w="2700" w:type="dxa"/>
            <w:tcBorders>
              <w:left w:val="nil"/>
            </w:tcBorders>
            <w:shd w:val="clear" w:color="auto" w:fill="auto"/>
            <w:vAlign w:val="center"/>
          </w:tcPr>
          <w:p w14:paraId="2F3438DB" w14:textId="77777777" w:rsidR="008A2873" w:rsidRPr="006F5D71" w:rsidRDefault="008A2873" w:rsidP="008A2873">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Parent Size</w:t>
            </w:r>
          </w:p>
        </w:tc>
        <w:tc>
          <w:tcPr>
            <w:tcW w:w="6638" w:type="dxa"/>
            <w:shd w:val="clear" w:color="auto" w:fill="auto"/>
            <w:vAlign w:val="center"/>
          </w:tcPr>
          <w:p w14:paraId="0175E355" w14:textId="77777777" w:rsidR="008A2873" w:rsidRPr="006F5D71" w:rsidRDefault="008A2873" w:rsidP="008A2873">
            <w:pPr>
              <w:widowControl w:val="0"/>
              <w:autoSpaceDE w:val="0"/>
              <w:autoSpaceDN w:val="0"/>
              <w:adjustRightInd w:val="0"/>
              <w:spacing w:after="0" w:line="240" w:lineRule="auto"/>
              <w:jc w:val="both"/>
              <w:rPr>
                <w:rFonts w:cs="Times New Roman"/>
                <w:color w:val="000000" w:themeColor="text1"/>
                <w:sz w:val="20"/>
                <w:szCs w:val="20"/>
              </w:rPr>
            </w:pPr>
            <w:bookmarkStart w:id="8" w:name="_Hlk63767916"/>
            <w:r w:rsidRPr="006F5D71">
              <w:rPr>
                <w:rFonts w:cs="Times New Roman"/>
                <w:color w:val="000000" w:themeColor="text1"/>
                <w:sz w:val="20"/>
                <w:szCs w:val="20"/>
              </w:rPr>
              <w:t>Natural log of number of employees of parent firm</w:t>
            </w:r>
            <w:bookmarkEnd w:id="8"/>
            <w:r w:rsidR="00163B9C">
              <w:rPr>
                <w:rFonts w:cs="Times New Roman"/>
                <w:color w:val="000000" w:themeColor="text1"/>
                <w:sz w:val="20"/>
                <w:szCs w:val="20"/>
              </w:rPr>
              <w:t>.</w:t>
            </w:r>
          </w:p>
        </w:tc>
      </w:tr>
      <w:tr w:rsidR="00727A9B" w:rsidRPr="006F5D71" w14:paraId="2BAF34C3" w14:textId="77777777" w:rsidTr="00D17530">
        <w:trPr>
          <w:trHeight w:val="233"/>
          <w:jc w:val="center"/>
        </w:trPr>
        <w:tc>
          <w:tcPr>
            <w:tcW w:w="2160" w:type="dxa"/>
            <w:vMerge/>
            <w:tcBorders>
              <w:top w:val="single" w:sz="4" w:space="0" w:color="auto"/>
              <w:bottom w:val="single" w:sz="4" w:space="0" w:color="auto"/>
            </w:tcBorders>
            <w:shd w:val="clear" w:color="auto" w:fill="auto"/>
            <w:vAlign w:val="center"/>
          </w:tcPr>
          <w:p w14:paraId="45607CC2" w14:textId="77777777" w:rsidR="008A2873" w:rsidRPr="006F5D71" w:rsidRDefault="008A2873" w:rsidP="008A2873">
            <w:pPr>
              <w:widowControl w:val="0"/>
              <w:autoSpaceDE w:val="0"/>
              <w:autoSpaceDN w:val="0"/>
              <w:adjustRightInd w:val="0"/>
              <w:spacing w:after="0" w:line="240" w:lineRule="auto"/>
              <w:rPr>
                <w:rFonts w:cs="Times New Roman"/>
                <w:color w:val="000000" w:themeColor="text1"/>
                <w:sz w:val="20"/>
                <w:szCs w:val="20"/>
              </w:rPr>
            </w:pPr>
          </w:p>
        </w:tc>
        <w:tc>
          <w:tcPr>
            <w:tcW w:w="2700" w:type="dxa"/>
            <w:tcBorders>
              <w:left w:val="nil"/>
            </w:tcBorders>
            <w:shd w:val="clear" w:color="auto" w:fill="auto"/>
            <w:vAlign w:val="center"/>
          </w:tcPr>
          <w:p w14:paraId="219EF150" w14:textId="77777777" w:rsidR="008A2873" w:rsidRPr="006F5D71" w:rsidRDefault="008A2873" w:rsidP="008A2873">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Parent Experience in American Region</w:t>
            </w:r>
          </w:p>
        </w:tc>
        <w:tc>
          <w:tcPr>
            <w:tcW w:w="6638" w:type="dxa"/>
            <w:shd w:val="clear" w:color="auto" w:fill="auto"/>
            <w:vAlign w:val="center"/>
          </w:tcPr>
          <w:p w14:paraId="699C4926" w14:textId="77777777" w:rsidR="008A2873" w:rsidRPr="006F5D71" w:rsidRDefault="008A2873" w:rsidP="008A2873">
            <w:pPr>
              <w:widowControl w:val="0"/>
              <w:autoSpaceDE w:val="0"/>
              <w:autoSpaceDN w:val="0"/>
              <w:adjustRightInd w:val="0"/>
              <w:spacing w:after="0" w:line="240" w:lineRule="auto"/>
              <w:jc w:val="both"/>
              <w:rPr>
                <w:rFonts w:cs="Times New Roman"/>
                <w:color w:val="000000" w:themeColor="text1"/>
                <w:sz w:val="20"/>
                <w:szCs w:val="20"/>
              </w:rPr>
            </w:pPr>
            <w:bookmarkStart w:id="9" w:name="_Hlk63763643"/>
            <w:r w:rsidRPr="006F5D71">
              <w:rPr>
                <w:rFonts w:cs="Times New Roman"/>
                <w:color w:val="000000" w:themeColor="text1"/>
                <w:sz w:val="20"/>
                <w:szCs w:val="20"/>
              </w:rPr>
              <w:t>Number of foreign subsidiaries in American Region</w:t>
            </w:r>
            <w:bookmarkEnd w:id="9"/>
            <w:r w:rsidR="00163B9C">
              <w:rPr>
                <w:rFonts w:cs="Times New Roman"/>
                <w:color w:val="000000" w:themeColor="text1"/>
                <w:sz w:val="20"/>
                <w:szCs w:val="20"/>
              </w:rPr>
              <w:t>.</w:t>
            </w:r>
          </w:p>
        </w:tc>
      </w:tr>
      <w:tr w:rsidR="00727A9B" w:rsidRPr="006F5D71" w14:paraId="13EBA822" w14:textId="77777777" w:rsidTr="00D17530">
        <w:trPr>
          <w:trHeight w:val="233"/>
          <w:jc w:val="center"/>
        </w:trPr>
        <w:tc>
          <w:tcPr>
            <w:tcW w:w="2160" w:type="dxa"/>
            <w:vMerge/>
            <w:tcBorders>
              <w:top w:val="single" w:sz="4" w:space="0" w:color="auto"/>
              <w:bottom w:val="single" w:sz="4" w:space="0" w:color="auto"/>
            </w:tcBorders>
            <w:shd w:val="clear" w:color="auto" w:fill="auto"/>
            <w:vAlign w:val="center"/>
          </w:tcPr>
          <w:p w14:paraId="7B87DD46" w14:textId="77777777" w:rsidR="008A2873" w:rsidRPr="006F5D71" w:rsidRDefault="008A2873" w:rsidP="008A2873">
            <w:pPr>
              <w:widowControl w:val="0"/>
              <w:autoSpaceDE w:val="0"/>
              <w:autoSpaceDN w:val="0"/>
              <w:adjustRightInd w:val="0"/>
              <w:spacing w:after="0" w:line="240" w:lineRule="auto"/>
              <w:rPr>
                <w:rFonts w:cs="Times New Roman"/>
                <w:color w:val="000000" w:themeColor="text1"/>
                <w:sz w:val="20"/>
                <w:szCs w:val="20"/>
              </w:rPr>
            </w:pPr>
          </w:p>
        </w:tc>
        <w:tc>
          <w:tcPr>
            <w:tcW w:w="2700" w:type="dxa"/>
            <w:tcBorders>
              <w:left w:val="nil"/>
            </w:tcBorders>
            <w:shd w:val="clear" w:color="auto" w:fill="auto"/>
            <w:vAlign w:val="center"/>
          </w:tcPr>
          <w:p w14:paraId="2640CEBA" w14:textId="77777777" w:rsidR="008A2873" w:rsidRPr="006F5D71" w:rsidRDefault="008A2873" w:rsidP="008A2873">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Parent Experience in European Region</w:t>
            </w:r>
          </w:p>
        </w:tc>
        <w:tc>
          <w:tcPr>
            <w:tcW w:w="6638" w:type="dxa"/>
            <w:shd w:val="clear" w:color="auto" w:fill="auto"/>
            <w:vAlign w:val="center"/>
          </w:tcPr>
          <w:p w14:paraId="1F4778A2" w14:textId="77777777" w:rsidR="008A2873" w:rsidRPr="006F5D71" w:rsidRDefault="008A2873" w:rsidP="008A2873">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Number of foreign subsidiaries in European Region</w:t>
            </w:r>
            <w:r w:rsidR="00163B9C">
              <w:rPr>
                <w:rFonts w:cs="Times New Roman"/>
                <w:color w:val="000000" w:themeColor="text1"/>
                <w:sz w:val="20"/>
                <w:szCs w:val="20"/>
              </w:rPr>
              <w:t>.</w:t>
            </w:r>
            <w:r w:rsidRPr="006F5D71">
              <w:rPr>
                <w:rFonts w:cs="Times New Roman"/>
                <w:color w:val="000000" w:themeColor="text1"/>
                <w:sz w:val="20"/>
                <w:szCs w:val="20"/>
              </w:rPr>
              <w:t xml:space="preserve"> </w:t>
            </w:r>
          </w:p>
        </w:tc>
      </w:tr>
      <w:tr w:rsidR="00727A9B" w:rsidRPr="006F5D71" w14:paraId="08DB61A8" w14:textId="77777777" w:rsidTr="00D17530">
        <w:trPr>
          <w:trHeight w:val="233"/>
          <w:jc w:val="center"/>
        </w:trPr>
        <w:tc>
          <w:tcPr>
            <w:tcW w:w="2160" w:type="dxa"/>
            <w:vMerge/>
            <w:tcBorders>
              <w:top w:val="single" w:sz="4" w:space="0" w:color="auto"/>
              <w:bottom w:val="single" w:sz="4" w:space="0" w:color="auto"/>
            </w:tcBorders>
            <w:shd w:val="clear" w:color="auto" w:fill="auto"/>
            <w:vAlign w:val="center"/>
          </w:tcPr>
          <w:p w14:paraId="529DEC8E" w14:textId="77777777" w:rsidR="008A2873" w:rsidRPr="006F5D71" w:rsidRDefault="008A2873" w:rsidP="008A2873">
            <w:pPr>
              <w:widowControl w:val="0"/>
              <w:autoSpaceDE w:val="0"/>
              <w:autoSpaceDN w:val="0"/>
              <w:adjustRightInd w:val="0"/>
              <w:spacing w:after="0" w:line="240" w:lineRule="auto"/>
              <w:rPr>
                <w:rFonts w:cs="Times New Roman"/>
                <w:color w:val="000000" w:themeColor="text1"/>
                <w:sz w:val="20"/>
                <w:szCs w:val="20"/>
              </w:rPr>
            </w:pPr>
          </w:p>
        </w:tc>
        <w:tc>
          <w:tcPr>
            <w:tcW w:w="2700" w:type="dxa"/>
            <w:tcBorders>
              <w:left w:val="nil"/>
            </w:tcBorders>
            <w:shd w:val="clear" w:color="auto" w:fill="auto"/>
            <w:vAlign w:val="center"/>
          </w:tcPr>
          <w:p w14:paraId="0F88D303" w14:textId="77777777" w:rsidR="008A2873" w:rsidRPr="006F5D71" w:rsidRDefault="008A2873" w:rsidP="008A2873">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Parent Experience in African Region</w:t>
            </w:r>
          </w:p>
        </w:tc>
        <w:tc>
          <w:tcPr>
            <w:tcW w:w="6638" w:type="dxa"/>
            <w:shd w:val="clear" w:color="auto" w:fill="auto"/>
            <w:vAlign w:val="center"/>
          </w:tcPr>
          <w:p w14:paraId="0F13E240" w14:textId="77777777" w:rsidR="008A2873" w:rsidRPr="006F5D71" w:rsidRDefault="008A2873" w:rsidP="008A2873">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Number of foreign subsidiaries in African Region</w:t>
            </w:r>
            <w:r w:rsidR="00163B9C">
              <w:rPr>
                <w:rFonts w:cs="Times New Roman"/>
                <w:color w:val="000000" w:themeColor="text1"/>
                <w:sz w:val="20"/>
                <w:szCs w:val="20"/>
              </w:rPr>
              <w:t>.</w:t>
            </w:r>
          </w:p>
        </w:tc>
      </w:tr>
      <w:tr w:rsidR="00727A9B" w:rsidRPr="006F5D71" w14:paraId="7575E26B" w14:textId="77777777" w:rsidTr="00D17530">
        <w:trPr>
          <w:trHeight w:val="233"/>
          <w:jc w:val="center"/>
        </w:trPr>
        <w:tc>
          <w:tcPr>
            <w:tcW w:w="2160" w:type="dxa"/>
            <w:vMerge/>
            <w:tcBorders>
              <w:top w:val="single" w:sz="4" w:space="0" w:color="auto"/>
              <w:bottom w:val="single" w:sz="4" w:space="0" w:color="auto"/>
            </w:tcBorders>
            <w:shd w:val="clear" w:color="auto" w:fill="auto"/>
            <w:vAlign w:val="center"/>
          </w:tcPr>
          <w:p w14:paraId="633E2A8B" w14:textId="77777777" w:rsidR="008A2873" w:rsidRPr="006F5D71" w:rsidRDefault="008A2873" w:rsidP="008A2873">
            <w:pPr>
              <w:widowControl w:val="0"/>
              <w:autoSpaceDE w:val="0"/>
              <w:autoSpaceDN w:val="0"/>
              <w:adjustRightInd w:val="0"/>
              <w:spacing w:after="0" w:line="240" w:lineRule="auto"/>
              <w:rPr>
                <w:rFonts w:cs="Times New Roman"/>
                <w:color w:val="000000" w:themeColor="text1"/>
                <w:sz w:val="20"/>
                <w:szCs w:val="20"/>
              </w:rPr>
            </w:pPr>
          </w:p>
        </w:tc>
        <w:tc>
          <w:tcPr>
            <w:tcW w:w="2700" w:type="dxa"/>
            <w:tcBorders>
              <w:left w:val="nil"/>
            </w:tcBorders>
            <w:shd w:val="clear" w:color="auto" w:fill="auto"/>
            <w:vAlign w:val="center"/>
          </w:tcPr>
          <w:p w14:paraId="62F2FF65" w14:textId="77777777" w:rsidR="008A2873" w:rsidRPr="006F5D71" w:rsidRDefault="008A2873" w:rsidP="008A2873">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Parent Experience in Asian Region</w:t>
            </w:r>
          </w:p>
        </w:tc>
        <w:tc>
          <w:tcPr>
            <w:tcW w:w="6638" w:type="dxa"/>
            <w:shd w:val="clear" w:color="auto" w:fill="auto"/>
            <w:vAlign w:val="center"/>
          </w:tcPr>
          <w:p w14:paraId="1F3CAAEC" w14:textId="77777777" w:rsidR="008A2873" w:rsidRPr="006F5D71" w:rsidRDefault="008A2873" w:rsidP="008A2873">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Number of foreign subsidiaries in Asian Region</w:t>
            </w:r>
            <w:r w:rsidR="00163B9C">
              <w:rPr>
                <w:rFonts w:cs="Times New Roman"/>
                <w:color w:val="000000" w:themeColor="text1"/>
                <w:sz w:val="20"/>
                <w:szCs w:val="20"/>
              </w:rPr>
              <w:t>.</w:t>
            </w:r>
          </w:p>
        </w:tc>
      </w:tr>
      <w:tr w:rsidR="00727A9B" w:rsidRPr="006F5D71" w14:paraId="2F11A995" w14:textId="77777777" w:rsidTr="00D17530">
        <w:trPr>
          <w:trHeight w:val="233"/>
          <w:jc w:val="center"/>
        </w:trPr>
        <w:tc>
          <w:tcPr>
            <w:tcW w:w="2160" w:type="dxa"/>
            <w:vMerge/>
            <w:tcBorders>
              <w:top w:val="single" w:sz="4" w:space="0" w:color="auto"/>
              <w:bottom w:val="single" w:sz="4" w:space="0" w:color="auto"/>
            </w:tcBorders>
            <w:shd w:val="clear" w:color="auto" w:fill="auto"/>
            <w:vAlign w:val="center"/>
          </w:tcPr>
          <w:p w14:paraId="467C1609" w14:textId="77777777" w:rsidR="008A2873" w:rsidRPr="006F5D71" w:rsidRDefault="008A2873" w:rsidP="008A2873">
            <w:pPr>
              <w:widowControl w:val="0"/>
              <w:autoSpaceDE w:val="0"/>
              <w:autoSpaceDN w:val="0"/>
              <w:adjustRightInd w:val="0"/>
              <w:spacing w:after="0" w:line="240" w:lineRule="auto"/>
              <w:rPr>
                <w:rFonts w:cs="Times New Roman"/>
                <w:color w:val="000000" w:themeColor="text1"/>
                <w:sz w:val="20"/>
                <w:szCs w:val="20"/>
              </w:rPr>
            </w:pPr>
          </w:p>
        </w:tc>
        <w:tc>
          <w:tcPr>
            <w:tcW w:w="2700" w:type="dxa"/>
            <w:tcBorders>
              <w:left w:val="nil"/>
            </w:tcBorders>
            <w:shd w:val="clear" w:color="auto" w:fill="auto"/>
            <w:vAlign w:val="center"/>
          </w:tcPr>
          <w:p w14:paraId="21663827" w14:textId="77777777" w:rsidR="008A2873" w:rsidRPr="006F5D71" w:rsidRDefault="008A2873" w:rsidP="008A2873">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Parent Experience in Arab Region</w:t>
            </w:r>
          </w:p>
        </w:tc>
        <w:tc>
          <w:tcPr>
            <w:tcW w:w="6638" w:type="dxa"/>
            <w:shd w:val="clear" w:color="auto" w:fill="auto"/>
            <w:vAlign w:val="center"/>
          </w:tcPr>
          <w:p w14:paraId="698504AF" w14:textId="77777777" w:rsidR="008A2873" w:rsidRPr="006F5D71" w:rsidRDefault="008A2873" w:rsidP="008A2873">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Number of foreign subsidiaries in Arab Region</w:t>
            </w:r>
            <w:r w:rsidR="00163B9C">
              <w:rPr>
                <w:rFonts w:cs="Times New Roman"/>
                <w:color w:val="000000" w:themeColor="text1"/>
                <w:sz w:val="20"/>
                <w:szCs w:val="20"/>
              </w:rPr>
              <w:t>.</w:t>
            </w:r>
          </w:p>
        </w:tc>
      </w:tr>
      <w:tr w:rsidR="00727A9B" w:rsidRPr="006F5D71" w14:paraId="7BDF227F" w14:textId="77777777" w:rsidTr="00D17530">
        <w:trPr>
          <w:trHeight w:val="233"/>
          <w:jc w:val="center"/>
        </w:trPr>
        <w:tc>
          <w:tcPr>
            <w:tcW w:w="2160" w:type="dxa"/>
            <w:vMerge/>
            <w:tcBorders>
              <w:top w:val="single" w:sz="4" w:space="0" w:color="auto"/>
              <w:bottom w:val="single" w:sz="4" w:space="0" w:color="auto"/>
            </w:tcBorders>
            <w:shd w:val="clear" w:color="auto" w:fill="auto"/>
            <w:vAlign w:val="center"/>
          </w:tcPr>
          <w:p w14:paraId="53A38435" w14:textId="77777777" w:rsidR="008A2873" w:rsidRPr="006F5D71" w:rsidRDefault="008A2873" w:rsidP="008A2873">
            <w:pPr>
              <w:widowControl w:val="0"/>
              <w:autoSpaceDE w:val="0"/>
              <w:autoSpaceDN w:val="0"/>
              <w:adjustRightInd w:val="0"/>
              <w:spacing w:after="0" w:line="240" w:lineRule="auto"/>
              <w:rPr>
                <w:rFonts w:cs="Times New Roman"/>
                <w:color w:val="000000" w:themeColor="text1"/>
                <w:sz w:val="20"/>
                <w:szCs w:val="20"/>
              </w:rPr>
            </w:pPr>
          </w:p>
        </w:tc>
        <w:tc>
          <w:tcPr>
            <w:tcW w:w="2700" w:type="dxa"/>
            <w:tcBorders>
              <w:left w:val="nil"/>
            </w:tcBorders>
            <w:shd w:val="clear" w:color="auto" w:fill="auto"/>
            <w:vAlign w:val="center"/>
          </w:tcPr>
          <w:p w14:paraId="4313BF3E" w14:textId="77777777" w:rsidR="008A2873" w:rsidRPr="006F5D71" w:rsidRDefault="008A2873" w:rsidP="008A2873">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Subsidiary Size</w:t>
            </w:r>
          </w:p>
        </w:tc>
        <w:tc>
          <w:tcPr>
            <w:tcW w:w="6638" w:type="dxa"/>
            <w:shd w:val="clear" w:color="auto" w:fill="auto"/>
            <w:vAlign w:val="center"/>
          </w:tcPr>
          <w:p w14:paraId="679C8D21" w14:textId="77777777" w:rsidR="008A2873" w:rsidRPr="006F5D71" w:rsidRDefault="008A2873" w:rsidP="008A2873">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Natural log of number of employees of subsidiary</w:t>
            </w:r>
            <w:r w:rsidR="00163B9C">
              <w:rPr>
                <w:rFonts w:cs="Times New Roman"/>
                <w:color w:val="000000" w:themeColor="text1"/>
                <w:sz w:val="20"/>
                <w:szCs w:val="20"/>
              </w:rPr>
              <w:t>.</w:t>
            </w:r>
          </w:p>
        </w:tc>
      </w:tr>
      <w:tr w:rsidR="00727A9B" w:rsidRPr="006F5D71" w14:paraId="7E3285AD" w14:textId="77777777" w:rsidTr="00D17530">
        <w:trPr>
          <w:trHeight w:val="233"/>
          <w:jc w:val="center"/>
        </w:trPr>
        <w:tc>
          <w:tcPr>
            <w:tcW w:w="2160" w:type="dxa"/>
            <w:vMerge/>
            <w:tcBorders>
              <w:top w:val="single" w:sz="4" w:space="0" w:color="auto"/>
              <w:bottom w:val="single" w:sz="4" w:space="0" w:color="auto"/>
            </w:tcBorders>
            <w:shd w:val="clear" w:color="auto" w:fill="auto"/>
            <w:vAlign w:val="center"/>
          </w:tcPr>
          <w:p w14:paraId="3A3B577A" w14:textId="77777777" w:rsidR="008A2873" w:rsidRPr="006F5D71" w:rsidRDefault="008A2873" w:rsidP="008A2873">
            <w:pPr>
              <w:widowControl w:val="0"/>
              <w:autoSpaceDE w:val="0"/>
              <w:autoSpaceDN w:val="0"/>
              <w:adjustRightInd w:val="0"/>
              <w:spacing w:after="0" w:line="240" w:lineRule="auto"/>
              <w:rPr>
                <w:rFonts w:cs="Times New Roman"/>
                <w:color w:val="000000" w:themeColor="text1"/>
                <w:sz w:val="20"/>
                <w:szCs w:val="20"/>
              </w:rPr>
            </w:pPr>
          </w:p>
        </w:tc>
        <w:tc>
          <w:tcPr>
            <w:tcW w:w="2700" w:type="dxa"/>
            <w:tcBorders>
              <w:left w:val="nil"/>
            </w:tcBorders>
            <w:shd w:val="clear" w:color="auto" w:fill="auto"/>
            <w:vAlign w:val="center"/>
          </w:tcPr>
          <w:p w14:paraId="1197A82F" w14:textId="77777777" w:rsidR="008A2873" w:rsidRPr="006F5D71" w:rsidRDefault="008A2873" w:rsidP="008A2873">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Leverage</w:t>
            </w:r>
          </w:p>
        </w:tc>
        <w:tc>
          <w:tcPr>
            <w:tcW w:w="6638" w:type="dxa"/>
            <w:shd w:val="clear" w:color="auto" w:fill="auto"/>
            <w:vAlign w:val="center"/>
          </w:tcPr>
          <w:p w14:paraId="021BC3C8" w14:textId="77777777" w:rsidR="008A2873" w:rsidRPr="006F5D71" w:rsidRDefault="008A2873" w:rsidP="008A2873">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Debt to asset ratio</w:t>
            </w:r>
            <w:r w:rsidR="00163B9C">
              <w:rPr>
                <w:rFonts w:cs="Times New Roman"/>
                <w:color w:val="000000" w:themeColor="text1"/>
                <w:sz w:val="20"/>
                <w:szCs w:val="20"/>
              </w:rPr>
              <w:t>.</w:t>
            </w:r>
          </w:p>
        </w:tc>
      </w:tr>
      <w:tr w:rsidR="00727A9B" w:rsidRPr="006F5D71" w14:paraId="2DAAEC33" w14:textId="77777777" w:rsidTr="00D17530">
        <w:trPr>
          <w:trHeight w:val="233"/>
          <w:jc w:val="center"/>
        </w:trPr>
        <w:tc>
          <w:tcPr>
            <w:tcW w:w="2160" w:type="dxa"/>
            <w:vMerge/>
            <w:tcBorders>
              <w:top w:val="single" w:sz="4" w:space="0" w:color="auto"/>
              <w:bottom w:val="single" w:sz="4" w:space="0" w:color="auto"/>
            </w:tcBorders>
            <w:shd w:val="clear" w:color="auto" w:fill="auto"/>
            <w:vAlign w:val="center"/>
          </w:tcPr>
          <w:p w14:paraId="733F3CA0" w14:textId="77777777" w:rsidR="008A2873" w:rsidRPr="006F5D71" w:rsidRDefault="008A2873" w:rsidP="008A2873">
            <w:pPr>
              <w:widowControl w:val="0"/>
              <w:autoSpaceDE w:val="0"/>
              <w:autoSpaceDN w:val="0"/>
              <w:adjustRightInd w:val="0"/>
              <w:spacing w:after="0" w:line="240" w:lineRule="auto"/>
              <w:rPr>
                <w:rFonts w:cs="Times New Roman"/>
                <w:color w:val="000000" w:themeColor="text1"/>
                <w:sz w:val="20"/>
                <w:szCs w:val="20"/>
              </w:rPr>
            </w:pPr>
          </w:p>
        </w:tc>
        <w:tc>
          <w:tcPr>
            <w:tcW w:w="2700" w:type="dxa"/>
            <w:tcBorders>
              <w:left w:val="nil"/>
            </w:tcBorders>
            <w:shd w:val="clear" w:color="auto" w:fill="auto"/>
            <w:vAlign w:val="center"/>
          </w:tcPr>
          <w:p w14:paraId="5C05C3EE" w14:textId="77777777" w:rsidR="008A2873" w:rsidRPr="006F5D71" w:rsidRDefault="008A2873" w:rsidP="008A2873">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State Affiliation</w:t>
            </w:r>
          </w:p>
        </w:tc>
        <w:tc>
          <w:tcPr>
            <w:tcW w:w="6638" w:type="dxa"/>
            <w:shd w:val="clear" w:color="auto" w:fill="auto"/>
            <w:vAlign w:val="center"/>
          </w:tcPr>
          <w:p w14:paraId="643A5A66" w14:textId="77777777" w:rsidR="008A2873" w:rsidRPr="006F5D71" w:rsidRDefault="008A2873" w:rsidP="008A2873">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Dummy takes 1 if a subsidiary belongs to state-owned parent firm</w:t>
            </w:r>
            <w:r w:rsidR="00163B9C">
              <w:rPr>
                <w:rFonts w:cs="Times New Roman"/>
                <w:color w:val="000000" w:themeColor="text1"/>
                <w:sz w:val="20"/>
                <w:szCs w:val="20"/>
              </w:rPr>
              <w:t>.</w:t>
            </w:r>
          </w:p>
        </w:tc>
      </w:tr>
      <w:tr w:rsidR="00727A9B" w:rsidRPr="006F5D71" w14:paraId="38F9E46A" w14:textId="77777777" w:rsidTr="00D17530">
        <w:trPr>
          <w:trHeight w:val="233"/>
          <w:jc w:val="center"/>
        </w:trPr>
        <w:tc>
          <w:tcPr>
            <w:tcW w:w="2160" w:type="dxa"/>
            <w:vMerge/>
            <w:tcBorders>
              <w:top w:val="single" w:sz="4" w:space="0" w:color="auto"/>
              <w:bottom w:val="single" w:sz="4" w:space="0" w:color="auto"/>
            </w:tcBorders>
            <w:shd w:val="clear" w:color="auto" w:fill="auto"/>
            <w:vAlign w:val="center"/>
          </w:tcPr>
          <w:p w14:paraId="11341EA5" w14:textId="77777777" w:rsidR="008A2873" w:rsidRPr="006F5D71" w:rsidRDefault="008A2873" w:rsidP="008A2873">
            <w:pPr>
              <w:widowControl w:val="0"/>
              <w:autoSpaceDE w:val="0"/>
              <w:autoSpaceDN w:val="0"/>
              <w:adjustRightInd w:val="0"/>
              <w:spacing w:after="0" w:line="240" w:lineRule="auto"/>
              <w:rPr>
                <w:rFonts w:cs="Times New Roman"/>
                <w:color w:val="000000" w:themeColor="text1"/>
                <w:sz w:val="20"/>
                <w:szCs w:val="20"/>
              </w:rPr>
            </w:pPr>
          </w:p>
        </w:tc>
        <w:tc>
          <w:tcPr>
            <w:tcW w:w="2700" w:type="dxa"/>
            <w:tcBorders>
              <w:left w:val="nil"/>
            </w:tcBorders>
            <w:shd w:val="clear" w:color="auto" w:fill="auto"/>
            <w:vAlign w:val="center"/>
          </w:tcPr>
          <w:p w14:paraId="178869AC" w14:textId="77777777" w:rsidR="008A2873" w:rsidRPr="006F5D71" w:rsidRDefault="008A2873" w:rsidP="008A2873">
            <w:pPr>
              <w:widowControl w:val="0"/>
              <w:autoSpaceDE w:val="0"/>
              <w:autoSpaceDN w:val="0"/>
              <w:adjustRightInd w:val="0"/>
              <w:spacing w:after="0" w:line="240" w:lineRule="auto"/>
              <w:rPr>
                <w:rFonts w:cs="Times New Roman"/>
                <w:i/>
                <w:iCs/>
                <w:color w:val="000000" w:themeColor="text1"/>
                <w:sz w:val="20"/>
                <w:szCs w:val="20"/>
              </w:rPr>
            </w:pPr>
            <w:bookmarkStart w:id="10" w:name="_Hlk63768397"/>
            <w:r w:rsidRPr="006F5D71">
              <w:rPr>
                <w:rFonts w:cs="Times New Roman"/>
                <w:i/>
                <w:iCs/>
                <w:color w:val="000000" w:themeColor="text1"/>
                <w:sz w:val="20"/>
                <w:szCs w:val="20"/>
              </w:rPr>
              <w:t>China Dummy</w:t>
            </w:r>
            <w:bookmarkEnd w:id="10"/>
          </w:p>
        </w:tc>
        <w:tc>
          <w:tcPr>
            <w:tcW w:w="6638" w:type="dxa"/>
            <w:shd w:val="clear" w:color="auto" w:fill="auto"/>
            <w:vAlign w:val="center"/>
          </w:tcPr>
          <w:p w14:paraId="674ABB22" w14:textId="77777777" w:rsidR="008A2873" w:rsidRPr="006F5D71" w:rsidRDefault="008A2873" w:rsidP="008A2873">
            <w:pPr>
              <w:widowControl w:val="0"/>
              <w:autoSpaceDE w:val="0"/>
              <w:autoSpaceDN w:val="0"/>
              <w:adjustRightInd w:val="0"/>
              <w:spacing w:after="0" w:line="240" w:lineRule="auto"/>
              <w:jc w:val="both"/>
              <w:rPr>
                <w:rFonts w:cs="Times New Roman"/>
                <w:color w:val="000000" w:themeColor="text1"/>
                <w:sz w:val="20"/>
                <w:szCs w:val="20"/>
              </w:rPr>
            </w:pPr>
            <w:bookmarkStart w:id="11" w:name="_Hlk63768420"/>
            <w:r w:rsidRPr="006F5D71">
              <w:rPr>
                <w:rFonts w:cs="Times New Roman"/>
                <w:color w:val="000000" w:themeColor="text1"/>
                <w:sz w:val="20"/>
                <w:szCs w:val="20"/>
              </w:rPr>
              <w:t>Dummy takes 1 if a subsidiary belongs to Chinese parent firms</w:t>
            </w:r>
            <w:bookmarkEnd w:id="11"/>
            <w:r w:rsidR="00163B9C">
              <w:rPr>
                <w:rFonts w:cs="Times New Roman"/>
                <w:color w:val="000000" w:themeColor="text1"/>
                <w:sz w:val="20"/>
                <w:szCs w:val="20"/>
              </w:rPr>
              <w:t>.</w:t>
            </w:r>
          </w:p>
        </w:tc>
      </w:tr>
      <w:tr w:rsidR="00727A9B" w:rsidRPr="006F5D71" w14:paraId="21940B92" w14:textId="77777777" w:rsidTr="00D17530">
        <w:trPr>
          <w:trHeight w:val="233"/>
          <w:jc w:val="center"/>
        </w:trPr>
        <w:tc>
          <w:tcPr>
            <w:tcW w:w="2160" w:type="dxa"/>
            <w:vMerge/>
            <w:tcBorders>
              <w:top w:val="single" w:sz="4" w:space="0" w:color="auto"/>
              <w:bottom w:val="single" w:sz="4" w:space="0" w:color="auto"/>
            </w:tcBorders>
            <w:shd w:val="clear" w:color="auto" w:fill="auto"/>
            <w:vAlign w:val="center"/>
          </w:tcPr>
          <w:p w14:paraId="65BC80E9" w14:textId="77777777" w:rsidR="008A2873" w:rsidRPr="006F5D71" w:rsidRDefault="008A2873" w:rsidP="008A2873">
            <w:pPr>
              <w:widowControl w:val="0"/>
              <w:autoSpaceDE w:val="0"/>
              <w:autoSpaceDN w:val="0"/>
              <w:adjustRightInd w:val="0"/>
              <w:spacing w:after="0" w:line="240" w:lineRule="auto"/>
              <w:rPr>
                <w:rFonts w:cs="Times New Roman"/>
                <w:color w:val="000000" w:themeColor="text1"/>
                <w:sz w:val="20"/>
                <w:szCs w:val="20"/>
              </w:rPr>
            </w:pPr>
          </w:p>
        </w:tc>
        <w:tc>
          <w:tcPr>
            <w:tcW w:w="2700" w:type="dxa"/>
            <w:tcBorders>
              <w:left w:val="nil"/>
            </w:tcBorders>
            <w:shd w:val="clear" w:color="auto" w:fill="auto"/>
            <w:vAlign w:val="center"/>
          </w:tcPr>
          <w:p w14:paraId="0BAA52A6" w14:textId="77777777" w:rsidR="008A2873" w:rsidRPr="006F5D71" w:rsidRDefault="008A2873" w:rsidP="008A2873">
            <w:pPr>
              <w:widowControl w:val="0"/>
              <w:autoSpaceDE w:val="0"/>
              <w:autoSpaceDN w:val="0"/>
              <w:adjustRightInd w:val="0"/>
              <w:spacing w:after="0" w:line="240" w:lineRule="auto"/>
              <w:rPr>
                <w:rFonts w:cs="Times New Roman"/>
                <w:i/>
                <w:iCs/>
                <w:color w:val="000000" w:themeColor="text1"/>
                <w:sz w:val="20"/>
                <w:szCs w:val="20"/>
              </w:rPr>
            </w:pPr>
            <w:bookmarkStart w:id="12" w:name="_Hlk63768452"/>
            <w:r w:rsidRPr="006F5D71">
              <w:rPr>
                <w:rFonts w:cs="Times New Roman"/>
                <w:i/>
                <w:iCs/>
                <w:color w:val="000000" w:themeColor="text1"/>
                <w:sz w:val="20"/>
                <w:szCs w:val="20"/>
              </w:rPr>
              <w:t>Subsidiary Age</w:t>
            </w:r>
            <w:bookmarkEnd w:id="12"/>
          </w:p>
        </w:tc>
        <w:tc>
          <w:tcPr>
            <w:tcW w:w="6638" w:type="dxa"/>
            <w:shd w:val="clear" w:color="auto" w:fill="auto"/>
            <w:vAlign w:val="center"/>
          </w:tcPr>
          <w:p w14:paraId="20316247" w14:textId="77777777" w:rsidR="008A2873" w:rsidRPr="006F5D71" w:rsidRDefault="008A2873" w:rsidP="008A2873">
            <w:pPr>
              <w:widowControl w:val="0"/>
              <w:autoSpaceDE w:val="0"/>
              <w:autoSpaceDN w:val="0"/>
              <w:adjustRightInd w:val="0"/>
              <w:spacing w:after="0" w:line="240" w:lineRule="auto"/>
              <w:jc w:val="both"/>
              <w:rPr>
                <w:rFonts w:cs="Times New Roman"/>
                <w:color w:val="000000" w:themeColor="text1"/>
                <w:sz w:val="20"/>
                <w:szCs w:val="20"/>
              </w:rPr>
            </w:pPr>
            <w:bookmarkStart w:id="13" w:name="_Hlk63768472"/>
            <w:r w:rsidRPr="006F5D71">
              <w:rPr>
                <w:rFonts w:cs="Times New Roman"/>
                <w:color w:val="000000" w:themeColor="text1"/>
                <w:sz w:val="20"/>
                <w:szCs w:val="20"/>
              </w:rPr>
              <w:t>Difference between current year and founding year</w:t>
            </w:r>
            <w:bookmarkEnd w:id="13"/>
            <w:r w:rsidR="00163B9C">
              <w:rPr>
                <w:rFonts w:cs="Times New Roman"/>
                <w:color w:val="000000" w:themeColor="text1"/>
                <w:sz w:val="20"/>
                <w:szCs w:val="20"/>
              </w:rPr>
              <w:t>.</w:t>
            </w:r>
          </w:p>
        </w:tc>
      </w:tr>
      <w:tr w:rsidR="00727A9B" w:rsidRPr="006F5D71" w14:paraId="69D6559F" w14:textId="77777777" w:rsidTr="00D17530">
        <w:trPr>
          <w:trHeight w:val="233"/>
          <w:jc w:val="center"/>
        </w:trPr>
        <w:tc>
          <w:tcPr>
            <w:tcW w:w="2160" w:type="dxa"/>
            <w:vMerge/>
            <w:tcBorders>
              <w:top w:val="single" w:sz="4" w:space="0" w:color="auto"/>
              <w:bottom w:val="single" w:sz="4" w:space="0" w:color="auto"/>
            </w:tcBorders>
            <w:shd w:val="clear" w:color="auto" w:fill="auto"/>
            <w:vAlign w:val="center"/>
          </w:tcPr>
          <w:p w14:paraId="478CA858" w14:textId="77777777" w:rsidR="008A2873" w:rsidRPr="006F5D71" w:rsidRDefault="008A2873" w:rsidP="008A2873">
            <w:pPr>
              <w:widowControl w:val="0"/>
              <w:autoSpaceDE w:val="0"/>
              <w:autoSpaceDN w:val="0"/>
              <w:adjustRightInd w:val="0"/>
              <w:spacing w:after="0" w:line="240" w:lineRule="auto"/>
              <w:rPr>
                <w:rFonts w:cs="Times New Roman"/>
                <w:color w:val="000000" w:themeColor="text1"/>
                <w:sz w:val="20"/>
                <w:szCs w:val="20"/>
              </w:rPr>
            </w:pPr>
          </w:p>
        </w:tc>
        <w:tc>
          <w:tcPr>
            <w:tcW w:w="2700" w:type="dxa"/>
            <w:tcBorders>
              <w:left w:val="nil"/>
              <w:bottom w:val="single" w:sz="4" w:space="0" w:color="auto"/>
            </w:tcBorders>
            <w:shd w:val="clear" w:color="auto" w:fill="auto"/>
            <w:vAlign w:val="center"/>
          </w:tcPr>
          <w:p w14:paraId="7A231CAB" w14:textId="77777777" w:rsidR="008A2873" w:rsidRPr="006F5D71" w:rsidRDefault="008A2873" w:rsidP="008A2873">
            <w:pPr>
              <w:widowControl w:val="0"/>
              <w:autoSpaceDE w:val="0"/>
              <w:autoSpaceDN w:val="0"/>
              <w:adjustRightInd w:val="0"/>
              <w:spacing w:after="0" w:line="240" w:lineRule="auto"/>
              <w:rPr>
                <w:rFonts w:cs="Times New Roman"/>
                <w:i/>
                <w:iCs/>
                <w:color w:val="000000" w:themeColor="text1"/>
                <w:sz w:val="20"/>
                <w:szCs w:val="20"/>
              </w:rPr>
            </w:pPr>
            <w:r w:rsidRPr="006F5D71">
              <w:rPr>
                <w:rFonts w:cs="Times New Roman"/>
                <w:i/>
                <w:iCs/>
                <w:color w:val="000000" w:themeColor="text1"/>
                <w:sz w:val="20"/>
                <w:szCs w:val="20"/>
              </w:rPr>
              <w:t>Family Controlled</w:t>
            </w:r>
          </w:p>
        </w:tc>
        <w:tc>
          <w:tcPr>
            <w:tcW w:w="6638" w:type="dxa"/>
            <w:tcBorders>
              <w:bottom w:val="single" w:sz="4" w:space="0" w:color="auto"/>
            </w:tcBorders>
            <w:shd w:val="clear" w:color="auto" w:fill="auto"/>
            <w:vAlign w:val="center"/>
          </w:tcPr>
          <w:p w14:paraId="300FD11F" w14:textId="77777777" w:rsidR="008A2873" w:rsidRPr="006F5D71" w:rsidRDefault="008A2873" w:rsidP="008A2873">
            <w:pPr>
              <w:widowControl w:val="0"/>
              <w:autoSpaceDE w:val="0"/>
              <w:autoSpaceDN w:val="0"/>
              <w:adjustRightInd w:val="0"/>
              <w:spacing w:after="0" w:line="240" w:lineRule="auto"/>
              <w:jc w:val="both"/>
              <w:rPr>
                <w:rFonts w:cs="Times New Roman"/>
                <w:color w:val="000000" w:themeColor="text1"/>
                <w:sz w:val="20"/>
                <w:szCs w:val="20"/>
              </w:rPr>
            </w:pPr>
            <w:r w:rsidRPr="006F5D71">
              <w:rPr>
                <w:rFonts w:cs="Times New Roman"/>
                <w:color w:val="000000" w:themeColor="text1"/>
                <w:sz w:val="20"/>
                <w:szCs w:val="20"/>
              </w:rPr>
              <w:t>Dummy takes 1 if a subsidiary is controlled by one family or sets of families</w:t>
            </w:r>
            <w:r w:rsidR="00163B9C">
              <w:rPr>
                <w:rFonts w:cs="Times New Roman"/>
                <w:color w:val="000000" w:themeColor="text1"/>
                <w:sz w:val="20"/>
                <w:szCs w:val="20"/>
              </w:rPr>
              <w:t>.</w:t>
            </w:r>
          </w:p>
        </w:tc>
      </w:tr>
    </w:tbl>
    <w:p w14:paraId="5E9F99EA" w14:textId="77777777" w:rsidR="00AB09BA" w:rsidRPr="006F5D71" w:rsidRDefault="00AB09BA" w:rsidP="00726768">
      <w:pPr>
        <w:widowControl w:val="0"/>
        <w:autoSpaceDE w:val="0"/>
        <w:autoSpaceDN w:val="0"/>
        <w:adjustRightInd w:val="0"/>
        <w:spacing w:after="0" w:line="240" w:lineRule="auto"/>
        <w:rPr>
          <w:rFonts w:cs="Times New Roman"/>
          <w:color w:val="000000" w:themeColor="text1"/>
          <w:szCs w:val="24"/>
        </w:rPr>
        <w:sectPr w:rsidR="00AB09BA" w:rsidRPr="006F5D71" w:rsidSect="00C326AE">
          <w:footerReference w:type="default" r:id="rId11"/>
          <w:pgSz w:w="11906" w:h="16838" w:code="9"/>
          <w:pgMar w:top="1440" w:right="1440" w:bottom="1440" w:left="1440" w:header="720" w:footer="720" w:gutter="0"/>
          <w:cols w:space="720"/>
          <w:docGrid w:linePitch="360"/>
        </w:sectPr>
      </w:pPr>
    </w:p>
    <w:p w14:paraId="2BE08817" w14:textId="77777777" w:rsidR="00180124" w:rsidRPr="006F5D71" w:rsidRDefault="00180124" w:rsidP="00180124">
      <w:pPr>
        <w:spacing w:after="0"/>
        <w:rPr>
          <w:rFonts w:cs="Times New Roman"/>
          <w:b/>
          <w:bCs/>
          <w:color w:val="000000" w:themeColor="text1"/>
          <w:szCs w:val="24"/>
        </w:rPr>
      </w:pPr>
      <w:r w:rsidRPr="006F5D71">
        <w:rPr>
          <w:rFonts w:cs="Times New Roman"/>
          <w:b/>
          <w:bCs/>
          <w:color w:val="000000" w:themeColor="text1"/>
          <w:szCs w:val="24"/>
        </w:rPr>
        <w:lastRenderedPageBreak/>
        <w:t>Table 2: Descriptive</w:t>
      </w:r>
    </w:p>
    <w:tbl>
      <w:tblPr>
        <w:tblW w:w="13651" w:type="dxa"/>
        <w:tblLook w:val="04A0" w:firstRow="1" w:lastRow="0" w:firstColumn="1" w:lastColumn="0" w:noHBand="0" w:noVBand="1"/>
      </w:tblPr>
      <w:tblGrid>
        <w:gridCol w:w="3845"/>
        <w:gridCol w:w="811"/>
        <w:gridCol w:w="983"/>
        <w:gridCol w:w="1088"/>
        <w:gridCol w:w="961"/>
        <w:gridCol w:w="986"/>
        <w:gridCol w:w="875"/>
        <w:gridCol w:w="918"/>
        <w:gridCol w:w="1153"/>
        <w:gridCol w:w="970"/>
        <w:gridCol w:w="1061"/>
      </w:tblGrid>
      <w:tr w:rsidR="00727A9B" w:rsidRPr="006F5D71" w14:paraId="5EC98872" w14:textId="77777777" w:rsidTr="00580EE3">
        <w:trPr>
          <w:trHeight w:val="258"/>
        </w:trPr>
        <w:tc>
          <w:tcPr>
            <w:tcW w:w="3845" w:type="dxa"/>
            <w:tcBorders>
              <w:top w:val="single" w:sz="4" w:space="0" w:color="auto"/>
              <w:left w:val="nil"/>
              <w:bottom w:val="single" w:sz="4" w:space="0" w:color="auto"/>
              <w:right w:val="single" w:sz="4" w:space="0" w:color="auto"/>
            </w:tcBorders>
            <w:shd w:val="clear" w:color="auto" w:fill="auto"/>
            <w:noWrap/>
            <w:vAlign w:val="bottom"/>
            <w:hideMark/>
          </w:tcPr>
          <w:p w14:paraId="5FD1AB47" w14:textId="77777777" w:rsidR="00984916" w:rsidRPr="006F5D71" w:rsidRDefault="00984916" w:rsidP="00984916">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 </w:t>
            </w:r>
          </w:p>
        </w:tc>
        <w:tc>
          <w:tcPr>
            <w:tcW w:w="482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4A33B" w14:textId="77777777" w:rsidR="00984916" w:rsidRPr="006F5D71" w:rsidRDefault="00984916" w:rsidP="00984916">
            <w:pPr>
              <w:spacing w:after="0" w:line="240" w:lineRule="auto"/>
              <w:jc w:val="center"/>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North</w:t>
            </w:r>
          </w:p>
        </w:tc>
        <w:tc>
          <w:tcPr>
            <w:tcW w:w="4977" w:type="dxa"/>
            <w:gridSpan w:val="5"/>
            <w:tcBorders>
              <w:top w:val="single" w:sz="4" w:space="0" w:color="auto"/>
              <w:left w:val="single" w:sz="4" w:space="0" w:color="auto"/>
              <w:bottom w:val="single" w:sz="4" w:space="0" w:color="auto"/>
              <w:right w:val="nil"/>
            </w:tcBorders>
            <w:shd w:val="clear" w:color="auto" w:fill="auto"/>
            <w:noWrap/>
            <w:vAlign w:val="bottom"/>
            <w:hideMark/>
          </w:tcPr>
          <w:p w14:paraId="0C16B925" w14:textId="77777777" w:rsidR="00984916" w:rsidRPr="006F5D71" w:rsidRDefault="00984916" w:rsidP="00984916">
            <w:pPr>
              <w:spacing w:after="0" w:line="240" w:lineRule="auto"/>
              <w:jc w:val="center"/>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South</w:t>
            </w:r>
          </w:p>
        </w:tc>
      </w:tr>
      <w:tr w:rsidR="00727A9B" w:rsidRPr="006F5D71" w14:paraId="7B59C6A4" w14:textId="77777777" w:rsidTr="00580EE3">
        <w:trPr>
          <w:trHeight w:val="258"/>
        </w:trPr>
        <w:tc>
          <w:tcPr>
            <w:tcW w:w="3845" w:type="dxa"/>
            <w:tcBorders>
              <w:top w:val="nil"/>
              <w:left w:val="nil"/>
              <w:bottom w:val="single" w:sz="4" w:space="0" w:color="auto"/>
              <w:right w:val="single" w:sz="4" w:space="0" w:color="auto"/>
            </w:tcBorders>
            <w:shd w:val="clear" w:color="auto" w:fill="auto"/>
            <w:noWrap/>
            <w:vAlign w:val="bottom"/>
            <w:hideMark/>
          </w:tcPr>
          <w:p w14:paraId="74846C9B" w14:textId="77777777" w:rsidR="00984916" w:rsidRPr="006F5D71" w:rsidRDefault="00984916" w:rsidP="00984916">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Variable</w:t>
            </w:r>
          </w:p>
        </w:tc>
        <w:tc>
          <w:tcPr>
            <w:tcW w:w="811" w:type="dxa"/>
            <w:tcBorders>
              <w:top w:val="nil"/>
              <w:left w:val="single" w:sz="4" w:space="0" w:color="auto"/>
              <w:bottom w:val="single" w:sz="4" w:space="0" w:color="auto"/>
              <w:right w:val="nil"/>
            </w:tcBorders>
            <w:shd w:val="clear" w:color="auto" w:fill="auto"/>
            <w:noWrap/>
            <w:vAlign w:val="bottom"/>
            <w:hideMark/>
          </w:tcPr>
          <w:p w14:paraId="1747656E" w14:textId="77777777" w:rsidR="00984916" w:rsidRPr="006F5D71" w:rsidRDefault="00984916" w:rsidP="00984916">
            <w:pPr>
              <w:spacing w:after="0" w:line="240" w:lineRule="auto"/>
              <w:jc w:val="center"/>
              <w:rPr>
                <w:rFonts w:eastAsia="Times New Roman" w:cs="Times New Roman"/>
                <w:b/>
                <w:bCs/>
                <w:color w:val="000000" w:themeColor="text1"/>
                <w:sz w:val="20"/>
                <w:szCs w:val="20"/>
              </w:rPr>
            </w:pPr>
            <w:proofErr w:type="spellStart"/>
            <w:r w:rsidRPr="006F5D71">
              <w:rPr>
                <w:rFonts w:eastAsia="Times New Roman" w:cs="Times New Roman"/>
                <w:b/>
                <w:bCs/>
                <w:color w:val="000000" w:themeColor="text1"/>
                <w:sz w:val="20"/>
                <w:szCs w:val="20"/>
              </w:rPr>
              <w:t>Obs</w:t>
            </w:r>
            <w:proofErr w:type="spellEnd"/>
          </w:p>
        </w:tc>
        <w:tc>
          <w:tcPr>
            <w:tcW w:w="983" w:type="dxa"/>
            <w:tcBorders>
              <w:top w:val="nil"/>
              <w:left w:val="nil"/>
              <w:bottom w:val="single" w:sz="4" w:space="0" w:color="auto"/>
              <w:right w:val="nil"/>
            </w:tcBorders>
            <w:shd w:val="clear" w:color="auto" w:fill="auto"/>
            <w:noWrap/>
            <w:vAlign w:val="bottom"/>
            <w:hideMark/>
          </w:tcPr>
          <w:p w14:paraId="290AEED3" w14:textId="77777777" w:rsidR="00984916" w:rsidRPr="006F5D71" w:rsidRDefault="00984916" w:rsidP="00984916">
            <w:pPr>
              <w:spacing w:after="0" w:line="240" w:lineRule="auto"/>
              <w:jc w:val="center"/>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Mean</w:t>
            </w:r>
          </w:p>
        </w:tc>
        <w:tc>
          <w:tcPr>
            <w:tcW w:w="1088" w:type="dxa"/>
            <w:tcBorders>
              <w:top w:val="nil"/>
              <w:left w:val="nil"/>
              <w:bottom w:val="single" w:sz="4" w:space="0" w:color="auto"/>
              <w:right w:val="nil"/>
            </w:tcBorders>
            <w:shd w:val="clear" w:color="auto" w:fill="auto"/>
            <w:noWrap/>
            <w:vAlign w:val="bottom"/>
            <w:hideMark/>
          </w:tcPr>
          <w:p w14:paraId="2378E188" w14:textId="77777777" w:rsidR="00984916" w:rsidRPr="006F5D71" w:rsidRDefault="00984916" w:rsidP="00984916">
            <w:pPr>
              <w:spacing w:after="0" w:line="240" w:lineRule="auto"/>
              <w:jc w:val="center"/>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Std. Dev.</w:t>
            </w:r>
          </w:p>
        </w:tc>
        <w:tc>
          <w:tcPr>
            <w:tcW w:w="961" w:type="dxa"/>
            <w:tcBorders>
              <w:top w:val="nil"/>
              <w:left w:val="nil"/>
              <w:bottom w:val="single" w:sz="4" w:space="0" w:color="auto"/>
              <w:right w:val="nil"/>
            </w:tcBorders>
            <w:shd w:val="clear" w:color="auto" w:fill="auto"/>
            <w:noWrap/>
            <w:vAlign w:val="bottom"/>
            <w:hideMark/>
          </w:tcPr>
          <w:p w14:paraId="6F70DFD1" w14:textId="77777777" w:rsidR="00984916" w:rsidRPr="006F5D71" w:rsidRDefault="00984916" w:rsidP="00984916">
            <w:pPr>
              <w:spacing w:after="0" w:line="240" w:lineRule="auto"/>
              <w:jc w:val="center"/>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Min</w:t>
            </w:r>
          </w:p>
        </w:tc>
        <w:tc>
          <w:tcPr>
            <w:tcW w:w="986" w:type="dxa"/>
            <w:tcBorders>
              <w:top w:val="nil"/>
              <w:left w:val="nil"/>
              <w:bottom w:val="single" w:sz="4" w:space="0" w:color="auto"/>
              <w:right w:val="single" w:sz="4" w:space="0" w:color="auto"/>
            </w:tcBorders>
            <w:shd w:val="clear" w:color="auto" w:fill="auto"/>
            <w:noWrap/>
            <w:vAlign w:val="bottom"/>
            <w:hideMark/>
          </w:tcPr>
          <w:p w14:paraId="584744B8" w14:textId="77777777" w:rsidR="00984916" w:rsidRPr="006F5D71" w:rsidRDefault="00984916" w:rsidP="00984916">
            <w:pPr>
              <w:spacing w:after="0" w:line="240" w:lineRule="auto"/>
              <w:jc w:val="center"/>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Max</w:t>
            </w:r>
          </w:p>
        </w:tc>
        <w:tc>
          <w:tcPr>
            <w:tcW w:w="875" w:type="dxa"/>
            <w:tcBorders>
              <w:top w:val="nil"/>
              <w:left w:val="single" w:sz="4" w:space="0" w:color="auto"/>
              <w:bottom w:val="single" w:sz="4" w:space="0" w:color="auto"/>
              <w:right w:val="nil"/>
            </w:tcBorders>
            <w:shd w:val="clear" w:color="auto" w:fill="auto"/>
            <w:noWrap/>
            <w:vAlign w:val="bottom"/>
            <w:hideMark/>
          </w:tcPr>
          <w:p w14:paraId="412420FC" w14:textId="77777777" w:rsidR="00984916" w:rsidRPr="006F5D71" w:rsidRDefault="00984916" w:rsidP="00984916">
            <w:pPr>
              <w:spacing w:after="0" w:line="240" w:lineRule="auto"/>
              <w:jc w:val="center"/>
              <w:rPr>
                <w:rFonts w:eastAsia="Times New Roman" w:cs="Times New Roman"/>
                <w:b/>
                <w:bCs/>
                <w:color w:val="000000" w:themeColor="text1"/>
                <w:sz w:val="20"/>
                <w:szCs w:val="20"/>
              </w:rPr>
            </w:pPr>
            <w:proofErr w:type="spellStart"/>
            <w:r w:rsidRPr="006F5D71">
              <w:rPr>
                <w:rFonts w:eastAsia="Times New Roman" w:cs="Times New Roman"/>
                <w:b/>
                <w:bCs/>
                <w:color w:val="000000" w:themeColor="text1"/>
                <w:sz w:val="20"/>
                <w:szCs w:val="20"/>
              </w:rPr>
              <w:t>Obs</w:t>
            </w:r>
            <w:proofErr w:type="spellEnd"/>
          </w:p>
        </w:tc>
        <w:tc>
          <w:tcPr>
            <w:tcW w:w="918" w:type="dxa"/>
            <w:tcBorders>
              <w:top w:val="nil"/>
              <w:left w:val="nil"/>
              <w:bottom w:val="single" w:sz="4" w:space="0" w:color="auto"/>
              <w:right w:val="nil"/>
            </w:tcBorders>
            <w:shd w:val="clear" w:color="auto" w:fill="auto"/>
            <w:noWrap/>
            <w:vAlign w:val="bottom"/>
            <w:hideMark/>
          </w:tcPr>
          <w:p w14:paraId="22122ABB" w14:textId="77777777" w:rsidR="00984916" w:rsidRPr="006F5D71" w:rsidRDefault="00984916" w:rsidP="00984916">
            <w:pPr>
              <w:spacing w:after="0" w:line="240" w:lineRule="auto"/>
              <w:jc w:val="center"/>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Mean</w:t>
            </w:r>
          </w:p>
        </w:tc>
        <w:tc>
          <w:tcPr>
            <w:tcW w:w="1153" w:type="dxa"/>
            <w:tcBorders>
              <w:top w:val="nil"/>
              <w:left w:val="nil"/>
              <w:bottom w:val="single" w:sz="4" w:space="0" w:color="auto"/>
              <w:right w:val="nil"/>
            </w:tcBorders>
            <w:shd w:val="clear" w:color="auto" w:fill="auto"/>
            <w:noWrap/>
            <w:vAlign w:val="bottom"/>
            <w:hideMark/>
          </w:tcPr>
          <w:p w14:paraId="2DFE10D7" w14:textId="77777777" w:rsidR="00984916" w:rsidRPr="006F5D71" w:rsidRDefault="00984916" w:rsidP="00984916">
            <w:pPr>
              <w:spacing w:after="0" w:line="240" w:lineRule="auto"/>
              <w:jc w:val="center"/>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Std. Dev.</w:t>
            </w:r>
          </w:p>
        </w:tc>
        <w:tc>
          <w:tcPr>
            <w:tcW w:w="970" w:type="dxa"/>
            <w:tcBorders>
              <w:top w:val="nil"/>
              <w:left w:val="nil"/>
              <w:bottom w:val="single" w:sz="4" w:space="0" w:color="auto"/>
              <w:right w:val="nil"/>
            </w:tcBorders>
            <w:shd w:val="clear" w:color="auto" w:fill="auto"/>
            <w:noWrap/>
            <w:vAlign w:val="bottom"/>
            <w:hideMark/>
          </w:tcPr>
          <w:p w14:paraId="06D8D7D5" w14:textId="77777777" w:rsidR="00984916" w:rsidRPr="006F5D71" w:rsidRDefault="00984916" w:rsidP="00984916">
            <w:pPr>
              <w:spacing w:after="0" w:line="240" w:lineRule="auto"/>
              <w:jc w:val="center"/>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Min</w:t>
            </w:r>
          </w:p>
        </w:tc>
        <w:tc>
          <w:tcPr>
            <w:tcW w:w="1061" w:type="dxa"/>
            <w:tcBorders>
              <w:top w:val="nil"/>
              <w:left w:val="nil"/>
              <w:bottom w:val="single" w:sz="4" w:space="0" w:color="auto"/>
              <w:right w:val="nil"/>
            </w:tcBorders>
            <w:shd w:val="clear" w:color="auto" w:fill="auto"/>
            <w:noWrap/>
            <w:vAlign w:val="bottom"/>
            <w:hideMark/>
          </w:tcPr>
          <w:p w14:paraId="47DCC40B" w14:textId="77777777" w:rsidR="00984916" w:rsidRPr="006F5D71" w:rsidRDefault="00984916" w:rsidP="00984916">
            <w:pPr>
              <w:spacing w:after="0" w:line="240" w:lineRule="auto"/>
              <w:jc w:val="center"/>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Max</w:t>
            </w:r>
          </w:p>
        </w:tc>
      </w:tr>
      <w:tr w:rsidR="00727A9B" w:rsidRPr="006F5D71" w14:paraId="0C00E4B9"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3E2669F4" w14:textId="77777777" w:rsidR="00984916" w:rsidRPr="006F5D71" w:rsidRDefault="00984916" w:rsidP="00984916">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Divestment</w:t>
            </w:r>
          </w:p>
        </w:tc>
        <w:tc>
          <w:tcPr>
            <w:tcW w:w="811" w:type="dxa"/>
            <w:tcBorders>
              <w:top w:val="nil"/>
              <w:left w:val="single" w:sz="4" w:space="0" w:color="auto"/>
              <w:bottom w:val="nil"/>
              <w:right w:val="nil"/>
            </w:tcBorders>
            <w:shd w:val="clear" w:color="auto" w:fill="auto"/>
            <w:noWrap/>
            <w:vAlign w:val="bottom"/>
            <w:hideMark/>
          </w:tcPr>
          <w:p w14:paraId="62BB9087"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50A4718B"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0.031</w:t>
            </w:r>
          </w:p>
        </w:tc>
        <w:tc>
          <w:tcPr>
            <w:tcW w:w="1088" w:type="dxa"/>
            <w:tcBorders>
              <w:top w:val="nil"/>
              <w:left w:val="nil"/>
              <w:bottom w:val="nil"/>
              <w:right w:val="nil"/>
            </w:tcBorders>
            <w:shd w:val="clear" w:color="auto" w:fill="auto"/>
            <w:noWrap/>
            <w:vAlign w:val="bottom"/>
            <w:hideMark/>
          </w:tcPr>
          <w:p w14:paraId="4FA4CDEB"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0.172</w:t>
            </w:r>
          </w:p>
        </w:tc>
        <w:tc>
          <w:tcPr>
            <w:tcW w:w="961" w:type="dxa"/>
            <w:tcBorders>
              <w:top w:val="nil"/>
              <w:left w:val="nil"/>
              <w:bottom w:val="nil"/>
              <w:right w:val="nil"/>
            </w:tcBorders>
            <w:shd w:val="clear" w:color="auto" w:fill="auto"/>
            <w:noWrap/>
            <w:vAlign w:val="bottom"/>
            <w:hideMark/>
          </w:tcPr>
          <w:p w14:paraId="007C83D8"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hideMark/>
          </w:tcPr>
          <w:p w14:paraId="43DAB648"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c>
          <w:tcPr>
            <w:tcW w:w="875" w:type="dxa"/>
            <w:tcBorders>
              <w:top w:val="nil"/>
              <w:left w:val="single" w:sz="4" w:space="0" w:color="auto"/>
              <w:bottom w:val="nil"/>
              <w:right w:val="nil"/>
            </w:tcBorders>
            <w:shd w:val="clear" w:color="auto" w:fill="auto"/>
            <w:noWrap/>
            <w:vAlign w:val="bottom"/>
            <w:hideMark/>
          </w:tcPr>
          <w:p w14:paraId="388FC691"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7EC188E1"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0.021</w:t>
            </w:r>
          </w:p>
        </w:tc>
        <w:tc>
          <w:tcPr>
            <w:tcW w:w="1153" w:type="dxa"/>
            <w:tcBorders>
              <w:top w:val="nil"/>
              <w:left w:val="nil"/>
              <w:bottom w:val="nil"/>
              <w:right w:val="nil"/>
            </w:tcBorders>
            <w:shd w:val="clear" w:color="auto" w:fill="auto"/>
            <w:noWrap/>
            <w:vAlign w:val="bottom"/>
            <w:hideMark/>
          </w:tcPr>
          <w:p w14:paraId="61AD28A1"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0.143</w:t>
            </w:r>
          </w:p>
        </w:tc>
        <w:tc>
          <w:tcPr>
            <w:tcW w:w="970" w:type="dxa"/>
            <w:tcBorders>
              <w:top w:val="nil"/>
              <w:left w:val="nil"/>
              <w:bottom w:val="nil"/>
              <w:right w:val="nil"/>
            </w:tcBorders>
            <w:shd w:val="clear" w:color="auto" w:fill="auto"/>
            <w:noWrap/>
            <w:vAlign w:val="bottom"/>
            <w:hideMark/>
          </w:tcPr>
          <w:p w14:paraId="4AFCA34C"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hideMark/>
          </w:tcPr>
          <w:p w14:paraId="59116948"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r>
      <w:tr w:rsidR="00727A9B" w:rsidRPr="006F5D71" w14:paraId="4C9F144D"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19534076" w14:textId="77777777" w:rsidR="00984916" w:rsidRPr="006F5D71" w:rsidRDefault="00D17530" w:rsidP="00984916">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Absorptive C</w:t>
            </w:r>
            <w:r w:rsidR="00984916" w:rsidRPr="006F5D71">
              <w:rPr>
                <w:rFonts w:eastAsia="Times New Roman" w:cs="Times New Roman"/>
                <w:b/>
                <w:bCs/>
                <w:color w:val="000000" w:themeColor="text1"/>
                <w:sz w:val="20"/>
                <w:szCs w:val="20"/>
              </w:rPr>
              <w:t>apacity</w:t>
            </w:r>
          </w:p>
        </w:tc>
        <w:tc>
          <w:tcPr>
            <w:tcW w:w="811" w:type="dxa"/>
            <w:tcBorders>
              <w:top w:val="nil"/>
              <w:left w:val="single" w:sz="4" w:space="0" w:color="auto"/>
              <w:bottom w:val="nil"/>
              <w:right w:val="nil"/>
            </w:tcBorders>
            <w:shd w:val="clear" w:color="auto" w:fill="auto"/>
            <w:noWrap/>
            <w:vAlign w:val="bottom"/>
            <w:hideMark/>
          </w:tcPr>
          <w:p w14:paraId="29DCABA3"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11B14B9B" w14:textId="77777777" w:rsidR="00984916" w:rsidRPr="006F5D71" w:rsidRDefault="0010157C"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0.371</w:t>
            </w:r>
          </w:p>
        </w:tc>
        <w:tc>
          <w:tcPr>
            <w:tcW w:w="1088" w:type="dxa"/>
            <w:tcBorders>
              <w:top w:val="nil"/>
              <w:left w:val="nil"/>
              <w:bottom w:val="nil"/>
              <w:right w:val="nil"/>
            </w:tcBorders>
            <w:shd w:val="clear" w:color="auto" w:fill="auto"/>
            <w:noWrap/>
            <w:vAlign w:val="bottom"/>
            <w:hideMark/>
          </w:tcPr>
          <w:p w14:paraId="59AE4669"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0.342</w:t>
            </w:r>
          </w:p>
        </w:tc>
        <w:tc>
          <w:tcPr>
            <w:tcW w:w="961" w:type="dxa"/>
            <w:tcBorders>
              <w:top w:val="nil"/>
              <w:left w:val="nil"/>
              <w:bottom w:val="nil"/>
              <w:right w:val="nil"/>
            </w:tcBorders>
            <w:shd w:val="clear" w:color="auto" w:fill="auto"/>
            <w:noWrap/>
            <w:vAlign w:val="bottom"/>
            <w:hideMark/>
          </w:tcPr>
          <w:p w14:paraId="0DD00077"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hideMark/>
          </w:tcPr>
          <w:p w14:paraId="7FAE924B"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2.500</w:t>
            </w:r>
          </w:p>
        </w:tc>
        <w:tc>
          <w:tcPr>
            <w:tcW w:w="875" w:type="dxa"/>
            <w:tcBorders>
              <w:top w:val="nil"/>
              <w:left w:val="single" w:sz="4" w:space="0" w:color="auto"/>
              <w:bottom w:val="nil"/>
              <w:right w:val="nil"/>
            </w:tcBorders>
            <w:shd w:val="clear" w:color="auto" w:fill="auto"/>
            <w:noWrap/>
            <w:vAlign w:val="bottom"/>
            <w:hideMark/>
          </w:tcPr>
          <w:p w14:paraId="672F48DF"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1C0B7625" w14:textId="77777777" w:rsidR="00984916" w:rsidRPr="006F5D71" w:rsidRDefault="0010157C"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0.273</w:t>
            </w:r>
          </w:p>
        </w:tc>
        <w:tc>
          <w:tcPr>
            <w:tcW w:w="1153" w:type="dxa"/>
            <w:tcBorders>
              <w:top w:val="nil"/>
              <w:left w:val="nil"/>
              <w:bottom w:val="nil"/>
              <w:right w:val="nil"/>
            </w:tcBorders>
            <w:shd w:val="clear" w:color="auto" w:fill="auto"/>
            <w:noWrap/>
            <w:vAlign w:val="bottom"/>
            <w:hideMark/>
          </w:tcPr>
          <w:p w14:paraId="7EC028D4"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0.505</w:t>
            </w:r>
          </w:p>
        </w:tc>
        <w:tc>
          <w:tcPr>
            <w:tcW w:w="970" w:type="dxa"/>
            <w:tcBorders>
              <w:top w:val="nil"/>
              <w:left w:val="nil"/>
              <w:bottom w:val="nil"/>
              <w:right w:val="nil"/>
            </w:tcBorders>
            <w:shd w:val="clear" w:color="auto" w:fill="auto"/>
            <w:noWrap/>
            <w:vAlign w:val="bottom"/>
            <w:hideMark/>
          </w:tcPr>
          <w:p w14:paraId="2CEB407B"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hideMark/>
          </w:tcPr>
          <w:p w14:paraId="58158513"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2.200</w:t>
            </w:r>
          </w:p>
        </w:tc>
      </w:tr>
      <w:tr w:rsidR="00727A9B" w:rsidRPr="006F5D71" w14:paraId="1624EC5D"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0DDAA51E" w14:textId="77777777" w:rsidR="00984916" w:rsidRPr="006F5D71" w:rsidRDefault="00984916" w:rsidP="00D17530">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 xml:space="preserve">Absorptive Capacity Leader </w:t>
            </w:r>
          </w:p>
        </w:tc>
        <w:tc>
          <w:tcPr>
            <w:tcW w:w="811" w:type="dxa"/>
            <w:tcBorders>
              <w:top w:val="nil"/>
              <w:left w:val="single" w:sz="4" w:space="0" w:color="auto"/>
              <w:bottom w:val="nil"/>
              <w:right w:val="nil"/>
            </w:tcBorders>
            <w:shd w:val="clear" w:color="auto" w:fill="auto"/>
            <w:noWrap/>
            <w:vAlign w:val="bottom"/>
            <w:hideMark/>
          </w:tcPr>
          <w:p w14:paraId="17FD2CE5"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66AFFB1F"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0.669</w:t>
            </w:r>
          </w:p>
        </w:tc>
        <w:tc>
          <w:tcPr>
            <w:tcW w:w="1088" w:type="dxa"/>
            <w:tcBorders>
              <w:top w:val="nil"/>
              <w:left w:val="nil"/>
              <w:bottom w:val="nil"/>
              <w:right w:val="nil"/>
            </w:tcBorders>
            <w:shd w:val="clear" w:color="auto" w:fill="auto"/>
            <w:noWrap/>
            <w:vAlign w:val="bottom"/>
            <w:hideMark/>
          </w:tcPr>
          <w:p w14:paraId="0841BB5E"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0.471</w:t>
            </w:r>
          </w:p>
        </w:tc>
        <w:tc>
          <w:tcPr>
            <w:tcW w:w="961" w:type="dxa"/>
            <w:tcBorders>
              <w:top w:val="nil"/>
              <w:left w:val="nil"/>
              <w:bottom w:val="nil"/>
              <w:right w:val="nil"/>
            </w:tcBorders>
            <w:shd w:val="clear" w:color="auto" w:fill="auto"/>
            <w:noWrap/>
            <w:vAlign w:val="bottom"/>
            <w:hideMark/>
          </w:tcPr>
          <w:p w14:paraId="5CBDB63A"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hideMark/>
          </w:tcPr>
          <w:p w14:paraId="7504A7EF"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c>
          <w:tcPr>
            <w:tcW w:w="875" w:type="dxa"/>
            <w:tcBorders>
              <w:top w:val="nil"/>
              <w:left w:val="single" w:sz="4" w:space="0" w:color="auto"/>
              <w:bottom w:val="nil"/>
              <w:right w:val="nil"/>
            </w:tcBorders>
            <w:shd w:val="clear" w:color="auto" w:fill="auto"/>
            <w:noWrap/>
            <w:vAlign w:val="bottom"/>
            <w:hideMark/>
          </w:tcPr>
          <w:p w14:paraId="4EAB65FF"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2074D050"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0.704</w:t>
            </w:r>
          </w:p>
        </w:tc>
        <w:tc>
          <w:tcPr>
            <w:tcW w:w="1153" w:type="dxa"/>
            <w:tcBorders>
              <w:top w:val="nil"/>
              <w:left w:val="nil"/>
              <w:bottom w:val="nil"/>
              <w:right w:val="nil"/>
            </w:tcBorders>
            <w:shd w:val="clear" w:color="auto" w:fill="auto"/>
            <w:noWrap/>
            <w:vAlign w:val="bottom"/>
            <w:hideMark/>
          </w:tcPr>
          <w:p w14:paraId="3C685D63"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0.457</w:t>
            </w:r>
          </w:p>
        </w:tc>
        <w:tc>
          <w:tcPr>
            <w:tcW w:w="970" w:type="dxa"/>
            <w:tcBorders>
              <w:top w:val="nil"/>
              <w:left w:val="nil"/>
              <w:bottom w:val="nil"/>
              <w:right w:val="nil"/>
            </w:tcBorders>
            <w:shd w:val="clear" w:color="auto" w:fill="auto"/>
            <w:noWrap/>
            <w:vAlign w:val="bottom"/>
            <w:hideMark/>
          </w:tcPr>
          <w:p w14:paraId="0AD36E05"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hideMark/>
          </w:tcPr>
          <w:p w14:paraId="6C305B21"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r>
      <w:tr w:rsidR="00727A9B" w:rsidRPr="006F5D71" w14:paraId="5CE9E6C5"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218C6A81" w14:textId="77777777" w:rsidR="00984916" w:rsidRPr="006F5D71" w:rsidRDefault="00984916" w:rsidP="00984916">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Profitability</w:t>
            </w:r>
          </w:p>
        </w:tc>
        <w:tc>
          <w:tcPr>
            <w:tcW w:w="811" w:type="dxa"/>
            <w:tcBorders>
              <w:top w:val="nil"/>
              <w:left w:val="single" w:sz="4" w:space="0" w:color="auto"/>
              <w:bottom w:val="nil"/>
              <w:right w:val="nil"/>
            </w:tcBorders>
            <w:shd w:val="clear" w:color="auto" w:fill="auto"/>
            <w:noWrap/>
            <w:vAlign w:val="bottom"/>
            <w:hideMark/>
          </w:tcPr>
          <w:p w14:paraId="22DE8B9D"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4E9EDB14"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0.198</w:t>
            </w:r>
          </w:p>
        </w:tc>
        <w:tc>
          <w:tcPr>
            <w:tcW w:w="1088" w:type="dxa"/>
            <w:tcBorders>
              <w:top w:val="nil"/>
              <w:left w:val="nil"/>
              <w:bottom w:val="nil"/>
              <w:right w:val="nil"/>
            </w:tcBorders>
            <w:shd w:val="clear" w:color="auto" w:fill="auto"/>
            <w:noWrap/>
            <w:vAlign w:val="bottom"/>
            <w:hideMark/>
          </w:tcPr>
          <w:p w14:paraId="3F476E53"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0.456</w:t>
            </w:r>
          </w:p>
        </w:tc>
        <w:tc>
          <w:tcPr>
            <w:tcW w:w="961" w:type="dxa"/>
            <w:tcBorders>
              <w:top w:val="nil"/>
              <w:left w:val="nil"/>
              <w:bottom w:val="nil"/>
              <w:right w:val="nil"/>
            </w:tcBorders>
            <w:shd w:val="clear" w:color="auto" w:fill="auto"/>
            <w:noWrap/>
            <w:vAlign w:val="bottom"/>
            <w:hideMark/>
          </w:tcPr>
          <w:p w14:paraId="32603ABF"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hideMark/>
          </w:tcPr>
          <w:p w14:paraId="30BA8E00"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2.983</w:t>
            </w:r>
          </w:p>
        </w:tc>
        <w:tc>
          <w:tcPr>
            <w:tcW w:w="875" w:type="dxa"/>
            <w:tcBorders>
              <w:top w:val="nil"/>
              <w:left w:val="single" w:sz="4" w:space="0" w:color="auto"/>
              <w:bottom w:val="nil"/>
              <w:right w:val="nil"/>
            </w:tcBorders>
            <w:shd w:val="clear" w:color="auto" w:fill="auto"/>
            <w:noWrap/>
            <w:vAlign w:val="bottom"/>
            <w:hideMark/>
          </w:tcPr>
          <w:p w14:paraId="7FE65CF4"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4388FD5E"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0.210</w:t>
            </w:r>
          </w:p>
        </w:tc>
        <w:tc>
          <w:tcPr>
            <w:tcW w:w="1153" w:type="dxa"/>
            <w:tcBorders>
              <w:top w:val="nil"/>
              <w:left w:val="nil"/>
              <w:bottom w:val="nil"/>
              <w:right w:val="nil"/>
            </w:tcBorders>
            <w:shd w:val="clear" w:color="auto" w:fill="auto"/>
            <w:noWrap/>
            <w:vAlign w:val="bottom"/>
            <w:hideMark/>
          </w:tcPr>
          <w:p w14:paraId="796CDB62"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0.620</w:t>
            </w:r>
          </w:p>
        </w:tc>
        <w:tc>
          <w:tcPr>
            <w:tcW w:w="970" w:type="dxa"/>
            <w:tcBorders>
              <w:top w:val="nil"/>
              <w:left w:val="nil"/>
              <w:bottom w:val="nil"/>
              <w:right w:val="nil"/>
            </w:tcBorders>
            <w:shd w:val="clear" w:color="auto" w:fill="auto"/>
            <w:noWrap/>
            <w:vAlign w:val="bottom"/>
            <w:hideMark/>
          </w:tcPr>
          <w:p w14:paraId="60292F71"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hideMark/>
          </w:tcPr>
          <w:p w14:paraId="270DF12C"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3.450</w:t>
            </w:r>
          </w:p>
        </w:tc>
      </w:tr>
      <w:tr w:rsidR="00727A9B" w:rsidRPr="006F5D71" w14:paraId="43FA5B42"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1446FFD7" w14:textId="77777777" w:rsidR="00984916" w:rsidRPr="006F5D71" w:rsidRDefault="00984916" w:rsidP="00D17530">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 xml:space="preserve">Profitability Leader </w:t>
            </w:r>
          </w:p>
        </w:tc>
        <w:tc>
          <w:tcPr>
            <w:tcW w:w="811" w:type="dxa"/>
            <w:tcBorders>
              <w:top w:val="nil"/>
              <w:left w:val="single" w:sz="4" w:space="0" w:color="auto"/>
              <w:bottom w:val="nil"/>
              <w:right w:val="nil"/>
            </w:tcBorders>
            <w:shd w:val="clear" w:color="auto" w:fill="auto"/>
            <w:noWrap/>
            <w:vAlign w:val="bottom"/>
            <w:hideMark/>
          </w:tcPr>
          <w:p w14:paraId="02D1A0A5"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3F0C7CA2"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0.8</w:t>
            </w:r>
            <w:r w:rsidR="00F64834" w:rsidRPr="006F5D71">
              <w:rPr>
                <w:rFonts w:eastAsia="Times New Roman" w:cs="Times New Roman"/>
                <w:color w:val="000000" w:themeColor="text1"/>
                <w:sz w:val="20"/>
                <w:szCs w:val="20"/>
              </w:rPr>
              <w:t>0</w:t>
            </w:r>
            <w:r w:rsidRPr="006F5D71">
              <w:rPr>
                <w:rFonts w:eastAsia="Times New Roman" w:cs="Times New Roman"/>
                <w:color w:val="000000" w:themeColor="text1"/>
                <w:sz w:val="20"/>
                <w:szCs w:val="20"/>
              </w:rPr>
              <w:t>1</w:t>
            </w:r>
          </w:p>
        </w:tc>
        <w:tc>
          <w:tcPr>
            <w:tcW w:w="1088" w:type="dxa"/>
            <w:tcBorders>
              <w:top w:val="nil"/>
              <w:left w:val="nil"/>
              <w:bottom w:val="nil"/>
              <w:right w:val="nil"/>
            </w:tcBorders>
            <w:shd w:val="clear" w:color="auto" w:fill="auto"/>
            <w:noWrap/>
            <w:vAlign w:val="bottom"/>
            <w:hideMark/>
          </w:tcPr>
          <w:p w14:paraId="5D163083"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0.375</w:t>
            </w:r>
          </w:p>
        </w:tc>
        <w:tc>
          <w:tcPr>
            <w:tcW w:w="961" w:type="dxa"/>
            <w:tcBorders>
              <w:top w:val="nil"/>
              <w:left w:val="nil"/>
              <w:bottom w:val="nil"/>
              <w:right w:val="nil"/>
            </w:tcBorders>
            <w:shd w:val="clear" w:color="auto" w:fill="auto"/>
            <w:noWrap/>
            <w:vAlign w:val="bottom"/>
            <w:hideMark/>
          </w:tcPr>
          <w:p w14:paraId="37500461"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hideMark/>
          </w:tcPr>
          <w:p w14:paraId="13C4E192"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c>
          <w:tcPr>
            <w:tcW w:w="875" w:type="dxa"/>
            <w:tcBorders>
              <w:top w:val="nil"/>
              <w:left w:val="single" w:sz="4" w:space="0" w:color="auto"/>
              <w:bottom w:val="nil"/>
              <w:right w:val="nil"/>
            </w:tcBorders>
            <w:shd w:val="clear" w:color="auto" w:fill="auto"/>
            <w:noWrap/>
            <w:vAlign w:val="bottom"/>
            <w:hideMark/>
          </w:tcPr>
          <w:p w14:paraId="030E59D6"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58991845"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0.810</w:t>
            </w:r>
          </w:p>
        </w:tc>
        <w:tc>
          <w:tcPr>
            <w:tcW w:w="1153" w:type="dxa"/>
            <w:tcBorders>
              <w:top w:val="nil"/>
              <w:left w:val="nil"/>
              <w:bottom w:val="nil"/>
              <w:right w:val="nil"/>
            </w:tcBorders>
            <w:shd w:val="clear" w:color="auto" w:fill="auto"/>
            <w:noWrap/>
            <w:vAlign w:val="bottom"/>
            <w:hideMark/>
          </w:tcPr>
          <w:p w14:paraId="0444EB62"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0.392</w:t>
            </w:r>
          </w:p>
        </w:tc>
        <w:tc>
          <w:tcPr>
            <w:tcW w:w="970" w:type="dxa"/>
            <w:tcBorders>
              <w:top w:val="nil"/>
              <w:left w:val="nil"/>
              <w:bottom w:val="nil"/>
              <w:right w:val="nil"/>
            </w:tcBorders>
            <w:shd w:val="clear" w:color="auto" w:fill="auto"/>
            <w:noWrap/>
            <w:vAlign w:val="bottom"/>
            <w:hideMark/>
          </w:tcPr>
          <w:p w14:paraId="6306D0B0"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hideMark/>
          </w:tcPr>
          <w:p w14:paraId="1780D1B9"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r>
      <w:tr w:rsidR="00727A9B" w:rsidRPr="006F5D71" w14:paraId="3B8FB84A"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768BBD87" w14:textId="77777777" w:rsidR="00984916" w:rsidRPr="006F5D71" w:rsidRDefault="00984916" w:rsidP="00984916">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Labor Productivity</w:t>
            </w:r>
          </w:p>
        </w:tc>
        <w:tc>
          <w:tcPr>
            <w:tcW w:w="811" w:type="dxa"/>
            <w:tcBorders>
              <w:top w:val="nil"/>
              <w:left w:val="single" w:sz="4" w:space="0" w:color="auto"/>
              <w:bottom w:val="nil"/>
              <w:right w:val="nil"/>
            </w:tcBorders>
            <w:shd w:val="clear" w:color="auto" w:fill="auto"/>
            <w:noWrap/>
            <w:vAlign w:val="bottom"/>
            <w:hideMark/>
          </w:tcPr>
          <w:p w14:paraId="69F2D9FA"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24A1486E"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9.350</w:t>
            </w:r>
          </w:p>
        </w:tc>
        <w:tc>
          <w:tcPr>
            <w:tcW w:w="1088" w:type="dxa"/>
            <w:tcBorders>
              <w:top w:val="nil"/>
              <w:left w:val="nil"/>
              <w:bottom w:val="nil"/>
              <w:right w:val="nil"/>
            </w:tcBorders>
            <w:shd w:val="clear" w:color="auto" w:fill="auto"/>
            <w:noWrap/>
            <w:vAlign w:val="bottom"/>
            <w:hideMark/>
          </w:tcPr>
          <w:p w14:paraId="5A645A0F"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9.461</w:t>
            </w:r>
          </w:p>
        </w:tc>
        <w:tc>
          <w:tcPr>
            <w:tcW w:w="961" w:type="dxa"/>
            <w:tcBorders>
              <w:top w:val="nil"/>
              <w:left w:val="nil"/>
              <w:bottom w:val="nil"/>
              <w:right w:val="nil"/>
            </w:tcBorders>
            <w:shd w:val="clear" w:color="auto" w:fill="auto"/>
            <w:noWrap/>
            <w:vAlign w:val="bottom"/>
            <w:hideMark/>
          </w:tcPr>
          <w:p w14:paraId="56DFD0D5"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hideMark/>
          </w:tcPr>
          <w:p w14:paraId="635B5DFC"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40.979</w:t>
            </w:r>
          </w:p>
        </w:tc>
        <w:tc>
          <w:tcPr>
            <w:tcW w:w="875" w:type="dxa"/>
            <w:tcBorders>
              <w:top w:val="nil"/>
              <w:left w:val="single" w:sz="4" w:space="0" w:color="auto"/>
              <w:bottom w:val="nil"/>
              <w:right w:val="nil"/>
            </w:tcBorders>
            <w:shd w:val="clear" w:color="auto" w:fill="auto"/>
            <w:noWrap/>
            <w:vAlign w:val="bottom"/>
            <w:hideMark/>
          </w:tcPr>
          <w:p w14:paraId="433167E2"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596B330D"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9.944</w:t>
            </w:r>
          </w:p>
        </w:tc>
        <w:tc>
          <w:tcPr>
            <w:tcW w:w="1153" w:type="dxa"/>
            <w:tcBorders>
              <w:top w:val="nil"/>
              <w:left w:val="nil"/>
              <w:bottom w:val="nil"/>
              <w:right w:val="nil"/>
            </w:tcBorders>
            <w:shd w:val="clear" w:color="auto" w:fill="auto"/>
            <w:noWrap/>
            <w:vAlign w:val="bottom"/>
            <w:hideMark/>
          </w:tcPr>
          <w:p w14:paraId="00924D6C"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9.758</w:t>
            </w:r>
          </w:p>
        </w:tc>
        <w:tc>
          <w:tcPr>
            <w:tcW w:w="970" w:type="dxa"/>
            <w:tcBorders>
              <w:top w:val="nil"/>
              <w:left w:val="nil"/>
              <w:bottom w:val="nil"/>
              <w:right w:val="nil"/>
            </w:tcBorders>
            <w:shd w:val="clear" w:color="auto" w:fill="auto"/>
            <w:noWrap/>
            <w:vAlign w:val="bottom"/>
            <w:hideMark/>
          </w:tcPr>
          <w:p w14:paraId="07B0D798"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hideMark/>
          </w:tcPr>
          <w:p w14:paraId="264B8DE8"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42.837</w:t>
            </w:r>
          </w:p>
        </w:tc>
      </w:tr>
      <w:tr w:rsidR="00727A9B" w:rsidRPr="006F5D71" w14:paraId="3E89E810"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139DB727" w14:textId="77777777" w:rsidR="00984916" w:rsidRPr="006F5D71" w:rsidRDefault="00984916" w:rsidP="00D17530">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 xml:space="preserve">Labor Productivity Leader </w:t>
            </w:r>
          </w:p>
        </w:tc>
        <w:tc>
          <w:tcPr>
            <w:tcW w:w="811" w:type="dxa"/>
            <w:tcBorders>
              <w:top w:val="nil"/>
              <w:left w:val="single" w:sz="4" w:space="0" w:color="auto"/>
              <w:bottom w:val="nil"/>
              <w:right w:val="nil"/>
            </w:tcBorders>
            <w:shd w:val="clear" w:color="auto" w:fill="auto"/>
            <w:noWrap/>
            <w:vAlign w:val="bottom"/>
            <w:hideMark/>
          </w:tcPr>
          <w:p w14:paraId="2488213F"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15702BB5"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0.290</w:t>
            </w:r>
          </w:p>
        </w:tc>
        <w:tc>
          <w:tcPr>
            <w:tcW w:w="1088" w:type="dxa"/>
            <w:tcBorders>
              <w:top w:val="nil"/>
              <w:left w:val="nil"/>
              <w:bottom w:val="nil"/>
              <w:right w:val="nil"/>
            </w:tcBorders>
            <w:shd w:val="clear" w:color="auto" w:fill="auto"/>
            <w:noWrap/>
            <w:vAlign w:val="bottom"/>
            <w:hideMark/>
          </w:tcPr>
          <w:p w14:paraId="0B496C9D"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0.454</w:t>
            </w:r>
          </w:p>
        </w:tc>
        <w:tc>
          <w:tcPr>
            <w:tcW w:w="961" w:type="dxa"/>
            <w:tcBorders>
              <w:top w:val="nil"/>
              <w:left w:val="nil"/>
              <w:bottom w:val="nil"/>
              <w:right w:val="nil"/>
            </w:tcBorders>
            <w:shd w:val="clear" w:color="auto" w:fill="auto"/>
            <w:noWrap/>
            <w:vAlign w:val="bottom"/>
            <w:hideMark/>
          </w:tcPr>
          <w:p w14:paraId="1AD87CCF"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hideMark/>
          </w:tcPr>
          <w:p w14:paraId="7E38C665"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c>
          <w:tcPr>
            <w:tcW w:w="875" w:type="dxa"/>
            <w:tcBorders>
              <w:top w:val="nil"/>
              <w:left w:val="single" w:sz="4" w:space="0" w:color="auto"/>
              <w:bottom w:val="nil"/>
              <w:right w:val="nil"/>
            </w:tcBorders>
            <w:shd w:val="clear" w:color="auto" w:fill="auto"/>
            <w:noWrap/>
            <w:vAlign w:val="bottom"/>
            <w:hideMark/>
          </w:tcPr>
          <w:p w14:paraId="63200F8B"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60013544"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0.325</w:t>
            </w:r>
          </w:p>
        </w:tc>
        <w:tc>
          <w:tcPr>
            <w:tcW w:w="1153" w:type="dxa"/>
            <w:tcBorders>
              <w:top w:val="nil"/>
              <w:left w:val="nil"/>
              <w:bottom w:val="nil"/>
              <w:right w:val="nil"/>
            </w:tcBorders>
            <w:shd w:val="clear" w:color="auto" w:fill="auto"/>
            <w:noWrap/>
            <w:vAlign w:val="bottom"/>
            <w:hideMark/>
          </w:tcPr>
          <w:p w14:paraId="29654F84"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0.468</w:t>
            </w:r>
          </w:p>
        </w:tc>
        <w:tc>
          <w:tcPr>
            <w:tcW w:w="970" w:type="dxa"/>
            <w:tcBorders>
              <w:top w:val="nil"/>
              <w:left w:val="nil"/>
              <w:bottom w:val="nil"/>
              <w:right w:val="nil"/>
            </w:tcBorders>
            <w:shd w:val="clear" w:color="auto" w:fill="auto"/>
            <w:noWrap/>
            <w:vAlign w:val="bottom"/>
            <w:hideMark/>
          </w:tcPr>
          <w:p w14:paraId="2EA83E51"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hideMark/>
          </w:tcPr>
          <w:p w14:paraId="076B6838"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r>
      <w:tr w:rsidR="00727A9B" w:rsidRPr="006F5D71" w14:paraId="011F4628"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4B987EBC" w14:textId="77777777" w:rsidR="00984916" w:rsidRPr="006F5D71" w:rsidRDefault="00984916" w:rsidP="00984916">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Country Risk</w:t>
            </w:r>
          </w:p>
        </w:tc>
        <w:tc>
          <w:tcPr>
            <w:tcW w:w="811" w:type="dxa"/>
            <w:tcBorders>
              <w:top w:val="nil"/>
              <w:left w:val="single" w:sz="4" w:space="0" w:color="auto"/>
              <w:bottom w:val="nil"/>
              <w:right w:val="nil"/>
            </w:tcBorders>
            <w:shd w:val="clear" w:color="auto" w:fill="auto"/>
            <w:noWrap/>
            <w:vAlign w:val="bottom"/>
            <w:hideMark/>
          </w:tcPr>
          <w:p w14:paraId="3442D2BB"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029B2103"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0.647</w:t>
            </w:r>
          </w:p>
        </w:tc>
        <w:tc>
          <w:tcPr>
            <w:tcW w:w="1088" w:type="dxa"/>
            <w:tcBorders>
              <w:top w:val="nil"/>
              <w:left w:val="nil"/>
              <w:bottom w:val="nil"/>
              <w:right w:val="nil"/>
            </w:tcBorders>
            <w:shd w:val="clear" w:color="auto" w:fill="auto"/>
            <w:noWrap/>
            <w:vAlign w:val="bottom"/>
            <w:hideMark/>
          </w:tcPr>
          <w:p w14:paraId="144E11BC"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0.927</w:t>
            </w:r>
          </w:p>
        </w:tc>
        <w:tc>
          <w:tcPr>
            <w:tcW w:w="961" w:type="dxa"/>
            <w:tcBorders>
              <w:top w:val="nil"/>
              <w:left w:val="nil"/>
              <w:bottom w:val="nil"/>
              <w:right w:val="nil"/>
            </w:tcBorders>
            <w:shd w:val="clear" w:color="auto" w:fill="auto"/>
            <w:noWrap/>
            <w:vAlign w:val="bottom"/>
            <w:hideMark/>
          </w:tcPr>
          <w:p w14:paraId="120B2222"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-2.114</w:t>
            </w:r>
          </w:p>
        </w:tc>
        <w:tc>
          <w:tcPr>
            <w:tcW w:w="986" w:type="dxa"/>
            <w:tcBorders>
              <w:top w:val="nil"/>
              <w:left w:val="nil"/>
              <w:bottom w:val="nil"/>
              <w:right w:val="single" w:sz="4" w:space="0" w:color="auto"/>
            </w:tcBorders>
            <w:shd w:val="clear" w:color="auto" w:fill="auto"/>
            <w:noWrap/>
            <w:vAlign w:val="bottom"/>
            <w:hideMark/>
          </w:tcPr>
          <w:p w14:paraId="50292BBF"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2.800</w:t>
            </w:r>
          </w:p>
        </w:tc>
        <w:tc>
          <w:tcPr>
            <w:tcW w:w="875" w:type="dxa"/>
            <w:tcBorders>
              <w:top w:val="nil"/>
              <w:left w:val="single" w:sz="4" w:space="0" w:color="auto"/>
              <w:bottom w:val="nil"/>
              <w:right w:val="nil"/>
            </w:tcBorders>
            <w:shd w:val="clear" w:color="auto" w:fill="auto"/>
            <w:noWrap/>
            <w:vAlign w:val="bottom"/>
            <w:hideMark/>
          </w:tcPr>
          <w:p w14:paraId="56801D78"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0BF771B1"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0.494</w:t>
            </w:r>
          </w:p>
        </w:tc>
        <w:tc>
          <w:tcPr>
            <w:tcW w:w="1153" w:type="dxa"/>
            <w:tcBorders>
              <w:top w:val="nil"/>
              <w:left w:val="nil"/>
              <w:bottom w:val="nil"/>
              <w:right w:val="nil"/>
            </w:tcBorders>
            <w:shd w:val="clear" w:color="auto" w:fill="auto"/>
            <w:noWrap/>
            <w:vAlign w:val="bottom"/>
            <w:hideMark/>
          </w:tcPr>
          <w:p w14:paraId="2ED158C3"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0.954</w:t>
            </w:r>
          </w:p>
        </w:tc>
        <w:tc>
          <w:tcPr>
            <w:tcW w:w="970" w:type="dxa"/>
            <w:tcBorders>
              <w:top w:val="nil"/>
              <w:left w:val="nil"/>
              <w:bottom w:val="nil"/>
              <w:right w:val="nil"/>
            </w:tcBorders>
            <w:shd w:val="clear" w:color="auto" w:fill="auto"/>
            <w:noWrap/>
            <w:vAlign w:val="bottom"/>
            <w:hideMark/>
          </w:tcPr>
          <w:p w14:paraId="3046F2EE"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-1.873</w:t>
            </w:r>
          </w:p>
        </w:tc>
        <w:tc>
          <w:tcPr>
            <w:tcW w:w="1061" w:type="dxa"/>
            <w:tcBorders>
              <w:top w:val="nil"/>
              <w:left w:val="nil"/>
              <w:bottom w:val="nil"/>
              <w:right w:val="nil"/>
            </w:tcBorders>
            <w:shd w:val="clear" w:color="auto" w:fill="auto"/>
            <w:noWrap/>
            <w:vAlign w:val="bottom"/>
            <w:hideMark/>
          </w:tcPr>
          <w:p w14:paraId="2CE24FE1"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2.230</w:t>
            </w:r>
          </w:p>
        </w:tc>
      </w:tr>
      <w:tr w:rsidR="00727A9B" w:rsidRPr="006F5D71" w14:paraId="13AC51CC"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27D310B9" w14:textId="77777777" w:rsidR="00984916" w:rsidRPr="006F5D71" w:rsidRDefault="00984916" w:rsidP="00984916">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Institutional Distance</w:t>
            </w:r>
          </w:p>
        </w:tc>
        <w:tc>
          <w:tcPr>
            <w:tcW w:w="811" w:type="dxa"/>
            <w:tcBorders>
              <w:top w:val="nil"/>
              <w:left w:val="single" w:sz="4" w:space="0" w:color="auto"/>
              <w:bottom w:val="nil"/>
              <w:right w:val="nil"/>
            </w:tcBorders>
            <w:shd w:val="clear" w:color="auto" w:fill="auto"/>
            <w:noWrap/>
            <w:vAlign w:val="bottom"/>
            <w:hideMark/>
          </w:tcPr>
          <w:p w14:paraId="673558C8"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049BD241"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0.635</w:t>
            </w:r>
          </w:p>
        </w:tc>
        <w:tc>
          <w:tcPr>
            <w:tcW w:w="1088" w:type="dxa"/>
            <w:tcBorders>
              <w:top w:val="nil"/>
              <w:left w:val="nil"/>
              <w:bottom w:val="nil"/>
              <w:right w:val="nil"/>
            </w:tcBorders>
            <w:shd w:val="clear" w:color="auto" w:fill="auto"/>
            <w:noWrap/>
            <w:vAlign w:val="bottom"/>
            <w:hideMark/>
          </w:tcPr>
          <w:p w14:paraId="68DDBE75"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4.947</w:t>
            </w:r>
          </w:p>
        </w:tc>
        <w:tc>
          <w:tcPr>
            <w:tcW w:w="961" w:type="dxa"/>
            <w:tcBorders>
              <w:top w:val="nil"/>
              <w:left w:val="nil"/>
              <w:bottom w:val="nil"/>
              <w:right w:val="nil"/>
            </w:tcBorders>
            <w:shd w:val="clear" w:color="auto" w:fill="auto"/>
            <w:noWrap/>
            <w:vAlign w:val="bottom"/>
            <w:hideMark/>
          </w:tcPr>
          <w:p w14:paraId="1DE08D36"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-15.300</w:t>
            </w:r>
          </w:p>
        </w:tc>
        <w:tc>
          <w:tcPr>
            <w:tcW w:w="986" w:type="dxa"/>
            <w:tcBorders>
              <w:top w:val="nil"/>
              <w:left w:val="nil"/>
              <w:bottom w:val="nil"/>
              <w:right w:val="single" w:sz="4" w:space="0" w:color="auto"/>
            </w:tcBorders>
            <w:shd w:val="clear" w:color="auto" w:fill="auto"/>
            <w:noWrap/>
            <w:vAlign w:val="bottom"/>
            <w:hideMark/>
          </w:tcPr>
          <w:p w14:paraId="4A960A03"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19.000</w:t>
            </w:r>
          </w:p>
        </w:tc>
        <w:tc>
          <w:tcPr>
            <w:tcW w:w="875" w:type="dxa"/>
            <w:tcBorders>
              <w:top w:val="nil"/>
              <w:left w:val="single" w:sz="4" w:space="0" w:color="auto"/>
              <w:bottom w:val="nil"/>
              <w:right w:val="nil"/>
            </w:tcBorders>
            <w:shd w:val="clear" w:color="auto" w:fill="auto"/>
            <w:noWrap/>
            <w:vAlign w:val="bottom"/>
            <w:hideMark/>
          </w:tcPr>
          <w:p w14:paraId="790AF42C"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34462915"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0.097</w:t>
            </w:r>
          </w:p>
        </w:tc>
        <w:tc>
          <w:tcPr>
            <w:tcW w:w="1153" w:type="dxa"/>
            <w:tcBorders>
              <w:top w:val="nil"/>
              <w:left w:val="nil"/>
              <w:bottom w:val="nil"/>
              <w:right w:val="nil"/>
            </w:tcBorders>
            <w:shd w:val="clear" w:color="auto" w:fill="auto"/>
            <w:noWrap/>
            <w:vAlign w:val="bottom"/>
            <w:hideMark/>
          </w:tcPr>
          <w:p w14:paraId="02A2D017"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5.117</w:t>
            </w:r>
          </w:p>
        </w:tc>
        <w:tc>
          <w:tcPr>
            <w:tcW w:w="970" w:type="dxa"/>
            <w:tcBorders>
              <w:top w:val="nil"/>
              <w:left w:val="nil"/>
              <w:bottom w:val="nil"/>
              <w:right w:val="nil"/>
            </w:tcBorders>
            <w:shd w:val="clear" w:color="auto" w:fill="auto"/>
            <w:noWrap/>
            <w:vAlign w:val="bottom"/>
            <w:hideMark/>
          </w:tcPr>
          <w:p w14:paraId="3B15C471"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-14.300</w:t>
            </w:r>
          </w:p>
        </w:tc>
        <w:tc>
          <w:tcPr>
            <w:tcW w:w="1061" w:type="dxa"/>
            <w:tcBorders>
              <w:top w:val="nil"/>
              <w:left w:val="nil"/>
              <w:bottom w:val="nil"/>
              <w:right w:val="nil"/>
            </w:tcBorders>
            <w:shd w:val="clear" w:color="auto" w:fill="auto"/>
            <w:noWrap/>
            <w:vAlign w:val="bottom"/>
            <w:hideMark/>
          </w:tcPr>
          <w:p w14:paraId="4D1E04D6"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18.000</w:t>
            </w:r>
          </w:p>
        </w:tc>
      </w:tr>
      <w:tr w:rsidR="00727A9B" w:rsidRPr="006F5D71" w14:paraId="06DCE7BC"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54CAC099" w14:textId="77777777" w:rsidR="00984916" w:rsidRPr="006F5D71" w:rsidRDefault="00984916" w:rsidP="00984916">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Exchange Rate Risk</w:t>
            </w:r>
          </w:p>
        </w:tc>
        <w:tc>
          <w:tcPr>
            <w:tcW w:w="811" w:type="dxa"/>
            <w:tcBorders>
              <w:top w:val="nil"/>
              <w:left w:val="single" w:sz="4" w:space="0" w:color="auto"/>
              <w:bottom w:val="nil"/>
              <w:right w:val="nil"/>
            </w:tcBorders>
            <w:shd w:val="clear" w:color="auto" w:fill="auto"/>
            <w:noWrap/>
            <w:vAlign w:val="bottom"/>
            <w:hideMark/>
          </w:tcPr>
          <w:p w14:paraId="014B7DFC"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482CDC33"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2.182</w:t>
            </w:r>
          </w:p>
        </w:tc>
        <w:tc>
          <w:tcPr>
            <w:tcW w:w="1088" w:type="dxa"/>
            <w:tcBorders>
              <w:top w:val="nil"/>
              <w:left w:val="nil"/>
              <w:bottom w:val="nil"/>
              <w:right w:val="nil"/>
            </w:tcBorders>
            <w:shd w:val="clear" w:color="auto" w:fill="auto"/>
            <w:noWrap/>
            <w:vAlign w:val="bottom"/>
            <w:hideMark/>
          </w:tcPr>
          <w:p w14:paraId="7C087E72"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1.353</w:t>
            </w:r>
          </w:p>
        </w:tc>
        <w:tc>
          <w:tcPr>
            <w:tcW w:w="961" w:type="dxa"/>
            <w:tcBorders>
              <w:top w:val="nil"/>
              <w:left w:val="nil"/>
              <w:bottom w:val="nil"/>
              <w:right w:val="nil"/>
            </w:tcBorders>
            <w:shd w:val="clear" w:color="auto" w:fill="auto"/>
            <w:noWrap/>
            <w:vAlign w:val="bottom"/>
            <w:hideMark/>
          </w:tcPr>
          <w:p w14:paraId="6CE7D29F"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hideMark/>
          </w:tcPr>
          <w:p w14:paraId="14881DAB"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7.856</w:t>
            </w:r>
          </w:p>
        </w:tc>
        <w:tc>
          <w:tcPr>
            <w:tcW w:w="875" w:type="dxa"/>
            <w:tcBorders>
              <w:top w:val="nil"/>
              <w:left w:val="single" w:sz="4" w:space="0" w:color="auto"/>
              <w:bottom w:val="nil"/>
              <w:right w:val="nil"/>
            </w:tcBorders>
            <w:shd w:val="clear" w:color="auto" w:fill="auto"/>
            <w:noWrap/>
            <w:vAlign w:val="bottom"/>
            <w:hideMark/>
          </w:tcPr>
          <w:p w14:paraId="44E6DEFF"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6805A71D"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2.050</w:t>
            </w:r>
          </w:p>
        </w:tc>
        <w:tc>
          <w:tcPr>
            <w:tcW w:w="1153" w:type="dxa"/>
            <w:tcBorders>
              <w:top w:val="nil"/>
              <w:left w:val="nil"/>
              <w:bottom w:val="nil"/>
              <w:right w:val="nil"/>
            </w:tcBorders>
            <w:shd w:val="clear" w:color="auto" w:fill="auto"/>
            <w:noWrap/>
            <w:vAlign w:val="bottom"/>
            <w:hideMark/>
          </w:tcPr>
          <w:p w14:paraId="3BE8F281"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1.229</w:t>
            </w:r>
          </w:p>
        </w:tc>
        <w:tc>
          <w:tcPr>
            <w:tcW w:w="970" w:type="dxa"/>
            <w:tcBorders>
              <w:top w:val="nil"/>
              <w:left w:val="nil"/>
              <w:bottom w:val="nil"/>
              <w:right w:val="nil"/>
            </w:tcBorders>
            <w:shd w:val="clear" w:color="auto" w:fill="auto"/>
            <w:noWrap/>
            <w:vAlign w:val="bottom"/>
            <w:hideMark/>
          </w:tcPr>
          <w:p w14:paraId="72AC1913"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hideMark/>
          </w:tcPr>
          <w:p w14:paraId="4F4AE26A"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7.312</w:t>
            </w:r>
          </w:p>
        </w:tc>
      </w:tr>
      <w:tr w:rsidR="00727A9B" w:rsidRPr="006F5D71" w14:paraId="52E826E1"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63B2C800" w14:textId="77777777" w:rsidR="00984916" w:rsidRPr="006F5D71" w:rsidRDefault="00984916" w:rsidP="00984916">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Production Cost Risk</w:t>
            </w:r>
          </w:p>
        </w:tc>
        <w:tc>
          <w:tcPr>
            <w:tcW w:w="811" w:type="dxa"/>
            <w:tcBorders>
              <w:top w:val="nil"/>
              <w:left w:val="single" w:sz="4" w:space="0" w:color="auto"/>
              <w:bottom w:val="nil"/>
              <w:right w:val="nil"/>
            </w:tcBorders>
            <w:shd w:val="clear" w:color="auto" w:fill="auto"/>
            <w:noWrap/>
            <w:vAlign w:val="bottom"/>
            <w:hideMark/>
          </w:tcPr>
          <w:p w14:paraId="5CAF8463"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5476A261"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1.127</w:t>
            </w:r>
          </w:p>
        </w:tc>
        <w:tc>
          <w:tcPr>
            <w:tcW w:w="1088" w:type="dxa"/>
            <w:tcBorders>
              <w:top w:val="nil"/>
              <w:left w:val="nil"/>
              <w:bottom w:val="nil"/>
              <w:right w:val="nil"/>
            </w:tcBorders>
            <w:shd w:val="clear" w:color="auto" w:fill="auto"/>
            <w:noWrap/>
            <w:vAlign w:val="bottom"/>
            <w:hideMark/>
          </w:tcPr>
          <w:p w14:paraId="664049F7"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1.732</w:t>
            </w:r>
          </w:p>
        </w:tc>
        <w:tc>
          <w:tcPr>
            <w:tcW w:w="961" w:type="dxa"/>
            <w:tcBorders>
              <w:top w:val="nil"/>
              <w:left w:val="nil"/>
              <w:bottom w:val="nil"/>
              <w:right w:val="nil"/>
            </w:tcBorders>
            <w:shd w:val="clear" w:color="auto" w:fill="auto"/>
            <w:noWrap/>
            <w:vAlign w:val="bottom"/>
            <w:hideMark/>
          </w:tcPr>
          <w:p w14:paraId="4B6263B1"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hideMark/>
          </w:tcPr>
          <w:p w14:paraId="18976AC6"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10.642</w:t>
            </w:r>
          </w:p>
        </w:tc>
        <w:tc>
          <w:tcPr>
            <w:tcW w:w="875" w:type="dxa"/>
            <w:tcBorders>
              <w:top w:val="nil"/>
              <w:left w:val="single" w:sz="4" w:space="0" w:color="auto"/>
              <w:bottom w:val="nil"/>
              <w:right w:val="nil"/>
            </w:tcBorders>
            <w:shd w:val="clear" w:color="auto" w:fill="auto"/>
            <w:noWrap/>
            <w:vAlign w:val="bottom"/>
            <w:hideMark/>
          </w:tcPr>
          <w:p w14:paraId="03E7EFDF"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73E9EB7E"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1.073</w:t>
            </w:r>
          </w:p>
        </w:tc>
        <w:tc>
          <w:tcPr>
            <w:tcW w:w="1153" w:type="dxa"/>
            <w:tcBorders>
              <w:top w:val="nil"/>
              <w:left w:val="nil"/>
              <w:bottom w:val="nil"/>
              <w:right w:val="nil"/>
            </w:tcBorders>
            <w:shd w:val="clear" w:color="auto" w:fill="auto"/>
            <w:noWrap/>
            <w:vAlign w:val="bottom"/>
            <w:hideMark/>
          </w:tcPr>
          <w:p w14:paraId="6FFC246D"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1.591</w:t>
            </w:r>
          </w:p>
        </w:tc>
        <w:tc>
          <w:tcPr>
            <w:tcW w:w="970" w:type="dxa"/>
            <w:tcBorders>
              <w:top w:val="nil"/>
              <w:left w:val="nil"/>
              <w:bottom w:val="nil"/>
              <w:right w:val="nil"/>
            </w:tcBorders>
            <w:shd w:val="clear" w:color="auto" w:fill="auto"/>
            <w:noWrap/>
            <w:vAlign w:val="bottom"/>
            <w:hideMark/>
          </w:tcPr>
          <w:p w14:paraId="370E59EB"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hideMark/>
          </w:tcPr>
          <w:p w14:paraId="3C9C4AA3"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9.217</w:t>
            </w:r>
          </w:p>
        </w:tc>
      </w:tr>
      <w:tr w:rsidR="00727A9B" w:rsidRPr="006F5D71" w14:paraId="56527713"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2F287382" w14:textId="77777777" w:rsidR="00984916" w:rsidRPr="006F5D71" w:rsidRDefault="00984916" w:rsidP="00984916">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Demand Risk</w:t>
            </w:r>
          </w:p>
        </w:tc>
        <w:tc>
          <w:tcPr>
            <w:tcW w:w="811" w:type="dxa"/>
            <w:tcBorders>
              <w:top w:val="nil"/>
              <w:left w:val="single" w:sz="4" w:space="0" w:color="auto"/>
              <w:bottom w:val="nil"/>
              <w:right w:val="nil"/>
            </w:tcBorders>
            <w:shd w:val="clear" w:color="auto" w:fill="auto"/>
            <w:noWrap/>
            <w:vAlign w:val="bottom"/>
            <w:hideMark/>
          </w:tcPr>
          <w:p w14:paraId="3DE4200A"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73ADE2FE"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0.092</w:t>
            </w:r>
          </w:p>
        </w:tc>
        <w:tc>
          <w:tcPr>
            <w:tcW w:w="1088" w:type="dxa"/>
            <w:tcBorders>
              <w:top w:val="nil"/>
              <w:left w:val="nil"/>
              <w:bottom w:val="nil"/>
              <w:right w:val="nil"/>
            </w:tcBorders>
            <w:shd w:val="clear" w:color="auto" w:fill="auto"/>
            <w:noWrap/>
            <w:vAlign w:val="bottom"/>
            <w:hideMark/>
          </w:tcPr>
          <w:p w14:paraId="70EA0F6D"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0.131</w:t>
            </w:r>
          </w:p>
        </w:tc>
        <w:tc>
          <w:tcPr>
            <w:tcW w:w="961" w:type="dxa"/>
            <w:tcBorders>
              <w:top w:val="nil"/>
              <w:left w:val="nil"/>
              <w:bottom w:val="nil"/>
              <w:right w:val="nil"/>
            </w:tcBorders>
            <w:shd w:val="clear" w:color="auto" w:fill="auto"/>
            <w:noWrap/>
            <w:vAlign w:val="bottom"/>
            <w:hideMark/>
          </w:tcPr>
          <w:p w14:paraId="5E5EAAD4"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hideMark/>
          </w:tcPr>
          <w:p w14:paraId="70CC65F2"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2.034</w:t>
            </w:r>
          </w:p>
        </w:tc>
        <w:tc>
          <w:tcPr>
            <w:tcW w:w="875" w:type="dxa"/>
            <w:tcBorders>
              <w:top w:val="nil"/>
              <w:left w:val="single" w:sz="4" w:space="0" w:color="auto"/>
              <w:bottom w:val="nil"/>
              <w:right w:val="nil"/>
            </w:tcBorders>
            <w:shd w:val="clear" w:color="auto" w:fill="auto"/>
            <w:noWrap/>
            <w:vAlign w:val="bottom"/>
            <w:hideMark/>
          </w:tcPr>
          <w:p w14:paraId="6C6FFA6F"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1EE7688A"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0.085</w:t>
            </w:r>
          </w:p>
        </w:tc>
        <w:tc>
          <w:tcPr>
            <w:tcW w:w="1153" w:type="dxa"/>
            <w:tcBorders>
              <w:top w:val="nil"/>
              <w:left w:val="nil"/>
              <w:bottom w:val="nil"/>
              <w:right w:val="nil"/>
            </w:tcBorders>
            <w:shd w:val="clear" w:color="auto" w:fill="auto"/>
            <w:noWrap/>
            <w:vAlign w:val="bottom"/>
            <w:hideMark/>
          </w:tcPr>
          <w:p w14:paraId="2EA2457C"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0.079</w:t>
            </w:r>
          </w:p>
        </w:tc>
        <w:tc>
          <w:tcPr>
            <w:tcW w:w="970" w:type="dxa"/>
            <w:tcBorders>
              <w:top w:val="nil"/>
              <w:left w:val="nil"/>
              <w:bottom w:val="nil"/>
              <w:right w:val="nil"/>
            </w:tcBorders>
            <w:shd w:val="clear" w:color="auto" w:fill="auto"/>
            <w:noWrap/>
            <w:vAlign w:val="bottom"/>
            <w:hideMark/>
          </w:tcPr>
          <w:p w14:paraId="2250673D"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hideMark/>
          </w:tcPr>
          <w:p w14:paraId="019543B0"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1.044</w:t>
            </w:r>
          </w:p>
        </w:tc>
      </w:tr>
      <w:tr w:rsidR="00727A9B" w:rsidRPr="006F5D71" w14:paraId="0FFD6270"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34AF0053" w14:textId="77777777" w:rsidR="00984916" w:rsidRPr="006F5D71" w:rsidRDefault="00984916" w:rsidP="00984916">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Financial Crisis</w:t>
            </w:r>
          </w:p>
        </w:tc>
        <w:tc>
          <w:tcPr>
            <w:tcW w:w="811" w:type="dxa"/>
            <w:tcBorders>
              <w:top w:val="nil"/>
              <w:left w:val="single" w:sz="4" w:space="0" w:color="auto"/>
              <w:bottom w:val="nil"/>
              <w:right w:val="nil"/>
            </w:tcBorders>
            <w:shd w:val="clear" w:color="auto" w:fill="auto"/>
            <w:noWrap/>
            <w:vAlign w:val="bottom"/>
            <w:hideMark/>
          </w:tcPr>
          <w:p w14:paraId="38AC4F16"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4562DE27"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0.659</w:t>
            </w:r>
          </w:p>
        </w:tc>
        <w:tc>
          <w:tcPr>
            <w:tcW w:w="1088" w:type="dxa"/>
            <w:tcBorders>
              <w:top w:val="nil"/>
              <w:left w:val="nil"/>
              <w:bottom w:val="nil"/>
              <w:right w:val="nil"/>
            </w:tcBorders>
            <w:shd w:val="clear" w:color="auto" w:fill="auto"/>
            <w:noWrap/>
            <w:vAlign w:val="bottom"/>
            <w:hideMark/>
          </w:tcPr>
          <w:p w14:paraId="7CF14BDD"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0.474</w:t>
            </w:r>
          </w:p>
        </w:tc>
        <w:tc>
          <w:tcPr>
            <w:tcW w:w="961" w:type="dxa"/>
            <w:tcBorders>
              <w:top w:val="nil"/>
              <w:left w:val="nil"/>
              <w:bottom w:val="nil"/>
              <w:right w:val="nil"/>
            </w:tcBorders>
            <w:shd w:val="clear" w:color="auto" w:fill="auto"/>
            <w:noWrap/>
            <w:vAlign w:val="bottom"/>
            <w:hideMark/>
          </w:tcPr>
          <w:p w14:paraId="4FF86B59"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hideMark/>
          </w:tcPr>
          <w:p w14:paraId="083B1E29"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c>
          <w:tcPr>
            <w:tcW w:w="875" w:type="dxa"/>
            <w:tcBorders>
              <w:top w:val="nil"/>
              <w:left w:val="single" w:sz="4" w:space="0" w:color="auto"/>
              <w:bottom w:val="nil"/>
              <w:right w:val="nil"/>
            </w:tcBorders>
            <w:shd w:val="clear" w:color="auto" w:fill="auto"/>
            <w:noWrap/>
            <w:vAlign w:val="bottom"/>
            <w:hideMark/>
          </w:tcPr>
          <w:p w14:paraId="5F00C2CA"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3B3DAC8E"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0.713</w:t>
            </w:r>
          </w:p>
        </w:tc>
        <w:tc>
          <w:tcPr>
            <w:tcW w:w="1153" w:type="dxa"/>
            <w:tcBorders>
              <w:top w:val="nil"/>
              <w:left w:val="nil"/>
              <w:bottom w:val="nil"/>
              <w:right w:val="nil"/>
            </w:tcBorders>
            <w:shd w:val="clear" w:color="auto" w:fill="auto"/>
            <w:noWrap/>
            <w:vAlign w:val="bottom"/>
            <w:hideMark/>
          </w:tcPr>
          <w:p w14:paraId="48119003"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0.452</w:t>
            </w:r>
          </w:p>
        </w:tc>
        <w:tc>
          <w:tcPr>
            <w:tcW w:w="970" w:type="dxa"/>
            <w:tcBorders>
              <w:top w:val="nil"/>
              <w:left w:val="nil"/>
              <w:bottom w:val="nil"/>
              <w:right w:val="nil"/>
            </w:tcBorders>
            <w:shd w:val="clear" w:color="auto" w:fill="auto"/>
            <w:noWrap/>
            <w:vAlign w:val="bottom"/>
            <w:hideMark/>
          </w:tcPr>
          <w:p w14:paraId="64CEA76B"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hideMark/>
          </w:tcPr>
          <w:p w14:paraId="66F99606"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r>
      <w:tr w:rsidR="00727A9B" w:rsidRPr="006F5D71" w14:paraId="2AB4872D"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06B618A4" w14:textId="77777777" w:rsidR="00984916" w:rsidRPr="006F5D71" w:rsidRDefault="00984916" w:rsidP="00984916">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Home Country Diaspora</w:t>
            </w:r>
          </w:p>
        </w:tc>
        <w:tc>
          <w:tcPr>
            <w:tcW w:w="811" w:type="dxa"/>
            <w:tcBorders>
              <w:top w:val="nil"/>
              <w:left w:val="single" w:sz="4" w:space="0" w:color="auto"/>
              <w:bottom w:val="nil"/>
              <w:right w:val="nil"/>
            </w:tcBorders>
            <w:shd w:val="clear" w:color="auto" w:fill="auto"/>
            <w:noWrap/>
            <w:vAlign w:val="bottom"/>
            <w:hideMark/>
          </w:tcPr>
          <w:p w14:paraId="12DBF6AA"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1B929C3F" w14:textId="77777777" w:rsidR="00984916" w:rsidRPr="006F5D71" w:rsidRDefault="00507605"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0.014</w:t>
            </w:r>
          </w:p>
        </w:tc>
        <w:tc>
          <w:tcPr>
            <w:tcW w:w="1088" w:type="dxa"/>
            <w:tcBorders>
              <w:top w:val="nil"/>
              <w:left w:val="nil"/>
              <w:bottom w:val="nil"/>
              <w:right w:val="nil"/>
            </w:tcBorders>
            <w:shd w:val="clear" w:color="auto" w:fill="auto"/>
            <w:noWrap/>
            <w:vAlign w:val="bottom"/>
            <w:hideMark/>
          </w:tcPr>
          <w:p w14:paraId="6280D11C" w14:textId="77777777" w:rsidR="00984916" w:rsidRPr="006F5D71" w:rsidRDefault="00507605"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0.013</w:t>
            </w:r>
          </w:p>
        </w:tc>
        <w:tc>
          <w:tcPr>
            <w:tcW w:w="961" w:type="dxa"/>
            <w:tcBorders>
              <w:top w:val="nil"/>
              <w:left w:val="nil"/>
              <w:bottom w:val="nil"/>
              <w:right w:val="nil"/>
            </w:tcBorders>
            <w:shd w:val="clear" w:color="auto" w:fill="auto"/>
            <w:noWrap/>
            <w:vAlign w:val="bottom"/>
            <w:hideMark/>
          </w:tcPr>
          <w:p w14:paraId="02E3102B" w14:textId="77777777" w:rsidR="00984916" w:rsidRPr="006F5D71" w:rsidRDefault="00507605"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hideMark/>
          </w:tcPr>
          <w:p w14:paraId="5BEFF1CC" w14:textId="77777777" w:rsidR="00984916" w:rsidRPr="006F5D71" w:rsidRDefault="00507605"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0.052</w:t>
            </w:r>
          </w:p>
        </w:tc>
        <w:tc>
          <w:tcPr>
            <w:tcW w:w="875" w:type="dxa"/>
            <w:tcBorders>
              <w:top w:val="nil"/>
              <w:left w:val="single" w:sz="4" w:space="0" w:color="auto"/>
              <w:bottom w:val="nil"/>
              <w:right w:val="nil"/>
            </w:tcBorders>
            <w:shd w:val="clear" w:color="auto" w:fill="auto"/>
            <w:noWrap/>
            <w:vAlign w:val="bottom"/>
            <w:hideMark/>
          </w:tcPr>
          <w:p w14:paraId="1F1C1773" w14:textId="77777777" w:rsidR="00984916" w:rsidRPr="006F5D71" w:rsidRDefault="00984916"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13BC5652" w14:textId="77777777" w:rsidR="00984916" w:rsidRPr="006F5D71" w:rsidRDefault="00507605"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0.030</w:t>
            </w:r>
          </w:p>
        </w:tc>
        <w:tc>
          <w:tcPr>
            <w:tcW w:w="1153" w:type="dxa"/>
            <w:tcBorders>
              <w:top w:val="nil"/>
              <w:left w:val="nil"/>
              <w:bottom w:val="nil"/>
              <w:right w:val="nil"/>
            </w:tcBorders>
            <w:shd w:val="clear" w:color="auto" w:fill="auto"/>
            <w:noWrap/>
            <w:vAlign w:val="bottom"/>
            <w:hideMark/>
          </w:tcPr>
          <w:p w14:paraId="3B483C77" w14:textId="77777777" w:rsidR="00984916" w:rsidRPr="006F5D71" w:rsidRDefault="00507605"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0.031</w:t>
            </w:r>
          </w:p>
        </w:tc>
        <w:tc>
          <w:tcPr>
            <w:tcW w:w="970" w:type="dxa"/>
            <w:tcBorders>
              <w:top w:val="nil"/>
              <w:left w:val="nil"/>
              <w:bottom w:val="nil"/>
              <w:right w:val="nil"/>
            </w:tcBorders>
            <w:shd w:val="clear" w:color="auto" w:fill="auto"/>
            <w:noWrap/>
            <w:vAlign w:val="bottom"/>
            <w:hideMark/>
          </w:tcPr>
          <w:p w14:paraId="5D446F4E" w14:textId="77777777" w:rsidR="00984916" w:rsidRPr="006F5D71" w:rsidRDefault="00507605"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hideMark/>
          </w:tcPr>
          <w:p w14:paraId="256EE784" w14:textId="77777777" w:rsidR="00984916" w:rsidRPr="006F5D71" w:rsidRDefault="00507605" w:rsidP="00984916">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0.652</w:t>
            </w:r>
          </w:p>
        </w:tc>
      </w:tr>
      <w:tr w:rsidR="00727A9B" w:rsidRPr="006F5D71" w14:paraId="58270592"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6AB2831D" w14:textId="77777777" w:rsidR="00580EE3" w:rsidRPr="006F5D71" w:rsidRDefault="00580EE3" w:rsidP="00580EE3">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Sunk Cost</w:t>
            </w:r>
          </w:p>
        </w:tc>
        <w:tc>
          <w:tcPr>
            <w:tcW w:w="811" w:type="dxa"/>
            <w:tcBorders>
              <w:top w:val="nil"/>
              <w:left w:val="single" w:sz="4" w:space="0" w:color="auto"/>
              <w:bottom w:val="nil"/>
              <w:right w:val="nil"/>
            </w:tcBorders>
            <w:shd w:val="clear" w:color="auto" w:fill="auto"/>
            <w:noWrap/>
            <w:vAlign w:val="bottom"/>
            <w:hideMark/>
          </w:tcPr>
          <w:p w14:paraId="5D5CF176"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51A8145B"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0.007</w:t>
            </w:r>
          </w:p>
        </w:tc>
        <w:tc>
          <w:tcPr>
            <w:tcW w:w="1088" w:type="dxa"/>
            <w:tcBorders>
              <w:top w:val="nil"/>
              <w:left w:val="nil"/>
              <w:bottom w:val="nil"/>
              <w:right w:val="nil"/>
            </w:tcBorders>
            <w:shd w:val="clear" w:color="auto" w:fill="auto"/>
            <w:noWrap/>
            <w:vAlign w:val="bottom"/>
            <w:hideMark/>
          </w:tcPr>
          <w:p w14:paraId="3821D4C1"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0.018</w:t>
            </w:r>
          </w:p>
        </w:tc>
        <w:tc>
          <w:tcPr>
            <w:tcW w:w="961" w:type="dxa"/>
            <w:tcBorders>
              <w:top w:val="nil"/>
              <w:left w:val="nil"/>
              <w:bottom w:val="nil"/>
              <w:right w:val="nil"/>
            </w:tcBorders>
            <w:shd w:val="clear" w:color="auto" w:fill="auto"/>
            <w:noWrap/>
            <w:vAlign w:val="bottom"/>
            <w:hideMark/>
          </w:tcPr>
          <w:p w14:paraId="04EBC6F6"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hideMark/>
          </w:tcPr>
          <w:p w14:paraId="643C6C7C"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0.130</w:t>
            </w:r>
          </w:p>
        </w:tc>
        <w:tc>
          <w:tcPr>
            <w:tcW w:w="875" w:type="dxa"/>
            <w:tcBorders>
              <w:top w:val="nil"/>
              <w:left w:val="single" w:sz="4" w:space="0" w:color="auto"/>
              <w:bottom w:val="nil"/>
              <w:right w:val="nil"/>
            </w:tcBorders>
            <w:shd w:val="clear" w:color="auto" w:fill="auto"/>
            <w:noWrap/>
            <w:vAlign w:val="bottom"/>
            <w:hideMark/>
          </w:tcPr>
          <w:p w14:paraId="7D1AB5D2"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04BE4542"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0.008</w:t>
            </w:r>
          </w:p>
        </w:tc>
        <w:tc>
          <w:tcPr>
            <w:tcW w:w="1153" w:type="dxa"/>
            <w:tcBorders>
              <w:top w:val="nil"/>
              <w:left w:val="nil"/>
              <w:bottom w:val="nil"/>
              <w:right w:val="nil"/>
            </w:tcBorders>
            <w:shd w:val="clear" w:color="auto" w:fill="auto"/>
            <w:noWrap/>
            <w:vAlign w:val="bottom"/>
            <w:hideMark/>
          </w:tcPr>
          <w:p w14:paraId="1273B425"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0.023</w:t>
            </w:r>
          </w:p>
        </w:tc>
        <w:tc>
          <w:tcPr>
            <w:tcW w:w="970" w:type="dxa"/>
            <w:tcBorders>
              <w:top w:val="nil"/>
              <w:left w:val="nil"/>
              <w:bottom w:val="nil"/>
              <w:right w:val="nil"/>
            </w:tcBorders>
            <w:shd w:val="clear" w:color="auto" w:fill="auto"/>
            <w:noWrap/>
            <w:vAlign w:val="bottom"/>
            <w:hideMark/>
          </w:tcPr>
          <w:p w14:paraId="7BD2A7A2"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hideMark/>
          </w:tcPr>
          <w:p w14:paraId="5B75FAE5"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0.190</w:t>
            </w:r>
          </w:p>
        </w:tc>
      </w:tr>
      <w:tr w:rsidR="00727A9B" w:rsidRPr="006F5D71" w14:paraId="195A179E"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6C0D9ED5" w14:textId="77777777" w:rsidR="00580EE3" w:rsidRPr="006F5D71" w:rsidRDefault="00580EE3" w:rsidP="00580EE3">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ROA</w:t>
            </w:r>
          </w:p>
        </w:tc>
        <w:tc>
          <w:tcPr>
            <w:tcW w:w="811" w:type="dxa"/>
            <w:tcBorders>
              <w:top w:val="nil"/>
              <w:left w:val="single" w:sz="4" w:space="0" w:color="auto"/>
              <w:bottom w:val="nil"/>
              <w:right w:val="nil"/>
            </w:tcBorders>
            <w:shd w:val="clear" w:color="auto" w:fill="auto"/>
            <w:noWrap/>
            <w:vAlign w:val="bottom"/>
            <w:hideMark/>
          </w:tcPr>
          <w:p w14:paraId="619347B0"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6A3223F2"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0.782</w:t>
            </w:r>
          </w:p>
        </w:tc>
        <w:tc>
          <w:tcPr>
            <w:tcW w:w="1088" w:type="dxa"/>
            <w:tcBorders>
              <w:top w:val="nil"/>
              <w:left w:val="nil"/>
              <w:bottom w:val="nil"/>
              <w:right w:val="nil"/>
            </w:tcBorders>
            <w:shd w:val="clear" w:color="auto" w:fill="auto"/>
            <w:noWrap/>
            <w:vAlign w:val="bottom"/>
            <w:hideMark/>
          </w:tcPr>
          <w:p w14:paraId="2099E22B"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0.782</w:t>
            </w:r>
          </w:p>
        </w:tc>
        <w:tc>
          <w:tcPr>
            <w:tcW w:w="961" w:type="dxa"/>
            <w:tcBorders>
              <w:top w:val="nil"/>
              <w:left w:val="nil"/>
              <w:bottom w:val="nil"/>
              <w:right w:val="nil"/>
            </w:tcBorders>
            <w:shd w:val="clear" w:color="auto" w:fill="auto"/>
            <w:noWrap/>
            <w:vAlign w:val="bottom"/>
            <w:hideMark/>
          </w:tcPr>
          <w:p w14:paraId="4A864AA3"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hideMark/>
          </w:tcPr>
          <w:p w14:paraId="1CEA1FD7"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4.591</w:t>
            </w:r>
          </w:p>
        </w:tc>
        <w:tc>
          <w:tcPr>
            <w:tcW w:w="875" w:type="dxa"/>
            <w:tcBorders>
              <w:top w:val="nil"/>
              <w:left w:val="single" w:sz="4" w:space="0" w:color="auto"/>
              <w:bottom w:val="nil"/>
              <w:right w:val="nil"/>
            </w:tcBorders>
            <w:shd w:val="clear" w:color="auto" w:fill="auto"/>
            <w:noWrap/>
            <w:vAlign w:val="bottom"/>
            <w:hideMark/>
          </w:tcPr>
          <w:p w14:paraId="5CD43FAA"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559B3E50"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0.897</w:t>
            </w:r>
          </w:p>
        </w:tc>
        <w:tc>
          <w:tcPr>
            <w:tcW w:w="1153" w:type="dxa"/>
            <w:tcBorders>
              <w:top w:val="nil"/>
              <w:left w:val="nil"/>
              <w:bottom w:val="nil"/>
              <w:right w:val="nil"/>
            </w:tcBorders>
            <w:shd w:val="clear" w:color="auto" w:fill="auto"/>
            <w:noWrap/>
            <w:vAlign w:val="bottom"/>
            <w:hideMark/>
          </w:tcPr>
          <w:p w14:paraId="3FB26FEF"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0.886</w:t>
            </w:r>
          </w:p>
        </w:tc>
        <w:tc>
          <w:tcPr>
            <w:tcW w:w="970" w:type="dxa"/>
            <w:tcBorders>
              <w:top w:val="nil"/>
              <w:left w:val="nil"/>
              <w:bottom w:val="nil"/>
              <w:right w:val="nil"/>
            </w:tcBorders>
            <w:shd w:val="clear" w:color="auto" w:fill="auto"/>
            <w:noWrap/>
            <w:vAlign w:val="bottom"/>
            <w:hideMark/>
          </w:tcPr>
          <w:p w14:paraId="3B7CFABE"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hideMark/>
          </w:tcPr>
          <w:p w14:paraId="44AC1979" w14:textId="77777777" w:rsidR="00580EE3" w:rsidRPr="006F5D71" w:rsidRDefault="00580EE3" w:rsidP="00580EE3">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4.800</w:t>
            </w:r>
          </w:p>
        </w:tc>
      </w:tr>
      <w:tr w:rsidR="00727A9B" w:rsidRPr="006F5D71" w14:paraId="5AEAB8E7"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3048C804" w14:textId="77777777" w:rsidR="0083780C" w:rsidRPr="006F5D71" w:rsidRDefault="0083780C" w:rsidP="0083780C">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Equity Ownership</w:t>
            </w:r>
          </w:p>
        </w:tc>
        <w:tc>
          <w:tcPr>
            <w:tcW w:w="811" w:type="dxa"/>
            <w:tcBorders>
              <w:top w:val="nil"/>
              <w:left w:val="single" w:sz="4" w:space="0" w:color="auto"/>
              <w:bottom w:val="nil"/>
              <w:right w:val="nil"/>
            </w:tcBorders>
            <w:shd w:val="clear" w:color="auto" w:fill="auto"/>
            <w:noWrap/>
            <w:vAlign w:val="bottom"/>
            <w:hideMark/>
          </w:tcPr>
          <w:p w14:paraId="732DFD18"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46537209"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-0.847</w:t>
            </w:r>
          </w:p>
        </w:tc>
        <w:tc>
          <w:tcPr>
            <w:tcW w:w="1088" w:type="dxa"/>
            <w:tcBorders>
              <w:top w:val="nil"/>
              <w:left w:val="nil"/>
              <w:bottom w:val="nil"/>
              <w:right w:val="nil"/>
            </w:tcBorders>
            <w:shd w:val="clear" w:color="auto" w:fill="auto"/>
            <w:noWrap/>
            <w:vAlign w:val="bottom"/>
            <w:hideMark/>
          </w:tcPr>
          <w:p w14:paraId="0A4AA7E7"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0.431</w:t>
            </w:r>
          </w:p>
        </w:tc>
        <w:tc>
          <w:tcPr>
            <w:tcW w:w="961" w:type="dxa"/>
            <w:tcBorders>
              <w:top w:val="nil"/>
              <w:left w:val="nil"/>
              <w:bottom w:val="nil"/>
              <w:right w:val="nil"/>
            </w:tcBorders>
            <w:shd w:val="clear" w:color="auto" w:fill="auto"/>
            <w:noWrap/>
            <w:vAlign w:val="bottom"/>
            <w:hideMark/>
          </w:tcPr>
          <w:p w14:paraId="6D17FA38"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-2.708</w:t>
            </w:r>
          </w:p>
        </w:tc>
        <w:tc>
          <w:tcPr>
            <w:tcW w:w="986" w:type="dxa"/>
            <w:tcBorders>
              <w:top w:val="nil"/>
              <w:left w:val="nil"/>
              <w:bottom w:val="nil"/>
              <w:right w:val="single" w:sz="4" w:space="0" w:color="auto"/>
            </w:tcBorders>
            <w:shd w:val="clear" w:color="auto" w:fill="auto"/>
            <w:noWrap/>
            <w:vAlign w:val="bottom"/>
            <w:hideMark/>
          </w:tcPr>
          <w:p w14:paraId="4BE7241D"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0.105</w:t>
            </w:r>
          </w:p>
        </w:tc>
        <w:tc>
          <w:tcPr>
            <w:tcW w:w="875" w:type="dxa"/>
            <w:tcBorders>
              <w:top w:val="nil"/>
              <w:left w:val="single" w:sz="4" w:space="0" w:color="auto"/>
              <w:bottom w:val="nil"/>
              <w:right w:val="nil"/>
            </w:tcBorders>
            <w:shd w:val="clear" w:color="auto" w:fill="auto"/>
            <w:noWrap/>
            <w:vAlign w:val="bottom"/>
            <w:hideMark/>
          </w:tcPr>
          <w:p w14:paraId="7D614A6B"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1870DB91"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-0.962</w:t>
            </w:r>
          </w:p>
        </w:tc>
        <w:tc>
          <w:tcPr>
            <w:tcW w:w="1153" w:type="dxa"/>
            <w:tcBorders>
              <w:top w:val="nil"/>
              <w:left w:val="nil"/>
              <w:bottom w:val="nil"/>
              <w:right w:val="nil"/>
            </w:tcBorders>
            <w:shd w:val="clear" w:color="auto" w:fill="auto"/>
            <w:noWrap/>
            <w:vAlign w:val="bottom"/>
            <w:hideMark/>
          </w:tcPr>
          <w:p w14:paraId="3CA40458"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0.395</w:t>
            </w:r>
          </w:p>
        </w:tc>
        <w:tc>
          <w:tcPr>
            <w:tcW w:w="970" w:type="dxa"/>
            <w:tcBorders>
              <w:top w:val="nil"/>
              <w:left w:val="nil"/>
              <w:bottom w:val="nil"/>
              <w:right w:val="nil"/>
            </w:tcBorders>
            <w:shd w:val="clear" w:color="auto" w:fill="auto"/>
            <w:noWrap/>
            <w:vAlign w:val="bottom"/>
            <w:hideMark/>
          </w:tcPr>
          <w:p w14:paraId="7B47866C"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-2.120</w:t>
            </w:r>
          </w:p>
        </w:tc>
        <w:tc>
          <w:tcPr>
            <w:tcW w:w="1061" w:type="dxa"/>
            <w:tcBorders>
              <w:top w:val="nil"/>
              <w:left w:val="nil"/>
              <w:bottom w:val="nil"/>
              <w:right w:val="nil"/>
            </w:tcBorders>
            <w:shd w:val="clear" w:color="auto" w:fill="auto"/>
            <w:noWrap/>
            <w:vAlign w:val="bottom"/>
            <w:hideMark/>
          </w:tcPr>
          <w:p w14:paraId="01FCD101"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-0.315</w:t>
            </w:r>
          </w:p>
        </w:tc>
      </w:tr>
      <w:tr w:rsidR="00727A9B" w:rsidRPr="006F5D71" w14:paraId="697FBD8B" w14:textId="77777777" w:rsidTr="00580EE3">
        <w:trPr>
          <w:trHeight w:val="258"/>
        </w:trPr>
        <w:tc>
          <w:tcPr>
            <w:tcW w:w="3845" w:type="dxa"/>
            <w:tcBorders>
              <w:top w:val="nil"/>
              <w:left w:val="nil"/>
              <w:bottom w:val="nil"/>
              <w:right w:val="single" w:sz="4" w:space="0" w:color="auto"/>
            </w:tcBorders>
            <w:shd w:val="clear" w:color="auto" w:fill="auto"/>
            <w:noWrap/>
            <w:vAlign w:val="bottom"/>
          </w:tcPr>
          <w:p w14:paraId="79C44FD5" w14:textId="77777777" w:rsidR="0083780C" w:rsidRPr="006F5D71" w:rsidRDefault="0083780C" w:rsidP="0083780C">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Asset Seeking Motive</w:t>
            </w:r>
          </w:p>
        </w:tc>
        <w:tc>
          <w:tcPr>
            <w:tcW w:w="811" w:type="dxa"/>
            <w:tcBorders>
              <w:top w:val="nil"/>
              <w:left w:val="single" w:sz="4" w:space="0" w:color="auto"/>
              <w:bottom w:val="nil"/>
              <w:right w:val="nil"/>
            </w:tcBorders>
            <w:shd w:val="clear" w:color="auto" w:fill="auto"/>
            <w:noWrap/>
            <w:vAlign w:val="bottom"/>
          </w:tcPr>
          <w:p w14:paraId="7B378E05"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tcPr>
          <w:p w14:paraId="1D504889"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0.708</w:t>
            </w:r>
          </w:p>
        </w:tc>
        <w:tc>
          <w:tcPr>
            <w:tcW w:w="1088" w:type="dxa"/>
            <w:tcBorders>
              <w:top w:val="nil"/>
              <w:left w:val="nil"/>
              <w:bottom w:val="nil"/>
              <w:right w:val="nil"/>
            </w:tcBorders>
            <w:shd w:val="clear" w:color="auto" w:fill="auto"/>
            <w:noWrap/>
            <w:vAlign w:val="bottom"/>
          </w:tcPr>
          <w:p w14:paraId="2BFB66D8"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0.455</w:t>
            </w:r>
          </w:p>
        </w:tc>
        <w:tc>
          <w:tcPr>
            <w:tcW w:w="961" w:type="dxa"/>
            <w:tcBorders>
              <w:top w:val="nil"/>
              <w:left w:val="nil"/>
              <w:bottom w:val="nil"/>
              <w:right w:val="nil"/>
            </w:tcBorders>
            <w:shd w:val="clear" w:color="auto" w:fill="auto"/>
            <w:noWrap/>
            <w:vAlign w:val="bottom"/>
          </w:tcPr>
          <w:p w14:paraId="66A53359"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tcPr>
          <w:p w14:paraId="6AAFD717"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c>
          <w:tcPr>
            <w:tcW w:w="875" w:type="dxa"/>
            <w:tcBorders>
              <w:top w:val="nil"/>
              <w:left w:val="single" w:sz="4" w:space="0" w:color="auto"/>
              <w:bottom w:val="nil"/>
              <w:right w:val="nil"/>
            </w:tcBorders>
            <w:shd w:val="clear" w:color="auto" w:fill="auto"/>
            <w:noWrap/>
            <w:vAlign w:val="bottom"/>
          </w:tcPr>
          <w:p w14:paraId="76DB6D8F"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tcPr>
          <w:p w14:paraId="5B070FD8"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0.739</w:t>
            </w:r>
          </w:p>
        </w:tc>
        <w:tc>
          <w:tcPr>
            <w:tcW w:w="1153" w:type="dxa"/>
            <w:tcBorders>
              <w:top w:val="nil"/>
              <w:left w:val="nil"/>
              <w:bottom w:val="nil"/>
              <w:right w:val="nil"/>
            </w:tcBorders>
            <w:shd w:val="clear" w:color="auto" w:fill="auto"/>
            <w:noWrap/>
            <w:vAlign w:val="bottom"/>
          </w:tcPr>
          <w:p w14:paraId="38F7A5EA"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0.439</w:t>
            </w:r>
          </w:p>
        </w:tc>
        <w:tc>
          <w:tcPr>
            <w:tcW w:w="970" w:type="dxa"/>
            <w:tcBorders>
              <w:top w:val="nil"/>
              <w:left w:val="nil"/>
              <w:bottom w:val="nil"/>
              <w:right w:val="nil"/>
            </w:tcBorders>
            <w:shd w:val="clear" w:color="auto" w:fill="auto"/>
            <w:noWrap/>
            <w:vAlign w:val="bottom"/>
          </w:tcPr>
          <w:p w14:paraId="0FA4D0B0"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tcPr>
          <w:p w14:paraId="40E698C6"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r>
      <w:tr w:rsidR="00727A9B" w:rsidRPr="006F5D71" w14:paraId="5FE3FE6A"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649760A0" w14:textId="77777777" w:rsidR="0083780C" w:rsidRPr="006F5D71" w:rsidRDefault="0083780C" w:rsidP="0083780C">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Parent Size</w:t>
            </w:r>
          </w:p>
        </w:tc>
        <w:tc>
          <w:tcPr>
            <w:tcW w:w="811" w:type="dxa"/>
            <w:tcBorders>
              <w:top w:val="nil"/>
              <w:left w:val="single" w:sz="4" w:space="0" w:color="auto"/>
              <w:bottom w:val="nil"/>
              <w:right w:val="nil"/>
            </w:tcBorders>
            <w:shd w:val="clear" w:color="auto" w:fill="auto"/>
            <w:noWrap/>
            <w:vAlign w:val="bottom"/>
            <w:hideMark/>
          </w:tcPr>
          <w:p w14:paraId="1E62BFE1"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4D67E7D7"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5.027</w:t>
            </w:r>
          </w:p>
        </w:tc>
        <w:tc>
          <w:tcPr>
            <w:tcW w:w="1088" w:type="dxa"/>
            <w:tcBorders>
              <w:top w:val="nil"/>
              <w:left w:val="nil"/>
              <w:bottom w:val="nil"/>
              <w:right w:val="nil"/>
            </w:tcBorders>
            <w:shd w:val="clear" w:color="auto" w:fill="auto"/>
            <w:noWrap/>
            <w:vAlign w:val="bottom"/>
            <w:hideMark/>
          </w:tcPr>
          <w:p w14:paraId="2635F96D"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0.580</w:t>
            </w:r>
          </w:p>
        </w:tc>
        <w:tc>
          <w:tcPr>
            <w:tcW w:w="961" w:type="dxa"/>
            <w:tcBorders>
              <w:top w:val="nil"/>
              <w:left w:val="nil"/>
              <w:bottom w:val="nil"/>
              <w:right w:val="nil"/>
            </w:tcBorders>
            <w:shd w:val="clear" w:color="auto" w:fill="auto"/>
            <w:noWrap/>
            <w:vAlign w:val="bottom"/>
            <w:hideMark/>
          </w:tcPr>
          <w:p w14:paraId="7FAE87A9"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3.784</w:t>
            </w:r>
          </w:p>
        </w:tc>
        <w:tc>
          <w:tcPr>
            <w:tcW w:w="986" w:type="dxa"/>
            <w:tcBorders>
              <w:top w:val="nil"/>
              <w:left w:val="nil"/>
              <w:bottom w:val="nil"/>
              <w:right w:val="single" w:sz="4" w:space="0" w:color="auto"/>
            </w:tcBorders>
            <w:shd w:val="clear" w:color="auto" w:fill="auto"/>
            <w:noWrap/>
            <w:vAlign w:val="bottom"/>
            <w:hideMark/>
          </w:tcPr>
          <w:p w14:paraId="65976005"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6.184</w:t>
            </w:r>
          </w:p>
        </w:tc>
        <w:tc>
          <w:tcPr>
            <w:tcW w:w="875" w:type="dxa"/>
            <w:tcBorders>
              <w:top w:val="nil"/>
              <w:left w:val="single" w:sz="4" w:space="0" w:color="auto"/>
              <w:bottom w:val="nil"/>
              <w:right w:val="nil"/>
            </w:tcBorders>
            <w:shd w:val="clear" w:color="auto" w:fill="auto"/>
            <w:noWrap/>
            <w:vAlign w:val="bottom"/>
            <w:hideMark/>
          </w:tcPr>
          <w:p w14:paraId="7B4B82F1"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1AEB63AB"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5.172</w:t>
            </w:r>
          </w:p>
        </w:tc>
        <w:tc>
          <w:tcPr>
            <w:tcW w:w="1153" w:type="dxa"/>
            <w:tcBorders>
              <w:top w:val="nil"/>
              <w:left w:val="nil"/>
              <w:bottom w:val="nil"/>
              <w:right w:val="nil"/>
            </w:tcBorders>
            <w:shd w:val="clear" w:color="auto" w:fill="auto"/>
            <w:noWrap/>
            <w:vAlign w:val="bottom"/>
            <w:hideMark/>
          </w:tcPr>
          <w:p w14:paraId="535B645F"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0.651</w:t>
            </w:r>
          </w:p>
        </w:tc>
        <w:tc>
          <w:tcPr>
            <w:tcW w:w="970" w:type="dxa"/>
            <w:tcBorders>
              <w:top w:val="nil"/>
              <w:left w:val="nil"/>
              <w:bottom w:val="nil"/>
              <w:right w:val="nil"/>
            </w:tcBorders>
            <w:shd w:val="clear" w:color="auto" w:fill="auto"/>
            <w:noWrap/>
            <w:vAlign w:val="bottom"/>
            <w:hideMark/>
          </w:tcPr>
          <w:p w14:paraId="742674C3"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3.526</w:t>
            </w:r>
          </w:p>
        </w:tc>
        <w:tc>
          <w:tcPr>
            <w:tcW w:w="1061" w:type="dxa"/>
            <w:tcBorders>
              <w:top w:val="nil"/>
              <w:left w:val="nil"/>
              <w:bottom w:val="nil"/>
              <w:right w:val="nil"/>
            </w:tcBorders>
            <w:shd w:val="clear" w:color="auto" w:fill="auto"/>
            <w:noWrap/>
            <w:vAlign w:val="bottom"/>
            <w:hideMark/>
          </w:tcPr>
          <w:p w14:paraId="025A5E65"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6.223</w:t>
            </w:r>
          </w:p>
        </w:tc>
      </w:tr>
      <w:tr w:rsidR="00727A9B" w:rsidRPr="006F5D71" w14:paraId="710678DB" w14:textId="77777777" w:rsidTr="00580EE3">
        <w:trPr>
          <w:trHeight w:val="258"/>
        </w:trPr>
        <w:tc>
          <w:tcPr>
            <w:tcW w:w="3845" w:type="dxa"/>
            <w:tcBorders>
              <w:top w:val="nil"/>
              <w:left w:val="nil"/>
              <w:bottom w:val="nil"/>
              <w:right w:val="single" w:sz="4" w:space="0" w:color="auto"/>
            </w:tcBorders>
            <w:shd w:val="clear" w:color="auto" w:fill="auto"/>
            <w:noWrap/>
            <w:vAlign w:val="bottom"/>
          </w:tcPr>
          <w:p w14:paraId="48A40B6A" w14:textId="77777777" w:rsidR="0083780C" w:rsidRPr="006F5D71" w:rsidRDefault="0083780C" w:rsidP="0083780C">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Parent Experience in American Region</w:t>
            </w:r>
          </w:p>
        </w:tc>
        <w:tc>
          <w:tcPr>
            <w:tcW w:w="811" w:type="dxa"/>
            <w:tcBorders>
              <w:top w:val="nil"/>
              <w:left w:val="single" w:sz="4" w:space="0" w:color="auto"/>
              <w:bottom w:val="nil"/>
              <w:right w:val="nil"/>
            </w:tcBorders>
            <w:shd w:val="clear" w:color="auto" w:fill="auto"/>
            <w:noWrap/>
            <w:vAlign w:val="bottom"/>
          </w:tcPr>
          <w:p w14:paraId="5856C95B"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tcPr>
          <w:p w14:paraId="14779ED3"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15.683</w:t>
            </w:r>
          </w:p>
        </w:tc>
        <w:tc>
          <w:tcPr>
            <w:tcW w:w="1088" w:type="dxa"/>
            <w:tcBorders>
              <w:top w:val="nil"/>
              <w:left w:val="nil"/>
              <w:bottom w:val="nil"/>
              <w:right w:val="nil"/>
            </w:tcBorders>
            <w:shd w:val="clear" w:color="auto" w:fill="auto"/>
            <w:noWrap/>
            <w:vAlign w:val="bottom"/>
          </w:tcPr>
          <w:p w14:paraId="4C14B44E"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9.342</w:t>
            </w:r>
          </w:p>
        </w:tc>
        <w:tc>
          <w:tcPr>
            <w:tcW w:w="961" w:type="dxa"/>
            <w:tcBorders>
              <w:top w:val="nil"/>
              <w:left w:val="nil"/>
              <w:bottom w:val="nil"/>
              <w:right w:val="nil"/>
            </w:tcBorders>
            <w:shd w:val="clear" w:color="auto" w:fill="auto"/>
            <w:noWrap/>
            <w:vAlign w:val="bottom"/>
          </w:tcPr>
          <w:p w14:paraId="51560241"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tcPr>
          <w:p w14:paraId="6BA1635C"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86.000</w:t>
            </w:r>
          </w:p>
        </w:tc>
        <w:tc>
          <w:tcPr>
            <w:tcW w:w="875" w:type="dxa"/>
            <w:tcBorders>
              <w:top w:val="nil"/>
              <w:left w:val="single" w:sz="4" w:space="0" w:color="auto"/>
              <w:bottom w:val="nil"/>
              <w:right w:val="nil"/>
            </w:tcBorders>
            <w:shd w:val="clear" w:color="auto" w:fill="auto"/>
            <w:noWrap/>
            <w:vAlign w:val="bottom"/>
          </w:tcPr>
          <w:p w14:paraId="296DA1E8"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918" w:type="dxa"/>
            <w:tcBorders>
              <w:top w:val="nil"/>
              <w:left w:val="nil"/>
              <w:bottom w:val="nil"/>
              <w:right w:val="nil"/>
            </w:tcBorders>
            <w:shd w:val="clear" w:color="auto" w:fill="auto"/>
            <w:noWrap/>
            <w:vAlign w:val="bottom"/>
          </w:tcPr>
          <w:p w14:paraId="6DE900E5"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1153" w:type="dxa"/>
            <w:tcBorders>
              <w:top w:val="nil"/>
              <w:left w:val="nil"/>
              <w:bottom w:val="nil"/>
              <w:right w:val="nil"/>
            </w:tcBorders>
            <w:shd w:val="clear" w:color="auto" w:fill="auto"/>
            <w:noWrap/>
            <w:vAlign w:val="bottom"/>
          </w:tcPr>
          <w:p w14:paraId="1ED43333"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970" w:type="dxa"/>
            <w:tcBorders>
              <w:top w:val="nil"/>
              <w:left w:val="nil"/>
              <w:bottom w:val="nil"/>
              <w:right w:val="nil"/>
            </w:tcBorders>
            <w:shd w:val="clear" w:color="auto" w:fill="auto"/>
            <w:noWrap/>
            <w:vAlign w:val="bottom"/>
          </w:tcPr>
          <w:p w14:paraId="4DBCF57B"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1061" w:type="dxa"/>
            <w:tcBorders>
              <w:top w:val="nil"/>
              <w:left w:val="nil"/>
              <w:bottom w:val="nil"/>
              <w:right w:val="nil"/>
            </w:tcBorders>
            <w:shd w:val="clear" w:color="auto" w:fill="auto"/>
            <w:noWrap/>
            <w:vAlign w:val="bottom"/>
          </w:tcPr>
          <w:p w14:paraId="6522543C"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r>
      <w:tr w:rsidR="00727A9B" w:rsidRPr="006F5D71" w14:paraId="24A0F9F0" w14:textId="77777777" w:rsidTr="00580EE3">
        <w:trPr>
          <w:trHeight w:val="258"/>
        </w:trPr>
        <w:tc>
          <w:tcPr>
            <w:tcW w:w="3845" w:type="dxa"/>
            <w:tcBorders>
              <w:top w:val="nil"/>
              <w:left w:val="nil"/>
              <w:bottom w:val="nil"/>
              <w:right w:val="single" w:sz="4" w:space="0" w:color="auto"/>
            </w:tcBorders>
            <w:shd w:val="clear" w:color="auto" w:fill="auto"/>
            <w:noWrap/>
            <w:vAlign w:val="bottom"/>
          </w:tcPr>
          <w:p w14:paraId="20575B74" w14:textId="77777777" w:rsidR="0083780C" w:rsidRPr="006F5D71" w:rsidRDefault="0083780C" w:rsidP="0083780C">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Parent Experience in European Region</w:t>
            </w:r>
          </w:p>
        </w:tc>
        <w:tc>
          <w:tcPr>
            <w:tcW w:w="811" w:type="dxa"/>
            <w:tcBorders>
              <w:top w:val="nil"/>
              <w:left w:val="single" w:sz="4" w:space="0" w:color="auto"/>
              <w:bottom w:val="nil"/>
              <w:right w:val="nil"/>
            </w:tcBorders>
            <w:shd w:val="clear" w:color="auto" w:fill="auto"/>
            <w:noWrap/>
            <w:vAlign w:val="bottom"/>
          </w:tcPr>
          <w:p w14:paraId="525C2836"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tcPr>
          <w:p w14:paraId="347F8CDD"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14.324</w:t>
            </w:r>
          </w:p>
        </w:tc>
        <w:tc>
          <w:tcPr>
            <w:tcW w:w="1088" w:type="dxa"/>
            <w:tcBorders>
              <w:top w:val="nil"/>
              <w:left w:val="nil"/>
              <w:bottom w:val="nil"/>
              <w:right w:val="nil"/>
            </w:tcBorders>
            <w:shd w:val="clear" w:color="auto" w:fill="auto"/>
            <w:noWrap/>
            <w:vAlign w:val="bottom"/>
          </w:tcPr>
          <w:p w14:paraId="1C4BCDAF"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9.863</w:t>
            </w:r>
          </w:p>
        </w:tc>
        <w:tc>
          <w:tcPr>
            <w:tcW w:w="961" w:type="dxa"/>
            <w:tcBorders>
              <w:top w:val="nil"/>
              <w:left w:val="nil"/>
              <w:bottom w:val="nil"/>
              <w:right w:val="nil"/>
            </w:tcBorders>
            <w:shd w:val="clear" w:color="auto" w:fill="auto"/>
            <w:noWrap/>
            <w:vAlign w:val="bottom"/>
          </w:tcPr>
          <w:p w14:paraId="231E6C6C"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tcPr>
          <w:p w14:paraId="61322766"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89.000</w:t>
            </w:r>
          </w:p>
        </w:tc>
        <w:tc>
          <w:tcPr>
            <w:tcW w:w="875" w:type="dxa"/>
            <w:tcBorders>
              <w:top w:val="nil"/>
              <w:left w:val="single" w:sz="4" w:space="0" w:color="auto"/>
              <w:bottom w:val="nil"/>
              <w:right w:val="nil"/>
            </w:tcBorders>
            <w:shd w:val="clear" w:color="auto" w:fill="auto"/>
            <w:noWrap/>
            <w:vAlign w:val="bottom"/>
          </w:tcPr>
          <w:p w14:paraId="5C1E6EC9"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918" w:type="dxa"/>
            <w:tcBorders>
              <w:top w:val="nil"/>
              <w:left w:val="nil"/>
              <w:bottom w:val="nil"/>
              <w:right w:val="nil"/>
            </w:tcBorders>
            <w:shd w:val="clear" w:color="auto" w:fill="auto"/>
            <w:noWrap/>
            <w:vAlign w:val="bottom"/>
          </w:tcPr>
          <w:p w14:paraId="168D0318"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1153" w:type="dxa"/>
            <w:tcBorders>
              <w:top w:val="nil"/>
              <w:left w:val="nil"/>
              <w:bottom w:val="nil"/>
              <w:right w:val="nil"/>
            </w:tcBorders>
            <w:shd w:val="clear" w:color="auto" w:fill="auto"/>
            <w:noWrap/>
            <w:vAlign w:val="bottom"/>
          </w:tcPr>
          <w:p w14:paraId="3ABC5CAD"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970" w:type="dxa"/>
            <w:tcBorders>
              <w:top w:val="nil"/>
              <w:left w:val="nil"/>
              <w:bottom w:val="nil"/>
              <w:right w:val="nil"/>
            </w:tcBorders>
            <w:shd w:val="clear" w:color="auto" w:fill="auto"/>
            <w:noWrap/>
            <w:vAlign w:val="bottom"/>
          </w:tcPr>
          <w:p w14:paraId="673C3216"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1061" w:type="dxa"/>
            <w:tcBorders>
              <w:top w:val="nil"/>
              <w:left w:val="nil"/>
              <w:bottom w:val="nil"/>
              <w:right w:val="nil"/>
            </w:tcBorders>
            <w:shd w:val="clear" w:color="auto" w:fill="auto"/>
            <w:noWrap/>
            <w:vAlign w:val="bottom"/>
          </w:tcPr>
          <w:p w14:paraId="0B5A5CA6"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r>
      <w:tr w:rsidR="00727A9B" w:rsidRPr="006F5D71" w14:paraId="7EB4567E" w14:textId="77777777" w:rsidTr="00580EE3">
        <w:trPr>
          <w:trHeight w:val="258"/>
        </w:trPr>
        <w:tc>
          <w:tcPr>
            <w:tcW w:w="3845" w:type="dxa"/>
            <w:tcBorders>
              <w:top w:val="nil"/>
              <w:left w:val="nil"/>
              <w:bottom w:val="nil"/>
              <w:right w:val="single" w:sz="4" w:space="0" w:color="auto"/>
            </w:tcBorders>
            <w:shd w:val="clear" w:color="auto" w:fill="auto"/>
            <w:noWrap/>
            <w:vAlign w:val="bottom"/>
          </w:tcPr>
          <w:p w14:paraId="4EA1376A" w14:textId="77777777" w:rsidR="0083780C" w:rsidRPr="006F5D71" w:rsidRDefault="0083780C" w:rsidP="0083780C">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Parent Experience in African Region</w:t>
            </w:r>
          </w:p>
        </w:tc>
        <w:tc>
          <w:tcPr>
            <w:tcW w:w="811" w:type="dxa"/>
            <w:tcBorders>
              <w:top w:val="nil"/>
              <w:left w:val="single" w:sz="4" w:space="0" w:color="auto"/>
              <w:bottom w:val="nil"/>
              <w:right w:val="nil"/>
            </w:tcBorders>
            <w:shd w:val="clear" w:color="auto" w:fill="auto"/>
            <w:noWrap/>
            <w:vAlign w:val="bottom"/>
          </w:tcPr>
          <w:p w14:paraId="19D7C570"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983" w:type="dxa"/>
            <w:tcBorders>
              <w:top w:val="nil"/>
              <w:left w:val="nil"/>
              <w:bottom w:val="nil"/>
              <w:right w:val="nil"/>
            </w:tcBorders>
            <w:shd w:val="clear" w:color="auto" w:fill="auto"/>
            <w:noWrap/>
            <w:vAlign w:val="bottom"/>
          </w:tcPr>
          <w:p w14:paraId="05BE0AB2"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1088" w:type="dxa"/>
            <w:tcBorders>
              <w:top w:val="nil"/>
              <w:left w:val="nil"/>
              <w:bottom w:val="nil"/>
              <w:right w:val="nil"/>
            </w:tcBorders>
            <w:shd w:val="clear" w:color="auto" w:fill="auto"/>
            <w:noWrap/>
            <w:vAlign w:val="bottom"/>
          </w:tcPr>
          <w:p w14:paraId="66ACFA32"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961" w:type="dxa"/>
            <w:tcBorders>
              <w:top w:val="nil"/>
              <w:left w:val="nil"/>
              <w:bottom w:val="nil"/>
              <w:right w:val="nil"/>
            </w:tcBorders>
            <w:shd w:val="clear" w:color="auto" w:fill="auto"/>
            <w:noWrap/>
            <w:vAlign w:val="bottom"/>
          </w:tcPr>
          <w:p w14:paraId="15073E76"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986" w:type="dxa"/>
            <w:tcBorders>
              <w:top w:val="nil"/>
              <w:left w:val="nil"/>
              <w:bottom w:val="nil"/>
              <w:right w:val="single" w:sz="4" w:space="0" w:color="auto"/>
            </w:tcBorders>
            <w:shd w:val="clear" w:color="auto" w:fill="auto"/>
            <w:noWrap/>
            <w:vAlign w:val="bottom"/>
          </w:tcPr>
          <w:p w14:paraId="51F3F6BA"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875" w:type="dxa"/>
            <w:tcBorders>
              <w:top w:val="nil"/>
              <w:left w:val="single" w:sz="4" w:space="0" w:color="auto"/>
              <w:bottom w:val="nil"/>
              <w:right w:val="nil"/>
            </w:tcBorders>
            <w:shd w:val="clear" w:color="auto" w:fill="auto"/>
            <w:noWrap/>
            <w:vAlign w:val="bottom"/>
          </w:tcPr>
          <w:p w14:paraId="174D30D0"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tcPr>
          <w:p w14:paraId="07565CFB"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9.327</w:t>
            </w:r>
          </w:p>
        </w:tc>
        <w:tc>
          <w:tcPr>
            <w:tcW w:w="1153" w:type="dxa"/>
            <w:tcBorders>
              <w:top w:val="nil"/>
              <w:left w:val="nil"/>
              <w:bottom w:val="nil"/>
              <w:right w:val="nil"/>
            </w:tcBorders>
            <w:shd w:val="clear" w:color="auto" w:fill="auto"/>
            <w:noWrap/>
            <w:vAlign w:val="bottom"/>
          </w:tcPr>
          <w:p w14:paraId="1739AC41"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4.485</w:t>
            </w:r>
          </w:p>
        </w:tc>
        <w:tc>
          <w:tcPr>
            <w:tcW w:w="970" w:type="dxa"/>
            <w:tcBorders>
              <w:top w:val="nil"/>
              <w:left w:val="nil"/>
              <w:bottom w:val="nil"/>
              <w:right w:val="nil"/>
            </w:tcBorders>
            <w:shd w:val="clear" w:color="auto" w:fill="auto"/>
            <w:noWrap/>
            <w:vAlign w:val="bottom"/>
          </w:tcPr>
          <w:p w14:paraId="1A91ED64"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2.000</w:t>
            </w:r>
          </w:p>
        </w:tc>
        <w:tc>
          <w:tcPr>
            <w:tcW w:w="1061" w:type="dxa"/>
            <w:tcBorders>
              <w:top w:val="nil"/>
              <w:left w:val="nil"/>
              <w:bottom w:val="nil"/>
              <w:right w:val="nil"/>
            </w:tcBorders>
            <w:shd w:val="clear" w:color="auto" w:fill="auto"/>
            <w:noWrap/>
            <w:vAlign w:val="bottom"/>
          </w:tcPr>
          <w:p w14:paraId="6B4CDC82"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21.000</w:t>
            </w:r>
          </w:p>
        </w:tc>
      </w:tr>
      <w:tr w:rsidR="00727A9B" w:rsidRPr="006F5D71" w14:paraId="44E6F438" w14:textId="77777777" w:rsidTr="00580EE3">
        <w:trPr>
          <w:trHeight w:val="258"/>
        </w:trPr>
        <w:tc>
          <w:tcPr>
            <w:tcW w:w="3845" w:type="dxa"/>
            <w:tcBorders>
              <w:top w:val="nil"/>
              <w:left w:val="nil"/>
              <w:bottom w:val="nil"/>
              <w:right w:val="single" w:sz="4" w:space="0" w:color="auto"/>
            </w:tcBorders>
            <w:shd w:val="clear" w:color="auto" w:fill="auto"/>
            <w:noWrap/>
            <w:vAlign w:val="bottom"/>
          </w:tcPr>
          <w:p w14:paraId="676715EF" w14:textId="77777777" w:rsidR="0083780C" w:rsidRPr="006F5D71" w:rsidRDefault="0083780C" w:rsidP="0083780C">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Parent Experience in Asian Region</w:t>
            </w:r>
          </w:p>
        </w:tc>
        <w:tc>
          <w:tcPr>
            <w:tcW w:w="811" w:type="dxa"/>
            <w:tcBorders>
              <w:top w:val="nil"/>
              <w:left w:val="single" w:sz="4" w:space="0" w:color="auto"/>
              <w:bottom w:val="nil"/>
              <w:right w:val="nil"/>
            </w:tcBorders>
            <w:shd w:val="clear" w:color="auto" w:fill="auto"/>
            <w:noWrap/>
            <w:vAlign w:val="bottom"/>
          </w:tcPr>
          <w:p w14:paraId="78C15CE5"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983" w:type="dxa"/>
            <w:tcBorders>
              <w:top w:val="nil"/>
              <w:left w:val="nil"/>
              <w:bottom w:val="nil"/>
              <w:right w:val="nil"/>
            </w:tcBorders>
            <w:shd w:val="clear" w:color="auto" w:fill="auto"/>
            <w:noWrap/>
            <w:vAlign w:val="bottom"/>
          </w:tcPr>
          <w:p w14:paraId="2D15ACB0"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1088" w:type="dxa"/>
            <w:tcBorders>
              <w:top w:val="nil"/>
              <w:left w:val="nil"/>
              <w:bottom w:val="nil"/>
              <w:right w:val="nil"/>
            </w:tcBorders>
            <w:shd w:val="clear" w:color="auto" w:fill="auto"/>
            <w:noWrap/>
            <w:vAlign w:val="bottom"/>
          </w:tcPr>
          <w:p w14:paraId="338E9A34"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961" w:type="dxa"/>
            <w:tcBorders>
              <w:top w:val="nil"/>
              <w:left w:val="nil"/>
              <w:bottom w:val="nil"/>
              <w:right w:val="nil"/>
            </w:tcBorders>
            <w:shd w:val="clear" w:color="auto" w:fill="auto"/>
            <w:noWrap/>
            <w:vAlign w:val="bottom"/>
          </w:tcPr>
          <w:p w14:paraId="00BE9490"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986" w:type="dxa"/>
            <w:tcBorders>
              <w:top w:val="nil"/>
              <w:left w:val="nil"/>
              <w:bottom w:val="nil"/>
              <w:right w:val="single" w:sz="4" w:space="0" w:color="auto"/>
            </w:tcBorders>
            <w:shd w:val="clear" w:color="auto" w:fill="auto"/>
            <w:noWrap/>
            <w:vAlign w:val="bottom"/>
          </w:tcPr>
          <w:p w14:paraId="2A55F95C"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875" w:type="dxa"/>
            <w:tcBorders>
              <w:top w:val="nil"/>
              <w:left w:val="single" w:sz="4" w:space="0" w:color="auto"/>
              <w:bottom w:val="nil"/>
              <w:right w:val="nil"/>
            </w:tcBorders>
            <w:shd w:val="clear" w:color="auto" w:fill="auto"/>
            <w:noWrap/>
            <w:vAlign w:val="bottom"/>
          </w:tcPr>
          <w:p w14:paraId="3F4BF5DF"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tcPr>
          <w:p w14:paraId="60243ADF"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7.399</w:t>
            </w:r>
          </w:p>
        </w:tc>
        <w:tc>
          <w:tcPr>
            <w:tcW w:w="1153" w:type="dxa"/>
            <w:tcBorders>
              <w:top w:val="nil"/>
              <w:left w:val="nil"/>
              <w:bottom w:val="nil"/>
              <w:right w:val="nil"/>
            </w:tcBorders>
            <w:shd w:val="clear" w:color="auto" w:fill="auto"/>
            <w:noWrap/>
            <w:vAlign w:val="bottom"/>
          </w:tcPr>
          <w:p w14:paraId="68F370D9"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3.595</w:t>
            </w:r>
          </w:p>
        </w:tc>
        <w:tc>
          <w:tcPr>
            <w:tcW w:w="970" w:type="dxa"/>
            <w:tcBorders>
              <w:top w:val="nil"/>
              <w:left w:val="nil"/>
              <w:bottom w:val="nil"/>
              <w:right w:val="nil"/>
            </w:tcBorders>
            <w:shd w:val="clear" w:color="auto" w:fill="auto"/>
            <w:noWrap/>
            <w:vAlign w:val="bottom"/>
          </w:tcPr>
          <w:p w14:paraId="5E3D2DFD"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2.000</w:t>
            </w:r>
          </w:p>
        </w:tc>
        <w:tc>
          <w:tcPr>
            <w:tcW w:w="1061" w:type="dxa"/>
            <w:tcBorders>
              <w:top w:val="nil"/>
              <w:left w:val="nil"/>
              <w:bottom w:val="nil"/>
              <w:right w:val="nil"/>
            </w:tcBorders>
            <w:shd w:val="clear" w:color="auto" w:fill="auto"/>
            <w:noWrap/>
            <w:vAlign w:val="bottom"/>
          </w:tcPr>
          <w:p w14:paraId="6C1A3818"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16.000</w:t>
            </w:r>
          </w:p>
        </w:tc>
      </w:tr>
      <w:tr w:rsidR="00727A9B" w:rsidRPr="006F5D71" w14:paraId="4767832E" w14:textId="77777777" w:rsidTr="00580EE3">
        <w:trPr>
          <w:trHeight w:val="258"/>
        </w:trPr>
        <w:tc>
          <w:tcPr>
            <w:tcW w:w="3845" w:type="dxa"/>
            <w:tcBorders>
              <w:top w:val="nil"/>
              <w:left w:val="nil"/>
              <w:bottom w:val="nil"/>
              <w:right w:val="single" w:sz="4" w:space="0" w:color="auto"/>
            </w:tcBorders>
            <w:shd w:val="clear" w:color="auto" w:fill="auto"/>
            <w:noWrap/>
            <w:vAlign w:val="bottom"/>
          </w:tcPr>
          <w:p w14:paraId="6B33D9CA" w14:textId="77777777" w:rsidR="0083780C" w:rsidRPr="006F5D71" w:rsidRDefault="0083780C" w:rsidP="0083780C">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Parent Experience in Arab Region</w:t>
            </w:r>
          </w:p>
        </w:tc>
        <w:tc>
          <w:tcPr>
            <w:tcW w:w="811" w:type="dxa"/>
            <w:tcBorders>
              <w:top w:val="nil"/>
              <w:left w:val="single" w:sz="4" w:space="0" w:color="auto"/>
              <w:bottom w:val="nil"/>
              <w:right w:val="nil"/>
            </w:tcBorders>
            <w:shd w:val="clear" w:color="auto" w:fill="auto"/>
            <w:noWrap/>
            <w:vAlign w:val="bottom"/>
          </w:tcPr>
          <w:p w14:paraId="3F37053B"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983" w:type="dxa"/>
            <w:tcBorders>
              <w:top w:val="nil"/>
              <w:left w:val="nil"/>
              <w:bottom w:val="nil"/>
              <w:right w:val="nil"/>
            </w:tcBorders>
            <w:shd w:val="clear" w:color="auto" w:fill="auto"/>
            <w:noWrap/>
            <w:vAlign w:val="bottom"/>
          </w:tcPr>
          <w:p w14:paraId="3CD0832C"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1088" w:type="dxa"/>
            <w:tcBorders>
              <w:top w:val="nil"/>
              <w:left w:val="nil"/>
              <w:bottom w:val="nil"/>
              <w:right w:val="nil"/>
            </w:tcBorders>
            <w:shd w:val="clear" w:color="auto" w:fill="auto"/>
            <w:noWrap/>
            <w:vAlign w:val="bottom"/>
          </w:tcPr>
          <w:p w14:paraId="2645078D"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961" w:type="dxa"/>
            <w:tcBorders>
              <w:top w:val="nil"/>
              <w:left w:val="nil"/>
              <w:bottom w:val="nil"/>
              <w:right w:val="nil"/>
            </w:tcBorders>
            <w:shd w:val="clear" w:color="auto" w:fill="auto"/>
            <w:noWrap/>
            <w:vAlign w:val="bottom"/>
          </w:tcPr>
          <w:p w14:paraId="413F7A86"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986" w:type="dxa"/>
            <w:tcBorders>
              <w:top w:val="nil"/>
              <w:left w:val="nil"/>
              <w:bottom w:val="nil"/>
              <w:right w:val="single" w:sz="4" w:space="0" w:color="auto"/>
            </w:tcBorders>
            <w:shd w:val="clear" w:color="auto" w:fill="auto"/>
            <w:noWrap/>
            <w:vAlign w:val="bottom"/>
          </w:tcPr>
          <w:p w14:paraId="3B4C3967"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w:t>
            </w:r>
          </w:p>
        </w:tc>
        <w:tc>
          <w:tcPr>
            <w:tcW w:w="875" w:type="dxa"/>
            <w:tcBorders>
              <w:top w:val="nil"/>
              <w:left w:val="single" w:sz="4" w:space="0" w:color="auto"/>
              <w:bottom w:val="nil"/>
              <w:right w:val="nil"/>
            </w:tcBorders>
            <w:shd w:val="clear" w:color="auto" w:fill="auto"/>
            <w:noWrap/>
            <w:vAlign w:val="bottom"/>
          </w:tcPr>
          <w:p w14:paraId="7642EC45"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tcPr>
          <w:p w14:paraId="006F1AB1"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5.473</w:t>
            </w:r>
          </w:p>
        </w:tc>
        <w:tc>
          <w:tcPr>
            <w:tcW w:w="1153" w:type="dxa"/>
            <w:tcBorders>
              <w:top w:val="nil"/>
              <w:left w:val="nil"/>
              <w:bottom w:val="nil"/>
              <w:right w:val="nil"/>
            </w:tcBorders>
            <w:shd w:val="clear" w:color="auto" w:fill="auto"/>
            <w:noWrap/>
            <w:vAlign w:val="bottom"/>
          </w:tcPr>
          <w:p w14:paraId="415FA316"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3.063</w:t>
            </w:r>
          </w:p>
        </w:tc>
        <w:tc>
          <w:tcPr>
            <w:tcW w:w="970" w:type="dxa"/>
            <w:tcBorders>
              <w:top w:val="nil"/>
              <w:left w:val="nil"/>
              <w:bottom w:val="nil"/>
              <w:right w:val="nil"/>
            </w:tcBorders>
            <w:shd w:val="clear" w:color="auto" w:fill="auto"/>
            <w:noWrap/>
            <w:vAlign w:val="bottom"/>
          </w:tcPr>
          <w:p w14:paraId="0D0051F9"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tcPr>
          <w:p w14:paraId="60556744"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13.000</w:t>
            </w:r>
          </w:p>
        </w:tc>
      </w:tr>
      <w:tr w:rsidR="00727A9B" w:rsidRPr="006F5D71" w14:paraId="13D1FFAB"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69204FA1" w14:textId="77777777" w:rsidR="0083780C" w:rsidRPr="006F5D71" w:rsidRDefault="0083780C" w:rsidP="0083780C">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Subsidiary Size</w:t>
            </w:r>
          </w:p>
        </w:tc>
        <w:tc>
          <w:tcPr>
            <w:tcW w:w="811" w:type="dxa"/>
            <w:tcBorders>
              <w:top w:val="nil"/>
              <w:left w:val="single" w:sz="4" w:space="0" w:color="auto"/>
              <w:bottom w:val="nil"/>
              <w:right w:val="nil"/>
            </w:tcBorders>
            <w:shd w:val="clear" w:color="auto" w:fill="auto"/>
            <w:noWrap/>
            <w:vAlign w:val="bottom"/>
            <w:hideMark/>
          </w:tcPr>
          <w:p w14:paraId="179BBE1D"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4CD92438"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3.111</w:t>
            </w:r>
          </w:p>
        </w:tc>
        <w:tc>
          <w:tcPr>
            <w:tcW w:w="1088" w:type="dxa"/>
            <w:tcBorders>
              <w:top w:val="nil"/>
              <w:left w:val="nil"/>
              <w:bottom w:val="nil"/>
              <w:right w:val="nil"/>
            </w:tcBorders>
            <w:shd w:val="clear" w:color="auto" w:fill="auto"/>
            <w:noWrap/>
            <w:vAlign w:val="bottom"/>
            <w:hideMark/>
          </w:tcPr>
          <w:p w14:paraId="414F4F56"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0.563</w:t>
            </w:r>
          </w:p>
        </w:tc>
        <w:tc>
          <w:tcPr>
            <w:tcW w:w="961" w:type="dxa"/>
            <w:tcBorders>
              <w:top w:val="nil"/>
              <w:left w:val="nil"/>
              <w:bottom w:val="nil"/>
              <w:right w:val="nil"/>
            </w:tcBorders>
            <w:shd w:val="clear" w:color="auto" w:fill="auto"/>
            <w:noWrap/>
            <w:vAlign w:val="bottom"/>
            <w:hideMark/>
          </w:tcPr>
          <w:p w14:paraId="1AA36BAA"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1.664</w:t>
            </w:r>
          </w:p>
        </w:tc>
        <w:tc>
          <w:tcPr>
            <w:tcW w:w="986" w:type="dxa"/>
            <w:tcBorders>
              <w:top w:val="nil"/>
              <w:left w:val="nil"/>
              <w:bottom w:val="nil"/>
              <w:right w:val="single" w:sz="4" w:space="0" w:color="auto"/>
            </w:tcBorders>
            <w:shd w:val="clear" w:color="auto" w:fill="auto"/>
            <w:noWrap/>
            <w:vAlign w:val="bottom"/>
            <w:hideMark/>
          </w:tcPr>
          <w:p w14:paraId="0A660EEF"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4.218</w:t>
            </w:r>
          </w:p>
        </w:tc>
        <w:tc>
          <w:tcPr>
            <w:tcW w:w="875" w:type="dxa"/>
            <w:tcBorders>
              <w:top w:val="nil"/>
              <w:left w:val="single" w:sz="4" w:space="0" w:color="auto"/>
              <w:bottom w:val="nil"/>
              <w:right w:val="nil"/>
            </w:tcBorders>
            <w:shd w:val="clear" w:color="auto" w:fill="auto"/>
            <w:noWrap/>
            <w:vAlign w:val="bottom"/>
            <w:hideMark/>
          </w:tcPr>
          <w:p w14:paraId="0857A6D1"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25A7580D"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3.252</w:t>
            </w:r>
          </w:p>
        </w:tc>
        <w:tc>
          <w:tcPr>
            <w:tcW w:w="1153" w:type="dxa"/>
            <w:tcBorders>
              <w:top w:val="nil"/>
              <w:left w:val="nil"/>
              <w:bottom w:val="nil"/>
              <w:right w:val="nil"/>
            </w:tcBorders>
            <w:shd w:val="clear" w:color="auto" w:fill="auto"/>
            <w:noWrap/>
            <w:vAlign w:val="bottom"/>
            <w:hideMark/>
          </w:tcPr>
          <w:p w14:paraId="1FE9A013"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0.593</w:t>
            </w:r>
          </w:p>
        </w:tc>
        <w:tc>
          <w:tcPr>
            <w:tcW w:w="970" w:type="dxa"/>
            <w:tcBorders>
              <w:top w:val="nil"/>
              <w:left w:val="nil"/>
              <w:bottom w:val="nil"/>
              <w:right w:val="nil"/>
            </w:tcBorders>
            <w:shd w:val="clear" w:color="auto" w:fill="auto"/>
            <w:noWrap/>
            <w:vAlign w:val="bottom"/>
            <w:hideMark/>
          </w:tcPr>
          <w:p w14:paraId="60AEB8F7"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1.905</w:t>
            </w:r>
          </w:p>
        </w:tc>
        <w:tc>
          <w:tcPr>
            <w:tcW w:w="1061" w:type="dxa"/>
            <w:tcBorders>
              <w:top w:val="nil"/>
              <w:left w:val="nil"/>
              <w:bottom w:val="nil"/>
              <w:right w:val="nil"/>
            </w:tcBorders>
            <w:shd w:val="clear" w:color="auto" w:fill="auto"/>
            <w:noWrap/>
            <w:vAlign w:val="bottom"/>
            <w:hideMark/>
          </w:tcPr>
          <w:p w14:paraId="29FAC12F"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4.256</w:t>
            </w:r>
          </w:p>
        </w:tc>
      </w:tr>
      <w:tr w:rsidR="00727A9B" w:rsidRPr="006F5D71" w14:paraId="722D5C6A"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7A4A038E" w14:textId="77777777" w:rsidR="0083780C" w:rsidRPr="006F5D71" w:rsidRDefault="0083780C" w:rsidP="0083780C">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Leverage</w:t>
            </w:r>
          </w:p>
        </w:tc>
        <w:tc>
          <w:tcPr>
            <w:tcW w:w="811" w:type="dxa"/>
            <w:tcBorders>
              <w:top w:val="nil"/>
              <w:left w:val="single" w:sz="4" w:space="0" w:color="auto"/>
              <w:bottom w:val="nil"/>
              <w:right w:val="nil"/>
            </w:tcBorders>
            <w:shd w:val="clear" w:color="auto" w:fill="auto"/>
            <w:noWrap/>
            <w:vAlign w:val="bottom"/>
            <w:hideMark/>
          </w:tcPr>
          <w:p w14:paraId="047766E2"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73B2AF29"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0.730</w:t>
            </w:r>
          </w:p>
        </w:tc>
        <w:tc>
          <w:tcPr>
            <w:tcW w:w="1088" w:type="dxa"/>
            <w:tcBorders>
              <w:top w:val="nil"/>
              <w:left w:val="nil"/>
              <w:bottom w:val="nil"/>
              <w:right w:val="nil"/>
            </w:tcBorders>
            <w:shd w:val="clear" w:color="auto" w:fill="auto"/>
            <w:noWrap/>
            <w:vAlign w:val="bottom"/>
            <w:hideMark/>
          </w:tcPr>
          <w:p w14:paraId="28F6A78A"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0.092</w:t>
            </w:r>
          </w:p>
        </w:tc>
        <w:tc>
          <w:tcPr>
            <w:tcW w:w="961" w:type="dxa"/>
            <w:tcBorders>
              <w:top w:val="nil"/>
              <w:left w:val="nil"/>
              <w:bottom w:val="nil"/>
              <w:right w:val="nil"/>
            </w:tcBorders>
            <w:shd w:val="clear" w:color="auto" w:fill="auto"/>
            <w:noWrap/>
            <w:vAlign w:val="bottom"/>
            <w:hideMark/>
          </w:tcPr>
          <w:p w14:paraId="1986257D"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0.134</w:t>
            </w:r>
          </w:p>
        </w:tc>
        <w:tc>
          <w:tcPr>
            <w:tcW w:w="986" w:type="dxa"/>
            <w:tcBorders>
              <w:top w:val="nil"/>
              <w:left w:val="nil"/>
              <w:bottom w:val="nil"/>
              <w:right w:val="single" w:sz="4" w:space="0" w:color="auto"/>
            </w:tcBorders>
            <w:shd w:val="clear" w:color="auto" w:fill="auto"/>
            <w:noWrap/>
            <w:vAlign w:val="bottom"/>
            <w:hideMark/>
          </w:tcPr>
          <w:p w14:paraId="4A58E368"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0.856</w:t>
            </w:r>
          </w:p>
        </w:tc>
        <w:tc>
          <w:tcPr>
            <w:tcW w:w="875" w:type="dxa"/>
            <w:tcBorders>
              <w:top w:val="nil"/>
              <w:left w:val="single" w:sz="4" w:space="0" w:color="auto"/>
              <w:bottom w:val="nil"/>
              <w:right w:val="nil"/>
            </w:tcBorders>
            <w:shd w:val="clear" w:color="auto" w:fill="auto"/>
            <w:noWrap/>
            <w:vAlign w:val="bottom"/>
            <w:hideMark/>
          </w:tcPr>
          <w:p w14:paraId="4F18F30F"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0B315DF8"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0.728</w:t>
            </w:r>
          </w:p>
        </w:tc>
        <w:tc>
          <w:tcPr>
            <w:tcW w:w="1153" w:type="dxa"/>
            <w:tcBorders>
              <w:top w:val="nil"/>
              <w:left w:val="nil"/>
              <w:bottom w:val="nil"/>
              <w:right w:val="nil"/>
            </w:tcBorders>
            <w:shd w:val="clear" w:color="auto" w:fill="auto"/>
            <w:noWrap/>
            <w:vAlign w:val="bottom"/>
            <w:hideMark/>
          </w:tcPr>
          <w:p w14:paraId="7FEEAC8F"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0.108</w:t>
            </w:r>
          </w:p>
        </w:tc>
        <w:tc>
          <w:tcPr>
            <w:tcW w:w="970" w:type="dxa"/>
            <w:tcBorders>
              <w:top w:val="nil"/>
              <w:left w:val="nil"/>
              <w:bottom w:val="nil"/>
              <w:right w:val="nil"/>
            </w:tcBorders>
            <w:shd w:val="clear" w:color="auto" w:fill="auto"/>
            <w:noWrap/>
            <w:vAlign w:val="bottom"/>
            <w:hideMark/>
          </w:tcPr>
          <w:p w14:paraId="025EF65E"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0.126</w:t>
            </w:r>
          </w:p>
        </w:tc>
        <w:tc>
          <w:tcPr>
            <w:tcW w:w="1061" w:type="dxa"/>
            <w:tcBorders>
              <w:top w:val="nil"/>
              <w:left w:val="nil"/>
              <w:bottom w:val="nil"/>
              <w:right w:val="nil"/>
            </w:tcBorders>
            <w:shd w:val="clear" w:color="auto" w:fill="auto"/>
            <w:noWrap/>
            <w:vAlign w:val="bottom"/>
            <w:hideMark/>
          </w:tcPr>
          <w:p w14:paraId="101E36EA"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0.831</w:t>
            </w:r>
          </w:p>
        </w:tc>
      </w:tr>
      <w:tr w:rsidR="00727A9B" w:rsidRPr="006F5D71" w14:paraId="295BE911"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513F4232" w14:textId="77777777" w:rsidR="0083780C" w:rsidRPr="006F5D71" w:rsidRDefault="0083780C" w:rsidP="0083780C">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State Affiliation</w:t>
            </w:r>
          </w:p>
        </w:tc>
        <w:tc>
          <w:tcPr>
            <w:tcW w:w="811" w:type="dxa"/>
            <w:tcBorders>
              <w:top w:val="nil"/>
              <w:left w:val="single" w:sz="4" w:space="0" w:color="auto"/>
              <w:bottom w:val="nil"/>
              <w:right w:val="nil"/>
            </w:tcBorders>
            <w:shd w:val="clear" w:color="auto" w:fill="auto"/>
            <w:noWrap/>
            <w:vAlign w:val="bottom"/>
            <w:hideMark/>
          </w:tcPr>
          <w:p w14:paraId="02DB6364"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3580A408"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0.387</w:t>
            </w:r>
          </w:p>
        </w:tc>
        <w:tc>
          <w:tcPr>
            <w:tcW w:w="1088" w:type="dxa"/>
            <w:tcBorders>
              <w:top w:val="nil"/>
              <w:left w:val="nil"/>
              <w:bottom w:val="nil"/>
              <w:right w:val="nil"/>
            </w:tcBorders>
            <w:shd w:val="clear" w:color="auto" w:fill="auto"/>
            <w:noWrap/>
            <w:vAlign w:val="bottom"/>
            <w:hideMark/>
          </w:tcPr>
          <w:p w14:paraId="2321A34C"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0.487</w:t>
            </w:r>
          </w:p>
        </w:tc>
        <w:tc>
          <w:tcPr>
            <w:tcW w:w="961" w:type="dxa"/>
            <w:tcBorders>
              <w:top w:val="nil"/>
              <w:left w:val="nil"/>
              <w:bottom w:val="nil"/>
              <w:right w:val="nil"/>
            </w:tcBorders>
            <w:shd w:val="clear" w:color="auto" w:fill="auto"/>
            <w:noWrap/>
            <w:vAlign w:val="bottom"/>
            <w:hideMark/>
          </w:tcPr>
          <w:p w14:paraId="5C8263AA"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hideMark/>
          </w:tcPr>
          <w:p w14:paraId="11364E6C"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c>
          <w:tcPr>
            <w:tcW w:w="875" w:type="dxa"/>
            <w:tcBorders>
              <w:top w:val="nil"/>
              <w:left w:val="single" w:sz="4" w:space="0" w:color="auto"/>
              <w:bottom w:val="nil"/>
              <w:right w:val="nil"/>
            </w:tcBorders>
            <w:shd w:val="clear" w:color="auto" w:fill="auto"/>
            <w:noWrap/>
            <w:vAlign w:val="bottom"/>
            <w:hideMark/>
          </w:tcPr>
          <w:p w14:paraId="6B6B3AA8"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0BB62C6E"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0.126</w:t>
            </w:r>
          </w:p>
        </w:tc>
        <w:tc>
          <w:tcPr>
            <w:tcW w:w="1153" w:type="dxa"/>
            <w:tcBorders>
              <w:top w:val="nil"/>
              <w:left w:val="nil"/>
              <w:bottom w:val="nil"/>
              <w:right w:val="nil"/>
            </w:tcBorders>
            <w:shd w:val="clear" w:color="auto" w:fill="auto"/>
            <w:noWrap/>
            <w:vAlign w:val="bottom"/>
            <w:hideMark/>
          </w:tcPr>
          <w:p w14:paraId="66D332ED"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0.332</w:t>
            </w:r>
          </w:p>
        </w:tc>
        <w:tc>
          <w:tcPr>
            <w:tcW w:w="970" w:type="dxa"/>
            <w:tcBorders>
              <w:top w:val="nil"/>
              <w:left w:val="nil"/>
              <w:bottom w:val="nil"/>
              <w:right w:val="nil"/>
            </w:tcBorders>
            <w:shd w:val="clear" w:color="auto" w:fill="auto"/>
            <w:noWrap/>
            <w:vAlign w:val="bottom"/>
            <w:hideMark/>
          </w:tcPr>
          <w:p w14:paraId="4F55AC6D"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hideMark/>
          </w:tcPr>
          <w:p w14:paraId="24C4B4E1"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r>
      <w:tr w:rsidR="00727A9B" w:rsidRPr="006F5D71" w14:paraId="2BD68928" w14:textId="77777777" w:rsidTr="00580EE3">
        <w:trPr>
          <w:trHeight w:val="258"/>
        </w:trPr>
        <w:tc>
          <w:tcPr>
            <w:tcW w:w="3845" w:type="dxa"/>
            <w:tcBorders>
              <w:top w:val="nil"/>
              <w:left w:val="nil"/>
              <w:bottom w:val="nil"/>
              <w:right w:val="single" w:sz="4" w:space="0" w:color="auto"/>
            </w:tcBorders>
            <w:shd w:val="clear" w:color="auto" w:fill="auto"/>
            <w:noWrap/>
            <w:vAlign w:val="bottom"/>
          </w:tcPr>
          <w:p w14:paraId="4608F609" w14:textId="77777777" w:rsidR="0083780C" w:rsidRPr="006F5D71" w:rsidRDefault="0083780C" w:rsidP="0083780C">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China Dummy</w:t>
            </w:r>
          </w:p>
        </w:tc>
        <w:tc>
          <w:tcPr>
            <w:tcW w:w="811" w:type="dxa"/>
            <w:tcBorders>
              <w:top w:val="nil"/>
              <w:left w:val="single" w:sz="4" w:space="0" w:color="auto"/>
              <w:bottom w:val="nil"/>
              <w:right w:val="nil"/>
            </w:tcBorders>
            <w:shd w:val="clear" w:color="auto" w:fill="auto"/>
            <w:noWrap/>
            <w:vAlign w:val="bottom"/>
          </w:tcPr>
          <w:p w14:paraId="60D38E56"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tcPr>
          <w:p w14:paraId="2F0855A1"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0.575</w:t>
            </w:r>
          </w:p>
        </w:tc>
        <w:tc>
          <w:tcPr>
            <w:tcW w:w="1088" w:type="dxa"/>
            <w:tcBorders>
              <w:top w:val="nil"/>
              <w:left w:val="nil"/>
              <w:bottom w:val="nil"/>
              <w:right w:val="nil"/>
            </w:tcBorders>
            <w:shd w:val="clear" w:color="auto" w:fill="auto"/>
            <w:noWrap/>
            <w:vAlign w:val="bottom"/>
          </w:tcPr>
          <w:p w14:paraId="6DC9D9E7"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0.494</w:t>
            </w:r>
          </w:p>
        </w:tc>
        <w:tc>
          <w:tcPr>
            <w:tcW w:w="961" w:type="dxa"/>
            <w:tcBorders>
              <w:top w:val="nil"/>
              <w:left w:val="nil"/>
              <w:bottom w:val="nil"/>
              <w:right w:val="nil"/>
            </w:tcBorders>
            <w:shd w:val="clear" w:color="auto" w:fill="auto"/>
            <w:noWrap/>
            <w:vAlign w:val="bottom"/>
          </w:tcPr>
          <w:p w14:paraId="73B959A4"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nil"/>
              <w:right w:val="single" w:sz="4" w:space="0" w:color="auto"/>
            </w:tcBorders>
            <w:shd w:val="clear" w:color="auto" w:fill="auto"/>
            <w:noWrap/>
            <w:vAlign w:val="bottom"/>
          </w:tcPr>
          <w:p w14:paraId="28B0E9FB"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c>
          <w:tcPr>
            <w:tcW w:w="875" w:type="dxa"/>
            <w:tcBorders>
              <w:top w:val="nil"/>
              <w:left w:val="single" w:sz="4" w:space="0" w:color="auto"/>
              <w:bottom w:val="nil"/>
              <w:right w:val="nil"/>
            </w:tcBorders>
            <w:shd w:val="clear" w:color="auto" w:fill="auto"/>
            <w:noWrap/>
            <w:vAlign w:val="bottom"/>
          </w:tcPr>
          <w:p w14:paraId="260D1056"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tcPr>
          <w:p w14:paraId="5E387806"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0.545</w:t>
            </w:r>
          </w:p>
        </w:tc>
        <w:tc>
          <w:tcPr>
            <w:tcW w:w="1153" w:type="dxa"/>
            <w:tcBorders>
              <w:top w:val="nil"/>
              <w:left w:val="nil"/>
              <w:bottom w:val="nil"/>
              <w:right w:val="nil"/>
            </w:tcBorders>
            <w:shd w:val="clear" w:color="auto" w:fill="auto"/>
            <w:noWrap/>
            <w:vAlign w:val="bottom"/>
          </w:tcPr>
          <w:p w14:paraId="376174A4"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0.498</w:t>
            </w:r>
          </w:p>
        </w:tc>
        <w:tc>
          <w:tcPr>
            <w:tcW w:w="970" w:type="dxa"/>
            <w:tcBorders>
              <w:top w:val="nil"/>
              <w:left w:val="nil"/>
              <w:bottom w:val="nil"/>
              <w:right w:val="nil"/>
            </w:tcBorders>
            <w:shd w:val="clear" w:color="auto" w:fill="auto"/>
            <w:noWrap/>
            <w:vAlign w:val="bottom"/>
          </w:tcPr>
          <w:p w14:paraId="30C49816"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nil"/>
              <w:right w:val="nil"/>
            </w:tcBorders>
            <w:shd w:val="clear" w:color="auto" w:fill="auto"/>
            <w:noWrap/>
            <w:vAlign w:val="bottom"/>
          </w:tcPr>
          <w:p w14:paraId="010B5C09"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r>
      <w:tr w:rsidR="00727A9B" w:rsidRPr="006F5D71" w14:paraId="2BCDE5C3" w14:textId="77777777" w:rsidTr="00580EE3">
        <w:trPr>
          <w:trHeight w:val="258"/>
        </w:trPr>
        <w:tc>
          <w:tcPr>
            <w:tcW w:w="3845" w:type="dxa"/>
            <w:tcBorders>
              <w:top w:val="nil"/>
              <w:left w:val="nil"/>
              <w:bottom w:val="nil"/>
              <w:right w:val="single" w:sz="4" w:space="0" w:color="auto"/>
            </w:tcBorders>
            <w:shd w:val="clear" w:color="auto" w:fill="auto"/>
            <w:noWrap/>
            <w:vAlign w:val="bottom"/>
            <w:hideMark/>
          </w:tcPr>
          <w:p w14:paraId="60588CBC" w14:textId="77777777" w:rsidR="0083780C" w:rsidRPr="006F5D71" w:rsidRDefault="0083780C" w:rsidP="0083780C">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Subsidiary Age</w:t>
            </w:r>
          </w:p>
        </w:tc>
        <w:tc>
          <w:tcPr>
            <w:tcW w:w="811" w:type="dxa"/>
            <w:tcBorders>
              <w:top w:val="nil"/>
              <w:left w:val="single" w:sz="4" w:space="0" w:color="auto"/>
              <w:bottom w:val="nil"/>
              <w:right w:val="nil"/>
            </w:tcBorders>
            <w:shd w:val="clear" w:color="auto" w:fill="auto"/>
            <w:noWrap/>
            <w:vAlign w:val="bottom"/>
            <w:hideMark/>
          </w:tcPr>
          <w:p w14:paraId="401BFF65"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nil"/>
              <w:right w:val="nil"/>
            </w:tcBorders>
            <w:shd w:val="clear" w:color="auto" w:fill="auto"/>
            <w:noWrap/>
            <w:vAlign w:val="bottom"/>
            <w:hideMark/>
          </w:tcPr>
          <w:p w14:paraId="0D21A7DA"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10.790</w:t>
            </w:r>
          </w:p>
        </w:tc>
        <w:tc>
          <w:tcPr>
            <w:tcW w:w="1088" w:type="dxa"/>
            <w:tcBorders>
              <w:top w:val="nil"/>
              <w:left w:val="nil"/>
              <w:bottom w:val="nil"/>
              <w:right w:val="nil"/>
            </w:tcBorders>
            <w:shd w:val="clear" w:color="auto" w:fill="auto"/>
            <w:noWrap/>
            <w:vAlign w:val="bottom"/>
            <w:hideMark/>
          </w:tcPr>
          <w:p w14:paraId="5F3107B9"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6.412</w:t>
            </w:r>
          </w:p>
        </w:tc>
        <w:tc>
          <w:tcPr>
            <w:tcW w:w="961" w:type="dxa"/>
            <w:tcBorders>
              <w:top w:val="nil"/>
              <w:left w:val="nil"/>
              <w:bottom w:val="nil"/>
              <w:right w:val="nil"/>
            </w:tcBorders>
            <w:shd w:val="clear" w:color="auto" w:fill="auto"/>
            <w:noWrap/>
            <w:vAlign w:val="bottom"/>
            <w:hideMark/>
          </w:tcPr>
          <w:p w14:paraId="77022084"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c>
          <w:tcPr>
            <w:tcW w:w="986" w:type="dxa"/>
            <w:tcBorders>
              <w:top w:val="nil"/>
              <w:left w:val="nil"/>
              <w:bottom w:val="nil"/>
              <w:right w:val="single" w:sz="4" w:space="0" w:color="auto"/>
            </w:tcBorders>
            <w:shd w:val="clear" w:color="auto" w:fill="auto"/>
            <w:noWrap/>
            <w:vAlign w:val="bottom"/>
            <w:hideMark/>
          </w:tcPr>
          <w:p w14:paraId="27A65FC4"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36.000</w:t>
            </w:r>
          </w:p>
        </w:tc>
        <w:tc>
          <w:tcPr>
            <w:tcW w:w="875" w:type="dxa"/>
            <w:tcBorders>
              <w:top w:val="nil"/>
              <w:left w:val="single" w:sz="4" w:space="0" w:color="auto"/>
              <w:bottom w:val="nil"/>
              <w:right w:val="nil"/>
            </w:tcBorders>
            <w:shd w:val="clear" w:color="auto" w:fill="auto"/>
            <w:noWrap/>
            <w:vAlign w:val="bottom"/>
            <w:hideMark/>
          </w:tcPr>
          <w:p w14:paraId="34B4A6C3"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nil"/>
              <w:right w:val="nil"/>
            </w:tcBorders>
            <w:shd w:val="clear" w:color="auto" w:fill="auto"/>
            <w:noWrap/>
            <w:vAlign w:val="bottom"/>
            <w:hideMark/>
          </w:tcPr>
          <w:p w14:paraId="116E6866"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14.178</w:t>
            </w:r>
          </w:p>
        </w:tc>
        <w:tc>
          <w:tcPr>
            <w:tcW w:w="1153" w:type="dxa"/>
            <w:tcBorders>
              <w:top w:val="nil"/>
              <w:left w:val="nil"/>
              <w:bottom w:val="nil"/>
              <w:right w:val="nil"/>
            </w:tcBorders>
            <w:shd w:val="clear" w:color="auto" w:fill="auto"/>
            <w:noWrap/>
            <w:vAlign w:val="bottom"/>
            <w:hideMark/>
          </w:tcPr>
          <w:p w14:paraId="53A7D790"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6.219</w:t>
            </w:r>
          </w:p>
        </w:tc>
        <w:tc>
          <w:tcPr>
            <w:tcW w:w="970" w:type="dxa"/>
            <w:tcBorders>
              <w:top w:val="nil"/>
              <w:left w:val="nil"/>
              <w:bottom w:val="nil"/>
              <w:right w:val="nil"/>
            </w:tcBorders>
            <w:shd w:val="clear" w:color="auto" w:fill="auto"/>
            <w:noWrap/>
            <w:vAlign w:val="bottom"/>
            <w:hideMark/>
          </w:tcPr>
          <w:p w14:paraId="6905863A"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c>
          <w:tcPr>
            <w:tcW w:w="1061" w:type="dxa"/>
            <w:tcBorders>
              <w:top w:val="nil"/>
              <w:left w:val="nil"/>
              <w:bottom w:val="nil"/>
              <w:right w:val="nil"/>
            </w:tcBorders>
            <w:shd w:val="clear" w:color="auto" w:fill="auto"/>
            <w:noWrap/>
            <w:vAlign w:val="bottom"/>
            <w:hideMark/>
          </w:tcPr>
          <w:p w14:paraId="13FB53E3"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36.000</w:t>
            </w:r>
          </w:p>
        </w:tc>
      </w:tr>
      <w:tr w:rsidR="00727A9B" w:rsidRPr="006F5D71" w14:paraId="3AA21A88" w14:textId="77777777" w:rsidTr="00580EE3">
        <w:trPr>
          <w:trHeight w:val="258"/>
        </w:trPr>
        <w:tc>
          <w:tcPr>
            <w:tcW w:w="3845" w:type="dxa"/>
            <w:tcBorders>
              <w:top w:val="nil"/>
              <w:left w:val="nil"/>
              <w:bottom w:val="single" w:sz="4" w:space="0" w:color="auto"/>
              <w:right w:val="single" w:sz="4" w:space="0" w:color="auto"/>
            </w:tcBorders>
            <w:shd w:val="clear" w:color="auto" w:fill="auto"/>
            <w:noWrap/>
            <w:vAlign w:val="bottom"/>
            <w:hideMark/>
          </w:tcPr>
          <w:p w14:paraId="14F42975" w14:textId="77777777" w:rsidR="0083780C" w:rsidRPr="006F5D71" w:rsidRDefault="0083780C" w:rsidP="0083780C">
            <w:pPr>
              <w:spacing w:after="0" w:line="240" w:lineRule="auto"/>
              <w:rPr>
                <w:rFonts w:eastAsia="Times New Roman" w:cs="Times New Roman"/>
                <w:b/>
                <w:bCs/>
                <w:color w:val="000000" w:themeColor="text1"/>
                <w:sz w:val="20"/>
                <w:szCs w:val="20"/>
              </w:rPr>
            </w:pPr>
            <w:r w:rsidRPr="006F5D71">
              <w:rPr>
                <w:rFonts w:eastAsia="Times New Roman" w:cs="Times New Roman"/>
                <w:b/>
                <w:bCs/>
                <w:color w:val="000000" w:themeColor="text1"/>
                <w:sz w:val="20"/>
                <w:szCs w:val="20"/>
              </w:rPr>
              <w:t>Family Controlled</w:t>
            </w:r>
          </w:p>
        </w:tc>
        <w:tc>
          <w:tcPr>
            <w:tcW w:w="811" w:type="dxa"/>
            <w:tcBorders>
              <w:top w:val="nil"/>
              <w:left w:val="single" w:sz="4" w:space="0" w:color="auto"/>
              <w:bottom w:val="single" w:sz="4" w:space="0" w:color="auto"/>
              <w:right w:val="nil"/>
            </w:tcBorders>
            <w:shd w:val="clear" w:color="auto" w:fill="auto"/>
            <w:noWrap/>
            <w:vAlign w:val="bottom"/>
            <w:hideMark/>
          </w:tcPr>
          <w:p w14:paraId="75E72925"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5,848</w:t>
            </w:r>
          </w:p>
        </w:tc>
        <w:tc>
          <w:tcPr>
            <w:tcW w:w="983" w:type="dxa"/>
            <w:tcBorders>
              <w:top w:val="nil"/>
              <w:left w:val="nil"/>
              <w:bottom w:val="single" w:sz="4" w:space="0" w:color="auto"/>
              <w:right w:val="nil"/>
            </w:tcBorders>
            <w:shd w:val="clear" w:color="auto" w:fill="auto"/>
            <w:noWrap/>
            <w:vAlign w:val="bottom"/>
            <w:hideMark/>
          </w:tcPr>
          <w:p w14:paraId="402260C2"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0.120</w:t>
            </w:r>
          </w:p>
        </w:tc>
        <w:tc>
          <w:tcPr>
            <w:tcW w:w="1088" w:type="dxa"/>
            <w:tcBorders>
              <w:top w:val="nil"/>
              <w:left w:val="nil"/>
              <w:bottom w:val="single" w:sz="4" w:space="0" w:color="auto"/>
              <w:right w:val="nil"/>
            </w:tcBorders>
            <w:shd w:val="clear" w:color="auto" w:fill="auto"/>
            <w:noWrap/>
            <w:vAlign w:val="bottom"/>
            <w:hideMark/>
          </w:tcPr>
          <w:p w14:paraId="01E6D71C"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0.325</w:t>
            </w:r>
          </w:p>
        </w:tc>
        <w:tc>
          <w:tcPr>
            <w:tcW w:w="961" w:type="dxa"/>
            <w:tcBorders>
              <w:top w:val="nil"/>
              <w:left w:val="nil"/>
              <w:bottom w:val="single" w:sz="4" w:space="0" w:color="auto"/>
              <w:right w:val="nil"/>
            </w:tcBorders>
            <w:shd w:val="clear" w:color="auto" w:fill="auto"/>
            <w:noWrap/>
            <w:vAlign w:val="bottom"/>
            <w:hideMark/>
          </w:tcPr>
          <w:p w14:paraId="0FD6FE7A"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986" w:type="dxa"/>
            <w:tcBorders>
              <w:top w:val="nil"/>
              <w:left w:val="nil"/>
              <w:bottom w:val="single" w:sz="4" w:space="0" w:color="auto"/>
              <w:right w:val="single" w:sz="4" w:space="0" w:color="auto"/>
            </w:tcBorders>
            <w:shd w:val="clear" w:color="auto" w:fill="auto"/>
            <w:noWrap/>
            <w:vAlign w:val="bottom"/>
            <w:hideMark/>
          </w:tcPr>
          <w:p w14:paraId="45ED55BB"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c>
          <w:tcPr>
            <w:tcW w:w="875" w:type="dxa"/>
            <w:tcBorders>
              <w:top w:val="nil"/>
              <w:left w:val="single" w:sz="4" w:space="0" w:color="auto"/>
              <w:bottom w:val="single" w:sz="4" w:space="0" w:color="auto"/>
              <w:right w:val="nil"/>
            </w:tcBorders>
            <w:shd w:val="clear" w:color="auto" w:fill="auto"/>
            <w:noWrap/>
            <w:vAlign w:val="bottom"/>
            <w:hideMark/>
          </w:tcPr>
          <w:p w14:paraId="3CFEB562"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2,979</w:t>
            </w:r>
          </w:p>
        </w:tc>
        <w:tc>
          <w:tcPr>
            <w:tcW w:w="918" w:type="dxa"/>
            <w:tcBorders>
              <w:top w:val="nil"/>
              <w:left w:val="nil"/>
              <w:bottom w:val="single" w:sz="4" w:space="0" w:color="auto"/>
              <w:right w:val="nil"/>
            </w:tcBorders>
            <w:shd w:val="clear" w:color="auto" w:fill="auto"/>
            <w:noWrap/>
            <w:vAlign w:val="bottom"/>
            <w:hideMark/>
          </w:tcPr>
          <w:p w14:paraId="12815143"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0.140</w:t>
            </w:r>
          </w:p>
        </w:tc>
        <w:tc>
          <w:tcPr>
            <w:tcW w:w="1153" w:type="dxa"/>
            <w:tcBorders>
              <w:top w:val="nil"/>
              <w:left w:val="nil"/>
              <w:bottom w:val="single" w:sz="4" w:space="0" w:color="auto"/>
              <w:right w:val="nil"/>
            </w:tcBorders>
            <w:shd w:val="clear" w:color="auto" w:fill="auto"/>
            <w:noWrap/>
            <w:vAlign w:val="bottom"/>
            <w:hideMark/>
          </w:tcPr>
          <w:p w14:paraId="061736F5"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0.347</w:t>
            </w:r>
          </w:p>
        </w:tc>
        <w:tc>
          <w:tcPr>
            <w:tcW w:w="970" w:type="dxa"/>
            <w:tcBorders>
              <w:top w:val="nil"/>
              <w:left w:val="nil"/>
              <w:bottom w:val="single" w:sz="4" w:space="0" w:color="auto"/>
              <w:right w:val="nil"/>
            </w:tcBorders>
            <w:shd w:val="clear" w:color="auto" w:fill="auto"/>
            <w:noWrap/>
            <w:vAlign w:val="bottom"/>
            <w:hideMark/>
          </w:tcPr>
          <w:p w14:paraId="43A410A6"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0.000</w:t>
            </w:r>
          </w:p>
        </w:tc>
        <w:tc>
          <w:tcPr>
            <w:tcW w:w="1061" w:type="dxa"/>
            <w:tcBorders>
              <w:top w:val="nil"/>
              <w:left w:val="nil"/>
              <w:bottom w:val="single" w:sz="4" w:space="0" w:color="auto"/>
              <w:right w:val="nil"/>
            </w:tcBorders>
            <w:shd w:val="clear" w:color="auto" w:fill="auto"/>
            <w:noWrap/>
            <w:vAlign w:val="bottom"/>
            <w:hideMark/>
          </w:tcPr>
          <w:p w14:paraId="081F7A43" w14:textId="77777777" w:rsidR="0083780C" w:rsidRPr="006F5D71" w:rsidRDefault="0083780C" w:rsidP="0083780C">
            <w:pPr>
              <w:spacing w:after="0" w:line="240" w:lineRule="auto"/>
              <w:jc w:val="center"/>
              <w:rPr>
                <w:rFonts w:eastAsia="Times New Roman" w:cs="Times New Roman"/>
                <w:color w:val="000000" w:themeColor="text1"/>
                <w:sz w:val="20"/>
                <w:szCs w:val="20"/>
              </w:rPr>
            </w:pPr>
            <w:r w:rsidRPr="006F5D71">
              <w:rPr>
                <w:rFonts w:eastAsia="Times New Roman" w:cs="Times New Roman"/>
                <w:color w:val="000000" w:themeColor="text1"/>
                <w:sz w:val="20"/>
                <w:szCs w:val="20"/>
              </w:rPr>
              <w:t>1.000</w:t>
            </w:r>
          </w:p>
        </w:tc>
      </w:tr>
    </w:tbl>
    <w:p w14:paraId="77E0A41A" w14:textId="77777777" w:rsidR="00180124" w:rsidRPr="006F5D71" w:rsidRDefault="00180124" w:rsidP="00180124">
      <w:pPr>
        <w:rPr>
          <w:rFonts w:cs="Times New Roman"/>
          <w:color w:val="000000" w:themeColor="text1"/>
          <w:szCs w:val="24"/>
        </w:rPr>
      </w:pPr>
    </w:p>
    <w:p w14:paraId="00046B57" w14:textId="77777777" w:rsidR="00180124" w:rsidRPr="006F5D71" w:rsidRDefault="00180124" w:rsidP="00180124">
      <w:pPr>
        <w:rPr>
          <w:rFonts w:cs="Times New Roman"/>
          <w:color w:val="000000" w:themeColor="text1"/>
          <w:szCs w:val="24"/>
        </w:rPr>
        <w:sectPr w:rsidR="00180124" w:rsidRPr="006F5D71" w:rsidSect="00576B26">
          <w:pgSz w:w="15840" w:h="12240" w:orient="landscape"/>
          <w:pgMar w:top="1440" w:right="1440" w:bottom="1440" w:left="1440" w:header="720" w:footer="720" w:gutter="0"/>
          <w:cols w:space="720"/>
          <w:docGrid w:linePitch="360"/>
        </w:sectPr>
      </w:pPr>
    </w:p>
    <w:p w14:paraId="44969FAE" w14:textId="77777777" w:rsidR="00180124" w:rsidRPr="006F5D71" w:rsidRDefault="00180124" w:rsidP="00180124">
      <w:pPr>
        <w:spacing w:after="0"/>
        <w:rPr>
          <w:rFonts w:cs="Times New Roman"/>
          <w:b/>
          <w:bCs/>
          <w:color w:val="000000" w:themeColor="text1"/>
          <w:szCs w:val="24"/>
        </w:rPr>
      </w:pPr>
      <w:r w:rsidRPr="006F5D71">
        <w:rPr>
          <w:rFonts w:cs="Times New Roman"/>
          <w:b/>
          <w:bCs/>
          <w:color w:val="000000" w:themeColor="text1"/>
          <w:szCs w:val="24"/>
        </w:rPr>
        <w:lastRenderedPageBreak/>
        <w:t xml:space="preserve">Table </w:t>
      </w:r>
      <w:r w:rsidR="00F64834" w:rsidRPr="006F5D71">
        <w:rPr>
          <w:rFonts w:cs="Times New Roman"/>
          <w:b/>
          <w:bCs/>
          <w:color w:val="000000" w:themeColor="text1"/>
          <w:szCs w:val="24"/>
        </w:rPr>
        <w:t>3</w:t>
      </w:r>
      <w:r w:rsidRPr="006F5D71">
        <w:rPr>
          <w:rFonts w:cs="Times New Roman"/>
          <w:b/>
          <w:bCs/>
          <w:color w:val="000000" w:themeColor="text1"/>
          <w:szCs w:val="24"/>
        </w:rPr>
        <w:t>: Correlation</w:t>
      </w:r>
    </w:p>
    <w:tbl>
      <w:tblPr>
        <w:tblW w:w="15405" w:type="dxa"/>
        <w:jc w:val="center"/>
        <w:tblLook w:val="04A0" w:firstRow="1" w:lastRow="0" w:firstColumn="1" w:lastColumn="0" w:noHBand="0" w:noVBand="1"/>
      </w:tblPr>
      <w:tblGrid>
        <w:gridCol w:w="396"/>
        <w:gridCol w:w="1257"/>
        <w:gridCol w:w="518"/>
        <w:gridCol w:w="518"/>
        <w:gridCol w:w="486"/>
        <w:gridCol w:w="518"/>
        <w:gridCol w:w="518"/>
        <w:gridCol w:w="486"/>
        <w:gridCol w:w="518"/>
        <w:gridCol w:w="518"/>
        <w:gridCol w:w="486"/>
        <w:gridCol w:w="518"/>
        <w:gridCol w:w="518"/>
        <w:gridCol w:w="486"/>
        <w:gridCol w:w="518"/>
        <w:gridCol w:w="518"/>
        <w:gridCol w:w="486"/>
        <w:gridCol w:w="522"/>
        <w:gridCol w:w="518"/>
        <w:gridCol w:w="526"/>
        <w:gridCol w:w="518"/>
        <w:gridCol w:w="518"/>
        <w:gridCol w:w="486"/>
        <w:gridCol w:w="518"/>
        <w:gridCol w:w="518"/>
        <w:gridCol w:w="486"/>
        <w:gridCol w:w="518"/>
        <w:gridCol w:w="518"/>
        <w:gridCol w:w="486"/>
        <w:gridCol w:w="10"/>
      </w:tblGrid>
      <w:tr w:rsidR="00727A9B" w:rsidRPr="006F5D71" w14:paraId="2C411667" w14:textId="77777777" w:rsidTr="00954C29">
        <w:trPr>
          <w:trHeight w:val="284"/>
          <w:jc w:val="center"/>
        </w:trPr>
        <w:tc>
          <w:tcPr>
            <w:tcW w:w="396" w:type="dxa"/>
            <w:tcBorders>
              <w:top w:val="single" w:sz="4" w:space="0" w:color="auto"/>
              <w:left w:val="nil"/>
              <w:bottom w:val="single" w:sz="4" w:space="0" w:color="auto"/>
              <w:right w:val="nil"/>
            </w:tcBorders>
            <w:shd w:val="clear" w:color="auto" w:fill="auto"/>
            <w:noWrap/>
            <w:vAlign w:val="center"/>
            <w:hideMark/>
          </w:tcPr>
          <w:p w14:paraId="61789D18" w14:textId="77777777" w:rsidR="00954C29" w:rsidRPr="006F5D71" w:rsidRDefault="00954C29" w:rsidP="00954C29">
            <w:pPr>
              <w:spacing w:after="0" w:line="240" w:lineRule="auto"/>
              <w:rPr>
                <w:rFonts w:eastAsia="Times New Roman" w:cs="Times New Roman"/>
                <w:color w:val="000000" w:themeColor="text1"/>
                <w:sz w:val="16"/>
                <w:szCs w:val="16"/>
              </w:rPr>
            </w:pPr>
            <w:r w:rsidRPr="006F5D71">
              <w:rPr>
                <w:rFonts w:eastAsia="Times New Roman" w:cs="Times New Roman"/>
                <w:color w:val="000000" w:themeColor="text1"/>
                <w:sz w:val="16"/>
                <w:szCs w:val="16"/>
              </w:rPr>
              <w:t> </w:t>
            </w:r>
          </w:p>
        </w:tc>
        <w:tc>
          <w:tcPr>
            <w:tcW w:w="1257" w:type="dxa"/>
            <w:tcBorders>
              <w:top w:val="single" w:sz="4" w:space="0" w:color="auto"/>
              <w:left w:val="nil"/>
              <w:bottom w:val="single" w:sz="4" w:space="0" w:color="auto"/>
              <w:right w:val="nil"/>
            </w:tcBorders>
            <w:shd w:val="clear" w:color="auto" w:fill="auto"/>
            <w:noWrap/>
            <w:vAlign w:val="center"/>
            <w:hideMark/>
          </w:tcPr>
          <w:p w14:paraId="6B2F82F9"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 </w:t>
            </w:r>
          </w:p>
        </w:tc>
        <w:tc>
          <w:tcPr>
            <w:tcW w:w="13752" w:type="dxa"/>
            <w:gridSpan w:val="28"/>
            <w:tcBorders>
              <w:top w:val="single" w:sz="4" w:space="0" w:color="auto"/>
              <w:left w:val="nil"/>
              <w:bottom w:val="single" w:sz="4" w:space="0" w:color="auto"/>
              <w:right w:val="nil"/>
            </w:tcBorders>
            <w:shd w:val="clear" w:color="auto" w:fill="auto"/>
            <w:noWrap/>
            <w:vAlign w:val="center"/>
            <w:hideMark/>
          </w:tcPr>
          <w:p w14:paraId="18C081D2" w14:textId="77777777" w:rsidR="00954C29" w:rsidRPr="006F5D71" w:rsidRDefault="00954C29" w:rsidP="00954C29">
            <w:pPr>
              <w:spacing w:after="0" w:line="240" w:lineRule="auto"/>
              <w:jc w:val="center"/>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Panel A: North</w:t>
            </w:r>
          </w:p>
        </w:tc>
      </w:tr>
      <w:tr w:rsidR="00727A9B" w:rsidRPr="006F5D71" w14:paraId="5A82DB75" w14:textId="77777777" w:rsidTr="00954C29">
        <w:trPr>
          <w:gridAfter w:val="1"/>
          <w:wAfter w:w="10" w:type="dxa"/>
          <w:trHeight w:val="284"/>
          <w:jc w:val="center"/>
        </w:trPr>
        <w:tc>
          <w:tcPr>
            <w:tcW w:w="396" w:type="dxa"/>
            <w:tcBorders>
              <w:top w:val="nil"/>
              <w:left w:val="nil"/>
              <w:bottom w:val="single" w:sz="4" w:space="0" w:color="auto"/>
              <w:right w:val="nil"/>
            </w:tcBorders>
            <w:shd w:val="clear" w:color="auto" w:fill="auto"/>
            <w:noWrap/>
            <w:vAlign w:val="center"/>
            <w:hideMark/>
          </w:tcPr>
          <w:p w14:paraId="58054156" w14:textId="77777777" w:rsidR="00954C29" w:rsidRPr="006F5D71" w:rsidRDefault="00954C29" w:rsidP="00954C29">
            <w:pPr>
              <w:spacing w:after="0" w:line="240" w:lineRule="auto"/>
              <w:rPr>
                <w:rFonts w:eastAsia="Times New Roman" w:cs="Times New Roman"/>
                <w:color w:val="000000" w:themeColor="text1"/>
                <w:sz w:val="16"/>
                <w:szCs w:val="16"/>
              </w:rPr>
            </w:pPr>
            <w:r w:rsidRPr="006F5D71">
              <w:rPr>
                <w:rFonts w:eastAsia="Times New Roman" w:cs="Times New Roman"/>
                <w:color w:val="000000" w:themeColor="text1"/>
                <w:sz w:val="16"/>
                <w:szCs w:val="16"/>
              </w:rPr>
              <w:t> </w:t>
            </w:r>
          </w:p>
        </w:tc>
        <w:tc>
          <w:tcPr>
            <w:tcW w:w="1257" w:type="dxa"/>
            <w:tcBorders>
              <w:top w:val="nil"/>
              <w:left w:val="nil"/>
              <w:bottom w:val="single" w:sz="4" w:space="0" w:color="auto"/>
              <w:right w:val="nil"/>
            </w:tcBorders>
            <w:shd w:val="clear" w:color="auto" w:fill="auto"/>
            <w:noWrap/>
            <w:vAlign w:val="center"/>
            <w:hideMark/>
          </w:tcPr>
          <w:p w14:paraId="5CA86ADD"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 </w:t>
            </w:r>
          </w:p>
        </w:tc>
        <w:tc>
          <w:tcPr>
            <w:tcW w:w="518" w:type="dxa"/>
            <w:tcBorders>
              <w:top w:val="nil"/>
              <w:left w:val="nil"/>
              <w:bottom w:val="single" w:sz="4" w:space="0" w:color="auto"/>
              <w:right w:val="nil"/>
            </w:tcBorders>
            <w:shd w:val="clear" w:color="auto" w:fill="auto"/>
            <w:noWrap/>
            <w:vAlign w:val="center"/>
            <w:hideMark/>
          </w:tcPr>
          <w:p w14:paraId="44188C5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w:t>
            </w:r>
          </w:p>
        </w:tc>
        <w:tc>
          <w:tcPr>
            <w:tcW w:w="518" w:type="dxa"/>
            <w:tcBorders>
              <w:top w:val="nil"/>
              <w:left w:val="nil"/>
              <w:bottom w:val="single" w:sz="4" w:space="0" w:color="auto"/>
              <w:right w:val="nil"/>
            </w:tcBorders>
            <w:shd w:val="clear" w:color="auto" w:fill="auto"/>
            <w:noWrap/>
            <w:vAlign w:val="center"/>
            <w:hideMark/>
          </w:tcPr>
          <w:p w14:paraId="7CCC6FD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w:t>
            </w:r>
          </w:p>
        </w:tc>
        <w:tc>
          <w:tcPr>
            <w:tcW w:w="486" w:type="dxa"/>
            <w:tcBorders>
              <w:top w:val="nil"/>
              <w:left w:val="nil"/>
              <w:bottom w:val="single" w:sz="4" w:space="0" w:color="auto"/>
              <w:right w:val="nil"/>
            </w:tcBorders>
            <w:shd w:val="clear" w:color="auto" w:fill="auto"/>
            <w:noWrap/>
            <w:vAlign w:val="center"/>
            <w:hideMark/>
          </w:tcPr>
          <w:p w14:paraId="49EC936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3</w:t>
            </w:r>
          </w:p>
        </w:tc>
        <w:tc>
          <w:tcPr>
            <w:tcW w:w="518" w:type="dxa"/>
            <w:tcBorders>
              <w:top w:val="nil"/>
              <w:left w:val="nil"/>
              <w:bottom w:val="single" w:sz="4" w:space="0" w:color="auto"/>
              <w:right w:val="nil"/>
            </w:tcBorders>
            <w:shd w:val="clear" w:color="auto" w:fill="auto"/>
            <w:noWrap/>
            <w:vAlign w:val="center"/>
            <w:hideMark/>
          </w:tcPr>
          <w:p w14:paraId="13E0BF8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4</w:t>
            </w:r>
          </w:p>
        </w:tc>
        <w:tc>
          <w:tcPr>
            <w:tcW w:w="518" w:type="dxa"/>
            <w:tcBorders>
              <w:top w:val="nil"/>
              <w:left w:val="nil"/>
              <w:bottom w:val="single" w:sz="4" w:space="0" w:color="auto"/>
              <w:right w:val="nil"/>
            </w:tcBorders>
            <w:shd w:val="clear" w:color="auto" w:fill="auto"/>
            <w:noWrap/>
            <w:vAlign w:val="center"/>
            <w:hideMark/>
          </w:tcPr>
          <w:p w14:paraId="301F517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5</w:t>
            </w:r>
          </w:p>
        </w:tc>
        <w:tc>
          <w:tcPr>
            <w:tcW w:w="486" w:type="dxa"/>
            <w:tcBorders>
              <w:top w:val="nil"/>
              <w:left w:val="nil"/>
              <w:bottom w:val="single" w:sz="4" w:space="0" w:color="auto"/>
              <w:right w:val="nil"/>
            </w:tcBorders>
            <w:shd w:val="clear" w:color="auto" w:fill="auto"/>
            <w:noWrap/>
            <w:vAlign w:val="center"/>
            <w:hideMark/>
          </w:tcPr>
          <w:p w14:paraId="3C8606E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6</w:t>
            </w:r>
          </w:p>
        </w:tc>
        <w:tc>
          <w:tcPr>
            <w:tcW w:w="518" w:type="dxa"/>
            <w:tcBorders>
              <w:top w:val="nil"/>
              <w:left w:val="nil"/>
              <w:bottom w:val="single" w:sz="4" w:space="0" w:color="auto"/>
              <w:right w:val="nil"/>
            </w:tcBorders>
            <w:shd w:val="clear" w:color="auto" w:fill="auto"/>
            <w:noWrap/>
            <w:vAlign w:val="center"/>
            <w:hideMark/>
          </w:tcPr>
          <w:p w14:paraId="7CC35AE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7</w:t>
            </w:r>
          </w:p>
        </w:tc>
        <w:tc>
          <w:tcPr>
            <w:tcW w:w="518" w:type="dxa"/>
            <w:tcBorders>
              <w:top w:val="nil"/>
              <w:left w:val="nil"/>
              <w:bottom w:val="single" w:sz="4" w:space="0" w:color="auto"/>
              <w:right w:val="nil"/>
            </w:tcBorders>
            <w:shd w:val="clear" w:color="auto" w:fill="auto"/>
            <w:noWrap/>
            <w:vAlign w:val="center"/>
            <w:hideMark/>
          </w:tcPr>
          <w:p w14:paraId="6D83365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8</w:t>
            </w:r>
          </w:p>
        </w:tc>
        <w:tc>
          <w:tcPr>
            <w:tcW w:w="486" w:type="dxa"/>
            <w:tcBorders>
              <w:top w:val="nil"/>
              <w:left w:val="nil"/>
              <w:bottom w:val="single" w:sz="4" w:space="0" w:color="auto"/>
              <w:right w:val="nil"/>
            </w:tcBorders>
            <w:shd w:val="clear" w:color="auto" w:fill="auto"/>
            <w:noWrap/>
            <w:vAlign w:val="center"/>
            <w:hideMark/>
          </w:tcPr>
          <w:p w14:paraId="5DC8B37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9</w:t>
            </w:r>
          </w:p>
        </w:tc>
        <w:tc>
          <w:tcPr>
            <w:tcW w:w="518" w:type="dxa"/>
            <w:tcBorders>
              <w:top w:val="nil"/>
              <w:left w:val="nil"/>
              <w:bottom w:val="single" w:sz="4" w:space="0" w:color="auto"/>
              <w:right w:val="nil"/>
            </w:tcBorders>
            <w:shd w:val="clear" w:color="auto" w:fill="auto"/>
            <w:noWrap/>
            <w:vAlign w:val="center"/>
            <w:hideMark/>
          </w:tcPr>
          <w:p w14:paraId="779AEDC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w:t>
            </w:r>
          </w:p>
        </w:tc>
        <w:tc>
          <w:tcPr>
            <w:tcW w:w="518" w:type="dxa"/>
            <w:tcBorders>
              <w:top w:val="nil"/>
              <w:left w:val="nil"/>
              <w:bottom w:val="single" w:sz="4" w:space="0" w:color="auto"/>
              <w:right w:val="nil"/>
            </w:tcBorders>
            <w:shd w:val="clear" w:color="auto" w:fill="auto"/>
            <w:noWrap/>
            <w:vAlign w:val="center"/>
            <w:hideMark/>
          </w:tcPr>
          <w:p w14:paraId="0DA0883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11</w:t>
            </w:r>
          </w:p>
        </w:tc>
        <w:tc>
          <w:tcPr>
            <w:tcW w:w="486" w:type="dxa"/>
            <w:tcBorders>
              <w:top w:val="nil"/>
              <w:left w:val="nil"/>
              <w:bottom w:val="single" w:sz="4" w:space="0" w:color="auto"/>
              <w:right w:val="nil"/>
            </w:tcBorders>
            <w:shd w:val="clear" w:color="auto" w:fill="auto"/>
            <w:noWrap/>
            <w:vAlign w:val="center"/>
            <w:hideMark/>
          </w:tcPr>
          <w:p w14:paraId="6296845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12</w:t>
            </w:r>
          </w:p>
        </w:tc>
        <w:tc>
          <w:tcPr>
            <w:tcW w:w="518" w:type="dxa"/>
            <w:tcBorders>
              <w:top w:val="nil"/>
              <w:left w:val="nil"/>
              <w:bottom w:val="single" w:sz="4" w:space="0" w:color="auto"/>
              <w:right w:val="nil"/>
            </w:tcBorders>
            <w:shd w:val="clear" w:color="auto" w:fill="auto"/>
            <w:noWrap/>
            <w:vAlign w:val="center"/>
            <w:hideMark/>
          </w:tcPr>
          <w:p w14:paraId="435EE53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13</w:t>
            </w:r>
          </w:p>
        </w:tc>
        <w:tc>
          <w:tcPr>
            <w:tcW w:w="518" w:type="dxa"/>
            <w:tcBorders>
              <w:top w:val="nil"/>
              <w:left w:val="nil"/>
              <w:bottom w:val="single" w:sz="4" w:space="0" w:color="auto"/>
              <w:right w:val="nil"/>
            </w:tcBorders>
            <w:shd w:val="clear" w:color="auto" w:fill="auto"/>
            <w:noWrap/>
            <w:vAlign w:val="center"/>
            <w:hideMark/>
          </w:tcPr>
          <w:p w14:paraId="2A8BC43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14</w:t>
            </w:r>
          </w:p>
        </w:tc>
        <w:tc>
          <w:tcPr>
            <w:tcW w:w="486" w:type="dxa"/>
            <w:tcBorders>
              <w:top w:val="nil"/>
              <w:left w:val="nil"/>
              <w:bottom w:val="single" w:sz="4" w:space="0" w:color="auto"/>
              <w:right w:val="nil"/>
            </w:tcBorders>
            <w:shd w:val="clear" w:color="auto" w:fill="auto"/>
            <w:noWrap/>
            <w:vAlign w:val="center"/>
            <w:hideMark/>
          </w:tcPr>
          <w:p w14:paraId="4EF296D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15</w:t>
            </w:r>
          </w:p>
        </w:tc>
        <w:tc>
          <w:tcPr>
            <w:tcW w:w="522" w:type="dxa"/>
            <w:tcBorders>
              <w:top w:val="nil"/>
              <w:left w:val="nil"/>
              <w:bottom w:val="single" w:sz="4" w:space="0" w:color="auto"/>
              <w:right w:val="nil"/>
            </w:tcBorders>
            <w:shd w:val="clear" w:color="auto" w:fill="auto"/>
            <w:noWrap/>
            <w:vAlign w:val="center"/>
            <w:hideMark/>
          </w:tcPr>
          <w:p w14:paraId="4B92A14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16</w:t>
            </w:r>
          </w:p>
        </w:tc>
        <w:tc>
          <w:tcPr>
            <w:tcW w:w="518" w:type="dxa"/>
            <w:tcBorders>
              <w:top w:val="nil"/>
              <w:left w:val="nil"/>
              <w:bottom w:val="single" w:sz="4" w:space="0" w:color="auto"/>
              <w:right w:val="nil"/>
            </w:tcBorders>
            <w:shd w:val="clear" w:color="auto" w:fill="auto"/>
            <w:noWrap/>
            <w:vAlign w:val="center"/>
            <w:hideMark/>
          </w:tcPr>
          <w:p w14:paraId="534230C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17</w:t>
            </w:r>
          </w:p>
        </w:tc>
        <w:tc>
          <w:tcPr>
            <w:tcW w:w="526" w:type="dxa"/>
            <w:tcBorders>
              <w:top w:val="nil"/>
              <w:left w:val="nil"/>
              <w:bottom w:val="single" w:sz="4" w:space="0" w:color="auto"/>
              <w:right w:val="nil"/>
            </w:tcBorders>
            <w:shd w:val="clear" w:color="auto" w:fill="auto"/>
            <w:noWrap/>
            <w:vAlign w:val="center"/>
            <w:hideMark/>
          </w:tcPr>
          <w:p w14:paraId="2D572D0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18</w:t>
            </w:r>
          </w:p>
        </w:tc>
        <w:tc>
          <w:tcPr>
            <w:tcW w:w="518" w:type="dxa"/>
            <w:tcBorders>
              <w:top w:val="nil"/>
              <w:left w:val="nil"/>
              <w:bottom w:val="single" w:sz="4" w:space="0" w:color="auto"/>
              <w:right w:val="nil"/>
            </w:tcBorders>
            <w:shd w:val="clear" w:color="auto" w:fill="auto"/>
            <w:noWrap/>
            <w:vAlign w:val="center"/>
            <w:hideMark/>
          </w:tcPr>
          <w:p w14:paraId="0466FF0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19</w:t>
            </w:r>
          </w:p>
        </w:tc>
        <w:tc>
          <w:tcPr>
            <w:tcW w:w="518" w:type="dxa"/>
            <w:tcBorders>
              <w:top w:val="nil"/>
              <w:left w:val="nil"/>
              <w:bottom w:val="single" w:sz="4" w:space="0" w:color="auto"/>
              <w:right w:val="nil"/>
            </w:tcBorders>
            <w:shd w:val="clear" w:color="auto" w:fill="auto"/>
            <w:noWrap/>
            <w:vAlign w:val="center"/>
            <w:hideMark/>
          </w:tcPr>
          <w:p w14:paraId="7E52335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20</w:t>
            </w:r>
          </w:p>
        </w:tc>
        <w:tc>
          <w:tcPr>
            <w:tcW w:w="486" w:type="dxa"/>
            <w:tcBorders>
              <w:top w:val="nil"/>
              <w:left w:val="nil"/>
              <w:bottom w:val="single" w:sz="4" w:space="0" w:color="auto"/>
              <w:right w:val="nil"/>
            </w:tcBorders>
            <w:shd w:val="clear" w:color="auto" w:fill="auto"/>
            <w:noWrap/>
            <w:vAlign w:val="center"/>
            <w:hideMark/>
          </w:tcPr>
          <w:p w14:paraId="32895AB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21</w:t>
            </w:r>
          </w:p>
        </w:tc>
        <w:tc>
          <w:tcPr>
            <w:tcW w:w="518" w:type="dxa"/>
            <w:tcBorders>
              <w:top w:val="nil"/>
              <w:left w:val="nil"/>
              <w:bottom w:val="single" w:sz="4" w:space="0" w:color="auto"/>
              <w:right w:val="nil"/>
            </w:tcBorders>
            <w:shd w:val="clear" w:color="auto" w:fill="auto"/>
            <w:noWrap/>
            <w:vAlign w:val="center"/>
            <w:hideMark/>
          </w:tcPr>
          <w:p w14:paraId="5A6AEA7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22</w:t>
            </w:r>
          </w:p>
        </w:tc>
        <w:tc>
          <w:tcPr>
            <w:tcW w:w="518" w:type="dxa"/>
            <w:tcBorders>
              <w:top w:val="nil"/>
              <w:left w:val="nil"/>
              <w:bottom w:val="single" w:sz="4" w:space="0" w:color="auto"/>
              <w:right w:val="nil"/>
            </w:tcBorders>
            <w:shd w:val="clear" w:color="auto" w:fill="auto"/>
            <w:noWrap/>
            <w:vAlign w:val="center"/>
            <w:hideMark/>
          </w:tcPr>
          <w:p w14:paraId="52B2917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23</w:t>
            </w:r>
          </w:p>
        </w:tc>
        <w:tc>
          <w:tcPr>
            <w:tcW w:w="486" w:type="dxa"/>
            <w:tcBorders>
              <w:top w:val="nil"/>
              <w:left w:val="nil"/>
              <w:bottom w:val="single" w:sz="4" w:space="0" w:color="auto"/>
              <w:right w:val="nil"/>
            </w:tcBorders>
            <w:shd w:val="clear" w:color="auto" w:fill="auto"/>
            <w:noWrap/>
            <w:vAlign w:val="center"/>
            <w:hideMark/>
          </w:tcPr>
          <w:p w14:paraId="2783EDE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24</w:t>
            </w:r>
          </w:p>
        </w:tc>
        <w:tc>
          <w:tcPr>
            <w:tcW w:w="518" w:type="dxa"/>
            <w:tcBorders>
              <w:top w:val="nil"/>
              <w:left w:val="nil"/>
              <w:bottom w:val="single" w:sz="4" w:space="0" w:color="auto"/>
              <w:right w:val="nil"/>
            </w:tcBorders>
            <w:shd w:val="clear" w:color="auto" w:fill="auto"/>
            <w:noWrap/>
            <w:vAlign w:val="center"/>
            <w:hideMark/>
          </w:tcPr>
          <w:p w14:paraId="0B49B48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25</w:t>
            </w:r>
          </w:p>
        </w:tc>
        <w:tc>
          <w:tcPr>
            <w:tcW w:w="518" w:type="dxa"/>
            <w:tcBorders>
              <w:top w:val="nil"/>
              <w:left w:val="nil"/>
              <w:bottom w:val="single" w:sz="4" w:space="0" w:color="auto"/>
              <w:right w:val="nil"/>
            </w:tcBorders>
            <w:shd w:val="clear" w:color="auto" w:fill="auto"/>
            <w:noWrap/>
            <w:vAlign w:val="center"/>
            <w:hideMark/>
          </w:tcPr>
          <w:p w14:paraId="25A0103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26</w:t>
            </w:r>
          </w:p>
        </w:tc>
        <w:tc>
          <w:tcPr>
            <w:tcW w:w="486" w:type="dxa"/>
            <w:tcBorders>
              <w:top w:val="nil"/>
              <w:left w:val="nil"/>
              <w:bottom w:val="single" w:sz="4" w:space="0" w:color="auto"/>
              <w:right w:val="nil"/>
            </w:tcBorders>
            <w:shd w:val="clear" w:color="auto" w:fill="auto"/>
            <w:noWrap/>
            <w:vAlign w:val="center"/>
            <w:hideMark/>
          </w:tcPr>
          <w:p w14:paraId="089BC28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27</w:t>
            </w:r>
          </w:p>
        </w:tc>
      </w:tr>
      <w:tr w:rsidR="00727A9B" w:rsidRPr="006F5D71" w14:paraId="354DAACC"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692A019A"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w:t>
            </w:r>
          </w:p>
        </w:tc>
        <w:tc>
          <w:tcPr>
            <w:tcW w:w="1257" w:type="dxa"/>
            <w:tcBorders>
              <w:top w:val="nil"/>
              <w:left w:val="nil"/>
              <w:bottom w:val="nil"/>
              <w:right w:val="nil"/>
            </w:tcBorders>
            <w:shd w:val="clear" w:color="auto" w:fill="auto"/>
            <w:noWrap/>
            <w:vAlign w:val="center"/>
            <w:hideMark/>
          </w:tcPr>
          <w:p w14:paraId="0B8C5295"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Divestment</w:t>
            </w:r>
          </w:p>
        </w:tc>
        <w:tc>
          <w:tcPr>
            <w:tcW w:w="518" w:type="dxa"/>
            <w:tcBorders>
              <w:top w:val="nil"/>
              <w:left w:val="nil"/>
              <w:bottom w:val="nil"/>
              <w:right w:val="nil"/>
            </w:tcBorders>
            <w:shd w:val="clear" w:color="auto" w:fill="auto"/>
            <w:noWrap/>
            <w:vAlign w:val="center"/>
            <w:hideMark/>
          </w:tcPr>
          <w:p w14:paraId="2148C53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7FC3AE5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1034E9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6EBBA2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C51FB5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024B5F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B6496E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CFDBFC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DB4424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75EEAE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F67066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E6D466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132C4F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3BB38F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085DBA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0A49B50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8B16E1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59D9E8F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7CBE9F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4DB30C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7E9F9E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6262AE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148BB0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E3BF6F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D7DA85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8AFBFF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965111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57106918"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7F9E2F4B"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w:t>
            </w:r>
          </w:p>
        </w:tc>
        <w:tc>
          <w:tcPr>
            <w:tcW w:w="1257" w:type="dxa"/>
            <w:tcBorders>
              <w:top w:val="nil"/>
              <w:left w:val="nil"/>
              <w:bottom w:val="nil"/>
              <w:right w:val="nil"/>
            </w:tcBorders>
            <w:shd w:val="clear" w:color="auto" w:fill="auto"/>
            <w:noWrap/>
            <w:vAlign w:val="center"/>
            <w:hideMark/>
          </w:tcPr>
          <w:p w14:paraId="7289529E" w14:textId="77777777" w:rsidR="00954C29" w:rsidRPr="006F5D71" w:rsidRDefault="00D17530"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Absorptive C</w:t>
            </w:r>
            <w:r w:rsidR="00954C29" w:rsidRPr="006F5D71">
              <w:rPr>
                <w:rFonts w:eastAsia="Times New Roman" w:cs="Times New Roman"/>
                <w:b/>
                <w:bCs/>
                <w:color w:val="000000" w:themeColor="text1"/>
                <w:sz w:val="16"/>
                <w:szCs w:val="16"/>
              </w:rPr>
              <w:t>apacity</w:t>
            </w:r>
          </w:p>
        </w:tc>
        <w:tc>
          <w:tcPr>
            <w:tcW w:w="518" w:type="dxa"/>
            <w:tcBorders>
              <w:top w:val="nil"/>
              <w:left w:val="nil"/>
              <w:bottom w:val="nil"/>
              <w:right w:val="nil"/>
            </w:tcBorders>
            <w:shd w:val="clear" w:color="auto" w:fill="auto"/>
            <w:noWrap/>
            <w:vAlign w:val="center"/>
            <w:hideMark/>
          </w:tcPr>
          <w:p w14:paraId="193379B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66D09D1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6C269B9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02C112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59BC80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455CF3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AFA876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8297D3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AB6930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93470B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BD4837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2C3DFD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F7022B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BEF880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F41BF4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58538E4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88666A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771CF03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C38DFE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CF34E8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D1788A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AE3183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5248E6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6780DD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6B8A83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519D9B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BC1060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59B8F314"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2B9CACEA"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3</w:t>
            </w:r>
          </w:p>
        </w:tc>
        <w:tc>
          <w:tcPr>
            <w:tcW w:w="1257" w:type="dxa"/>
            <w:tcBorders>
              <w:top w:val="nil"/>
              <w:left w:val="nil"/>
              <w:bottom w:val="nil"/>
              <w:right w:val="nil"/>
            </w:tcBorders>
            <w:shd w:val="clear" w:color="auto" w:fill="auto"/>
            <w:noWrap/>
            <w:vAlign w:val="center"/>
            <w:hideMark/>
          </w:tcPr>
          <w:p w14:paraId="34A255C4" w14:textId="77777777" w:rsidR="00954C29" w:rsidRPr="006F5D71" w:rsidRDefault="00954C29" w:rsidP="00D17530">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 xml:space="preserve">Absorptive Capacity Leader </w:t>
            </w:r>
          </w:p>
        </w:tc>
        <w:tc>
          <w:tcPr>
            <w:tcW w:w="518" w:type="dxa"/>
            <w:tcBorders>
              <w:top w:val="nil"/>
              <w:left w:val="nil"/>
              <w:bottom w:val="nil"/>
              <w:right w:val="nil"/>
            </w:tcBorders>
            <w:shd w:val="clear" w:color="auto" w:fill="auto"/>
            <w:noWrap/>
            <w:vAlign w:val="center"/>
            <w:hideMark/>
          </w:tcPr>
          <w:p w14:paraId="52C101F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5176332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486" w:type="dxa"/>
            <w:tcBorders>
              <w:top w:val="nil"/>
              <w:left w:val="nil"/>
              <w:bottom w:val="nil"/>
              <w:right w:val="nil"/>
            </w:tcBorders>
            <w:shd w:val="clear" w:color="auto" w:fill="auto"/>
            <w:noWrap/>
            <w:vAlign w:val="center"/>
            <w:hideMark/>
          </w:tcPr>
          <w:p w14:paraId="3E96579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28ABC4B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0A6F13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F81403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C8991B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4A8E0F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DCC483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0FC2F7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5B4CF6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484811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A59732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4A3553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908113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558951B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01067B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6067C4F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7FB869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766AF9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96BD75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9307B5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3F7CF6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4DCA1B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F3500F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F73A80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301DE4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14C0CC83"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27522354"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4</w:t>
            </w:r>
          </w:p>
        </w:tc>
        <w:tc>
          <w:tcPr>
            <w:tcW w:w="1257" w:type="dxa"/>
            <w:tcBorders>
              <w:top w:val="nil"/>
              <w:left w:val="nil"/>
              <w:bottom w:val="nil"/>
              <w:right w:val="nil"/>
            </w:tcBorders>
            <w:shd w:val="clear" w:color="auto" w:fill="auto"/>
            <w:noWrap/>
            <w:vAlign w:val="center"/>
            <w:hideMark/>
          </w:tcPr>
          <w:p w14:paraId="152217EC"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Profitability</w:t>
            </w:r>
          </w:p>
        </w:tc>
        <w:tc>
          <w:tcPr>
            <w:tcW w:w="518" w:type="dxa"/>
            <w:tcBorders>
              <w:top w:val="nil"/>
              <w:left w:val="nil"/>
              <w:bottom w:val="nil"/>
              <w:right w:val="nil"/>
            </w:tcBorders>
            <w:shd w:val="clear" w:color="auto" w:fill="auto"/>
            <w:noWrap/>
            <w:vAlign w:val="center"/>
            <w:hideMark/>
          </w:tcPr>
          <w:p w14:paraId="57FC7A5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0BEF6CD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7B2F8E9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6A7EBEF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1B71619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7BA102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80BC09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5E8B28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B14E18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B1D73C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3F0654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86B0F0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E2CEB3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C479A9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203040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58BF351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A64D9C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4A0344A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A6E0F6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B513CC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6967DC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6643E7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EBE43A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435925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63CE50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92A54C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803CC4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44A6B047"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437275B6"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5</w:t>
            </w:r>
          </w:p>
        </w:tc>
        <w:tc>
          <w:tcPr>
            <w:tcW w:w="1257" w:type="dxa"/>
            <w:tcBorders>
              <w:top w:val="nil"/>
              <w:left w:val="nil"/>
              <w:bottom w:val="nil"/>
              <w:right w:val="nil"/>
            </w:tcBorders>
            <w:shd w:val="clear" w:color="auto" w:fill="auto"/>
            <w:noWrap/>
            <w:vAlign w:val="center"/>
            <w:hideMark/>
          </w:tcPr>
          <w:p w14:paraId="191AA2D5" w14:textId="77777777" w:rsidR="00954C29" w:rsidRPr="006F5D71" w:rsidRDefault="00954C29" w:rsidP="00D17530">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 xml:space="preserve">Profitability Leader </w:t>
            </w:r>
          </w:p>
        </w:tc>
        <w:tc>
          <w:tcPr>
            <w:tcW w:w="518" w:type="dxa"/>
            <w:tcBorders>
              <w:top w:val="nil"/>
              <w:left w:val="nil"/>
              <w:bottom w:val="nil"/>
              <w:right w:val="nil"/>
            </w:tcBorders>
            <w:shd w:val="clear" w:color="auto" w:fill="auto"/>
            <w:noWrap/>
            <w:vAlign w:val="center"/>
            <w:hideMark/>
          </w:tcPr>
          <w:p w14:paraId="2DE5857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518" w:type="dxa"/>
            <w:tcBorders>
              <w:top w:val="nil"/>
              <w:left w:val="nil"/>
              <w:bottom w:val="nil"/>
              <w:right w:val="nil"/>
            </w:tcBorders>
            <w:shd w:val="clear" w:color="auto" w:fill="auto"/>
            <w:noWrap/>
            <w:vAlign w:val="center"/>
            <w:hideMark/>
          </w:tcPr>
          <w:p w14:paraId="593D258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19D49D7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518" w:type="dxa"/>
            <w:tcBorders>
              <w:top w:val="nil"/>
              <w:left w:val="nil"/>
              <w:bottom w:val="nil"/>
              <w:right w:val="nil"/>
            </w:tcBorders>
            <w:shd w:val="clear" w:color="auto" w:fill="auto"/>
            <w:noWrap/>
            <w:vAlign w:val="center"/>
            <w:hideMark/>
          </w:tcPr>
          <w:p w14:paraId="0CA951F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-0.12</w:t>
            </w:r>
          </w:p>
        </w:tc>
        <w:tc>
          <w:tcPr>
            <w:tcW w:w="518" w:type="dxa"/>
            <w:tcBorders>
              <w:top w:val="nil"/>
              <w:left w:val="nil"/>
              <w:bottom w:val="nil"/>
              <w:right w:val="nil"/>
            </w:tcBorders>
            <w:shd w:val="clear" w:color="auto" w:fill="auto"/>
            <w:noWrap/>
            <w:vAlign w:val="center"/>
            <w:hideMark/>
          </w:tcPr>
          <w:p w14:paraId="56B96C7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2283940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CD2DF9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0D8277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F6E5C3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7D38F7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A3426D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DC2F92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BDBED2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F25072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A8FEF7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1EE22D4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5EED09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15C5BAC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D9B306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59D67B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29FBD9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538AD2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A57C1E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3B79E9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64C5D4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AA4274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68342C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4FFCA5EF"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49C56CA8"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6</w:t>
            </w:r>
          </w:p>
        </w:tc>
        <w:tc>
          <w:tcPr>
            <w:tcW w:w="1257" w:type="dxa"/>
            <w:tcBorders>
              <w:top w:val="nil"/>
              <w:left w:val="nil"/>
              <w:bottom w:val="nil"/>
              <w:right w:val="nil"/>
            </w:tcBorders>
            <w:shd w:val="clear" w:color="auto" w:fill="auto"/>
            <w:noWrap/>
            <w:vAlign w:val="center"/>
            <w:hideMark/>
          </w:tcPr>
          <w:p w14:paraId="35E65335"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Labor Productivity</w:t>
            </w:r>
          </w:p>
        </w:tc>
        <w:tc>
          <w:tcPr>
            <w:tcW w:w="518" w:type="dxa"/>
            <w:tcBorders>
              <w:top w:val="nil"/>
              <w:left w:val="nil"/>
              <w:bottom w:val="nil"/>
              <w:right w:val="nil"/>
            </w:tcBorders>
            <w:shd w:val="clear" w:color="auto" w:fill="auto"/>
            <w:noWrap/>
            <w:vAlign w:val="center"/>
            <w:hideMark/>
          </w:tcPr>
          <w:p w14:paraId="6012DA7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4E54DD2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486" w:type="dxa"/>
            <w:tcBorders>
              <w:top w:val="nil"/>
              <w:left w:val="nil"/>
              <w:bottom w:val="nil"/>
              <w:right w:val="nil"/>
            </w:tcBorders>
            <w:shd w:val="clear" w:color="auto" w:fill="auto"/>
            <w:noWrap/>
            <w:vAlign w:val="center"/>
            <w:hideMark/>
          </w:tcPr>
          <w:p w14:paraId="28B40E2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1E90063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164A9B1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nil"/>
              <w:right w:val="nil"/>
            </w:tcBorders>
            <w:shd w:val="clear" w:color="auto" w:fill="auto"/>
            <w:noWrap/>
            <w:vAlign w:val="center"/>
            <w:hideMark/>
          </w:tcPr>
          <w:p w14:paraId="472B61B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664FBBE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BE9AA9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E42833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8B030A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A46D9D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B1F29C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5918A2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B6D1CF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3FCBE5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621EF98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958904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35A3EFE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D36366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3D2A31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2C7FC9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D31955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23A900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BB3640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C126A4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98486B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C31725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5ADF0191"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2A76A75B"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7</w:t>
            </w:r>
          </w:p>
        </w:tc>
        <w:tc>
          <w:tcPr>
            <w:tcW w:w="1257" w:type="dxa"/>
            <w:tcBorders>
              <w:top w:val="nil"/>
              <w:left w:val="nil"/>
              <w:bottom w:val="nil"/>
              <w:right w:val="nil"/>
            </w:tcBorders>
            <w:shd w:val="clear" w:color="auto" w:fill="auto"/>
            <w:noWrap/>
            <w:vAlign w:val="center"/>
            <w:hideMark/>
          </w:tcPr>
          <w:p w14:paraId="24FF0642" w14:textId="77777777" w:rsidR="00954C29" w:rsidRPr="006F5D71" w:rsidRDefault="00954C29" w:rsidP="00D17530">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 xml:space="preserve">Labor Productivity Leader </w:t>
            </w:r>
          </w:p>
        </w:tc>
        <w:tc>
          <w:tcPr>
            <w:tcW w:w="518" w:type="dxa"/>
            <w:tcBorders>
              <w:top w:val="nil"/>
              <w:left w:val="nil"/>
              <w:bottom w:val="nil"/>
              <w:right w:val="nil"/>
            </w:tcBorders>
            <w:shd w:val="clear" w:color="auto" w:fill="auto"/>
            <w:noWrap/>
            <w:vAlign w:val="center"/>
            <w:hideMark/>
          </w:tcPr>
          <w:p w14:paraId="669FCE4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1BB9F58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480E080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5D57AEC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518" w:type="dxa"/>
            <w:tcBorders>
              <w:top w:val="nil"/>
              <w:left w:val="nil"/>
              <w:bottom w:val="nil"/>
              <w:right w:val="nil"/>
            </w:tcBorders>
            <w:shd w:val="clear" w:color="auto" w:fill="auto"/>
            <w:noWrap/>
            <w:vAlign w:val="center"/>
            <w:hideMark/>
          </w:tcPr>
          <w:p w14:paraId="07D973F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nil"/>
              <w:right w:val="nil"/>
            </w:tcBorders>
            <w:shd w:val="clear" w:color="auto" w:fill="auto"/>
            <w:noWrap/>
            <w:vAlign w:val="center"/>
            <w:hideMark/>
          </w:tcPr>
          <w:p w14:paraId="3C41C85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2B022C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7A33E0D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345BE8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5AADE7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7264A0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2F21E7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D86CE9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7B01BF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A2CE96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38021F9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483505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7CAD8A3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89D63A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9051D0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437EFE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0FA967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86BBD4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84A444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429798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628434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1A9D1B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6E2CDC54"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384BF856"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8</w:t>
            </w:r>
          </w:p>
        </w:tc>
        <w:tc>
          <w:tcPr>
            <w:tcW w:w="1257" w:type="dxa"/>
            <w:tcBorders>
              <w:top w:val="nil"/>
              <w:left w:val="nil"/>
              <w:bottom w:val="nil"/>
              <w:right w:val="nil"/>
            </w:tcBorders>
            <w:shd w:val="clear" w:color="auto" w:fill="auto"/>
            <w:noWrap/>
            <w:vAlign w:val="center"/>
            <w:hideMark/>
          </w:tcPr>
          <w:p w14:paraId="5582BADB"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Asset Seeking Motive</w:t>
            </w:r>
          </w:p>
        </w:tc>
        <w:tc>
          <w:tcPr>
            <w:tcW w:w="518" w:type="dxa"/>
            <w:tcBorders>
              <w:top w:val="nil"/>
              <w:left w:val="nil"/>
              <w:bottom w:val="nil"/>
              <w:right w:val="nil"/>
            </w:tcBorders>
            <w:shd w:val="clear" w:color="auto" w:fill="auto"/>
            <w:noWrap/>
            <w:vAlign w:val="center"/>
            <w:hideMark/>
          </w:tcPr>
          <w:p w14:paraId="1347459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304495A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522D260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291944B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496D2C3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7C45313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057EB80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6967518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3BB0094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B60C31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A28D1B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B03736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E6F7A0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5AA4F0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1A7184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625C7B3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0EF079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3D03820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A9F18C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486A83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CF1287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AAA442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106889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2B276E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387327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4A6BBF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B85FC4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2133CAEC"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4A0D71DC"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9</w:t>
            </w:r>
          </w:p>
        </w:tc>
        <w:tc>
          <w:tcPr>
            <w:tcW w:w="1257" w:type="dxa"/>
            <w:tcBorders>
              <w:top w:val="nil"/>
              <w:left w:val="nil"/>
              <w:bottom w:val="nil"/>
              <w:right w:val="nil"/>
            </w:tcBorders>
            <w:shd w:val="clear" w:color="auto" w:fill="auto"/>
            <w:noWrap/>
            <w:vAlign w:val="center"/>
            <w:hideMark/>
          </w:tcPr>
          <w:p w14:paraId="00D5DBC5"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Country Risk</w:t>
            </w:r>
          </w:p>
        </w:tc>
        <w:tc>
          <w:tcPr>
            <w:tcW w:w="518" w:type="dxa"/>
            <w:tcBorders>
              <w:top w:val="nil"/>
              <w:left w:val="nil"/>
              <w:bottom w:val="nil"/>
              <w:right w:val="nil"/>
            </w:tcBorders>
            <w:shd w:val="clear" w:color="auto" w:fill="auto"/>
            <w:noWrap/>
            <w:vAlign w:val="center"/>
            <w:hideMark/>
          </w:tcPr>
          <w:p w14:paraId="275CB5B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2AB2DF5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2B2F70C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5607364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6DBA6D7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486" w:type="dxa"/>
            <w:tcBorders>
              <w:top w:val="nil"/>
              <w:left w:val="nil"/>
              <w:bottom w:val="nil"/>
              <w:right w:val="nil"/>
            </w:tcBorders>
            <w:shd w:val="clear" w:color="auto" w:fill="auto"/>
            <w:noWrap/>
            <w:vAlign w:val="center"/>
            <w:hideMark/>
          </w:tcPr>
          <w:p w14:paraId="24074A3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6B64EA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5AF5665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1363FE7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7E269D9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A78425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296862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3A68CD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776172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863277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4EED89B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9CA40D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2F26A43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876B49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CFAB9D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9B7E40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EB42E5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163CB1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C728C9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187696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2E335E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1980CE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56DD784D"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5AFC7169"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10</w:t>
            </w:r>
          </w:p>
        </w:tc>
        <w:tc>
          <w:tcPr>
            <w:tcW w:w="1257" w:type="dxa"/>
            <w:tcBorders>
              <w:top w:val="nil"/>
              <w:left w:val="nil"/>
              <w:bottom w:val="nil"/>
              <w:right w:val="nil"/>
            </w:tcBorders>
            <w:shd w:val="clear" w:color="auto" w:fill="auto"/>
            <w:noWrap/>
            <w:vAlign w:val="center"/>
            <w:hideMark/>
          </w:tcPr>
          <w:p w14:paraId="2197B365"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Institutional Distance</w:t>
            </w:r>
          </w:p>
        </w:tc>
        <w:tc>
          <w:tcPr>
            <w:tcW w:w="518" w:type="dxa"/>
            <w:tcBorders>
              <w:top w:val="nil"/>
              <w:left w:val="nil"/>
              <w:bottom w:val="nil"/>
              <w:right w:val="nil"/>
            </w:tcBorders>
            <w:shd w:val="clear" w:color="auto" w:fill="auto"/>
            <w:noWrap/>
            <w:vAlign w:val="center"/>
            <w:hideMark/>
          </w:tcPr>
          <w:p w14:paraId="53C9F2E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057826C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nil"/>
              <w:right w:val="nil"/>
            </w:tcBorders>
            <w:shd w:val="clear" w:color="auto" w:fill="auto"/>
            <w:noWrap/>
            <w:vAlign w:val="center"/>
            <w:hideMark/>
          </w:tcPr>
          <w:p w14:paraId="6D74E6E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0.13</w:t>
            </w:r>
          </w:p>
        </w:tc>
        <w:tc>
          <w:tcPr>
            <w:tcW w:w="518" w:type="dxa"/>
            <w:tcBorders>
              <w:top w:val="nil"/>
              <w:left w:val="nil"/>
              <w:bottom w:val="nil"/>
              <w:right w:val="nil"/>
            </w:tcBorders>
            <w:shd w:val="clear" w:color="auto" w:fill="auto"/>
            <w:noWrap/>
            <w:vAlign w:val="center"/>
            <w:hideMark/>
          </w:tcPr>
          <w:p w14:paraId="38CC003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053224F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486" w:type="dxa"/>
            <w:tcBorders>
              <w:top w:val="nil"/>
              <w:left w:val="nil"/>
              <w:bottom w:val="nil"/>
              <w:right w:val="nil"/>
            </w:tcBorders>
            <w:shd w:val="clear" w:color="auto" w:fill="auto"/>
            <w:noWrap/>
            <w:vAlign w:val="center"/>
            <w:hideMark/>
          </w:tcPr>
          <w:p w14:paraId="6FC0D46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53A2120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0B9A1B1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320F047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052A6C4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478776C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2E41AC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3E48C3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1E3720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D9AF10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2C1D7C0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22AD96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40E3103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1F313D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54CC62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D5A454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B203B0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E84BED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59A863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41CB23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BEDE2F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027EDE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6029C630"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095CF838"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11</w:t>
            </w:r>
          </w:p>
        </w:tc>
        <w:tc>
          <w:tcPr>
            <w:tcW w:w="1257" w:type="dxa"/>
            <w:tcBorders>
              <w:top w:val="nil"/>
              <w:left w:val="nil"/>
              <w:bottom w:val="nil"/>
              <w:right w:val="nil"/>
            </w:tcBorders>
            <w:shd w:val="clear" w:color="auto" w:fill="auto"/>
            <w:noWrap/>
            <w:vAlign w:val="center"/>
            <w:hideMark/>
          </w:tcPr>
          <w:p w14:paraId="4EAB3271"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Exchange Rate Risk</w:t>
            </w:r>
          </w:p>
        </w:tc>
        <w:tc>
          <w:tcPr>
            <w:tcW w:w="518" w:type="dxa"/>
            <w:tcBorders>
              <w:top w:val="nil"/>
              <w:left w:val="nil"/>
              <w:bottom w:val="nil"/>
              <w:right w:val="nil"/>
            </w:tcBorders>
            <w:shd w:val="clear" w:color="auto" w:fill="auto"/>
            <w:noWrap/>
            <w:vAlign w:val="center"/>
            <w:hideMark/>
          </w:tcPr>
          <w:p w14:paraId="18BAF87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57D99CE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526631C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518" w:type="dxa"/>
            <w:tcBorders>
              <w:top w:val="nil"/>
              <w:left w:val="nil"/>
              <w:bottom w:val="nil"/>
              <w:right w:val="nil"/>
            </w:tcBorders>
            <w:shd w:val="clear" w:color="auto" w:fill="auto"/>
            <w:noWrap/>
            <w:vAlign w:val="center"/>
            <w:hideMark/>
          </w:tcPr>
          <w:p w14:paraId="3591490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21AC982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7555992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6FE18BF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3AC2727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50AF32C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18" w:type="dxa"/>
            <w:tcBorders>
              <w:top w:val="nil"/>
              <w:left w:val="nil"/>
              <w:bottom w:val="nil"/>
              <w:right w:val="nil"/>
            </w:tcBorders>
            <w:shd w:val="clear" w:color="auto" w:fill="auto"/>
            <w:noWrap/>
            <w:vAlign w:val="center"/>
            <w:hideMark/>
          </w:tcPr>
          <w:p w14:paraId="6C3CB2F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518" w:type="dxa"/>
            <w:tcBorders>
              <w:top w:val="nil"/>
              <w:left w:val="nil"/>
              <w:bottom w:val="nil"/>
              <w:right w:val="nil"/>
            </w:tcBorders>
            <w:shd w:val="clear" w:color="auto" w:fill="auto"/>
            <w:noWrap/>
            <w:vAlign w:val="center"/>
            <w:hideMark/>
          </w:tcPr>
          <w:p w14:paraId="6FA9CAE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5FD9C36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02B1FC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16E5CA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1E519D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1D1DC05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967FAD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450F811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ED75D6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726949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E1FB8A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1FCB1C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63D96A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3C88F4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02C989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9E79D6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58D134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603D1D52"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3DA50424"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12</w:t>
            </w:r>
          </w:p>
        </w:tc>
        <w:tc>
          <w:tcPr>
            <w:tcW w:w="1257" w:type="dxa"/>
            <w:tcBorders>
              <w:top w:val="nil"/>
              <w:left w:val="nil"/>
              <w:bottom w:val="nil"/>
              <w:right w:val="nil"/>
            </w:tcBorders>
            <w:shd w:val="clear" w:color="auto" w:fill="auto"/>
            <w:noWrap/>
            <w:vAlign w:val="center"/>
            <w:hideMark/>
          </w:tcPr>
          <w:p w14:paraId="7E9CB7B6"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Production Cost Risk</w:t>
            </w:r>
          </w:p>
        </w:tc>
        <w:tc>
          <w:tcPr>
            <w:tcW w:w="518" w:type="dxa"/>
            <w:tcBorders>
              <w:top w:val="nil"/>
              <w:left w:val="nil"/>
              <w:bottom w:val="nil"/>
              <w:right w:val="nil"/>
            </w:tcBorders>
            <w:shd w:val="clear" w:color="auto" w:fill="auto"/>
            <w:noWrap/>
            <w:vAlign w:val="center"/>
            <w:hideMark/>
          </w:tcPr>
          <w:p w14:paraId="5D40AAC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14E3FF8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09CF1EE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518" w:type="dxa"/>
            <w:tcBorders>
              <w:top w:val="nil"/>
              <w:left w:val="nil"/>
              <w:bottom w:val="nil"/>
              <w:right w:val="nil"/>
            </w:tcBorders>
            <w:shd w:val="clear" w:color="auto" w:fill="auto"/>
            <w:noWrap/>
            <w:vAlign w:val="center"/>
            <w:hideMark/>
          </w:tcPr>
          <w:p w14:paraId="69E198F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0EB586F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486" w:type="dxa"/>
            <w:tcBorders>
              <w:top w:val="nil"/>
              <w:left w:val="nil"/>
              <w:bottom w:val="nil"/>
              <w:right w:val="nil"/>
            </w:tcBorders>
            <w:shd w:val="clear" w:color="auto" w:fill="auto"/>
            <w:noWrap/>
            <w:vAlign w:val="center"/>
            <w:hideMark/>
          </w:tcPr>
          <w:p w14:paraId="650829D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0539209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7BA3859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4B48B1B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3ED5CA3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2ABB5D9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71018FB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63F34BF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7B6904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1C9170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1A856CB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BA7938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36D368A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761A00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7445D6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4C0B2E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F9C2A5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512724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FB6D9B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4CA5B9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228156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6CA0C0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5CE5810B"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239AC163"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13</w:t>
            </w:r>
          </w:p>
        </w:tc>
        <w:tc>
          <w:tcPr>
            <w:tcW w:w="1257" w:type="dxa"/>
            <w:tcBorders>
              <w:top w:val="nil"/>
              <w:left w:val="nil"/>
              <w:bottom w:val="nil"/>
              <w:right w:val="nil"/>
            </w:tcBorders>
            <w:shd w:val="clear" w:color="auto" w:fill="auto"/>
            <w:noWrap/>
            <w:vAlign w:val="center"/>
            <w:hideMark/>
          </w:tcPr>
          <w:p w14:paraId="02F9AA57"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Demand Risk</w:t>
            </w:r>
          </w:p>
        </w:tc>
        <w:tc>
          <w:tcPr>
            <w:tcW w:w="518" w:type="dxa"/>
            <w:tcBorders>
              <w:top w:val="nil"/>
              <w:left w:val="nil"/>
              <w:bottom w:val="nil"/>
              <w:right w:val="nil"/>
            </w:tcBorders>
            <w:shd w:val="clear" w:color="auto" w:fill="auto"/>
            <w:noWrap/>
            <w:vAlign w:val="center"/>
            <w:hideMark/>
          </w:tcPr>
          <w:p w14:paraId="3F08880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5562AE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15B9255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7ADADF6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39BA9B3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46E04FA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265BF9D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318C1D2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6746FA3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-0.19</w:t>
            </w:r>
          </w:p>
        </w:tc>
        <w:tc>
          <w:tcPr>
            <w:tcW w:w="518" w:type="dxa"/>
            <w:tcBorders>
              <w:top w:val="nil"/>
              <w:left w:val="nil"/>
              <w:bottom w:val="nil"/>
              <w:right w:val="nil"/>
            </w:tcBorders>
            <w:shd w:val="clear" w:color="auto" w:fill="auto"/>
            <w:noWrap/>
            <w:vAlign w:val="center"/>
            <w:hideMark/>
          </w:tcPr>
          <w:p w14:paraId="28F91D4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518" w:type="dxa"/>
            <w:tcBorders>
              <w:top w:val="nil"/>
              <w:left w:val="nil"/>
              <w:bottom w:val="nil"/>
              <w:right w:val="nil"/>
            </w:tcBorders>
            <w:shd w:val="clear" w:color="auto" w:fill="auto"/>
            <w:noWrap/>
            <w:vAlign w:val="center"/>
            <w:hideMark/>
          </w:tcPr>
          <w:p w14:paraId="77E4900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-0.14</w:t>
            </w:r>
          </w:p>
        </w:tc>
        <w:tc>
          <w:tcPr>
            <w:tcW w:w="486" w:type="dxa"/>
            <w:tcBorders>
              <w:top w:val="nil"/>
              <w:left w:val="nil"/>
              <w:bottom w:val="nil"/>
              <w:right w:val="nil"/>
            </w:tcBorders>
            <w:shd w:val="clear" w:color="auto" w:fill="auto"/>
            <w:noWrap/>
            <w:vAlign w:val="center"/>
            <w:hideMark/>
          </w:tcPr>
          <w:p w14:paraId="1675F34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518" w:type="dxa"/>
            <w:tcBorders>
              <w:top w:val="nil"/>
              <w:left w:val="nil"/>
              <w:bottom w:val="nil"/>
              <w:right w:val="nil"/>
            </w:tcBorders>
            <w:shd w:val="clear" w:color="auto" w:fill="auto"/>
            <w:noWrap/>
            <w:vAlign w:val="center"/>
            <w:hideMark/>
          </w:tcPr>
          <w:p w14:paraId="4601933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4579DBA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EEC8FB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0452A84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20EF0E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423DB05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3A266A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848C9D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B75222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7AB866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A5040F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3D9F16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B0E6E1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3A2E76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B948CA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1107DA31"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6B9465AD"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14</w:t>
            </w:r>
          </w:p>
        </w:tc>
        <w:tc>
          <w:tcPr>
            <w:tcW w:w="1257" w:type="dxa"/>
            <w:tcBorders>
              <w:top w:val="nil"/>
              <w:left w:val="nil"/>
              <w:bottom w:val="nil"/>
              <w:right w:val="nil"/>
            </w:tcBorders>
            <w:shd w:val="clear" w:color="auto" w:fill="auto"/>
            <w:noWrap/>
            <w:vAlign w:val="center"/>
            <w:hideMark/>
          </w:tcPr>
          <w:p w14:paraId="370D8028"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Financial Crisis</w:t>
            </w:r>
          </w:p>
        </w:tc>
        <w:tc>
          <w:tcPr>
            <w:tcW w:w="518" w:type="dxa"/>
            <w:tcBorders>
              <w:top w:val="nil"/>
              <w:left w:val="nil"/>
              <w:bottom w:val="nil"/>
              <w:right w:val="nil"/>
            </w:tcBorders>
            <w:shd w:val="clear" w:color="auto" w:fill="auto"/>
            <w:noWrap/>
            <w:vAlign w:val="center"/>
            <w:hideMark/>
          </w:tcPr>
          <w:p w14:paraId="1BFA3DF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518" w:type="dxa"/>
            <w:tcBorders>
              <w:top w:val="nil"/>
              <w:left w:val="nil"/>
              <w:bottom w:val="nil"/>
              <w:right w:val="nil"/>
            </w:tcBorders>
            <w:shd w:val="clear" w:color="auto" w:fill="auto"/>
            <w:noWrap/>
            <w:vAlign w:val="center"/>
            <w:hideMark/>
          </w:tcPr>
          <w:p w14:paraId="6A2933B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49B178F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3879E61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377C8B5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3FFB89E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2FE5A32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17B0F94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7B57875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67EFBBB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730154C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151EA62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53D8AE7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3AAAAB1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4072FF6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16BCEF0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92ACCD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2A0214A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CDF006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21EDF3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566D1A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485806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09C020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C07989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A76D4D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BCF339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6FADD4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07B2FBBA"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754A44C4"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15</w:t>
            </w:r>
          </w:p>
        </w:tc>
        <w:tc>
          <w:tcPr>
            <w:tcW w:w="1257" w:type="dxa"/>
            <w:tcBorders>
              <w:top w:val="nil"/>
              <w:left w:val="nil"/>
              <w:bottom w:val="nil"/>
              <w:right w:val="nil"/>
            </w:tcBorders>
            <w:shd w:val="clear" w:color="auto" w:fill="auto"/>
            <w:noWrap/>
            <w:vAlign w:val="center"/>
            <w:hideMark/>
          </w:tcPr>
          <w:p w14:paraId="3D3D1188"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Home Country Diaspora</w:t>
            </w:r>
          </w:p>
        </w:tc>
        <w:tc>
          <w:tcPr>
            <w:tcW w:w="518" w:type="dxa"/>
            <w:tcBorders>
              <w:top w:val="nil"/>
              <w:left w:val="nil"/>
              <w:bottom w:val="nil"/>
              <w:right w:val="nil"/>
            </w:tcBorders>
            <w:shd w:val="clear" w:color="auto" w:fill="auto"/>
            <w:noWrap/>
            <w:vAlign w:val="center"/>
            <w:hideMark/>
          </w:tcPr>
          <w:p w14:paraId="6AD671D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3FD9FA0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nil"/>
              <w:right w:val="nil"/>
            </w:tcBorders>
            <w:shd w:val="clear" w:color="auto" w:fill="auto"/>
            <w:noWrap/>
            <w:vAlign w:val="center"/>
            <w:hideMark/>
          </w:tcPr>
          <w:p w14:paraId="2858DB7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73E9568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59A9462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4DF4CFD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43D608C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051B917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0DA732A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6250118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34BC68F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3B13A32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7B67A7D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529F1A0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3CB5810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22" w:type="dxa"/>
            <w:tcBorders>
              <w:top w:val="nil"/>
              <w:left w:val="nil"/>
              <w:bottom w:val="nil"/>
              <w:right w:val="nil"/>
            </w:tcBorders>
            <w:shd w:val="clear" w:color="auto" w:fill="auto"/>
            <w:noWrap/>
            <w:vAlign w:val="center"/>
            <w:hideMark/>
          </w:tcPr>
          <w:p w14:paraId="1A242CF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8DD820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64D31EC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2500A5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3AA5E5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9F2E1B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5C8F6D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9B2E1D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E8EA40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136D5B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FB0AF9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84DB20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21E817E3"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786FD1DA"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16</w:t>
            </w:r>
          </w:p>
        </w:tc>
        <w:tc>
          <w:tcPr>
            <w:tcW w:w="1257" w:type="dxa"/>
            <w:tcBorders>
              <w:top w:val="nil"/>
              <w:left w:val="nil"/>
              <w:bottom w:val="nil"/>
              <w:right w:val="nil"/>
            </w:tcBorders>
            <w:shd w:val="clear" w:color="auto" w:fill="auto"/>
            <w:noWrap/>
            <w:vAlign w:val="center"/>
            <w:hideMark/>
          </w:tcPr>
          <w:p w14:paraId="74D29CBE"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Parent Experience in American Region</w:t>
            </w:r>
          </w:p>
        </w:tc>
        <w:tc>
          <w:tcPr>
            <w:tcW w:w="518" w:type="dxa"/>
            <w:tcBorders>
              <w:top w:val="nil"/>
              <w:left w:val="nil"/>
              <w:bottom w:val="nil"/>
              <w:right w:val="nil"/>
            </w:tcBorders>
            <w:shd w:val="clear" w:color="auto" w:fill="auto"/>
            <w:noWrap/>
            <w:vAlign w:val="center"/>
            <w:hideMark/>
          </w:tcPr>
          <w:p w14:paraId="4ED40B4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518" w:type="dxa"/>
            <w:tcBorders>
              <w:top w:val="nil"/>
              <w:left w:val="nil"/>
              <w:bottom w:val="nil"/>
              <w:right w:val="nil"/>
            </w:tcBorders>
            <w:shd w:val="clear" w:color="auto" w:fill="auto"/>
            <w:noWrap/>
            <w:vAlign w:val="center"/>
            <w:hideMark/>
          </w:tcPr>
          <w:p w14:paraId="37C2609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36FF5B1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7D57497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518" w:type="dxa"/>
            <w:tcBorders>
              <w:top w:val="nil"/>
              <w:left w:val="nil"/>
              <w:bottom w:val="nil"/>
              <w:right w:val="nil"/>
            </w:tcBorders>
            <w:shd w:val="clear" w:color="auto" w:fill="auto"/>
            <w:noWrap/>
            <w:vAlign w:val="center"/>
            <w:hideMark/>
          </w:tcPr>
          <w:p w14:paraId="18AA439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486" w:type="dxa"/>
            <w:tcBorders>
              <w:top w:val="nil"/>
              <w:left w:val="nil"/>
              <w:bottom w:val="nil"/>
              <w:right w:val="nil"/>
            </w:tcBorders>
            <w:shd w:val="clear" w:color="auto" w:fill="auto"/>
            <w:noWrap/>
            <w:vAlign w:val="center"/>
            <w:hideMark/>
          </w:tcPr>
          <w:p w14:paraId="56EF6D9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3A4C181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1445FDB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486" w:type="dxa"/>
            <w:tcBorders>
              <w:top w:val="nil"/>
              <w:left w:val="nil"/>
              <w:bottom w:val="nil"/>
              <w:right w:val="nil"/>
            </w:tcBorders>
            <w:shd w:val="clear" w:color="auto" w:fill="auto"/>
            <w:noWrap/>
            <w:vAlign w:val="center"/>
            <w:hideMark/>
          </w:tcPr>
          <w:p w14:paraId="5C22D52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518" w:type="dxa"/>
            <w:tcBorders>
              <w:top w:val="nil"/>
              <w:left w:val="nil"/>
              <w:bottom w:val="nil"/>
              <w:right w:val="nil"/>
            </w:tcBorders>
            <w:shd w:val="clear" w:color="auto" w:fill="auto"/>
            <w:noWrap/>
            <w:vAlign w:val="center"/>
            <w:hideMark/>
          </w:tcPr>
          <w:p w14:paraId="3F592A0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5AAEA3C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486" w:type="dxa"/>
            <w:tcBorders>
              <w:top w:val="nil"/>
              <w:left w:val="nil"/>
              <w:bottom w:val="nil"/>
              <w:right w:val="nil"/>
            </w:tcBorders>
            <w:shd w:val="clear" w:color="auto" w:fill="auto"/>
            <w:noWrap/>
            <w:vAlign w:val="center"/>
            <w:hideMark/>
          </w:tcPr>
          <w:p w14:paraId="78CE544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518" w:type="dxa"/>
            <w:tcBorders>
              <w:top w:val="nil"/>
              <w:left w:val="nil"/>
              <w:bottom w:val="nil"/>
              <w:right w:val="nil"/>
            </w:tcBorders>
            <w:shd w:val="clear" w:color="auto" w:fill="auto"/>
            <w:noWrap/>
            <w:vAlign w:val="center"/>
            <w:hideMark/>
          </w:tcPr>
          <w:p w14:paraId="1E83DDB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3DE937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4CCC4D7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22" w:type="dxa"/>
            <w:tcBorders>
              <w:top w:val="nil"/>
              <w:left w:val="nil"/>
              <w:bottom w:val="nil"/>
              <w:right w:val="nil"/>
            </w:tcBorders>
            <w:shd w:val="clear" w:color="auto" w:fill="auto"/>
            <w:noWrap/>
            <w:vAlign w:val="center"/>
            <w:hideMark/>
          </w:tcPr>
          <w:p w14:paraId="54C3C2A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750ED83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55893FC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D61472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7F39F6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836EC0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E0A094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21209B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90B51B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24A1DE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06A645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C98184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6BBBD686"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5FE92D04"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17</w:t>
            </w:r>
          </w:p>
        </w:tc>
        <w:tc>
          <w:tcPr>
            <w:tcW w:w="1257" w:type="dxa"/>
            <w:tcBorders>
              <w:top w:val="nil"/>
              <w:left w:val="nil"/>
              <w:bottom w:val="nil"/>
              <w:right w:val="nil"/>
            </w:tcBorders>
            <w:shd w:val="clear" w:color="auto" w:fill="auto"/>
            <w:noWrap/>
            <w:vAlign w:val="center"/>
            <w:hideMark/>
          </w:tcPr>
          <w:p w14:paraId="0F70CC38"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Parent Experience in European Region</w:t>
            </w:r>
          </w:p>
        </w:tc>
        <w:tc>
          <w:tcPr>
            <w:tcW w:w="518" w:type="dxa"/>
            <w:tcBorders>
              <w:top w:val="nil"/>
              <w:left w:val="nil"/>
              <w:bottom w:val="nil"/>
              <w:right w:val="nil"/>
            </w:tcBorders>
            <w:shd w:val="clear" w:color="auto" w:fill="auto"/>
            <w:noWrap/>
            <w:vAlign w:val="center"/>
            <w:hideMark/>
          </w:tcPr>
          <w:p w14:paraId="75574B0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30E6E8D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258080D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DDC6D8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1C63E78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3FB62B6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518" w:type="dxa"/>
            <w:tcBorders>
              <w:top w:val="nil"/>
              <w:left w:val="nil"/>
              <w:bottom w:val="nil"/>
              <w:right w:val="nil"/>
            </w:tcBorders>
            <w:shd w:val="clear" w:color="auto" w:fill="auto"/>
            <w:noWrap/>
            <w:vAlign w:val="center"/>
            <w:hideMark/>
          </w:tcPr>
          <w:p w14:paraId="4AAC67A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518" w:type="dxa"/>
            <w:tcBorders>
              <w:top w:val="nil"/>
              <w:left w:val="nil"/>
              <w:bottom w:val="nil"/>
              <w:right w:val="nil"/>
            </w:tcBorders>
            <w:shd w:val="clear" w:color="auto" w:fill="auto"/>
            <w:noWrap/>
            <w:vAlign w:val="center"/>
            <w:hideMark/>
          </w:tcPr>
          <w:p w14:paraId="5310A1C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401BD0D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0626ED9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1E75A9E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2302BF0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3B685D4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2DCEEA1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75F7863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-0.12</w:t>
            </w:r>
          </w:p>
        </w:tc>
        <w:tc>
          <w:tcPr>
            <w:tcW w:w="522" w:type="dxa"/>
            <w:tcBorders>
              <w:top w:val="nil"/>
              <w:left w:val="nil"/>
              <w:bottom w:val="nil"/>
              <w:right w:val="nil"/>
            </w:tcBorders>
            <w:shd w:val="clear" w:color="auto" w:fill="auto"/>
            <w:noWrap/>
            <w:vAlign w:val="center"/>
            <w:hideMark/>
          </w:tcPr>
          <w:p w14:paraId="33E5C51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10C7428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26" w:type="dxa"/>
            <w:tcBorders>
              <w:top w:val="nil"/>
              <w:left w:val="nil"/>
              <w:bottom w:val="nil"/>
              <w:right w:val="nil"/>
            </w:tcBorders>
            <w:shd w:val="clear" w:color="auto" w:fill="auto"/>
            <w:noWrap/>
            <w:vAlign w:val="center"/>
            <w:hideMark/>
          </w:tcPr>
          <w:p w14:paraId="474EE9F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9735F4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A1C2FB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65F6D6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5F4CDC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B8812F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E4C008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4BDAF8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C03E8D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D088AA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08130FE4"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2021B2D1"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18</w:t>
            </w:r>
          </w:p>
        </w:tc>
        <w:tc>
          <w:tcPr>
            <w:tcW w:w="1257" w:type="dxa"/>
            <w:tcBorders>
              <w:top w:val="nil"/>
              <w:left w:val="nil"/>
              <w:bottom w:val="nil"/>
              <w:right w:val="nil"/>
            </w:tcBorders>
            <w:shd w:val="clear" w:color="auto" w:fill="auto"/>
            <w:noWrap/>
            <w:vAlign w:val="center"/>
            <w:hideMark/>
          </w:tcPr>
          <w:p w14:paraId="47D5B133"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Sunk Cost</w:t>
            </w:r>
          </w:p>
        </w:tc>
        <w:tc>
          <w:tcPr>
            <w:tcW w:w="518" w:type="dxa"/>
            <w:tcBorders>
              <w:top w:val="nil"/>
              <w:left w:val="nil"/>
              <w:bottom w:val="nil"/>
              <w:right w:val="nil"/>
            </w:tcBorders>
            <w:shd w:val="clear" w:color="auto" w:fill="auto"/>
            <w:noWrap/>
            <w:vAlign w:val="center"/>
            <w:hideMark/>
          </w:tcPr>
          <w:p w14:paraId="6BFBD0F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368D3D1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nil"/>
              <w:right w:val="nil"/>
            </w:tcBorders>
            <w:shd w:val="clear" w:color="auto" w:fill="auto"/>
            <w:noWrap/>
            <w:vAlign w:val="center"/>
            <w:hideMark/>
          </w:tcPr>
          <w:p w14:paraId="636EA58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26D2038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61DDAB0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486" w:type="dxa"/>
            <w:tcBorders>
              <w:top w:val="nil"/>
              <w:left w:val="nil"/>
              <w:bottom w:val="nil"/>
              <w:right w:val="nil"/>
            </w:tcBorders>
            <w:shd w:val="clear" w:color="auto" w:fill="auto"/>
            <w:noWrap/>
            <w:vAlign w:val="center"/>
            <w:hideMark/>
          </w:tcPr>
          <w:p w14:paraId="0FF62D3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7231676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6C57CA4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7EF70D8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66CF063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2F2EC79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30ABFAF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50C7D36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518" w:type="dxa"/>
            <w:tcBorders>
              <w:top w:val="nil"/>
              <w:left w:val="nil"/>
              <w:bottom w:val="nil"/>
              <w:right w:val="nil"/>
            </w:tcBorders>
            <w:shd w:val="clear" w:color="auto" w:fill="auto"/>
            <w:noWrap/>
            <w:vAlign w:val="center"/>
            <w:hideMark/>
          </w:tcPr>
          <w:p w14:paraId="1D0547E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6EA3E83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22" w:type="dxa"/>
            <w:tcBorders>
              <w:top w:val="nil"/>
              <w:left w:val="nil"/>
              <w:bottom w:val="nil"/>
              <w:right w:val="nil"/>
            </w:tcBorders>
            <w:shd w:val="clear" w:color="auto" w:fill="auto"/>
            <w:noWrap/>
            <w:vAlign w:val="center"/>
            <w:hideMark/>
          </w:tcPr>
          <w:p w14:paraId="21117A6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3690856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26" w:type="dxa"/>
            <w:tcBorders>
              <w:top w:val="nil"/>
              <w:left w:val="nil"/>
              <w:bottom w:val="nil"/>
              <w:right w:val="nil"/>
            </w:tcBorders>
            <w:shd w:val="clear" w:color="auto" w:fill="auto"/>
            <w:noWrap/>
            <w:vAlign w:val="center"/>
            <w:hideMark/>
          </w:tcPr>
          <w:p w14:paraId="615B643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0A1F6B1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25D240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A3C215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FD8101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EEE74E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D07E2C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294388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B4A328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881D69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548E4EED"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5E5562E9"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19</w:t>
            </w:r>
          </w:p>
        </w:tc>
        <w:tc>
          <w:tcPr>
            <w:tcW w:w="1257" w:type="dxa"/>
            <w:tcBorders>
              <w:top w:val="nil"/>
              <w:left w:val="nil"/>
              <w:bottom w:val="nil"/>
              <w:right w:val="nil"/>
            </w:tcBorders>
            <w:shd w:val="clear" w:color="auto" w:fill="auto"/>
            <w:noWrap/>
            <w:vAlign w:val="center"/>
            <w:hideMark/>
          </w:tcPr>
          <w:p w14:paraId="0CC0709F"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ROA</w:t>
            </w:r>
          </w:p>
        </w:tc>
        <w:tc>
          <w:tcPr>
            <w:tcW w:w="518" w:type="dxa"/>
            <w:tcBorders>
              <w:top w:val="nil"/>
              <w:left w:val="nil"/>
              <w:bottom w:val="nil"/>
              <w:right w:val="nil"/>
            </w:tcBorders>
            <w:shd w:val="clear" w:color="auto" w:fill="auto"/>
            <w:noWrap/>
            <w:vAlign w:val="center"/>
            <w:hideMark/>
          </w:tcPr>
          <w:p w14:paraId="4DAD2D6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07B461C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486" w:type="dxa"/>
            <w:tcBorders>
              <w:top w:val="nil"/>
              <w:left w:val="nil"/>
              <w:bottom w:val="nil"/>
              <w:right w:val="nil"/>
            </w:tcBorders>
            <w:shd w:val="clear" w:color="auto" w:fill="auto"/>
            <w:noWrap/>
            <w:vAlign w:val="center"/>
            <w:hideMark/>
          </w:tcPr>
          <w:p w14:paraId="2E17C51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60F0ED3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15C9BD2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0.19</w:t>
            </w:r>
          </w:p>
        </w:tc>
        <w:tc>
          <w:tcPr>
            <w:tcW w:w="486" w:type="dxa"/>
            <w:tcBorders>
              <w:top w:val="nil"/>
              <w:left w:val="nil"/>
              <w:bottom w:val="nil"/>
              <w:right w:val="nil"/>
            </w:tcBorders>
            <w:shd w:val="clear" w:color="auto" w:fill="auto"/>
            <w:noWrap/>
            <w:vAlign w:val="center"/>
            <w:hideMark/>
          </w:tcPr>
          <w:p w14:paraId="776AA7B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51B1A8F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27AC0BA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0E47220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59F0B6F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02A7EE7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7F73D85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1A3F79A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518" w:type="dxa"/>
            <w:tcBorders>
              <w:top w:val="nil"/>
              <w:left w:val="nil"/>
              <w:bottom w:val="nil"/>
              <w:right w:val="nil"/>
            </w:tcBorders>
            <w:shd w:val="clear" w:color="auto" w:fill="auto"/>
            <w:noWrap/>
            <w:vAlign w:val="center"/>
            <w:hideMark/>
          </w:tcPr>
          <w:p w14:paraId="102A790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48728D7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22" w:type="dxa"/>
            <w:tcBorders>
              <w:top w:val="nil"/>
              <w:left w:val="nil"/>
              <w:bottom w:val="nil"/>
              <w:right w:val="nil"/>
            </w:tcBorders>
            <w:shd w:val="clear" w:color="auto" w:fill="auto"/>
            <w:noWrap/>
            <w:vAlign w:val="center"/>
            <w:hideMark/>
          </w:tcPr>
          <w:p w14:paraId="6DAABCD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4A1C5CE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0.13</w:t>
            </w:r>
          </w:p>
        </w:tc>
        <w:tc>
          <w:tcPr>
            <w:tcW w:w="526" w:type="dxa"/>
            <w:tcBorders>
              <w:top w:val="nil"/>
              <w:left w:val="nil"/>
              <w:bottom w:val="nil"/>
              <w:right w:val="nil"/>
            </w:tcBorders>
            <w:shd w:val="clear" w:color="auto" w:fill="auto"/>
            <w:noWrap/>
            <w:vAlign w:val="center"/>
            <w:hideMark/>
          </w:tcPr>
          <w:p w14:paraId="3D25C6A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6D42538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248C172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D5FE47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2CB974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777123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E020A1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F49ECD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210082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C160A1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6BB66910"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7276BEE0"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20</w:t>
            </w:r>
          </w:p>
        </w:tc>
        <w:tc>
          <w:tcPr>
            <w:tcW w:w="1257" w:type="dxa"/>
            <w:tcBorders>
              <w:top w:val="nil"/>
              <w:left w:val="nil"/>
              <w:bottom w:val="nil"/>
              <w:right w:val="nil"/>
            </w:tcBorders>
            <w:shd w:val="clear" w:color="auto" w:fill="auto"/>
            <w:noWrap/>
            <w:vAlign w:val="center"/>
            <w:hideMark/>
          </w:tcPr>
          <w:p w14:paraId="50857CFA"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Equity Ownership</w:t>
            </w:r>
          </w:p>
        </w:tc>
        <w:tc>
          <w:tcPr>
            <w:tcW w:w="518" w:type="dxa"/>
            <w:tcBorders>
              <w:top w:val="nil"/>
              <w:left w:val="nil"/>
              <w:bottom w:val="nil"/>
              <w:right w:val="nil"/>
            </w:tcBorders>
            <w:shd w:val="clear" w:color="auto" w:fill="auto"/>
            <w:noWrap/>
            <w:vAlign w:val="center"/>
            <w:hideMark/>
          </w:tcPr>
          <w:p w14:paraId="2C18685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518" w:type="dxa"/>
            <w:tcBorders>
              <w:top w:val="nil"/>
              <w:left w:val="nil"/>
              <w:bottom w:val="nil"/>
              <w:right w:val="nil"/>
            </w:tcBorders>
            <w:shd w:val="clear" w:color="auto" w:fill="auto"/>
            <w:noWrap/>
            <w:vAlign w:val="center"/>
            <w:hideMark/>
          </w:tcPr>
          <w:p w14:paraId="3F67FCE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486" w:type="dxa"/>
            <w:tcBorders>
              <w:top w:val="nil"/>
              <w:left w:val="nil"/>
              <w:bottom w:val="nil"/>
              <w:right w:val="nil"/>
            </w:tcBorders>
            <w:shd w:val="clear" w:color="auto" w:fill="auto"/>
            <w:noWrap/>
            <w:vAlign w:val="center"/>
            <w:hideMark/>
          </w:tcPr>
          <w:p w14:paraId="135D998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08D6F28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518" w:type="dxa"/>
            <w:tcBorders>
              <w:top w:val="nil"/>
              <w:left w:val="nil"/>
              <w:bottom w:val="nil"/>
              <w:right w:val="nil"/>
            </w:tcBorders>
            <w:shd w:val="clear" w:color="auto" w:fill="auto"/>
            <w:noWrap/>
            <w:vAlign w:val="center"/>
            <w:hideMark/>
          </w:tcPr>
          <w:p w14:paraId="3923313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16249ED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15EF7CD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1F954E4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486" w:type="dxa"/>
            <w:tcBorders>
              <w:top w:val="nil"/>
              <w:left w:val="nil"/>
              <w:bottom w:val="nil"/>
              <w:right w:val="nil"/>
            </w:tcBorders>
            <w:shd w:val="clear" w:color="auto" w:fill="auto"/>
            <w:noWrap/>
            <w:vAlign w:val="center"/>
            <w:hideMark/>
          </w:tcPr>
          <w:p w14:paraId="3DE8AB2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21FB855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4937F41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029CC04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5288F8B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6BB9B88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4EE816A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22" w:type="dxa"/>
            <w:tcBorders>
              <w:top w:val="nil"/>
              <w:left w:val="nil"/>
              <w:bottom w:val="nil"/>
              <w:right w:val="nil"/>
            </w:tcBorders>
            <w:shd w:val="clear" w:color="auto" w:fill="auto"/>
            <w:noWrap/>
            <w:vAlign w:val="center"/>
            <w:hideMark/>
          </w:tcPr>
          <w:p w14:paraId="38BA3D8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5BD6CEE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526" w:type="dxa"/>
            <w:tcBorders>
              <w:top w:val="nil"/>
              <w:left w:val="nil"/>
              <w:bottom w:val="nil"/>
              <w:right w:val="nil"/>
            </w:tcBorders>
            <w:shd w:val="clear" w:color="auto" w:fill="auto"/>
            <w:noWrap/>
            <w:vAlign w:val="center"/>
            <w:hideMark/>
          </w:tcPr>
          <w:p w14:paraId="5ACCB84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7AC7653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518" w:type="dxa"/>
            <w:tcBorders>
              <w:top w:val="nil"/>
              <w:left w:val="nil"/>
              <w:bottom w:val="nil"/>
              <w:right w:val="nil"/>
            </w:tcBorders>
            <w:shd w:val="clear" w:color="auto" w:fill="auto"/>
            <w:noWrap/>
            <w:vAlign w:val="center"/>
            <w:hideMark/>
          </w:tcPr>
          <w:p w14:paraId="4E8404B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39B5D0C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F1806A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7C4787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74DEC0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364CC5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D0012D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6E0089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08711046"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4FE96D58"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21</w:t>
            </w:r>
          </w:p>
        </w:tc>
        <w:tc>
          <w:tcPr>
            <w:tcW w:w="1257" w:type="dxa"/>
            <w:tcBorders>
              <w:top w:val="nil"/>
              <w:left w:val="nil"/>
              <w:bottom w:val="nil"/>
              <w:right w:val="nil"/>
            </w:tcBorders>
            <w:shd w:val="clear" w:color="auto" w:fill="auto"/>
            <w:noWrap/>
            <w:vAlign w:val="center"/>
            <w:hideMark/>
          </w:tcPr>
          <w:p w14:paraId="49149D6A"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Parent Size</w:t>
            </w:r>
          </w:p>
        </w:tc>
        <w:tc>
          <w:tcPr>
            <w:tcW w:w="518" w:type="dxa"/>
            <w:tcBorders>
              <w:top w:val="nil"/>
              <w:left w:val="nil"/>
              <w:bottom w:val="nil"/>
              <w:right w:val="nil"/>
            </w:tcBorders>
            <w:shd w:val="clear" w:color="auto" w:fill="auto"/>
            <w:noWrap/>
            <w:vAlign w:val="center"/>
            <w:hideMark/>
          </w:tcPr>
          <w:p w14:paraId="36E7BA2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-0.12</w:t>
            </w:r>
          </w:p>
        </w:tc>
        <w:tc>
          <w:tcPr>
            <w:tcW w:w="518" w:type="dxa"/>
            <w:tcBorders>
              <w:top w:val="nil"/>
              <w:left w:val="nil"/>
              <w:bottom w:val="nil"/>
              <w:right w:val="nil"/>
            </w:tcBorders>
            <w:shd w:val="clear" w:color="auto" w:fill="auto"/>
            <w:noWrap/>
            <w:vAlign w:val="center"/>
            <w:hideMark/>
          </w:tcPr>
          <w:p w14:paraId="72DE6C4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59EC930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63D1F02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518" w:type="dxa"/>
            <w:tcBorders>
              <w:top w:val="nil"/>
              <w:left w:val="nil"/>
              <w:bottom w:val="nil"/>
              <w:right w:val="nil"/>
            </w:tcBorders>
            <w:shd w:val="clear" w:color="auto" w:fill="auto"/>
            <w:noWrap/>
            <w:vAlign w:val="center"/>
            <w:hideMark/>
          </w:tcPr>
          <w:p w14:paraId="07F5E16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0.12</w:t>
            </w:r>
          </w:p>
        </w:tc>
        <w:tc>
          <w:tcPr>
            <w:tcW w:w="486" w:type="dxa"/>
            <w:tcBorders>
              <w:top w:val="nil"/>
              <w:left w:val="nil"/>
              <w:bottom w:val="nil"/>
              <w:right w:val="nil"/>
            </w:tcBorders>
            <w:shd w:val="clear" w:color="auto" w:fill="auto"/>
            <w:noWrap/>
            <w:vAlign w:val="center"/>
            <w:hideMark/>
          </w:tcPr>
          <w:p w14:paraId="7ED4135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28F6C6E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1E3A2F2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486" w:type="dxa"/>
            <w:tcBorders>
              <w:top w:val="nil"/>
              <w:left w:val="nil"/>
              <w:bottom w:val="nil"/>
              <w:right w:val="nil"/>
            </w:tcBorders>
            <w:shd w:val="clear" w:color="auto" w:fill="auto"/>
            <w:noWrap/>
            <w:vAlign w:val="center"/>
            <w:hideMark/>
          </w:tcPr>
          <w:p w14:paraId="3930398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0A1B864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5CFBE96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4736CFF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1CD4261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11C7376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22A415A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22" w:type="dxa"/>
            <w:tcBorders>
              <w:top w:val="nil"/>
              <w:left w:val="nil"/>
              <w:bottom w:val="nil"/>
              <w:right w:val="nil"/>
            </w:tcBorders>
            <w:shd w:val="clear" w:color="auto" w:fill="auto"/>
            <w:noWrap/>
            <w:vAlign w:val="center"/>
            <w:hideMark/>
          </w:tcPr>
          <w:p w14:paraId="0BDE540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6B49324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0.13</w:t>
            </w:r>
          </w:p>
        </w:tc>
        <w:tc>
          <w:tcPr>
            <w:tcW w:w="526" w:type="dxa"/>
            <w:tcBorders>
              <w:top w:val="nil"/>
              <w:left w:val="nil"/>
              <w:bottom w:val="nil"/>
              <w:right w:val="nil"/>
            </w:tcBorders>
            <w:shd w:val="clear" w:color="auto" w:fill="auto"/>
            <w:noWrap/>
            <w:vAlign w:val="center"/>
            <w:hideMark/>
          </w:tcPr>
          <w:p w14:paraId="721BBDE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2D51A34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2FF1E2F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486" w:type="dxa"/>
            <w:tcBorders>
              <w:top w:val="nil"/>
              <w:left w:val="nil"/>
              <w:bottom w:val="nil"/>
              <w:right w:val="nil"/>
            </w:tcBorders>
            <w:shd w:val="clear" w:color="auto" w:fill="auto"/>
            <w:noWrap/>
            <w:vAlign w:val="center"/>
            <w:hideMark/>
          </w:tcPr>
          <w:p w14:paraId="6D9BEC9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11D09A8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AC3F02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9E0BED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E07150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0BF7BB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CFA468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6F501275"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748A15BC"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lastRenderedPageBreak/>
              <w:t>22</w:t>
            </w:r>
          </w:p>
        </w:tc>
        <w:tc>
          <w:tcPr>
            <w:tcW w:w="1257" w:type="dxa"/>
            <w:tcBorders>
              <w:top w:val="nil"/>
              <w:left w:val="nil"/>
              <w:bottom w:val="nil"/>
              <w:right w:val="nil"/>
            </w:tcBorders>
            <w:shd w:val="clear" w:color="auto" w:fill="auto"/>
            <w:noWrap/>
            <w:vAlign w:val="center"/>
            <w:hideMark/>
          </w:tcPr>
          <w:p w14:paraId="7070B1FF"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Subsidiary Size</w:t>
            </w:r>
          </w:p>
        </w:tc>
        <w:tc>
          <w:tcPr>
            <w:tcW w:w="518" w:type="dxa"/>
            <w:tcBorders>
              <w:top w:val="nil"/>
              <w:left w:val="nil"/>
              <w:bottom w:val="nil"/>
              <w:right w:val="nil"/>
            </w:tcBorders>
            <w:shd w:val="clear" w:color="auto" w:fill="auto"/>
            <w:noWrap/>
            <w:vAlign w:val="center"/>
            <w:hideMark/>
          </w:tcPr>
          <w:p w14:paraId="2E6988A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518" w:type="dxa"/>
            <w:tcBorders>
              <w:top w:val="nil"/>
              <w:left w:val="nil"/>
              <w:bottom w:val="nil"/>
              <w:right w:val="nil"/>
            </w:tcBorders>
            <w:shd w:val="clear" w:color="auto" w:fill="auto"/>
            <w:noWrap/>
            <w:vAlign w:val="center"/>
            <w:hideMark/>
          </w:tcPr>
          <w:p w14:paraId="21AB989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4F09248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2CCC3DA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518" w:type="dxa"/>
            <w:tcBorders>
              <w:top w:val="nil"/>
              <w:left w:val="nil"/>
              <w:bottom w:val="nil"/>
              <w:right w:val="nil"/>
            </w:tcBorders>
            <w:shd w:val="clear" w:color="auto" w:fill="auto"/>
            <w:noWrap/>
            <w:vAlign w:val="center"/>
            <w:hideMark/>
          </w:tcPr>
          <w:p w14:paraId="32669A0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2530786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518" w:type="dxa"/>
            <w:tcBorders>
              <w:top w:val="nil"/>
              <w:left w:val="nil"/>
              <w:bottom w:val="nil"/>
              <w:right w:val="nil"/>
            </w:tcBorders>
            <w:shd w:val="clear" w:color="auto" w:fill="auto"/>
            <w:noWrap/>
            <w:vAlign w:val="center"/>
            <w:hideMark/>
          </w:tcPr>
          <w:p w14:paraId="4F88E50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51C7524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66AC369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77B860E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77697FE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255C13E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5873BF0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6B739DD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486" w:type="dxa"/>
            <w:tcBorders>
              <w:top w:val="nil"/>
              <w:left w:val="nil"/>
              <w:bottom w:val="nil"/>
              <w:right w:val="nil"/>
            </w:tcBorders>
            <w:shd w:val="clear" w:color="auto" w:fill="auto"/>
            <w:noWrap/>
            <w:vAlign w:val="center"/>
            <w:hideMark/>
          </w:tcPr>
          <w:p w14:paraId="4D7C4E4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22" w:type="dxa"/>
            <w:tcBorders>
              <w:top w:val="nil"/>
              <w:left w:val="nil"/>
              <w:bottom w:val="nil"/>
              <w:right w:val="nil"/>
            </w:tcBorders>
            <w:shd w:val="clear" w:color="auto" w:fill="auto"/>
            <w:noWrap/>
            <w:vAlign w:val="center"/>
            <w:hideMark/>
          </w:tcPr>
          <w:p w14:paraId="34D4B52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5F36FA4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26" w:type="dxa"/>
            <w:tcBorders>
              <w:top w:val="nil"/>
              <w:left w:val="nil"/>
              <w:bottom w:val="nil"/>
              <w:right w:val="nil"/>
            </w:tcBorders>
            <w:shd w:val="clear" w:color="auto" w:fill="auto"/>
            <w:noWrap/>
            <w:vAlign w:val="center"/>
            <w:hideMark/>
          </w:tcPr>
          <w:p w14:paraId="5B2B5BF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2973F01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5FCE88A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115C865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518" w:type="dxa"/>
            <w:tcBorders>
              <w:top w:val="nil"/>
              <w:left w:val="nil"/>
              <w:bottom w:val="nil"/>
              <w:right w:val="nil"/>
            </w:tcBorders>
            <w:shd w:val="clear" w:color="auto" w:fill="auto"/>
            <w:noWrap/>
            <w:vAlign w:val="center"/>
            <w:hideMark/>
          </w:tcPr>
          <w:p w14:paraId="259BA3F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5EEEBA3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76B78C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10509C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95462C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55DECB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1CEFD909"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6DE0FFBF"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23</w:t>
            </w:r>
          </w:p>
        </w:tc>
        <w:tc>
          <w:tcPr>
            <w:tcW w:w="1257" w:type="dxa"/>
            <w:tcBorders>
              <w:top w:val="nil"/>
              <w:left w:val="nil"/>
              <w:bottom w:val="nil"/>
              <w:right w:val="nil"/>
            </w:tcBorders>
            <w:shd w:val="clear" w:color="auto" w:fill="auto"/>
            <w:noWrap/>
            <w:vAlign w:val="center"/>
            <w:hideMark/>
          </w:tcPr>
          <w:p w14:paraId="6BC03C4B"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Leverage</w:t>
            </w:r>
          </w:p>
        </w:tc>
        <w:tc>
          <w:tcPr>
            <w:tcW w:w="518" w:type="dxa"/>
            <w:tcBorders>
              <w:top w:val="nil"/>
              <w:left w:val="nil"/>
              <w:bottom w:val="nil"/>
              <w:right w:val="nil"/>
            </w:tcBorders>
            <w:shd w:val="clear" w:color="auto" w:fill="auto"/>
            <w:noWrap/>
            <w:vAlign w:val="center"/>
            <w:hideMark/>
          </w:tcPr>
          <w:p w14:paraId="48D5F77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5383719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74A8794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7E417C1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3141B24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4062263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18" w:type="dxa"/>
            <w:tcBorders>
              <w:top w:val="nil"/>
              <w:left w:val="nil"/>
              <w:bottom w:val="nil"/>
              <w:right w:val="nil"/>
            </w:tcBorders>
            <w:shd w:val="clear" w:color="auto" w:fill="auto"/>
            <w:noWrap/>
            <w:vAlign w:val="center"/>
            <w:hideMark/>
          </w:tcPr>
          <w:p w14:paraId="1061CC1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18" w:type="dxa"/>
            <w:tcBorders>
              <w:top w:val="nil"/>
              <w:left w:val="nil"/>
              <w:bottom w:val="nil"/>
              <w:right w:val="nil"/>
            </w:tcBorders>
            <w:shd w:val="clear" w:color="auto" w:fill="auto"/>
            <w:noWrap/>
            <w:vAlign w:val="center"/>
            <w:hideMark/>
          </w:tcPr>
          <w:p w14:paraId="12DECD8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088022C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36C287C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5FE0B21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4A1C13E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3234B46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2AF9965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4408F63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22" w:type="dxa"/>
            <w:tcBorders>
              <w:top w:val="nil"/>
              <w:left w:val="nil"/>
              <w:bottom w:val="nil"/>
              <w:right w:val="nil"/>
            </w:tcBorders>
            <w:shd w:val="clear" w:color="auto" w:fill="auto"/>
            <w:noWrap/>
            <w:vAlign w:val="center"/>
            <w:hideMark/>
          </w:tcPr>
          <w:p w14:paraId="26DABD2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30974FD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526" w:type="dxa"/>
            <w:tcBorders>
              <w:top w:val="nil"/>
              <w:left w:val="nil"/>
              <w:bottom w:val="nil"/>
              <w:right w:val="nil"/>
            </w:tcBorders>
            <w:shd w:val="clear" w:color="auto" w:fill="auto"/>
            <w:noWrap/>
            <w:vAlign w:val="center"/>
            <w:hideMark/>
          </w:tcPr>
          <w:p w14:paraId="37DEE0A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7C5DD9B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3776E46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67260F6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3A2A9CA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0FC91E5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319CED3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C45C82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C1D34B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77C770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0036A771"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3865E14C"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24</w:t>
            </w:r>
          </w:p>
        </w:tc>
        <w:tc>
          <w:tcPr>
            <w:tcW w:w="1257" w:type="dxa"/>
            <w:tcBorders>
              <w:top w:val="nil"/>
              <w:left w:val="nil"/>
              <w:bottom w:val="nil"/>
              <w:right w:val="nil"/>
            </w:tcBorders>
            <w:shd w:val="clear" w:color="auto" w:fill="auto"/>
            <w:noWrap/>
            <w:vAlign w:val="center"/>
            <w:hideMark/>
          </w:tcPr>
          <w:p w14:paraId="3780EED6"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State Affiliation</w:t>
            </w:r>
          </w:p>
        </w:tc>
        <w:tc>
          <w:tcPr>
            <w:tcW w:w="518" w:type="dxa"/>
            <w:tcBorders>
              <w:top w:val="nil"/>
              <w:left w:val="nil"/>
              <w:bottom w:val="nil"/>
              <w:right w:val="nil"/>
            </w:tcBorders>
            <w:shd w:val="clear" w:color="auto" w:fill="auto"/>
            <w:noWrap/>
            <w:vAlign w:val="center"/>
            <w:hideMark/>
          </w:tcPr>
          <w:p w14:paraId="6857537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792AFB1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00F0686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518" w:type="dxa"/>
            <w:tcBorders>
              <w:top w:val="nil"/>
              <w:left w:val="nil"/>
              <w:bottom w:val="nil"/>
              <w:right w:val="nil"/>
            </w:tcBorders>
            <w:shd w:val="clear" w:color="auto" w:fill="auto"/>
            <w:noWrap/>
            <w:vAlign w:val="center"/>
            <w:hideMark/>
          </w:tcPr>
          <w:p w14:paraId="21E2A57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0EF2A2D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nil"/>
              <w:right w:val="nil"/>
            </w:tcBorders>
            <w:shd w:val="clear" w:color="auto" w:fill="auto"/>
            <w:noWrap/>
            <w:vAlign w:val="center"/>
            <w:hideMark/>
          </w:tcPr>
          <w:p w14:paraId="0D5E0AE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6BD60F1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0E0E81A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5D91734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30007C2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1DA7CCB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49648B0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3137490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30F8E96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581E20A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22" w:type="dxa"/>
            <w:tcBorders>
              <w:top w:val="nil"/>
              <w:left w:val="nil"/>
              <w:bottom w:val="nil"/>
              <w:right w:val="nil"/>
            </w:tcBorders>
            <w:shd w:val="clear" w:color="auto" w:fill="auto"/>
            <w:noWrap/>
            <w:vAlign w:val="center"/>
            <w:hideMark/>
          </w:tcPr>
          <w:p w14:paraId="16D78E8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518" w:type="dxa"/>
            <w:tcBorders>
              <w:top w:val="nil"/>
              <w:left w:val="nil"/>
              <w:bottom w:val="nil"/>
              <w:right w:val="nil"/>
            </w:tcBorders>
            <w:shd w:val="clear" w:color="auto" w:fill="auto"/>
            <w:noWrap/>
            <w:vAlign w:val="center"/>
            <w:hideMark/>
          </w:tcPr>
          <w:p w14:paraId="668354B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26" w:type="dxa"/>
            <w:tcBorders>
              <w:top w:val="nil"/>
              <w:left w:val="nil"/>
              <w:bottom w:val="nil"/>
              <w:right w:val="nil"/>
            </w:tcBorders>
            <w:shd w:val="clear" w:color="auto" w:fill="auto"/>
            <w:noWrap/>
            <w:vAlign w:val="center"/>
            <w:hideMark/>
          </w:tcPr>
          <w:p w14:paraId="5755C67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18" w:type="dxa"/>
            <w:tcBorders>
              <w:top w:val="nil"/>
              <w:left w:val="nil"/>
              <w:bottom w:val="nil"/>
              <w:right w:val="nil"/>
            </w:tcBorders>
            <w:shd w:val="clear" w:color="auto" w:fill="auto"/>
            <w:noWrap/>
            <w:vAlign w:val="center"/>
            <w:hideMark/>
          </w:tcPr>
          <w:p w14:paraId="10ACE40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518" w:type="dxa"/>
            <w:tcBorders>
              <w:top w:val="nil"/>
              <w:left w:val="nil"/>
              <w:bottom w:val="nil"/>
              <w:right w:val="nil"/>
            </w:tcBorders>
            <w:shd w:val="clear" w:color="auto" w:fill="auto"/>
            <w:noWrap/>
            <w:vAlign w:val="center"/>
            <w:hideMark/>
          </w:tcPr>
          <w:p w14:paraId="53B5D8D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024C44D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518" w:type="dxa"/>
            <w:tcBorders>
              <w:top w:val="nil"/>
              <w:left w:val="nil"/>
              <w:bottom w:val="nil"/>
              <w:right w:val="nil"/>
            </w:tcBorders>
            <w:shd w:val="clear" w:color="auto" w:fill="auto"/>
            <w:noWrap/>
            <w:vAlign w:val="center"/>
            <w:hideMark/>
          </w:tcPr>
          <w:p w14:paraId="42FA91D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21B926B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570E396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57BC195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62566B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3E340B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5531993D"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4BC2504C"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25</w:t>
            </w:r>
          </w:p>
        </w:tc>
        <w:tc>
          <w:tcPr>
            <w:tcW w:w="1257" w:type="dxa"/>
            <w:tcBorders>
              <w:top w:val="nil"/>
              <w:left w:val="nil"/>
              <w:bottom w:val="nil"/>
              <w:right w:val="nil"/>
            </w:tcBorders>
            <w:shd w:val="clear" w:color="auto" w:fill="auto"/>
            <w:noWrap/>
            <w:vAlign w:val="center"/>
            <w:hideMark/>
          </w:tcPr>
          <w:p w14:paraId="788F60EE"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China Dummy</w:t>
            </w:r>
          </w:p>
        </w:tc>
        <w:tc>
          <w:tcPr>
            <w:tcW w:w="518" w:type="dxa"/>
            <w:tcBorders>
              <w:top w:val="nil"/>
              <w:left w:val="nil"/>
              <w:bottom w:val="nil"/>
              <w:right w:val="nil"/>
            </w:tcBorders>
            <w:shd w:val="clear" w:color="auto" w:fill="auto"/>
            <w:noWrap/>
            <w:vAlign w:val="center"/>
            <w:hideMark/>
          </w:tcPr>
          <w:p w14:paraId="2F86733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53FEB60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6D9B365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767F853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1527377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1C87ED5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25A9921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7555D0D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486" w:type="dxa"/>
            <w:tcBorders>
              <w:top w:val="nil"/>
              <w:left w:val="nil"/>
              <w:bottom w:val="nil"/>
              <w:right w:val="nil"/>
            </w:tcBorders>
            <w:shd w:val="clear" w:color="auto" w:fill="auto"/>
            <w:noWrap/>
            <w:vAlign w:val="center"/>
            <w:hideMark/>
          </w:tcPr>
          <w:p w14:paraId="7838F40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3BF6DEE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08D2117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7DF5025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3B684E2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2B89FF3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486" w:type="dxa"/>
            <w:tcBorders>
              <w:top w:val="nil"/>
              <w:left w:val="nil"/>
              <w:bottom w:val="nil"/>
              <w:right w:val="nil"/>
            </w:tcBorders>
            <w:shd w:val="clear" w:color="auto" w:fill="auto"/>
            <w:noWrap/>
            <w:vAlign w:val="center"/>
            <w:hideMark/>
          </w:tcPr>
          <w:p w14:paraId="68108F6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522" w:type="dxa"/>
            <w:tcBorders>
              <w:top w:val="nil"/>
              <w:left w:val="nil"/>
              <w:bottom w:val="nil"/>
              <w:right w:val="nil"/>
            </w:tcBorders>
            <w:shd w:val="clear" w:color="auto" w:fill="auto"/>
            <w:noWrap/>
            <w:vAlign w:val="center"/>
            <w:hideMark/>
          </w:tcPr>
          <w:p w14:paraId="5E5B86D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7850C70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26" w:type="dxa"/>
            <w:tcBorders>
              <w:top w:val="nil"/>
              <w:left w:val="nil"/>
              <w:bottom w:val="nil"/>
              <w:right w:val="nil"/>
            </w:tcBorders>
            <w:shd w:val="clear" w:color="auto" w:fill="auto"/>
            <w:noWrap/>
            <w:vAlign w:val="center"/>
            <w:hideMark/>
          </w:tcPr>
          <w:p w14:paraId="4DF18C4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6A0379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18" w:type="dxa"/>
            <w:tcBorders>
              <w:top w:val="nil"/>
              <w:left w:val="nil"/>
              <w:bottom w:val="nil"/>
              <w:right w:val="nil"/>
            </w:tcBorders>
            <w:shd w:val="clear" w:color="auto" w:fill="auto"/>
            <w:noWrap/>
            <w:vAlign w:val="center"/>
            <w:hideMark/>
          </w:tcPr>
          <w:p w14:paraId="0B80AE7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62B1B73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56CE845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4BB88CE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020308D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4977B29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100A4BE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60FBF7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0A8625D7"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6AD0A4FB"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26</w:t>
            </w:r>
          </w:p>
        </w:tc>
        <w:tc>
          <w:tcPr>
            <w:tcW w:w="1257" w:type="dxa"/>
            <w:tcBorders>
              <w:top w:val="nil"/>
              <w:left w:val="nil"/>
              <w:bottom w:val="nil"/>
              <w:right w:val="nil"/>
            </w:tcBorders>
            <w:shd w:val="clear" w:color="auto" w:fill="auto"/>
            <w:noWrap/>
            <w:vAlign w:val="center"/>
            <w:hideMark/>
          </w:tcPr>
          <w:p w14:paraId="615619A2"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Subsidiary Age</w:t>
            </w:r>
          </w:p>
        </w:tc>
        <w:tc>
          <w:tcPr>
            <w:tcW w:w="518" w:type="dxa"/>
            <w:tcBorders>
              <w:top w:val="nil"/>
              <w:left w:val="nil"/>
              <w:bottom w:val="nil"/>
              <w:right w:val="nil"/>
            </w:tcBorders>
            <w:shd w:val="clear" w:color="auto" w:fill="auto"/>
            <w:noWrap/>
            <w:vAlign w:val="center"/>
            <w:hideMark/>
          </w:tcPr>
          <w:p w14:paraId="3F223DC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1FA90B0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33180E0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3CDF65F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518" w:type="dxa"/>
            <w:tcBorders>
              <w:top w:val="nil"/>
              <w:left w:val="nil"/>
              <w:bottom w:val="nil"/>
              <w:right w:val="nil"/>
            </w:tcBorders>
            <w:shd w:val="clear" w:color="auto" w:fill="auto"/>
            <w:noWrap/>
            <w:vAlign w:val="center"/>
            <w:hideMark/>
          </w:tcPr>
          <w:p w14:paraId="6157370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nil"/>
              <w:right w:val="nil"/>
            </w:tcBorders>
            <w:shd w:val="clear" w:color="auto" w:fill="auto"/>
            <w:noWrap/>
            <w:vAlign w:val="center"/>
            <w:hideMark/>
          </w:tcPr>
          <w:p w14:paraId="69E7DFC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7F80273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726D279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6095D2E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6EC8E78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2C66BFF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7CDF613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20A23A5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0AA461F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5F4FE69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22" w:type="dxa"/>
            <w:tcBorders>
              <w:top w:val="nil"/>
              <w:left w:val="nil"/>
              <w:bottom w:val="nil"/>
              <w:right w:val="nil"/>
            </w:tcBorders>
            <w:shd w:val="clear" w:color="auto" w:fill="auto"/>
            <w:noWrap/>
            <w:vAlign w:val="center"/>
            <w:hideMark/>
          </w:tcPr>
          <w:p w14:paraId="174E648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357487C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26" w:type="dxa"/>
            <w:tcBorders>
              <w:top w:val="nil"/>
              <w:left w:val="nil"/>
              <w:bottom w:val="nil"/>
              <w:right w:val="nil"/>
            </w:tcBorders>
            <w:shd w:val="clear" w:color="auto" w:fill="auto"/>
            <w:noWrap/>
            <w:vAlign w:val="center"/>
            <w:hideMark/>
          </w:tcPr>
          <w:p w14:paraId="5289E89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0FAC8FA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6A10706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486" w:type="dxa"/>
            <w:tcBorders>
              <w:top w:val="nil"/>
              <w:left w:val="nil"/>
              <w:bottom w:val="nil"/>
              <w:right w:val="nil"/>
            </w:tcBorders>
            <w:shd w:val="clear" w:color="auto" w:fill="auto"/>
            <w:noWrap/>
            <w:vAlign w:val="center"/>
            <w:hideMark/>
          </w:tcPr>
          <w:p w14:paraId="13B5251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275CBEF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2C17F5B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2E3AF08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2629827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217E136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7CBA1A0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6B445722" w14:textId="77777777" w:rsidTr="00954C29">
        <w:trPr>
          <w:gridAfter w:val="1"/>
          <w:wAfter w:w="10" w:type="dxa"/>
          <w:trHeight w:val="284"/>
          <w:jc w:val="center"/>
        </w:trPr>
        <w:tc>
          <w:tcPr>
            <w:tcW w:w="396" w:type="dxa"/>
            <w:tcBorders>
              <w:top w:val="nil"/>
              <w:left w:val="nil"/>
              <w:bottom w:val="single" w:sz="4" w:space="0" w:color="auto"/>
              <w:right w:val="nil"/>
            </w:tcBorders>
            <w:shd w:val="clear" w:color="auto" w:fill="auto"/>
            <w:noWrap/>
            <w:vAlign w:val="center"/>
            <w:hideMark/>
          </w:tcPr>
          <w:p w14:paraId="576656BC"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27</w:t>
            </w:r>
          </w:p>
        </w:tc>
        <w:tc>
          <w:tcPr>
            <w:tcW w:w="1257" w:type="dxa"/>
            <w:tcBorders>
              <w:top w:val="nil"/>
              <w:left w:val="nil"/>
              <w:bottom w:val="single" w:sz="4" w:space="0" w:color="auto"/>
              <w:right w:val="nil"/>
            </w:tcBorders>
            <w:shd w:val="clear" w:color="auto" w:fill="auto"/>
            <w:noWrap/>
            <w:vAlign w:val="center"/>
            <w:hideMark/>
          </w:tcPr>
          <w:p w14:paraId="0C1A5BE4"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Family Controlled</w:t>
            </w:r>
          </w:p>
        </w:tc>
        <w:tc>
          <w:tcPr>
            <w:tcW w:w="518" w:type="dxa"/>
            <w:tcBorders>
              <w:top w:val="nil"/>
              <w:left w:val="nil"/>
              <w:bottom w:val="single" w:sz="4" w:space="0" w:color="auto"/>
              <w:right w:val="nil"/>
            </w:tcBorders>
            <w:shd w:val="clear" w:color="auto" w:fill="auto"/>
            <w:noWrap/>
            <w:vAlign w:val="center"/>
            <w:hideMark/>
          </w:tcPr>
          <w:p w14:paraId="6A43FB6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single" w:sz="4" w:space="0" w:color="auto"/>
              <w:right w:val="nil"/>
            </w:tcBorders>
            <w:shd w:val="clear" w:color="auto" w:fill="auto"/>
            <w:noWrap/>
            <w:vAlign w:val="center"/>
            <w:hideMark/>
          </w:tcPr>
          <w:p w14:paraId="4D1002B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single" w:sz="4" w:space="0" w:color="auto"/>
              <w:right w:val="nil"/>
            </w:tcBorders>
            <w:shd w:val="clear" w:color="auto" w:fill="auto"/>
            <w:noWrap/>
            <w:vAlign w:val="center"/>
            <w:hideMark/>
          </w:tcPr>
          <w:p w14:paraId="7A44388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single" w:sz="4" w:space="0" w:color="auto"/>
              <w:right w:val="nil"/>
            </w:tcBorders>
            <w:shd w:val="clear" w:color="auto" w:fill="auto"/>
            <w:noWrap/>
            <w:vAlign w:val="center"/>
            <w:hideMark/>
          </w:tcPr>
          <w:p w14:paraId="263AB43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single" w:sz="4" w:space="0" w:color="auto"/>
              <w:right w:val="nil"/>
            </w:tcBorders>
            <w:shd w:val="clear" w:color="auto" w:fill="auto"/>
            <w:noWrap/>
            <w:vAlign w:val="center"/>
            <w:hideMark/>
          </w:tcPr>
          <w:p w14:paraId="352196C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single" w:sz="4" w:space="0" w:color="auto"/>
              <w:right w:val="nil"/>
            </w:tcBorders>
            <w:shd w:val="clear" w:color="auto" w:fill="auto"/>
            <w:noWrap/>
            <w:vAlign w:val="center"/>
            <w:hideMark/>
          </w:tcPr>
          <w:p w14:paraId="64A110A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single" w:sz="4" w:space="0" w:color="auto"/>
              <w:right w:val="nil"/>
            </w:tcBorders>
            <w:shd w:val="clear" w:color="auto" w:fill="auto"/>
            <w:noWrap/>
            <w:vAlign w:val="center"/>
            <w:hideMark/>
          </w:tcPr>
          <w:p w14:paraId="1207B1E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single" w:sz="4" w:space="0" w:color="auto"/>
              <w:right w:val="nil"/>
            </w:tcBorders>
            <w:shd w:val="clear" w:color="auto" w:fill="auto"/>
            <w:noWrap/>
            <w:vAlign w:val="center"/>
            <w:hideMark/>
          </w:tcPr>
          <w:p w14:paraId="4C40B45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486" w:type="dxa"/>
            <w:tcBorders>
              <w:top w:val="nil"/>
              <w:left w:val="nil"/>
              <w:bottom w:val="single" w:sz="4" w:space="0" w:color="auto"/>
              <w:right w:val="nil"/>
            </w:tcBorders>
            <w:shd w:val="clear" w:color="auto" w:fill="auto"/>
            <w:noWrap/>
            <w:vAlign w:val="center"/>
            <w:hideMark/>
          </w:tcPr>
          <w:p w14:paraId="6953947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single" w:sz="4" w:space="0" w:color="auto"/>
              <w:right w:val="nil"/>
            </w:tcBorders>
            <w:shd w:val="clear" w:color="auto" w:fill="auto"/>
            <w:noWrap/>
            <w:vAlign w:val="center"/>
            <w:hideMark/>
          </w:tcPr>
          <w:p w14:paraId="4673AD2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single" w:sz="4" w:space="0" w:color="auto"/>
              <w:right w:val="nil"/>
            </w:tcBorders>
            <w:shd w:val="clear" w:color="auto" w:fill="auto"/>
            <w:noWrap/>
            <w:vAlign w:val="center"/>
            <w:hideMark/>
          </w:tcPr>
          <w:p w14:paraId="5EC606F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single" w:sz="4" w:space="0" w:color="auto"/>
              <w:right w:val="nil"/>
            </w:tcBorders>
            <w:shd w:val="clear" w:color="auto" w:fill="auto"/>
            <w:noWrap/>
            <w:vAlign w:val="center"/>
            <w:hideMark/>
          </w:tcPr>
          <w:p w14:paraId="6E06C14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single" w:sz="4" w:space="0" w:color="auto"/>
              <w:right w:val="nil"/>
            </w:tcBorders>
            <w:shd w:val="clear" w:color="auto" w:fill="auto"/>
            <w:noWrap/>
            <w:vAlign w:val="center"/>
            <w:hideMark/>
          </w:tcPr>
          <w:p w14:paraId="1431581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single" w:sz="4" w:space="0" w:color="auto"/>
              <w:right w:val="nil"/>
            </w:tcBorders>
            <w:shd w:val="clear" w:color="auto" w:fill="auto"/>
            <w:noWrap/>
            <w:vAlign w:val="center"/>
            <w:hideMark/>
          </w:tcPr>
          <w:p w14:paraId="440D7D7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single" w:sz="4" w:space="0" w:color="auto"/>
              <w:right w:val="nil"/>
            </w:tcBorders>
            <w:shd w:val="clear" w:color="auto" w:fill="auto"/>
            <w:noWrap/>
            <w:vAlign w:val="center"/>
            <w:hideMark/>
          </w:tcPr>
          <w:p w14:paraId="5492210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22" w:type="dxa"/>
            <w:tcBorders>
              <w:top w:val="nil"/>
              <w:left w:val="nil"/>
              <w:bottom w:val="single" w:sz="4" w:space="0" w:color="auto"/>
              <w:right w:val="nil"/>
            </w:tcBorders>
            <w:shd w:val="clear" w:color="auto" w:fill="auto"/>
            <w:noWrap/>
            <w:vAlign w:val="center"/>
            <w:hideMark/>
          </w:tcPr>
          <w:p w14:paraId="050A069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single" w:sz="4" w:space="0" w:color="auto"/>
              <w:right w:val="nil"/>
            </w:tcBorders>
            <w:shd w:val="clear" w:color="auto" w:fill="auto"/>
            <w:noWrap/>
            <w:vAlign w:val="center"/>
            <w:hideMark/>
          </w:tcPr>
          <w:p w14:paraId="6CABFB7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526" w:type="dxa"/>
            <w:tcBorders>
              <w:top w:val="nil"/>
              <w:left w:val="nil"/>
              <w:bottom w:val="single" w:sz="4" w:space="0" w:color="auto"/>
              <w:right w:val="nil"/>
            </w:tcBorders>
            <w:shd w:val="clear" w:color="auto" w:fill="auto"/>
            <w:noWrap/>
            <w:vAlign w:val="center"/>
            <w:hideMark/>
          </w:tcPr>
          <w:p w14:paraId="1CDBD76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single" w:sz="4" w:space="0" w:color="auto"/>
              <w:right w:val="nil"/>
            </w:tcBorders>
            <w:shd w:val="clear" w:color="auto" w:fill="auto"/>
            <w:noWrap/>
            <w:vAlign w:val="center"/>
            <w:hideMark/>
          </w:tcPr>
          <w:p w14:paraId="38E47BE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single" w:sz="4" w:space="0" w:color="auto"/>
              <w:right w:val="nil"/>
            </w:tcBorders>
            <w:shd w:val="clear" w:color="auto" w:fill="auto"/>
            <w:noWrap/>
            <w:vAlign w:val="center"/>
            <w:hideMark/>
          </w:tcPr>
          <w:p w14:paraId="3071A70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single" w:sz="4" w:space="0" w:color="auto"/>
              <w:right w:val="nil"/>
            </w:tcBorders>
            <w:shd w:val="clear" w:color="auto" w:fill="auto"/>
            <w:noWrap/>
            <w:vAlign w:val="center"/>
            <w:hideMark/>
          </w:tcPr>
          <w:p w14:paraId="1320AEA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single" w:sz="4" w:space="0" w:color="auto"/>
              <w:right w:val="nil"/>
            </w:tcBorders>
            <w:shd w:val="clear" w:color="auto" w:fill="auto"/>
            <w:noWrap/>
            <w:vAlign w:val="center"/>
            <w:hideMark/>
          </w:tcPr>
          <w:p w14:paraId="67D8F59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single" w:sz="4" w:space="0" w:color="auto"/>
              <w:right w:val="nil"/>
            </w:tcBorders>
            <w:shd w:val="clear" w:color="auto" w:fill="auto"/>
            <w:noWrap/>
            <w:vAlign w:val="center"/>
            <w:hideMark/>
          </w:tcPr>
          <w:p w14:paraId="095363A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single" w:sz="4" w:space="0" w:color="auto"/>
              <w:right w:val="nil"/>
            </w:tcBorders>
            <w:shd w:val="clear" w:color="auto" w:fill="auto"/>
            <w:noWrap/>
            <w:vAlign w:val="center"/>
            <w:hideMark/>
          </w:tcPr>
          <w:p w14:paraId="5F239CF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single" w:sz="4" w:space="0" w:color="auto"/>
              <w:right w:val="nil"/>
            </w:tcBorders>
            <w:shd w:val="clear" w:color="auto" w:fill="auto"/>
            <w:noWrap/>
            <w:vAlign w:val="center"/>
            <w:hideMark/>
          </w:tcPr>
          <w:p w14:paraId="7448B31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518" w:type="dxa"/>
            <w:tcBorders>
              <w:top w:val="nil"/>
              <w:left w:val="nil"/>
              <w:bottom w:val="single" w:sz="4" w:space="0" w:color="auto"/>
              <w:right w:val="nil"/>
            </w:tcBorders>
            <w:shd w:val="clear" w:color="auto" w:fill="auto"/>
            <w:noWrap/>
            <w:vAlign w:val="center"/>
            <w:hideMark/>
          </w:tcPr>
          <w:p w14:paraId="240CA9D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single" w:sz="4" w:space="0" w:color="auto"/>
              <w:right w:val="nil"/>
            </w:tcBorders>
            <w:shd w:val="clear" w:color="auto" w:fill="auto"/>
            <w:noWrap/>
            <w:vAlign w:val="center"/>
            <w:hideMark/>
          </w:tcPr>
          <w:p w14:paraId="14DC876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r>
      <w:tr w:rsidR="00727A9B" w:rsidRPr="006F5D71" w14:paraId="0573B45B" w14:textId="77777777" w:rsidTr="00954C29">
        <w:trPr>
          <w:trHeight w:val="284"/>
          <w:jc w:val="center"/>
        </w:trPr>
        <w:tc>
          <w:tcPr>
            <w:tcW w:w="396" w:type="dxa"/>
            <w:tcBorders>
              <w:top w:val="nil"/>
              <w:left w:val="nil"/>
              <w:bottom w:val="single" w:sz="4" w:space="0" w:color="auto"/>
              <w:right w:val="nil"/>
            </w:tcBorders>
            <w:shd w:val="clear" w:color="auto" w:fill="auto"/>
            <w:noWrap/>
            <w:vAlign w:val="center"/>
            <w:hideMark/>
          </w:tcPr>
          <w:p w14:paraId="37CF9AD4" w14:textId="77777777" w:rsidR="00954C29" w:rsidRPr="006F5D71" w:rsidRDefault="00954C29" w:rsidP="00954C29">
            <w:pPr>
              <w:spacing w:after="0" w:line="240" w:lineRule="auto"/>
              <w:rPr>
                <w:rFonts w:eastAsia="Times New Roman" w:cs="Times New Roman"/>
                <w:color w:val="000000" w:themeColor="text1"/>
                <w:sz w:val="16"/>
                <w:szCs w:val="16"/>
              </w:rPr>
            </w:pPr>
            <w:r w:rsidRPr="006F5D71">
              <w:rPr>
                <w:rFonts w:eastAsia="Times New Roman" w:cs="Times New Roman"/>
                <w:color w:val="000000" w:themeColor="text1"/>
                <w:sz w:val="16"/>
                <w:szCs w:val="16"/>
              </w:rPr>
              <w:t> </w:t>
            </w:r>
          </w:p>
        </w:tc>
        <w:tc>
          <w:tcPr>
            <w:tcW w:w="1257" w:type="dxa"/>
            <w:tcBorders>
              <w:top w:val="nil"/>
              <w:left w:val="nil"/>
              <w:bottom w:val="single" w:sz="4" w:space="0" w:color="auto"/>
              <w:right w:val="nil"/>
            </w:tcBorders>
            <w:shd w:val="clear" w:color="auto" w:fill="auto"/>
            <w:noWrap/>
            <w:vAlign w:val="center"/>
            <w:hideMark/>
          </w:tcPr>
          <w:p w14:paraId="32738B03"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 </w:t>
            </w:r>
          </w:p>
        </w:tc>
        <w:tc>
          <w:tcPr>
            <w:tcW w:w="13752" w:type="dxa"/>
            <w:gridSpan w:val="28"/>
            <w:tcBorders>
              <w:top w:val="nil"/>
              <w:left w:val="nil"/>
              <w:bottom w:val="single" w:sz="4" w:space="0" w:color="auto"/>
              <w:right w:val="nil"/>
            </w:tcBorders>
            <w:shd w:val="clear" w:color="auto" w:fill="auto"/>
            <w:noWrap/>
            <w:vAlign w:val="center"/>
            <w:hideMark/>
          </w:tcPr>
          <w:p w14:paraId="15A8BD52" w14:textId="77777777" w:rsidR="00954C29" w:rsidRPr="006F5D71" w:rsidRDefault="00954C29" w:rsidP="00954C29">
            <w:pPr>
              <w:spacing w:after="0" w:line="240" w:lineRule="auto"/>
              <w:jc w:val="center"/>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Panel B: South</w:t>
            </w:r>
          </w:p>
        </w:tc>
      </w:tr>
      <w:tr w:rsidR="00727A9B" w:rsidRPr="006F5D71" w14:paraId="2722CCC5" w14:textId="77777777" w:rsidTr="00954C29">
        <w:trPr>
          <w:gridAfter w:val="1"/>
          <w:wAfter w:w="10" w:type="dxa"/>
          <w:trHeight w:val="284"/>
          <w:jc w:val="center"/>
        </w:trPr>
        <w:tc>
          <w:tcPr>
            <w:tcW w:w="396" w:type="dxa"/>
            <w:tcBorders>
              <w:top w:val="nil"/>
              <w:left w:val="nil"/>
              <w:bottom w:val="single" w:sz="4" w:space="0" w:color="auto"/>
              <w:right w:val="nil"/>
            </w:tcBorders>
            <w:shd w:val="clear" w:color="auto" w:fill="auto"/>
            <w:noWrap/>
            <w:vAlign w:val="center"/>
            <w:hideMark/>
          </w:tcPr>
          <w:p w14:paraId="42DAB810" w14:textId="77777777" w:rsidR="00954C29" w:rsidRPr="006F5D71" w:rsidRDefault="00954C29" w:rsidP="00954C29">
            <w:pPr>
              <w:spacing w:after="0" w:line="240" w:lineRule="auto"/>
              <w:rPr>
                <w:rFonts w:eastAsia="Times New Roman" w:cs="Times New Roman"/>
                <w:color w:val="000000" w:themeColor="text1"/>
                <w:sz w:val="16"/>
                <w:szCs w:val="16"/>
              </w:rPr>
            </w:pPr>
            <w:r w:rsidRPr="006F5D71">
              <w:rPr>
                <w:rFonts w:eastAsia="Times New Roman" w:cs="Times New Roman"/>
                <w:color w:val="000000" w:themeColor="text1"/>
                <w:sz w:val="16"/>
                <w:szCs w:val="16"/>
              </w:rPr>
              <w:t> </w:t>
            </w:r>
          </w:p>
        </w:tc>
        <w:tc>
          <w:tcPr>
            <w:tcW w:w="1257" w:type="dxa"/>
            <w:tcBorders>
              <w:top w:val="nil"/>
              <w:left w:val="nil"/>
              <w:bottom w:val="single" w:sz="4" w:space="0" w:color="auto"/>
              <w:right w:val="nil"/>
            </w:tcBorders>
            <w:shd w:val="clear" w:color="auto" w:fill="auto"/>
            <w:noWrap/>
            <w:vAlign w:val="center"/>
            <w:hideMark/>
          </w:tcPr>
          <w:p w14:paraId="5BD40FB5"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 </w:t>
            </w:r>
          </w:p>
        </w:tc>
        <w:tc>
          <w:tcPr>
            <w:tcW w:w="518" w:type="dxa"/>
            <w:tcBorders>
              <w:top w:val="nil"/>
              <w:left w:val="nil"/>
              <w:bottom w:val="single" w:sz="4" w:space="0" w:color="auto"/>
              <w:right w:val="nil"/>
            </w:tcBorders>
            <w:shd w:val="clear" w:color="auto" w:fill="auto"/>
            <w:noWrap/>
            <w:vAlign w:val="center"/>
            <w:hideMark/>
          </w:tcPr>
          <w:p w14:paraId="716B810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w:t>
            </w:r>
          </w:p>
        </w:tc>
        <w:tc>
          <w:tcPr>
            <w:tcW w:w="518" w:type="dxa"/>
            <w:tcBorders>
              <w:top w:val="nil"/>
              <w:left w:val="nil"/>
              <w:bottom w:val="single" w:sz="4" w:space="0" w:color="auto"/>
              <w:right w:val="nil"/>
            </w:tcBorders>
            <w:shd w:val="clear" w:color="auto" w:fill="auto"/>
            <w:noWrap/>
            <w:vAlign w:val="center"/>
            <w:hideMark/>
          </w:tcPr>
          <w:p w14:paraId="4442919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w:t>
            </w:r>
          </w:p>
        </w:tc>
        <w:tc>
          <w:tcPr>
            <w:tcW w:w="486" w:type="dxa"/>
            <w:tcBorders>
              <w:top w:val="nil"/>
              <w:left w:val="nil"/>
              <w:bottom w:val="single" w:sz="4" w:space="0" w:color="auto"/>
              <w:right w:val="nil"/>
            </w:tcBorders>
            <w:shd w:val="clear" w:color="auto" w:fill="auto"/>
            <w:noWrap/>
            <w:vAlign w:val="center"/>
            <w:hideMark/>
          </w:tcPr>
          <w:p w14:paraId="48D7F47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3</w:t>
            </w:r>
          </w:p>
        </w:tc>
        <w:tc>
          <w:tcPr>
            <w:tcW w:w="518" w:type="dxa"/>
            <w:tcBorders>
              <w:top w:val="nil"/>
              <w:left w:val="nil"/>
              <w:bottom w:val="single" w:sz="4" w:space="0" w:color="auto"/>
              <w:right w:val="nil"/>
            </w:tcBorders>
            <w:shd w:val="clear" w:color="auto" w:fill="auto"/>
            <w:noWrap/>
            <w:vAlign w:val="center"/>
            <w:hideMark/>
          </w:tcPr>
          <w:p w14:paraId="1FC981C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4</w:t>
            </w:r>
          </w:p>
        </w:tc>
        <w:tc>
          <w:tcPr>
            <w:tcW w:w="518" w:type="dxa"/>
            <w:tcBorders>
              <w:top w:val="nil"/>
              <w:left w:val="nil"/>
              <w:bottom w:val="single" w:sz="4" w:space="0" w:color="auto"/>
              <w:right w:val="nil"/>
            </w:tcBorders>
            <w:shd w:val="clear" w:color="auto" w:fill="auto"/>
            <w:noWrap/>
            <w:vAlign w:val="center"/>
            <w:hideMark/>
          </w:tcPr>
          <w:p w14:paraId="1085346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5</w:t>
            </w:r>
          </w:p>
        </w:tc>
        <w:tc>
          <w:tcPr>
            <w:tcW w:w="486" w:type="dxa"/>
            <w:tcBorders>
              <w:top w:val="nil"/>
              <w:left w:val="nil"/>
              <w:bottom w:val="single" w:sz="4" w:space="0" w:color="auto"/>
              <w:right w:val="nil"/>
            </w:tcBorders>
            <w:shd w:val="clear" w:color="auto" w:fill="auto"/>
            <w:noWrap/>
            <w:vAlign w:val="center"/>
            <w:hideMark/>
          </w:tcPr>
          <w:p w14:paraId="6138C76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6</w:t>
            </w:r>
          </w:p>
        </w:tc>
        <w:tc>
          <w:tcPr>
            <w:tcW w:w="518" w:type="dxa"/>
            <w:tcBorders>
              <w:top w:val="nil"/>
              <w:left w:val="nil"/>
              <w:bottom w:val="single" w:sz="4" w:space="0" w:color="auto"/>
              <w:right w:val="nil"/>
            </w:tcBorders>
            <w:shd w:val="clear" w:color="auto" w:fill="auto"/>
            <w:noWrap/>
            <w:vAlign w:val="center"/>
            <w:hideMark/>
          </w:tcPr>
          <w:p w14:paraId="5A45E4A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7</w:t>
            </w:r>
          </w:p>
        </w:tc>
        <w:tc>
          <w:tcPr>
            <w:tcW w:w="518" w:type="dxa"/>
            <w:tcBorders>
              <w:top w:val="nil"/>
              <w:left w:val="nil"/>
              <w:bottom w:val="single" w:sz="4" w:space="0" w:color="auto"/>
              <w:right w:val="nil"/>
            </w:tcBorders>
            <w:shd w:val="clear" w:color="auto" w:fill="auto"/>
            <w:noWrap/>
            <w:vAlign w:val="center"/>
            <w:hideMark/>
          </w:tcPr>
          <w:p w14:paraId="4660A8C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8</w:t>
            </w:r>
          </w:p>
        </w:tc>
        <w:tc>
          <w:tcPr>
            <w:tcW w:w="486" w:type="dxa"/>
            <w:tcBorders>
              <w:top w:val="nil"/>
              <w:left w:val="nil"/>
              <w:bottom w:val="single" w:sz="4" w:space="0" w:color="auto"/>
              <w:right w:val="nil"/>
            </w:tcBorders>
            <w:shd w:val="clear" w:color="auto" w:fill="auto"/>
            <w:noWrap/>
            <w:vAlign w:val="center"/>
            <w:hideMark/>
          </w:tcPr>
          <w:p w14:paraId="05381EF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9</w:t>
            </w:r>
          </w:p>
        </w:tc>
        <w:tc>
          <w:tcPr>
            <w:tcW w:w="518" w:type="dxa"/>
            <w:tcBorders>
              <w:top w:val="nil"/>
              <w:left w:val="nil"/>
              <w:bottom w:val="single" w:sz="4" w:space="0" w:color="auto"/>
              <w:right w:val="nil"/>
            </w:tcBorders>
            <w:shd w:val="clear" w:color="auto" w:fill="auto"/>
            <w:noWrap/>
            <w:vAlign w:val="center"/>
            <w:hideMark/>
          </w:tcPr>
          <w:p w14:paraId="5509559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w:t>
            </w:r>
          </w:p>
        </w:tc>
        <w:tc>
          <w:tcPr>
            <w:tcW w:w="518" w:type="dxa"/>
            <w:tcBorders>
              <w:top w:val="nil"/>
              <w:left w:val="nil"/>
              <w:bottom w:val="single" w:sz="4" w:space="0" w:color="auto"/>
              <w:right w:val="nil"/>
            </w:tcBorders>
            <w:shd w:val="clear" w:color="auto" w:fill="auto"/>
            <w:noWrap/>
            <w:vAlign w:val="center"/>
            <w:hideMark/>
          </w:tcPr>
          <w:p w14:paraId="6225EDA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11</w:t>
            </w:r>
          </w:p>
        </w:tc>
        <w:tc>
          <w:tcPr>
            <w:tcW w:w="486" w:type="dxa"/>
            <w:tcBorders>
              <w:top w:val="nil"/>
              <w:left w:val="nil"/>
              <w:bottom w:val="single" w:sz="4" w:space="0" w:color="auto"/>
              <w:right w:val="nil"/>
            </w:tcBorders>
            <w:shd w:val="clear" w:color="auto" w:fill="auto"/>
            <w:noWrap/>
            <w:vAlign w:val="center"/>
            <w:hideMark/>
          </w:tcPr>
          <w:p w14:paraId="641B116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12</w:t>
            </w:r>
          </w:p>
        </w:tc>
        <w:tc>
          <w:tcPr>
            <w:tcW w:w="518" w:type="dxa"/>
            <w:tcBorders>
              <w:top w:val="nil"/>
              <w:left w:val="nil"/>
              <w:bottom w:val="single" w:sz="4" w:space="0" w:color="auto"/>
              <w:right w:val="nil"/>
            </w:tcBorders>
            <w:shd w:val="clear" w:color="auto" w:fill="auto"/>
            <w:noWrap/>
            <w:vAlign w:val="center"/>
            <w:hideMark/>
          </w:tcPr>
          <w:p w14:paraId="7D77B8A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13</w:t>
            </w:r>
          </w:p>
        </w:tc>
        <w:tc>
          <w:tcPr>
            <w:tcW w:w="518" w:type="dxa"/>
            <w:tcBorders>
              <w:top w:val="nil"/>
              <w:left w:val="nil"/>
              <w:bottom w:val="single" w:sz="4" w:space="0" w:color="auto"/>
              <w:right w:val="nil"/>
            </w:tcBorders>
            <w:shd w:val="clear" w:color="auto" w:fill="auto"/>
            <w:noWrap/>
            <w:vAlign w:val="center"/>
            <w:hideMark/>
          </w:tcPr>
          <w:p w14:paraId="74F3611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14</w:t>
            </w:r>
          </w:p>
        </w:tc>
        <w:tc>
          <w:tcPr>
            <w:tcW w:w="486" w:type="dxa"/>
            <w:tcBorders>
              <w:top w:val="nil"/>
              <w:left w:val="nil"/>
              <w:bottom w:val="single" w:sz="4" w:space="0" w:color="auto"/>
              <w:right w:val="nil"/>
            </w:tcBorders>
            <w:shd w:val="clear" w:color="auto" w:fill="auto"/>
            <w:noWrap/>
            <w:vAlign w:val="center"/>
            <w:hideMark/>
          </w:tcPr>
          <w:p w14:paraId="37DF9BD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15</w:t>
            </w:r>
          </w:p>
        </w:tc>
        <w:tc>
          <w:tcPr>
            <w:tcW w:w="522" w:type="dxa"/>
            <w:tcBorders>
              <w:top w:val="nil"/>
              <w:left w:val="nil"/>
              <w:bottom w:val="single" w:sz="4" w:space="0" w:color="auto"/>
              <w:right w:val="nil"/>
            </w:tcBorders>
            <w:shd w:val="clear" w:color="auto" w:fill="auto"/>
            <w:noWrap/>
            <w:vAlign w:val="center"/>
            <w:hideMark/>
          </w:tcPr>
          <w:p w14:paraId="1869AE9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16</w:t>
            </w:r>
          </w:p>
        </w:tc>
        <w:tc>
          <w:tcPr>
            <w:tcW w:w="518" w:type="dxa"/>
            <w:tcBorders>
              <w:top w:val="nil"/>
              <w:left w:val="nil"/>
              <w:bottom w:val="single" w:sz="4" w:space="0" w:color="auto"/>
              <w:right w:val="nil"/>
            </w:tcBorders>
            <w:shd w:val="clear" w:color="auto" w:fill="auto"/>
            <w:noWrap/>
            <w:vAlign w:val="center"/>
            <w:hideMark/>
          </w:tcPr>
          <w:p w14:paraId="295CA96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17</w:t>
            </w:r>
          </w:p>
        </w:tc>
        <w:tc>
          <w:tcPr>
            <w:tcW w:w="526" w:type="dxa"/>
            <w:tcBorders>
              <w:top w:val="nil"/>
              <w:left w:val="nil"/>
              <w:bottom w:val="single" w:sz="4" w:space="0" w:color="auto"/>
              <w:right w:val="nil"/>
            </w:tcBorders>
            <w:shd w:val="clear" w:color="auto" w:fill="auto"/>
            <w:noWrap/>
            <w:vAlign w:val="center"/>
            <w:hideMark/>
          </w:tcPr>
          <w:p w14:paraId="62DAE11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18</w:t>
            </w:r>
          </w:p>
        </w:tc>
        <w:tc>
          <w:tcPr>
            <w:tcW w:w="518" w:type="dxa"/>
            <w:tcBorders>
              <w:top w:val="nil"/>
              <w:left w:val="nil"/>
              <w:bottom w:val="single" w:sz="4" w:space="0" w:color="auto"/>
              <w:right w:val="nil"/>
            </w:tcBorders>
            <w:shd w:val="clear" w:color="auto" w:fill="auto"/>
            <w:noWrap/>
            <w:vAlign w:val="center"/>
            <w:hideMark/>
          </w:tcPr>
          <w:p w14:paraId="01FA8DB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19</w:t>
            </w:r>
          </w:p>
        </w:tc>
        <w:tc>
          <w:tcPr>
            <w:tcW w:w="518" w:type="dxa"/>
            <w:tcBorders>
              <w:top w:val="nil"/>
              <w:left w:val="nil"/>
              <w:bottom w:val="single" w:sz="4" w:space="0" w:color="auto"/>
              <w:right w:val="nil"/>
            </w:tcBorders>
            <w:shd w:val="clear" w:color="auto" w:fill="auto"/>
            <w:noWrap/>
            <w:vAlign w:val="center"/>
            <w:hideMark/>
          </w:tcPr>
          <w:p w14:paraId="041C901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20</w:t>
            </w:r>
          </w:p>
        </w:tc>
        <w:tc>
          <w:tcPr>
            <w:tcW w:w="486" w:type="dxa"/>
            <w:tcBorders>
              <w:top w:val="nil"/>
              <w:left w:val="nil"/>
              <w:bottom w:val="single" w:sz="4" w:space="0" w:color="auto"/>
              <w:right w:val="nil"/>
            </w:tcBorders>
            <w:shd w:val="clear" w:color="auto" w:fill="auto"/>
            <w:noWrap/>
            <w:vAlign w:val="center"/>
            <w:hideMark/>
          </w:tcPr>
          <w:p w14:paraId="56CF67B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21</w:t>
            </w:r>
          </w:p>
        </w:tc>
        <w:tc>
          <w:tcPr>
            <w:tcW w:w="518" w:type="dxa"/>
            <w:tcBorders>
              <w:top w:val="nil"/>
              <w:left w:val="nil"/>
              <w:bottom w:val="single" w:sz="4" w:space="0" w:color="auto"/>
              <w:right w:val="nil"/>
            </w:tcBorders>
            <w:shd w:val="clear" w:color="auto" w:fill="auto"/>
            <w:noWrap/>
            <w:vAlign w:val="center"/>
            <w:hideMark/>
          </w:tcPr>
          <w:p w14:paraId="6DCAC74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22</w:t>
            </w:r>
          </w:p>
        </w:tc>
        <w:tc>
          <w:tcPr>
            <w:tcW w:w="518" w:type="dxa"/>
            <w:tcBorders>
              <w:top w:val="nil"/>
              <w:left w:val="nil"/>
              <w:bottom w:val="single" w:sz="4" w:space="0" w:color="auto"/>
              <w:right w:val="nil"/>
            </w:tcBorders>
            <w:shd w:val="clear" w:color="auto" w:fill="auto"/>
            <w:noWrap/>
            <w:vAlign w:val="center"/>
            <w:hideMark/>
          </w:tcPr>
          <w:p w14:paraId="174B468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23</w:t>
            </w:r>
          </w:p>
        </w:tc>
        <w:tc>
          <w:tcPr>
            <w:tcW w:w="486" w:type="dxa"/>
            <w:tcBorders>
              <w:top w:val="nil"/>
              <w:left w:val="nil"/>
              <w:bottom w:val="single" w:sz="4" w:space="0" w:color="auto"/>
              <w:right w:val="nil"/>
            </w:tcBorders>
            <w:shd w:val="clear" w:color="auto" w:fill="auto"/>
            <w:noWrap/>
            <w:vAlign w:val="center"/>
            <w:hideMark/>
          </w:tcPr>
          <w:p w14:paraId="3DDEA11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24</w:t>
            </w:r>
          </w:p>
        </w:tc>
        <w:tc>
          <w:tcPr>
            <w:tcW w:w="518" w:type="dxa"/>
            <w:tcBorders>
              <w:top w:val="nil"/>
              <w:left w:val="nil"/>
              <w:bottom w:val="single" w:sz="4" w:space="0" w:color="auto"/>
              <w:right w:val="nil"/>
            </w:tcBorders>
            <w:shd w:val="clear" w:color="auto" w:fill="auto"/>
            <w:noWrap/>
            <w:vAlign w:val="center"/>
            <w:hideMark/>
          </w:tcPr>
          <w:p w14:paraId="20D77BC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25</w:t>
            </w:r>
          </w:p>
        </w:tc>
        <w:tc>
          <w:tcPr>
            <w:tcW w:w="518" w:type="dxa"/>
            <w:tcBorders>
              <w:top w:val="nil"/>
              <w:left w:val="nil"/>
              <w:bottom w:val="single" w:sz="4" w:space="0" w:color="auto"/>
              <w:right w:val="nil"/>
            </w:tcBorders>
            <w:shd w:val="clear" w:color="auto" w:fill="auto"/>
            <w:noWrap/>
            <w:vAlign w:val="center"/>
            <w:hideMark/>
          </w:tcPr>
          <w:p w14:paraId="05B340A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26</w:t>
            </w:r>
          </w:p>
        </w:tc>
        <w:tc>
          <w:tcPr>
            <w:tcW w:w="486" w:type="dxa"/>
            <w:tcBorders>
              <w:top w:val="nil"/>
              <w:left w:val="nil"/>
              <w:bottom w:val="single" w:sz="4" w:space="0" w:color="auto"/>
              <w:right w:val="nil"/>
            </w:tcBorders>
            <w:shd w:val="clear" w:color="auto" w:fill="auto"/>
            <w:noWrap/>
            <w:vAlign w:val="center"/>
            <w:hideMark/>
          </w:tcPr>
          <w:p w14:paraId="48C4209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27</w:t>
            </w:r>
          </w:p>
        </w:tc>
      </w:tr>
      <w:tr w:rsidR="00727A9B" w:rsidRPr="006F5D71" w14:paraId="2C0E5910"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7D1676D5"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w:t>
            </w:r>
          </w:p>
        </w:tc>
        <w:tc>
          <w:tcPr>
            <w:tcW w:w="1257" w:type="dxa"/>
            <w:tcBorders>
              <w:top w:val="nil"/>
              <w:left w:val="nil"/>
              <w:bottom w:val="nil"/>
              <w:right w:val="nil"/>
            </w:tcBorders>
            <w:shd w:val="clear" w:color="auto" w:fill="auto"/>
            <w:noWrap/>
            <w:vAlign w:val="center"/>
            <w:hideMark/>
          </w:tcPr>
          <w:p w14:paraId="61D9BE57"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Divestment</w:t>
            </w:r>
          </w:p>
        </w:tc>
        <w:tc>
          <w:tcPr>
            <w:tcW w:w="518" w:type="dxa"/>
            <w:tcBorders>
              <w:top w:val="nil"/>
              <w:left w:val="nil"/>
              <w:bottom w:val="nil"/>
              <w:right w:val="nil"/>
            </w:tcBorders>
            <w:shd w:val="clear" w:color="auto" w:fill="auto"/>
            <w:noWrap/>
            <w:vAlign w:val="center"/>
            <w:hideMark/>
          </w:tcPr>
          <w:p w14:paraId="7967FE4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2592A82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648FEF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96AF33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700A35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E87738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D681F5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E864A6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0E050E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88D0D8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64BE84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91BB50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6FCAC7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671A37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099736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19EC5E6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BED78A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003B1DC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6F197A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D546AC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A922BD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4A8AA2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593715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47080E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B0E1DB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797FD9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CE804D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0BA5ADE8"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3D7B940D"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w:t>
            </w:r>
          </w:p>
        </w:tc>
        <w:tc>
          <w:tcPr>
            <w:tcW w:w="1257" w:type="dxa"/>
            <w:tcBorders>
              <w:top w:val="nil"/>
              <w:left w:val="nil"/>
              <w:bottom w:val="nil"/>
              <w:right w:val="nil"/>
            </w:tcBorders>
            <w:shd w:val="clear" w:color="auto" w:fill="auto"/>
            <w:noWrap/>
            <w:vAlign w:val="center"/>
            <w:hideMark/>
          </w:tcPr>
          <w:p w14:paraId="48EB9D60" w14:textId="77777777" w:rsidR="00954C29" w:rsidRPr="006F5D71" w:rsidRDefault="00D17530"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Absorptive C</w:t>
            </w:r>
            <w:r w:rsidR="00954C29" w:rsidRPr="006F5D71">
              <w:rPr>
                <w:rFonts w:eastAsia="Times New Roman" w:cs="Times New Roman"/>
                <w:b/>
                <w:bCs/>
                <w:color w:val="000000" w:themeColor="text1"/>
                <w:sz w:val="16"/>
                <w:szCs w:val="16"/>
              </w:rPr>
              <w:t>apacity</w:t>
            </w:r>
          </w:p>
        </w:tc>
        <w:tc>
          <w:tcPr>
            <w:tcW w:w="518" w:type="dxa"/>
            <w:tcBorders>
              <w:top w:val="nil"/>
              <w:left w:val="nil"/>
              <w:bottom w:val="nil"/>
              <w:right w:val="nil"/>
            </w:tcBorders>
            <w:shd w:val="clear" w:color="auto" w:fill="auto"/>
            <w:noWrap/>
            <w:vAlign w:val="center"/>
            <w:hideMark/>
          </w:tcPr>
          <w:p w14:paraId="12013FD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54FC193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6661211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73F205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BC93B5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1F580B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257FB1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447AE6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CFB004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446D0F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BCA95B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5DDE04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BF2AF8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843D74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DA6C2D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618CA7D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C109E4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5493FCB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C525E2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EF3EDE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EFB16B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1A3CCE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3F903B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30FC9F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FC2C2D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DB9BD5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9A0DF5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5677B84A"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6E0D5CD1"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3</w:t>
            </w:r>
          </w:p>
        </w:tc>
        <w:tc>
          <w:tcPr>
            <w:tcW w:w="1257" w:type="dxa"/>
            <w:tcBorders>
              <w:top w:val="nil"/>
              <w:left w:val="nil"/>
              <w:bottom w:val="nil"/>
              <w:right w:val="nil"/>
            </w:tcBorders>
            <w:shd w:val="clear" w:color="auto" w:fill="auto"/>
            <w:noWrap/>
            <w:vAlign w:val="center"/>
            <w:hideMark/>
          </w:tcPr>
          <w:p w14:paraId="11AEBF55" w14:textId="77777777" w:rsidR="00954C29" w:rsidRPr="006F5D71" w:rsidRDefault="00954C29" w:rsidP="00D17530">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 xml:space="preserve">Absorptive Capacity Leader </w:t>
            </w:r>
          </w:p>
        </w:tc>
        <w:tc>
          <w:tcPr>
            <w:tcW w:w="518" w:type="dxa"/>
            <w:tcBorders>
              <w:top w:val="nil"/>
              <w:left w:val="nil"/>
              <w:bottom w:val="nil"/>
              <w:right w:val="nil"/>
            </w:tcBorders>
            <w:shd w:val="clear" w:color="auto" w:fill="auto"/>
            <w:noWrap/>
            <w:vAlign w:val="center"/>
            <w:hideMark/>
          </w:tcPr>
          <w:p w14:paraId="77EEC7A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1E6EAFE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175F278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387C547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4C20F3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3CE4F4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CC332C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77FBEC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AC5D05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1D7B9D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C00FAD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CA306F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54FA9F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C38606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9D6B93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7D8D3BF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E43492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665A3AE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E9292A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811B9C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B10292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608C48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967F11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397EF5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6C5D89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F13CA1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53D948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5E13BDC6"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49E5C008"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4</w:t>
            </w:r>
          </w:p>
        </w:tc>
        <w:tc>
          <w:tcPr>
            <w:tcW w:w="1257" w:type="dxa"/>
            <w:tcBorders>
              <w:top w:val="nil"/>
              <w:left w:val="nil"/>
              <w:bottom w:val="nil"/>
              <w:right w:val="nil"/>
            </w:tcBorders>
            <w:shd w:val="clear" w:color="auto" w:fill="auto"/>
            <w:noWrap/>
            <w:vAlign w:val="center"/>
            <w:hideMark/>
          </w:tcPr>
          <w:p w14:paraId="0E04C1E2"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Profitability</w:t>
            </w:r>
          </w:p>
        </w:tc>
        <w:tc>
          <w:tcPr>
            <w:tcW w:w="518" w:type="dxa"/>
            <w:tcBorders>
              <w:top w:val="nil"/>
              <w:left w:val="nil"/>
              <w:bottom w:val="nil"/>
              <w:right w:val="nil"/>
            </w:tcBorders>
            <w:shd w:val="clear" w:color="auto" w:fill="auto"/>
            <w:noWrap/>
            <w:vAlign w:val="center"/>
            <w:hideMark/>
          </w:tcPr>
          <w:p w14:paraId="678EBFC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6A6157B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336E05E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1EE6532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050FE06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D20608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E22F83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E9987D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2FDE52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14CE80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E6E2CE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3BCB9D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A330C0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3606F8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5A3A73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12520D7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0DC7CE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55B18E5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7AEEF1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D16D10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F5E79B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670892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64B241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BB46EA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405F6E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3DCD31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99B839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4618DF04"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36643C42"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5</w:t>
            </w:r>
          </w:p>
        </w:tc>
        <w:tc>
          <w:tcPr>
            <w:tcW w:w="1257" w:type="dxa"/>
            <w:tcBorders>
              <w:top w:val="nil"/>
              <w:left w:val="nil"/>
              <w:bottom w:val="nil"/>
              <w:right w:val="nil"/>
            </w:tcBorders>
            <w:shd w:val="clear" w:color="auto" w:fill="auto"/>
            <w:noWrap/>
            <w:vAlign w:val="center"/>
            <w:hideMark/>
          </w:tcPr>
          <w:p w14:paraId="3E6875F6" w14:textId="77777777" w:rsidR="00954C29" w:rsidRPr="006F5D71" w:rsidRDefault="00954C29" w:rsidP="00D17530">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 xml:space="preserve">Profitability Leader </w:t>
            </w:r>
          </w:p>
        </w:tc>
        <w:tc>
          <w:tcPr>
            <w:tcW w:w="518" w:type="dxa"/>
            <w:tcBorders>
              <w:top w:val="nil"/>
              <w:left w:val="nil"/>
              <w:bottom w:val="nil"/>
              <w:right w:val="nil"/>
            </w:tcBorders>
            <w:shd w:val="clear" w:color="auto" w:fill="auto"/>
            <w:noWrap/>
            <w:vAlign w:val="center"/>
            <w:hideMark/>
          </w:tcPr>
          <w:p w14:paraId="48822AD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518" w:type="dxa"/>
            <w:tcBorders>
              <w:top w:val="nil"/>
              <w:left w:val="nil"/>
              <w:bottom w:val="nil"/>
              <w:right w:val="nil"/>
            </w:tcBorders>
            <w:shd w:val="clear" w:color="auto" w:fill="auto"/>
            <w:noWrap/>
            <w:vAlign w:val="center"/>
            <w:hideMark/>
          </w:tcPr>
          <w:p w14:paraId="44B371F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33272EF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0140F88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518" w:type="dxa"/>
            <w:tcBorders>
              <w:top w:val="nil"/>
              <w:left w:val="nil"/>
              <w:bottom w:val="nil"/>
              <w:right w:val="nil"/>
            </w:tcBorders>
            <w:shd w:val="clear" w:color="auto" w:fill="auto"/>
            <w:noWrap/>
            <w:vAlign w:val="center"/>
            <w:hideMark/>
          </w:tcPr>
          <w:p w14:paraId="348BC54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711C64B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951056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44A24B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B6EDBC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6F1C7E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48E5FE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502E8B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BA71B7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4D63DD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A0E1F4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3AD2513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18278D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756252A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809B14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6E1C35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E0F80F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3D3BC4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CEAD83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876A44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A8A1FD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FF3B32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32D90C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0FCB2AC6"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43306E6D"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6</w:t>
            </w:r>
          </w:p>
        </w:tc>
        <w:tc>
          <w:tcPr>
            <w:tcW w:w="1257" w:type="dxa"/>
            <w:tcBorders>
              <w:top w:val="nil"/>
              <w:left w:val="nil"/>
              <w:bottom w:val="nil"/>
              <w:right w:val="nil"/>
            </w:tcBorders>
            <w:shd w:val="clear" w:color="auto" w:fill="auto"/>
            <w:noWrap/>
            <w:vAlign w:val="center"/>
            <w:hideMark/>
          </w:tcPr>
          <w:p w14:paraId="34091A80"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Labor Productivity</w:t>
            </w:r>
          </w:p>
        </w:tc>
        <w:tc>
          <w:tcPr>
            <w:tcW w:w="518" w:type="dxa"/>
            <w:tcBorders>
              <w:top w:val="nil"/>
              <w:left w:val="nil"/>
              <w:bottom w:val="nil"/>
              <w:right w:val="nil"/>
            </w:tcBorders>
            <w:shd w:val="clear" w:color="auto" w:fill="auto"/>
            <w:noWrap/>
            <w:vAlign w:val="center"/>
            <w:hideMark/>
          </w:tcPr>
          <w:p w14:paraId="5C4A5E3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2C0E3DC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486" w:type="dxa"/>
            <w:tcBorders>
              <w:top w:val="nil"/>
              <w:left w:val="nil"/>
              <w:bottom w:val="nil"/>
              <w:right w:val="nil"/>
            </w:tcBorders>
            <w:shd w:val="clear" w:color="auto" w:fill="auto"/>
            <w:noWrap/>
            <w:vAlign w:val="center"/>
            <w:hideMark/>
          </w:tcPr>
          <w:p w14:paraId="3964B92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68211B4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591FB55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307D19A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4A4D30D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E56C16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1457EF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22432E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1C0AC3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79BA8F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9AD4C7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85C4BE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7D987E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2F3EB93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453BA0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6B14C34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69597F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3F30EA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E85300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690217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2615A9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BDCB30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CCC4C5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49A503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F0361C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55694188"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00349DBD"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7</w:t>
            </w:r>
          </w:p>
        </w:tc>
        <w:tc>
          <w:tcPr>
            <w:tcW w:w="1257" w:type="dxa"/>
            <w:tcBorders>
              <w:top w:val="nil"/>
              <w:left w:val="nil"/>
              <w:bottom w:val="nil"/>
              <w:right w:val="nil"/>
            </w:tcBorders>
            <w:shd w:val="clear" w:color="auto" w:fill="auto"/>
            <w:noWrap/>
            <w:vAlign w:val="center"/>
            <w:hideMark/>
          </w:tcPr>
          <w:p w14:paraId="7D940AC9" w14:textId="77777777" w:rsidR="00954C29" w:rsidRPr="006F5D71" w:rsidRDefault="00954C29" w:rsidP="00D17530">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 xml:space="preserve">Labor Productivity Leader </w:t>
            </w:r>
          </w:p>
        </w:tc>
        <w:tc>
          <w:tcPr>
            <w:tcW w:w="518" w:type="dxa"/>
            <w:tcBorders>
              <w:top w:val="nil"/>
              <w:left w:val="nil"/>
              <w:bottom w:val="nil"/>
              <w:right w:val="nil"/>
            </w:tcBorders>
            <w:shd w:val="clear" w:color="auto" w:fill="auto"/>
            <w:noWrap/>
            <w:vAlign w:val="center"/>
            <w:hideMark/>
          </w:tcPr>
          <w:p w14:paraId="336ECAE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3C6A571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nil"/>
              <w:right w:val="nil"/>
            </w:tcBorders>
            <w:shd w:val="clear" w:color="auto" w:fill="auto"/>
            <w:noWrap/>
            <w:vAlign w:val="center"/>
            <w:hideMark/>
          </w:tcPr>
          <w:p w14:paraId="569B9AB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2A8A5EE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1966AAC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12B1F08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518" w:type="dxa"/>
            <w:tcBorders>
              <w:top w:val="nil"/>
              <w:left w:val="nil"/>
              <w:bottom w:val="nil"/>
              <w:right w:val="nil"/>
            </w:tcBorders>
            <w:shd w:val="clear" w:color="auto" w:fill="auto"/>
            <w:noWrap/>
            <w:vAlign w:val="center"/>
            <w:hideMark/>
          </w:tcPr>
          <w:p w14:paraId="4F6638C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1F9CDED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01CDE6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E8DE80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50ADB4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C8B66B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AEF991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4D042A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4999E7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7462067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F9FC48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5F431DB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CD8225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AAA3F2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0462D1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F3D78F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455937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205FA0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A554C7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564138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B4D094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68CB50DD"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4203D15A"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8</w:t>
            </w:r>
          </w:p>
        </w:tc>
        <w:tc>
          <w:tcPr>
            <w:tcW w:w="1257" w:type="dxa"/>
            <w:tcBorders>
              <w:top w:val="nil"/>
              <w:left w:val="nil"/>
              <w:bottom w:val="nil"/>
              <w:right w:val="nil"/>
            </w:tcBorders>
            <w:shd w:val="clear" w:color="auto" w:fill="auto"/>
            <w:noWrap/>
            <w:vAlign w:val="center"/>
            <w:hideMark/>
          </w:tcPr>
          <w:p w14:paraId="27834675"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Asset Seeking Motive</w:t>
            </w:r>
          </w:p>
        </w:tc>
        <w:tc>
          <w:tcPr>
            <w:tcW w:w="518" w:type="dxa"/>
            <w:tcBorders>
              <w:top w:val="nil"/>
              <w:left w:val="nil"/>
              <w:bottom w:val="nil"/>
              <w:right w:val="nil"/>
            </w:tcBorders>
            <w:shd w:val="clear" w:color="auto" w:fill="auto"/>
            <w:noWrap/>
            <w:vAlign w:val="center"/>
            <w:hideMark/>
          </w:tcPr>
          <w:p w14:paraId="7232CB6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21B1DA2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3F0BCD2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42CB5FF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0F2C483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30DA36A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3E6F56A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505BD7B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6E6ECD1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BBF984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041548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554812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5EAB0E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79210B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9984B8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2295FDB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F332B7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1918950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F1B25E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F8A1DB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0A370B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927F7E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D5DD6C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4042D0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F408F5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AC77A4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1AB042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30180938"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5AEA226C"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9</w:t>
            </w:r>
          </w:p>
        </w:tc>
        <w:tc>
          <w:tcPr>
            <w:tcW w:w="1257" w:type="dxa"/>
            <w:tcBorders>
              <w:top w:val="nil"/>
              <w:left w:val="nil"/>
              <w:bottom w:val="nil"/>
              <w:right w:val="nil"/>
            </w:tcBorders>
            <w:shd w:val="clear" w:color="auto" w:fill="auto"/>
            <w:noWrap/>
            <w:vAlign w:val="center"/>
            <w:hideMark/>
          </w:tcPr>
          <w:p w14:paraId="633777E7"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Country Risk</w:t>
            </w:r>
          </w:p>
        </w:tc>
        <w:tc>
          <w:tcPr>
            <w:tcW w:w="518" w:type="dxa"/>
            <w:tcBorders>
              <w:top w:val="nil"/>
              <w:left w:val="nil"/>
              <w:bottom w:val="nil"/>
              <w:right w:val="nil"/>
            </w:tcBorders>
            <w:shd w:val="clear" w:color="auto" w:fill="auto"/>
            <w:noWrap/>
            <w:vAlign w:val="center"/>
            <w:hideMark/>
          </w:tcPr>
          <w:p w14:paraId="61FFBD9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2B1A5B6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2D311B5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4FF2B6C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2D5B499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486" w:type="dxa"/>
            <w:tcBorders>
              <w:top w:val="nil"/>
              <w:left w:val="nil"/>
              <w:bottom w:val="nil"/>
              <w:right w:val="nil"/>
            </w:tcBorders>
            <w:shd w:val="clear" w:color="auto" w:fill="auto"/>
            <w:noWrap/>
            <w:vAlign w:val="center"/>
            <w:hideMark/>
          </w:tcPr>
          <w:p w14:paraId="2222D00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2C93F39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42F4A72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3EBE091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1B709E5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A772C4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8EB3E6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3C579E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9E2DBF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F1CE03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41D300F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6D7D85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31947E8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8C75FA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3AD7C9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192389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191395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B50B11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1A5AE7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C221A0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34CD3C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5649E4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186BEF99"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25266883"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10</w:t>
            </w:r>
          </w:p>
        </w:tc>
        <w:tc>
          <w:tcPr>
            <w:tcW w:w="1257" w:type="dxa"/>
            <w:tcBorders>
              <w:top w:val="nil"/>
              <w:left w:val="nil"/>
              <w:bottom w:val="nil"/>
              <w:right w:val="nil"/>
            </w:tcBorders>
            <w:shd w:val="clear" w:color="auto" w:fill="auto"/>
            <w:noWrap/>
            <w:vAlign w:val="center"/>
            <w:hideMark/>
          </w:tcPr>
          <w:p w14:paraId="4D8421C9"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Institutional Distance</w:t>
            </w:r>
          </w:p>
        </w:tc>
        <w:tc>
          <w:tcPr>
            <w:tcW w:w="518" w:type="dxa"/>
            <w:tcBorders>
              <w:top w:val="nil"/>
              <w:left w:val="nil"/>
              <w:bottom w:val="nil"/>
              <w:right w:val="nil"/>
            </w:tcBorders>
            <w:shd w:val="clear" w:color="auto" w:fill="auto"/>
            <w:noWrap/>
            <w:vAlign w:val="center"/>
            <w:hideMark/>
          </w:tcPr>
          <w:p w14:paraId="6110FEB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6407FB5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2141D1B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7516E0D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09BBD0D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486" w:type="dxa"/>
            <w:tcBorders>
              <w:top w:val="nil"/>
              <w:left w:val="nil"/>
              <w:bottom w:val="nil"/>
              <w:right w:val="nil"/>
            </w:tcBorders>
            <w:shd w:val="clear" w:color="auto" w:fill="auto"/>
            <w:noWrap/>
            <w:vAlign w:val="center"/>
            <w:hideMark/>
          </w:tcPr>
          <w:p w14:paraId="0547F8B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351D3CD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3DB35B4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24C1402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18" w:type="dxa"/>
            <w:tcBorders>
              <w:top w:val="nil"/>
              <w:left w:val="nil"/>
              <w:bottom w:val="nil"/>
              <w:right w:val="nil"/>
            </w:tcBorders>
            <w:shd w:val="clear" w:color="auto" w:fill="auto"/>
            <w:noWrap/>
            <w:vAlign w:val="center"/>
            <w:hideMark/>
          </w:tcPr>
          <w:p w14:paraId="24C6189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5EA93FB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DFDABB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7B2593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015478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B65065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7DB20A3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23E745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2102D6D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4F90C1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15280B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521A21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653EE2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CE3FE9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1AA0DE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3E4B2E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7B0538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2808B4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6FBA050C"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7FD37B06"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11</w:t>
            </w:r>
          </w:p>
        </w:tc>
        <w:tc>
          <w:tcPr>
            <w:tcW w:w="1257" w:type="dxa"/>
            <w:tcBorders>
              <w:top w:val="nil"/>
              <w:left w:val="nil"/>
              <w:bottom w:val="nil"/>
              <w:right w:val="nil"/>
            </w:tcBorders>
            <w:shd w:val="clear" w:color="auto" w:fill="auto"/>
            <w:noWrap/>
            <w:vAlign w:val="center"/>
            <w:hideMark/>
          </w:tcPr>
          <w:p w14:paraId="6F23A018"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Exchange Rate Risk</w:t>
            </w:r>
          </w:p>
        </w:tc>
        <w:tc>
          <w:tcPr>
            <w:tcW w:w="518" w:type="dxa"/>
            <w:tcBorders>
              <w:top w:val="nil"/>
              <w:left w:val="nil"/>
              <w:bottom w:val="nil"/>
              <w:right w:val="nil"/>
            </w:tcBorders>
            <w:shd w:val="clear" w:color="auto" w:fill="auto"/>
            <w:noWrap/>
            <w:vAlign w:val="center"/>
            <w:hideMark/>
          </w:tcPr>
          <w:p w14:paraId="44C1AFE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5587170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3A8A372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518" w:type="dxa"/>
            <w:tcBorders>
              <w:top w:val="nil"/>
              <w:left w:val="nil"/>
              <w:bottom w:val="nil"/>
              <w:right w:val="nil"/>
            </w:tcBorders>
            <w:shd w:val="clear" w:color="auto" w:fill="auto"/>
            <w:noWrap/>
            <w:vAlign w:val="center"/>
            <w:hideMark/>
          </w:tcPr>
          <w:p w14:paraId="637309C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F4A974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nil"/>
              <w:right w:val="nil"/>
            </w:tcBorders>
            <w:shd w:val="clear" w:color="auto" w:fill="auto"/>
            <w:noWrap/>
            <w:vAlign w:val="center"/>
            <w:hideMark/>
          </w:tcPr>
          <w:p w14:paraId="7B9AF21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024607A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53A0DE4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5D7CE5C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18" w:type="dxa"/>
            <w:tcBorders>
              <w:top w:val="nil"/>
              <w:left w:val="nil"/>
              <w:bottom w:val="nil"/>
              <w:right w:val="nil"/>
            </w:tcBorders>
            <w:shd w:val="clear" w:color="auto" w:fill="auto"/>
            <w:noWrap/>
            <w:vAlign w:val="center"/>
            <w:hideMark/>
          </w:tcPr>
          <w:p w14:paraId="1B87B77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518" w:type="dxa"/>
            <w:tcBorders>
              <w:top w:val="nil"/>
              <w:left w:val="nil"/>
              <w:bottom w:val="nil"/>
              <w:right w:val="nil"/>
            </w:tcBorders>
            <w:shd w:val="clear" w:color="auto" w:fill="auto"/>
            <w:noWrap/>
            <w:vAlign w:val="center"/>
            <w:hideMark/>
          </w:tcPr>
          <w:p w14:paraId="4095541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3BC7379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4AB874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3715AD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EB72F8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64A7B2D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0860AE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015C028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1D8BB2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29061B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800B42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E0BB80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2A07E9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2249B8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1705B5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E6E1B9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126272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1211F698"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4E60886E"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12</w:t>
            </w:r>
          </w:p>
        </w:tc>
        <w:tc>
          <w:tcPr>
            <w:tcW w:w="1257" w:type="dxa"/>
            <w:tcBorders>
              <w:top w:val="nil"/>
              <w:left w:val="nil"/>
              <w:bottom w:val="nil"/>
              <w:right w:val="nil"/>
            </w:tcBorders>
            <w:shd w:val="clear" w:color="auto" w:fill="auto"/>
            <w:noWrap/>
            <w:vAlign w:val="center"/>
            <w:hideMark/>
          </w:tcPr>
          <w:p w14:paraId="685ED387"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Production Cost Risk</w:t>
            </w:r>
          </w:p>
        </w:tc>
        <w:tc>
          <w:tcPr>
            <w:tcW w:w="518" w:type="dxa"/>
            <w:tcBorders>
              <w:top w:val="nil"/>
              <w:left w:val="nil"/>
              <w:bottom w:val="nil"/>
              <w:right w:val="nil"/>
            </w:tcBorders>
            <w:shd w:val="clear" w:color="auto" w:fill="auto"/>
            <w:noWrap/>
            <w:vAlign w:val="center"/>
            <w:hideMark/>
          </w:tcPr>
          <w:p w14:paraId="18E5CDA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430EE02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2CB8F36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E5EB71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22A202A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0.20</w:t>
            </w:r>
          </w:p>
        </w:tc>
        <w:tc>
          <w:tcPr>
            <w:tcW w:w="486" w:type="dxa"/>
            <w:tcBorders>
              <w:top w:val="nil"/>
              <w:left w:val="nil"/>
              <w:bottom w:val="nil"/>
              <w:right w:val="nil"/>
            </w:tcBorders>
            <w:shd w:val="clear" w:color="auto" w:fill="auto"/>
            <w:noWrap/>
            <w:vAlign w:val="center"/>
            <w:hideMark/>
          </w:tcPr>
          <w:p w14:paraId="3C4CCE0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6989E5E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6A466BB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486" w:type="dxa"/>
            <w:tcBorders>
              <w:top w:val="nil"/>
              <w:left w:val="nil"/>
              <w:bottom w:val="nil"/>
              <w:right w:val="nil"/>
            </w:tcBorders>
            <w:shd w:val="clear" w:color="auto" w:fill="auto"/>
            <w:noWrap/>
            <w:vAlign w:val="center"/>
            <w:hideMark/>
          </w:tcPr>
          <w:p w14:paraId="2A9F5BA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3E8B8EB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0AEE46F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486" w:type="dxa"/>
            <w:tcBorders>
              <w:top w:val="nil"/>
              <w:left w:val="nil"/>
              <w:bottom w:val="nil"/>
              <w:right w:val="nil"/>
            </w:tcBorders>
            <w:shd w:val="clear" w:color="auto" w:fill="auto"/>
            <w:noWrap/>
            <w:vAlign w:val="center"/>
            <w:hideMark/>
          </w:tcPr>
          <w:p w14:paraId="7226293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3D07B32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B71351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10E7D3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53E7448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A3CF83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400C060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8508B3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4F9B82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6B1AEE6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339131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F9EA81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4A30D1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E3A059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2F4803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8E69C9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510F0B10"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562DDF5D"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13</w:t>
            </w:r>
          </w:p>
        </w:tc>
        <w:tc>
          <w:tcPr>
            <w:tcW w:w="1257" w:type="dxa"/>
            <w:tcBorders>
              <w:top w:val="nil"/>
              <w:left w:val="nil"/>
              <w:bottom w:val="nil"/>
              <w:right w:val="nil"/>
            </w:tcBorders>
            <w:shd w:val="clear" w:color="auto" w:fill="auto"/>
            <w:noWrap/>
            <w:vAlign w:val="center"/>
            <w:hideMark/>
          </w:tcPr>
          <w:p w14:paraId="38DECAD4"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Demand Risk</w:t>
            </w:r>
          </w:p>
        </w:tc>
        <w:tc>
          <w:tcPr>
            <w:tcW w:w="518" w:type="dxa"/>
            <w:tcBorders>
              <w:top w:val="nil"/>
              <w:left w:val="nil"/>
              <w:bottom w:val="nil"/>
              <w:right w:val="nil"/>
            </w:tcBorders>
            <w:shd w:val="clear" w:color="auto" w:fill="auto"/>
            <w:noWrap/>
            <w:vAlign w:val="center"/>
            <w:hideMark/>
          </w:tcPr>
          <w:p w14:paraId="5617EAE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6E9B691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nil"/>
              <w:right w:val="nil"/>
            </w:tcBorders>
            <w:shd w:val="clear" w:color="auto" w:fill="auto"/>
            <w:noWrap/>
            <w:vAlign w:val="center"/>
            <w:hideMark/>
          </w:tcPr>
          <w:p w14:paraId="5B1CB5D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77798C7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0D0E9F6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486" w:type="dxa"/>
            <w:tcBorders>
              <w:top w:val="nil"/>
              <w:left w:val="nil"/>
              <w:bottom w:val="nil"/>
              <w:right w:val="nil"/>
            </w:tcBorders>
            <w:shd w:val="clear" w:color="auto" w:fill="auto"/>
            <w:noWrap/>
            <w:vAlign w:val="center"/>
            <w:hideMark/>
          </w:tcPr>
          <w:p w14:paraId="0505005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2BE9E01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647BDA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4944B3C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6BB26F0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0.12</w:t>
            </w:r>
          </w:p>
        </w:tc>
        <w:tc>
          <w:tcPr>
            <w:tcW w:w="518" w:type="dxa"/>
            <w:tcBorders>
              <w:top w:val="nil"/>
              <w:left w:val="nil"/>
              <w:bottom w:val="nil"/>
              <w:right w:val="nil"/>
            </w:tcBorders>
            <w:shd w:val="clear" w:color="auto" w:fill="auto"/>
            <w:noWrap/>
            <w:vAlign w:val="center"/>
            <w:hideMark/>
          </w:tcPr>
          <w:p w14:paraId="375B2CA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486" w:type="dxa"/>
            <w:tcBorders>
              <w:top w:val="nil"/>
              <w:left w:val="nil"/>
              <w:bottom w:val="nil"/>
              <w:right w:val="nil"/>
            </w:tcBorders>
            <w:shd w:val="clear" w:color="auto" w:fill="auto"/>
            <w:noWrap/>
            <w:vAlign w:val="center"/>
            <w:hideMark/>
          </w:tcPr>
          <w:p w14:paraId="3FCDB28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-0.15</w:t>
            </w:r>
          </w:p>
        </w:tc>
        <w:tc>
          <w:tcPr>
            <w:tcW w:w="518" w:type="dxa"/>
            <w:tcBorders>
              <w:top w:val="nil"/>
              <w:left w:val="nil"/>
              <w:bottom w:val="nil"/>
              <w:right w:val="nil"/>
            </w:tcBorders>
            <w:shd w:val="clear" w:color="auto" w:fill="auto"/>
            <w:noWrap/>
            <w:vAlign w:val="center"/>
            <w:hideMark/>
          </w:tcPr>
          <w:p w14:paraId="5145C78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7D0500A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3F7DD3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16EF58A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729FE2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2107EA1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7AB8E8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B87B0A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F90C7D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04E6BE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B8E41A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B78869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9D1400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B92243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083F30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234136FD"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49285581"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14</w:t>
            </w:r>
          </w:p>
        </w:tc>
        <w:tc>
          <w:tcPr>
            <w:tcW w:w="1257" w:type="dxa"/>
            <w:tcBorders>
              <w:top w:val="nil"/>
              <w:left w:val="nil"/>
              <w:bottom w:val="nil"/>
              <w:right w:val="nil"/>
            </w:tcBorders>
            <w:shd w:val="clear" w:color="auto" w:fill="auto"/>
            <w:noWrap/>
            <w:vAlign w:val="center"/>
            <w:hideMark/>
          </w:tcPr>
          <w:p w14:paraId="2B6516E6"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Financial Crisis</w:t>
            </w:r>
          </w:p>
        </w:tc>
        <w:tc>
          <w:tcPr>
            <w:tcW w:w="518" w:type="dxa"/>
            <w:tcBorders>
              <w:top w:val="nil"/>
              <w:left w:val="nil"/>
              <w:bottom w:val="nil"/>
              <w:right w:val="nil"/>
            </w:tcBorders>
            <w:shd w:val="clear" w:color="auto" w:fill="auto"/>
            <w:noWrap/>
            <w:vAlign w:val="center"/>
            <w:hideMark/>
          </w:tcPr>
          <w:p w14:paraId="602C31A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518" w:type="dxa"/>
            <w:tcBorders>
              <w:top w:val="nil"/>
              <w:left w:val="nil"/>
              <w:bottom w:val="nil"/>
              <w:right w:val="nil"/>
            </w:tcBorders>
            <w:shd w:val="clear" w:color="auto" w:fill="auto"/>
            <w:noWrap/>
            <w:vAlign w:val="center"/>
            <w:hideMark/>
          </w:tcPr>
          <w:p w14:paraId="1A797AB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41653D9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63F8501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4824C5A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45BFDFA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6CF3DBC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6243B13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59F28D4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4922D82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58CA1CB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nil"/>
              <w:right w:val="nil"/>
            </w:tcBorders>
            <w:shd w:val="clear" w:color="auto" w:fill="auto"/>
            <w:noWrap/>
            <w:vAlign w:val="center"/>
            <w:hideMark/>
          </w:tcPr>
          <w:p w14:paraId="5CBC713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44F676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353EA4E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3F48D42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2" w:type="dxa"/>
            <w:tcBorders>
              <w:top w:val="nil"/>
              <w:left w:val="nil"/>
              <w:bottom w:val="nil"/>
              <w:right w:val="nil"/>
            </w:tcBorders>
            <w:shd w:val="clear" w:color="auto" w:fill="auto"/>
            <w:noWrap/>
            <w:vAlign w:val="center"/>
            <w:hideMark/>
          </w:tcPr>
          <w:p w14:paraId="6800031B"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384175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5D7F8FE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1C1BA4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014630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927DB9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91FE45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7890C6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FADC5A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8836EC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53DB87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BDA5D7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759A2114"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17E752B1"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15</w:t>
            </w:r>
          </w:p>
        </w:tc>
        <w:tc>
          <w:tcPr>
            <w:tcW w:w="1257" w:type="dxa"/>
            <w:tcBorders>
              <w:top w:val="nil"/>
              <w:left w:val="nil"/>
              <w:bottom w:val="nil"/>
              <w:right w:val="nil"/>
            </w:tcBorders>
            <w:shd w:val="clear" w:color="auto" w:fill="auto"/>
            <w:noWrap/>
            <w:vAlign w:val="center"/>
            <w:hideMark/>
          </w:tcPr>
          <w:p w14:paraId="205C0E6B"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Home Country Diaspora</w:t>
            </w:r>
          </w:p>
        </w:tc>
        <w:tc>
          <w:tcPr>
            <w:tcW w:w="518" w:type="dxa"/>
            <w:tcBorders>
              <w:top w:val="nil"/>
              <w:left w:val="nil"/>
              <w:bottom w:val="nil"/>
              <w:right w:val="nil"/>
            </w:tcBorders>
            <w:shd w:val="clear" w:color="auto" w:fill="auto"/>
            <w:noWrap/>
            <w:vAlign w:val="center"/>
            <w:hideMark/>
          </w:tcPr>
          <w:p w14:paraId="06A1E89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0C652B9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nil"/>
              <w:right w:val="nil"/>
            </w:tcBorders>
            <w:shd w:val="clear" w:color="auto" w:fill="auto"/>
            <w:noWrap/>
            <w:vAlign w:val="center"/>
            <w:hideMark/>
          </w:tcPr>
          <w:p w14:paraId="2046434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28FEB8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264CB4F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67C6AC9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0.13</w:t>
            </w:r>
          </w:p>
        </w:tc>
        <w:tc>
          <w:tcPr>
            <w:tcW w:w="518" w:type="dxa"/>
            <w:tcBorders>
              <w:top w:val="nil"/>
              <w:left w:val="nil"/>
              <w:bottom w:val="nil"/>
              <w:right w:val="nil"/>
            </w:tcBorders>
            <w:shd w:val="clear" w:color="auto" w:fill="auto"/>
            <w:noWrap/>
            <w:vAlign w:val="center"/>
            <w:hideMark/>
          </w:tcPr>
          <w:p w14:paraId="4BD8D0C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57CF83D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4F02C05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379A1B5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2E174F2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4F44DC7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1FC9C14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1A07AB2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333E27D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22" w:type="dxa"/>
            <w:tcBorders>
              <w:top w:val="nil"/>
              <w:left w:val="nil"/>
              <w:bottom w:val="nil"/>
              <w:right w:val="nil"/>
            </w:tcBorders>
            <w:shd w:val="clear" w:color="auto" w:fill="auto"/>
            <w:noWrap/>
            <w:vAlign w:val="center"/>
            <w:hideMark/>
          </w:tcPr>
          <w:p w14:paraId="728B958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FF388B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6CD0FBA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852CC1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B6BB45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DF34E3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A0C8C8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E786DF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D1E67E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285E3D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582626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6070010"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34CD3EEB"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34F3F01B"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16</w:t>
            </w:r>
          </w:p>
        </w:tc>
        <w:tc>
          <w:tcPr>
            <w:tcW w:w="1257" w:type="dxa"/>
            <w:tcBorders>
              <w:top w:val="nil"/>
              <w:left w:val="nil"/>
              <w:bottom w:val="nil"/>
              <w:right w:val="nil"/>
            </w:tcBorders>
            <w:shd w:val="clear" w:color="auto" w:fill="auto"/>
            <w:noWrap/>
            <w:vAlign w:val="center"/>
            <w:hideMark/>
          </w:tcPr>
          <w:p w14:paraId="0D4F0EC2"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Parent Experience in African Region</w:t>
            </w:r>
          </w:p>
        </w:tc>
        <w:tc>
          <w:tcPr>
            <w:tcW w:w="518" w:type="dxa"/>
            <w:tcBorders>
              <w:top w:val="nil"/>
              <w:left w:val="nil"/>
              <w:bottom w:val="nil"/>
              <w:right w:val="nil"/>
            </w:tcBorders>
            <w:shd w:val="clear" w:color="auto" w:fill="auto"/>
            <w:noWrap/>
            <w:vAlign w:val="center"/>
            <w:hideMark/>
          </w:tcPr>
          <w:p w14:paraId="2CF5DEE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-0.14</w:t>
            </w:r>
          </w:p>
        </w:tc>
        <w:tc>
          <w:tcPr>
            <w:tcW w:w="518" w:type="dxa"/>
            <w:tcBorders>
              <w:top w:val="nil"/>
              <w:left w:val="nil"/>
              <w:bottom w:val="nil"/>
              <w:right w:val="nil"/>
            </w:tcBorders>
            <w:shd w:val="clear" w:color="auto" w:fill="auto"/>
            <w:noWrap/>
            <w:vAlign w:val="center"/>
            <w:hideMark/>
          </w:tcPr>
          <w:p w14:paraId="6F740C4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-0.15</w:t>
            </w:r>
          </w:p>
        </w:tc>
        <w:tc>
          <w:tcPr>
            <w:tcW w:w="486" w:type="dxa"/>
            <w:tcBorders>
              <w:top w:val="nil"/>
              <w:left w:val="nil"/>
              <w:bottom w:val="nil"/>
              <w:right w:val="nil"/>
            </w:tcBorders>
            <w:shd w:val="clear" w:color="auto" w:fill="auto"/>
            <w:noWrap/>
            <w:vAlign w:val="center"/>
            <w:hideMark/>
          </w:tcPr>
          <w:p w14:paraId="5207853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058D5F4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1B8CDC4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05EBF74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4879091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665EDC6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603AFAF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51BBC15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2AF5AD2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2E009CF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68937E5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7D63713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6AFAB34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22" w:type="dxa"/>
            <w:tcBorders>
              <w:top w:val="nil"/>
              <w:left w:val="nil"/>
              <w:bottom w:val="nil"/>
              <w:right w:val="nil"/>
            </w:tcBorders>
            <w:shd w:val="clear" w:color="auto" w:fill="auto"/>
            <w:noWrap/>
            <w:vAlign w:val="center"/>
            <w:hideMark/>
          </w:tcPr>
          <w:p w14:paraId="2EBD81E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372CD77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26" w:type="dxa"/>
            <w:tcBorders>
              <w:top w:val="nil"/>
              <w:left w:val="nil"/>
              <w:bottom w:val="nil"/>
              <w:right w:val="nil"/>
            </w:tcBorders>
            <w:shd w:val="clear" w:color="auto" w:fill="auto"/>
            <w:noWrap/>
            <w:vAlign w:val="center"/>
            <w:hideMark/>
          </w:tcPr>
          <w:p w14:paraId="4E53406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AD9BA0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DC1A05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831EE1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E88E90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560ECF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126E97E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7C5E47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DDA6C8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F81E22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18C7680C"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40F38DEB"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lastRenderedPageBreak/>
              <w:t>17</w:t>
            </w:r>
          </w:p>
        </w:tc>
        <w:tc>
          <w:tcPr>
            <w:tcW w:w="1257" w:type="dxa"/>
            <w:tcBorders>
              <w:top w:val="nil"/>
              <w:left w:val="nil"/>
              <w:bottom w:val="nil"/>
              <w:right w:val="nil"/>
            </w:tcBorders>
            <w:shd w:val="clear" w:color="auto" w:fill="auto"/>
            <w:noWrap/>
            <w:vAlign w:val="center"/>
            <w:hideMark/>
          </w:tcPr>
          <w:p w14:paraId="5A985453"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Parent Experience in Asian Region</w:t>
            </w:r>
          </w:p>
        </w:tc>
        <w:tc>
          <w:tcPr>
            <w:tcW w:w="518" w:type="dxa"/>
            <w:tcBorders>
              <w:top w:val="nil"/>
              <w:left w:val="nil"/>
              <w:bottom w:val="nil"/>
              <w:right w:val="nil"/>
            </w:tcBorders>
            <w:shd w:val="clear" w:color="auto" w:fill="auto"/>
            <w:noWrap/>
            <w:vAlign w:val="center"/>
            <w:hideMark/>
          </w:tcPr>
          <w:p w14:paraId="20E7D9D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-0.14</w:t>
            </w:r>
          </w:p>
        </w:tc>
        <w:tc>
          <w:tcPr>
            <w:tcW w:w="518" w:type="dxa"/>
            <w:tcBorders>
              <w:top w:val="nil"/>
              <w:left w:val="nil"/>
              <w:bottom w:val="nil"/>
              <w:right w:val="nil"/>
            </w:tcBorders>
            <w:shd w:val="clear" w:color="auto" w:fill="auto"/>
            <w:noWrap/>
            <w:vAlign w:val="center"/>
            <w:hideMark/>
          </w:tcPr>
          <w:p w14:paraId="799C868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-0.16</w:t>
            </w:r>
          </w:p>
        </w:tc>
        <w:tc>
          <w:tcPr>
            <w:tcW w:w="486" w:type="dxa"/>
            <w:tcBorders>
              <w:top w:val="nil"/>
              <w:left w:val="nil"/>
              <w:bottom w:val="nil"/>
              <w:right w:val="nil"/>
            </w:tcBorders>
            <w:shd w:val="clear" w:color="auto" w:fill="auto"/>
            <w:noWrap/>
            <w:vAlign w:val="center"/>
            <w:hideMark/>
          </w:tcPr>
          <w:p w14:paraId="04E12A0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4D1631A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677C793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2D43E64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20E56EA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1CD3067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66ABB82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64C3ACF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41CF7DE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501E28F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3017477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081DFDC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019E32D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22" w:type="dxa"/>
            <w:tcBorders>
              <w:top w:val="nil"/>
              <w:left w:val="nil"/>
              <w:bottom w:val="nil"/>
              <w:right w:val="nil"/>
            </w:tcBorders>
            <w:shd w:val="clear" w:color="auto" w:fill="auto"/>
            <w:noWrap/>
            <w:vAlign w:val="center"/>
            <w:hideMark/>
          </w:tcPr>
          <w:p w14:paraId="2D11DAC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2103726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26" w:type="dxa"/>
            <w:tcBorders>
              <w:top w:val="nil"/>
              <w:left w:val="nil"/>
              <w:bottom w:val="nil"/>
              <w:right w:val="nil"/>
            </w:tcBorders>
            <w:shd w:val="clear" w:color="auto" w:fill="auto"/>
            <w:noWrap/>
            <w:vAlign w:val="center"/>
            <w:hideMark/>
          </w:tcPr>
          <w:p w14:paraId="1C493B9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07FE15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4F4A1C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7EE54D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D3A5D6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31E1E5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57E0AD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F72351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B6B978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9A136F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2F6AE563"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34EF498F"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18</w:t>
            </w:r>
          </w:p>
        </w:tc>
        <w:tc>
          <w:tcPr>
            <w:tcW w:w="1257" w:type="dxa"/>
            <w:tcBorders>
              <w:top w:val="nil"/>
              <w:left w:val="nil"/>
              <w:bottom w:val="nil"/>
              <w:right w:val="nil"/>
            </w:tcBorders>
            <w:shd w:val="clear" w:color="auto" w:fill="auto"/>
            <w:noWrap/>
            <w:vAlign w:val="center"/>
            <w:hideMark/>
          </w:tcPr>
          <w:p w14:paraId="5AE5CB70"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Parent Experience in Arab Region</w:t>
            </w:r>
          </w:p>
        </w:tc>
        <w:tc>
          <w:tcPr>
            <w:tcW w:w="518" w:type="dxa"/>
            <w:tcBorders>
              <w:top w:val="nil"/>
              <w:left w:val="nil"/>
              <w:bottom w:val="nil"/>
              <w:right w:val="nil"/>
            </w:tcBorders>
            <w:shd w:val="clear" w:color="auto" w:fill="auto"/>
            <w:noWrap/>
            <w:vAlign w:val="center"/>
            <w:hideMark/>
          </w:tcPr>
          <w:p w14:paraId="3CBA756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18" w:type="dxa"/>
            <w:tcBorders>
              <w:top w:val="nil"/>
              <w:left w:val="nil"/>
              <w:bottom w:val="nil"/>
              <w:right w:val="nil"/>
            </w:tcBorders>
            <w:shd w:val="clear" w:color="auto" w:fill="auto"/>
            <w:noWrap/>
            <w:vAlign w:val="center"/>
            <w:hideMark/>
          </w:tcPr>
          <w:p w14:paraId="5836077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-0.14</w:t>
            </w:r>
          </w:p>
        </w:tc>
        <w:tc>
          <w:tcPr>
            <w:tcW w:w="486" w:type="dxa"/>
            <w:tcBorders>
              <w:top w:val="nil"/>
              <w:left w:val="nil"/>
              <w:bottom w:val="nil"/>
              <w:right w:val="nil"/>
            </w:tcBorders>
            <w:shd w:val="clear" w:color="auto" w:fill="auto"/>
            <w:noWrap/>
            <w:vAlign w:val="center"/>
            <w:hideMark/>
          </w:tcPr>
          <w:p w14:paraId="2BC867E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4246A0F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2A9A2FB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7824A53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30E2275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6F0CD74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5AAAA27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5F28998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3395F2F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1A97707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518" w:type="dxa"/>
            <w:tcBorders>
              <w:top w:val="nil"/>
              <w:left w:val="nil"/>
              <w:bottom w:val="nil"/>
              <w:right w:val="nil"/>
            </w:tcBorders>
            <w:shd w:val="clear" w:color="auto" w:fill="auto"/>
            <w:noWrap/>
            <w:vAlign w:val="center"/>
            <w:hideMark/>
          </w:tcPr>
          <w:p w14:paraId="3EC21A3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37745E1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06495A7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22" w:type="dxa"/>
            <w:tcBorders>
              <w:top w:val="nil"/>
              <w:left w:val="nil"/>
              <w:bottom w:val="nil"/>
              <w:right w:val="nil"/>
            </w:tcBorders>
            <w:shd w:val="clear" w:color="auto" w:fill="auto"/>
            <w:noWrap/>
            <w:vAlign w:val="center"/>
            <w:hideMark/>
          </w:tcPr>
          <w:p w14:paraId="47213C9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611F064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26" w:type="dxa"/>
            <w:tcBorders>
              <w:top w:val="nil"/>
              <w:left w:val="nil"/>
              <w:bottom w:val="nil"/>
              <w:right w:val="nil"/>
            </w:tcBorders>
            <w:shd w:val="clear" w:color="auto" w:fill="auto"/>
            <w:noWrap/>
            <w:vAlign w:val="center"/>
            <w:hideMark/>
          </w:tcPr>
          <w:p w14:paraId="7E4101A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1EE9230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0F2C3B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C4A8E4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3413B7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8943AB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99D9EE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EE5D9A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72DB144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9A5243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4E965DFF"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32EEE287"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19</w:t>
            </w:r>
          </w:p>
        </w:tc>
        <w:tc>
          <w:tcPr>
            <w:tcW w:w="1257" w:type="dxa"/>
            <w:tcBorders>
              <w:top w:val="nil"/>
              <w:left w:val="nil"/>
              <w:bottom w:val="nil"/>
              <w:right w:val="nil"/>
            </w:tcBorders>
            <w:shd w:val="clear" w:color="auto" w:fill="auto"/>
            <w:noWrap/>
            <w:vAlign w:val="center"/>
            <w:hideMark/>
          </w:tcPr>
          <w:p w14:paraId="11752D89"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Sunk Cost</w:t>
            </w:r>
          </w:p>
        </w:tc>
        <w:tc>
          <w:tcPr>
            <w:tcW w:w="518" w:type="dxa"/>
            <w:tcBorders>
              <w:top w:val="nil"/>
              <w:left w:val="nil"/>
              <w:bottom w:val="nil"/>
              <w:right w:val="nil"/>
            </w:tcBorders>
            <w:shd w:val="clear" w:color="auto" w:fill="auto"/>
            <w:noWrap/>
            <w:vAlign w:val="center"/>
            <w:hideMark/>
          </w:tcPr>
          <w:p w14:paraId="5760A81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321DC44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3B00125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0CCD5E9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3DB19FE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486" w:type="dxa"/>
            <w:tcBorders>
              <w:top w:val="nil"/>
              <w:left w:val="nil"/>
              <w:bottom w:val="nil"/>
              <w:right w:val="nil"/>
            </w:tcBorders>
            <w:shd w:val="clear" w:color="auto" w:fill="auto"/>
            <w:noWrap/>
            <w:vAlign w:val="center"/>
            <w:hideMark/>
          </w:tcPr>
          <w:p w14:paraId="6250B98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DEA9B5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3C55C83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41EE087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63C7C96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0287084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11566A8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518" w:type="dxa"/>
            <w:tcBorders>
              <w:top w:val="nil"/>
              <w:left w:val="nil"/>
              <w:bottom w:val="nil"/>
              <w:right w:val="nil"/>
            </w:tcBorders>
            <w:shd w:val="clear" w:color="auto" w:fill="auto"/>
            <w:noWrap/>
            <w:vAlign w:val="center"/>
            <w:hideMark/>
          </w:tcPr>
          <w:p w14:paraId="3B41C73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6584515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2032221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22" w:type="dxa"/>
            <w:tcBorders>
              <w:top w:val="nil"/>
              <w:left w:val="nil"/>
              <w:bottom w:val="nil"/>
              <w:right w:val="nil"/>
            </w:tcBorders>
            <w:shd w:val="clear" w:color="auto" w:fill="auto"/>
            <w:noWrap/>
            <w:vAlign w:val="center"/>
            <w:hideMark/>
          </w:tcPr>
          <w:p w14:paraId="3E52CD3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09983A7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26" w:type="dxa"/>
            <w:tcBorders>
              <w:top w:val="nil"/>
              <w:left w:val="nil"/>
              <w:bottom w:val="nil"/>
              <w:right w:val="nil"/>
            </w:tcBorders>
            <w:shd w:val="clear" w:color="auto" w:fill="auto"/>
            <w:noWrap/>
            <w:vAlign w:val="center"/>
            <w:hideMark/>
          </w:tcPr>
          <w:p w14:paraId="3007752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2926C43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4F426AC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206B38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622F39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55E82A7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46B1268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5204EC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137B0F8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3102CD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20BB581C"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79A0EA8E"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20</w:t>
            </w:r>
          </w:p>
        </w:tc>
        <w:tc>
          <w:tcPr>
            <w:tcW w:w="1257" w:type="dxa"/>
            <w:tcBorders>
              <w:top w:val="nil"/>
              <w:left w:val="nil"/>
              <w:bottom w:val="nil"/>
              <w:right w:val="nil"/>
            </w:tcBorders>
            <w:shd w:val="clear" w:color="auto" w:fill="auto"/>
            <w:noWrap/>
            <w:vAlign w:val="center"/>
            <w:hideMark/>
          </w:tcPr>
          <w:p w14:paraId="2D535182"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ROA</w:t>
            </w:r>
          </w:p>
        </w:tc>
        <w:tc>
          <w:tcPr>
            <w:tcW w:w="518" w:type="dxa"/>
            <w:tcBorders>
              <w:top w:val="nil"/>
              <w:left w:val="nil"/>
              <w:bottom w:val="nil"/>
              <w:right w:val="nil"/>
            </w:tcBorders>
            <w:shd w:val="clear" w:color="auto" w:fill="auto"/>
            <w:noWrap/>
            <w:vAlign w:val="center"/>
            <w:hideMark/>
          </w:tcPr>
          <w:p w14:paraId="706AAEE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47C3F8F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4432955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6398D9C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79E70AE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0.13</w:t>
            </w:r>
          </w:p>
        </w:tc>
        <w:tc>
          <w:tcPr>
            <w:tcW w:w="486" w:type="dxa"/>
            <w:tcBorders>
              <w:top w:val="nil"/>
              <w:left w:val="nil"/>
              <w:bottom w:val="nil"/>
              <w:right w:val="nil"/>
            </w:tcBorders>
            <w:shd w:val="clear" w:color="auto" w:fill="auto"/>
            <w:noWrap/>
            <w:vAlign w:val="center"/>
            <w:hideMark/>
          </w:tcPr>
          <w:p w14:paraId="2F99D31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3B44531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4734F14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5519DD2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5C470F1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2D1BD0D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1F275A8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18" w:type="dxa"/>
            <w:tcBorders>
              <w:top w:val="nil"/>
              <w:left w:val="nil"/>
              <w:bottom w:val="nil"/>
              <w:right w:val="nil"/>
            </w:tcBorders>
            <w:shd w:val="clear" w:color="auto" w:fill="auto"/>
            <w:noWrap/>
            <w:vAlign w:val="center"/>
            <w:hideMark/>
          </w:tcPr>
          <w:p w14:paraId="43C92DD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17F02C1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73D7E41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22" w:type="dxa"/>
            <w:tcBorders>
              <w:top w:val="nil"/>
              <w:left w:val="nil"/>
              <w:bottom w:val="nil"/>
              <w:right w:val="nil"/>
            </w:tcBorders>
            <w:shd w:val="clear" w:color="auto" w:fill="auto"/>
            <w:noWrap/>
            <w:vAlign w:val="center"/>
            <w:hideMark/>
          </w:tcPr>
          <w:p w14:paraId="3C56249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4FC7885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26" w:type="dxa"/>
            <w:tcBorders>
              <w:top w:val="nil"/>
              <w:left w:val="nil"/>
              <w:bottom w:val="nil"/>
              <w:right w:val="nil"/>
            </w:tcBorders>
            <w:shd w:val="clear" w:color="auto" w:fill="auto"/>
            <w:noWrap/>
            <w:vAlign w:val="center"/>
            <w:hideMark/>
          </w:tcPr>
          <w:p w14:paraId="34C6E56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4D5C3C5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6682F8B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498B9583"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AF39C0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EB69A48"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E4983C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6551A8B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8C311B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E8C202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3D7749EB"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4E2FE404"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21</w:t>
            </w:r>
          </w:p>
        </w:tc>
        <w:tc>
          <w:tcPr>
            <w:tcW w:w="1257" w:type="dxa"/>
            <w:tcBorders>
              <w:top w:val="nil"/>
              <w:left w:val="nil"/>
              <w:bottom w:val="nil"/>
              <w:right w:val="nil"/>
            </w:tcBorders>
            <w:shd w:val="clear" w:color="auto" w:fill="auto"/>
            <w:noWrap/>
            <w:vAlign w:val="center"/>
            <w:hideMark/>
          </w:tcPr>
          <w:p w14:paraId="1E4B4FFC"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Equity Ownership</w:t>
            </w:r>
          </w:p>
        </w:tc>
        <w:tc>
          <w:tcPr>
            <w:tcW w:w="518" w:type="dxa"/>
            <w:tcBorders>
              <w:top w:val="nil"/>
              <w:left w:val="nil"/>
              <w:bottom w:val="nil"/>
              <w:right w:val="nil"/>
            </w:tcBorders>
            <w:shd w:val="clear" w:color="auto" w:fill="auto"/>
            <w:noWrap/>
            <w:vAlign w:val="center"/>
            <w:hideMark/>
          </w:tcPr>
          <w:p w14:paraId="4A484AE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526EE11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486" w:type="dxa"/>
            <w:tcBorders>
              <w:top w:val="nil"/>
              <w:left w:val="nil"/>
              <w:bottom w:val="nil"/>
              <w:right w:val="nil"/>
            </w:tcBorders>
            <w:shd w:val="clear" w:color="auto" w:fill="auto"/>
            <w:noWrap/>
            <w:vAlign w:val="center"/>
            <w:hideMark/>
          </w:tcPr>
          <w:p w14:paraId="02BD8F9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3D3A46B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518" w:type="dxa"/>
            <w:tcBorders>
              <w:top w:val="nil"/>
              <w:left w:val="nil"/>
              <w:bottom w:val="nil"/>
              <w:right w:val="nil"/>
            </w:tcBorders>
            <w:shd w:val="clear" w:color="auto" w:fill="auto"/>
            <w:noWrap/>
            <w:vAlign w:val="center"/>
            <w:hideMark/>
          </w:tcPr>
          <w:p w14:paraId="7FB85A9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486" w:type="dxa"/>
            <w:tcBorders>
              <w:top w:val="nil"/>
              <w:left w:val="nil"/>
              <w:bottom w:val="nil"/>
              <w:right w:val="nil"/>
            </w:tcBorders>
            <w:shd w:val="clear" w:color="auto" w:fill="auto"/>
            <w:noWrap/>
            <w:vAlign w:val="center"/>
            <w:hideMark/>
          </w:tcPr>
          <w:p w14:paraId="5E78177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4029FEE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2625FF9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1ACA81B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-0.13</w:t>
            </w:r>
          </w:p>
        </w:tc>
        <w:tc>
          <w:tcPr>
            <w:tcW w:w="518" w:type="dxa"/>
            <w:tcBorders>
              <w:top w:val="nil"/>
              <w:left w:val="nil"/>
              <w:bottom w:val="nil"/>
              <w:right w:val="nil"/>
            </w:tcBorders>
            <w:shd w:val="clear" w:color="auto" w:fill="auto"/>
            <w:noWrap/>
            <w:vAlign w:val="center"/>
            <w:hideMark/>
          </w:tcPr>
          <w:p w14:paraId="65DE549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1D60174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0A6999E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10429CC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6685079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486" w:type="dxa"/>
            <w:tcBorders>
              <w:top w:val="nil"/>
              <w:left w:val="nil"/>
              <w:bottom w:val="nil"/>
              <w:right w:val="nil"/>
            </w:tcBorders>
            <w:shd w:val="clear" w:color="auto" w:fill="auto"/>
            <w:noWrap/>
            <w:vAlign w:val="center"/>
            <w:hideMark/>
          </w:tcPr>
          <w:p w14:paraId="1880CD0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22" w:type="dxa"/>
            <w:tcBorders>
              <w:top w:val="nil"/>
              <w:left w:val="nil"/>
              <w:bottom w:val="nil"/>
              <w:right w:val="nil"/>
            </w:tcBorders>
            <w:shd w:val="clear" w:color="auto" w:fill="auto"/>
            <w:noWrap/>
            <w:vAlign w:val="center"/>
            <w:hideMark/>
          </w:tcPr>
          <w:p w14:paraId="2047311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6633BA4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26" w:type="dxa"/>
            <w:tcBorders>
              <w:top w:val="nil"/>
              <w:left w:val="nil"/>
              <w:bottom w:val="nil"/>
              <w:right w:val="nil"/>
            </w:tcBorders>
            <w:shd w:val="clear" w:color="auto" w:fill="auto"/>
            <w:noWrap/>
            <w:vAlign w:val="center"/>
            <w:hideMark/>
          </w:tcPr>
          <w:p w14:paraId="697E8EC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0.21</w:t>
            </w:r>
          </w:p>
        </w:tc>
        <w:tc>
          <w:tcPr>
            <w:tcW w:w="518" w:type="dxa"/>
            <w:tcBorders>
              <w:top w:val="nil"/>
              <w:left w:val="nil"/>
              <w:bottom w:val="nil"/>
              <w:right w:val="nil"/>
            </w:tcBorders>
            <w:shd w:val="clear" w:color="auto" w:fill="auto"/>
            <w:noWrap/>
            <w:vAlign w:val="center"/>
            <w:hideMark/>
          </w:tcPr>
          <w:p w14:paraId="3738900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0FFB5D8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486" w:type="dxa"/>
            <w:tcBorders>
              <w:top w:val="nil"/>
              <w:left w:val="nil"/>
              <w:bottom w:val="nil"/>
              <w:right w:val="nil"/>
            </w:tcBorders>
            <w:shd w:val="clear" w:color="auto" w:fill="auto"/>
            <w:noWrap/>
            <w:vAlign w:val="center"/>
            <w:hideMark/>
          </w:tcPr>
          <w:p w14:paraId="393FC1D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5DFCE92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4A88EA36"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18DF52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E03BE3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30A4983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570A50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76A30187"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245B9071"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22</w:t>
            </w:r>
          </w:p>
        </w:tc>
        <w:tc>
          <w:tcPr>
            <w:tcW w:w="1257" w:type="dxa"/>
            <w:tcBorders>
              <w:top w:val="nil"/>
              <w:left w:val="nil"/>
              <w:bottom w:val="nil"/>
              <w:right w:val="nil"/>
            </w:tcBorders>
            <w:shd w:val="clear" w:color="auto" w:fill="auto"/>
            <w:noWrap/>
            <w:vAlign w:val="center"/>
            <w:hideMark/>
          </w:tcPr>
          <w:p w14:paraId="67C1113F"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Parent Size</w:t>
            </w:r>
          </w:p>
        </w:tc>
        <w:tc>
          <w:tcPr>
            <w:tcW w:w="518" w:type="dxa"/>
            <w:tcBorders>
              <w:top w:val="nil"/>
              <w:left w:val="nil"/>
              <w:bottom w:val="nil"/>
              <w:right w:val="nil"/>
            </w:tcBorders>
            <w:shd w:val="clear" w:color="auto" w:fill="auto"/>
            <w:noWrap/>
            <w:vAlign w:val="center"/>
            <w:hideMark/>
          </w:tcPr>
          <w:p w14:paraId="74BF81B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-0.19</w:t>
            </w:r>
          </w:p>
        </w:tc>
        <w:tc>
          <w:tcPr>
            <w:tcW w:w="518" w:type="dxa"/>
            <w:tcBorders>
              <w:top w:val="nil"/>
              <w:left w:val="nil"/>
              <w:bottom w:val="nil"/>
              <w:right w:val="nil"/>
            </w:tcBorders>
            <w:shd w:val="clear" w:color="auto" w:fill="auto"/>
            <w:noWrap/>
            <w:vAlign w:val="center"/>
            <w:hideMark/>
          </w:tcPr>
          <w:p w14:paraId="71DF3B0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1BE8E37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0.14</w:t>
            </w:r>
          </w:p>
        </w:tc>
        <w:tc>
          <w:tcPr>
            <w:tcW w:w="518" w:type="dxa"/>
            <w:tcBorders>
              <w:top w:val="nil"/>
              <w:left w:val="nil"/>
              <w:bottom w:val="nil"/>
              <w:right w:val="nil"/>
            </w:tcBorders>
            <w:shd w:val="clear" w:color="auto" w:fill="auto"/>
            <w:noWrap/>
            <w:vAlign w:val="center"/>
            <w:hideMark/>
          </w:tcPr>
          <w:p w14:paraId="506A6D2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1DEA116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37A9E0D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518" w:type="dxa"/>
            <w:tcBorders>
              <w:top w:val="nil"/>
              <w:left w:val="nil"/>
              <w:bottom w:val="nil"/>
              <w:right w:val="nil"/>
            </w:tcBorders>
            <w:shd w:val="clear" w:color="auto" w:fill="auto"/>
            <w:noWrap/>
            <w:vAlign w:val="center"/>
            <w:hideMark/>
          </w:tcPr>
          <w:p w14:paraId="0B23D58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0.12</w:t>
            </w:r>
          </w:p>
        </w:tc>
        <w:tc>
          <w:tcPr>
            <w:tcW w:w="518" w:type="dxa"/>
            <w:tcBorders>
              <w:top w:val="nil"/>
              <w:left w:val="nil"/>
              <w:bottom w:val="nil"/>
              <w:right w:val="nil"/>
            </w:tcBorders>
            <w:shd w:val="clear" w:color="auto" w:fill="auto"/>
            <w:noWrap/>
            <w:vAlign w:val="center"/>
            <w:hideMark/>
          </w:tcPr>
          <w:p w14:paraId="78C356B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78E2669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2085E2F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B60847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50C7345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0530607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2BF0EA0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544DF41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22" w:type="dxa"/>
            <w:tcBorders>
              <w:top w:val="nil"/>
              <w:left w:val="nil"/>
              <w:bottom w:val="nil"/>
              <w:right w:val="nil"/>
            </w:tcBorders>
            <w:shd w:val="clear" w:color="auto" w:fill="auto"/>
            <w:noWrap/>
            <w:vAlign w:val="center"/>
            <w:hideMark/>
          </w:tcPr>
          <w:p w14:paraId="4D9AEEE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4BCAE84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26" w:type="dxa"/>
            <w:tcBorders>
              <w:top w:val="nil"/>
              <w:left w:val="nil"/>
              <w:bottom w:val="nil"/>
              <w:right w:val="nil"/>
            </w:tcBorders>
            <w:shd w:val="clear" w:color="auto" w:fill="auto"/>
            <w:noWrap/>
            <w:vAlign w:val="center"/>
            <w:hideMark/>
          </w:tcPr>
          <w:p w14:paraId="423D007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3948DDC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3B710CB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7B02624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25816A2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70D14522"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27561EB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DE4312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63EC8F7"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51B061C1"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42403CF7"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667E7EC5"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23</w:t>
            </w:r>
          </w:p>
        </w:tc>
        <w:tc>
          <w:tcPr>
            <w:tcW w:w="1257" w:type="dxa"/>
            <w:tcBorders>
              <w:top w:val="nil"/>
              <w:left w:val="nil"/>
              <w:bottom w:val="nil"/>
              <w:right w:val="nil"/>
            </w:tcBorders>
            <w:shd w:val="clear" w:color="auto" w:fill="auto"/>
            <w:noWrap/>
            <w:vAlign w:val="center"/>
            <w:hideMark/>
          </w:tcPr>
          <w:p w14:paraId="1DD2269B"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Subsidiary Size</w:t>
            </w:r>
          </w:p>
        </w:tc>
        <w:tc>
          <w:tcPr>
            <w:tcW w:w="518" w:type="dxa"/>
            <w:tcBorders>
              <w:top w:val="nil"/>
              <w:left w:val="nil"/>
              <w:bottom w:val="nil"/>
              <w:right w:val="nil"/>
            </w:tcBorders>
            <w:shd w:val="clear" w:color="auto" w:fill="auto"/>
            <w:noWrap/>
            <w:vAlign w:val="center"/>
            <w:hideMark/>
          </w:tcPr>
          <w:p w14:paraId="221FD66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-0.15</w:t>
            </w:r>
          </w:p>
        </w:tc>
        <w:tc>
          <w:tcPr>
            <w:tcW w:w="518" w:type="dxa"/>
            <w:tcBorders>
              <w:top w:val="nil"/>
              <w:left w:val="nil"/>
              <w:bottom w:val="nil"/>
              <w:right w:val="nil"/>
            </w:tcBorders>
            <w:shd w:val="clear" w:color="auto" w:fill="auto"/>
            <w:noWrap/>
            <w:vAlign w:val="center"/>
            <w:hideMark/>
          </w:tcPr>
          <w:p w14:paraId="3A7051C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nil"/>
              <w:right w:val="nil"/>
            </w:tcBorders>
            <w:shd w:val="clear" w:color="auto" w:fill="auto"/>
            <w:noWrap/>
            <w:vAlign w:val="center"/>
            <w:hideMark/>
          </w:tcPr>
          <w:p w14:paraId="01FE39E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10FF268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277524C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541148E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518" w:type="dxa"/>
            <w:tcBorders>
              <w:top w:val="nil"/>
              <w:left w:val="nil"/>
              <w:bottom w:val="nil"/>
              <w:right w:val="nil"/>
            </w:tcBorders>
            <w:shd w:val="clear" w:color="auto" w:fill="auto"/>
            <w:noWrap/>
            <w:vAlign w:val="center"/>
            <w:hideMark/>
          </w:tcPr>
          <w:p w14:paraId="36259E0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18" w:type="dxa"/>
            <w:tcBorders>
              <w:top w:val="nil"/>
              <w:left w:val="nil"/>
              <w:bottom w:val="nil"/>
              <w:right w:val="nil"/>
            </w:tcBorders>
            <w:shd w:val="clear" w:color="auto" w:fill="auto"/>
            <w:noWrap/>
            <w:vAlign w:val="center"/>
            <w:hideMark/>
          </w:tcPr>
          <w:p w14:paraId="5C2B640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07A94E5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052E30E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5815C4B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5629457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085A2ED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06C47ED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3B4304E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22" w:type="dxa"/>
            <w:tcBorders>
              <w:top w:val="nil"/>
              <w:left w:val="nil"/>
              <w:bottom w:val="nil"/>
              <w:right w:val="nil"/>
            </w:tcBorders>
            <w:shd w:val="clear" w:color="auto" w:fill="auto"/>
            <w:noWrap/>
            <w:vAlign w:val="center"/>
            <w:hideMark/>
          </w:tcPr>
          <w:p w14:paraId="151FE2F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518" w:type="dxa"/>
            <w:tcBorders>
              <w:top w:val="nil"/>
              <w:left w:val="nil"/>
              <w:bottom w:val="nil"/>
              <w:right w:val="nil"/>
            </w:tcBorders>
            <w:shd w:val="clear" w:color="auto" w:fill="auto"/>
            <w:noWrap/>
            <w:vAlign w:val="center"/>
            <w:hideMark/>
          </w:tcPr>
          <w:p w14:paraId="0353F24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26" w:type="dxa"/>
            <w:tcBorders>
              <w:top w:val="nil"/>
              <w:left w:val="nil"/>
              <w:bottom w:val="nil"/>
              <w:right w:val="nil"/>
            </w:tcBorders>
            <w:shd w:val="clear" w:color="auto" w:fill="auto"/>
            <w:noWrap/>
            <w:vAlign w:val="center"/>
            <w:hideMark/>
          </w:tcPr>
          <w:p w14:paraId="46827CF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0.21</w:t>
            </w:r>
          </w:p>
        </w:tc>
        <w:tc>
          <w:tcPr>
            <w:tcW w:w="518" w:type="dxa"/>
            <w:tcBorders>
              <w:top w:val="nil"/>
              <w:left w:val="nil"/>
              <w:bottom w:val="nil"/>
              <w:right w:val="nil"/>
            </w:tcBorders>
            <w:shd w:val="clear" w:color="auto" w:fill="auto"/>
            <w:noWrap/>
            <w:vAlign w:val="center"/>
            <w:hideMark/>
          </w:tcPr>
          <w:p w14:paraId="1701BEA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38FC7EE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486" w:type="dxa"/>
            <w:tcBorders>
              <w:top w:val="nil"/>
              <w:left w:val="nil"/>
              <w:bottom w:val="nil"/>
              <w:right w:val="nil"/>
            </w:tcBorders>
            <w:shd w:val="clear" w:color="auto" w:fill="auto"/>
            <w:noWrap/>
            <w:vAlign w:val="center"/>
            <w:hideMark/>
          </w:tcPr>
          <w:p w14:paraId="499D93D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3D3DD88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0.12</w:t>
            </w:r>
          </w:p>
        </w:tc>
        <w:tc>
          <w:tcPr>
            <w:tcW w:w="518" w:type="dxa"/>
            <w:tcBorders>
              <w:top w:val="nil"/>
              <w:left w:val="nil"/>
              <w:bottom w:val="nil"/>
              <w:right w:val="nil"/>
            </w:tcBorders>
            <w:shd w:val="clear" w:color="auto" w:fill="auto"/>
            <w:noWrap/>
            <w:vAlign w:val="center"/>
            <w:hideMark/>
          </w:tcPr>
          <w:p w14:paraId="08A9889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6AE8F95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6B36B0F"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2C1EE51C"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384821A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0AED28C4"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356FB123"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24</w:t>
            </w:r>
          </w:p>
        </w:tc>
        <w:tc>
          <w:tcPr>
            <w:tcW w:w="1257" w:type="dxa"/>
            <w:tcBorders>
              <w:top w:val="nil"/>
              <w:left w:val="nil"/>
              <w:bottom w:val="nil"/>
              <w:right w:val="nil"/>
            </w:tcBorders>
            <w:shd w:val="clear" w:color="auto" w:fill="auto"/>
            <w:noWrap/>
            <w:vAlign w:val="center"/>
            <w:hideMark/>
          </w:tcPr>
          <w:p w14:paraId="18EB6AA7"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Leverage</w:t>
            </w:r>
          </w:p>
        </w:tc>
        <w:tc>
          <w:tcPr>
            <w:tcW w:w="518" w:type="dxa"/>
            <w:tcBorders>
              <w:top w:val="nil"/>
              <w:left w:val="nil"/>
              <w:bottom w:val="nil"/>
              <w:right w:val="nil"/>
            </w:tcBorders>
            <w:shd w:val="clear" w:color="auto" w:fill="auto"/>
            <w:noWrap/>
            <w:vAlign w:val="center"/>
            <w:hideMark/>
          </w:tcPr>
          <w:p w14:paraId="1A67417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06473FE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nil"/>
              <w:right w:val="nil"/>
            </w:tcBorders>
            <w:shd w:val="clear" w:color="auto" w:fill="auto"/>
            <w:noWrap/>
            <w:vAlign w:val="center"/>
            <w:hideMark/>
          </w:tcPr>
          <w:p w14:paraId="766C752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39D78EB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1D8B072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799F3D7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0.12</w:t>
            </w:r>
          </w:p>
        </w:tc>
        <w:tc>
          <w:tcPr>
            <w:tcW w:w="518" w:type="dxa"/>
            <w:tcBorders>
              <w:top w:val="nil"/>
              <w:left w:val="nil"/>
              <w:bottom w:val="nil"/>
              <w:right w:val="nil"/>
            </w:tcBorders>
            <w:shd w:val="clear" w:color="auto" w:fill="auto"/>
            <w:noWrap/>
            <w:vAlign w:val="center"/>
            <w:hideMark/>
          </w:tcPr>
          <w:p w14:paraId="6D06ACB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518" w:type="dxa"/>
            <w:tcBorders>
              <w:top w:val="nil"/>
              <w:left w:val="nil"/>
              <w:bottom w:val="nil"/>
              <w:right w:val="nil"/>
            </w:tcBorders>
            <w:shd w:val="clear" w:color="auto" w:fill="auto"/>
            <w:noWrap/>
            <w:vAlign w:val="center"/>
            <w:hideMark/>
          </w:tcPr>
          <w:p w14:paraId="341CCD4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4FFB42A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7538ED2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23EF3EB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486" w:type="dxa"/>
            <w:tcBorders>
              <w:top w:val="nil"/>
              <w:left w:val="nil"/>
              <w:bottom w:val="nil"/>
              <w:right w:val="nil"/>
            </w:tcBorders>
            <w:shd w:val="clear" w:color="auto" w:fill="auto"/>
            <w:noWrap/>
            <w:vAlign w:val="center"/>
            <w:hideMark/>
          </w:tcPr>
          <w:p w14:paraId="2C4515C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7161F27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55A0E59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18951B5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22" w:type="dxa"/>
            <w:tcBorders>
              <w:top w:val="nil"/>
              <w:left w:val="nil"/>
              <w:bottom w:val="nil"/>
              <w:right w:val="nil"/>
            </w:tcBorders>
            <w:shd w:val="clear" w:color="auto" w:fill="auto"/>
            <w:noWrap/>
            <w:vAlign w:val="center"/>
            <w:hideMark/>
          </w:tcPr>
          <w:p w14:paraId="2B469CA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EF416B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26" w:type="dxa"/>
            <w:tcBorders>
              <w:top w:val="nil"/>
              <w:left w:val="nil"/>
              <w:bottom w:val="nil"/>
              <w:right w:val="nil"/>
            </w:tcBorders>
            <w:shd w:val="clear" w:color="auto" w:fill="auto"/>
            <w:noWrap/>
            <w:vAlign w:val="center"/>
            <w:hideMark/>
          </w:tcPr>
          <w:p w14:paraId="05187434"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162E9CD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15430B6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486" w:type="dxa"/>
            <w:tcBorders>
              <w:top w:val="nil"/>
              <w:left w:val="nil"/>
              <w:bottom w:val="nil"/>
              <w:right w:val="nil"/>
            </w:tcBorders>
            <w:shd w:val="clear" w:color="auto" w:fill="auto"/>
            <w:noWrap/>
            <w:vAlign w:val="center"/>
            <w:hideMark/>
          </w:tcPr>
          <w:p w14:paraId="4818D2C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518" w:type="dxa"/>
            <w:tcBorders>
              <w:top w:val="nil"/>
              <w:left w:val="nil"/>
              <w:bottom w:val="nil"/>
              <w:right w:val="nil"/>
            </w:tcBorders>
            <w:shd w:val="clear" w:color="auto" w:fill="auto"/>
            <w:noWrap/>
            <w:vAlign w:val="center"/>
            <w:hideMark/>
          </w:tcPr>
          <w:p w14:paraId="7B5AA86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5FFC6E2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486" w:type="dxa"/>
            <w:tcBorders>
              <w:top w:val="nil"/>
              <w:left w:val="nil"/>
              <w:bottom w:val="nil"/>
              <w:right w:val="nil"/>
            </w:tcBorders>
            <w:shd w:val="clear" w:color="auto" w:fill="auto"/>
            <w:noWrap/>
            <w:vAlign w:val="center"/>
            <w:hideMark/>
          </w:tcPr>
          <w:p w14:paraId="7219F70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692697DD"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518" w:type="dxa"/>
            <w:tcBorders>
              <w:top w:val="nil"/>
              <w:left w:val="nil"/>
              <w:bottom w:val="nil"/>
              <w:right w:val="nil"/>
            </w:tcBorders>
            <w:shd w:val="clear" w:color="auto" w:fill="auto"/>
            <w:noWrap/>
            <w:vAlign w:val="center"/>
            <w:hideMark/>
          </w:tcPr>
          <w:p w14:paraId="089CEEB4"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077E14B5"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1E76D3D1"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4741A5D8"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25</w:t>
            </w:r>
          </w:p>
        </w:tc>
        <w:tc>
          <w:tcPr>
            <w:tcW w:w="1257" w:type="dxa"/>
            <w:tcBorders>
              <w:top w:val="nil"/>
              <w:left w:val="nil"/>
              <w:bottom w:val="nil"/>
              <w:right w:val="nil"/>
            </w:tcBorders>
            <w:shd w:val="clear" w:color="auto" w:fill="auto"/>
            <w:noWrap/>
            <w:vAlign w:val="center"/>
            <w:hideMark/>
          </w:tcPr>
          <w:p w14:paraId="3C84239D"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State Affiliation</w:t>
            </w:r>
          </w:p>
        </w:tc>
        <w:tc>
          <w:tcPr>
            <w:tcW w:w="518" w:type="dxa"/>
            <w:tcBorders>
              <w:top w:val="nil"/>
              <w:left w:val="nil"/>
              <w:bottom w:val="nil"/>
              <w:right w:val="nil"/>
            </w:tcBorders>
            <w:shd w:val="clear" w:color="auto" w:fill="auto"/>
            <w:noWrap/>
            <w:vAlign w:val="center"/>
            <w:hideMark/>
          </w:tcPr>
          <w:p w14:paraId="3457173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0C21DF3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0A7CF2B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518" w:type="dxa"/>
            <w:tcBorders>
              <w:top w:val="nil"/>
              <w:left w:val="nil"/>
              <w:bottom w:val="nil"/>
              <w:right w:val="nil"/>
            </w:tcBorders>
            <w:shd w:val="clear" w:color="auto" w:fill="auto"/>
            <w:noWrap/>
            <w:vAlign w:val="center"/>
            <w:hideMark/>
          </w:tcPr>
          <w:p w14:paraId="7678E12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16625A4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562D355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1F655B7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0E73024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6D2A548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0BF97B8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7D041A8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217B2B0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0D2F629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6DE5548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nil"/>
              <w:right w:val="nil"/>
            </w:tcBorders>
            <w:shd w:val="clear" w:color="auto" w:fill="auto"/>
            <w:noWrap/>
            <w:vAlign w:val="center"/>
            <w:hideMark/>
          </w:tcPr>
          <w:p w14:paraId="11E7AE0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22" w:type="dxa"/>
            <w:tcBorders>
              <w:top w:val="nil"/>
              <w:left w:val="nil"/>
              <w:bottom w:val="nil"/>
              <w:right w:val="nil"/>
            </w:tcBorders>
            <w:shd w:val="clear" w:color="auto" w:fill="auto"/>
            <w:noWrap/>
            <w:vAlign w:val="center"/>
            <w:hideMark/>
          </w:tcPr>
          <w:p w14:paraId="000D3D2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16EFFAD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26" w:type="dxa"/>
            <w:tcBorders>
              <w:top w:val="nil"/>
              <w:left w:val="nil"/>
              <w:bottom w:val="nil"/>
              <w:right w:val="nil"/>
            </w:tcBorders>
            <w:shd w:val="clear" w:color="auto" w:fill="auto"/>
            <w:noWrap/>
            <w:vAlign w:val="center"/>
            <w:hideMark/>
          </w:tcPr>
          <w:p w14:paraId="0F77567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703BD4A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518" w:type="dxa"/>
            <w:tcBorders>
              <w:top w:val="nil"/>
              <w:left w:val="nil"/>
              <w:bottom w:val="nil"/>
              <w:right w:val="nil"/>
            </w:tcBorders>
            <w:shd w:val="clear" w:color="auto" w:fill="auto"/>
            <w:noWrap/>
            <w:vAlign w:val="center"/>
            <w:hideMark/>
          </w:tcPr>
          <w:p w14:paraId="4259193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6F2A57C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67681F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-0.16</w:t>
            </w:r>
          </w:p>
        </w:tc>
        <w:tc>
          <w:tcPr>
            <w:tcW w:w="518" w:type="dxa"/>
            <w:tcBorders>
              <w:top w:val="nil"/>
              <w:left w:val="nil"/>
              <w:bottom w:val="nil"/>
              <w:right w:val="nil"/>
            </w:tcBorders>
            <w:shd w:val="clear" w:color="auto" w:fill="auto"/>
            <w:noWrap/>
            <w:vAlign w:val="center"/>
            <w:hideMark/>
          </w:tcPr>
          <w:p w14:paraId="4B642F8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5D7F34B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74171E6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518" w:type="dxa"/>
            <w:tcBorders>
              <w:top w:val="nil"/>
              <w:left w:val="nil"/>
              <w:bottom w:val="nil"/>
              <w:right w:val="nil"/>
            </w:tcBorders>
            <w:shd w:val="clear" w:color="auto" w:fill="auto"/>
            <w:noWrap/>
            <w:vAlign w:val="center"/>
            <w:hideMark/>
          </w:tcPr>
          <w:p w14:paraId="35F7781E"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c>
          <w:tcPr>
            <w:tcW w:w="486" w:type="dxa"/>
            <w:tcBorders>
              <w:top w:val="nil"/>
              <w:left w:val="nil"/>
              <w:bottom w:val="nil"/>
              <w:right w:val="nil"/>
            </w:tcBorders>
            <w:shd w:val="clear" w:color="auto" w:fill="auto"/>
            <w:noWrap/>
            <w:vAlign w:val="center"/>
            <w:hideMark/>
          </w:tcPr>
          <w:p w14:paraId="71C7F109"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4953DDE7"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4FA8C1FB"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26</w:t>
            </w:r>
          </w:p>
        </w:tc>
        <w:tc>
          <w:tcPr>
            <w:tcW w:w="1257" w:type="dxa"/>
            <w:tcBorders>
              <w:top w:val="nil"/>
              <w:left w:val="nil"/>
              <w:bottom w:val="nil"/>
              <w:right w:val="nil"/>
            </w:tcBorders>
            <w:shd w:val="clear" w:color="auto" w:fill="auto"/>
            <w:noWrap/>
            <w:vAlign w:val="center"/>
            <w:hideMark/>
          </w:tcPr>
          <w:p w14:paraId="182697D9"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China Dummy</w:t>
            </w:r>
          </w:p>
        </w:tc>
        <w:tc>
          <w:tcPr>
            <w:tcW w:w="518" w:type="dxa"/>
            <w:tcBorders>
              <w:top w:val="nil"/>
              <w:left w:val="nil"/>
              <w:bottom w:val="nil"/>
              <w:right w:val="nil"/>
            </w:tcBorders>
            <w:shd w:val="clear" w:color="auto" w:fill="auto"/>
            <w:noWrap/>
            <w:vAlign w:val="center"/>
            <w:hideMark/>
          </w:tcPr>
          <w:p w14:paraId="1B9C154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4DE84C0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63B8CA0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432C796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-0.14</w:t>
            </w:r>
          </w:p>
        </w:tc>
        <w:tc>
          <w:tcPr>
            <w:tcW w:w="518" w:type="dxa"/>
            <w:tcBorders>
              <w:top w:val="nil"/>
              <w:left w:val="nil"/>
              <w:bottom w:val="nil"/>
              <w:right w:val="nil"/>
            </w:tcBorders>
            <w:shd w:val="clear" w:color="auto" w:fill="auto"/>
            <w:noWrap/>
            <w:vAlign w:val="center"/>
            <w:hideMark/>
          </w:tcPr>
          <w:p w14:paraId="1C3ABAC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486" w:type="dxa"/>
            <w:tcBorders>
              <w:top w:val="nil"/>
              <w:left w:val="nil"/>
              <w:bottom w:val="nil"/>
              <w:right w:val="nil"/>
            </w:tcBorders>
            <w:shd w:val="clear" w:color="auto" w:fill="auto"/>
            <w:noWrap/>
            <w:vAlign w:val="center"/>
            <w:hideMark/>
          </w:tcPr>
          <w:p w14:paraId="141CA4B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18" w:type="dxa"/>
            <w:tcBorders>
              <w:top w:val="nil"/>
              <w:left w:val="nil"/>
              <w:bottom w:val="nil"/>
              <w:right w:val="nil"/>
            </w:tcBorders>
            <w:shd w:val="clear" w:color="auto" w:fill="auto"/>
            <w:noWrap/>
            <w:vAlign w:val="center"/>
            <w:hideMark/>
          </w:tcPr>
          <w:p w14:paraId="29E79EF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35CAB3E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3C63E7D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518" w:type="dxa"/>
            <w:tcBorders>
              <w:top w:val="nil"/>
              <w:left w:val="nil"/>
              <w:bottom w:val="nil"/>
              <w:right w:val="nil"/>
            </w:tcBorders>
            <w:shd w:val="clear" w:color="auto" w:fill="auto"/>
            <w:noWrap/>
            <w:vAlign w:val="center"/>
            <w:hideMark/>
          </w:tcPr>
          <w:p w14:paraId="5FC26E9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411A3D6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26B24D0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21417FE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68D5690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486" w:type="dxa"/>
            <w:tcBorders>
              <w:top w:val="nil"/>
              <w:left w:val="nil"/>
              <w:bottom w:val="nil"/>
              <w:right w:val="nil"/>
            </w:tcBorders>
            <w:shd w:val="clear" w:color="auto" w:fill="auto"/>
            <w:noWrap/>
            <w:vAlign w:val="center"/>
            <w:hideMark/>
          </w:tcPr>
          <w:p w14:paraId="5E2B521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22" w:type="dxa"/>
            <w:tcBorders>
              <w:top w:val="nil"/>
              <w:left w:val="nil"/>
              <w:bottom w:val="nil"/>
              <w:right w:val="nil"/>
            </w:tcBorders>
            <w:shd w:val="clear" w:color="auto" w:fill="auto"/>
            <w:noWrap/>
            <w:vAlign w:val="center"/>
            <w:hideMark/>
          </w:tcPr>
          <w:p w14:paraId="3EFA063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518" w:type="dxa"/>
            <w:tcBorders>
              <w:top w:val="nil"/>
              <w:left w:val="nil"/>
              <w:bottom w:val="nil"/>
              <w:right w:val="nil"/>
            </w:tcBorders>
            <w:shd w:val="clear" w:color="auto" w:fill="auto"/>
            <w:noWrap/>
            <w:vAlign w:val="center"/>
            <w:hideMark/>
          </w:tcPr>
          <w:p w14:paraId="18CC4F9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0.15</w:t>
            </w:r>
          </w:p>
        </w:tc>
        <w:tc>
          <w:tcPr>
            <w:tcW w:w="526" w:type="dxa"/>
            <w:tcBorders>
              <w:top w:val="nil"/>
              <w:left w:val="nil"/>
              <w:bottom w:val="nil"/>
              <w:right w:val="nil"/>
            </w:tcBorders>
            <w:shd w:val="clear" w:color="auto" w:fill="auto"/>
            <w:noWrap/>
            <w:vAlign w:val="center"/>
            <w:hideMark/>
          </w:tcPr>
          <w:p w14:paraId="7116C3E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1167340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3F442E7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0.14</w:t>
            </w:r>
          </w:p>
        </w:tc>
        <w:tc>
          <w:tcPr>
            <w:tcW w:w="486" w:type="dxa"/>
            <w:tcBorders>
              <w:top w:val="nil"/>
              <w:left w:val="nil"/>
              <w:bottom w:val="nil"/>
              <w:right w:val="nil"/>
            </w:tcBorders>
            <w:shd w:val="clear" w:color="auto" w:fill="auto"/>
            <w:noWrap/>
            <w:vAlign w:val="center"/>
            <w:hideMark/>
          </w:tcPr>
          <w:p w14:paraId="35B8367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518" w:type="dxa"/>
            <w:tcBorders>
              <w:top w:val="nil"/>
              <w:left w:val="nil"/>
              <w:bottom w:val="nil"/>
              <w:right w:val="nil"/>
            </w:tcBorders>
            <w:shd w:val="clear" w:color="auto" w:fill="auto"/>
            <w:noWrap/>
            <w:vAlign w:val="center"/>
            <w:hideMark/>
          </w:tcPr>
          <w:p w14:paraId="770F6BB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25A54E6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51BDEBA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-0.09</w:t>
            </w:r>
          </w:p>
        </w:tc>
        <w:tc>
          <w:tcPr>
            <w:tcW w:w="518" w:type="dxa"/>
            <w:tcBorders>
              <w:top w:val="nil"/>
              <w:left w:val="nil"/>
              <w:bottom w:val="nil"/>
              <w:right w:val="nil"/>
            </w:tcBorders>
            <w:shd w:val="clear" w:color="auto" w:fill="auto"/>
            <w:noWrap/>
            <w:vAlign w:val="center"/>
            <w:hideMark/>
          </w:tcPr>
          <w:p w14:paraId="7E0774B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0.16</w:t>
            </w:r>
          </w:p>
        </w:tc>
        <w:tc>
          <w:tcPr>
            <w:tcW w:w="518" w:type="dxa"/>
            <w:tcBorders>
              <w:top w:val="nil"/>
              <w:left w:val="nil"/>
              <w:bottom w:val="nil"/>
              <w:right w:val="nil"/>
            </w:tcBorders>
            <w:shd w:val="clear" w:color="auto" w:fill="auto"/>
            <w:noWrap/>
            <w:vAlign w:val="center"/>
            <w:hideMark/>
          </w:tcPr>
          <w:p w14:paraId="7F163A2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c>
          <w:tcPr>
            <w:tcW w:w="486" w:type="dxa"/>
            <w:tcBorders>
              <w:top w:val="nil"/>
              <w:left w:val="nil"/>
              <w:bottom w:val="nil"/>
              <w:right w:val="nil"/>
            </w:tcBorders>
            <w:shd w:val="clear" w:color="auto" w:fill="auto"/>
            <w:noWrap/>
            <w:vAlign w:val="center"/>
            <w:hideMark/>
          </w:tcPr>
          <w:p w14:paraId="12C276CA" w14:textId="77777777" w:rsidR="00954C29" w:rsidRPr="006F5D71" w:rsidRDefault="00954C29" w:rsidP="00954C29">
            <w:pPr>
              <w:spacing w:after="0" w:line="240" w:lineRule="auto"/>
              <w:jc w:val="center"/>
              <w:rPr>
                <w:rFonts w:eastAsia="Times New Roman" w:cs="Times New Roman"/>
                <w:color w:val="000000" w:themeColor="text1"/>
                <w:sz w:val="14"/>
                <w:szCs w:val="14"/>
              </w:rPr>
            </w:pPr>
          </w:p>
        </w:tc>
      </w:tr>
      <w:tr w:rsidR="00727A9B" w:rsidRPr="006F5D71" w14:paraId="642B75FB" w14:textId="77777777" w:rsidTr="00954C29">
        <w:trPr>
          <w:gridAfter w:val="1"/>
          <w:wAfter w:w="10" w:type="dxa"/>
          <w:trHeight w:val="284"/>
          <w:jc w:val="center"/>
        </w:trPr>
        <w:tc>
          <w:tcPr>
            <w:tcW w:w="396" w:type="dxa"/>
            <w:tcBorders>
              <w:top w:val="nil"/>
              <w:left w:val="nil"/>
              <w:bottom w:val="nil"/>
              <w:right w:val="nil"/>
            </w:tcBorders>
            <w:shd w:val="clear" w:color="auto" w:fill="auto"/>
            <w:noWrap/>
            <w:vAlign w:val="center"/>
            <w:hideMark/>
          </w:tcPr>
          <w:p w14:paraId="3174BB70"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27</w:t>
            </w:r>
          </w:p>
        </w:tc>
        <w:tc>
          <w:tcPr>
            <w:tcW w:w="1257" w:type="dxa"/>
            <w:tcBorders>
              <w:top w:val="nil"/>
              <w:left w:val="nil"/>
              <w:bottom w:val="nil"/>
              <w:right w:val="nil"/>
            </w:tcBorders>
            <w:shd w:val="clear" w:color="auto" w:fill="auto"/>
            <w:noWrap/>
            <w:vAlign w:val="center"/>
            <w:hideMark/>
          </w:tcPr>
          <w:p w14:paraId="66478D54"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Subsidiary Age</w:t>
            </w:r>
          </w:p>
        </w:tc>
        <w:tc>
          <w:tcPr>
            <w:tcW w:w="518" w:type="dxa"/>
            <w:tcBorders>
              <w:top w:val="nil"/>
              <w:left w:val="nil"/>
              <w:bottom w:val="nil"/>
              <w:right w:val="nil"/>
            </w:tcBorders>
            <w:shd w:val="clear" w:color="auto" w:fill="auto"/>
            <w:noWrap/>
            <w:vAlign w:val="center"/>
            <w:hideMark/>
          </w:tcPr>
          <w:p w14:paraId="6205C0F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11C850F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-0.07</w:t>
            </w:r>
          </w:p>
        </w:tc>
        <w:tc>
          <w:tcPr>
            <w:tcW w:w="486" w:type="dxa"/>
            <w:tcBorders>
              <w:top w:val="nil"/>
              <w:left w:val="nil"/>
              <w:bottom w:val="nil"/>
              <w:right w:val="nil"/>
            </w:tcBorders>
            <w:shd w:val="clear" w:color="auto" w:fill="auto"/>
            <w:noWrap/>
            <w:vAlign w:val="center"/>
            <w:hideMark/>
          </w:tcPr>
          <w:p w14:paraId="4CD7FFE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1580524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nil"/>
              <w:right w:val="nil"/>
            </w:tcBorders>
            <w:shd w:val="clear" w:color="auto" w:fill="auto"/>
            <w:noWrap/>
            <w:vAlign w:val="center"/>
            <w:hideMark/>
          </w:tcPr>
          <w:p w14:paraId="76E0303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11A6E5C8"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nil"/>
              <w:right w:val="nil"/>
            </w:tcBorders>
            <w:shd w:val="clear" w:color="auto" w:fill="auto"/>
            <w:noWrap/>
            <w:vAlign w:val="center"/>
            <w:hideMark/>
          </w:tcPr>
          <w:p w14:paraId="4AC9F2D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4076CD8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28B73AD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1859F81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518" w:type="dxa"/>
            <w:tcBorders>
              <w:top w:val="nil"/>
              <w:left w:val="nil"/>
              <w:bottom w:val="nil"/>
              <w:right w:val="nil"/>
            </w:tcBorders>
            <w:shd w:val="clear" w:color="auto" w:fill="auto"/>
            <w:noWrap/>
            <w:vAlign w:val="center"/>
            <w:hideMark/>
          </w:tcPr>
          <w:p w14:paraId="4E8E7E7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486" w:type="dxa"/>
            <w:tcBorders>
              <w:top w:val="nil"/>
              <w:left w:val="nil"/>
              <w:bottom w:val="nil"/>
              <w:right w:val="nil"/>
            </w:tcBorders>
            <w:shd w:val="clear" w:color="auto" w:fill="auto"/>
            <w:noWrap/>
            <w:vAlign w:val="center"/>
            <w:hideMark/>
          </w:tcPr>
          <w:p w14:paraId="4B96705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nil"/>
              <w:right w:val="nil"/>
            </w:tcBorders>
            <w:shd w:val="clear" w:color="auto" w:fill="auto"/>
            <w:noWrap/>
            <w:vAlign w:val="center"/>
            <w:hideMark/>
          </w:tcPr>
          <w:p w14:paraId="6560ED5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527EB2E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486" w:type="dxa"/>
            <w:tcBorders>
              <w:top w:val="nil"/>
              <w:left w:val="nil"/>
              <w:bottom w:val="nil"/>
              <w:right w:val="nil"/>
            </w:tcBorders>
            <w:shd w:val="clear" w:color="auto" w:fill="auto"/>
            <w:noWrap/>
            <w:vAlign w:val="center"/>
            <w:hideMark/>
          </w:tcPr>
          <w:p w14:paraId="61A1D82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22" w:type="dxa"/>
            <w:tcBorders>
              <w:top w:val="nil"/>
              <w:left w:val="nil"/>
              <w:bottom w:val="nil"/>
              <w:right w:val="nil"/>
            </w:tcBorders>
            <w:shd w:val="clear" w:color="auto" w:fill="auto"/>
            <w:noWrap/>
            <w:vAlign w:val="center"/>
            <w:hideMark/>
          </w:tcPr>
          <w:p w14:paraId="18EF202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18" w:type="dxa"/>
            <w:tcBorders>
              <w:top w:val="nil"/>
              <w:left w:val="nil"/>
              <w:bottom w:val="nil"/>
              <w:right w:val="nil"/>
            </w:tcBorders>
            <w:shd w:val="clear" w:color="auto" w:fill="auto"/>
            <w:noWrap/>
            <w:vAlign w:val="center"/>
            <w:hideMark/>
          </w:tcPr>
          <w:p w14:paraId="28B11791"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26" w:type="dxa"/>
            <w:tcBorders>
              <w:top w:val="nil"/>
              <w:left w:val="nil"/>
              <w:bottom w:val="nil"/>
              <w:right w:val="nil"/>
            </w:tcBorders>
            <w:shd w:val="clear" w:color="auto" w:fill="auto"/>
            <w:noWrap/>
            <w:vAlign w:val="center"/>
            <w:hideMark/>
          </w:tcPr>
          <w:p w14:paraId="2CE1CD4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0.18</w:t>
            </w:r>
          </w:p>
        </w:tc>
        <w:tc>
          <w:tcPr>
            <w:tcW w:w="518" w:type="dxa"/>
            <w:tcBorders>
              <w:top w:val="nil"/>
              <w:left w:val="nil"/>
              <w:bottom w:val="nil"/>
              <w:right w:val="nil"/>
            </w:tcBorders>
            <w:shd w:val="clear" w:color="auto" w:fill="auto"/>
            <w:noWrap/>
            <w:vAlign w:val="center"/>
            <w:hideMark/>
          </w:tcPr>
          <w:p w14:paraId="6D8CC7B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nil"/>
              <w:right w:val="nil"/>
            </w:tcBorders>
            <w:shd w:val="clear" w:color="auto" w:fill="auto"/>
            <w:noWrap/>
            <w:vAlign w:val="center"/>
            <w:hideMark/>
          </w:tcPr>
          <w:p w14:paraId="4CD7077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nil"/>
              <w:right w:val="nil"/>
            </w:tcBorders>
            <w:shd w:val="clear" w:color="auto" w:fill="auto"/>
            <w:noWrap/>
            <w:vAlign w:val="center"/>
            <w:hideMark/>
          </w:tcPr>
          <w:p w14:paraId="7046DC8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0.13</w:t>
            </w:r>
          </w:p>
        </w:tc>
        <w:tc>
          <w:tcPr>
            <w:tcW w:w="518" w:type="dxa"/>
            <w:tcBorders>
              <w:top w:val="nil"/>
              <w:left w:val="nil"/>
              <w:bottom w:val="nil"/>
              <w:right w:val="nil"/>
            </w:tcBorders>
            <w:shd w:val="clear" w:color="auto" w:fill="auto"/>
            <w:noWrap/>
            <w:vAlign w:val="center"/>
            <w:hideMark/>
          </w:tcPr>
          <w:p w14:paraId="69867DD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518" w:type="dxa"/>
            <w:tcBorders>
              <w:top w:val="nil"/>
              <w:left w:val="nil"/>
              <w:bottom w:val="nil"/>
              <w:right w:val="nil"/>
            </w:tcBorders>
            <w:shd w:val="clear" w:color="auto" w:fill="auto"/>
            <w:noWrap/>
            <w:vAlign w:val="center"/>
            <w:hideMark/>
          </w:tcPr>
          <w:p w14:paraId="6796321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080D654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nil"/>
              <w:right w:val="nil"/>
            </w:tcBorders>
            <w:shd w:val="clear" w:color="auto" w:fill="auto"/>
            <w:noWrap/>
            <w:vAlign w:val="center"/>
            <w:hideMark/>
          </w:tcPr>
          <w:p w14:paraId="04F3B12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nil"/>
              <w:right w:val="nil"/>
            </w:tcBorders>
            <w:shd w:val="clear" w:color="auto" w:fill="auto"/>
            <w:noWrap/>
            <w:vAlign w:val="center"/>
            <w:hideMark/>
          </w:tcPr>
          <w:p w14:paraId="13E02D3E"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nil"/>
              <w:right w:val="nil"/>
            </w:tcBorders>
            <w:shd w:val="clear" w:color="auto" w:fill="auto"/>
            <w:noWrap/>
            <w:vAlign w:val="center"/>
            <w:hideMark/>
          </w:tcPr>
          <w:p w14:paraId="1A34519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1.00</w:t>
            </w:r>
          </w:p>
        </w:tc>
      </w:tr>
      <w:tr w:rsidR="00727A9B" w:rsidRPr="006F5D71" w14:paraId="7FCADCAD" w14:textId="77777777" w:rsidTr="00954C29">
        <w:trPr>
          <w:gridAfter w:val="1"/>
          <w:wAfter w:w="10" w:type="dxa"/>
          <w:trHeight w:val="284"/>
          <w:jc w:val="center"/>
        </w:trPr>
        <w:tc>
          <w:tcPr>
            <w:tcW w:w="396" w:type="dxa"/>
            <w:tcBorders>
              <w:top w:val="nil"/>
              <w:left w:val="nil"/>
              <w:bottom w:val="single" w:sz="4" w:space="0" w:color="auto"/>
              <w:right w:val="nil"/>
            </w:tcBorders>
            <w:shd w:val="clear" w:color="auto" w:fill="auto"/>
            <w:noWrap/>
            <w:vAlign w:val="center"/>
            <w:hideMark/>
          </w:tcPr>
          <w:p w14:paraId="725A13BE" w14:textId="77777777" w:rsidR="00954C29" w:rsidRPr="006F5D71" w:rsidRDefault="00954C29" w:rsidP="00954C29">
            <w:pPr>
              <w:spacing w:after="0" w:line="240" w:lineRule="auto"/>
              <w:jc w:val="right"/>
              <w:rPr>
                <w:rFonts w:eastAsia="Times New Roman" w:cs="Times New Roman"/>
                <w:color w:val="000000" w:themeColor="text1"/>
                <w:sz w:val="16"/>
                <w:szCs w:val="16"/>
              </w:rPr>
            </w:pPr>
            <w:r w:rsidRPr="006F5D71">
              <w:rPr>
                <w:rFonts w:eastAsia="Times New Roman" w:cs="Times New Roman"/>
                <w:color w:val="000000" w:themeColor="text1"/>
                <w:sz w:val="16"/>
                <w:szCs w:val="16"/>
              </w:rPr>
              <w:t>28</w:t>
            </w:r>
          </w:p>
        </w:tc>
        <w:tc>
          <w:tcPr>
            <w:tcW w:w="1257" w:type="dxa"/>
            <w:tcBorders>
              <w:top w:val="nil"/>
              <w:left w:val="nil"/>
              <w:bottom w:val="single" w:sz="4" w:space="0" w:color="auto"/>
              <w:right w:val="nil"/>
            </w:tcBorders>
            <w:shd w:val="clear" w:color="auto" w:fill="auto"/>
            <w:noWrap/>
            <w:vAlign w:val="center"/>
            <w:hideMark/>
          </w:tcPr>
          <w:p w14:paraId="04B46001" w14:textId="77777777" w:rsidR="00954C29" w:rsidRPr="006F5D71" w:rsidRDefault="00954C29" w:rsidP="00954C29">
            <w:pPr>
              <w:spacing w:after="0" w:line="240" w:lineRule="auto"/>
              <w:rPr>
                <w:rFonts w:eastAsia="Times New Roman" w:cs="Times New Roman"/>
                <w:b/>
                <w:bCs/>
                <w:color w:val="000000" w:themeColor="text1"/>
                <w:sz w:val="16"/>
                <w:szCs w:val="16"/>
              </w:rPr>
            </w:pPr>
            <w:r w:rsidRPr="006F5D71">
              <w:rPr>
                <w:rFonts w:eastAsia="Times New Roman" w:cs="Times New Roman"/>
                <w:b/>
                <w:bCs/>
                <w:color w:val="000000" w:themeColor="text1"/>
                <w:sz w:val="16"/>
                <w:szCs w:val="16"/>
              </w:rPr>
              <w:t>Family Controlled</w:t>
            </w:r>
          </w:p>
        </w:tc>
        <w:tc>
          <w:tcPr>
            <w:tcW w:w="518" w:type="dxa"/>
            <w:tcBorders>
              <w:top w:val="nil"/>
              <w:left w:val="nil"/>
              <w:bottom w:val="single" w:sz="4" w:space="0" w:color="auto"/>
              <w:right w:val="nil"/>
            </w:tcBorders>
            <w:shd w:val="clear" w:color="auto" w:fill="auto"/>
            <w:noWrap/>
            <w:vAlign w:val="center"/>
            <w:hideMark/>
          </w:tcPr>
          <w:p w14:paraId="16D3C32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-0.01</w:t>
            </w:r>
          </w:p>
        </w:tc>
        <w:tc>
          <w:tcPr>
            <w:tcW w:w="518" w:type="dxa"/>
            <w:tcBorders>
              <w:top w:val="nil"/>
              <w:left w:val="nil"/>
              <w:bottom w:val="single" w:sz="4" w:space="0" w:color="auto"/>
              <w:right w:val="nil"/>
            </w:tcBorders>
            <w:shd w:val="clear" w:color="auto" w:fill="auto"/>
            <w:noWrap/>
            <w:vAlign w:val="center"/>
            <w:hideMark/>
          </w:tcPr>
          <w:p w14:paraId="54F1AEB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0.10</w:t>
            </w:r>
          </w:p>
        </w:tc>
        <w:tc>
          <w:tcPr>
            <w:tcW w:w="486" w:type="dxa"/>
            <w:tcBorders>
              <w:top w:val="nil"/>
              <w:left w:val="nil"/>
              <w:bottom w:val="single" w:sz="4" w:space="0" w:color="auto"/>
              <w:right w:val="nil"/>
            </w:tcBorders>
            <w:shd w:val="clear" w:color="auto" w:fill="auto"/>
            <w:noWrap/>
            <w:vAlign w:val="center"/>
            <w:hideMark/>
          </w:tcPr>
          <w:p w14:paraId="56C97C2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0.12</w:t>
            </w:r>
          </w:p>
        </w:tc>
        <w:tc>
          <w:tcPr>
            <w:tcW w:w="518" w:type="dxa"/>
            <w:tcBorders>
              <w:top w:val="nil"/>
              <w:left w:val="nil"/>
              <w:bottom w:val="single" w:sz="4" w:space="0" w:color="auto"/>
              <w:right w:val="nil"/>
            </w:tcBorders>
            <w:shd w:val="clear" w:color="auto" w:fill="auto"/>
            <w:noWrap/>
            <w:vAlign w:val="center"/>
            <w:hideMark/>
          </w:tcPr>
          <w:p w14:paraId="0AABADF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0.05</w:t>
            </w:r>
          </w:p>
        </w:tc>
        <w:tc>
          <w:tcPr>
            <w:tcW w:w="518" w:type="dxa"/>
            <w:tcBorders>
              <w:top w:val="nil"/>
              <w:left w:val="nil"/>
              <w:bottom w:val="single" w:sz="4" w:space="0" w:color="auto"/>
              <w:right w:val="nil"/>
            </w:tcBorders>
            <w:shd w:val="clear" w:color="auto" w:fill="auto"/>
            <w:noWrap/>
            <w:vAlign w:val="center"/>
            <w:hideMark/>
          </w:tcPr>
          <w:p w14:paraId="773CD9F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0.06</w:t>
            </w:r>
          </w:p>
        </w:tc>
        <w:tc>
          <w:tcPr>
            <w:tcW w:w="486" w:type="dxa"/>
            <w:tcBorders>
              <w:top w:val="nil"/>
              <w:left w:val="nil"/>
              <w:bottom w:val="single" w:sz="4" w:space="0" w:color="auto"/>
              <w:right w:val="nil"/>
            </w:tcBorders>
            <w:shd w:val="clear" w:color="auto" w:fill="auto"/>
            <w:noWrap/>
            <w:vAlign w:val="center"/>
            <w:hideMark/>
          </w:tcPr>
          <w:p w14:paraId="74834D7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single" w:sz="4" w:space="0" w:color="auto"/>
              <w:right w:val="nil"/>
            </w:tcBorders>
            <w:shd w:val="clear" w:color="auto" w:fill="auto"/>
            <w:noWrap/>
            <w:vAlign w:val="center"/>
            <w:hideMark/>
          </w:tcPr>
          <w:p w14:paraId="6C3EF18B"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single" w:sz="4" w:space="0" w:color="auto"/>
              <w:right w:val="nil"/>
            </w:tcBorders>
            <w:shd w:val="clear" w:color="auto" w:fill="auto"/>
            <w:noWrap/>
            <w:vAlign w:val="center"/>
            <w:hideMark/>
          </w:tcPr>
          <w:p w14:paraId="45C5475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486" w:type="dxa"/>
            <w:tcBorders>
              <w:top w:val="nil"/>
              <w:left w:val="nil"/>
              <w:bottom w:val="single" w:sz="4" w:space="0" w:color="auto"/>
              <w:right w:val="nil"/>
            </w:tcBorders>
            <w:shd w:val="clear" w:color="auto" w:fill="auto"/>
            <w:noWrap/>
            <w:vAlign w:val="center"/>
            <w:hideMark/>
          </w:tcPr>
          <w:p w14:paraId="3C4E0F4C"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0.04</w:t>
            </w:r>
          </w:p>
        </w:tc>
        <w:tc>
          <w:tcPr>
            <w:tcW w:w="518" w:type="dxa"/>
            <w:tcBorders>
              <w:top w:val="nil"/>
              <w:left w:val="nil"/>
              <w:bottom w:val="single" w:sz="4" w:space="0" w:color="auto"/>
              <w:right w:val="nil"/>
            </w:tcBorders>
            <w:shd w:val="clear" w:color="auto" w:fill="auto"/>
            <w:noWrap/>
            <w:vAlign w:val="center"/>
            <w:hideMark/>
          </w:tcPr>
          <w:p w14:paraId="19ADAFC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0.08</w:t>
            </w:r>
          </w:p>
        </w:tc>
        <w:tc>
          <w:tcPr>
            <w:tcW w:w="518" w:type="dxa"/>
            <w:tcBorders>
              <w:top w:val="nil"/>
              <w:left w:val="nil"/>
              <w:bottom w:val="single" w:sz="4" w:space="0" w:color="auto"/>
              <w:right w:val="nil"/>
            </w:tcBorders>
            <w:shd w:val="clear" w:color="auto" w:fill="auto"/>
            <w:noWrap/>
            <w:vAlign w:val="center"/>
            <w:hideMark/>
          </w:tcPr>
          <w:p w14:paraId="373D1E9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single" w:sz="4" w:space="0" w:color="auto"/>
              <w:right w:val="nil"/>
            </w:tcBorders>
            <w:shd w:val="clear" w:color="auto" w:fill="auto"/>
            <w:noWrap/>
            <w:vAlign w:val="center"/>
            <w:hideMark/>
          </w:tcPr>
          <w:p w14:paraId="3ECC4527"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single" w:sz="4" w:space="0" w:color="auto"/>
              <w:right w:val="nil"/>
            </w:tcBorders>
            <w:shd w:val="clear" w:color="auto" w:fill="auto"/>
            <w:noWrap/>
            <w:vAlign w:val="center"/>
            <w:hideMark/>
          </w:tcPr>
          <w:p w14:paraId="3D85B40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single" w:sz="4" w:space="0" w:color="auto"/>
              <w:right w:val="nil"/>
            </w:tcBorders>
            <w:shd w:val="clear" w:color="auto" w:fill="auto"/>
            <w:noWrap/>
            <w:vAlign w:val="center"/>
            <w:hideMark/>
          </w:tcPr>
          <w:p w14:paraId="4D580F4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486" w:type="dxa"/>
            <w:tcBorders>
              <w:top w:val="nil"/>
              <w:left w:val="nil"/>
              <w:bottom w:val="single" w:sz="4" w:space="0" w:color="auto"/>
              <w:right w:val="nil"/>
            </w:tcBorders>
            <w:shd w:val="clear" w:color="auto" w:fill="auto"/>
            <w:noWrap/>
            <w:vAlign w:val="center"/>
            <w:hideMark/>
          </w:tcPr>
          <w:p w14:paraId="464E6950"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22" w:type="dxa"/>
            <w:tcBorders>
              <w:top w:val="nil"/>
              <w:left w:val="nil"/>
              <w:bottom w:val="single" w:sz="4" w:space="0" w:color="auto"/>
              <w:right w:val="nil"/>
            </w:tcBorders>
            <w:shd w:val="clear" w:color="auto" w:fill="auto"/>
            <w:noWrap/>
            <w:vAlign w:val="center"/>
            <w:hideMark/>
          </w:tcPr>
          <w:p w14:paraId="492AF216"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single" w:sz="4" w:space="0" w:color="auto"/>
              <w:right w:val="nil"/>
            </w:tcBorders>
            <w:shd w:val="clear" w:color="auto" w:fill="auto"/>
            <w:noWrap/>
            <w:vAlign w:val="center"/>
            <w:hideMark/>
          </w:tcPr>
          <w:p w14:paraId="0F960F8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26" w:type="dxa"/>
            <w:tcBorders>
              <w:top w:val="nil"/>
              <w:left w:val="nil"/>
              <w:bottom w:val="single" w:sz="4" w:space="0" w:color="auto"/>
              <w:right w:val="nil"/>
            </w:tcBorders>
            <w:shd w:val="clear" w:color="auto" w:fill="auto"/>
            <w:noWrap/>
            <w:vAlign w:val="center"/>
            <w:hideMark/>
          </w:tcPr>
          <w:p w14:paraId="0ADEB09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single" w:sz="4" w:space="0" w:color="auto"/>
              <w:right w:val="nil"/>
            </w:tcBorders>
            <w:shd w:val="clear" w:color="auto" w:fill="auto"/>
            <w:noWrap/>
            <w:vAlign w:val="center"/>
            <w:hideMark/>
          </w:tcPr>
          <w:p w14:paraId="1C28948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0.12</w:t>
            </w:r>
          </w:p>
        </w:tc>
        <w:tc>
          <w:tcPr>
            <w:tcW w:w="518" w:type="dxa"/>
            <w:tcBorders>
              <w:top w:val="nil"/>
              <w:left w:val="nil"/>
              <w:bottom w:val="single" w:sz="4" w:space="0" w:color="auto"/>
              <w:right w:val="nil"/>
            </w:tcBorders>
            <w:shd w:val="clear" w:color="auto" w:fill="auto"/>
            <w:noWrap/>
            <w:vAlign w:val="center"/>
            <w:hideMark/>
          </w:tcPr>
          <w:p w14:paraId="5BD7B1F3"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0.11</w:t>
            </w:r>
          </w:p>
        </w:tc>
        <w:tc>
          <w:tcPr>
            <w:tcW w:w="486" w:type="dxa"/>
            <w:tcBorders>
              <w:top w:val="nil"/>
              <w:left w:val="nil"/>
              <w:bottom w:val="single" w:sz="4" w:space="0" w:color="auto"/>
              <w:right w:val="nil"/>
            </w:tcBorders>
            <w:shd w:val="clear" w:color="auto" w:fill="auto"/>
            <w:noWrap/>
            <w:vAlign w:val="center"/>
            <w:hideMark/>
          </w:tcPr>
          <w:p w14:paraId="7CD2911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c>
          <w:tcPr>
            <w:tcW w:w="518" w:type="dxa"/>
            <w:tcBorders>
              <w:top w:val="nil"/>
              <w:left w:val="nil"/>
              <w:bottom w:val="single" w:sz="4" w:space="0" w:color="auto"/>
              <w:right w:val="nil"/>
            </w:tcBorders>
            <w:shd w:val="clear" w:color="auto" w:fill="auto"/>
            <w:noWrap/>
            <w:vAlign w:val="center"/>
            <w:hideMark/>
          </w:tcPr>
          <w:p w14:paraId="3515FD92"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518" w:type="dxa"/>
            <w:tcBorders>
              <w:top w:val="nil"/>
              <w:left w:val="nil"/>
              <w:bottom w:val="single" w:sz="4" w:space="0" w:color="auto"/>
              <w:right w:val="nil"/>
            </w:tcBorders>
            <w:shd w:val="clear" w:color="auto" w:fill="auto"/>
            <w:noWrap/>
            <w:vAlign w:val="center"/>
            <w:hideMark/>
          </w:tcPr>
          <w:p w14:paraId="27ADA395"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0.02</w:t>
            </w:r>
          </w:p>
        </w:tc>
        <w:tc>
          <w:tcPr>
            <w:tcW w:w="486" w:type="dxa"/>
            <w:tcBorders>
              <w:top w:val="nil"/>
              <w:left w:val="nil"/>
              <w:bottom w:val="single" w:sz="4" w:space="0" w:color="auto"/>
              <w:right w:val="nil"/>
            </w:tcBorders>
            <w:shd w:val="clear" w:color="auto" w:fill="auto"/>
            <w:noWrap/>
            <w:vAlign w:val="center"/>
            <w:hideMark/>
          </w:tcPr>
          <w:p w14:paraId="4B6940ED"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0.03</w:t>
            </w:r>
          </w:p>
        </w:tc>
        <w:tc>
          <w:tcPr>
            <w:tcW w:w="518" w:type="dxa"/>
            <w:tcBorders>
              <w:top w:val="nil"/>
              <w:left w:val="nil"/>
              <w:bottom w:val="single" w:sz="4" w:space="0" w:color="auto"/>
              <w:right w:val="nil"/>
            </w:tcBorders>
            <w:shd w:val="clear" w:color="auto" w:fill="auto"/>
            <w:noWrap/>
            <w:vAlign w:val="center"/>
            <w:hideMark/>
          </w:tcPr>
          <w:p w14:paraId="1FECADF9"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-0.15</w:t>
            </w:r>
          </w:p>
        </w:tc>
        <w:tc>
          <w:tcPr>
            <w:tcW w:w="518" w:type="dxa"/>
            <w:tcBorders>
              <w:top w:val="nil"/>
              <w:left w:val="nil"/>
              <w:bottom w:val="single" w:sz="4" w:space="0" w:color="auto"/>
              <w:right w:val="nil"/>
            </w:tcBorders>
            <w:shd w:val="clear" w:color="auto" w:fill="auto"/>
            <w:noWrap/>
            <w:vAlign w:val="center"/>
            <w:hideMark/>
          </w:tcPr>
          <w:p w14:paraId="55DAF62F"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-0.15</w:t>
            </w:r>
          </w:p>
        </w:tc>
        <w:tc>
          <w:tcPr>
            <w:tcW w:w="486" w:type="dxa"/>
            <w:tcBorders>
              <w:top w:val="nil"/>
              <w:left w:val="nil"/>
              <w:bottom w:val="single" w:sz="4" w:space="0" w:color="auto"/>
              <w:right w:val="nil"/>
            </w:tcBorders>
            <w:shd w:val="clear" w:color="auto" w:fill="auto"/>
            <w:noWrap/>
            <w:vAlign w:val="center"/>
            <w:hideMark/>
          </w:tcPr>
          <w:p w14:paraId="4C2342EA" w14:textId="77777777" w:rsidR="00954C29" w:rsidRPr="006F5D71" w:rsidRDefault="00954C29" w:rsidP="00954C29">
            <w:pPr>
              <w:spacing w:after="0" w:line="240" w:lineRule="auto"/>
              <w:jc w:val="center"/>
              <w:rPr>
                <w:rFonts w:eastAsia="Times New Roman" w:cs="Times New Roman"/>
                <w:color w:val="000000" w:themeColor="text1"/>
                <w:sz w:val="14"/>
                <w:szCs w:val="14"/>
              </w:rPr>
            </w:pPr>
            <w:r w:rsidRPr="006F5D71">
              <w:rPr>
                <w:rFonts w:eastAsia="Times New Roman" w:cs="Times New Roman"/>
                <w:color w:val="000000" w:themeColor="text1"/>
                <w:sz w:val="14"/>
                <w:szCs w:val="14"/>
              </w:rPr>
              <w:t>0.00</w:t>
            </w:r>
          </w:p>
        </w:tc>
      </w:tr>
    </w:tbl>
    <w:p w14:paraId="2480D89A" w14:textId="77777777" w:rsidR="00576B26" w:rsidRPr="006F5D71" w:rsidRDefault="00576B26" w:rsidP="00726768">
      <w:pPr>
        <w:widowControl w:val="0"/>
        <w:autoSpaceDE w:val="0"/>
        <w:autoSpaceDN w:val="0"/>
        <w:adjustRightInd w:val="0"/>
        <w:spacing w:after="0" w:line="240" w:lineRule="auto"/>
        <w:rPr>
          <w:rFonts w:cs="Times New Roman"/>
          <w:color w:val="000000" w:themeColor="text1"/>
          <w:szCs w:val="24"/>
        </w:rPr>
      </w:pPr>
    </w:p>
    <w:p w14:paraId="7E025A3E" w14:textId="77777777" w:rsidR="00576B26" w:rsidRPr="006F5D71" w:rsidRDefault="00576B26" w:rsidP="00726768">
      <w:pPr>
        <w:widowControl w:val="0"/>
        <w:autoSpaceDE w:val="0"/>
        <w:autoSpaceDN w:val="0"/>
        <w:adjustRightInd w:val="0"/>
        <w:spacing w:after="0" w:line="240" w:lineRule="auto"/>
        <w:rPr>
          <w:rFonts w:cs="Times New Roman"/>
          <w:color w:val="000000" w:themeColor="text1"/>
          <w:szCs w:val="24"/>
        </w:rPr>
        <w:sectPr w:rsidR="00576B26" w:rsidRPr="006F5D71" w:rsidSect="00576B26">
          <w:pgSz w:w="15840" w:h="12240" w:orient="landscape"/>
          <w:pgMar w:top="1440" w:right="1440" w:bottom="1440" w:left="1440" w:header="720" w:footer="720" w:gutter="0"/>
          <w:cols w:space="720"/>
          <w:docGrid w:linePitch="360"/>
        </w:sectPr>
      </w:pPr>
    </w:p>
    <w:p w14:paraId="3B4CF59C" w14:textId="77777777" w:rsidR="008F1BD8" w:rsidRPr="006F5D71" w:rsidRDefault="00D17530" w:rsidP="008F1BD8">
      <w:pPr>
        <w:rPr>
          <w:b/>
          <w:bCs/>
          <w:color w:val="000000" w:themeColor="text1"/>
          <w:szCs w:val="24"/>
        </w:rPr>
      </w:pPr>
      <w:r w:rsidRPr="006F5D71">
        <w:rPr>
          <w:rFonts w:cs="Times New Roman"/>
          <w:b/>
          <w:bCs/>
          <w:color w:val="000000" w:themeColor="text1"/>
          <w:szCs w:val="24"/>
        </w:rPr>
        <w:lastRenderedPageBreak/>
        <w:t>Table 4</w:t>
      </w:r>
      <w:r w:rsidR="00A25B2D" w:rsidRPr="006F5D71">
        <w:rPr>
          <w:rFonts w:cs="Times New Roman"/>
          <w:b/>
          <w:bCs/>
          <w:color w:val="000000" w:themeColor="text1"/>
          <w:szCs w:val="24"/>
        </w:rPr>
        <w:t xml:space="preserve">: </w:t>
      </w:r>
      <w:r w:rsidR="00594FC4" w:rsidRPr="006F5D71">
        <w:rPr>
          <w:rFonts w:cs="Times New Roman"/>
          <w:b/>
          <w:bCs/>
          <w:color w:val="000000" w:themeColor="text1"/>
          <w:szCs w:val="24"/>
        </w:rPr>
        <w:t>Cox proportional hazard model</w:t>
      </w:r>
      <w:r w:rsidR="008B576F" w:rsidRPr="006F5D71">
        <w:rPr>
          <w:rFonts w:cs="Times New Roman"/>
          <w:b/>
          <w:bCs/>
          <w:color w:val="000000" w:themeColor="text1"/>
          <w:szCs w:val="24"/>
        </w:rPr>
        <w:t xml:space="preserve"> </w:t>
      </w:r>
      <w:r w:rsidR="008F1BD8" w:rsidRPr="006F5D71">
        <w:rPr>
          <w:b/>
          <w:bCs/>
          <w:color w:val="000000" w:themeColor="text1"/>
          <w:szCs w:val="24"/>
        </w:rPr>
        <w:t>coefficients</w:t>
      </w:r>
      <w:r w:rsidR="00C665E2" w:rsidRPr="006F5D71">
        <w:rPr>
          <w:b/>
          <w:bCs/>
          <w:color w:val="000000" w:themeColor="text1"/>
          <w:szCs w:val="24"/>
        </w:rPr>
        <w:t xml:space="preserve"> (-</w:t>
      </w:r>
      <w:r w:rsidR="00AB32C3" w:rsidRPr="006F5D71">
        <w:rPr>
          <w:b/>
          <w:bCs/>
          <w:color w:val="000000" w:themeColor="text1"/>
          <w:szCs w:val="24"/>
        </w:rPr>
        <w:t xml:space="preserve"> sign indicates</w:t>
      </w:r>
      <w:r w:rsidR="00C665E2" w:rsidRPr="006F5D71">
        <w:rPr>
          <w:b/>
          <w:bCs/>
          <w:color w:val="000000" w:themeColor="text1"/>
          <w:szCs w:val="24"/>
        </w:rPr>
        <w:t xml:space="preserve"> high survival)</w:t>
      </w:r>
    </w:p>
    <w:tbl>
      <w:tblPr>
        <w:tblW w:w="11010" w:type="dxa"/>
        <w:jc w:val="center"/>
        <w:tblLayout w:type="fixed"/>
        <w:tblCellMar>
          <w:left w:w="75" w:type="dxa"/>
          <w:right w:w="75" w:type="dxa"/>
        </w:tblCellMar>
        <w:tblLook w:val="0000" w:firstRow="0" w:lastRow="0" w:firstColumn="0" w:lastColumn="0" w:noHBand="0" w:noVBand="0"/>
      </w:tblPr>
      <w:tblGrid>
        <w:gridCol w:w="3870"/>
        <w:gridCol w:w="1170"/>
        <w:gridCol w:w="1264"/>
        <w:gridCol w:w="1196"/>
        <w:gridCol w:w="1174"/>
        <w:gridCol w:w="1170"/>
        <w:gridCol w:w="1166"/>
      </w:tblGrid>
      <w:tr w:rsidR="00727A9B" w:rsidRPr="006F5D71" w14:paraId="6FB3BCA0" w14:textId="77777777" w:rsidTr="004C7443">
        <w:trPr>
          <w:trHeight w:val="222"/>
          <w:jc w:val="center"/>
        </w:trPr>
        <w:tc>
          <w:tcPr>
            <w:tcW w:w="3870" w:type="dxa"/>
            <w:tcBorders>
              <w:top w:val="single" w:sz="6" w:space="0" w:color="auto"/>
              <w:left w:val="nil"/>
              <w:bottom w:val="nil"/>
              <w:right w:val="nil"/>
            </w:tcBorders>
            <w:shd w:val="clear" w:color="auto" w:fill="auto"/>
            <w:vAlign w:val="center"/>
          </w:tcPr>
          <w:p w14:paraId="12772988" w14:textId="77777777" w:rsidR="00C80543" w:rsidRPr="006F5D71" w:rsidRDefault="00C80543" w:rsidP="004C7443">
            <w:pPr>
              <w:widowControl w:val="0"/>
              <w:autoSpaceDE w:val="0"/>
              <w:autoSpaceDN w:val="0"/>
              <w:adjustRightInd w:val="0"/>
              <w:spacing w:after="0" w:line="240" w:lineRule="auto"/>
              <w:rPr>
                <w:color w:val="000000" w:themeColor="text1"/>
                <w:szCs w:val="24"/>
              </w:rPr>
            </w:pPr>
            <w:bookmarkStart w:id="14" w:name="_Hlk77264147"/>
          </w:p>
        </w:tc>
        <w:tc>
          <w:tcPr>
            <w:tcW w:w="2434" w:type="dxa"/>
            <w:gridSpan w:val="2"/>
            <w:tcBorders>
              <w:top w:val="single" w:sz="6" w:space="0" w:color="auto"/>
              <w:left w:val="nil"/>
              <w:bottom w:val="nil"/>
              <w:right w:val="nil"/>
            </w:tcBorders>
            <w:shd w:val="clear" w:color="auto" w:fill="auto"/>
            <w:vAlign w:val="center"/>
          </w:tcPr>
          <w:p w14:paraId="0081014E" w14:textId="77777777" w:rsidR="00C80543" w:rsidRPr="006F5D71" w:rsidRDefault="00C80543" w:rsidP="004C7443">
            <w:pPr>
              <w:widowControl w:val="0"/>
              <w:autoSpaceDE w:val="0"/>
              <w:autoSpaceDN w:val="0"/>
              <w:adjustRightInd w:val="0"/>
              <w:spacing w:after="0" w:line="240" w:lineRule="auto"/>
              <w:jc w:val="center"/>
              <w:rPr>
                <w:b/>
                <w:bCs/>
                <w:color w:val="000000" w:themeColor="text1"/>
                <w:szCs w:val="24"/>
              </w:rPr>
            </w:pPr>
            <w:r w:rsidRPr="006F5D71">
              <w:rPr>
                <w:b/>
                <w:bCs/>
                <w:color w:val="000000" w:themeColor="text1"/>
                <w:szCs w:val="24"/>
              </w:rPr>
              <w:t>Overall</w:t>
            </w:r>
          </w:p>
        </w:tc>
        <w:tc>
          <w:tcPr>
            <w:tcW w:w="2370" w:type="dxa"/>
            <w:gridSpan w:val="2"/>
            <w:tcBorders>
              <w:top w:val="single" w:sz="6" w:space="0" w:color="auto"/>
              <w:left w:val="nil"/>
              <w:bottom w:val="nil"/>
              <w:right w:val="nil"/>
            </w:tcBorders>
            <w:shd w:val="clear" w:color="auto" w:fill="auto"/>
            <w:vAlign w:val="center"/>
          </w:tcPr>
          <w:p w14:paraId="701BB7F8" w14:textId="77777777" w:rsidR="00C80543" w:rsidRPr="006F5D71" w:rsidRDefault="00C80543" w:rsidP="004C7443">
            <w:pPr>
              <w:widowControl w:val="0"/>
              <w:autoSpaceDE w:val="0"/>
              <w:autoSpaceDN w:val="0"/>
              <w:adjustRightInd w:val="0"/>
              <w:spacing w:after="0" w:line="240" w:lineRule="auto"/>
              <w:jc w:val="center"/>
              <w:rPr>
                <w:b/>
                <w:bCs/>
                <w:color w:val="000000" w:themeColor="text1"/>
                <w:szCs w:val="24"/>
              </w:rPr>
            </w:pPr>
            <w:r w:rsidRPr="006F5D71">
              <w:rPr>
                <w:b/>
                <w:bCs/>
                <w:color w:val="000000" w:themeColor="text1"/>
                <w:szCs w:val="24"/>
              </w:rPr>
              <w:t>North</w:t>
            </w:r>
          </w:p>
        </w:tc>
        <w:tc>
          <w:tcPr>
            <w:tcW w:w="2336" w:type="dxa"/>
            <w:gridSpan w:val="2"/>
            <w:tcBorders>
              <w:top w:val="single" w:sz="6" w:space="0" w:color="auto"/>
              <w:left w:val="nil"/>
              <w:bottom w:val="nil"/>
              <w:right w:val="nil"/>
            </w:tcBorders>
            <w:shd w:val="clear" w:color="auto" w:fill="auto"/>
            <w:vAlign w:val="center"/>
          </w:tcPr>
          <w:p w14:paraId="726D8C7E" w14:textId="77777777" w:rsidR="00C80543" w:rsidRPr="006F5D71" w:rsidRDefault="00C80543" w:rsidP="004C7443">
            <w:pPr>
              <w:widowControl w:val="0"/>
              <w:autoSpaceDE w:val="0"/>
              <w:autoSpaceDN w:val="0"/>
              <w:adjustRightInd w:val="0"/>
              <w:spacing w:after="0" w:line="240" w:lineRule="auto"/>
              <w:jc w:val="center"/>
              <w:rPr>
                <w:b/>
                <w:bCs/>
                <w:color w:val="000000" w:themeColor="text1"/>
                <w:szCs w:val="24"/>
              </w:rPr>
            </w:pPr>
            <w:r w:rsidRPr="006F5D71">
              <w:rPr>
                <w:b/>
                <w:bCs/>
                <w:color w:val="000000" w:themeColor="text1"/>
                <w:szCs w:val="24"/>
              </w:rPr>
              <w:t>South</w:t>
            </w:r>
          </w:p>
        </w:tc>
      </w:tr>
      <w:tr w:rsidR="00727A9B" w:rsidRPr="006F5D71" w14:paraId="3B32C392" w14:textId="77777777" w:rsidTr="004C7443">
        <w:trPr>
          <w:trHeight w:val="234"/>
          <w:jc w:val="center"/>
        </w:trPr>
        <w:tc>
          <w:tcPr>
            <w:tcW w:w="3870" w:type="dxa"/>
            <w:tcBorders>
              <w:top w:val="nil"/>
              <w:left w:val="nil"/>
              <w:bottom w:val="single" w:sz="6" w:space="0" w:color="auto"/>
              <w:right w:val="nil"/>
            </w:tcBorders>
            <w:shd w:val="clear" w:color="auto" w:fill="auto"/>
            <w:vAlign w:val="center"/>
          </w:tcPr>
          <w:p w14:paraId="5D5833E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VARIABLES</w:t>
            </w:r>
          </w:p>
        </w:tc>
        <w:tc>
          <w:tcPr>
            <w:tcW w:w="1170" w:type="dxa"/>
            <w:tcBorders>
              <w:top w:val="nil"/>
              <w:left w:val="nil"/>
              <w:bottom w:val="single" w:sz="6" w:space="0" w:color="auto"/>
              <w:right w:val="nil"/>
            </w:tcBorders>
            <w:shd w:val="clear" w:color="auto" w:fill="auto"/>
            <w:vAlign w:val="center"/>
          </w:tcPr>
          <w:p w14:paraId="1BCBB614" w14:textId="77777777" w:rsidR="00C80543" w:rsidRPr="006F5D71" w:rsidRDefault="00C80543" w:rsidP="004C7443">
            <w:pPr>
              <w:widowControl w:val="0"/>
              <w:autoSpaceDE w:val="0"/>
              <w:autoSpaceDN w:val="0"/>
              <w:adjustRightInd w:val="0"/>
              <w:spacing w:after="0" w:line="240" w:lineRule="auto"/>
              <w:jc w:val="center"/>
              <w:rPr>
                <w:b/>
                <w:bCs/>
                <w:color w:val="000000" w:themeColor="text1"/>
                <w:szCs w:val="24"/>
              </w:rPr>
            </w:pPr>
            <w:r w:rsidRPr="006F5D71">
              <w:rPr>
                <w:b/>
                <w:bCs/>
                <w:color w:val="000000" w:themeColor="text1"/>
                <w:szCs w:val="24"/>
              </w:rPr>
              <w:t>1</w:t>
            </w:r>
          </w:p>
        </w:tc>
        <w:tc>
          <w:tcPr>
            <w:tcW w:w="1264" w:type="dxa"/>
            <w:tcBorders>
              <w:top w:val="nil"/>
              <w:left w:val="nil"/>
              <w:bottom w:val="single" w:sz="6" w:space="0" w:color="auto"/>
              <w:right w:val="nil"/>
            </w:tcBorders>
            <w:shd w:val="clear" w:color="auto" w:fill="auto"/>
            <w:vAlign w:val="center"/>
          </w:tcPr>
          <w:p w14:paraId="7114E798" w14:textId="77777777" w:rsidR="00C80543" w:rsidRPr="006F5D71" w:rsidRDefault="00C80543" w:rsidP="004C7443">
            <w:pPr>
              <w:widowControl w:val="0"/>
              <w:autoSpaceDE w:val="0"/>
              <w:autoSpaceDN w:val="0"/>
              <w:adjustRightInd w:val="0"/>
              <w:spacing w:after="0" w:line="240" w:lineRule="auto"/>
              <w:jc w:val="center"/>
              <w:rPr>
                <w:b/>
                <w:bCs/>
                <w:color w:val="000000" w:themeColor="text1"/>
                <w:szCs w:val="24"/>
              </w:rPr>
            </w:pPr>
            <w:r w:rsidRPr="006F5D71">
              <w:rPr>
                <w:b/>
                <w:bCs/>
                <w:color w:val="000000" w:themeColor="text1"/>
                <w:szCs w:val="24"/>
              </w:rPr>
              <w:t>2</w:t>
            </w:r>
          </w:p>
        </w:tc>
        <w:tc>
          <w:tcPr>
            <w:tcW w:w="1196" w:type="dxa"/>
            <w:tcBorders>
              <w:top w:val="nil"/>
              <w:left w:val="nil"/>
              <w:bottom w:val="single" w:sz="6" w:space="0" w:color="auto"/>
              <w:right w:val="nil"/>
            </w:tcBorders>
            <w:shd w:val="clear" w:color="auto" w:fill="auto"/>
            <w:vAlign w:val="center"/>
          </w:tcPr>
          <w:p w14:paraId="4A059340" w14:textId="77777777" w:rsidR="00C80543" w:rsidRPr="006F5D71" w:rsidRDefault="00C80543" w:rsidP="004C7443">
            <w:pPr>
              <w:widowControl w:val="0"/>
              <w:autoSpaceDE w:val="0"/>
              <w:autoSpaceDN w:val="0"/>
              <w:adjustRightInd w:val="0"/>
              <w:spacing w:after="0" w:line="240" w:lineRule="auto"/>
              <w:jc w:val="center"/>
              <w:rPr>
                <w:b/>
                <w:bCs/>
                <w:color w:val="000000" w:themeColor="text1"/>
                <w:szCs w:val="24"/>
              </w:rPr>
            </w:pPr>
            <w:r w:rsidRPr="006F5D71">
              <w:rPr>
                <w:b/>
                <w:bCs/>
                <w:color w:val="000000" w:themeColor="text1"/>
                <w:szCs w:val="24"/>
              </w:rPr>
              <w:t>3</w:t>
            </w:r>
          </w:p>
        </w:tc>
        <w:tc>
          <w:tcPr>
            <w:tcW w:w="1174" w:type="dxa"/>
            <w:tcBorders>
              <w:top w:val="nil"/>
              <w:left w:val="nil"/>
              <w:bottom w:val="single" w:sz="6" w:space="0" w:color="auto"/>
              <w:right w:val="nil"/>
            </w:tcBorders>
            <w:shd w:val="clear" w:color="auto" w:fill="auto"/>
            <w:vAlign w:val="center"/>
          </w:tcPr>
          <w:p w14:paraId="52EEE0C8" w14:textId="77777777" w:rsidR="00C80543" w:rsidRPr="006F5D71" w:rsidRDefault="00C80543" w:rsidP="004C7443">
            <w:pPr>
              <w:widowControl w:val="0"/>
              <w:autoSpaceDE w:val="0"/>
              <w:autoSpaceDN w:val="0"/>
              <w:adjustRightInd w:val="0"/>
              <w:spacing w:after="0" w:line="240" w:lineRule="auto"/>
              <w:jc w:val="center"/>
              <w:rPr>
                <w:b/>
                <w:bCs/>
                <w:color w:val="000000" w:themeColor="text1"/>
                <w:szCs w:val="24"/>
              </w:rPr>
            </w:pPr>
            <w:r w:rsidRPr="006F5D71">
              <w:rPr>
                <w:b/>
                <w:bCs/>
                <w:color w:val="000000" w:themeColor="text1"/>
                <w:szCs w:val="24"/>
              </w:rPr>
              <w:t>4</w:t>
            </w:r>
          </w:p>
        </w:tc>
        <w:tc>
          <w:tcPr>
            <w:tcW w:w="1170" w:type="dxa"/>
            <w:tcBorders>
              <w:top w:val="nil"/>
              <w:left w:val="nil"/>
              <w:bottom w:val="single" w:sz="6" w:space="0" w:color="auto"/>
              <w:right w:val="nil"/>
            </w:tcBorders>
            <w:shd w:val="clear" w:color="auto" w:fill="auto"/>
            <w:vAlign w:val="center"/>
          </w:tcPr>
          <w:p w14:paraId="31322D07" w14:textId="77777777" w:rsidR="00C80543" w:rsidRPr="006F5D71" w:rsidRDefault="00C80543" w:rsidP="004C7443">
            <w:pPr>
              <w:widowControl w:val="0"/>
              <w:autoSpaceDE w:val="0"/>
              <w:autoSpaceDN w:val="0"/>
              <w:adjustRightInd w:val="0"/>
              <w:spacing w:after="0" w:line="240" w:lineRule="auto"/>
              <w:jc w:val="center"/>
              <w:rPr>
                <w:b/>
                <w:bCs/>
                <w:color w:val="000000" w:themeColor="text1"/>
                <w:szCs w:val="24"/>
              </w:rPr>
            </w:pPr>
            <w:r w:rsidRPr="006F5D71">
              <w:rPr>
                <w:b/>
                <w:bCs/>
                <w:color w:val="000000" w:themeColor="text1"/>
                <w:szCs w:val="24"/>
              </w:rPr>
              <w:t>5</w:t>
            </w:r>
          </w:p>
        </w:tc>
        <w:tc>
          <w:tcPr>
            <w:tcW w:w="1166" w:type="dxa"/>
            <w:tcBorders>
              <w:top w:val="nil"/>
              <w:left w:val="nil"/>
              <w:bottom w:val="single" w:sz="6" w:space="0" w:color="auto"/>
              <w:right w:val="nil"/>
            </w:tcBorders>
            <w:shd w:val="clear" w:color="auto" w:fill="auto"/>
            <w:vAlign w:val="center"/>
          </w:tcPr>
          <w:p w14:paraId="6CF62D3F" w14:textId="77777777" w:rsidR="00C80543" w:rsidRPr="006F5D71" w:rsidRDefault="00C80543" w:rsidP="004C7443">
            <w:pPr>
              <w:widowControl w:val="0"/>
              <w:autoSpaceDE w:val="0"/>
              <w:autoSpaceDN w:val="0"/>
              <w:adjustRightInd w:val="0"/>
              <w:spacing w:after="0" w:line="240" w:lineRule="auto"/>
              <w:jc w:val="center"/>
              <w:rPr>
                <w:b/>
                <w:bCs/>
                <w:color w:val="000000" w:themeColor="text1"/>
                <w:szCs w:val="24"/>
              </w:rPr>
            </w:pPr>
            <w:r w:rsidRPr="006F5D71">
              <w:rPr>
                <w:b/>
                <w:bCs/>
                <w:color w:val="000000" w:themeColor="text1"/>
                <w:szCs w:val="24"/>
              </w:rPr>
              <w:t>6</w:t>
            </w:r>
          </w:p>
        </w:tc>
      </w:tr>
      <w:tr w:rsidR="00727A9B" w:rsidRPr="006F5D71" w14:paraId="46EC2C7A" w14:textId="77777777" w:rsidTr="004C7443">
        <w:trPr>
          <w:trHeight w:val="222"/>
          <w:jc w:val="center"/>
        </w:trPr>
        <w:tc>
          <w:tcPr>
            <w:tcW w:w="3870" w:type="dxa"/>
            <w:tcBorders>
              <w:top w:val="nil"/>
              <w:left w:val="nil"/>
              <w:bottom w:val="nil"/>
              <w:right w:val="nil"/>
            </w:tcBorders>
            <w:shd w:val="clear" w:color="auto" w:fill="auto"/>
            <w:vAlign w:val="center"/>
          </w:tcPr>
          <w:p w14:paraId="25859148"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b/>
                <w:bCs/>
                <w:color w:val="000000" w:themeColor="text1"/>
                <w:szCs w:val="24"/>
              </w:rPr>
              <w:t>Firm Specific Advantages</w:t>
            </w:r>
          </w:p>
        </w:tc>
        <w:tc>
          <w:tcPr>
            <w:tcW w:w="1170" w:type="dxa"/>
            <w:tcBorders>
              <w:top w:val="nil"/>
              <w:left w:val="nil"/>
              <w:bottom w:val="nil"/>
              <w:right w:val="nil"/>
            </w:tcBorders>
            <w:shd w:val="clear" w:color="auto" w:fill="auto"/>
            <w:vAlign w:val="center"/>
          </w:tcPr>
          <w:p w14:paraId="1023377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264" w:type="dxa"/>
            <w:tcBorders>
              <w:top w:val="nil"/>
              <w:left w:val="nil"/>
              <w:bottom w:val="nil"/>
              <w:right w:val="nil"/>
            </w:tcBorders>
            <w:shd w:val="clear" w:color="auto" w:fill="auto"/>
            <w:vAlign w:val="center"/>
          </w:tcPr>
          <w:p w14:paraId="3212E46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96" w:type="dxa"/>
            <w:tcBorders>
              <w:top w:val="nil"/>
              <w:left w:val="nil"/>
              <w:bottom w:val="nil"/>
              <w:right w:val="nil"/>
            </w:tcBorders>
            <w:shd w:val="clear" w:color="auto" w:fill="auto"/>
            <w:vAlign w:val="center"/>
          </w:tcPr>
          <w:p w14:paraId="19D15B6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4" w:type="dxa"/>
            <w:tcBorders>
              <w:top w:val="nil"/>
              <w:left w:val="nil"/>
              <w:bottom w:val="nil"/>
              <w:right w:val="nil"/>
            </w:tcBorders>
            <w:shd w:val="clear" w:color="auto" w:fill="auto"/>
            <w:vAlign w:val="center"/>
          </w:tcPr>
          <w:p w14:paraId="0FAB337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0" w:type="dxa"/>
            <w:tcBorders>
              <w:top w:val="nil"/>
              <w:left w:val="nil"/>
              <w:bottom w:val="nil"/>
              <w:right w:val="nil"/>
            </w:tcBorders>
            <w:shd w:val="clear" w:color="auto" w:fill="auto"/>
            <w:vAlign w:val="center"/>
          </w:tcPr>
          <w:p w14:paraId="35E1270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66" w:type="dxa"/>
            <w:tcBorders>
              <w:top w:val="nil"/>
              <w:left w:val="nil"/>
              <w:bottom w:val="nil"/>
              <w:right w:val="nil"/>
            </w:tcBorders>
            <w:shd w:val="clear" w:color="auto" w:fill="auto"/>
            <w:vAlign w:val="center"/>
          </w:tcPr>
          <w:p w14:paraId="19A415F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r>
      <w:tr w:rsidR="00727A9B" w:rsidRPr="006F5D71" w14:paraId="635F5C2F" w14:textId="77777777" w:rsidTr="004C7443">
        <w:trPr>
          <w:trHeight w:val="234"/>
          <w:jc w:val="center"/>
        </w:trPr>
        <w:tc>
          <w:tcPr>
            <w:tcW w:w="3870" w:type="dxa"/>
            <w:tcBorders>
              <w:top w:val="nil"/>
              <w:left w:val="nil"/>
              <w:bottom w:val="nil"/>
              <w:right w:val="nil"/>
            </w:tcBorders>
            <w:shd w:val="clear" w:color="auto" w:fill="auto"/>
            <w:vAlign w:val="center"/>
          </w:tcPr>
          <w:p w14:paraId="6D732C8B" w14:textId="77777777" w:rsidR="00C80543" w:rsidRPr="006F5D71" w:rsidRDefault="00C80543" w:rsidP="004C7443">
            <w:pPr>
              <w:widowControl w:val="0"/>
              <w:autoSpaceDE w:val="0"/>
              <w:autoSpaceDN w:val="0"/>
              <w:adjustRightInd w:val="0"/>
              <w:spacing w:after="0" w:line="240" w:lineRule="auto"/>
              <w:rPr>
                <w:i/>
                <w:color w:val="000000" w:themeColor="text1"/>
                <w:szCs w:val="24"/>
              </w:rPr>
            </w:pPr>
            <w:r w:rsidRPr="006F5D71">
              <w:rPr>
                <w:i/>
                <w:color w:val="000000" w:themeColor="text1"/>
                <w:szCs w:val="24"/>
              </w:rPr>
              <w:t>Absorptive Capacity</w:t>
            </w:r>
          </w:p>
        </w:tc>
        <w:tc>
          <w:tcPr>
            <w:tcW w:w="1170" w:type="dxa"/>
            <w:tcBorders>
              <w:top w:val="nil"/>
              <w:left w:val="nil"/>
              <w:bottom w:val="nil"/>
              <w:right w:val="nil"/>
            </w:tcBorders>
            <w:shd w:val="clear" w:color="auto" w:fill="auto"/>
            <w:vAlign w:val="center"/>
          </w:tcPr>
          <w:p w14:paraId="7680C3B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-0.383***</w:t>
            </w:r>
          </w:p>
        </w:tc>
        <w:tc>
          <w:tcPr>
            <w:tcW w:w="1264" w:type="dxa"/>
            <w:tcBorders>
              <w:top w:val="nil"/>
              <w:left w:val="nil"/>
              <w:bottom w:val="nil"/>
              <w:right w:val="nil"/>
            </w:tcBorders>
            <w:shd w:val="clear" w:color="auto" w:fill="auto"/>
            <w:vAlign w:val="center"/>
          </w:tcPr>
          <w:p w14:paraId="44E1EB3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-0.399***</w:t>
            </w:r>
          </w:p>
        </w:tc>
        <w:tc>
          <w:tcPr>
            <w:tcW w:w="1196" w:type="dxa"/>
            <w:tcBorders>
              <w:top w:val="nil"/>
              <w:left w:val="nil"/>
              <w:bottom w:val="nil"/>
              <w:right w:val="nil"/>
            </w:tcBorders>
            <w:shd w:val="clear" w:color="auto" w:fill="auto"/>
            <w:vAlign w:val="center"/>
          </w:tcPr>
          <w:p w14:paraId="2A09C12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-0.369</w:t>
            </w:r>
          </w:p>
        </w:tc>
        <w:tc>
          <w:tcPr>
            <w:tcW w:w="1174" w:type="dxa"/>
            <w:tcBorders>
              <w:top w:val="nil"/>
              <w:left w:val="nil"/>
              <w:bottom w:val="nil"/>
              <w:right w:val="nil"/>
            </w:tcBorders>
            <w:shd w:val="clear" w:color="auto" w:fill="auto"/>
            <w:vAlign w:val="center"/>
          </w:tcPr>
          <w:p w14:paraId="5343A7A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-0.359</w:t>
            </w:r>
          </w:p>
        </w:tc>
        <w:tc>
          <w:tcPr>
            <w:tcW w:w="1170" w:type="dxa"/>
            <w:tcBorders>
              <w:top w:val="nil"/>
              <w:left w:val="nil"/>
              <w:bottom w:val="nil"/>
              <w:right w:val="nil"/>
            </w:tcBorders>
            <w:shd w:val="clear" w:color="auto" w:fill="auto"/>
            <w:vAlign w:val="center"/>
          </w:tcPr>
          <w:p w14:paraId="6584354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-0.436***</w:t>
            </w:r>
          </w:p>
        </w:tc>
        <w:tc>
          <w:tcPr>
            <w:tcW w:w="1166" w:type="dxa"/>
            <w:tcBorders>
              <w:top w:val="nil"/>
              <w:left w:val="nil"/>
              <w:bottom w:val="nil"/>
              <w:right w:val="nil"/>
            </w:tcBorders>
            <w:shd w:val="clear" w:color="auto" w:fill="auto"/>
            <w:vAlign w:val="center"/>
          </w:tcPr>
          <w:p w14:paraId="1BFD66D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-0.483***</w:t>
            </w:r>
          </w:p>
        </w:tc>
      </w:tr>
      <w:tr w:rsidR="00727A9B" w:rsidRPr="006F5D71" w14:paraId="794294DA" w14:textId="77777777" w:rsidTr="004C7443">
        <w:trPr>
          <w:trHeight w:val="222"/>
          <w:jc w:val="center"/>
        </w:trPr>
        <w:tc>
          <w:tcPr>
            <w:tcW w:w="3870" w:type="dxa"/>
            <w:tcBorders>
              <w:top w:val="nil"/>
              <w:left w:val="nil"/>
              <w:bottom w:val="nil"/>
              <w:right w:val="nil"/>
            </w:tcBorders>
            <w:shd w:val="clear" w:color="auto" w:fill="auto"/>
            <w:vAlign w:val="center"/>
          </w:tcPr>
          <w:p w14:paraId="5C60709B" w14:textId="77777777" w:rsidR="00C80543" w:rsidRPr="006F5D71" w:rsidRDefault="00C80543" w:rsidP="004C7443">
            <w:pPr>
              <w:widowControl w:val="0"/>
              <w:autoSpaceDE w:val="0"/>
              <w:autoSpaceDN w:val="0"/>
              <w:adjustRightInd w:val="0"/>
              <w:spacing w:after="0" w:line="240" w:lineRule="auto"/>
              <w:rPr>
                <w:i/>
                <w:color w:val="000000" w:themeColor="text1"/>
                <w:szCs w:val="24"/>
              </w:rPr>
            </w:pPr>
          </w:p>
        </w:tc>
        <w:tc>
          <w:tcPr>
            <w:tcW w:w="1170" w:type="dxa"/>
            <w:tcBorders>
              <w:top w:val="nil"/>
              <w:left w:val="nil"/>
              <w:bottom w:val="nil"/>
              <w:right w:val="nil"/>
            </w:tcBorders>
            <w:shd w:val="clear" w:color="auto" w:fill="auto"/>
            <w:vAlign w:val="center"/>
          </w:tcPr>
          <w:p w14:paraId="7ACCDBF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(0.121)</w:t>
            </w:r>
          </w:p>
        </w:tc>
        <w:tc>
          <w:tcPr>
            <w:tcW w:w="1264" w:type="dxa"/>
            <w:tcBorders>
              <w:top w:val="nil"/>
              <w:left w:val="nil"/>
              <w:bottom w:val="nil"/>
              <w:right w:val="nil"/>
            </w:tcBorders>
            <w:shd w:val="clear" w:color="auto" w:fill="auto"/>
            <w:vAlign w:val="center"/>
          </w:tcPr>
          <w:p w14:paraId="201FCE5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(0.108)</w:t>
            </w:r>
          </w:p>
        </w:tc>
        <w:tc>
          <w:tcPr>
            <w:tcW w:w="1196" w:type="dxa"/>
            <w:tcBorders>
              <w:top w:val="nil"/>
              <w:left w:val="nil"/>
              <w:bottom w:val="nil"/>
              <w:right w:val="nil"/>
            </w:tcBorders>
            <w:shd w:val="clear" w:color="auto" w:fill="auto"/>
            <w:vAlign w:val="center"/>
          </w:tcPr>
          <w:p w14:paraId="7F3C25F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(0.280)</w:t>
            </w:r>
          </w:p>
        </w:tc>
        <w:tc>
          <w:tcPr>
            <w:tcW w:w="1174" w:type="dxa"/>
            <w:tcBorders>
              <w:top w:val="nil"/>
              <w:left w:val="nil"/>
              <w:bottom w:val="nil"/>
              <w:right w:val="nil"/>
            </w:tcBorders>
            <w:shd w:val="clear" w:color="auto" w:fill="auto"/>
            <w:vAlign w:val="center"/>
          </w:tcPr>
          <w:p w14:paraId="418860D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(0.299)</w:t>
            </w:r>
          </w:p>
        </w:tc>
        <w:tc>
          <w:tcPr>
            <w:tcW w:w="1170" w:type="dxa"/>
            <w:tcBorders>
              <w:top w:val="nil"/>
              <w:left w:val="nil"/>
              <w:bottom w:val="nil"/>
              <w:right w:val="nil"/>
            </w:tcBorders>
            <w:shd w:val="clear" w:color="auto" w:fill="auto"/>
            <w:vAlign w:val="center"/>
          </w:tcPr>
          <w:p w14:paraId="27F7433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(0.136)</w:t>
            </w:r>
          </w:p>
        </w:tc>
        <w:tc>
          <w:tcPr>
            <w:tcW w:w="1166" w:type="dxa"/>
            <w:tcBorders>
              <w:top w:val="nil"/>
              <w:left w:val="nil"/>
              <w:bottom w:val="nil"/>
              <w:right w:val="nil"/>
            </w:tcBorders>
            <w:shd w:val="clear" w:color="auto" w:fill="auto"/>
            <w:vAlign w:val="center"/>
          </w:tcPr>
          <w:p w14:paraId="53DA502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(0.138)</w:t>
            </w:r>
          </w:p>
        </w:tc>
      </w:tr>
      <w:tr w:rsidR="00727A9B" w:rsidRPr="006F5D71" w14:paraId="29EF72C6" w14:textId="77777777" w:rsidTr="004C7443">
        <w:trPr>
          <w:trHeight w:val="222"/>
          <w:jc w:val="center"/>
        </w:trPr>
        <w:tc>
          <w:tcPr>
            <w:tcW w:w="3870" w:type="dxa"/>
            <w:tcBorders>
              <w:top w:val="nil"/>
              <w:left w:val="nil"/>
              <w:bottom w:val="nil"/>
              <w:right w:val="nil"/>
            </w:tcBorders>
            <w:shd w:val="clear" w:color="auto" w:fill="auto"/>
            <w:vAlign w:val="center"/>
          </w:tcPr>
          <w:p w14:paraId="0A556C7B" w14:textId="77777777" w:rsidR="00C80543" w:rsidRPr="006F5D71" w:rsidRDefault="00C80543" w:rsidP="004C7443">
            <w:pPr>
              <w:widowControl w:val="0"/>
              <w:autoSpaceDE w:val="0"/>
              <w:autoSpaceDN w:val="0"/>
              <w:adjustRightInd w:val="0"/>
              <w:spacing w:after="0" w:line="240" w:lineRule="auto"/>
              <w:rPr>
                <w:i/>
                <w:color w:val="000000" w:themeColor="text1"/>
                <w:szCs w:val="24"/>
              </w:rPr>
            </w:pPr>
            <w:r w:rsidRPr="006F5D71">
              <w:rPr>
                <w:i/>
                <w:color w:val="000000" w:themeColor="text1"/>
                <w:szCs w:val="24"/>
              </w:rPr>
              <w:t xml:space="preserve">Absorptive Capacity Leader </w:t>
            </w:r>
          </w:p>
        </w:tc>
        <w:tc>
          <w:tcPr>
            <w:tcW w:w="1170" w:type="dxa"/>
            <w:tcBorders>
              <w:top w:val="nil"/>
              <w:left w:val="nil"/>
              <w:bottom w:val="nil"/>
              <w:right w:val="nil"/>
            </w:tcBorders>
            <w:shd w:val="clear" w:color="auto" w:fill="auto"/>
            <w:vAlign w:val="center"/>
          </w:tcPr>
          <w:p w14:paraId="0A2F52C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-0.321*</w:t>
            </w:r>
          </w:p>
        </w:tc>
        <w:tc>
          <w:tcPr>
            <w:tcW w:w="1264" w:type="dxa"/>
            <w:tcBorders>
              <w:top w:val="nil"/>
              <w:left w:val="nil"/>
              <w:bottom w:val="nil"/>
              <w:right w:val="nil"/>
            </w:tcBorders>
            <w:shd w:val="clear" w:color="auto" w:fill="auto"/>
            <w:vAlign w:val="center"/>
          </w:tcPr>
          <w:p w14:paraId="5487303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-0.345*</w:t>
            </w:r>
          </w:p>
        </w:tc>
        <w:tc>
          <w:tcPr>
            <w:tcW w:w="1196" w:type="dxa"/>
            <w:tcBorders>
              <w:top w:val="nil"/>
              <w:left w:val="nil"/>
              <w:bottom w:val="nil"/>
              <w:right w:val="nil"/>
            </w:tcBorders>
            <w:shd w:val="clear" w:color="auto" w:fill="auto"/>
            <w:vAlign w:val="center"/>
          </w:tcPr>
          <w:p w14:paraId="6151E0A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-0.209</w:t>
            </w:r>
          </w:p>
        </w:tc>
        <w:tc>
          <w:tcPr>
            <w:tcW w:w="1174" w:type="dxa"/>
            <w:tcBorders>
              <w:top w:val="nil"/>
              <w:left w:val="nil"/>
              <w:bottom w:val="nil"/>
              <w:right w:val="nil"/>
            </w:tcBorders>
            <w:shd w:val="clear" w:color="auto" w:fill="auto"/>
            <w:vAlign w:val="center"/>
          </w:tcPr>
          <w:p w14:paraId="1D257B9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-0.280</w:t>
            </w:r>
          </w:p>
        </w:tc>
        <w:tc>
          <w:tcPr>
            <w:tcW w:w="1170" w:type="dxa"/>
            <w:tcBorders>
              <w:top w:val="nil"/>
              <w:left w:val="nil"/>
              <w:bottom w:val="nil"/>
              <w:right w:val="nil"/>
            </w:tcBorders>
            <w:shd w:val="clear" w:color="auto" w:fill="auto"/>
            <w:vAlign w:val="center"/>
          </w:tcPr>
          <w:p w14:paraId="4202CD1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-0.895**</w:t>
            </w:r>
          </w:p>
        </w:tc>
        <w:tc>
          <w:tcPr>
            <w:tcW w:w="1166" w:type="dxa"/>
            <w:tcBorders>
              <w:top w:val="nil"/>
              <w:left w:val="nil"/>
              <w:bottom w:val="nil"/>
              <w:right w:val="nil"/>
            </w:tcBorders>
            <w:shd w:val="clear" w:color="auto" w:fill="auto"/>
            <w:vAlign w:val="center"/>
          </w:tcPr>
          <w:p w14:paraId="0082833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-0.812**</w:t>
            </w:r>
          </w:p>
        </w:tc>
      </w:tr>
      <w:tr w:rsidR="00727A9B" w:rsidRPr="006F5D71" w14:paraId="1D6DF86B" w14:textId="77777777" w:rsidTr="004C7443">
        <w:trPr>
          <w:trHeight w:val="234"/>
          <w:jc w:val="center"/>
        </w:trPr>
        <w:tc>
          <w:tcPr>
            <w:tcW w:w="3870" w:type="dxa"/>
            <w:tcBorders>
              <w:top w:val="nil"/>
              <w:left w:val="nil"/>
              <w:bottom w:val="nil"/>
              <w:right w:val="nil"/>
            </w:tcBorders>
            <w:shd w:val="clear" w:color="auto" w:fill="auto"/>
            <w:vAlign w:val="center"/>
          </w:tcPr>
          <w:p w14:paraId="6212E175"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09602E7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(0.153)</w:t>
            </w:r>
          </w:p>
        </w:tc>
        <w:tc>
          <w:tcPr>
            <w:tcW w:w="1264" w:type="dxa"/>
            <w:tcBorders>
              <w:top w:val="nil"/>
              <w:left w:val="nil"/>
              <w:bottom w:val="nil"/>
              <w:right w:val="nil"/>
            </w:tcBorders>
            <w:shd w:val="clear" w:color="auto" w:fill="auto"/>
            <w:vAlign w:val="center"/>
          </w:tcPr>
          <w:p w14:paraId="49E27A9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(0.149)</w:t>
            </w:r>
          </w:p>
        </w:tc>
        <w:tc>
          <w:tcPr>
            <w:tcW w:w="1196" w:type="dxa"/>
            <w:tcBorders>
              <w:top w:val="nil"/>
              <w:left w:val="nil"/>
              <w:bottom w:val="nil"/>
              <w:right w:val="nil"/>
            </w:tcBorders>
            <w:shd w:val="clear" w:color="auto" w:fill="auto"/>
            <w:vAlign w:val="center"/>
          </w:tcPr>
          <w:p w14:paraId="1086E9E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(0.165)</w:t>
            </w:r>
          </w:p>
        </w:tc>
        <w:tc>
          <w:tcPr>
            <w:tcW w:w="1174" w:type="dxa"/>
            <w:tcBorders>
              <w:top w:val="nil"/>
              <w:left w:val="nil"/>
              <w:bottom w:val="nil"/>
              <w:right w:val="nil"/>
            </w:tcBorders>
            <w:shd w:val="clear" w:color="auto" w:fill="auto"/>
            <w:vAlign w:val="center"/>
          </w:tcPr>
          <w:p w14:paraId="22C6EE2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(0.179)</w:t>
            </w:r>
          </w:p>
        </w:tc>
        <w:tc>
          <w:tcPr>
            <w:tcW w:w="1170" w:type="dxa"/>
            <w:tcBorders>
              <w:top w:val="nil"/>
              <w:left w:val="nil"/>
              <w:bottom w:val="nil"/>
              <w:right w:val="nil"/>
            </w:tcBorders>
            <w:shd w:val="clear" w:color="auto" w:fill="auto"/>
            <w:vAlign w:val="center"/>
          </w:tcPr>
          <w:p w14:paraId="44A9FA7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(0.381)</w:t>
            </w:r>
          </w:p>
        </w:tc>
        <w:tc>
          <w:tcPr>
            <w:tcW w:w="1166" w:type="dxa"/>
            <w:tcBorders>
              <w:top w:val="nil"/>
              <w:left w:val="nil"/>
              <w:bottom w:val="nil"/>
              <w:right w:val="nil"/>
            </w:tcBorders>
            <w:shd w:val="clear" w:color="auto" w:fill="auto"/>
            <w:vAlign w:val="center"/>
          </w:tcPr>
          <w:p w14:paraId="47FBAEC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(0.302)</w:t>
            </w:r>
          </w:p>
        </w:tc>
      </w:tr>
      <w:tr w:rsidR="00727A9B" w:rsidRPr="006F5D71" w14:paraId="7DE188F0" w14:textId="77777777" w:rsidTr="004C7443">
        <w:trPr>
          <w:trHeight w:val="222"/>
          <w:jc w:val="center"/>
        </w:trPr>
        <w:tc>
          <w:tcPr>
            <w:tcW w:w="3870" w:type="dxa"/>
            <w:tcBorders>
              <w:top w:val="nil"/>
              <w:left w:val="nil"/>
              <w:bottom w:val="nil"/>
              <w:right w:val="nil"/>
            </w:tcBorders>
            <w:shd w:val="clear" w:color="auto" w:fill="auto"/>
            <w:vAlign w:val="center"/>
          </w:tcPr>
          <w:p w14:paraId="1EDFE3B6"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Labor Productivity</w:t>
            </w:r>
          </w:p>
        </w:tc>
        <w:tc>
          <w:tcPr>
            <w:tcW w:w="1170" w:type="dxa"/>
            <w:tcBorders>
              <w:top w:val="nil"/>
              <w:left w:val="nil"/>
              <w:bottom w:val="nil"/>
              <w:right w:val="nil"/>
            </w:tcBorders>
            <w:shd w:val="clear" w:color="auto" w:fill="auto"/>
            <w:vAlign w:val="center"/>
          </w:tcPr>
          <w:p w14:paraId="0E2F717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-0.038***</w:t>
            </w:r>
          </w:p>
        </w:tc>
        <w:tc>
          <w:tcPr>
            <w:tcW w:w="1264" w:type="dxa"/>
            <w:tcBorders>
              <w:top w:val="nil"/>
              <w:left w:val="nil"/>
              <w:bottom w:val="nil"/>
              <w:right w:val="nil"/>
            </w:tcBorders>
            <w:shd w:val="clear" w:color="auto" w:fill="auto"/>
            <w:vAlign w:val="center"/>
          </w:tcPr>
          <w:p w14:paraId="4D21C75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-0.038***</w:t>
            </w:r>
          </w:p>
        </w:tc>
        <w:tc>
          <w:tcPr>
            <w:tcW w:w="1196" w:type="dxa"/>
            <w:tcBorders>
              <w:top w:val="nil"/>
              <w:left w:val="nil"/>
              <w:bottom w:val="nil"/>
              <w:right w:val="nil"/>
            </w:tcBorders>
            <w:shd w:val="clear" w:color="auto" w:fill="auto"/>
            <w:vAlign w:val="center"/>
          </w:tcPr>
          <w:p w14:paraId="23E922E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-0.015</w:t>
            </w:r>
          </w:p>
        </w:tc>
        <w:tc>
          <w:tcPr>
            <w:tcW w:w="1174" w:type="dxa"/>
            <w:tcBorders>
              <w:top w:val="nil"/>
              <w:left w:val="nil"/>
              <w:bottom w:val="nil"/>
              <w:right w:val="nil"/>
            </w:tcBorders>
            <w:shd w:val="clear" w:color="auto" w:fill="auto"/>
            <w:vAlign w:val="center"/>
          </w:tcPr>
          <w:p w14:paraId="41ECF10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-0.014</w:t>
            </w:r>
          </w:p>
        </w:tc>
        <w:tc>
          <w:tcPr>
            <w:tcW w:w="1170" w:type="dxa"/>
            <w:tcBorders>
              <w:top w:val="nil"/>
              <w:left w:val="nil"/>
              <w:bottom w:val="nil"/>
              <w:right w:val="nil"/>
            </w:tcBorders>
            <w:shd w:val="clear" w:color="auto" w:fill="auto"/>
            <w:vAlign w:val="center"/>
          </w:tcPr>
          <w:p w14:paraId="39E67B3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-0.093***</w:t>
            </w:r>
          </w:p>
        </w:tc>
        <w:tc>
          <w:tcPr>
            <w:tcW w:w="1166" w:type="dxa"/>
            <w:tcBorders>
              <w:top w:val="nil"/>
              <w:left w:val="nil"/>
              <w:bottom w:val="nil"/>
              <w:right w:val="nil"/>
            </w:tcBorders>
            <w:shd w:val="clear" w:color="auto" w:fill="auto"/>
            <w:vAlign w:val="center"/>
          </w:tcPr>
          <w:p w14:paraId="5A11F49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-0.069***</w:t>
            </w:r>
          </w:p>
        </w:tc>
      </w:tr>
      <w:tr w:rsidR="00727A9B" w:rsidRPr="006F5D71" w14:paraId="36F81FD7" w14:textId="77777777" w:rsidTr="004C7443">
        <w:trPr>
          <w:trHeight w:val="234"/>
          <w:jc w:val="center"/>
        </w:trPr>
        <w:tc>
          <w:tcPr>
            <w:tcW w:w="3870" w:type="dxa"/>
            <w:tcBorders>
              <w:top w:val="nil"/>
              <w:left w:val="nil"/>
              <w:bottom w:val="nil"/>
              <w:right w:val="nil"/>
            </w:tcBorders>
            <w:shd w:val="clear" w:color="auto" w:fill="auto"/>
            <w:vAlign w:val="center"/>
          </w:tcPr>
          <w:p w14:paraId="504F6CF3"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1213999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(0.010)</w:t>
            </w:r>
          </w:p>
        </w:tc>
        <w:tc>
          <w:tcPr>
            <w:tcW w:w="1264" w:type="dxa"/>
            <w:tcBorders>
              <w:top w:val="nil"/>
              <w:left w:val="nil"/>
              <w:bottom w:val="nil"/>
              <w:right w:val="nil"/>
            </w:tcBorders>
            <w:shd w:val="clear" w:color="auto" w:fill="auto"/>
            <w:vAlign w:val="center"/>
          </w:tcPr>
          <w:p w14:paraId="14F8249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(0.008)</w:t>
            </w:r>
          </w:p>
        </w:tc>
        <w:tc>
          <w:tcPr>
            <w:tcW w:w="1196" w:type="dxa"/>
            <w:tcBorders>
              <w:top w:val="nil"/>
              <w:left w:val="nil"/>
              <w:bottom w:val="nil"/>
              <w:right w:val="nil"/>
            </w:tcBorders>
            <w:shd w:val="clear" w:color="auto" w:fill="auto"/>
            <w:vAlign w:val="center"/>
          </w:tcPr>
          <w:p w14:paraId="0EA0ED4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(0.011)</w:t>
            </w:r>
          </w:p>
        </w:tc>
        <w:tc>
          <w:tcPr>
            <w:tcW w:w="1174" w:type="dxa"/>
            <w:tcBorders>
              <w:top w:val="nil"/>
              <w:left w:val="nil"/>
              <w:bottom w:val="nil"/>
              <w:right w:val="nil"/>
            </w:tcBorders>
            <w:shd w:val="clear" w:color="auto" w:fill="auto"/>
            <w:vAlign w:val="center"/>
          </w:tcPr>
          <w:p w14:paraId="4EBAB12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(0.018)</w:t>
            </w:r>
          </w:p>
        </w:tc>
        <w:tc>
          <w:tcPr>
            <w:tcW w:w="1170" w:type="dxa"/>
            <w:tcBorders>
              <w:top w:val="nil"/>
              <w:left w:val="nil"/>
              <w:bottom w:val="nil"/>
              <w:right w:val="nil"/>
            </w:tcBorders>
            <w:shd w:val="clear" w:color="auto" w:fill="auto"/>
            <w:vAlign w:val="center"/>
          </w:tcPr>
          <w:p w14:paraId="6B2A02A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(0.024)</w:t>
            </w:r>
          </w:p>
        </w:tc>
        <w:tc>
          <w:tcPr>
            <w:tcW w:w="1166" w:type="dxa"/>
            <w:tcBorders>
              <w:top w:val="nil"/>
              <w:left w:val="nil"/>
              <w:bottom w:val="nil"/>
              <w:right w:val="nil"/>
            </w:tcBorders>
            <w:shd w:val="clear" w:color="auto" w:fill="auto"/>
            <w:vAlign w:val="center"/>
          </w:tcPr>
          <w:p w14:paraId="45B474F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(0.020)</w:t>
            </w:r>
          </w:p>
        </w:tc>
      </w:tr>
      <w:tr w:rsidR="00727A9B" w:rsidRPr="006F5D71" w14:paraId="2C249414" w14:textId="77777777" w:rsidTr="004C7443">
        <w:trPr>
          <w:trHeight w:val="222"/>
          <w:jc w:val="center"/>
        </w:trPr>
        <w:tc>
          <w:tcPr>
            <w:tcW w:w="3870" w:type="dxa"/>
            <w:tcBorders>
              <w:top w:val="nil"/>
              <w:left w:val="nil"/>
              <w:bottom w:val="nil"/>
              <w:right w:val="nil"/>
            </w:tcBorders>
            <w:shd w:val="clear" w:color="auto" w:fill="auto"/>
            <w:vAlign w:val="center"/>
          </w:tcPr>
          <w:p w14:paraId="67EA5B76"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 xml:space="preserve">Labor Productivity Leader </w:t>
            </w:r>
          </w:p>
        </w:tc>
        <w:tc>
          <w:tcPr>
            <w:tcW w:w="1170" w:type="dxa"/>
            <w:tcBorders>
              <w:top w:val="nil"/>
              <w:left w:val="nil"/>
              <w:bottom w:val="nil"/>
              <w:right w:val="nil"/>
            </w:tcBorders>
            <w:shd w:val="clear" w:color="auto" w:fill="auto"/>
            <w:vAlign w:val="center"/>
          </w:tcPr>
          <w:p w14:paraId="24C3AE5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-0.736***</w:t>
            </w:r>
          </w:p>
        </w:tc>
        <w:tc>
          <w:tcPr>
            <w:tcW w:w="1264" w:type="dxa"/>
            <w:tcBorders>
              <w:top w:val="nil"/>
              <w:left w:val="nil"/>
              <w:bottom w:val="nil"/>
              <w:right w:val="nil"/>
            </w:tcBorders>
            <w:shd w:val="clear" w:color="auto" w:fill="auto"/>
            <w:vAlign w:val="center"/>
          </w:tcPr>
          <w:p w14:paraId="0203E56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-0.731***</w:t>
            </w:r>
          </w:p>
        </w:tc>
        <w:tc>
          <w:tcPr>
            <w:tcW w:w="1196" w:type="dxa"/>
            <w:tcBorders>
              <w:top w:val="nil"/>
              <w:left w:val="nil"/>
              <w:bottom w:val="nil"/>
              <w:right w:val="nil"/>
            </w:tcBorders>
            <w:shd w:val="clear" w:color="auto" w:fill="auto"/>
            <w:vAlign w:val="center"/>
          </w:tcPr>
          <w:p w14:paraId="6A8335F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-0.359</w:t>
            </w:r>
          </w:p>
        </w:tc>
        <w:tc>
          <w:tcPr>
            <w:tcW w:w="1174" w:type="dxa"/>
            <w:tcBorders>
              <w:top w:val="nil"/>
              <w:left w:val="nil"/>
              <w:bottom w:val="nil"/>
              <w:right w:val="nil"/>
            </w:tcBorders>
            <w:shd w:val="clear" w:color="auto" w:fill="auto"/>
            <w:vAlign w:val="center"/>
          </w:tcPr>
          <w:p w14:paraId="46BA375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-0.342</w:t>
            </w:r>
          </w:p>
        </w:tc>
        <w:tc>
          <w:tcPr>
            <w:tcW w:w="1170" w:type="dxa"/>
            <w:tcBorders>
              <w:top w:val="nil"/>
              <w:left w:val="nil"/>
              <w:bottom w:val="nil"/>
              <w:right w:val="nil"/>
            </w:tcBorders>
            <w:shd w:val="clear" w:color="auto" w:fill="auto"/>
            <w:vAlign w:val="center"/>
          </w:tcPr>
          <w:p w14:paraId="70EB24E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-1.805***</w:t>
            </w:r>
          </w:p>
        </w:tc>
        <w:tc>
          <w:tcPr>
            <w:tcW w:w="1166" w:type="dxa"/>
            <w:tcBorders>
              <w:top w:val="nil"/>
              <w:left w:val="nil"/>
              <w:bottom w:val="nil"/>
              <w:right w:val="nil"/>
            </w:tcBorders>
            <w:shd w:val="clear" w:color="auto" w:fill="auto"/>
            <w:vAlign w:val="center"/>
          </w:tcPr>
          <w:p w14:paraId="07F3B99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-1.513***</w:t>
            </w:r>
          </w:p>
        </w:tc>
      </w:tr>
      <w:tr w:rsidR="00727A9B" w:rsidRPr="006F5D71" w14:paraId="58082E50" w14:textId="77777777" w:rsidTr="004C7443">
        <w:trPr>
          <w:trHeight w:val="222"/>
          <w:jc w:val="center"/>
        </w:trPr>
        <w:tc>
          <w:tcPr>
            <w:tcW w:w="3870" w:type="dxa"/>
            <w:tcBorders>
              <w:top w:val="nil"/>
              <w:left w:val="nil"/>
              <w:bottom w:val="nil"/>
              <w:right w:val="nil"/>
            </w:tcBorders>
            <w:shd w:val="clear" w:color="auto" w:fill="auto"/>
            <w:vAlign w:val="center"/>
          </w:tcPr>
          <w:p w14:paraId="12518727"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5CBAAC5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(0.231)</w:t>
            </w:r>
          </w:p>
        </w:tc>
        <w:tc>
          <w:tcPr>
            <w:tcW w:w="1264" w:type="dxa"/>
            <w:tcBorders>
              <w:top w:val="nil"/>
              <w:left w:val="nil"/>
              <w:bottom w:val="nil"/>
              <w:right w:val="nil"/>
            </w:tcBorders>
            <w:shd w:val="clear" w:color="auto" w:fill="auto"/>
            <w:vAlign w:val="center"/>
          </w:tcPr>
          <w:p w14:paraId="0073A41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(0.223)</w:t>
            </w:r>
          </w:p>
        </w:tc>
        <w:tc>
          <w:tcPr>
            <w:tcW w:w="1196" w:type="dxa"/>
            <w:tcBorders>
              <w:top w:val="nil"/>
              <w:left w:val="nil"/>
              <w:bottom w:val="nil"/>
              <w:right w:val="nil"/>
            </w:tcBorders>
            <w:shd w:val="clear" w:color="auto" w:fill="auto"/>
            <w:vAlign w:val="center"/>
          </w:tcPr>
          <w:p w14:paraId="6F6B99B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(0.266)</w:t>
            </w:r>
          </w:p>
        </w:tc>
        <w:tc>
          <w:tcPr>
            <w:tcW w:w="1174" w:type="dxa"/>
            <w:tcBorders>
              <w:top w:val="nil"/>
              <w:left w:val="nil"/>
              <w:bottom w:val="nil"/>
              <w:right w:val="nil"/>
            </w:tcBorders>
            <w:shd w:val="clear" w:color="auto" w:fill="auto"/>
            <w:vAlign w:val="center"/>
          </w:tcPr>
          <w:p w14:paraId="0DF4EFA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(0.278)</w:t>
            </w:r>
          </w:p>
        </w:tc>
        <w:tc>
          <w:tcPr>
            <w:tcW w:w="1170" w:type="dxa"/>
            <w:tcBorders>
              <w:top w:val="nil"/>
              <w:left w:val="nil"/>
              <w:bottom w:val="nil"/>
              <w:right w:val="nil"/>
            </w:tcBorders>
            <w:shd w:val="clear" w:color="auto" w:fill="auto"/>
            <w:vAlign w:val="center"/>
          </w:tcPr>
          <w:p w14:paraId="0899B2F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(0.559)</w:t>
            </w:r>
          </w:p>
        </w:tc>
        <w:tc>
          <w:tcPr>
            <w:tcW w:w="1166" w:type="dxa"/>
            <w:tcBorders>
              <w:top w:val="nil"/>
              <w:left w:val="nil"/>
              <w:bottom w:val="nil"/>
              <w:right w:val="nil"/>
            </w:tcBorders>
            <w:shd w:val="clear" w:color="auto" w:fill="auto"/>
            <w:vAlign w:val="center"/>
          </w:tcPr>
          <w:p w14:paraId="0B730EB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(0.535)</w:t>
            </w:r>
          </w:p>
        </w:tc>
      </w:tr>
      <w:tr w:rsidR="00727A9B" w:rsidRPr="006F5D71" w14:paraId="70E7BBFF" w14:textId="77777777" w:rsidTr="004C7443">
        <w:trPr>
          <w:trHeight w:val="234"/>
          <w:jc w:val="center"/>
        </w:trPr>
        <w:tc>
          <w:tcPr>
            <w:tcW w:w="3870" w:type="dxa"/>
            <w:tcBorders>
              <w:top w:val="nil"/>
              <w:left w:val="nil"/>
              <w:bottom w:val="nil"/>
              <w:right w:val="nil"/>
            </w:tcBorders>
            <w:shd w:val="clear" w:color="auto" w:fill="auto"/>
            <w:vAlign w:val="center"/>
          </w:tcPr>
          <w:p w14:paraId="4CE596DE"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Profitability</w:t>
            </w:r>
          </w:p>
        </w:tc>
        <w:tc>
          <w:tcPr>
            <w:tcW w:w="1170" w:type="dxa"/>
            <w:tcBorders>
              <w:top w:val="nil"/>
              <w:left w:val="nil"/>
              <w:bottom w:val="nil"/>
              <w:right w:val="nil"/>
            </w:tcBorders>
            <w:shd w:val="clear" w:color="auto" w:fill="auto"/>
            <w:vAlign w:val="center"/>
          </w:tcPr>
          <w:p w14:paraId="1ED99A6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-0.364***</w:t>
            </w:r>
          </w:p>
        </w:tc>
        <w:tc>
          <w:tcPr>
            <w:tcW w:w="1264" w:type="dxa"/>
            <w:tcBorders>
              <w:top w:val="nil"/>
              <w:left w:val="nil"/>
              <w:bottom w:val="nil"/>
              <w:right w:val="nil"/>
            </w:tcBorders>
            <w:shd w:val="clear" w:color="auto" w:fill="auto"/>
            <w:vAlign w:val="center"/>
          </w:tcPr>
          <w:p w14:paraId="1D04BCB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-0.372***</w:t>
            </w:r>
          </w:p>
        </w:tc>
        <w:tc>
          <w:tcPr>
            <w:tcW w:w="1196" w:type="dxa"/>
            <w:tcBorders>
              <w:top w:val="nil"/>
              <w:left w:val="nil"/>
              <w:bottom w:val="nil"/>
              <w:right w:val="nil"/>
            </w:tcBorders>
            <w:shd w:val="clear" w:color="auto" w:fill="auto"/>
            <w:vAlign w:val="center"/>
          </w:tcPr>
          <w:p w14:paraId="59C81F1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-0.354***</w:t>
            </w:r>
          </w:p>
        </w:tc>
        <w:tc>
          <w:tcPr>
            <w:tcW w:w="1174" w:type="dxa"/>
            <w:tcBorders>
              <w:top w:val="nil"/>
              <w:left w:val="nil"/>
              <w:bottom w:val="nil"/>
              <w:right w:val="nil"/>
            </w:tcBorders>
            <w:shd w:val="clear" w:color="auto" w:fill="auto"/>
            <w:vAlign w:val="center"/>
          </w:tcPr>
          <w:p w14:paraId="6D5D2C5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-0.349**</w:t>
            </w:r>
          </w:p>
        </w:tc>
        <w:tc>
          <w:tcPr>
            <w:tcW w:w="1170" w:type="dxa"/>
            <w:tcBorders>
              <w:top w:val="nil"/>
              <w:left w:val="nil"/>
              <w:bottom w:val="nil"/>
              <w:right w:val="nil"/>
            </w:tcBorders>
            <w:shd w:val="clear" w:color="auto" w:fill="auto"/>
            <w:vAlign w:val="center"/>
          </w:tcPr>
          <w:p w14:paraId="2A7BCD6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-0.708**</w:t>
            </w:r>
          </w:p>
        </w:tc>
        <w:tc>
          <w:tcPr>
            <w:tcW w:w="1166" w:type="dxa"/>
            <w:tcBorders>
              <w:top w:val="nil"/>
              <w:left w:val="nil"/>
              <w:bottom w:val="nil"/>
              <w:right w:val="nil"/>
            </w:tcBorders>
            <w:shd w:val="clear" w:color="auto" w:fill="auto"/>
            <w:vAlign w:val="center"/>
          </w:tcPr>
          <w:p w14:paraId="6A844F6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-0.798***</w:t>
            </w:r>
          </w:p>
        </w:tc>
      </w:tr>
      <w:tr w:rsidR="00727A9B" w:rsidRPr="006F5D71" w14:paraId="0C1CFEAE" w14:textId="77777777" w:rsidTr="004C7443">
        <w:trPr>
          <w:trHeight w:val="222"/>
          <w:jc w:val="center"/>
        </w:trPr>
        <w:tc>
          <w:tcPr>
            <w:tcW w:w="3870" w:type="dxa"/>
            <w:tcBorders>
              <w:top w:val="nil"/>
              <w:left w:val="nil"/>
              <w:bottom w:val="nil"/>
              <w:right w:val="nil"/>
            </w:tcBorders>
            <w:shd w:val="clear" w:color="auto" w:fill="auto"/>
            <w:vAlign w:val="center"/>
          </w:tcPr>
          <w:p w14:paraId="052416B5"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5487D4F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(0.109)</w:t>
            </w:r>
          </w:p>
        </w:tc>
        <w:tc>
          <w:tcPr>
            <w:tcW w:w="1264" w:type="dxa"/>
            <w:tcBorders>
              <w:top w:val="nil"/>
              <w:left w:val="nil"/>
              <w:bottom w:val="nil"/>
              <w:right w:val="nil"/>
            </w:tcBorders>
            <w:shd w:val="clear" w:color="auto" w:fill="auto"/>
            <w:vAlign w:val="center"/>
          </w:tcPr>
          <w:p w14:paraId="7A024FA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(0.104)</w:t>
            </w:r>
          </w:p>
        </w:tc>
        <w:tc>
          <w:tcPr>
            <w:tcW w:w="1196" w:type="dxa"/>
            <w:tcBorders>
              <w:top w:val="nil"/>
              <w:left w:val="nil"/>
              <w:bottom w:val="nil"/>
              <w:right w:val="nil"/>
            </w:tcBorders>
            <w:shd w:val="clear" w:color="auto" w:fill="auto"/>
            <w:vAlign w:val="center"/>
          </w:tcPr>
          <w:p w14:paraId="45B611B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(0.123)</w:t>
            </w:r>
          </w:p>
        </w:tc>
        <w:tc>
          <w:tcPr>
            <w:tcW w:w="1174" w:type="dxa"/>
            <w:tcBorders>
              <w:top w:val="nil"/>
              <w:left w:val="nil"/>
              <w:bottom w:val="nil"/>
              <w:right w:val="nil"/>
            </w:tcBorders>
            <w:shd w:val="clear" w:color="auto" w:fill="auto"/>
            <w:vAlign w:val="center"/>
          </w:tcPr>
          <w:p w14:paraId="74D313F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(0.140)</w:t>
            </w:r>
          </w:p>
        </w:tc>
        <w:tc>
          <w:tcPr>
            <w:tcW w:w="1170" w:type="dxa"/>
            <w:tcBorders>
              <w:top w:val="nil"/>
              <w:left w:val="nil"/>
              <w:bottom w:val="nil"/>
              <w:right w:val="nil"/>
            </w:tcBorders>
            <w:shd w:val="clear" w:color="auto" w:fill="auto"/>
            <w:vAlign w:val="center"/>
          </w:tcPr>
          <w:p w14:paraId="60B1CD2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(0.266)</w:t>
            </w:r>
          </w:p>
        </w:tc>
        <w:tc>
          <w:tcPr>
            <w:tcW w:w="1166" w:type="dxa"/>
            <w:tcBorders>
              <w:top w:val="nil"/>
              <w:left w:val="nil"/>
              <w:bottom w:val="nil"/>
              <w:right w:val="nil"/>
            </w:tcBorders>
            <w:shd w:val="clear" w:color="auto" w:fill="auto"/>
            <w:vAlign w:val="center"/>
          </w:tcPr>
          <w:p w14:paraId="201977F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(0.226)</w:t>
            </w:r>
          </w:p>
        </w:tc>
      </w:tr>
      <w:tr w:rsidR="00727A9B" w:rsidRPr="006F5D71" w14:paraId="3B9C1561" w14:textId="77777777" w:rsidTr="004C7443">
        <w:trPr>
          <w:trHeight w:val="234"/>
          <w:jc w:val="center"/>
        </w:trPr>
        <w:tc>
          <w:tcPr>
            <w:tcW w:w="3870" w:type="dxa"/>
            <w:tcBorders>
              <w:top w:val="nil"/>
              <w:left w:val="nil"/>
              <w:bottom w:val="nil"/>
              <w:right w:val="nil"/>
            </w:tcBorders>
            <w:shd w:val="clear" w:color="auto" w:fill="auto"/>
            <w:vAlign w:val="center"/>
          </w:tcPr>
          <w:p w14:paraId="4F62FD8D"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 xml:space="preserve">Profitability Leader </w:t>
            </w:r>
          </w:p>
        </w:tc>
        <w:tc>
          <w:tcPr>
            <w:tcW w:w="1170" w:type="dxa"/>
            <w:tcBorders>
              <w:top w:val="nil"/>
              <w:left w:val="nil"/>
              <w:bottom w:val="nil"/>
              <w:right w:val="nil"/>
            </w:tcBorders>
            <w:shd w:val="clear" w:color="auto" w:fill="auto"/>
            <w:vAlign w:val="center"/>
          </w:tcPr>
          <w:p w14:paraId="23A5E7B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-0.657***</w:t>
            </w:r>
          </w:p>
        </w:tc>
        <w:tc>
          <w:tcPr>
            <w:tcW w:w="1264" w:type="dxa"/>
            <w:tcBorders>
              <w:top w:val="nil"/>
              <w:left w:val="nil"/>
              <w:bottom w:val="nil"/>
              <w:right w:val="nil"/>
            </w:tcBorders>
            <w:shd w:val="clear" w:color="auto" w:fill="auto"/>
            <w:vAlign w:val="center"/>
          </w:tcPr>
          <w:p w14:paraId="2EB7E52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-0.670***</w:t>
            </w:r>
          </w:p>
        </w:tc>
        <w:tc>
          <w:tcPr>
            <w:tcW w:w="1196" w:type="dxa"/>
            <w:tcBorders>
              <w:top w:val="nil"/>
              <w:left w:val="nil"/>
              <w:bottom w:val="nil"/>
              <w:right w:val="nil"/>
            </w:tcBorders>
            <w:shd w:val="clear" w:color="auto" w:fill="auto"/>
            <w:vAlign w:val="center"/>
          </w:tcPr>
          <w:p w14:paraId="5FDEB21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-0.800***</w:t>
            </w:r>
          </w:p>
        </w:tc>
        <w:tc>
          <w:tcPr>
            <w:tcW w:w="1174" w:type="dxa"/>
            <w:tcBorders>
              <w:top w:val="nil"/>
              <w:left w:val="nil"/>
              <w:bottom w:val="nil"/>
              <w:right w:val="nil"/>
            </w:tcBorders>
            <w:shd w:val="clear" w:color="auto" w:fill="auto"/>
            <w:vAlign w:val="center"/>
          </w:tcPr>
          <w:p w14:paraId="7D6289D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-0.695***</w:t>
            </w:r>
          </w:p>
        </w:tc>
        <w:tc>
          <w:tcPr>
            <w:tcW w:w="1170" w:type="dxa"/>
            <w:tcBorders>
              <w:top w:val="nil"/>
              <w:left w:val="nil"/>
              <w:bottom w:val="nil"/>
              <w:right w:val="nil"/>
            </w:tcBorders>
            <w:shd w:val="clear" w:color="auto" w:fill="auto"/>
            <w:vAlign w:val="center"/>
          </w:tcPr>
          <w:p w14:paraId="484F28D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-1.713***</w:t>
            </w:r>
          </w:p>
        </w:tc>
        <w:tc>
          <w:tcPr>
            <w:tcW w:w="1166" w:type="dxa"/>
            <w:tcBorders>
              <w:top w:val="nil"/>
              <w:left w:val="nil"/>
              <w:bottom w:val="nil"/>
              <w:right w:val="nil"/>
            </w:tcBorders>
            <w:shd w:val="clear" w:color="auto" w:fill="auto"/>
            <w:vAlign w:val="center"/>
          </w:tcPr>
          <w:p w14:paraId="1FDEA63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-1.677***</w:t>
            </w:r>
          </w:p>
        </w:tc>
      </w:tr>
      <w:tr w:rsidR="00727A9B" w:rsidRPr="006F5D71" w14:paraId="56EC2DE2" w14:textId="77777777" w:rsidTr="004C7443">
        <w:trPr>
          <w:trHeight w:val="222"/>
          <w:jc w:val="center"/>
        </w:trPr>
        <w:tc>
          <w:tcPr>
            <w:tcW w:w="3870" w:type="dxa"/>
            <w:tcBorders>
              <w:top w:val="nil"/>
              <w:left w:val="nil"/>
              <w:bottom w:val="nil"/>
              <w:right w:val="nil"/>
            </w:tcBorders>
            <w:shd w:val="clear" w:color="auto" w:fill="auto"/>
            <w:vAlign w:val="center"/>
          </w:tcPr>
          <w:p w14:paraId="6DECEBF3"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3524AE9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(0.162)</w:t>
            </w:r>
          </w:p>
        </w:tc>
        <w:tc>
          <w:tcPr>
            <w:tcW w:w="1264" w:type="dxa"/>
            <w:tcBorders>
              <w:top w:val="nil"/>
              <w:left w:val="nil"/>
              <w:bottom w:val="nil"/>
              <w:right w:val="nil"/>
            </w:tcBorders>
            <w:shd w:val="clear" w:color="auto" w:fill="auto"/>
            <w:vAlign w:val="center"/>
          </w:tcPr>
          <w:p w14:paraId="5B4A53C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(0.172)</w:t>
            </w:r>
          </w:p>
        </w:tc>
        <w:tc>
          <w:tcPr>
            <w:tcW w:w="1196" w:type="dxa"/>
            <w:tcBorders>
              <w:top w:val="nil"/>
              <w:left w:val="nil"/>
              <w:bottom w:val="nil"/>
              <w:right w:val="nil"/>
            </w:tcBorders>
            <w:shd w:val="clear" w:color="auto" w:fill="auto"/>
            <w:vAlign w:val="center"/>
          </w:tcPr>
          <w:p w14:paraId="4D7D0EB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(0.192)</w:t>
            </w:r>
          </w:p>
        </w:tc>
        <w:tc>
          <w:tcPr>
            <w:tcW w:w="1174" w:type="dxa"/>
            <w:tcBorders>
              <w:top w:val="nil"/>
              <w:left w:val="nil"/>
              <w:bottom w:val="nil"/>
              <w:right w:val="nil"/>
            </w:tcBorders>
            <w:shd w:val="clear" w:color="auto" w:fill="auto"/>
            <w:vAlign w:val="center"/>
          </w:tcPr>
          <w:p w14:paraId="51A9CA3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(0.210)</w:t>
            </w:r>
          </w:p>
        </w:tc>
        <w:tc>
          <w:tcPr>
            <w:tcW w:w="1170" w:type="dxa"/>
            <w:tcBorders>
              <w:top w:val="nil"/>
              <w:left w:val="nil"/>
              <w:bottom w:val="nil"/>
              <w:right w:val="nil"/>
            </w:tcBorders>
            <w:shd w:val="clear" w:color="auto" w:fill="auto"/>
            <w:vAlign w:val="center"/>
          </w:tcPr>
          <w:p w14:paraId="79BF43A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(0.379)</w:t>
            </w:r>
          </w:p>
        </w:tc>
        <w:tc>
          <w:tcPr>
            <w:tcW w:w="1166" w:type="dxa"/>
            <w:tcBorders>
              <w:top w:val="nil"/>
              <w:left w:val="nil"/>
              <w:bottom w:val="nil"/>
              <w:right w:val="nil"/>
            </w:tcBorders>
            <w:shd w:val="clear" w:color="auto" w:fill="auto"/>
            <w:vAlign w:val="center"/>
          </w:tcPr>
          <w:p w14:paraId="3992FC7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(0.368)</w:t>
            </w:r>
          </w:p>
        </w:tc>
      </w:tr>
      <w:tr w:rsidR="00727A9B" w:rsidRPr="006F5D71" w14:paraId="61D71E54" w14:textId="77777777" w:rsidTr="004C7443">
        <w:trPr>
          <w:trHeight w:val="222"/>
          <w:jc w:val="center"/>
        </w:trPr>
        <w:tc>
          <w:tcPr>
            <w:tcW w:w="3870" w:type="dxa"/>
            <w:tcBorders>
              <w:top w:val="nil"/>
              <w:left w:val="nil"/>
              <w:bottom w:val="nil"/>
              <w:right w:val="nil"/>
            </w:tcBorders>
            <w:shd w:val="clear" w:color="auto" w:fill="auto"/>
            <w:vAlign w:val="center"/>
          </w:tcPr>
          <w:p w14:paraId="3DA909F9"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b/>
                <w:bCs/>
                <w:color w:val="000000" w:themeColor="text1"/>
                <w:szCs w:val="24"/>
              </w:rPr>
              <w:t>Endogenous &amp; Exogenous Risks</w:t>
            </w:r>
          </w:p>
        </w:tc>
        <w:tc>
          <w:tcPr>
            <w:tcW w:w="1170" w:type="dxa"/>
            <w:tcBorders>
              <w:top w:val="nil"/>
              <w:left w:val="nil"/>
              <w:bottom w:val="nil"/>
              <w:right w:val="nil"/>
            </w:tcBorders>
            <w:shd w:val="clear" w:color="auto" w:fill="auto"/>
            <w:vAlign w:val="center"/>
          </w:tcPr>
          <w:p w14:paraId="18F06B4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264" w:type="dxa"/>
            <w:tcBorders>
              <w:top w:val="nil"/>
              <w:left w:val="nil"/>
              <w:bottom w:val="nil"/>
              <w:right w:val="nil"/>
            </w:tcBorders>
            <w:shd w:val="clear" w:color="auto" w:fill="auto"/>
            <w:vAlign w:val="center"/>
          </w:tcPr>
          <w:p w14:paraId="5A4F4F4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96" w:type="dxa"/>
            <w:tcBorders>
              <w:top w:val="nil"/>
              <w:left w:val="nil"/>
              <w:bottom w:val="nil"/>
              <w:right w:val="nil"/>
            </w:tcBorders>
            <w:shd w:val="clear" w:color="auto" w:fill="auto"/>
            <w:vAlign w:val="center"/>
          </w:tcPr>
          <w:p w14:paraId="2FA0B57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4" w:type="dxa"/>
            <w:tcBorders>
              <w:top w:val="nil"/>
              <w:left w:val="nil"/>
              <w:bottom w:val="nil"/>
              <w:right w:val="nil"/>
            </w:tcBorders>
            <w:shd w:val="clear" w:color="auto" w:fill="auto"/>
            <w:vAlign w:val="center"/>
          </w:tcPr>
          <w:p w14:paraId="435DDD2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0" w:type="dxa"/>
            <w:tcBorders>
              <w:top w:val="nil"/>
              <w:left w:val="nil"/>
              <w:bottom w:val="nil"/>
              <w:right w:val="nil"/>
            </w:tcBorders>
            <w:shd w:val="clear" w:color="auto" w:fill="auto"/>
            <w:vAlign w:val="center"/>
          </w:tcPr>
          <w:p w14:paraId="02F951D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66" w:type="dxa"/>
            <w:tcBorders>
              <w:top w:val="nil"/>
              <w:left w:val="nil"/>
              <w:bottom w:val="nil"/>
              <w:right w:val="nil"/>
            </w:tcBorders>
            <w:shd w:val="clear" w:color="auto" w:fill="auto"/>
            <w:vAlign w:val="center"/>
          </w:tcPr>
          <w:p w14:paraId="31C4B16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r>
      <w:tr w:rsidR="00727A9B" w:rsidRPr="006F5D71" w14:paraId="1D21D455" w14:textId="77777777" w:rsidTr="004C7443">
        <w:trPr>
          <w:trHeight w:val="234"/>
          <w:jc w:val="center"/>
        </w:trPr>
        <w:tc>
          <w:tcPr>
            <w:tcW w:w="3870" w:type="dxa"/>
            <w:tcBorders>
              <w:top w:val="nil"/>
              <w:left w:val="nil"/>
              <w:bottom w:val="nil"/>
              <w:right w:val="nil"/>
            </w:tcBorders>
            <w:shd w:val="clear" w:color="auto" w:fill="auto"/>
            <w:vAlign w:val="center"/>
          </w:tcPr>
          <w:p w14:paraId="14B35FCC"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Country Risk</w:t>
            </w:r>
          </w:p>
        </w:tc>
        <w:tc>
          <w:tcPr>
            <w:tcW w:w="1170" w:type="dxa"/>
            <w:tcBorders>
              <w:top w:val="nil"/>
              <w:left w:val="nil"/>
              <w:bottom w:val="nil"/>
              <w:right w:val="nil"/>
            </w:tcBorders>
            <w:shd w:val="clear" w:color="auto" w:fill="auto"/>
            <w:vAlign w:val="center"/>
          </w:tcPr>
          <w:p w14:paraId="406EE27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0.843*</w:t>
            </w:r>
          </w:p>
        </w:tc>
        <w:tc>
          <w:tcPr>
            <w:tcW w:w="1264" w:type="dxa"/>
            <w:tcBorders>
              <w:top w:val="nil"/>
              <w:left w:val="nil"/>
              <w:bottom w:val="nil"/>
              <w:right w:val="nil"/>
            </w:tcBorders>
            <w:shd w:val="clear" w:color="auto" w:fill="auto"/>
            <w:vAlign w:val="center"/>
          </w:tcPr>
          <w:p w14:paraId="78F1A78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0.878*</w:t>
            </w:r>
          </w:p>
        </w:tc>
        <w:tc>
          <w:tcPr>
            <w:tcW w:w="1196" w:type="dxa"/>
            <w:tcBorders>
              <w:top w:val="nil"/>
              <w:left w:val="nil"/>
              <w:bottom w:val="nil"/>
              <w:right w:val="nil"/>
            </w:tcBorders>
            <w:shd w:val="clear" w:color="auto" w:fill="auto"/>
            <w:vAlign w:val="center"/>
          </w:tcPr>
          <w:p w14:paraId="69B57CE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0.712*</w:t>
            </w:r>
          </w:p>
        </w:tc>
        <w:tc>
          <w:tcPr>
            <w:tcW w:w="1174" w:type="dxa"/>
            <w:tcBorders>
              <w:top w:val="nil"/>
              <w:left w:val="nil"/>
              <w:bottom w:val="nil"/>
              <w:right w:val="nil"/>
            </w:tcBorders>
            <w:shd w:val="clear" w:color="auto" w:fill="auto"/>
            <w:vAlign w:val="center"/>
          </w:tcPr>
          <w:p w14:paraId="72866CA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0.729*</w:t>
            </w:r>
          </w:p>
        </w:tc>
        <w:tc>
          <w:tcPr>
            <w:tcW w:w="1170" w:type="dxa"/>
            <w:tcBorders>
              <w:top w:val="nil"/>
              <w:left w:val="nil"/>
              <w:bottom w:val="nil"/>
              <w:right w:val="nil"/>
            </w:tcBorders>
            <w:shd w:val="clear" w:color="auto" w:fill="auto"/>
            <w:vAlign w:val="center"/>
          </w:tcPr>
          <w:p w14:paraId="2A02693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0.690</w:t>
            </w:r>
          </w:p>
        </w:tc>
        <w:tc>
          <w:tcPr>
            <w:tcW w:w="1166" w:type="dxa"/>
            <w:tcBorders>
              <w:top w:val="nil"/>
              <w:left w:val="nil"/>
              <w:bottom w:val="nil"/>
              <w:right w:val="nil"/>
            </w:tcBorders>
            <w:shd w:val="clear" w:color="auto" w:fill="auto"/>
            <w:vAlign w:val="center"/>
          </w:tcPr>
          <w:p w14:paraId="398ACE8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0.689</w:t>
            </w:r>
          </w:p>
        </w:tc>
      </w:tr>
      <w:tr w:rsidR="00727A9B" w:rsidRPr="006F5D71" w14:paraId="3FE5FB7C" w14:textId="77777777" w:rsidTr="004C7443">
        <w:trPr>
          <w:trHeight w:val="222"/>
          <w:jc w:val="center"/>
        </w:trPr>
        <w:tc>
          <w:tcPr>
            <w:tcW w:w="3870" w:type="dxa"/>
            <w:tcBorders>
              <w:top w:val="nil"/>
              <w:left w:val="nil"/>
              <w:bottom w:val="nil"/>
              <w:right w:val="nil"/>
            </w:tcBorders>
            <w:shd w:val="clear" w:color="auto" w:fill="auto"/>
            <w:vAlign w:val="center"/>
          </w:tcPr>
          <w:p w14:paraId="35DB78B4"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3FB2513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(0.415)</w:t>
            </w:r>
          </w:p>
        </w:tc>
        <w:tc>
          <w:tcPr>
            <w:tcW w:w="1264" w:type="dxa"/>
            <w:tcBorders>
              <w:top w:val="nil"/>
              <w:left w:val="nil"/>
              <w:bottom w:val="nil"/>
              <w:right w:val="nil"/>
            </w:tcBorders>
            <w:shd w:val="clear" w:color="auto" w:fill="auto"/>
            <w:vAlign w:val="center"/>
          </w:tcPr>
          <w:p w14:paraId="36E314F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(0.423)</w:t>
            </w:r>
          </w:p>
        </w:tc>
        <w:tc>
          <w:tcPr>
            <w:tcW w:w="1196" w:type="dxa"/>
            <w:tcBorders>
              <w:top w:val="nil"/>
              <w:left w:val="nil"/>
              <w:bottom w:val="nil"/>
              <w:right w:val="nil"/>
            </w:tcBorders>
            <w:shd w:val="clear" w:color="auto" w:fill="auto"/>
            <w:vAlign w:val="center"/>
          </w:tcPr>
          <w:p w14:paraId="40A8C52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(0.395)</w:t>
            </w:r>
          </w:p>
        </w:tc>
        <w:tc>
          <w:tcPr>
            <w:tcW w:w="1174" w:type="dxa"/>
            <w:tcBorders>
              <w:top w:val="nil"/>
              <w:left w:val="nil"/>
              <w:bottom w:val="nil"/>
              <w:right w:val="nil"/>
            </w:tcBorders>
            <w:shd w:val="clear" w:color="auto" w:fill="auto"/>
            <w:vAlign w:val="center"/>
          </w:tcPr>
          <w:p w14:paraId="259FB56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(0.402)</w:t>
            </w:r>
          </w:p>
        </w:tc>
        <w:tc>
          <w:tcPr>
            <w:tcW w:w="1170" w:type="dxa"/>
            <w:tcBorders>
              <w:top w:val="nil"/>
              <w:left w:val="nil"/>
              <w:bottom w:val="nil"/>
              <w:right w:val="nil"/>
            </w:tcBorders>
            <w:shd w:val="clear" w:color="auto" w:fill="auto"/>
            <w:vAlign w:val="center"/>
          </w:tcPr>
          <w:p w14:paraId="7AFEA9D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(0.669)</w:t>
            </w:r>
          </w:p>
        </w:tc>
        <w:tc>
          <w:tcPr>
            <w:tcW w:w="1166" w:type="dxa"/>
            <w:tcBorders>
              <w:top w:val="nil"/>
              <w:left w:val="nil"/>
              <w:bottom w:val="nil"/>
              <w:right w:val="nil"/>
            </w:tcBorders>
            <w:shd w:val="clear" w:color="auto" w:fill="auto"/>
            <w:vAlign w:val="center"/>
          </w:tcPr>
          <w:p w14:paraId="16C5DE1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(0.768)</w:t>
            </w:r>
          </w:p>
        </w:tc>
      </w:tr>
      <w:tr w:rsidR="00727A9B" w:rsidRPr="006F5D71" w14:paraId="78C9D7B4" w14:textId="77777777" w:rsidTr="004C7443">
        <w:trPr>
          <w:trHeight w:val="234"/>
          <w:jc w:val="center"/>
        </w:trPr>
        <w:tc>
          <w:tcPr>
            <w:tcW w:w="3870" w:type="dxa"/>
            <w:tcBorders>
              <w:top w:val="nil"/>
              <w:left w:val="nil"/>
              <w:bottom w:val="nil"/>
              <w:right w:val="nil"/>
            </w:tcBorders>
            <w:shd w:val="clear" w:color="auto" w:fill="auto"/>
            <w:vAlign w:val="center"/>
          </w:tcPr>
          <w:p w14:paraId="74EDA9CC"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Institutional Distance</w:t>
            </w:r>
          </w:p>
        </w:tc>
        <w:tc>
          <w:tcPr>
            <w:tcW w:w="1170" w:type="dxa"/>
            <w:tcBorders>
              <w:top w:val="nil"/>
              <w:left w:val="nil"/>
              <w:bottom w:val="nil"/>
              <w:right w:val="nil"/>
            </w:tcBorders>
            <w:shd w:val="clear" w:color="auto" w:fill="auto"/>
            <w:vAlign w:val="center"/>
          </w:tcPr>
          <w:p w14:paraId="5C97EA9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0.105**</w:t>
            </w:r>
          </w:p>
        </w:tc>
        <w:tc>
          <w:tcPr>
            <w:tcW w:w="1264" w:type="dxa"/>
            <w:tcBorders>
              <w:top w:val="nil"/>
              <w:left w:val="nil"/>
              <w:bottom w:val="nil"/>
              <w:right w:val="nil"/>
            </w:tcBorders>
            <w:shd w:val="clear" w:color="auto" w:fill="auto"/>
            <w:vAlign w:val="center"/>
          </w:tcPr>
          <w:p w14:paraId="4B0EDFC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0.147**</w:t>
            </w:r>
          </w:p>
        </w:tc>
        <w:tc>
          <w:tcPr>
            <w:tcW w:w="1196" w:type="dxa"/>
            <w:tcBorders>
              <w:top w:val="nil"/>
              <w:left w:val="nil"/>
              <w:bottom w:val="nil"/>
              <w:right w:val="nil"/>
            </w:tcBorders>
            <w:shd w:val="clear" w:color="auto" w:fill="auto"/>
            <w:vAlign w:val="center"/>
          </w:tcPr>
          <w:p w14:paraId="14AC592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0.119*</w:t>
            </w:r>
          </w:p>
        </w:tc>
        <w:tc>
          <w:tcPr>
            <w:tcW w:w="1174" w:type="dxa"/>
            <w:tcBorders>
              <w:top w:val="nil"/>
              <w:left w:val="nil"/>
              <w:bottom w:val="nil"/>
              <w:right w:val="nil"/>
            </w:tcBorders>
            <w:shd w:val="clear" w:color="auto" w:fill="auto"/>
            <w:vAlign w:val="center"/>
          </w:tcPr>
          <w:p w14:paraId="32E4B79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0.174**</w:t>
            </w:r>
          </w:p>
        </w:tc>
        <w:tc>
          <w:tcPr>
            <w:tcW w:w="1170" w:type="dxa"/>
            <w:tcBorders>
              <w:top w:val="nil"/>
              <w:left w:val="nil"/>
              <w:bottom w:val="nil"/>
              <w:right w:val="nil"/>
            </w:tcBorders>
            <w:shd w:val="clear" w:color="auto" w:fill="auto"/>
            <w:vAlign w:val="center"/>
          </w:tcPr>
          <w:p w14:paraId="0B63B27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0.328</w:t>
            </w:r>
          </w:p>
        </w:tc>
        <w:tc>
          <w:tcPr>
            <w:tcW w:w="1166" w:type="dxa"/>
            <w:tcBorders>
              <w:top w:val="nil"/>
              <w:left w:val="nil"/>
              <w:bottom w:val="nil"/>
              <w:right w:val="nil"/>
            </w:tcBorders>
            <w:shd w:val="clear" w:color="auto" w:fill="auto"/>
            <w:vAlign w:val="center"/>
          </w:tcPr>
          <w:p w14:paraId="0AC3135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0.412</w:t>
            </w:r>
          </w:p>
        </w:tc>
      </w:tr>
      <w:tr w:rsidR="00727A9B" w:rsidRPr="006F5D71" w14:paraId="731B2B65" w14:textId="77777777" w:rsidTr="004C7443">
        <w:trPr>
          <w:trHeight w:val="222"/>
          <w:jc w:val="center"/>
        </w:trPr>
        <w:tc>
          <w:tcPr>
            <w:tcW w:w="3870" w:type="dxa"/>
            <w:tcBorders>
              <w:top w:val="nil"/>
              <w:left w:val="nil"/>
              <w:bottom w:val="nil"/>
              <w:right w:val="nil"/>
            </w:tcBorders>
            <w:shd w:val="clear" w:color="auto" w:fill="auto"/>
            <w:vAlign w:val="center"/>
          </w:tcPr>
          <w:p w14:paraId="72651231"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2A77E11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(0.044)</w:t>
            </w:r>
          </w:p>
        </w:tc>
        <w:tc>
          <w:tcPr>
            <w:tcW w:w="1264" w:type="dxa"/>
            <w:tcBorders>
              <w:top w:val="nil"/>
              <w:left w:val="nil"/>
              <w:bottom w:val="nil"/>
              <w:right w:val="nil"/>
            </w:tcBorders>
            <w:shd w:val="clear" w:color="auto" w:fill="auto"/>
            <w:vAlign w:val="center"/>
          </w:tcPr>
          <w:p w14:paraId="540393A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(0.051)</w:t>
            </w:r>
          </w:p>
        </w:tc>
        <w:tc>
          <w:tcPr>
            <w:tcW w:w="1196" w:type="dxa"/>
            <w:tcBorders>
              <w:top w:val="nil"/>
              <w:left w:val="nil"/>
              <w:bottom w:val="nil"/>
              <w:right w:val="nil"/>
            </w:tcBorders>
            <w:shd w:val="clear" w:color="auto" w:fill="auto"/>
            <w:vAlign w:val="center"/>
          </w:tcPr>
          <w:p w14:paraId="2844A5D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(0.055)</w:t>
            </w:r>
          </w:p>
        </w:tc>
        <w:tc>
          <w:tcPr>
            <w:tcW w:w="1174" w:type="dxa"/>
            <w:tcBorders>
              <w:top w:val="nil"/>
              <w:left w:val="nil"/>
              <w:bottom w:val="nil"/>
              <w:right w:val="nil"/>
            </w:tcBorders>
            <w:shd w:val="clear" w:color="auto" w:fill="auto"/>
            <w:vAlign w:val="center"/>
          </w:tcPr>
          <w:p w14:paraId="6C9B151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(0.069)</w:t>
            </w:r>
          </w:p>
        </w:tc>
        <w:tc>
          <w:tcPr>
            <w:tcW w:w="1170" w:type="dxa"/>
            <w:tcBorders>
              <w:top w:val="nil"/>
              <w:left w:val="nil"/>
              <w:bottom w:val="nil"/>
              <w:right w:val="nil"/>
            </w:tcBorders>
            <w:shd w:val="clear" w:color="auto" w:fill="auto"/>
            <w:vAlign w:val="center"/>
          </w:tcPr>
          <w:p w14:paraId="1484704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(0.335)</w:t>
            </w:r>
          </w:p>
        </w:tc>
        <w:tc>
          <w:tcPr>
            <w:tcW w:w="1166" w:type="dxa"/>
            <w:tcBorders>
              <w:top w:val="nil"/>
              <w:left w:val="nil"/>
              <w:bottom w:val="nil"/>
              <w:right w:val="nil"/>
            </w:tcBorders>
            <w:shd w:val="clear" w:color="auto" w:fill="auto"/>
            <w:vAlign w:val="center"/>
          </w:tcPr>
          <w:p w14:paraId="37D4A06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(0.362)</w:t>
            </w:r>
          </w:p>
        </w:tc>
      </w:tr>
      <w:tr w:rsidR="00727A9B" w:rsidRPr="006F5D71" w14:paraId="081D782C" w14:textId="77777777" w:rsidTr="004C7443">
        <w:trPr>
          <w:trHeight w:val="222"/>
          <w:jc w:val="center"/>
        </w:trPr>
        <w:tc>
          <w:tcPr>
            <w:tcW w:w="3870" w:type="dxa"/>
            <w:tcBorders>
              <w:top w:val="nil"/>
              <w:left w:val="nil"/>
              <w:bottom w:val="nil"/>
              <w:right w:val="nil"/>
            </w:tcBorders>
            <w:shd w:val="clear" w:color="auto" w:fill="auto"/>
            <w:vAlign w:val="center"/>
          </w:tcPr>
          <w:p w14:paraId="745CAB90"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Exchange Rate Risk</w:t>
            </w:r>
          </w:p>
        </w:tc>
        <w:tc>
          <w:tcPr>
            <w:tcW w:w="1170" w:type="dxa"/>
            <w:tcBorders>
              <w:top w:val="nil"/>
              <w:left w:val="nil"/>
              <w:bottom w:val="nil"/>
              <w:right w:val="nil"/>
            </w:tcBorders>
            <w:shd w:val="clear" w:color="auto" w:fill="auto"/>
            <w:vAlign w:val="center"/>
          </w:tcPr>
          <w:p w14:paraId="222EA67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0.394***</w:t>
            </w:r>
          </w:p>
        </w:tc>
        <w:tc>
          <w:tcPr>
            <w:tcW w:w="1264" w:type="dxa"/>
            <w:tcBorders>
              <w:top w:val="nil"/>
              <w:left w:val="nil"/>
              <w:bottom w:val="nil"/>
              <w:right w:val="nil"/>
            </w:tcBorders>
            <w:shd w:val="clear" w:color="auto" w:fill="auto"/>
            <w:vAlign w:val="center"/>
          </w:tcPr>
          <w:p w14:paraId="72B5773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0.379***</w:t>
            </w:r>
          </w:p>
        </w:tc>
        <w:tc>
          <w:tcPr>
            <w:tcW w:w="1196" w:type="dxa"/>
            <w:tcBorders>
              <w:top w:val="nil"/>
              <w:left w:val="nil"/>
              <w:bottom w:val="nil"/>
              <w:right w:val="nil"/>
            </w:tcBorders>
            <w:shd w:val="clear" w:color="auto" w:fill="auto"/>
            <w:vAlign w:val="center"/>
          </w:tcPr>
          <w:p w14:paraId="36AADA6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0.175***</w:t>
            </w:r>
          </w:p>
        </w:tc>
        <w:tc>
          <w:tcPr>
            <w:tcW w:w="1174" w:type="dxa"/>
            <w:tcBorders>
              <w:top w:val="nil"/>
              <w:left w:val="nil"/>
              <w:bottom w:val="nil"/>
              <w:right w:val="nil"/>
            </w:tcBorders>
            <w:shd w:val="clear" w:color="auto" w:fill="auto"/>
            <w:vAlign w:val="center"/>
          </w:tcPr>
          <w:p w14:paraId="5389C3C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0.089**</w:t>
            </w:r>
          </w:p>
        </w:tc>
        <w:tc>
          <w:tcPr>
            <w:tcW w:w="1170" w:type="dxa"/>
            <w:tcBorders>
              <w:top w:val="nil"/>
              <w:left w:val="nil"/>
              <w:bottom w:val="nil"/>
              <w:right w:val="nil"/>
            </w:tcBorders>
            <w:shd w:val="clear" w:color="auto" w:fill="auto"/>
            <w:vAlign w:val="center"/>
          </w:tcPr>
          <w:p w14:paraId="6728E77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0.049*</w:t>
            </w:r>
          </w:p>
        </w:tc>
        <w:tc>
          <w:tcPr>
            <w:tcW w:w="1166" w:type="dxa"/>
            <w:tcBorders>
              <w:top w:val="nil"/>
              <w:left w:val="nil"/>
              <w:bottom w:val="nil"/>
              <w:right w:val="nil"/>
            </w:tcBorders>
            <w:shd w:val="clear" w:color="auto" w:fill="auto"/>
            <w:vAlign w:val="center"/>
          </w:tcPr>
          <w:p w14:paraId="274473D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0.038*</w:t>
            </w:r>
          </w:p>
        </w:tc>
      </w:tr>
      <w:tr w:rsidR="00727A9B" w:rsidRPr="006F5D71" w14:paraId="6BEA422F" w14:textId="77777777" w:rsidTr="004C7443">
        <w:trPr>
          <w:trHeight w:val="222"/>
          <w:jc w:val="center"/>
        </w:trPr>
        <w:tc>
          <w:tcPr>
            <w:tcW w:w="3870" w:type="dxa"/>
            <w:tcBorders>
              <w:top w:val="nil"/>
              <w:left w:val="nil"/>
              <w:bottom w:val="nil"/>
              <w:right w:val="nil"/>
            </w:tcBorders>
            <w:shd w:val="clear" w:color="auto" w:fill="auto"/>
            <w:vAlign w:val="center"/>
          </w:tcPr>
          <w:p w14:paraId="6D97DAC4"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75B0868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(0.062)</w:t>
            </w:r>
          </w:p>
        </w:tc>
        <w:tc>
          <w:tcPr>
            <w:tcW w:w="1264" w:type="dxa"/>
            <w:tcBorders>
              <w:top w:val="nil"/>
              <w:left w:val="nil"/>
              <w:bottom w:val="nil"/>
              <w:right w:val="nil"/>
            </w:tcBorders>
            <w:shd w:val="clear" w:color="auto" w:fill="auto"/>
            <w:vAlign w:val="center"/>
          </w:tcPr>
          <w:p w14:paraId="1026475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(0.045)</w:t>
            </w:r>
          </w:p>
        </w:tc>
        <w:tc>
          <w:tcPr>
            <w:tcW w:w="1196" w:type="dxa"/>
            <w:tcBorders>
              <w:top w:val="nil"/>
              <w:left w:val="nil"/>
              <w:bottom w:val="nil"/>
              <w:right w:val="nil"/>
            </w:tcBorders>
            <w:shd w:val="clear" w:color="auto" w:fill="auto"/>
            <w:vAlign w:val="center"/>
          </w:tcPr>
          <w:p w14:paraId="278C453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(0.057)</w:t>
            </w:r>
          </w:p>
        </w:tc>
        <w:tc>
          <w:tcPr>
            <w:tcW w:w="1174" w:type="dxa"/>
            <w:tcBorders>
              <w:top w:val="nil"/>
              <w:left w:val="nil"/>
              <w:bottom w:val="nil"/>
              <w:right w:val="nil"/>
            </w:tcBorders>
            <w:shd w:val="clear" w:color="auto" w:fill="auto"/>
            <w:vAlign w:val="center"/>
          </w:tcPr>
          <w:p w14:paraId="4B4798E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(0.034)</w:t>
            </w:r>
          </w:p>
        </w:tc>
        <w:tc>
          <w:tcPr>
            <w:tcW w:w="1170" w:type="dxa"/>
            <w:tcBorders>
              <w:top w:val="nil"/>
              <w:left w:val="nil"/>
              <w:bottom w:val="nil"/>
              <w:right w:val="nil"/>
            </w:tcBorders>
            <w:shd w:val="clear" w:color="auto" w:fill="auto"/>
            <w:vAlign w:val="center"/>
          </w:tcPr>
          <w:p w14:paraId="14C0EA6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(0.027)</w:t>
            </w:r>
          </w:p>
        </w:tc>
        <w:tc>
          <w:tcPr>
            <w:tcW w:w="1166" w:type="dxa"/>
            <w:tcBorders>
              <w:top w:val="nil"/>
              <w:left w:val="nil"/>
              <w:bottom w:val="nil"/>
              <w:right w:val="nil"/>
            </w:tcBorders>
            <w:shd w:val="clear" w:color="auto" w:fill="auto"/>
            <w:vAlign w:val="center"/>
          </w:tcPr>
          <w:p w14:paraId="47ED0BC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(0.019)</w:t>
            </w:r>
          </w:p>
        </w:tc>
      </w:tr>
      <w:tr w:rsidR="00727A9B" w:rsidRPr="006F5D71" w14:paraId="62F41D68" w14:textId="77777777" w:rsidTr="004C7443">
        <w:trPr>
          <w:trHeight w:val="222"/>
          <w:jc w:val="center"/>
        </w:trPr>
        <w:tc>
          <w:tcPr>
            <w:tcW w:w="3870" w:type="dxa"/>
            <w:tcBorders>
              <w:top w:val="nil"/>
              <w:left w:val="nil"/>
              <w:bottom w:val="nil"/>
              <w:right w:val="nil"/>
            </w:tcBorders>
            <w:shd w:val="clear" w:color="auto" w:fill="auto"/>
            <w:vAlign w:val="center"/>
          </w:tcPr>
          <w:p w14:paraId="14FA044E"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 xml:space="preserve">Production Cost Risk </w:t>
            </w:r>
          </w:p>
        </w:tc>
        <w:tc>
          <w:tcPr>
            <w:tcW w:w="1170" w:type="dxa"/>
            <w:tcBorders>
              <w:top w:val="nil"/>
              <w:left w:val="nil"/>
              <w:bottom w:val="nil"/>
              <w:right w:val="nil"/>
            </w:tcBorders>
            <w:shd w:val="clear" w:color="auto" w:fill="auto"/>
            <w:vAlign w:val="center"/>
          </w:tcPr>
          <w:p w14:paraId="5683E84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0.080*</w:t>
            </w:r>
          </w:p>
        </w:tc>
        <w:tc>
          <w:tcPr>
            <w:tcW w:w="1264" w:type="dxa"/>
            <w:tcBorders>
              <w:top w:val="nil"/>
              <w:left w:val="nil"/>
              <w:bottom w:val="nil"/>
              <w:right w:val="nil"/>
            </w:tcBorders>
            <w:shd w:val="clear" w:color="auto" w:fill="auto"/>
            <w:vAlign w:val="center"/>
          </w:tcPr>
          <w:p w14:paraId="1D737BC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0.088**</w:t>
            </w:r>
          </w:p>
        </w:tc>
        <w:tc>
          <w:tcPr>
            <w:tcW w:w="1196" w:type="dxa"/>
            <w:tcBorders>
              <w:top w:val="nil"/>
              <w:left w:val="nil"/>
              <w:bottom w:val="nil"/>
              <w:right w:val="nil"/>
            </w:tcBorders>
            <w:shd w:val="clear" w:color="auto" w:fill="auto"/>
            <w:vAlign w:val="center"/>
          </w:tcPr>
          <w:p w14:paraId="72608F2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0.174**</w:t>
            </w:r>
          </w:p>
        </w:tc>
        <w:tc>
          <w:tcPr>
            <w:tcW w:w="1174" w:type="dxa"/>
            <w:tcBorders>
              <w:top w:val="nil"/>
              <w:left w:val="nil"/>
              <w:bottom w:val="nil"/>
              <w:right w:val="nil"/>
            </w:tcBorders>
            <w:shd w:val="clear" w:color="auto" w:fill="auto"/>
            <w:vAlign w:val="center"/>
          </w:tcPr>
          <w:p w14:paraId="7D5FDF4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0.155***</w:t>
            </w:r>
          </w:p>
        </w:tc>
        <w:tc>
          <w:tcPr>
            <w:tcW w:w="1170" w:type="dxa"/>
            <w:tcBorders>
              <w:top w:val="nil"/>
              <w:left w:val="nil"/>
              <w:bottom w:val="nil"/>
              <w:right w:val="nil"/>
            </w:tcBorders>
            <w:shd w:val="clear" w:color="auto" w:fill="auto"/>
            <w:vAlign w:val="center"/>
          </w:tcPr>
          <w:p w14:paraId="620544B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0.035*</w:t>
            </w:r>
          </w:p>
        </w:tc>
        <w:tc>
          <w:tcPr>
            <w:tcW w:w="1166" w:type="dxa"/>
            <w:tcBorders>
              <w:top w:val="nil"/>
              <w:left w:val="nil"/>
              <w:bottom w:val="nil"/>
              <w:right w:val="nil"/>
            </w:tcBorders>
            <w:shd w:val="clear" w:color="auto" w:fill="auto"/>
            <w:vAlign w:val="center"/>
          </w:tcPr>
          <w:p w14:paraId="7F29000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0.050*</w:t>
            </w:r>
          </w:p>
        </w:tc>
      </w:tr>
      <w:tr w:rsidR="00727A9B" w:rsidRPr="006F5D71" w14:paraId="31B3D4B1" w14:textId="77777777" w:rsidTr="004C7443">
        <w:trPr>
          <w:trHeight w:val="222"/>
          <w:jc w:val="center"/>
        </w:trPr>
        <w:tc>
          <w:tcPr>
            <w:tcW w:w="3870" w:type="dxa"/>
            <w:tcBorders>
              <w:top w:val="nil"/>
              <w:left w:val="nil"/>
              <w:bottom w:val="nil"/>
              <w:right w:val="nil"/>
            </w:tcBorders>
            <w:shd w:val="clear" w:color="auto" w:fill="auto"/>
            <w:vAlign w:val="center"/>
          </w:tcPr>
          <w:p w14:paraId="4A191697"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3F8489B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(0.031)</w:t>
            </w:r>
          </w:p>
        </w:tc>
        <w:tc>
          <w:tcPr>
            <w:tcW w:w="1264" w:type="dxa"/>
            <w:tcBorders>
              <w:top w:val="nil"/>
              <w:left w:val="nil"/>
              <w:bottom w:val="nil"/>
              <w:right w:val="nil"/>
            </w:tcBorders>
            <w:shd w:val="clear" w:color="auto" w:fill="auto"/>
            <w:vAlign w:val="center"/>
          </w:tcPr>
          <w:p w14:paraId="5AA398F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(0.034)</w:t>
            </w:r>
          </w:p>
        </w:tc>
        <w:tc>
          <w:tcPr>
            <w:tcW w:w="1196" w:type="dxa"/>
            <w:tcBorders>
              <w:top w:val="nil"/>
              <w:left w:val="nil"/>
              <w:bottom w:val="nil"/>
              <w:right w:val="nil"/>
            </w:tcBorders>
            <w:shd w:val="clear" w:color="auto" w:fill="auto"/>
            <w:vAlign w:val="center"/>
          </w:tcPr>
          <w:p w14:paraId="51309FD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(0.064)</w:t>
            </w:r>
          </w:p>
        </w:tc>
        <w:tc>
          <w:tcPr>
            <w:tcW w:w="1174" w:type="dxa"/>
            <w:tcBorders>
              <w:top w:val="nil"/>
              <w:left w:val="nil"/>
              <w:bottom w:val="nil"/>
              <w:right w:val="nil"/>
            </w:tcBorders>
            <w:shd w:val="clear" w:color="auto" w:fill="auto"/>
            <w:vAlign w:val="center"/>
          </w:tcPr>
          <w:p w14:paraId="516FC51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(0.037)</w:t>
            </w:r>
          </w:p>
        </w:tc>
        <w:tc>
          <w:tcPr>
            <w:tcW w:w="1170" w:type="dxa"/>
            <w:tcBorders>
              <w:top w:val="nil"/>
              <w:left w:val="nil"/>
              <w:bottom w:val="nil"/>
              <w:right w:val="nil"/>
            </w:tcBorders>
            <w:shd w:val="clear" w:color="auto" w:fill="auto"/>
            <w:vAlign w:val="center"/>
          </w:tcPr>
          <w:p w14:paraId="47E96EC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(0.019)</w:t>
            </w:r>
          </w:p>
        </w:tc>
        <w:tc>
          <w:tcPr>
            <w:tcW w:w="1166" w:type="dxa"/>
            <w:tcBorders>
              <w:top w:val="nil"/>
              <w:left w:val="nil"/>
              <w:bottom w:val="nil"/>
              <w:right w:val="nil"/>
            </w:tcBorders>
            <w:shd w:val="clear" w:color="auto" w:fill="auto"/>
            <w:vAlign w:val="center"/>
          </w:tcPr>
          <w:p w14:paraId="614BBD8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(0.028)</w:t>
            </w:r>
          </w:p>
        </w:tc>
      </w:tr>
      <w:tr w:rsidR="00727A9B" w:rsidRPr="006F5D71" w14:paraId="7F8AC517" w14:textId="77777777" w:rsidTr="004C7443">
        <w:trPr>
          <w:trHeight w:val="222"/>
          <w:jc w:val="center"/>
        </w:trPr>
        <w:tc>
          <w:tcPr>
            <w:tcW w:w="3870" w:type="dxa"/>
            <w:tcBorders>
              <w:top w:val="nil"/>
              <w:left w:val="nil"/>
              <w:bottom w:val="nil"/>
              <w:right w:val="nil"/>
            </w:tcBorders>
            <w:shd w:val="clear" w:color="auto" w:fill="auto"/>
            <w:vAlign w:val="center"/>
          </w:tcPr>
          <w:p w14:paraId="5AF3578D"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Demand Risk</w:t>
            </w:r>
          </w:p>
        </w:tc>
        <w:tc>
          <w:tcPr>
            <w:tcW w:w="1170" w:type="dxa"/>
            <w:tcBorders>
              <w:top w:val="nil"/>
              <w:left w:val="nil"/>
              <w:bottom w:val="nil"/>
              <w:right w:val="nil"/>
            </w:tcBorders>
            <w:shd w:val="clear" w:color="auto" w:fill="auto"/>
            <w:vAlign w:val="center"/>
          </w:tcPr>
          <w:p w14:paraId="4472A07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1.044***</w:t>
            </w:r>
          </w:p>
        </w:tc>
        <w:tc>
          <w:tcPr>
            <w:tcW w:w="1264" w:type="dxa"/>
            <w:tcBorders>
              <w:top w:val="nil"/>
              <w:left w:val="nil"/>
              <w:bottom w:val="nil"/>
              <w:right w:val="nil"/>
            </w:tcBorders>
            <w:shd w:val="clear" w:color="auto" w:fill="auto"/>
            <w:vAlign w:val="center"/>
          </w:tcPr>
          <w:p w14:paraId="7C83438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1.089***</w:t>
            </w:r>
          </w:p>
        </w:tc>
        <w:tc>
          <w:tcPr>
            <w:tcW w:w="1196" w:type="dxa"/>
            <w:tcBorders>
              <w:top w:val="nil"/>
              <w:left w:val="nil"/>
              <w:bottom w:val="nil"/>
              <w:right w:val="nil"/>
            </w:tcBorders>
            <w:shd w:val="clear" w:color="auto" w:fill="auto"/>
            <w:vAlign w:val="center"/>
          </w:tcPr>
          <w:p w14:paraId="52C1AE3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0.452***</w:t>
            </w:r>
          </w:p>
        </w:tc>
        <w:tc>
          <w:tcPr>
            <w:tcW w:w="1174" w:type="dxa"/>
            <w:tcBorders>
              <w:top w:val="nil"/>
              <w:left w:val="nil"/>
              <w:bottom w:val="nil"/>
              <w:right w:val="nil"/>
            </w:tcBorders>
            <w:shd w:val="clear" w:color="auto" w:fill="auto"/>
            <w:vAlign w:val="center"/>
          </w:tcPr>
          <w:p w14:paraId="6B46361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0.588***</w:t>
            </w:r>
          </w:p>
        </w:tc>
        <w:tc>
          <w:tcPr>
            <w:tcW w:w="1170" w:type="dxa"/>
            <w:tcBorders>
              <w:top w:val="nil"/>
              <w:left w:val="nil"/>
              <w:bottom w:val="nil"/>
              <w:right w:val="nil"/>
            </w:tcBorders>
            <w:shd w:val="clear" w:color="auto" w:fill="auto"/>
            <w:vAlign w:val="center"/>
          </w:tcPr>
          <w:p w14:paraId="7F96320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0.097*</w:t>
            </w:r>
          </w:p>
        </w:tc>
        <w:tc>
          <w:tcPr>
            <w:tcW w:w="1166" w:type="dxa"/>
            <w:tcBorders>
              <w:top w:val="nil"/>
              <w:left w:val="nil"/>
              <w:bottom w:val="nil"/>
              <w:right w:val="nil"/>
            </w:tcBorders>
            <w:shd w:val="clear" w:color="auto" w:fill="auto"/>
            <w:vAlign w:val="center"/>
          </w:tcPr>
          <w:p w14:paraId="400AF5F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0.077*</w:t>
            </w:r>
          </w:p>
        </w:tc>
      </w:tr>
      <w:tr w:rsidR="00727A9B" w:rsidRPr="006F5D71" w14:paraId="6384BDCF" w14:textId="77777777" w:rsidTr="004C7443">
        <w:trPr>
          <w:trHeight w:val="222"/>
          <w:jc w:val="center"/>
        </w:trPr>
        <w:tc>
          <w:tcPr>
            <w:tcW w:w="3870" w:type="dxa"/>
            <w:tcBorders>
              <w:top w:val="nil"/>
              <w:left w:val="nil"/>
              <w:bottom w:val="nil"/>
              <w:right w:val="nil"/>
            </w:tcBorders>
            <w:shd w:val="clear" w:color="auto" w:fill="auto"/>
            <w:vAlign w:val="center"/>
          </w:tcPr>
          <w:p w14:paraId="09B804AF"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739874D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(0.296)</w:t>
            </w:r>
          </w:p>
        </w:tc>
        <w:tc>
          <w:tcPr>
            <w:tcW w:w="1264" w:type="dxa"/>
            <w:tcBorders>
              <w:top w:val="nil"/>
              <w:left w:val="nil"/>
              <w:bottom w:val="nil"/>
              <w:right w:val="nil"/>
            </w:tcBorders>
            <w:shd w:val="clear" w:color="auto" w:fill="auto"/>
            <w:vAlign w:val="center"/>
          </w:tcPr>
          <w:p w14:paraId="3AC6DF4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(0.198)</w:t>
            </w:r>
          </w:p>
        </w:tc>
        <w:tc>
          <w:tcPr>
            <w:tcW w:w="1196" w:type="dxa"/>
            <w:tcBorders>
              <w:top w:val="nil"/>
              <w:left w:val="nil"/>
              <w:bottom w:val="nil"/>
              <w:right w:val="nil"/>
            </w:tcBorders>
            <w:shd w:val="clear" w:color="auto" w:fill="auto"/>
            <w:vAlign w:val="center"/>
          </w:tcPr>
          <w:p w14:paraId="7A6F8C5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(0.040)</w:t>
            </w:r>
          </w:p>
        </w:tc>
        <w:tc>
          <w:tcPr>
            <w:tcW w:w="1174" w:type="dxa"/>
            <w:tcBorders>
              <w:top w:val="nil"/>
              <w:left w:val="nil"/>
              <w:bottom w:val="nil"/>
              <w:right w:val="nil"/>
            </w:tcBorders>
            <w:shd w:val="clear" w:color="auto" w:fill="auto"/>
            <w:vAlign w:val="center"/>
          </w:tcPr>
          <w:p w14:paraId="2468BE2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(0.060)</w:t>
            </w:r>
          </w:p>
        </w:tc>
        <w:tc>
          <w:tcPr>
            <w:tcW w:w="1170" w:type="dxa"/>
            <w:tcBorders>
              <w:top w:val="nil"/>
              <w:left w:val="nil"/>
              <w:bottom w:val="nil"/>
              <w:right w:val="nil"/>
            </w:tcBorders>
            <w:shd w:val="clear" w:color="auto" w:fill="auto"/>
            <w:vAlign w:val="center"/>
          </w:tcPr>
          <w:p w14:paraId="6152B2A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(0.047)</w:t>
            </w:r>
          </w:p>
        </w:tc>
        <w:tc>
          <w:tcPr>
            <w:tcW w:w="1166" w:type="dxa"/>
            <w:tcBorders>
              <w:top w:val="nil"/>
              <w:left w:val="nil"/>
              <w:bottom w:val="nil"/>
              <w:right w:val="nil"/>
            </w:tcBorders>
            <w:shd w:val="clear" w:color="auto" w:fill="auto"/>
            <w:vAlign w:val="center"/>
          </w:tcPr>
          <w:p w14:paraId="3C9CB97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(0.039)</w:t>
            </w:r>
          </w:p>
        </w:tc>
      </w:tr>
      <w:tr w:rsidR="00727A9B" w:rsidRPr="006F5D71" w14:paraId="1B9D3725" w14:textId="77777777" w:rsidTr="004C7443">
        <w:trPr>
          <w:trHeight w:val="222"/>
          <w:jc w:val="center"/>
        </w:trPr>
        <w:tc>
          <w:tcPr>
            <w:tcW w:w="3870" w:type="dxa"/>
            <w:tcBorders>
              <w:top w:val="nil"/>
              <w:left w:val="nil"/>
              <w:bottom w:val="nil"/>
              <w:right w:val="nil"/>
            </w:tcBorders>
            <w:shd w:val="clear" w:color="auto" w:fill="auto"/>
            <w:vAlign w:val="center"/>
          </w:tcPr>
          <w:p w14:paraId="7672A063"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Financial Crisis</w:t>
            </w:r>
          </w:p>
        </w:tc>
        <w:tc>
          <w:tcPr>
            <w:tcW w:w="1170" w:type="dxa"/>
            <w:tcBorders>
              <w:top w:val="nil"/>
              <w:left w:val="nil"/>
              <w:bottom w:val="nil"/>
              <w:right w:val="nil"/>
            </w:tcBorders>
            <w:shd w:val="clear" w:color="auto" w:fill="auto"/>
            <w:vAlign w:val="center"/>
          </w:tcPr>
          <w:p w14:paraId="267FEF4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1.202**</w:t>
            </w:r>
          </w:p>
        </w:tc>
        <w:tc>
          <w:tcPr>
            <w:tcW w:w="1264" w:type="dxa"/>
            <w:tcBorders>
              <w:top w:val="nil"/>
              <w:left w:val="nil"/>
              <w:bottom w:val="nil"/>
              <w:right w:val="nil"/>
            </w:tcBorders>
            <w:shd w:val="clear" w:color="auto" w:fill="auto"/>
            <w:vAlign w:val="center"/>
          </w:tcPr>
          <w:p w14:paraId="150B2D4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1.199**</w:t>
            </w:r>
          </w:p>
        </w:tc>
        <w:tc>
          <w:tcPr>
            <w:tcW w:w="1196" w:type="dxa"/>
            <w:tcBorders>
              <w:top w:val="nil"/>
              <w:left w:val="nil"/>
              <w:bottom w:val="nil"/>
              <w:right w:val="nil"/>
            </w:tcBorders>
            <w:shd w:val="clear" w:color="auto" w:fill="auto"/>
            <w:vAlign w:val="center"/>
          </w:tcPr>
          <w:p w14:paraId="68D4659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0.594**</w:t>
            </w:r>
          </w:p>
        </w:tc>
        <w:tc>
          <w:tcPr>
            <w:tcW w:w="1174" w:type="dxa"/>
            <w:tcBorders>
              <w:top w:val="nil"/>
              <w:left w:val="nil"/>
              <w:bottom w:val="nil"/>
              <w:right w:val="nil"/>
            </w:tcBorders>
            <w:shd w:val="clear" w:color="auto" w:fill="auto"/>
            <w:vAlign w:val="center"/>
          </w:tcPr>
          <w:p w14:paraId="374939A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0.620**</w:t>
            </w:r>
          </w:p>
        </w:tc>
        <w:tc>
          <w:tcPr>
            <w:tcW w:w="1170" w:type="dxa"/>
            <w:tcBorders>
              <w:top w:val="nil"/>
              <w:left w:val="nil"/>
              <w:bottom w:val="nil"/>
              <w:right w:val="nil"/>
            </w:tcBorders>
            <w:shd w:val="clear" w:color="auto" w:fill="auto"/>
            <w:vAlign w:val="center"/>
          </w:tcPr>
          <w:p w14:paraId="0F367F1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0.785</w:t>
            </w:r>
          </w:p>
        </w:tc>
        <w:tc>
          <w:tcPr>
            <w:tcW w:w="1166" w:type="dxa"/>
            <w:tcBorders>
              <w:top w:val="nil"/>
              <w:left w:val="nil"/>
              <w:bottom w:val="nil"/>
              <w:right w:val="nil"/>
            </w:tcBorders>
            <w:shd w:val="clear" w:color="auto" w:fill="auto"/>
            <w:vAlign w:val="center"/>
          </w:tcPr>
          <w:p w14:paraId="38B53AC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0.499</w:t>
            </w:r>
          </w:p>
        </w:tc>
      </w:tr>
      <w:tr w:rsidR="00727A9B" w:rsidRPr="006F5D71" w14:paraId="7FD7E2F2" w14:textId="77777777" w:rsidTr="004C7443">
        <w:trPr>
          <w:trHeight w:val="222"/>
          <w:jc w:val="center"/>
        </w:trPr>
        <w:tc>
          <w:tcPr>
            <w:tcW w:w="3870" w:type="dxa"/>
            <w:tcBorders>
              <w:top w:val="nil"/>
              <w:left w:val="nil"/>
              <w:bottom w:val="nil"/>
              <w:right w:val="nil"/>
            </w:tcBorders>
            <w:shd w:val="clear" w:color="auto" w:fill="auto"/>
            <w:vAlign w:val="center"/>
          </w:tcPr>
          <w:p w14:paraId="79593F29"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6FD8F4F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(0.433)</w:t>
            </w:r>
          </w:p>
        </w:tc>
        <w:tc>
          <w:tcPr>
            <w:tcW w:w="1264" w:type="dxa"/>
            <w:tcBorders>
              <w:top w:val="nil"/>
              <w:left w:val="nil"/>
              <w:bottom w:val="nil"/>
              <w:right w:val="nil"/>
            </w:tcBorders>
            <w:shd w:val="clear" w:color="auto" w:fill="auto"/>
            <w:vAlign w:val="center"/>
          </w:tcPr>
          <w:p w14:paraId="713B79B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(0.415)</w:t>
            </w:r>
          </w:p>
        </w:tc>
        <w:tc>
          <w:tcPr>
            <w:tcW w:w="1196" w:type="dxa"/>
            <w:tcBorders>
              <w:top w:val="nil"/>
              <w:left w:val="nil"/>
              <w:bottom w:val="nil"/>
              <w:right w:val="nil"/>
            </w:tcBorders>
            <w:shd w:val="clear" w:color="auto" w:fill="auto"/>
            <w:vAlign w:val="center"/>
          </w:tcPr>
          <w:p w14:paraId="11B9E37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(0.231)</w:t>
            </w:r>
          </w:p>
        </w:tc>
        <w:tc>
          <w:tcPr>
            <w:tcW w:w="1174" w:type="dxa"/>
            <w:tcBorders>
              <w:top w:val="nil"/>
              <w:left w:val="nil"/>
              <w:bottom w:val="nil"/>
              <w:right w:val="nil"/>
            </w:tcBorders>
            <w:shd w:val="clear" w:color="auto" w:fill="auto"/>
            <w:vAlign w:val="center"/>
          </w:tcPr>
          <w:p w14:paraId="2357E85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(0.246)</w:t>
            </w:r>
          </w:p>
        </w:tc>
        <w:tc>
          <w:tcPr>
            <w:tcW w:w="1170" w:type="dxa"/>
            <w:tcBorders>
              <w:top w:val="nil"/>
              <w:left w:val="nil"/>
              <w:bottom w:val="nil"/>
              <w:right w:val="nil"/>
            </w:tcBorders>
            <w:shd w:val="clear" w:color="auto" w:fill="auto"/>
            <w:vAlign w:val="center"/>
          </w:tcPr>
          <w:p w14:paraId="7E78BCC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(0.537)</w:t>
            </w:r>
          </w:p>
        </w:tc>
        <w:tc>
          <w:tcPr>
            <w:tcW w:w="1166" w:type="dxa"/>
            <w:tcBorders>
              <w:top w:val="nil"/>
              <w:left w:val="nil"/>
              <w:bottom w:val="nil"/>
              <w:right w:val="nil"/>
            </w:tcBorders>
            <w:shd w:val="clear" w:color="auto" w:fill="auto"/>
            <w:vAlign w:val="center"/>
          </w:tcPr>
          <w:p w14:paraId="78EEE51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(0.578)</w:t>
            </w:r>
          </w:p>
        </w:tc>
      </w:tr>
      <w:tr w:rsidR="00727A9B" w:rsidRPr="006F5D71" w14:paraId="3D841F66" w14:textId="77777777" w:rsidTr="004C7443">
        <w:trPr>
          <w:trHeight w:val="222"/>
          <w:jc w:val="center"/>
        </w:trPr>
        <w:tc>
          <w:tcPr>
            <w:tcW w:w="3870" w:type="dxa"/>
            <w:tcBorders>
              <w:top w:val="nil"/>
              <w:left w:val="nil"/>
              <w:bottom w:val="nil"/>
              <w:right w:val="nil"/>
            </w:tcBorders>
            <w:shd w:val="clear" w:color="auto" w:fill="auto"/>
            <w:vAlign w:val="center"/>
          </w:tcPr>
          <w:p w14:paraId="182A494A"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b/>
                <w:bCs/>
                <w:color w:val="000000" w:themeColor="text1"/>
                <w:szCs w:val="24"/>
              </w:rPr>
              <w:t>Endogenous Risk Mitigating factors</w:t>
            </w:r>
          </w:p>
        </w:tc>
        <w:tc>
          <w:tcPr>
            <w:tcW w:w="1170" w:type="dxa"/>
            <w:tcBorders>
              <w:top w:val="nil"/>
              <w:left w:val="nil"/>
              <w:bottom w:val="nil"/>
              <w:right w:val="nil"/>
            </w:tcBorders>
            <w:shd w:val="clear" w:color="auto" w:fill="auto"/>
            <w:vAlign w:val="center"/>
          </w:tcPr>
          <w:p w14:paraId="294A5A9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264" w:type="dxa"/>
            <w:tcBorders>
              <w:top w:val="nil"/>
              <w:left w:val="nil"/>
              <w:bottom w:val="nil"/>
              <w:right w:val="nil"/>
            </w:tcBorders>
            <w:shd w:val="clear" w:color="auto" w:fill="auto"/>
            <w:vAlign w:val="center"/>
          </w:tcPr>
          <w:p w14:paraId="24827AB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96" w:type="dxa"/>
            <w:tcBorders>
              <w:top w:val="nil"/>
              <w:left w:val="nil"/>
              <w:bottom w:val="nil"/>
              <w:right w:val="nil"/>
            </w:tcBorders>
            <w:shd w:val="clear" w:color="auto" w:fill="auto"/>
            <w:vAlign w:val="center"/>
          </w:tcPr>
          <w:p w14:paraId="3CA9D3B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4" w:type="dxa"/>
            <w:tcBorders>
              <w:top w:val="nil"/>
              <w:left w:val="nil"/>
              <w:bottom w:val="nil"/>
              <w:right w:val="nil"/>
            </w:tcBorders>
            <w:shd w:val="clear" w:color="auto" w:fill="auto"/>
            <w:vAlign w:val="center"/>
          </w:tcPr>
          <w:p w14:paraId="5A2BA6D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0" w:type="dxa"/>
            <w:tcBorders>
              <w:top w:val="nil"/>
              <w:left w:val="nil"/>
              <w:bottom w:val="nil"/>
              <w:right w:val="nil"/>
            </w:tcBorders>
            <w:shd w:val="clear" w:color="auto" w:fill="auto"/>
            <w:vAlign w:val="center"/>
          </w:tcPr>
          <w:p w14:paraId="57AB4E2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66" w:type="dxa"/>
            <w:tcBorders>
              <w:top w:val="nil"/>
              <w:left w:val="nil"/>
              <w:bottom w:val="nil"/>
              <w:right w:val="nil"/>
            </w:tcBorders>
            <w:shd w:val="clear" w:color="auto" w:fill="auto"/>
            <w:vAlign w:val="center"/>
          </w:tcPr>
          <w:p w14:paraId="61E2312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r>
      <w:tr w:rsidR="00727A9B" w:rsidRPr="006F5D71" w14:paraId="6030EEA7" w14:textId="77777777" w:rsidTr="004C7443">
        <w:trPr>
          <w:trHeight w:val="234"/>
          <w:jc w:val="center"/>
        </w:trPr>
        <w:tc>
          <w:tcPr>
            <w:tcW w:w="3870" w:type="dxa"/>
            <w:tcBorders>
              <w:top w:val="nil"/>
              <w:left w:val="nil"/>
              <w:bottom w:val="nil"/>
              <w:right w:val="nil"/>
            </w:tcBorders>
            <w:shd w:val="clear" w:color="auto" w:fill="auto"/>
            <w:vAlign w:val="center"/>
          </w:tcPr>
          <w:p w14:paraId="10B5666C"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Home Country Diaspora</w:t>
            </w:r>
          </w:p>
        </w:tc>
        <w:tc>
          <w:tcPr>
            <w:tcW w:w="1170" w:type="dxa"/>
            <w:tcBorders>
              <w:top w:val="nil"/>
              <w:left w:val="nil"/>
              <w:bottom w:val="nil"/>
              <w:right w:val="nil"/>
            </w:tcBorders>
            <w:shd w:val="clear" w:color="auto" w:fill="auto"/>
            <w:vAlign w:val="center"/>
          </w:tcPr>
          <w:p w14:paraId="1A26F2F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-0.125**</w:t>
            </w:r>
          </w:p>
        </w:tc>
        <w:tc>
          <w:tcPr>
            <w:tcW w:w="1264" w:type="dxa"/>
            <w:tcBorders>
              <w:top w:val="nil"/>
              <w:left w:val="nil"/>
              <w:bottom w:val="nil"/>
              <w:right w:val="nil"/>
            </w:tcBorders>
            <w:shd w:val="clear" w:color="auto" w:fill="auto"/>
            <w:vAlign w:val="center"/>
          </w:tcPr>
          <w:p w14:paraId="634383E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-0.050*</w:t>
            </w:r>
          </w:p>
        </w:tc>
        <w:tc>
          <w:tcPr>
            <w:tcW w:w="1196" w:type="dxa"/>
            <w:tcBorders>
              <w:top w:val="nil"/>
              <w:left w:val="nil"/>
              <w:bottom w:val="nil"/>
              <w:right w:val="nil"/>
            </w:tcBorders>
            <w:shd w:val="clear" w:color="auto" w:fill="auto"/>
            <w:vAlign w:val="center"/>
          </w:tcPr>
          <w:p w14:paraId="3028527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-0.264</w:t>
            </w:r>
          </w:p>
        </w:tc>
        <w:tc>
          <w:tcPr>
            <w:tcW w:w="1174" w:type="dxa"/>
            <w:tcBorders>
              <w:top w:val="nil"/>
              <w:left w:val="nil"/>
              <w:bottom w:val="nil"/>
              <w:right w:val="nil"/>
            </w:tcBorders>
            <w:shd w:val="clear" w:color="auto" w:fill="auto"/>
            <w:vAlign w:val="center"/>
          </w:tcPr>
          <w:p w14:paraId="15F1853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-0.168</w:t>
            </w:r>
          </w:p>
        </w:tc>
        <w:tc>
          <w:tcPr>
            <w:tcW w:w="1170" w:type="dxa"/>
            <w:tcBorders>
              <w:top w:val="nil"/>
              <w:left w:val="nil"/>
              <w:bottom w:val="nil"/>
              <w:right w:val="nil"/>
            </w:tcBorders>
            <w:shd w:val="clear" w:color="auto" w:fill="auto"/>
            <w:vAlign w:val="center"/>
          </w:tcPr>
          <w:p w14:paraId="6D914A5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-0.274**</w:t>
            </w:r>
          </w:p>
        </w:tc>
        <w:tc>
          <w:tcPr>
            <w:tcW w:w="1166" w:type="dxa"/>
            <w:tcBorders>
              <w:top w:val="nil"/>
              <w:left w:val="nil"/>
              <w:bottom w:val="nil"/>
              <w:right w:val="nil"/>
            </w:tcBorders>
            <w:shd w:val="clear" w:color="auto" w:fill="auto"/>
            <w:vAlign w:val="center"/>
          </w:tcPr>
          <w:p w14:paraId="79DE4CB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-0.580**</w:t>
            </w:r>
          </w:p>
        </w:tc>
      </w:tr>
      <w:tr w:rsidR="00727A9B" w:rsidRPr="006F5D71" w14:paraId="6FD9D060" w14:textId="77777777" w:rsidTr="004C7443">
        <w:trPr>
          <w:trHeight w:val="222"/>
          <w:jc w:val="center"/>
        </w:trPr>
        <w:tc>
          <w:tcPr>
            <w:tcW w:w="3870" w:type="dxa"/>
            <w:tcBorders>
              <w:top w:val="nil"/>
              <w:left w:val="nil"/>
              <w:bottom w:val="nil"/>
              <w:right w:val="nil"/>
            </w:tcBorders>
            <w:shd w:val="clear" w:color="auto" w:fill="auto"/>
            <w:vAlign w:val="center"/>
          </w:tcPr>
          <w:p w14:paraId="50405A1A"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4FCD84B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(0.055)</w:t>
            </w:r>
          </w:p>
        </w:tc>
        <w:tc>
          <w:tcPr>
            <w:tcW w:w="1264" w:type="dxa"/>
            <w:tcBorders>
              <w:top w:val="nil"/>
              <w:left w:val="nil"/>
              <w:bottom w:val="nil"/>
              <w:right w:val="nil"/>
            </w:tcBorders>
            <w:shd w:val="clear" w:color="auto" w:fill="auto"/>
            <w:vAlign w:val="center"/>
          </w:tcPr>
          <w:p w14:paraId="1A684DB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(0.023)</w:t>
            </w:r>
          </w:p>
        </w:tc>
        <w:tc>
          <w:tcPr>
            <w:tcW w:w="1196" w:type="dxa"/>
            <w:tcBorders>
              <w:top w:val="nil"/>
              <w:left w:val="nil"/>
              <w:bottom w:val="nil"/>
              <w:right w:val="nil"/>
            </w:tcBorders>
            <w:shd w:val="clear" w:color="auto" w:fill="auto"/>
            <w:vAlign w:val="center"/>
          </w:tcPr>
          <w:p w14:paraId="2E7985E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(0.591)</w:t>
            </w:r>
          </w:p>
        </w:tc>
        <w:tc>
          <w:tcPr>
            <w:tcW w:w="1174" w:type="dxa"/>
            <w:tcBorders>
              <w:top w:val="nil"/>
              <w:left w:val="nil"/>
              <w:bottom w:val="nil"/>
              <w:right w:val="nil"/>
            </w:tcBorders>
            <w:shd w:val="clear" w:color="auto" w:fill="auto"/>
            <w:vAlign w:val="center"/>
          </w:tcPr>
          <w:p w14:paraId="07119E8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(0.299)</w:t>
            </w:r>
          </w:p>
        </w:tc>
        <w:tc>
          <w:tcPr>
            <w:tcW w:w="1170" w:type="dxa"/>
            <w:tcBorders>
              <w:top w:val="nil"/>
              <w:left w:val="nil"/>
              <w:bottom w:val="nil"/>
              <w:right w:val="nil"/>
            </w:tcBorders>
            <w:shd w:val="clear" w:color="auto" w:fill="auto"/>
            <w:vAlign w:val="center"/>
          </w:tcPr>
          <w:p w14:paraId="49FC0ED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(0.104)</w:t>
            </w:r>
          </w:p>
        </w:tc>
        <w:tc>
          <w:tcPr>
            <w:tcW w:w="1166" w:type="dxa"/>
            <w:tcBorders>
              <w:top w:val="nil"/>
              <w:left w:val="nil"/>
              <w:bottom w:val="nil"/>
              <w:right w:val="nil"/>
            </w:tcBorders>
            <w:shd w:val="clear" w:color="auto" w:fill="auto"/>
            <w:vAlign w:val="center"/>
          </w:tcPr>
          <w:p w14:paraId="65D3225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(0.216)</w:t>
            </w:r>
          </w:p>
        </w:tc>
      </w:tr>
      <w:tr w:rsidR="00727A9B" w:rsidRPr="006F5D71" w14:paraId="5A21F305" w14:textId="77777777" w:rsidTr="004C7443">
        <w:trPr>
          <w:trHeight w:val="234"/>
          <w:jc w:val="center"/>
        </w:trPr>
        <w:tc>
          <w:tcPr>
            <w:tcW w:w="3870" w:type="dxa"/>
            <w:tcBorders>
              <w:top w:val="nil"/>
              <w:left w:val="nil"/>
              <w:bottom w:val="nil"/>
              <w:right w:val="nil"/>
            </w:tcBorders>
            <w:shd w:val="clear" w:color="auto" w:fill="auto"/>
            <w:vAlign w:val="center"/>
          </w:tcPr>
          <w:p w14:paraId="121BF27B"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Home Country Diaspora × Country Risk</w:t>
            </w:r>
          </w:p>
        </w:tc>
        <w:tc>
          <w:tcPr>
            <w:tcW w:w="1170" w:type="dxa"/>
            <w:tcBorders>
              <w:top w:val="nil"/>
              <w:left w:val="nil"/>
              <w:bottom w:val="nil"/>
              <w:right w:val="nil"/>
            </w:tcBorders>
            <w:shd w:val="clear" w:color="auto" w:fill="auto"/>
            <w:vAlign w:val="center"/>
          </w:tcPr>
          <w:p w14:paraId="5532190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264" w:type="dxa"/>
            <w:tcBorders>
              <w:top w:val="nil"/>
              <w:left w:val="nil"/>
              <w:bottom w:val="nil"/>
              <w:right w:val="nil"/>
            </w:tcBorders>
            <w:shd w:val="clear" w:color="auto" w:fill="auto"/>
            <w:vAlign w:val="center"/>
          </w:tcPr>
          <w:p w14:paraId="7DF7BC5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-0.119*</w:t>
            </w:r>
          </w:p>
        </w:tc>
        <w:tc>
          <w:tcPr>
            <w:tcW w:w="1196" w:type="dxa"/>
            <w:tcBorders>
              <w:top w:val="nil"/>
              <w:left w:val="nil"/>
              <w:bottom w:val="nil"/>
              <w:right w:val="nil"/>
            </w:tcBorders>
            <w:shd w:val="clear" w:color="auto" w:fill="auto"/>
            <w:vAlign w:val="center"/>
          </w:tcPr>
          <w:p w14:paraId="2400834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4" w:type="dxa"/>
            <w:tcBorders>
              <w:top w:val="nil"/>
              <w:left w:val="nil"/>
              <w:bottom w:val="nil"/>
              <w:right w:val="nil"/>
            </w:tcBorders>
            <w:shd w:val="clear" w:color="auto" w:fill="auto"/>
            <w:vAlign w:val="center"/>
          </w:tcPr>
          <w:p w14:paraId="42B8635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-0.016</w:t>
            </w:r>
          </w:p>
        </w:tc>
        <w:tc>
          <w:tcPr>
            <w:tcW w:w="1170" w:type="dxa"/>
            <w:tcBorders>
              <w:top w:val="nil"/>
              <w:left w:val="nil"/>
              <w:bottom w:val="nil"/>
              <w:right w:val="nil"/>
            </w:tcBorders>
            <w:shd w:val="clear" w:color="auto" w:fill="auto"/>
            <w:vAlign w:val="center"/>
          </w:tcPr>
          <w:p w14:paraId="36C84E8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66" w:type="dxa"/>
            <w:tcBorders>
              <w:top w:val="nil"/>
              <w:left w:val="nil"/>
              <w:bottom w:val="nil"/>
              <w:right w:val="nil"/>
            </w:tcBorders>
            <w:shd w:val="clear" w:color="auto" w:fill="auto"/>
            <w:vAlign w:val="center"/>
          </w:tcPr>
          <w:p w14:paraId="3D78B0C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-0.248*</w:t>
            </w:r>
          </w:p>
        </w:tc>
      </w:tr>
      <w:tr w:rsidR="00727A9B" w:rsidRPr="006F5D71" w14:paraId="5A9E11FF" w14:textId="77777777" w:rsidTr="004C7443">
        <w:trPr>
          <w:trHeight w:val="222"/>
          <w:jc w:val="center"/>
        </w:trPr>
        <w:tc>
          <w:tcPr>
            <w:tcW w:w="3870" w:type="dxa"/>
            <w:tcBorders>
              <w:top w:val="nil"/>
              <w:left w:val="nil"/>
              <w:bottom w:val="nil"/>
              <w:right w:val="nil"/>
            </w:tcBorders>
            <w:shd w:val="clear" w:color="auto" w:fill="auto"/>
            <w:vAlign w:val="center"/>
          </w:tcPr>
          <w:p w14:paraId="6374D9E9"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14D8AA5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264" w:type="dxa"/>
            <w:tcBorders>
              <w:top w:val="nil"/>
              <w:left w:val="nil"/>
              <w:bottom w:val="nil"/>
              <w:right w:val="nil"/>
            </w:tcBorders>
            <w:shd w:val="clear" w:color="auto" w:fill="auto"/>
            <w:vAlign w:val="center"/>
          </w:tcPr>
          <w:p w14:paraId="570BBE9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(0.061)</w:t>
            </w:r>
          </w:p>
        </w:tc>
        <w:tc>
          <w:tcPr>
            <w:tcW w:w="1196" w:type="dxa"/>
            <w:tcBorders>
              <w:top w:val="nil"/>
              <w:left w:val="nil"/>
              <w:bottom w:val="nil"/>
              <w:right w:val="nil"/>
            </w:tcBorders>
            <w:shd w:val="clear" w:color="auto" w:fill="auto"/>
            <w:vAlign w:val="center"/>
          </w:tcPr>
          <w:p w14:paraId="789CACA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4" w:type="dxa"/>
            <w:tcBorders>
              <w:top w:val="nil"/>
              <w:left w:val="nil"/>
              <w:bottom w:val="nil"/>
              <w:right w:val="nil"/>
            </w:tcBorders>
            <w:shd w:val="clear" w:color="auto" w:fill="auto"/>
            <w:vAlign w:val="center"/>
          </w:tcPr>
          <w:p w14:paraId="2D9798A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(0.062)</w:t>
            </w:r>
          </w:p>
        </w:tc>
        <w:tc>
          <w:tcPr>
            <w:tcW w:w="1170" w:type="dxa"/>
            <w:tcBorders>
              <w:top w:val="nil"/>
              <w:left w:val="nil"/>
              <w:bottom w:val="nil"/>
              <w:right w:val="nil"/>
            </w:tcBorders>
            <w:shd w:val="clear" w:color="auto" w:fill="auto"/>
            <w:vAlign w:val="center"/>
          </w:tcPr>
          <w:p w14:paraId="2BC7CB0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66" w:type="dxa"/>
            <w:tcBorders>
              <w:top w:val="nil"/>
              <w:left w:val="nil"/>
              <w:bottom w:val="nil"/>
              <w:right w:val="nil"/>
            </w:tcBorders>
            <w:shd w:val="clear" w:color="auto" w:fill="auto"/>
            <w:vAlign w:val="center"/>
          </w:tcPr>
          <w:p w14:paraId="2AC4CA9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(0.120)</w:t>
            </w:r>
          </w:p>
        </w:tc>
      </w:tr>
      <w:tr w:rsidR="00727A9B" w:rsidRPr="006F5D71" w14:paraId="2F2980B7" w14:textId="77777777" w:rsidTr="004C7443">
        <w:trPr>
          <w:trHeight w:val="222"/>
          <w:jc w:val="center"/>
        </w:trPr>
        <w:tc>
          <w:tcPr>
            <w:tcW w:w="3870" w:type="dxa"/>
            <w:tcBorders>
              <w:top w:val="nil"/>
              <w:left w:val="nil"/>
              <w:bottom w:val="nil"/>
              <w:right w:val="nil"/>
            </w:tcBorders>
            <w:shd w:val="clear" w:color="auto" w:fill="auto"/>
            <w:vAlign w:val="center"/>
          </w:tcPr>
          <w:p w14:paraId="7D25547A"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Home Country Diaspora × Institutional Distance</w:t>
            </w:r>
          </w:p>
        </w:tc>
        <w:tc>
          <w:tcPr>
            <w:tcW w:w="1170" w:type="dxa"/>
            <w:tcBorders>
              <w:top w:val="nil"/>
              <w:left w:val="nil"/>
              <w:bottom w:val="nil"/>
              <w:right w:val="nil"/>
            </w:tcBorders>
            <w:shd w:val="clear" w:color="auto" w:fill="auto"/>
            <w:vAlign w:val="center"/>
          </w:tcPr>
          <w:p w14:paraId="1C26BB4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264" w:type="dxa"/>
            <w:tcBorders>
              <w:top w:val="nil"/>
              <w:left w:val="nil"/>
              <w:bottom w:val="nil"/>
              <w:right w:val="nil"/>
            </w:tcBorders>
            <w:shd w:val="clear" w:color="auto" w:fill="auto"/>
            <w:vAlign w:val="center"/>
          </w:tcPr>
          <w:p w14:paraId="14EBE02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-0.007*</w:t>
            </w:r>
          </w:p>
        </w:tc>
        <w:tc>
          <w:tcPr>
            <w:tcW w:w="1196" w:type="dxa"/>
            <w:tcBorders>
              <w:top w:val="nil"/>
              <w:left w:val="nil"/>
              <w:bottom w:val="nil"/>
              <w:right w:val="nil"/>
            </w:tcBorders>
            <w:shd w:val="clear" w:color="auto" w:fill="auto"/>
            <w:vAlign w:val="center"/>
          </w:tcPr>
          <w:p w14:paraId="3803CD1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4" w:type="dxa"/>
            <w:tcBorders>
              <w:top w:val="nil"/>
              <w:left w:val="nil"/>
              <w:bottom w:val="nil"/>
              <w:right w:val="nil"/>
            </w:tcBorders>
            <w:shd w:val="clear" w:color="auto" w:fill="auto"/>
            <w:vAlign w:val="center"/>
          </w:tcPr>
          <w:p w14:paraId="04E0457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-0.014</w:t>
            </w:r>
          </w:p>
        </w:tc>
        <w:tc>
          <w:tcPr>
            <w:tcW w:w="1170" w:type="dxa"/>
            <w:tcBorders>
              <w:top w:val="nil"/>
              <w:left w:val="nil"/>
              <w:bottom w:val="nil"/>
              <w:right w:val="nil"/>
            </w:tcBorders>
            <w:shd w:val="clear" w:color="auto" w:fill="auto"/>
            <w:vAlign w:val="center"/>
          </w:tcPr>
          <w:p w14:paraId="2AD6036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66" w:type="dxa"/>
            <w:tcBorders>
              <w:top w:val="nil"/>
              <w:left w:val="nil"/>
              <w:bottom w:val="nil"/>
              <w:right w:val="nil"/>
            </w:tcBorders>
            <w:shd w:val="clear" w:color="auto" w:fill="auto"/>
            <w:vAlign w:val="center"/>
          </w:tcPr>
          <w:p w14:paraId="6F4E6FF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-0.046*</w:t>
            </w:r>
          </w:p>
        </w:tc>
      </w:tr>
      <w:tr w:rsidR="00727A9B" w:rsidRPr="006F5D71" w14:paraId="65A1B8BD" w14:textId="77777777" w:rsidTr="004C7443">
        <w:trPr>
          <w:trHeight w:val="234"/>
          <w:jc w:val="center"/>
        </w:trPr>
        <w:tc>
          <w:tcPr>
            <w:tcW w:w="3870" w:type="dxa"/>
            <w:tcBorders>
              <w:top w:val="nil"/>
              <w:left w:val="nil"/>
              <w:bottom w:val="nil"/>
              <w:right w:val="nil"/>
            </w:tcBorders>
            <w:shd w:val="clear" w:color="auto" w:fill="auto"/>
            <w:vAlign w:val="center"/>
          </w:tcPr>
          <w:p w14:paraId="663BB23D"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1B31AC1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264" w:type="dxa"/>
            <w:tcBorders>
              <w:top w:val="nil"/>
              <w:left w:val="nil"/>
              <w:bottom w:val="nil"/>
              <w:right w:val="nil"/>
            </w:tcBorders>
            <w:shd w:val="clear" w:color="auto" w:fill="auto"/>
            <w:vAlign w:val="center"/>
          </w:tcPr>
          <w:p w14:paraId="5BA4F28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(0.004)</w:t>
            </w:r>
          </w:p>
        </w:tc>
        <w:tc>
          <w:tcPr>
            <w:tcW w:w="1196" w:type="dxa"/>
            <w:tcBorders>
              <w:top w:val="nil"/>
              <w:left w:val="nil"/>
              <w:bottom w:val="nil"/>
              <w:right w:val="nil"/>
            </w:tcBorders>
            <w:shd w:val="clear" w:color="auto" w:fill="auto"/>
            <w:vAlign w:val="center"/>
          </w:tcPr>
          <w:p w14:paraId="61FA34D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4" w:type="dxa"/>
            <w:tcBorders>
              <w:top w:val="nil"/>
              <w:left w:val="nil"/>
              <w:bottom w:val="nil"/>
              <w:right w:val="nil"/>
            </w:tcBorders>
            <w:shd w:val="clear" w:color="auto" w:fill="auto"/>
            <w:vAlign w:val="center"/>
          </w:tcPr>
          <w:p w14:paraId="56CABEC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(0.019)</w:t>
            </w:r>
          </w:p>
        </w:tc>
        <w:tc>
          <w:tcPr>
            <w:tcW w:w="1170" w:type="dxa"/>
            <w:tcBorders>
              <w:top w:val="nil"/>
              <w:left w:val="nil"/>
              <w:bottom w:val="nil"/>
              <w:right w:val="nil"/>
            </w:tcBorders>
            <w:shd w:val="clear" w:color="auto" w:fill="auto"/>
            <w:vAlign w:val="center"/>
          </w:tcPr>
          <w:p w14:paraId="3B04BBF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66" w:type="dxa"/>
            <w:tcBorders>
              <w:top w:val="nil"/>
              <w:left w:val="nil"/>
              <w:bottom w:val="nil"/>
              <w:right w:val="nil"/>
            </w:tcBorders>
            <w:shd w:val="clear" w:color="auto" w:fill="auto"/>
            <w:vAlign w:val="center"/>
          </w:tcPr>
          <w:p w14:paraId="3FACDCD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(0.022)</w:t>
            </w:r>
          </w:p>
        </w:tc>
      </w:tr>
      <w:tr w:rsidR="00727A9B" w:rsidRPr="006F5D71" w14:paraId="065A7F9C" w14:textId="77777777" w:rsidTr="004C7443">
        <w:trPr>
          <w:trHeight w:val="222"/>
          <w:jc w:val="center"/>
        </w:trPr>
        <w:tc>
          <w:tcPr>
            <w:tcW w:w="3870" w:type="dxa"/>
            <w:tcBorders>
              <w:top w:val="nil"/>
              <w:left w:val="nil"/>
              <w:bottom w:val="nil"/>
              <w:right w:val="nil"/>
            </w:tcBorders>
            <w:shd w:val="clear" w:color="auto" w:fill="auto"/>
            <w:vAlign w:val="center"/>
          </w:tcPr>
          <w:p w14:paraId="08391C2E"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b/>
                <w:bCs/>
                <w:color w:val="000000" w:themeColor="text1"/>
                <w:szCs w:val="24"/>
              </w:rPr>
              <w:t>Controls</w:t>
            </w:r>
          </w:p>
        </w:tc>
        <w:tc>
          <w:tcPr>
            <w:tcW w:w="1170" w:type="dxa"/>
            <w:tcBorders>
              <w:top w:val="nil"/>
              <w:left w:val="nil"/>
              <w:bottom w:val="nil"/>
              <w:right w:val="nil"/>
            </w:tcBorders>
            <w:shd w:val="clear" w:color="auto" w:fill="auto"/>
            <w:vAlign w:val="center"/>
          </w:tcPr>
          <w:p w14:paraId="11FACB4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264" w:type="dxa"/>
            <w:tcBorders>
              <w:top w:val="nil"/>
              <w:left w:val="nil"/>
              <w:bottom w:val="nil"/>
              <w:right w:val="nil"/>
            </w:tcBorders>
            <w:shd w:val="clear" w:color="auto" w:fill="auto"/>
            <w:vAlign w:val="center"/>
          </w:tcPr>
          <w:p w14:paraId="5D564AD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96" w:type="dxa"/>
            <w:tcBorders>
              <w:top w:val="nil"/>
              <w:left w:val="nil"/>
              <w:bottom w:val="nil"/>
              <w:right w:val="nil"/>
            </w:tcBorders>
            <w:shd w:val="clear" w:color="auto" w:fill="auto"/>
            <w:vAlign w:val="center"/>
          </w:tcPr>
          <w:p w14:paraId="5281522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4" w:type="dxa"/>
            <w:tcBorders>
              <w:top w:val="nil"/>
              <w:left w:val="nil"/>
              <w:bottom w:val="nil"/>
              <w:right w:val="nil"/>
            </w:tcBorders>
            <w:shd w:val="clear" w:color="auto" w:fill="auto"/>
            <w:vAlign w:val="center"/>
          </w:tcPr>
          <w:p w14:paraId="463A53C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0" w:type="dxa"/>
            <w:tcBorders>
              <w:top w:val="nil"/>
              <w:left w:val="nil"/>
              <w:bottom w:val="nil"/>
              <w:right w:val="nil"/>
            </w:tcBorders>
            <w:shd w:val="clear" w:color="auto" w:fill="auto"/>
            <w:vAlign w:val="center"/>
          </w:tcPr>
          <w:p w14:paraId="46ADB5F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66" w:type="dxa"/>
            <w:tcBorders>
              <w:top w:val="nil"/>
              <w:left w:val="nil"/>
              <w:bottom w:val="nil"/>
              <w:right w:val="nil"/>
            </w:tcBorders>
            <w:shd w:val="clear" w:color="auto" w:fill="auto"/>
            <w:vAlign w:val="center"/>
          </w:tcPr>
          <w:p w14:paraId="1129A98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r>
      <w:tr w:rsidR="00727A9B" w:rsidRPr="006F5D71" w14:paraId="14449760" w14:textId="77777777" w:rsidTr="004C7443">
        <w:trPr>
          <w:trHeight w:val="234"/>
          <w:jc w:val="center"/>
        </w:trPr>
        <w:tc>
          <w:tcPr>
            <w:tcW w:w="3870" w:type="dxa"/>
            <w:tcBorders>
              <w:top w:val="nil"/>
              <w:left w:val="nil"/>
              <w:bottom w:val="nil"/>
              <w:right w:val="nil"/>
            </w:tcBorders>
            <w:shd w:val="clear" w:color="auto" w:fill="auto"/>
            <w:vAlign w:val="center"/>
          </w:tcPr>
          <w:p w14:paraId="58DE4109"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Sunk Cost</w:t>
            </w:r>
          </w:p>
        </w:tc>
        <w:tc>
          <w:tcPr>
            <w:tcW w:w="1170" w:type="dxa"/>
            <w:tcBorders>
              <w:top w:val="nil"/>
              <w:left w:val="nil"/>
              <w:bottom w:val="nil"/>
              <w:right w:val="nil"/>
            </w:tcBorders>
            <w:shd w:val="clear" w:color="auto" w:fill="auto"/>
            <w:vAlign w:val="center"/>
          </w:tcPr>
          <w:p w14:paraId="6171ED6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-7.069*</w:t>
            </w:r>
          </w:p>
        </w:tc>
        <w:tc>
          <w:tcPr>
            <w:tcW w:w="1264" w:type="dxa"/>
            <w:tcBorders>
              <w:top w:val="nil"/>
              <w:left w:val="nil"/>
              <w:bottom w:val="nil"/>
              <w:right w:val="nil"/>
            </w:tcBorders>
            <w:shd w:val="clear" w:color="auto" w:fill="auto"/>
            <w:vAlign w:val="center"/>
          </w:tcPr>
          <w:p w14:paraId="6AAD814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-6.339**</w:t>
            </w:r>
          </w:p>
        </w:tc>
        <w:tc>
          <w:tcPr>
            <w:tcW w:w="1196" w:type="dxa"/>
            <w:tcBorders>
              <w:top w:val="nil"/>
              <w:left w:val="nil"/>
              <w:bottom w:val="nil"/>
              <w:right w:val="nil"/>
            </w:tcBorders>
            <w:shd w:val="clear" w:color="auto" w:fill="auto"/>
            <w:vAlign w:val="center"/>
          </w:tcPr>
          <w:p w14:paraId="1D455A1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-5.150***</w:t>
            </w:r>
          </w:p>
        </w:tc>
        <w:tc>
          <w:tcPr>
            <w:tcW w:w="1174" w:type="dxa"/>
            <w:tcBorders>
              <w:top w:val="nil"/>
              <w:left w:val="nil"/>
              <w:bottom w:val="nil"/>
              <w:right w:val="nil"/>
            </w:tcBorders>
            <w:shd w:val="clear" w:color="auto" w:fill="auto"/>
            <w:vAlign w:val="center"/>
          </w:tcPr>
          <w:p w14:paraId="089EAB6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-4.938**</w:t>
            </w:r>
          </w:p>
        </w:tc>
        <w:tc>
          <w:tcPr>
            <w:tcW w:w="1170" w:type="dxa"/>
            <w:tcBorders>
              <w:top w:val="nil"/>
              <w:left w:val="nil"/>
              <w:bottom w:val="nil"/>
              <w:right w:val="nil"/>
            </w:tcBorders>
            <w:shd w:val="clear" w:color="auto" w:fill="auto"/>
            <w:vAlign w:val="center"/>
          </w:tcPr>
          <w:p w14:paraId="4A236AD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-5.671***</w:t>
            </w:r>
          </w:p>
        </w:tc>
        <w:tc>
          <w:tcPr>
            <w:tcW w:w="1166" w:type="dxa"/>
            <w:tcBorders>
              <w:top w:val="nil"/>
              <w:left w:val="nil"/>
              <w:bottom w:val="nil"/>
              <w:right w:val="nil"/>
            </w:tcBorders>
            <w:shd w:val="clear" w:color="auto" w:fill="auto"/>
            <w:vAlign w:val="center"/>
          </w:tcPr>
          <w:p w14:paraId="4BC65F5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-6.113***</w:t>
            </w:r>
          </w:p>
        </w:tc>
      </w:tr>
      <w:tr w:rsidR="00727A9B" w:rsidRPr="006F5D71" w14:paraId="74178C19" w14:textId="77777777" w:rsidTr="004C7443">
        <w:trPr>
          <w:trHeight w:val="222"/>
          <w:jc w:val="center"/>
        </w:trPr>
        <w:tc>
          <w:tcPr>
            <w:tcW w:w="3870" w:type="dxa"/>
            <w:tcBorders>
              <w:top w:val="nil"/>
              <w:left w:val="nil"/>
              <w:bottom w:val="nil"/>
              <w:right w:val="nil"/>
            </w:tcBorders>
            <w:shd w:val="clear" w:color="auto" w:fill="auto"/>
            <w:vAlign w:val="center"/>
          </w:tcPr>
          <w:p w14:paraId="267000A3"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31D540F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(3.498)</w:t>
            </w:r>
          </w:p>
        </w:tc>
        <w:tc>
          <w:tcPr>
            <w:tcW w:w="1264" w:type="dxa"/>
            <w:tcBorders>
              <w:top w:val="nil"/>
              <w:left w:val="nil"/>
              <w:bottom w:val="nil"/>
              <w:right w:val="nil"/>
            </w:tcBorders>
            <w:shd w:val="clear" w:color="auto" w:fill="auto"/>
            <w:vAlign w:val="center"/>
          </w:tcPr>
          <w:p w14:paraId="5D2AE03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(2.272)</w:t>
            </w:r>
          </w:p>
        </w:tc>
        <w:tc>
          <w:tcPr>
            <w:tcW w:w="1196" w:type="dxa"/>
            <w:tcBorders>
              <w:top w:val="nil"/>
              <w:left w:val="nil"/>
              <w:bottom w:val="nil"/>
              <w:right w:val="nil"/>
            </w:tcBorders>
            <w:shd w:val="clear" w:color="auto" w:fill="auto"/>
            <w:vAlign w:val="center"/>
          </w:tcPr>
          <w:p w14:paraId="50E92BB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(1.400)</w:t>
            </w:r>
          </w:p>
        </w:tc>
        <w:tc>
          <w:tcPr>
            <w:tcW w:w="1174" w:type="dxa"/>
            <w:tcBorders>
              <w:top w:val="nil"/>
              <w:left w:val="nil"/>
              <w:bottom w:val="nil"/>
              <w:right w:val="nil"/>
            </w:tcBorders>
            <w:shd w:val="clear" w:color="auto" w:fill="auto"/>
            <w:vAlign w:val="center"/>
          </w:tcPr>
          <w:p w14:paraId="1C3F2E7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(1.699)</w:t>
            </w:r>
          </w:p>
        </w:tc>
        <w:tc>
          <w:tcPr>
            <w:tcW w:w="1170" w:type="dxa"/>
            <w:tcBorders>
              <w:top w:val="nil"/>
              <w:left w:val="nil"/>
              <w:bottom w:val="nil"/>
              <w:right w:val="nil"/>
            </w:tcBorders>
            <w:shd w:val="clear" w:color="auto" w:fill="auto"/>
            <w:vAlign w:val="center"/>
          </w:tcPr>
          <w:p w14:paraId="3EE5CE3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(1.764)</w:t>
            </w:r>
          </w:p>
        </w:tc>
        <w:tc>
          <w:tcPr>
            <w:tcW w:w="1166" w:type="dxa"/>
            <w:tcBorders>
              <w:top w:val="nil"/>
              <w:left w:val="nil"/>
              <w:bottom w:val="nil"/>
              <w:right w:val="nil"/>
            </w:tcBorders>
            <w:shd w:val="clear" w:color="auto" w:fill="auto"/>
            <w:vAlign w:val="center"/>
          </w:tcPr>
          <w:p w14:paraId="1125D98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(1.262)</w:t>
            </w:r>
          </w:p>
        </w:tc>
      </w:tr>
      <w:tr w:rsidR="00727A9B" w:rsidRPr="006F5D71" w14:paraId="7814B402" w14:textId="77777777" w:rsidTr="004C7443">
        <w:trPr>
          <w:trHeight w:val="234"/>
          <w:jc w:val="center"/>
        </w:trPr>
        <w:tc>
          <w:tcPr>
            <w:tcW w:w="3870" w:type="dxa"/>
            <w:tcBorders>
              <w:top w:val="nil"/>
              <w:left w:val="nil"/>
              <w:bottom w:val="nil"/>
              <w:right w:val="nil"/>
            </w:tcBorders>
            <w:shd w:val="clear" w:color="auto" w:fill="auto"/>
            <w:vAlign w:val="center"/>
          </w:tcPr>
          <w:p w14:paraId="46669CC8"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color w:val="000000" w:themeColor="text1"/>
                <w:szCs w:val="24"/>
              </w:rPr>
              <w:t>ROA</w:t>
            </w:r>
          </w:p>
        </w:tc>
        <w:tc>
          <w:tcPr>
            <w:tcW w:w="1170" w:type="dxa"/>
            <w:tcBorders>
              <w:top w:val="nil"/>
              <w:left w:val="nil"/>
              <w:bottom w:val="nil"/>
              <w:right w:val="nil"/>
            </w:tcBorders>
            <w:shd w:val="clear" w:color="auto" w:fill="auto"/>
            <w:vAlign w:val="center"/>
          </w:tcPr>
          <w:p w14:paraId="69998EA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-0.613***</w:t>
            </w:r>
          </w:p>
        </w:tc>
        <w:tc>
          <w:tcPr>
            <w:tcW w:w="1264" w:type="dxa"/>
            <w:tcBorders>
              <w:top w:val="nil"/>
              <w:left w:val="nil"/>
              <w:bottom w:val="nil"/>
              <w:right w:val="nil"/>
            </w:tcBorders>
            <w:shd w:val="clear" w:color="auto" w:fill="auto"/>
            <w:vAlign w:val="center"/>
          </w:tcPr>
          <w:p w14:paraId="430383E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-0.639***</w:t>
            </w:r>
          </w:p>
        </w:tc>
        <w:tc>
          <w:tcPr>
            <w:tcW w:w="1196" w:type="dxa"/>
            <w:tcBorders>
              <w:top w:val="nil"/>
              <w:left w:val="nil"/>
              <w:bottom w:val="nil"/>
              <w:right w:val="nil"/>
            </w:tcBorders>
            <w:shd w:val="clear" w:color="auto" w:fill="auto"/>
            <w:vAlign w:val="center"/>
          </w:tcPr>
          <w:p w14:paraId="78E6F9F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-0.397**</w:t>
            </w:r>
          </w:p>
        </w:tc>
        <w:tc>
          <w:tcPr>
            <w:tcW w:w="1174" w:type="dxa"/>
            <w:tcBorders>
              <w:top w:val="nil"/>
              <w:left w:val="nil"/>
              <w:bottom w:val="nil"/>
              <w:right w:val="nil"/>
            </w:tcBorders>
            <w:shd w:val="clear" w:color="auto" w:fill="auto"/>
            <w:vAlign w:val="center"/>
          </w:tcPr>
          <w:p w14:paraId="501097E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-0.219*</w:t>
            </w:r>
          </w:p>
        </w:tc>
        <w:tc>
          <w:tcPr>
            <w:tcW w:w="1170" w:type="dxa"/>
            <w:tcBorders>
              <w:top w:val="nil"/>
              <w:left w:val="nil"/>
              <w:bottom w:val="nil"/>
              <w:right w:val="nil"/>
            </w:tcBorders>
            <w:shd w:val="clear" w:color="auto" w:fill="auto"/>
            <w:vAlign w:val="center"/>
          </w:tcPr>
          <w:p w14:paraId="279F651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-0.810***</w:t>
            </w:r>
          </w:p>
        </w:tc>
        <w:tc>
          <w:tcPr>
            <w:tcW w:w="1166" w:type="dxa"/>
            <w:tcBorders>
              <w:top w:val="nil"/>
              <w:left w:val="nil"/>
              <w:bottom w:val="nil"/>
              <w:right w:val="nil"/>
            </w:tcBorders>
            <w:shd w:val="clear" w:color="auto" w:fill="auto"/>
            <w:vAlign w:val="center"/>
          </w:tcPr>
          <w:p w14:paraId="28F5C85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-0.799***</w:t>
            </w:r>
          </w:p>
        </w:tc>
      </w:tr>
      <w:tr w:rsidR="00727A9B" w:rsidRPr="006F5D71" w14:paraId="64EB6ACB" w14:textId="77777777" w:rsidTr="004C7443">
        <w:trPr>
          <w:trHeight w:val="222"/>
          <w:jc w:val="center"/>
        </w:trPr>
        <w:tc>
          <w:tcPr>
            <w:tcW w:w="3870" w:type="dxa"/>
            <w:tcBorders>
              <w:top w:val="nil"/>
              <w:left w:val="nil"/>
              <w:bottom w:val="nil"/>
              <w:right w:val="nil"/>
            </w:tcBorders>
            <w:shd w:val="clear" w:color="auto" w:fill="auto"/>
            <w:vAlign w:val="center"/>
          </w:tcPr>
          <w:p w14:paraId="4D4AA637"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43D75EA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(0.091)</w:t>
            </w:r>
          </w:p>
        </w:tc>
        <w:tc>
          <w:tcPr>
            <w:tcW w:w="1264" w:type="dxa"/>
            <w:tcBorders>
              <w:top w:val="nil"/>
              <w:left w:val="nil"/>
              <w:bottom w:val="nil"/>
              <w:right w:val="nil"/>
            </w:tcBorders>
            <w:shd w:val="clear" w:color="auto" w:fill="auto"/>
            <w:vAlign w:val="center"/>
          </w:tcPr>
          <w:p w14:paraId="3856076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(0.088)</w:t>
            </w:r>
          </w:p>
        </w:tc>
        <w:tc>
          <w:tcPr>
            <w:tcW w:w="1196" w:type="dxa"/>
            <w:tcBorders>
              <w:top w:val="nil"/>
              <w:left w:val="nil"/>
              <w:bottom w:val="nil"/>
              <w:right w:val="nil"/>
            </w:tcBorders>
            <w:shd w:val="clear" w:color="auto" w:fill="auto"/>
            <w:vAlign w:val="center"/>
          </w:tcPr>
          <w:p w14:paraId="5765D34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(0.171)</w:t>
            </w:r>
          </w:p>
        </w:tc>
        <w:tc>
          <w:tcPr>
            <w:tcW w:w="1174" w:type="dxa"/>
            <w:tcBorders>
              <w:top w:val="nil"/>
              <w:left w:val="nil"/>
              <w:bottom w:val="nil"/>
              <w:right w:val="nil"/>
            </w:tcBorders>
            <w:shd w:val="clear" w:color="auto" w:fill="auto"/>
            <w:vAlign w:val="center"/>
          </w:tcPr>
          <w:p w14:paraId="7866353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(0.088)</w:t>
            </w:r>
          </w:p>
        </w:tc>
        <w:tc>
          <w:tcPr>
            <w:tcW w:w="1170" w:type="dxa"/>
            <w:tcBorders>
              <w:top w:val="nil"/>
              <w:left w:val="nil"/>
              <w:bottom w:val="nil"/>
              <w:right w:val="nil"/>
            </w:tcBorders>
            <w:shd w:val="clear" w:color="auto" w:fill="auto"/>
            <w:vAlign w:val="center"/>
          </w:tcPr>
          <w:p w14:paraId="041529B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(0.190)</w:t>
            </w:r>
          </w:p>
        </w:tc>
        <w:tc>
          <w:tcPr>
            <w:tcW w:w="1166" w:type="dxa"/>
            <w:tcBorders>
              <w:top w:val="nil"/>
              <w:left w:val="nil"/>
              <w:bottom w:val="nil"/>
              <w:right w:val="nil"/>
            </w:tcBorders>
            <w:shd w:val="clear" w:color="auto" w:fill="auto"/>
            <w:vAlign w:val="center"/>
          </w:tcPr>
          <w:p w14:paraId="3AEE597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(0.202)</w:t>
            </w:r>
          </w:p>
        </w:tc>
      </w:tr>
      <w:tr w:rsidR="00727A9B" w:rsidRPr="006F5D71" w14:paraId="430C3091" w14:textId="77777777" w:rsidTr="004C7443">
        <w:trPr>
          <w:trHeight w:val="222"/>
          <w:jc w:val="center"/>
        </w:trPr>
        <w:tc>
          <w:tcPr>
            <w:tcW w:w="3870" w:type="dxa"/>
            <w:tcBorders>
              <w:top w:val="nil"/>
              <w:left w:val="nil"/>
              <w:bottom w:val="nil"/>
              <w:right w:val="nil"/>
            </w:tcBorders>
            <w:shd w:val="clear" w:color="auto" w:fill="auto"/>
            <w:vAlign w:val="center"/>
          </w:tcPr>
          <w:p w14:paraId="366CE6E8"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Equity Ownership</w:t>
            </w:r>
          </w:p>
        </w:tc>
        <w:tc>
          <w:tcPr>
            <w:tcW w:w="1170" w:type="dxa"/>
            <w:tcBorders>
              <w:top w:val="nil"/>
              <w:left w:val="nil"/>
              <w:bottom w:val="nil"/>
              <w:right w:val="nil"/>
            </w:tcBorders>
            <w:shd w:val="clear" w:color="auto" w:fill="auto"/>
            <w:vAlign w:val="center"/>
          </w:tcPr>
          <w:p w14:paraId="0AE3211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0.216***</w:t>
            </w:r>
          </w:p>
        </w:tc>
        <w:tc>
          <w:tcPr>
            <w:tcW w:w="1264" w:type="dxa"/>
            <w:tcBorders>
              <w:top w:val="nil"/>
              <w:left w:val="nil"/>
              <w:bottom w:val="nil"/>
              <w:right w:val="nil"/>
            </w:tcBorders>
            <w:shd w:val="clear" w:color="auto" w:fill="auto"/>
            <w:vAlign w:val="center"/>
          </w:tcPr>
          <w:p w14:paraId="4679E5F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-0.233***</w:t>
            </w:r>
          </w:p>
        </w:tc>
        <w:tc>
          <w:tcPr>
            <w:tcW w:w="1196" w:type="dxa"/>
            <w:tcBorders>
              <w:top w:val="nil"/>
              <w:left w:val="nil"/>
              <w:bottom w:val="nil"/>
              <w:right w:val="nil"/>
            </w:tcBorders>
            <w:shd w:val="clear" w:color="auto" w:fill="auto"/>
            <w:vAlign w:val="center"/>
          </w:tcPr>
          <w:p w14:paraId="4D77464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0.445**</w:t>
            </w:r>
          </w:p>
        </w:tc>
        <w:tc>
          <w:tcPr>
            <w:tcW w:w="1174" w:type="dxa"/>
            <w:tcBorders>
              <w:top w:val="nil"/>
              <w:left w:val="nil"/>
              <w:bottom w:val="nil"/>
              <w:right w:val="nil"/>
            </w:tcBorders>
            <w:shd w:val="clear" w:color="auto" w:fill="auto"/>
            <w:vAlign w:val="center"/>
          </w:tcPr>
          <w:p w14:paraId="73D0426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0.310*</w:t>
            </w:r>
          </w:p>
        </w:tc>
        <w:tc>
          <w:tcPr>
            <w:tcW w:w="1170" w:type="dxa"/>
            <w:tcBorders>
              <w:top w:val="nil"/>
              <w:left w:val="nil"/>
              <w:bottom w:val="nil"/>
              <w:right w:val="nil"/>
            </w:tcBorders>
            <w:shd w:val="clear" w:color="auto" w:fill="auto"/>
            <w:vAlign w:val="center"/>
          </w:tcPr>
          <w:p w14:paraId="179021C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-1.325***</w:t>
            </w:r>
          </w:p>
        </w:tc>
        <w:tc>
          <w:tcPr>
            <w:tcW w:w="1166" w:type="dxa"/>
            <w:tcBorders>
              <w:top w:val="nil"/>
              <w:left w:val="nil"/>
              <w:bottom w:val="nil"/>
              <w:right w:val="nil"/>
            </w:tcBorders>
            <w:shd w:val="clear" w:color="auto" w:fill="auto"/>
            <w:vAlign w:val="center"/>
          </w:tcPr>
          <w:p w14:paraId="0F6C267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-1.513***</w:t>
            </w:r>
          </w:p>
        </w:tc>
      </w:tr>
      <w:tr w:rsidR="00727A9B" w:rsidRPr="006F5D71" w14:paraId="212E1D2A" w14:textId="77777777" w:rsidTr="004C7443">
        <w:trPr>
          <w:trHeight w:val="234"/>
          <w:jc w:val="center"/>
        </w:trPr>
        <w:tc>
          <w:tcPr>
            <w:tcW w:w="3870" w:type="dxa"/>
            <w:tcBorders>
              <w:top w:val="nil"/>
              <w:left w:val="nil"/>
              <w:bottom w:val="nil"/>
              <w:right w:val="nil"/>
            </w:tcBorders>
            <w:shd w:val="clear" w:color="auto" w:fill="auto"/>
            <w:vAlign w:val="center"/>
          </w:tcPr>
          <w:p w14:paraId="45B01141"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0E92B7A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(0.033)</w:t>
            </w:r>
          </w:p>
        </w:tc>
        <w:tc>
          <w:tcPr>
            <w:tcW w:w="1264" w:type="dxa"/>
            <w:tcBorders>
              <w:top w:val="nil"/>
              <w:left w:val="nil"/>
              <w:bottom w:val="nil"/>
              <w:right w:val="nil"/>
            </w:tcBorders>
            <w:shd w:val="clear" w:color="auto" w:fill="auto"/>
            <w:vAlign w:val="center"/>
          </w:tcPr>
          <w:p w14:paraId="2D9BDDE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(0.043)</w:t>
            </w:r>
          </w:p>
        </w:tc>
        <w:tc>
          <w:tcPr>
            <w:tcW w:w="1196" w:type="dxa"/>
            <w:tcBorders>
              <w:top w:val="nil"/>
              <w:left w:val="nil"/>
              <w:bottom w:val="nil"/>
              <w:right w:val="nil"/>
            </w:tcBorders>
            <w:shd w:val="clear" w:color="auto" w:fill="auto"/>
            <w:vAlign w:val="center"/>
          </w:tcPr>
          <w:p w14:paraId="4F9DB4A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(0.168)</w:t>
            </w:r>
          </w:p>
        </w:tc>
        <w:tc>
          <w:tcPr>
            <w:tcW w:w="1174" w:type="dxa"/>
            <w:tcBorders>
              <w:top w:val="nil"/>
              <w:left w:val="nil"/>
              <w:bottom w:val="nil"/>
              <w:right w:val="nil"/>
            </w:tcBorders>
            <w:shd w:val="clear" w:color="auto" w:fill="auto"/>
            <w:vAlign w:val="center"/>
          </w:tcPr>
          <w:p w14:paraId="70281F3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(0.119)</w:t>
            </w:r>
          </w:p>
        </w:tc>
        <w:tc>
          <w:tcPr>
            <w:tcW w:w="1170" w:type="dxa"/>
            <w:tcBorders>
              <w:top w:val="nil"/>
              <w:left w:val="nil"/>
              <w:bottom w:val="nil"/>
              <w:right w:val="nil"/>
            </w:tcBorders>
            <w:shd w:val="clear" w:color="auto" w:fill="auto"/>
            <w:vAlign w:val="center"/>
          </w:tcPr>
          <w:p w14:paraId="4E41814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(0.466)</w:t>
            </w:r>
          </w:p>
        </w:tc>
        <w:tc>
          <w:tcPr>
            <w:tcW w:w="1166" w:type="dxa"/>
            <w:tcBorders>
              <w:top w:val="nil"/>
              <w:left w:val="nil"/>
              <w:bottom w:val="nil"/>
              <w:right w:val="nil"/>
            </w:tcBorders>
            <w:shd w:val="clear" w:color="auto" w:fill="auto"/>
            <w:vAlign w:val="center"/>
          </w:tcPr>
          <w:p w14:paraId="420A536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(0.501)</w:t>
            </w:r>
          </w:p>
        </w:tc>
      </w:tr>
      <w:tr w:rsidR="00727A9B" w:rsidRPr="006F5D71" w14:paraId="396094FD" w14:textId="77777777" w:rsidTr="004C7443">
        <w:trPr>
          <w:trHeight w:val="234"/>
          <w:jc w:val="center"/>
        </w:trPr>
        <w:tc>
          <w:tcPr>
            <w:tcW w:w="3870" w:type="dxa"/>
            <w:tcBorders>
              <w:top w:val="nil"/>
              <w:left w:val="nil"/>
              <w:bottom w:val="nil"/>
              <w:right w:val="nil"/>
            </w:tcBorders>
            <w:shd w:val="clear" w:color="auto" w:fill="auto"/>
            <w:vAlign w:val="center"/>
          </w:tcPr>
          <w:p w14:paraId="01219513" w14:textId="77777777" w:rsidR="00C80543" w:rsidRPr="006F5D71" w:rsidRDefault="00C80543" w:rsidP="00163B9C">
            <w:pPr>
              <w:widowControl w:val="0"/>
              <w:autoSpaceDE w:val="0"/>
              <w:autoSpaceDN w:val="0"/>
              <w:adjustRightInd w:val="0"/>
              <w:spacing w:after="0" w:line="240" w:lineRule="auto"/>
              <w:rPr>
                <w:color w:val="000000" w:themeColor="text1"/>
                <w:szCs w:val="24"/>
              </w:rPr>
            </w:pPr>
            <w:r w:rsidRPr="006F5D71">
              <w:rPr>
                <w:i/>
                <w:iCs/>
                <w:color w:val="000000" w:themeColor="text1"/>
                <w:szCs w:val="24"/>
              </w:rPr>
              <w:t>Asset</w:t>
            </w:r>
            <w:r w:rsidR="00163B9C">
              <w:rPr>
                <w:i/>
                <w:iCs/>
                <w:color w:val="000000" w:themeColor="text1"/>
                <w:szCs w:val="24"/>
              </w:rPr>
              <w:t>-s</w:t>
            </w:r>
            <w:r w:rsidRPr="006F5D71">
              <w:rPr>
                <w:i/>
                <w:iCs/>
                <w:color w:val="000000" w:themeColor="text1"/>
                <w:szCs w:val="24"/>
              </w:rPr>
              <w:t>eeking Motive</w:t>
            </w:r>
          </w:p>
        </w:tc>
        <w:tc>
          <w:tcPr>
            <w:tcW w:w="1170" w:type="dxa"/>
            <w:tcBorders>
              <w:top w:val="nil"/>
              <w:left w:val="nil"/>
              <w:bottom w:val="nil"/>
              <w:right w:val="nil"/>
            </w:tcBorders>
            <w:shd w:val="clear" w:color="auto" w:fill="auto"/>
            <w:vAlign w:val="center"/>
          </w:tcPr>
          <w:p w14:paraId="0060B1F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0.319*</w:t>
            </w:r>
          </w:p>
        </w:tc>
        <w:tc>
          <w:tcPr>
            <w:tcW w:w="1264" w:type="dxa"/>
            <w:tcBorders>
              <w:top w:val="nil"/>
              <w:left w:val="nil"/>
              <w:bottom w:val="nil"/>
              <w:right w:val="nil"/>
            </w:tcBorders>
            <w:shd w:val="clear" w:color="auto" w:fill="auto"/>
            <w:vAlign w:val="center"/>
          </w:tcPr>
          <w:p w14:paraId="18978C0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0.362*</w:t>
            </w:r>
          </w:p>
        </w:tc>
        <w:tc>
          <w:tcPr>
            <w:tcW w:w="1196" w:type="dxa"/>
            <w:tcBorders>
              <w:top w:val="nil"/>
              <w:left w:val="nil"/>
              <w:bottom w:val="nil"/>
              <w:right w:val="nil"/>
            </w:tcBorders>
            <w:shd w:val="clear" w:color="auto" w:fill="auto"/>
            <w:vAlign w:val="center"/>
          </w:tcPr>
          <w:p w14:paraId="08E391D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0.481**</w:t>
            </w:r>
          </w:p>
        </w:tc>
        <w:tc>
          <w:tcPr>
            <w:tcW w:w="1174" w:type="dxa"/>
            <w:tcBorders>
              <w:top w:val="nil"/>
              <w:left w:val="nil"/>
              <w:bottom w:val="nil"/>
              <w:right w:val="nil"/>
            </w:tcBorders>
            <w:shd w:val="clear" w:color="auto" w:fill="auto"/>
            <w:vAlign w:val="center"/>
          </w:tcPr>
          <w:p w14:paraId="1D5FAAE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0.449**</w:t>
            </w:r>
          </w:p>
        </w:tc>
        <w:tc>
          <w:tcPr>
            <w:tcW w:w="1170" w:type="dxa"/>
            <w:tcBorders>
              <w:top w:val="nil"/>
              <w:left w:val="nil"/>
              <w:bottom w:val="nil"/>
              <w:right w:val="nil"/>
            </w:tcBorders>
            <w:shd w:val="clear" w:color="auto" w:fill="auto"/>
            <w:vAlign w:val="center"/>
          </w:tcPr>
          <w:p w14:paraId="7A2BE45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-0.394*</w:t>
            </w:r>
          </w:p>
        </w:tc>
        <w:tc>
          <w:tcPr>
            <w:tcW w:w="1166" w:type="dxa"/>
            <w:tcBorders>
              <w:top w:val="nil"/>
              <w:left w:val="nil"/>
              <w:bottom w:val="nil"/>
              <w:right w:val="nil"/>
            </w:tcBorders>
            <w:shd w:val="clear" w:color="auto" w:fill="auto"/>
            <w:vAlign w:val="center"/>
          </w:tcPr>
          <w:p w14:paraId="00E3AC9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-0.318*</w:t>
            </w:r>
          </w:p>
        </w:tc>
      </w:tr>
      <w:tr w:rsidR="00727A9B" w:rsidRPr="006F5D71" w14:paraId="0A88D387" w14:textId="77777777" w:rsidTr="004C7443">
        <w:trPr>
          <w:trHeight w:val="234"/>
          <w:jc w:val="center"/>
        </w:trPr>
        <w:tc>
          <w:tcPr>
            <w:tcW w:w="3870" w:type="dxa"/>
            <w:tcBorders>
              <w:top w:val="nil"/>
              <w:left w:val="nil"/>
              <w:bottom w:val="nil"/>
              <w:right w:val="nil"/>
            </w:tcBorders>
            <w:shd w:val="clear" w:color="auto" w:fill="auto"/>
            <w:vAlign w:val="center"/>
          </w:tcPr>
          <w:p w14:paraId="494084FA"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4B3A52A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(0.148)</w:t>
            </w:r>
          </w:p>
        </w:tc>
        <w:tc>
          <w:tcPr>
            <w:tcW w:w="1264" w:type="dxa"/>
            <w:tcBorders>
              <w:top w:val="nil"/>
              <w:left w:val="nil"/>
              <w:bottom w:val="nil"/>
              <w:right w:val="nil"/>
            </w:tcBorders>
            <w:shd w:val="clear" w:color="auto" w:fill="auto"/>
            <w:vAlign w:val="center"/>
          </w:tcPr>
          <w:p w14:paraId="178260E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(0.162)</w:t>
            </w:r>
          </w:p>
        </w:tc>
        <w:tc>
          <w:tcPr>
            <w:tcW w:w="1196" w:type="dxa"/>
            <w:tcBorders>
              <w:top w:val="nil"/>
              <w:left w:val="nil"/>
              <w:bottom w:val="nil"/>
              <w:right w:val="nil"/>
            </w:tcBorders>
            <w:shd w:val="clear" w:color="auto" w:fill="auto"/>
            <w:vAlign w:val="center"/>
          </w:tcPr>
          <w:p w14:paraId="7FCB941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(0.175)</w:t>
            </w:r>
          </w:p>
        </w:tc>
        <w:tc>
          <w:tcPr>
            <w:tcW w:w="1174" w:type="dxa"/>
            <w:tcBorders>
              <w:top w:val="nil"/>
              <w:left w:val="nil"/>
              <w:bottom w:val="nil"/>
              <w:right w:val="nil"/>
            </w:tcBorders>
            <w:shd w:val="clear" w:color="auto" w:fill="auto"/>
            <w:vAlign w:val="center"/>
          </w:tcPr>
          <w:p w14:paraId="3FFE30D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(0.159)</w:t>
            </w:r>
          </w:p>
        </w:tc>
        <w:tc>
          <w:tcPr>
            <w:tcW w:w="1170" w:type="dxa"/>
            <w:tcBorders>
              <w:top w:val="nil"/>
              <w:left w:val="nil"/>
              <w:bottom w:val="nil"/>
              <w:right w:val="nil"/>
            </w:tcBorders>
            <w:shd w:val="clear" w:color="auto" w:fill="auto"/>
            <w:vAlign w:val="center"/>
          </w:tcPr>
          <w:p w14:paraId="15A3ADC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(0.209)</w:t>
            </w:r>
          </w:p>
        </w:tc>
        <w:tc>
          <w:tcPr>
            <w:tcW w:w="1166" w:type="dxa"/>
            <w:tcBorders>
              <w:top w:val="nil"/>
              <w:left w:val="nil"/>
              <w:bottom w:val="nil"/>
              <w:right w:val="nil"/>
            </w:tcBorders>
            <w:shd w:val="clear" w:color="auto" w:fill="auto"/>
            <w:vAlign w:val="center"/>
          </w:tcPr>
          <w:p w14:paraId="434D60D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(0.160)</w:t>
            </w:r>
          </w:p>
        </w:tc>
      </w:tr>
      <w:tr w:rsidR="00727A9B" w:rsidRPr="006F5D71" w14:paraId="621CABB3" w14:textId="77777777" w:rsidTr="004C7443">
        <w:trPr>
          <w:trHeight w:val="222"/>
          <w:jc w:val="center"/>
        </w:trPr>
        <w:tc>
          <w:tcPr>
            <w:tcW w:w="3870" w:type="dxa"/>
            <w:tcBorders>
              <w:top w:val="nil"/>
              <w:left w:val="nil"/>
              <w:bottom w:val="nil"/>
              <w:right w:val="nil"/>
            </w:tcBorders>
            <w:shd w:val="clear" w:color="auto" w:fill="auto"/>
            <w:vAlign w:val="center"/>
          </w:tcPr>
          <w:p w14:paraId="3E279718"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Parent Size</w:t>
            </w:r>
          </w:p>
        </w:tc>
        <w:tc>
          <w:tcPr>
            <w:tcW w:w="1170" w:type="dxa"/>
            <w:tcBorders>
              <w:top w:val="nil"/>
              <w:left w:val="nil"/>
              <w:bottom w:val="nil"/>
              <w:right w:val="nil"/>
            </w:tcBorders>
            <w:shd w:val="clear" w:color="auto" w:fill="auto"/>
            <w:vAlign w:val="center"/>
          </w:tcPr>
          <w:p w14:paraId="0FDC3E4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-4.626***</w:t>
            </w:r>
          </w:p>
        </w:tc>
        <w:tc>
          <w:tcPr>
            <w:tcW w:w="1264" w:type="dxa"/>
            <w:tcBorders>
              <w:top w:val="nil"/>
              <w:left w:val="nil"/>
              <w:bottom w:val="nil"/>
              <w:right w:val="nil"/>
            </w:tcBorders>
            <w:shd w:val="clear" w:color="auto" w:fill="auto"/>
            <w:vAlign w:val="center"/>
          </w:tcPr>
          <w:p w14:paraId="0F4DD30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-4.969***</w:t>
            </w:r>
          </w:p>
        </w:tc>
        <w:tc>
          <w:tcPr>
            <w:tcW w:w="1196" w:type="dxa"/>
            <w:tcBorders>
              <w:top w:val="nil"/>
              <w:left w:val="nil"/>
              <w:bottom w:val="nil"/>
              <w:right w:val="nil"/>
            </w:tcBorders>
            <w:shd w:val="clear" w:color="auto" w:fill="auto"/>
            <w:vAlign w:val="center"/>
          </w:tcPr>
          <w:p w14:paraId="37A4A37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-6.442***</w:t>
            </w:r>
          </w:p>
        </w:tc>
        <w:tc>
          <w:tcPr>
            <w:tcW w:w="1174" w:type="dxa"/>
            <w:tcBorders>
              <w:top w:val="nil"/>
              <w:left w:val="nil"/>
              <w:bottom w:val="nil"/>
              <w:right w:val="nil"/>
            </w:tcBorders>
            <w:shd w:val="clear" w:color="auto" w:fill="auto"/>
            <w:vAlign w:val="center"/>
          </w:tcPr>
          <w:p w14:paraId="421F8E0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-5.570***</w:t>
            </w:r>
          </w:p>
        </w:tc>
        <w:tc>
          <w:tcPr>
            <w:tcW w:w="1170" w:type="dxa"/>
            <w:tcBorders>
              <w:top w:val="nil"/>
              <w:left w:val="nil"/>
              <w:bottom w:val="nil"/>
              <w:right w:val="nil"/>
            </w:tcBorders>
            <w:shd w:val="clear" w:color="auto" w:fill="auto"/>
            <w:vAlign w:val="center"/>
          </w:tcPr>
          <w:p w14:paraId="4F988A2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-4.633***</w:t>
            </w:r>
          </w:p>
        </w:tc>
        <w:tc>
          <w:tcPr>
            <w:tcW w:w="1166" w:type="dxa"/>
            <w:tcBorders>
              <w:top w:val="nil"/>
              <w:left w:val="nil"/>
              <w:bottom w:val="nil"/>
              <w:right w:val="nil"/>
            </w:tcBorders>
            <w:shd w:val="clear" w:color="auto" w:fill="auto"/>
            <w:vAlign w:val="center"/>
          </w:tcPr>
          <w:p w14:paraId="29F9757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-6.199***</w:t>
            </w:r>
          </w:p>
        </w:tc>
      </w:tr>
      <w:tr w:rsidR="00727A9B" w:rsidRPr="006F5D71" w14:paraId="13BAE99C" w14:textId="77777777" w:rsidTr="004C7443">
        <w:trPr>
          <w:trHeight w:val="234"/>
          <w:jc w:val="center"/>
        </w:trPr>
        <w:tc>
          <w:tcPr>
            <w:tcW w:w="3870" w:type="dxa"/>
            <w:tcBorders>
              <w:top w:val="nil"/>
              <w:left w:val="nil"/>
              <w:bottom w:val="nil"/>
              <w:right w:val="nil"/>
            </w:tcBorders>
            <w:shd w:val="clear" w:color="auto" w:fill="auto"/>
            <w:vAlign w:val="center"/>
          </w:tcPr>
          <w:p w14:paraId="00F3DED4"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26B8149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(0.367)</w:t>
            </w:r>
          </w:p>
        </w:tc>
        <w:tc>
          <w:tcPr>
            <w:tcW w:w="1264" w:type="dxa"/>
            <w:tcBorders>
              <w:top w:val="nil"/>
              <w:left w:val="nil"/>
              <w:bottom w:val="nil"/>
              <w:right w:val="nil"/>
            </w:tcBorders>
            <w:shd w:val="clear" w:color="auto" w:fill="auto"/>
            <w:vAlign w:val="center"/>
          </w:tcPr>
          <w:p w14:paraId="7EFB2A8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(0.388)</w:t>
            </w:r>
          </w:p>
        </w:tc>
        <w:tc>
          <w:tcPr>
            <w:tcW w:w="1196" w:type="dxa"/>
            <w:tcBorders>
              <w:top w:val="nil"/>
              <w:left w:val="nil"/>
              <w:bottom w:val="nil"/>
              <w:right w:val="nil"/>
            </w:tcBorders>
            <w:shd w:val="clear" w:color="auto" w:fill="auto"/>
            <w:vAlign w:val="center"/>
          </w:tcPr>
          <w:p w14:paraId="049AF5B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(0.596)</w:t>
            </w:r>
          </w:p>
        </w:tc>
        <w:tc>
          <w:tcPr>
            <w:tcW w:w="1174" w:type="dxa"/>
            <w:tcBorders>
              <w:top w:val="nil"/>
              <w:left w:val="nil"/>
              <w:bottom w:val="nil"/>
              <w:right w:val="nil"/>
            </w:tcBorders>
            <w:shd w:val="clear" w:color="auto" w:fill="auto"/>
            <w:vAlign w:val="center"/>
          </w:tcPr>
          <w:p w14:paraId="47D2258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(0.638)</w:t>
            </w:r>
          </w:p>
        </w:tc>
        <w:tc>
          <w:tcPr>
            <w:tcW w:w="1170" w:type="dxa"/>
            <w:tcBorders>
              <w:top w:val="nil"/>
              <w:left w:val="nil"/>
              <w:bottom w:val="nil"/>
              <w:right w:val="nil"/>
            </w:tcBorders>
            <w:shd w:val="clear" w:color="auto" w:fill="auto"/>
            <w:vAlign w:val="center"/>
          </w:tcPr>
          <w:p w14:paraId="63F7A6E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(1.136)</w:t>
            </w:r>
          </w:p>
        </w:tc>
        <w:tc>
          <w:tcPr>
            <w:tcW w:w="1166" w:type="dxa"/>
            <w:tcBorders>
              <w:top w:val="nil"/>
              <w:left w:val="nil"/>
              <w:bottom w:val="nil"/>
              <w:right w:val="nil"/>
            </w:tcBorders>
            <w:shd w:val="clear" w:color="auto" w:fill="auto"/>
            <w:vAlign w:val="center"/>
          </w:tcPr>
          <w:p w14:paraId="2EC9EDF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(1.510)</w:t>
            </w:r>
          </w:p>
        </w:tc>
      </w:tr>
      <w:tr w:rsidR="00727A9B" w:rsidRPr="006F5D71" w14:paraId="06A5BB39" w14:textId="77777777" w:rsidTr="004C7443">
        <w:trPr>
          <w:trHeight w:val="234"/>
          <w:jc w:val="center"/>
        </w:trPr>
        <w:tc>
          <w:tcPr>
            <w:tcW w:w="3870" w:type="dxa"/>
            <w:tcBorders>
              <w:top w:val="nil"/>
              <w:left w:val="nil"/>
              <w:bottom w:val="nil"/>
              <w:right w:val="nil"/>
            </w:tcBorders>
            <w:shd w:val="clear" w:color="auto" w:fill="auto"/>
            <w:vAlign w:val="center"/>
          </w:tcPr>
          <w:p w14:paraId="04A0C717"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Parent Experience in American Region</w:t>
            </w:r>
          </w:p>
        </w:tc>
        <w:tc>
          <w:tcPr>
            <w:tcW w:w="1170" w:type="dxa"/>
            <w:tcBorders>
              <w:top w:val="nil"/>
              <w:left w:val="nil"/>
              <w:bottom w:val="nil"/>
              <w:right w:val="nil"/>
            </w:tcBorders>
            <w:shd w:val="clear" w:color="auto" w:fill="auto"/>
            <w:vAlign w:val="center"/>
          </w:tcPr>
          <w:p w14:paraId="2702606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0.057**</w:t>
            </w:r>
          </w:p>
        </w:tc>
        <w:tc>
          <w:tcPr>
            <w:tcW w:w="1264" w:type="dxa"/>
            <w:tcBorders>
              <w:top w:val="nil"/>
              <w:left w:val="nil"/>
              <w:bottom w:val="nil"/>
              <w:right w:val="nil"/>
            </w:tcBorders>
            <w:shd w:val="clear" w:color="auto" w:fill="auto"/>
            <w:vAlign w:val="center"/>
          </w:tcPr>
          <w:p w14:paraId="2139E96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-0.049*</w:t>
            </w:r>
          </w:p>
        </w:tc>
        <w:tc>
          <w:tcPr>
            <w:tcW w:w="1196" w:type="dxa"/>
            <w:tcBorders>
              <w:top w:val="nil"/>
              <w:left w:val="nil"/>
              <w:bottom w:val="nil"/>
              <w:right w:val="nil"/>
            </w:tcBorders>
            <w:shd w:val="clear" w:color="auto" w:fill="auto"/>
            <w:vAlign w:val="center"/>
          </w:tcPr>
          <w:p w14:paraId="45BACF0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-0.159*</w:t>
            </w:r>
          </w:p>
        </w:tc>
        <w:tc>
          <w:tcPr>
            <w:tcW w:w="1174" w:type="dxa"/>
            <w:tcBorders>
              <w:top w:val="nil"/>
              <w:left w:val="nil"/>
              <w:bottom w:val="nil"/>
              <w:right w:val="nil"/>
            </w:tcBorders>
            <w:shd w:val="clear" w:color="auto" w:fill="auto"/>
            <w:vAlign w:val="center"/>
          </w:tcPr>
          <w:p w14:paraId="2AA63B5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-0.168*</w:t>
            </w:r>
          </w:p>
        </w:tc>
        <w:tc>
          <w:tcPr>
            <w:tcW w:w="1170" w:type="dxa"/>
            <w:tcBorders>
              <w:top w:val="nil"/>
              <w:left w:val="nil"/>
              <w:bottom w:val="nil"/>
              <w:right w:val="nil"/>
            </w:tcBorders>
            <w:shd w:val="clear" w:color="auto" w:fill="auto"/>
            <w:vAlign w:val="center"/>
          </w:tcPr>
          <w:p w14:paraId="463FE1C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p>
        </w:tc>
        <w:tc>
          <w:tcPr>
            <w:tcW w:w="1166" w:type="dxa"/>
            <w:tcBorders>
              <w:top w:val="nil"/>
              <w:left w:val="nil"/>
              <w:bottom w:val="nil"/>
              <w:right w:val="nil"/>
            </w:tcBorders>
            <w:shd w:val="clear" w:color="auto" w:fill="auto"/>
            <w:vAlign w:val="center"/>
          </w:tcPr>
          <w:p w14:paraId="1BC599B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p>
        </w:tc>
      </w:tr>
      <w:tr w:rsidR="00727A9B" w:rsidRPr="006F5D71" w14:paraId="28426E58" w14:textId="77777777" w:rsidTr="004C7443">
        <w:trPr>
          <w:trHeight w:val="234"/>
          <w:jc w:val="center"/>
        </w:trPr>
        <w:tc>
          <w:tcPr>
            <w:tcW w:w="3870" w:type="dxa"/>
            <w:tcBorders>
              <w:top w:val="nil"/>
              <w:left w:val="nil"/>
              <w:bottom w:val="nil"/>
              <w:right w:val="nil"/>
            </w:tcBorders>
            <w:shd w:val="clear" w:color="auto" w:fill="auto"/>
            <w:vAlign w:val="center"/>
          </w:tcPr>
          <w:p w14:paraId="1F0C3BB9"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335BDCA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(0.026)</w:t>
            </w:r>
          </w:p>
        </w:tc>
        <w:tc>
          <w:tcPr>
            <w:tcW w:w="1264" w:type="dxa"/>
            <w:tcBorders>
              <w:top w:val="nil"/>
              <w:left w:val="nil"/>
              <w:bottom w:val="nil"/>
              <w:right w:val="nil"/>
            </w:tcBorders>
            <w:shd w:val="clear" w:color="auto" w:fill="auto"/>
            <w:vAlign w:val="center"/>
          </w:tcPr>
          <w:p w14:paraId="662CF89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(0.024)</w:t>
            </w:r>
          </w:p>
        </w:tc>
        <w:tc>
          <w:tcPr>
            <w:tcW w:w="1196" w:type="dxa"/>
            <w:tcBorders>
              <w:top w:val="nil"/>
              <w:left w:val="nil"/>
              <w:bottom w:val="nil"/>
              <w:right w:val="nil"/>
            </w:tcBorders>
            <w:shd w:val="clear" w:color="auto" w:fill="auto"/>
            <w:vAlign w:val="center"/>
          </w:tcPr>
          <w:p w14:paraId="66489CD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(0.087)</w:t>
            </w:r>
          </w:p>
        </w:tc>
        <w:tc>
          <w:tcPr>
            <w:tcW w:w="1174" w:type="dxa"/>
            <w:tcBorders>
              <w:top w:val="nil"/>
              <w:left w:val="nil"/>
              <w:bottom w:val="nil"/>
              <w:right w:val="nil"/>
            </w:tcBorders>
            <w:shd w:val="clear" w:color="auto" w:fill="auto"/>
            <w:vAlign w:val="center"/>
          </w:tcPr>
          <w:p w14:paraId="0AB650A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(0.080)</w:t>
            </w:r>
          </w:p>
        </w:tc>
        <w:tc>
          <w:tcPr>
            <w:tcW w:w="1170" w:type="dxa"/>
            <w:tcBorders>
              <w:top w:val="nil"/>
              <w:left w:val="nil"/>
              <w:bottom w:val="nil"/>
              <w:right w:val="nil"/>
            </w:tcBorders>
            <w:shd w:val="clear" w:color="auto" w:fill="auto"/>
            <w:vAlign w:val="center"/>
          </w:tcPr>
          <w:p w14:paraId="0F41015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66" w:type="dxa"/>
            <w:tcBorders>
              <w:top w:val="nil"/>
              <w:left w:val="nil"/>
              <w:bottom w:val="nil"/>
              <w:right w:val="nil"/>
            </w:tcBorders>
            <w:shd w:val="clear" w:color="auto" w:fill="auto"/>
            <w:vAlign w:val="center"/>
          </w:tcPr>
          <w:p w14:paraId="4BDE3FC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r>
      <w:tr w:rsidR="00727A9B" w:rsidRPr="006F5D71" w14:paraId="71E29089" w14:textId="77777777" w:rsidTr="004C7443">
        <w:trPr>
          <w:trHeight w:val="234"/>
          <w:jc w:val="center"/>
        </w:trPr>
        <w:tc>
          <w:tcPr>
            <w:tcW w:w="3870" w:type="dxa"/>
            <w:tcBorders>
              <w:top w:val="nil"/>
              <w:left w:val="nil"/>
              <w:bottom w:val="nil"/>
              <w:right w:val="nil"/>
            </w:tcBorders>
            <w:shd w:val="clear" w:color="auto" w:fill="auto"/>
            <w:vAlign w:val="center"/>
          </w:tcPr>
          <w:p w14:paraId="178FFBC4"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Parent Experience in European Region</w:t>
            </w:r>
          </w:p>
        </w:tc>
        <w:tc>
          <w:tcPr>
            <w:tcW w:w="1170" w:type="dxa"/>
            <w:tcBorders>
              <w:top w:val="nil"/>
              <w:left w:val="nil"/>
              <w:bottom w:val="nil"/>
              <w:right w:val="nil"/>
            </w:tcBorders>
            <w:shd w:val="clear" w:color="auto" w:fill="auto"/>
            <w:vAlign w:val="center"/>
          </w:tcPr>
          <w:p w14:paraId="09BA40D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0.069*</w:t>
            </w:r>
          </w:p>
        </w:tc>
        <w:tc>
          <w:tcPr>
            <w:tcW w:w="1264" w:type="dxa"/>
            <w:tcBorders>
              <w:top w:val="nil"/>
              <w:left w:val="nil"/>
              <w:bottom w:val="nil"/>
              <w:right w:val="nil"/>
            </w:tcBorders>
            <w:shd w:val="clear" w:color="auto" w:fill="auto"/>
            <w:vAlign w:val="center"/>
          </w:tcPr>
          <w:p w14:paraId="4956E34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-0.080*</w:t>
            </w:r>
          </w:p>
        </w:tc>
        <w:tc>
          <w:tcPr>
            <w:tcW w:w="1196" w:type="dxa"/>
            <w:tcBorders>
              <w:top w:val="nil"/>
              <w:left w:val="nil"/>
              <w:bottom w:val="nil"/>
              <w:right w:val="nil"/>
            </w:tcBorders>
            <w:shd w:val="clear" w:color="auto" w:fill="auto"/>
            <w:vAlign w:val="center"/>
          </w:tcPr>
          <w:p w14:paraId="255B07B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0.142**</w:t>
            </w:r>
          </w:p>
        </w:tc>
        <w:tc>
          <w:tcPr>
            <w:tcW w:w="1174" w:type="dxa"/>
            <w:tcBorders>
              <w:top w:val="nil"/>
              <w:left w:val="nil"/>
              <w:bottom w:val="nil"/>
              <w:right w:val="nil"/>
            </w:tcBorders>
            <w:shd w:val="clear" w:color="auto" w:fill="auto"/>
            <w:vAlign w:val="center"/>
          </w:tcPr>
          <w:p w14:paraId="304301C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-0.128*</w:t>
            </w:r>
          </w:p>
        </w:tc>
        <w:tc>
          <w:tcPr>
            <w:tcW w:w="1170" w:type="dxa"/>
            <w:tcBorders>
              <w:top w:val="nil"/>
              <w:left w:val="nil"/>
              <w:bottom w:val="nil"/>
              <w:right w:val="nil"/>
            </w:tcBorders>
            <w:shd w:val="clear" w:color="auto" w:fill="auto"/>
            <w:vAlign w:val="center"/>
          </w:tcPr>
          <w:p w14:paraId="15A7AEB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p>
        </w:tc>
        <w:tc>
          <w:tcPr>
            <w:tcW w:w="1166" w:type="dxa"/>
            <w:tcBorders>
              <w:top w:val="nil"/>
              <w:left w:val="nil"/>
              <w:bottom w:val="nil"/>
              <w:right w:val="nil"/>
            </w:tcBorders>
            <w:shd w:val="clear" w:color="auto" w:fill="auto"/>
            <w:vAlign w:val="center"/>
          </w:tcPr>
          <w:p w14:paraId="5CE5AB1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p>
        </w:tc>
      </w:tr>
      <w:tr w:rsidR="00727A9B" w:rsidRPr="006F5D71" w14:paraId="21666987" w14:textId="77777777" w:rsidTr="004C7443">
        <w:trPr>
          <w:trHeight w:val="234"/>
          <w:jc w:val="center"/>
        </w:trPr>
        <w:tc>
          <w:tcPr>
            <w:tcW w:w="3870" w:type="dxa"/>
            <w:tcBorders>
              <w:top w:val="nil"/>
              <w:left w:val="nil"/>
              <w:bottom w:val="nil"/>
              <w:right w:val="nil"/>
            </w:tcBorders>
            <w:shd w:val="clear" w:color="auto" w:fill="auto"/>
            <w:vAlign w:val="center"/>
          </w:tcPr>
          <w:p w14:paraId="1BCFD487"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0F19032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(0.027)</w:t>
            </w:r>
          </w:p>
        </w:tc>
        <w:tc>
          <w:tcPr>
            <w:tcW w:w="1264" w:type="dxa"/>
            <w:tcBorders>
              <w:top w:val="nil"/>
              <w:left w:val="nil"/>
              <w:bottom w:val="nil"/>
              <w:right w:val="nil"/>
            </w:tcBorders>
            <w:shd w:val="clear" w:color="auto" w:fill="auto"/>
            <w:vAlign w:val="center"/>
          </w:tcPr>
          <w:p w14:paraId="4D9ACD4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(0.042)</w:t>
            </w:r>
          </w:p>
        </w:tc>
        <w:tc>
          <w:tcPr>
            <w:tcW w:w="1196" w:type="dxa"/>
            <w:tcBorders>
              <w:top w:val="nil"/>
              <w:left w:val="nil"/>
              <w:bottom w:val="nil"/>
              <w:right w:val="nil"/>
            </w:tcBorders>
            <w:shd w:val="clear" w:color="auto" w:fill="auto"/>
            <w:vAlign w:val="center"/>
          </w:tcPr>
          <w:p w14:paraId="46C1FC0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(0.052)</w:t>
            </w:r>
          </w:p>
        </w:tc>
        <w:tc>
          <w:tcPr>
            <w:tcW w:w="1174" w:type="dxa"/>
            <w:tcBorders>
              <w:top w:val="nil"/>
              <w:left w:val="nil"/>
              <w:bottom w:val="nil"/>
              <w:right w:val="nil"/>
            </w:tcBorders>
            <w:shd w:val="clear" w:color="auto" w:fill="auto"/>
            <w:vAlign w:val="center"/>
          </w:tcPr>
          <w:p w14:paraId="1AEE6D3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(0.068)</w:t>
            </w:r>
          </w:p>
        </w:tc>
        <w:tc>
          <w:tcPr>
            <w:tcW w:w="1170" w:type="dxa"/>
            <w:tcBorders>
              <w:top w:val="nil"/>
              <w:left w:val="nil"/>
              <w:bottom w:val="nil"/>
              <w:right w:val="nil"/>
            </w:tcBorders>
            <w:shd w:val="clear" w:color="auto" w:fill="auto"/>
            <w:vAlign w:val="center"/>
          </w:tcPr>
          <w:p w14:paraId="47E0943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66" w:type="dxa"/>
            <w:tcBorders>
              <w:top w:val="nil"/>
              <w:left w:val="nil"/>
              <w:bottom w:val="nil"/>
              <w:right w:val="nil"/>
            </w:tcBorders>
            <w:shd w:val="clear" w:color="auto" w:fill="auto"/>
            <w:vAlign w:val="center"/>
          </w:tcPr>
          <w:p w14:paraId="0DA22B5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r>
      <w:tr w:rsidR="00727A9B" w:rsidRPr="006F5D71" w14:paraId="041A9989" w14:textId="77777777" w:rsidTr="004C7443">
        <w:trPr>
          <w:trHeight w:val="234"/>
          <w:jc w:val="center"/>
        </w:trPr>
        <w:tc>
          <w:tcPr>
            <w:tcW w:w="3870" w:type="dxa"/>
            <w:tcBorders>
              <w:top w:val="nil"/>
              <w:left w:val="nil"/>
              <w:bottom w:val="nil"/>
              <w:right w:val="nil"/>
            </w:tcBorders>
            <w:shd w:val="clear" w:color="auto" w:fill="auto"/>
            <w:vAlign w:val="center"/>
          </w:tcPr>
          <w:p w14:paraId="70EB123E"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Parent Experience in African Region</w:t>
            </w:r>
          </w:p>
        </w:tc>
        <w:tc>
          <w:tcPr>
            <w:tcW w:w="1170" w:type="dxa"/>
            <w:tcBorders>
              <w:top w:val="nil"/>
              <w:left w:val="nil"/>
              <w:bottom w:val="nil"/>
              <w:right w:val="nil"/>
            </w:tcBorders>
            <w:shd w:val="clear" w:color="auto" w:fill="auto"/>
            <w:vAlign w:val="center"/>
          </w:tcPr>
          <w:p w14:paraId="0527C93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-0.163***</w:t>
            </w:r>
          </w:p>
        </w:tc>
        <w:tc>
          <w:tcPr>
            <w:tcW w:w="1264" w:type="dxa"/>
            <w:tcBorders>
              <w:top w:val="nil"/>
              <w:left w:val="nil"/>
              <w:bottom w:val="nil"/>
              <w:right w:val="nil"/>
            </w:tcBorders>
            <w:shd w:val="clear" w:color="auto" w:fill="auto"/>
            <w:vAlign w:val="center"/>
          </w:tcPr>
          <w:p w14:paraId="625E093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-0.240**</w:t>
            </w:r>
          </w:p>
        </w:tc>
        <w:tc>
          <w:tcPr>
            <w:tcW w:w="1196" w:type="dxa"/>
            <w:tcBorders>
              <w:top w:val="nil"/>
              <w:left w:val="nil"/>
              <w:bottom w:val="nil"/>
              <w:right w:val="nil"/>
            </w:tcBorders>
            <w:shd w:val="clear" w:color="auto" w:fill="auto"/>
            <w:vAlign w:val="center"/>
          </w:tcPr>
          <w:p w14:paraId="4C95119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p>
        </w:tc>
        <w:tc>
          <w:tcPr>
            <w:tcW w:w="1174" w:type="dxa"/>
            <w:tcBorders>
              <w:top w:val="nil"/>
              <w:left w:val="nil"/>
              <w:bottom w:val="nil"/>
              <w:right w:val="nil"/>
            </w:tcBorders>
            <w:shd w:val="clear" w:color="auto" w:fill="auto"/>
            <w:vAlign w:val="center"/>
          </w:tcPr>
          <w:p w14:paraId="0DD1DDE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p>
        </w:tc>
        <w:tc>
          <w:tcPr>
            <w:tcW w:w="1170" w:type="dxa"/>
            <w:tcBorders>
              <w:top w:val="nil"/>
              <w:left w:val="nil"/>
              <w:bottom w:val="nil"/>
              <w:right w:val="nil"/>
            </w:tcBorders>
            <w:shd w:val="clear" w:color="auto" w:fill="auto"/>
            <w:vAlign w:val="center"/>
          </w:tcPr>
          <w:p w14:paraId="473A91E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-0.608*</w:t>
            </w:r>
          </w:p>
        </w:tc>
        <w:tc>
          <w:tcPr>
            <w:tcW w:w="1166" w:type="dxa"/>
            <w:tcBorders>
              <w:top w:val="nil"/>
              <w:left w:val="nil"/>
              <w:bottom w:val="nil"/>
              <w:right w:val="nil"/>
            </w:tcBorders>
            <w:shd w:val="clear" w:color="auto" w:fill="auto"/>
            <w:vAlign w:val="center"/>
          </w:tcPr>
          <w:p w14:paraId="2CFD14F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-0.540*</w:t>
            </w:r>
          </w:p>
        </w:tc>
      </w:tr>
      <w:tr w:rsidR="00727A9B" w:rsidRPr="006F5D71" w14:paraId="45883391" w14:textId="77777777" w:rsidTr="004C7443">
        <w:trPr>
          <w:trHeight w:val="234"/>
          <w:jc w:val="center"/>
        </w:trPr>
        <w:tc>
          <w:tcPr>
            <w:tcW w:w="3870" w:type="dxa"/>
            <w:tcBorders>
              <w:top w:val="nil"/>
              <w:left w:val="nil"/>
              <w:bottom w:val="nil"/>
              <w:right w:val="nil"/>
            </w:tcBorders>
            <w:shd w:val="clear" w:color="auto" w:fill="auto"/>
            <w:vAlign w:val="center"/>
          </w:tcPr>
          <w:p w14:paraId="0B80C0AA"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656BED7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(0.051)</w:t>
            </w:r>
          </w:p>
        </w:tc>
        <w:tc>
          <w:tcPr>
            <w:tcW w:w="1264" w:type="dxa"/>
            <w:tcBorders>
              <w:top w:val="nil"/>
              <w:left w:val="nil"/>
              <w:bottom w:val="nil"/>
              <w:right w:val="nil"/>
            </w:tcBorders>
            <w:shd w:val="clear" w:color="auto" w:fill="auto"/>
            <w:vAlign w:val="center"/>
          </w:tcPr>
          <w:p w14:paraId="7881881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(0.092)</w:t>
            </w:r>
          </w:p>
        </w:tc>
        <w:tc>
          <w:tcPr>
            <w:tcW w:w="1196" w:type="dxa"/>
            <w:tcBorders>
              <w:top w:val="nil"/>
              <w:left w:val="nil"/>
              <w:bottom w:val="nil"/>
              <w:right w:val="nil"/>
            </w:tcBorders>
            <w:shd w:val="clear" w:color="auto" w:fill="auto"/>
            <w:vAlign w:val="center"/>
          </w:tcPr>
          <w:p w14:paraId="1C4E5AA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4" w:type="dxa"/>
            <w:tcBorders>
              <w:top w:val="nil"/>
              <w:left w:val="nil"/>
              <w:bottom w:val="nil"/>
              <w:right w:val="nil"/>
            </w:tcBorders>
            <w:shd w:val="clear" w:color="auto" w:fill="auto"/>
            <w:vAlign w:val="center"/>
          </w:tcPr>
          <w:p w14:paraId="04F8AE6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0" w:type="dxa"/>
            <w:tcBorders>
              <w:top w:val="nil"/>
              <w:left w:val="nil"/>
              <w:bottom w:val="nil"/>
              <w:right w:val="nil"/>
            </w:tcBorders>
            <w:shd w:val="clear" w:color="auto" w:fill="auto"/>
            <w:vAlign w:val="center"/>
          </w:tcPr>
          <w:p w14:paraId="5346A6C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(0.326)</w:t>
            </w:r>
          </w:p>
        </w:tc>
        <w:tc>
          <w:tcPr>
            <w:tcW w:w="1166" w:type="dxa"/>
            <w:tcBorders>
              <w:top w:val="nil"/>
              <w:left w:val="nil"/>
              <w:bottom w:val="nil"/>
              <w:right w:val="nil"/>
            </w:tcBorders>
            <w:shd w:val="clear" w:color="auto" w:fill="auto"/>
            <w:vAlign w:val="center"/>
          </w:tcPr>
          <w:p w14:paraId="58796E4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(0.249)</w:t>
            </w:r>
          </w:p>
        </w:tc>
      </w:tr>
      <w:tr w:rsidR="00727A9B" w:rsidRPr="006F5D71" w14:paraId="3D7AB03D" w14:textId="77777777" w:rsidTr="004C7443">
        <w:trPr>
          <w:trHeight w:val="234"/>
          <w:jc w:val="center"/>
        </w:trPr>
        <w:tc>
          <w:tcPr>
            <w:tcW w:w="3870" w:type="dxa"/>
            <w:tcBorders>
              <w:top w:val="nil"/>
              <w:left w:val="nil"/>
              <w:bottom w:val="nil"/>
              <w:right w:val="nil"/>
            </w:tcBorders>
            <w:shd w:val="clear" w:color="auto" w:fill="auto"/>
            <w:vAlign w:val="center"/>
          </w:tcPr>
          <w:p w14:paraId="152F2E1A"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Parent Experience in Asian Region</w:t>
            </w:r>
          </w:p>
        </w:tc>
        <w:tc>
          <w:tcPr>
            <w:tcW w:w="1170" w:type="dxa"/>
            <w:tcBorders>
              <w:top w:val="nil"/>
              <w:left w:val="nil"/>
              <w:bottom w:val="nil"/>
              <w:right w:val="nil"/>
            </w:tcBorders>
            <w:shd w:val="clear" w:color="auto" w:fill="auto"/>
            <w:vAlign w:val="center"/>
          </w:tcPr>
          <w:p w14:paraId="4E08488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-0.478***</w:t>
            </w:r>
          </w:p>
        </w:tc>
        <w:tc>
          <w:tcPr>
            <w:tcW w:w="1264" w:type="dxa"/>
            <w:tcBorders>
              <w:top w:val="nil"/>
              <w:left w:val="nil"/>
              <w:bottom w:val="nil"/>
              <w:right w:val="nil"/>
            </w:tcBorders>
            <w:shd w:val="clear" w:color="auto" w:fill="auto"/>
            <w:vAlign w:val="center"/>
          </w:tcPr>
          <w:p w14:paraId="2ED4306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-0.538***</w:t>
            </w:r>
          </w:p>
        </w:tc>
        <w:tc>
          <w:tcPr>
            <w:tcW w:w="1196" w:type="dxa"/>
            <w:tcBorders>
              <w:top w:val="nil"/>
              <w:left w:val="nil"/>
              <w:bottom w:val="nil"/>
              <w:right w:val="nil"/>
            </w:tcBorders>
            <w:shd w:val="clear" w:color="auto" w:fill="auto"/>
            <w:vAlign w:val="center"/>
          </w:tcPr>
          <w:p w14:paraId="1D51977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p>
        </w:tc>
        <w:tc>
          <w:tcPr>
            <w:tcW w:w="1174" w:type="dxa"/>
            <w:tcBorders>
              <w:top w:val="nil"/>
              <w:left w:val="nil"/>
              <w:bottom w:val="nil"/>
              <w:right w:val="nil"/>
            </w:tcBorders>
            <w:shd w:val="clear" w:color="auto" w:fill="auto"/>
            <w:vAlign w:val="center"/>
          </w:tcPr>
          <w:p w14:paraId="5E2C84F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p>
        </w:tc>
        <w:tc>
          <w:tcPr>
            <w:tcW w:w="1170" w:type="dxa"/>
            <w:tcBorders>
              <w:top w:val="nil"/>
              <w:left w:val="nil"/>
              <w:bottom w:val="nil"/>
              <w:right w:val="nil"/>
            </w:tcBorders>
            <w:shd w:val="clear" w:color="auto" w:fill="auto"/>
            <w:vAlign w:val="center"/>
          </w:tcPr>
          <w:p w14:paraId="6CF62F0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-2.015***</w:t>
            </w:r>
          </w:p>
        </w:tc>
        <w:tc>
          <w:tcPr>
            <w:tcW w:w="1166" w:type="dxa"/>
            <w:tcBorders>
              <w:top w:val="nil"/>
              <w:left w:val="nil"/>
              <w:bottom w:val="nil"/>
              <w:right w:val="nil"/>
            </w:tcBorders>
            <w:shd w:val="clear" w:color="auto" w:fill="auto"/>
            <w:vAlign w:val="center"/>
          </w:tcPr>
          <w:p w14:paraId="3B761E7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-1.912**</w:t>
            </w:r>
          </w:p>
        </w:tc>
      </w:tr>
      <w:tr w:rsidR="00727A9B" w:rsidRPr="006F5D71" w14:paraId="3EDB9A61" w14:textId="77777777" w:rsidTr="004C7443">
        <w:trPr>
          <w:trHeight w:val="234"/>
          <w:jc w:val="center"/>
        </w:trPr>
        <w:tc>
          <w:tcPr>
            <w:tcW w:w="3870" w:type="dxa"/>
            <w:tcBorders>
              <w:top w:val="nil"/>
              <w:left w:val="nil"/>
              <w:bottom w:val="nil"/>
              <w:right w:val="nil"/>
            </w:tcBorders>
            <w:shd w:val="clear" w:color="auto" w:fill="auto"/>
            <w:vAlign w:val="center"/>
          </w:tcPr>
          <w:p w14:paraId="26C7F02D"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5F55A3E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(0.054)</w:t>
            </w:r>
          </w:p>
        </w:tc>
        <w:tc>
          <w:tcPr>
            <w:tcW w:w="1264" w:type="dxa"/>
            <w:tcBorders>
              <w:top w:val="nil"/>
              <w:left w:val="nil"/>
              <w:bottom w:val="nil"/>
              <w:right w:val="nil"/>
            </w:tcBorders>
            <w:shd w:val="clear" w:color="auto" w:fill="auto"/>
            <w:vAlign w:val="center"/>
          </w:tcPr>
          <w:p w14:paraId="737E69B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(0.091)</w:t>
            </w:r>
          </w:p>
        </w:tc>
        <w:tc>
          <w:tcPr>
            <w:tcW w:w="1196" w:type="dxa"/>
            <w:tcBorders>
              <w:top w:val="nil"/>
              <w:left w:val="nil"/>
              <w:bottom w:val="nil"/>
              <w:right w:val="nil"/>
            </w:tcBorders>
            <w:shd w:val="clear" w:color="auto" w:fill="auto"/>
            <w:vAlign w:val="center"/>
          </w:tcPr>
          <w:p w14:paraId="53A9F77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4" w:type="dxa"/>
            <w:tcBorders>
              <w:top w:val="nil"/>
              <w:left w:val="nil"/>
              <w:bottom w:val="nil"/>
              <w:right w:val="nil"/>
            </w:tcBorders>
            <w:shd w:val="clear" w:color="auto" w:fill="auto"/>
            <w:vAlign w:val="center"/>
          </w:tcPr>
          <w:p w14:paraId="3A88027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0" w:type="dxa"/>
            <w:tcBorders>
              <w:top w:val="nil"/>
              <w:left w:val="nil"/>
              <w:bottom w:val="nil"/>
              <w:right w:val="nil"/>
            </w:tcBorders>
            <w:shd w:val="clear" w:color="auto" w:fill="auto"/>
            <w:vAlign w:val="center"/>
          </w:tcPr>
          <w:p w14:paraId="0ED3BF2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(0.675)</w:t>
            </w:r>
          </w:p>
        </w:tc>
        <w:tc>
          <w:tcPr>
            <w:tcW w:w="1166" w:type="dxa"/>
            <w:tcBorders>
              <w:top w:val="nil"/>
              <w:left w:val="nil"/>
              <w:bottom w:val="nil"/>
              <w:right w:val="nil"/>
            </w:tcBorders>
            <w:shd w:val="clear" w:color="auto" w:fill="auto"/>
            <w:vAlign w:val="center"/>
          </w:tcPr>
          <w:p w14:paraId="6C59749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(0.761)</w:t>
            </w:r>
          </w:p>
        </w:tc>
      </w:tr>
      <w:tr w:rsidR="00727A9B" w:rsidRPr="006F5D71" w14:paraId="665B4F1F" w14:textId="77777777" w:rsidTr="004C7443">
        <w:trPr>
          <w:trHeight w:val="234"/>
          <w:jc w:val="center"/>
        </w:trPr>
        <w:tc>
          <w:tcPr>
            <w:tcW w:w="3870" w:type="dxa"/>
            <w:tcBorders>
              <w:top w:val="nil"/>
              <w:left w:val="nil"/>
              <w:bottom w:val="nil"/>
              <w:right w:val="nil"/>
            </w:tcBorders>
            <w:shd w:val="clear" w:color="auto" w:fill="auto"/>
            <w:vAlign w:val="center"/>
          </w:tcPr>
          <w:p w14:paraId="09BE5215"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Parent Experience in Arab Region</w:t>
            </w:r>
          </w:p>
        </w:tc>
        <w:tc>
          <w:tcPr>
            <w:tcW w:w="1170" w:type="dxa"/>
            <w:tcBorders>
              <w:top w:val="nil"/>
              <w:left w:val="nil"/>
              <w:bottom w:val="nil"/>
              <w:right w:val="nil"/>
            </w:tcBorders>
            <w:shd w:val="clear" w:color="auto" w:fill="auto"/>
            <w:vAlign w:val="center"/>
          </w:tcPr>
          <w:p w14:paraId="655FB71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0.239**</w:t>
            </w:r>
          </w:p>
        </w:tc>
        <w:tc>
          <w:tcPr>
            <w:tcW w:w="1264" w:type="dxa"/>
            <w:tcBorders>
              <w:top w:val="nil"/>
              <w:left w:val="nil"/>
              <w:bottom w:val="nil"/>
              <w:right w:val="nil"/>
            </w:tcBorders>
            <w:shd w:val="clear" w:color="auto" w:fill="auto"/>
            <w:vAlign w:val="center"/>
          </w:tcPr>
          <w:p w14:paraId="240091F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-0.188*</w:t>
            </w:r>
          </w:p>
        </w:tc>
        <w:tc>
          <w:tcPr>
            <w:tcW w:w="1196" w:type="dxa"/>
            <w:tcBorders>
              <w:top w:val="nil"/>
              <w:left w:val="nil"/>
              <w:bottom w:val="nil"/>
              <w:right w:val="nil"/>
            </w:tcBorders>
            <w:shd w:val="clear" w:color="auto" w:fill="auto"/>
            <w:vAlign w:val="center"/>
          </w:tcPr>
          <w:p w14:paraId="44EBFCE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p>
        </w:tc>
        <w:tc>
          <w:tcPr>
            <w:tcW w:w="1174" w:type="dxa"/>
            <w:tcBorders>
              <w:top w:val="nil"/>
              <w:left w:val="nil"/>
              <w:bottom w:val="nil"/>
              <w:right w:val="nil"/>
            </w:tcBorders>
            <w:shd w:val="clear" w:color="auto" w:fill="auto"/>
            <w:vAlign w:val="center"/>
          </w:tcPr>
          <w:p w14:paraId="2C51294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p>
        </w:tc>
        <w:tc>
          <w:tcPr>
            <w:tcW w:w="1170" w:type="dxa"/>
            <w:tcBorders>
              <w:top w:val="nil"/>
              <w:left w:val="nil"/>
              <w:bottom w:val="nil"/>
              <w:right w:val="nil"/>
            </w:tcBorders>
            <w:shd w:val="clear" w:color="auto" w:fill="auto"/>
            <w:vAlign w:val="center"/>
          </w:tcPr>
          <w:p w14:paraId="40A8F44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-2.773***</w:t>
            </w:r>
          </w:p>
        </w:tc>
        <w:tc>
          <w:tcPr>
            <w:tcW w:w="1166" w:type="dxa"/>
            <w:tcBorders>
              <w:top w:val="nil"/>
              <w:left w:val="nil"/>
              <w:bottom w:val="nil"/>
              <w:right w:val="nil"/>
            </w:tcBorders>
            <w:shd w:val="clear" w:color="auto" w:fill="auto"/>
            <w:vAlign w:val="center"/>
          </w:tcPr>
          <w:p w14:paraId="2CAF910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-3.268***</w:t>
            </w:r>
          </w:p>
        </w:tc>
      </w:tr>
      <w:tr w:rsidR="00727A9B" w:rsidRPr="006F5D71" w14:paraId="7A79633B" w14:textId="77777777" w:rsidTr="004C7443">
        <w:trPr>
          <w:trHeight w:val="234"/>
          <w:jc w:val="center"/>
        </w:trPr>
        <w:tc>
          <w:tcPr>
            <w:tcW w:w="3870" w:type="dxa"/>
            <w:tcBorders>
              <w:top w:val="nil"/>
              <w:left w:val="nil"/>
              <w:bottom w:val="nil"/>
              <w:right w:val="nil"/>
            </w:tcBorders>
            <w:shd w:val="clear" w:color="auto" w:fill="auto"/>
            <w:vAlign w:val="center"/>
          </w:tcPr>
          <w:p w14:paraId="57F73E17"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4315CC6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(0.092)</w:t>
            </w:r>
          </w:p>
        </w:tc>
        <w:tc>
          <w:tcPr>
            <w:tcW w:w="1264" w:type="dxa"/>
            <w:tcBorders>
              <w:top w:val="nil"/>
              <w:left w:val="nil"/>
              <w:bottom w:val="nil"/>
              <w:right w:val="nil"/>
            </w:tcBorders>
            <w:shd w:val="clear" w:color="auto" w:fill="auto"/>
            <w:vAlign w:val="center"/>
          </w:tcPr>
          <w:p w14:paraId="365043C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(0.109)</w:t>
            </w:r>
          </w:p>
        </w:tc>
        <w:tc>
          <w:tcPr>
            <w:tcW w:w="1196" w:type="dxa"/>
            <w:tcBorders>
              <w:top w:val="nil"/>
              <w:left w:val="nil"/>
              <w:bottom w:val="nil"/>
              <w:right w:val="nil"/>
            </w:tcBorders>
            <w:shd w:val="clear" w:color="auto" w:fill="auto"/>
            <w:vAlign w:val="center"/>
          </w:tcPr>
          <w:p w14:paraId="4045A68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4" w:type="dxa"/>
            <w:tcBorders>
              <w:top w:val="nil"/>
              <w:left w:val="nil"/>
              <w:bottom w:val="nil"/>
              <w:right w:val="nil"/>
            </w:tcBorders>
            <w:shd w:val="clear" w:color="auto" w:fill="auto"/>
            <w:vAlign w:val="center"/>
          </w:tcPr>
          <w:p w14:paraId="4B1346F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0" w:type="dxa"/>
            <w:tcBorders>
              <w:top w:val="nil"/>
              <w:left w:val="nil"/>
              <w:bottom w:val="nil"/>
              <w:right w:val="nil"/>
            </w:tcBorders>
            <w:shd w:val="clear" w:color="auto" w:fill="auto"/>
            <w:vAlign w:val="center"/>
          </w:tcPr>
          <w:p w14:paraId="3D96401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(0.690)</w:t>
            </w:r>
          </w:p>
        </w:tc>
        <w:tc>
          <w:tcPr>
            <w:tcW w:w="1166" w:type="dxa"/>
            <w:tcBorders>
              <w:top w:val="nil"/>
              <w:left w:val="nil"/>
              <w:bottom w:val="nil"/>
              <w:right w:val="nil"/>
            </w:tcBorders>
            <w:shd w:val="clear" w:color="auto" w:fill="auto"/>
            <w:vAlign w:val="center"/>
          </w:tcPr>
          <w:p w14:paraId="4826257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(0.801)</w:t>
            </w:r>
          </w:p>
        </w:tc>
      </w:tr>
      <w:tr w:rsidR="00727A9B" w:rsidRPr="006F5D71" w14:paraId="1664BE24" w14:textId="77777777" w:rsidTr="004C7443">
        <w:trPr>
          <w:trHeight w:val="222"/>
          <w:jc w:val="center"/>
        </w:trPr>
        <w:tc>
          <w:tcPr>
            <w:tcW w:w="3870" w:type="dxa"/>
            <w:tcBorders>
              <w:top w:val="nil"/>
              <w:left w:val="nil"/>
              <w:bottom w:val="nil"/>
              <w:right w:val="nil"/>
            </w:tcBorders>
            <w:shd w:val="clear" w:color="auto" w:fill="auto"/>
            <w:vAlign w:val="center"/>
          </w:tcPr>
          <w:p w14:paraId="1DE0D66E"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Subsidiary Size</w:t>
            </w:r>
          </w:p>
        </w:tc>
        <w:tc>
          <w:tcPr>
            <w:tcW w:w="1170" w:type="dxa"/>
            <w:tcBorders>
              <w:top w:val="nil"/>
              <w:left w:val="nil"/>
              <w:bottom w:val="nil"/>
              <w:right w:val="nil"/>
            </w:tcBorders>
            <w:shd w:val="clear" w:color="auto" w:fill="auto"/>
            <w:vAlign w:val="center"/>
          </w:tcPr>
          <w:p w14:paraId="558F078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-3.907***</w:t>
            </w:r>
          </w:p>
        </w:tc>
        <w:tc>
          <w:tcPr>
            <w:tcW w:w="1264" w:type="dxa"/>
            <w:tcBorders>
              <w:top w:val="nil"/>
              <w:left w:val="nil"/>
              <w:bottom w:val="nil"/>
              <w:right w:val="nil"/>
            </w:tcBorders>
            <w:shd w:val="clear" w:color="auto" w:fill="auto"/>
            <w:vAlign w:val="center"/>
          </w:tcPr>
          <w:p w14:paraId="6B20065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-4.279***</w:t>
            </w:r>
          </w:p>
        </w:tc>
        <w:tc>
          <w:tcPr>
            <w:tcW w:w="1196" w:type="dxa"/>
            <w:tcBorders>
              <w:top w:val="nil"/>
              <w:left w:val="nil"/>
              <w:bottom w:val="nil"/>
              <w:right w:val="nil"/>
            </w:tcBorders>
            <w:shd w:val="clear" w:color="auto" w:fill="auto"/>
            <w:vAlign w:val="center"/>
          </w:tcPr>
          <w:p w14:paraId="46A09BC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-4.299***</w:t>
            </w:r>
          </w:p>
        </w:tc>
        <w:tc>
          <w:tcPr>
            <w:tcW w:w="1174" w:type="dxa"/>
            <w:tcBorders>
              <w:top w:val="nil"/>
              <w:left w:val="nil"/>
              <w:bottom w:val="nil"/>
              <w:right w:val="nil"/>
            </w:tcBorders>
            <w:shd w:val="clear" w:color="auto" w:fill="auto"/>
            <w:vAlign w:val="center"/>
          </w:tcPr>
          <w:p w14:paraId="1A84656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-3.573***</w:t>
            </w:r>
          </w:p>
        </w:tc>
        <w:tc>
          <w:tcPr>
            <w:tcW w:w="1170" w:type="dxa"/>
            <w:tcBorders>
              <w:top w:val="nil"/>
              <w:left w:val="nil"/>
              <w:bottom w:val="nil"/>
              <w:right w:val="nil"/>
            </w:tcBorders>
            <w:shd w:val="clear" w:color="auto" w:fill="auto"/>
            <w:vAlign w:val="center"/>
          </w:tcPr>
          <w:p w14:paraId="6433DB6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-3.992***</w:t>
            </w:r>
          </w:p>
        </w:tc>
        <w:tc>
          <w:tcPr>
            <w:tcW w:w="1166" w:type="dxa"/>
            <w:tcBorders>
              <w:top w:val="nil"/>
              <w:left w:val="nil"/>
              <w:bottom w:val="nil"/>
              <w:right w:val="nil"/>
            </w:tcBorders>
            <w:shd w:val="clear" w:color="auto" w:fill="auto"/>
            <w:vAlign w:val="center"/>
          </w:tcPr>
          <w:p w14:paraId="3475630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-4.809***</w:t>
            </w:r>
          </w:p>
        </w:tc>
      </w:tr>
      <w:tr w:rsidR="00727A9B" w:rsidRPr="006F5D71" w14:paraId="44045D70" w14:textId="77777777" w:rsidTr="004C7443">
        <w:trPr>
          <w:trHeight w:val="222"/>
          <w:jc w:val="center"/>
        </w:trPr>
        <w:tc>
          <w:tcPr>
            <w:tcW w:w="3870" w:type="dxa"/>
            <w:tcBorders>
              <w:top w:val="nil"/>
              <w:left w:val="nil"/>
              <w:bottom w:val="nil"/>
              <w:right w:val="nil"/>
            </w:tcBorders>
            <w:shd w:val="clear" w:color="auto" w:fill="auto"/>
            <w:vAlign w:val="center"/>
          </w:tcPr>
          <w:p w14:paraId="31DF2034"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57E33C6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(0.423)</w:t>
            </w:r>
          </w:p>
        </w:tc>
        <w:tc>
          <w:tcPr>
            <w:tcW w:w="1264" w:type="dxa"/>
            <w:tcBorders>
              <w:top w:val="nil"/>
              <w:left w:val="nil"/>
              <w:bottom w:val="nil"/>
              <w:right w:val="nil"/>
            </w:tcBorders>
            <w:shd w:val="clear" w:color="auto" w:fill="auto"/>
            <w:vAlign w:val="center"/>
          </w:tcPr>
          <w:p w14:paraId="439179F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(0.442)</w:t>
            </w:r>
          </w:p>
        </w:tc>
        <w:tc>
          <w:tcPr>
            <w:tcW w:w="1196" w:type="dxa"/>
            <w:tcBorders>
              <w:top w:val="nil"/>
              <w:left w:val="nil"/>
              <w:bottom w:val="nil"/>
              <w:right w:val="nil"/>
            </w:tcBorders>
            <w:shd w:val="clear" w:color="auto" w:fill="auto"/>
            <w:vAlign w:val="center"/>
          </w:tcPr>
          <w:p w14:paraId="3F00A8D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(0.612)</w:t>
            </w:r>
          </w:p>
        </w:tc>
        <w:tc>
          <w:tcPr>
            <w:tcW w:w="1174" w:type="dxa"/>
            <w:tcBorders>
              <w:top w:val="nil"/>
              <w:left w:val="nil"/>
              <w:bottom w:val="nil"/>
              <w:right w:val="nil"/>
            </w:tcBorders>
            <w:shd w:val="clear" w:color="auto" w:fill="auto"/>
            <w:vAlign w:val="center"/>
          </w:tcPr>
          <w:p w14:paraId="1759E4C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(0.660)</w:t>
            </w:r>
          </w:p>
        </w:tc>
        <w:tc>
          <w:tcPr>
            <w:tcW w:w="1170" w:type="dxa"/>
            <w:tcBorders>
              <w:top w:val="nil"/>
              <w:left w:val="nil"/>
              <w:bottom w:val="nil"/>
              <w:right w:val="nil"/>
            </w:tcBorders>
            <w:shd w:val="clear" w:color="auto" w:fill="auto"/>
            <w:vAlign w:val="center"/>
          </w:tcPr>
          <w:p w14:paraId="6EA9466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(1.353)</w:t>
            </w:r>
          </w:p>
        </w:tc>
        <w:tc>
          <w:tcPr>
            <w:tcW w:w="1166" w:type="dxa"/>
            <w:tcBorders>
              <w:top w:val="nil"/>
              <w:left w:val="nil"/>
              <w:bottom w:val="nil"/>
              <w:right w:val="nil"/>
            </w:tcBorders>
            <w:shd w:val="clear" w:color="auto" w:fill="auto"/>
            <w:vAlign w:val="center"/>
          </w:tcPr>
          <w:p w14:paraId="6EFEE78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(1.700)</w:t>
            </w:r>
          </w:p>
        </w:tc>
      </w:tr>
      <w:tr w:rsidR="00727A9B" w:rsidRPr="006F5D71" w14:paraId="49CA7A9A" w14:textId="77777777" w:rsidTr="004C7443">
        <w:trPr>
          <w:trHeight w:val="222"/>
          <w:jc w:val="center"/>
        </w:trPr>
        <w:tc>
          <w:tcPr>
            <w:tcW w:w="3870" w:type="dxa"/>
            <w:tcBorders>
              <w:top w:val="nil"/>
              <w:left w:val="nil"/>
              <w:bottom w:val="nil"/>
              <w:right w:val="nil"/>
            </w:tcBorders>
            <w:shd w:val="clear" w:color="auto" w:fill="auto"/>
            <w:vAlign w:val="center"/>
          </w:tcPr>
          <w:p w14:paraId="76816B39"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Leverage</w:t>
            </w:r>
          </w:p>
        </w:tc>
        <w:tc>
          <w:tcPr>
            <w:tcW w:w="1170" w:type="dxa"/>
            <w:tcBorders>
              <w:top w:val="nil"/>
              <w:left w:val="nil"/>
              <w:bottom w:val="nil"/>
              <w:right w:val="nil"/>
            </w:tcBorders>
            <w:shd w:val="clear" w:color="auto" w:fill="auto"/>
            <w:vAlign w:val="center"/>
          </w:tcPr>
          <w:p w14:paraId="5DFB6C3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0.806*</w:t>
            </w:r>
          </w:p>
        </w:tc>
        <w:tc>
          <w:tcPr>
            <w:tcW w:w="1264" w:type="dxa"/>
            <w:tcBorders>
              <w:top w:val="nil"/>
              <w:left w:val="nil"/>
              <w:bottom w:val="nil"/>
              <w:right w:val="nil"/>
            </w:tcBorders>
            <w:shd w:val="clear" w:color="auto" w:fill="auto"/>
            <w:vAlign w:val="center"/>
          </w:tcPr>
          <w:p w14:paraId="1173FD7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0.519**</w:t>
            </w:r>
          </w:p>
        </w:tc>
        <w:tc>
          <w:tcPr>
            <w:tcW w:w="1196" w:type="dxa"/>
            <w:tcBorders>
              <w:top w:val="nil"/>
              <w:left w:val="nil"/>
              <w:bottom w:val="nil"/>
              <w:right w:val="nil"/>
            </w:tcBorders>
            <w:shd w:val="clear" w:color="auto" w:fill="auto"/>
            <w:vAlign w:val="center"/>
          </w:tcPr>
          <w:p w14:paraId="29CF4C2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0.248*</w:t>
            </w:r>
          </w:p>
        </w:tc>
        <w:tc>
          <w:tcPr>
            <w:tcW w:w="1174" w:type="dxa"/>
            <w:tcBorders>
              <w:top w:val="nil"/>
              <w:left w:val="nil"/>
              <w:bottom w:val="nil"/>
              <w:right w:val="nil"/>
            </w:tcBorders>
            <w:shd w:val="clear" w:color="auto" w:fill="auto"/>
            <w:vAlign w:val="center"/>
          </w:tcPr>
          <w:p w14:paraId="10A9DF3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0.342*</w:t>
            </w:r>
          </w:p>
        </w:tc>
        <w:tc>
          <w:tcPr>
            <w:tcW w:w="1170" w:type="dxa"/>
            <w:tcBorders>
              <w:top w:val="nil"/>
              <w:left w:val="nil"/>
              <w:bottom w:val="nil"/>
              <w:right w:val="nil"/>
            </w:tcBorders>
            <w:shd w:val="clear" w:color="auto" w:fill="auto"/>
            <w:vAlign w:val="center"/>
          </w:tcPr>
          <w:p w14:paraId="5FE539C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-0.679</w:t>
            </w:r>
          </w:p>
        </w:tc>
        <w:tc>
          <w:tcPr>
            <w:tcW w:w="1166" w:type="dxa"/>
            <w:tcBorders>
              <w:top w:val="nil"/>
              <w:left w:val="nil"/>
              <w:bottom w:val="nil"/>
              <w:right w:val="nil"/>
            </w:tcBorders>
            <w:shd w:val="clear" w:color="auto" w:fill="auto"/>
            <w:vAlign w:val="center"/>
          </w:tcPr>
          <w:p w14:paraId="77E5E68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0.668</w:t>
            </w:r>
          </w:p>
        </w:tc>
      </w:tr>
      <w:tr w:rsidR="00727A9B" w:rsidRPr="006F5D71" w14:paraId="1983182B" w14:textId="77777777" w:rsidTr="004C7443">
        <w:trPr>
          <w:trHeight w:val="234"/>
          <w:jc w:val="center"/>
        </w:trPr>
        <w:tc>
          <w:tcPr>
            <w:tcW w:w="3870" w:type="dxa"/>
            <w:tcBorders>
              <w:top w:val="nil"/>
              <w:left w:val="nil"/>
              <w:bottom w:val="nil"/>
              <w:right w:val="nil"/>
            </w:tcBorders>
            <w:shd w:val="clear" w:color="auto" w:fill="auto"/>
            <w:vAlign w:val="center"/>
          </w:tcPr>
          <w:p w14:paraId="77CE3597"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3CEAE54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(0.436)</w:t>
            </w:r>
          </w:p>
        </w:tc>
        <w:tc>
          <w:tcPr>
            <w:tcW w:w="1264" w:type="dxa"/>
            <w:tcBorders>
              <w:top w:val="nil"/>
              <w:left w:val="nil"/>
              <w:bottom w:val="nil"/>
              <w:right w:val="nil"/>
            </w:tcBorders>
            <w:shd w:val="clear" w:color="auto" w:fill="auto"/>
            <w:vAlign w:val="center"/>
          </w:tcPr>
          <w:p w14:paraId="1A6AC5B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(0.199)</w:t>
            </w:r>
          </w:p>
        </w:tc>
        <w:tc>
          <w:tcPr>
            <w:tcW w:w="1196" w:type="dxa"/>
            <w:tcBorders>
              <w:top w:val="nil"/>
              <w:left w:val="nil"/>
              <w:bottom w:val="nil"/>
              <w:right w:val="nil"/>
            </w:tcBorders>
            <w:shd w:val="clear" w:color="auto" w:fill="auto"/>
            <w:vAlign w:val="center"/>
          </w:tcPr>
          <w:p w14:paraId="0D2FA6B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(0.104)</w:t>
            </w:r>
          </w:p>
        </w:tc>
        <w:tc>
          <w:tcPr>
            <w:tcW w:w="1174" w:type="dxa"/>
            <w:tcBorders>
              <w:top w:val="nil"/>
              <w:left w:val="nil"/>
              <w:bottom w:val="nil"/>
              <w:right w:val="nil"/>
            </w:tcBorders>
            <w:shd w:val="clear" w:color="auto" w:fill="auto"/>
            <w:vAlign w:val="center"/>
          </w:tcPr>
          <w:p w14:paraId="781AAA6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(0.168)</w:t>
            </w:r>
          </w:p>
        </w:tc>
        <w:tc>
          <w:tcPr>
            <w:tcW w:w="1170" w:type="dxa"/>
            <w:tcBorders>
              <w:top w:val="nil"/>
              <w:left w:val="nil"/>
              <w:bottom w:val="nil"/>
              <w:right w:val="nil"/>
            </w:tcBorders>
            <w:shd w:val="clear" w:color="auto" w:fill="auto"/>
            <w:vAlign w:val="center"/>
          </w:tcPr>
          <w:p w14:paraId="3207B33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(1.834)</w:t>
            </w:r>
          </w:p>
        </w:tc>
        <w:tc>
          <w:tcPr>
            <w:tcW w:w="1166" w:type="dxa"/>
            <w:tcBorders>
              <w:top w:val="nil"/>
              <w:left w:val="nil"/>
              <w:bottom w:val="nil"/>
              <w:right w:val="nil"/>
            </w:tcBorders>
            <w:shd w:val="clear" w:color="auto" w:fill="auto"/>
            <w:vAlign w:val="center"/>
          </w:tcPr>
          <w:p w14:paraId="6C732C9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(1.899)</w:t>
            </w:r>
          </w:p>
        </w:tc>
      </w:tr>
      <w:tr w:rsidR="00727A9B" w:rsidRPr="006F5D71" w14:paraId="7FC590C8" w14:textId="77777777" w:rsidTr="004C7443">
        <w:trPr>
          <w:trHeight w:val="222"/>
          <w:jc w:val="center"/>
        </w:trPr>
        <w:tc>
          <w:tcPr>
            <w:tcW w:w="3870" w:type="dxa"/>
            <w:tcBorders>
              <w:top w:val="nil"/>
              <w:left w:val="nil"/>
              <w:bottom w:val="nil"/>
              <w:right w:val="nil"/>
            </w:tcBorders>
            <w:shd w:val="clear" w:color="auto" w:fill="auto"/>
            <w:vAlign w:val="center"/>
          </w:tcPr>
          <w:p w14:paraId="5542E5CA"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State Affiliation</w:t>
            </w:r>
          </w:p>
        </w:tc>
        <w:tc>
          <w:tcPr>
            <w:tcW w:w="1170" w:type="dxa"/>
            <w:tcBorders>
              <w:top w:val="nil"/>
              <w:left w:val="nil"/>
              <w:bottom w:val="nil"/>
              <w:right w:val="nil"/>
            </w:tcBorders>
            <w:shd w:val="clear" w:color="auto" w:fill="auto"/>
            <w:vAlign w:val="center"/>
          </w:tcPr>
          <w:p w14:paraId="02764AC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-1.432***</w:t>
            </w:r>
          </w:p>
        </w:tc>
        <w:tc>
          <w:tcPr>
            <w:tcW w:w="1264" w:type="dxa"/>
            <w:tcBorders>
              <w:top w:val="nil"/>
              <w:left w:val="nil"/>
              <w:bottom w:val="nil"/>
              <w:right w:val="nil"/>
            </w:tcBorders>
            <w:shd w:val="clear" w:color="auto" w:fill="auto"/>
            <w:vAlign w:val="center"/>
          </w:tcPr>
          <w:p w14:paraId="0F1E95D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-1.313***</w:t>
            </w:r>
          </w:p>
        </w:tc>
        <w:tc>
          <w:tcPr>
            <w:tcW w:w="1196" w:type="dxa"/>
            <w:tcBorders>
              <w:top w:val="nil"/>
              <w:left w:val="nil"/>
              <w:bottom w:val="nil"/>
              <w:right w:val="nil"/>
            </w:tcBorders>
            <w:shd w:val="clear" w:color="auto" w:fill="auto"/>
            <w:vAlign w:val="center"/>
          </w:tcPr>
          <w:p w14:paraId="23666C9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-0.590***</w:t>
            </w:r>
          </w:p>
        </w:tc>
        <w:tc>
          <w:tcPr>
            <w:tcW w:w="1174" w:type="dxa"/>
            <w:tcBorders>
              <w:top w:val="nil"/>
              <w:left w:val="nil"/>
              <w:bottom w:val="nil"/>
              <w:right w:val="nil"/>
            </w:tcBorders>
            <w:shd w:val="clear" w:color="auto" w:fill="auto"/>
            <w:vAlign w:val="center"/>
          </w:tcPr>
          <w:p w14:paraId="2B618CE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-0.722***</w:t>
            </w:r>
          </w:p>
        </w:tc>
        <w:tc>
          <w:tcPr>
            <w:tcW w:w="1170" w:type="dxa"/>
            <w:tcBorders>
              <w:top w:val="nil"/>
              <w:left w:val="nil"/>
              <w:bottom w:val="nil"/>
              <w:right w:val="nil"/>
            </w:tcBorders>
            <w:shd w:val="clear" w:color="auto" w:fill="auto"/>
            <w:vAlign w:val="center"/>
          </w:tcPr>
          <w:p w14:paraId="5867CA9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-2.719***</w:t>
            </w:r>
          </w:p>
        </w:tc>
        <w:tc>
          <w:tcPr>
            <w:tcW w:w="1166" w:type="dxa"/>
            <w:tcBorders>
              <w:top w:val="nil"/>
              <w:left w:val="nil"/>
              <w:bottom w:val="nil"/>
              <w:right w:val="nil"/>
            </w:tcBorders>
            <w:shd w:val="clear" w:color="auto" w:fill="auto"/>
            <w:vAlign w:val="center"/>
          </w:tcPr>
          <w:p w14:paraId="20D3FE0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-2.162***</w:t>
            </w:r>
          </w:p>
        </w:tc>
      </w:tr>
      <w:tr w:rsidR="00727A9B" w:rsidRPr="006F5D71" w14:paraId="7C414610" w14:textId="77777777" w:rsidTr="004C7443">
        <w:trPr>
          <w:trHeight w:val="222"/>
          <w:jc w:val="center"/>
        </w:trPr>
        <w:tc>
          <w:tcPr>
            <w:tcW w:w="3870" w:type="dxa"/>
            <w:tcBorders>
              <w:top w:val="nil"/>
              <w:left w:val="nil"/>
              <w:bottom w:val="nil"/>
              <w:right w:val="nil"/>
            </w:tcBorders>
            <w:shd w:val="clear" w:color="auto" w:fill="auto"/>
            <w:vAlign w:val="center"/>
          </w:tcPr>
          <w:p w14:paraId="59504FFA"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7919057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(0.205)</w:t>
            </w:r>
          </w:p>
        </w:tc>
        <w:tc>
          <w:tcPr>
            <w:tcW w:w="1264" w:type="dxa"/>
            <w:tcBorders>
              <w:top w:val="nil"/>
              <w:left w:val="nil"/>
              <w:bottom w:val="nil"/>
              <w:right w:val="nil"/>
            </w:tcBorders>
            <w:shd w:val="clear" w:color="auto" w:fill="auto"/>
            <w:vAlign w:val="center"/>
          </w:tcPr>
          <w:p w14:paraId="4FF338F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(0.212)</w:t>
            </w:r>
          </w:p>
        </w:tc>
        <w:tc>
          <w:tcPr>
            <w:tcW w:w="1196" w:type="dxa"/>
            <w:tcBorders>
              <w:top w:val="nil"/>
              <w:left w:val="nil"/>
              <w:bottom w:val="nil"/>
              <w:right w:val="nil"/>
            </w:tcBorders>
            <w:shd w:val="clear" w:color="auto" w:fill="auto"/>
            <w:vAlign w:val="center"/>
          </w:tcPr>
          <w:p w14:paraId="40DD1F1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(0.198)</w:t>
            </w:r>
          </w:p>
        </w:tc>
        <w:tc>
          <w:tcPr>
            <w:tcW w:w="1174" w:type="dxa"/>
            <w:tcBorders>
              <w:top w:val="nil"/>
              <w:left w:val="nil"/>
              <w:bottom w:val="nil"/>
              <w:right w:val="nil"/>
            </w:tcBorders>
            <w:shd w:val="clear" w:color="auto" w:fill="auto"/>
            <w:vAlign w:val="center"/>
          </w:tcPr>
          <w:p w14:paraId="7DFE9A8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(0.202)</w:t>
            </w:r>
          </w:p>
        </w:tc>
        <w:tc>
          <w:tcPr>
            <w:tcW w:w="1170" w:type="dxa"/>
            <w:tcBorders>
              <w:top w:val="nil"/>
              <w:left w:val="nil"/>
              <w:bottom w:val="nil"/>
              <w:right w:val="nil"/>
            </w:tcBorders>
            <w:shd w:val="clear" w:color="auto" w:fill="auto"/>
            <w:vAlign w:val="center"/>
          </w:tcPr>
          <w:p w14:paraId="2B7A4F4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(0.577)</w:t>
            </w:r>
          </w:p>
        </w:tc>
        <w:tc>
          <w:tcPr>
            <w:tcW w:w="1166" w:type="dxa"/>
            <w:tcBorders>
              <w:top w:val="nil"/>
              <w:left w:val="nil"/>
              <w:bottom w:val="nil"/>
              <w:right w:val="nil"/>
            </w:tcBorders>
            <w:shd w:val="clear" w:color="auto" w:fill="auto"/>
            <w:vAlign w:val="center"/>
          </w:tcPr>
          <w:p w14:paraId="0E415AB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(0.672)</w:t>
            </w:r>
          </w:p>
        </w:tc>
      </w:tr>
      <w:tr w:rsidR="00727A9B" w:rsidRPr="006F5D71" w14:paraId="5BBEA206" w14:textId="77777777" w:rsidTr="004C7443">
        <w:trPr>
          <w:trHeight w:val="234"/>
          <w:jc w:val="center"/>
        </w:trPr>
        <w:tc>
          <w:tcPr>
            <w:tcW w:w="3870" w:type="dxa"/>
            <w:tcBorders>
              <w:top w:val="nil"/>
              <w:left w:val="nil"/>
              <w:bottom w:val="nil"/>
              <w:right w:val="nil"/>
            </w:tcBorders>
            <w:shd w:val="clear" w:color="auto" w:fill="auto"/>
            <w:vAlign w:val="center"/>
          </w:tcPr>
          <w:p w14:paraId="6F29C720"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China Dummy</w:t>
            </w:r>
          </w:p>
        </w:tc>
        <w:tc>
          <w:tcPr>
            <w:tcW w:w="1170" w:type="dxa"/>
            <w:tcBorders>
              <w:top w:val="nil"/>
              <w:left w:val="nil"/>
              <w:bottom w:val="nil"/>
              <w:right w:val="nil"/>
            </w:tcBorders>
            <w:shd w:val="clear" w:color="auto" w:fill="auto"/>
            <w:vAlign w:val="center"/>
          </w:tcPr>
          <w:p w14:paraId="30C9057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-0.356*</w:t>
            </w:r>
          </w:p>
        </w:tc>
        <w:tc>
          <w:tcPr>
            <w:tcW w:w="1264" w:type="dxa"/>
            <w:tcBorders>
              <w:top w:val="nil"/>
              <w:left w:val="nil"/>
              <w:bottom w:val="nil"/>
              <w:right w:val="nil"/>
            </w:tcBorders>
            <w:shd w:val="clear" w:color="auto" w:fill="auto"/>
            <w:vAlign w:val="center"/>
          </w:tcPr>
          <w:p w14:paraId="2AE2B2C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-0.562***</w:t>
            </w:r>
          </w:p>
        </w:tc>
        <w:tc>
          <w:tcPr>
            <w:tcW w:w="1196" w:type="dxa"/>
            <w:tcBorders>
              <w:top w:val="nil"/>
              <w:left w:val="nil"/>
              <w:bottom w:val="nil"/>
              <w:right w:val="nil"/>
            </w:tcBorders>
            <w:shd w:val="clear" w:color="auto" w:fill="auto"/>
            <w:vAlign w:val="center"/>
          </w:tcPr>
          <w:p w14:paraId="55F0E69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-0.529*</w:t>
            </w:r>
          </w:p>
        </w:tc>
        <w:tc>
          <w:tcPr>
            <w:tcW w:w="1174" w:type="dxa"/>
            <w:tcBorders>
              <w:top w:val="nil"/>
              <w:left w:val="nil"/>
              <w:bottom w:val="nil"/>
              <w:right w:val="nil"/>
            </w:tcBorders>
            <w:shd w:val="clear" w:color="auto" w:fill="auto"/>
            <w:vAlign w:val="center"/>
          </w:tcPr>
          <w:p w14:paraId="15CA089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-0.479*</w:t>
            </w:r>
          </w:p>
        </w:tc>
        <w:tc>
          <w:tcPr>
            <w:tcW w:w="1170" w:type="dxa"/>
            <w:tcBorders>
              <w:top w:val="nil"/>
              <w:left w:val="nil"/>
              <w:bottom w:val="nil"/>
              <w:right w:val="nil"/>
            </w:tcBorders>
            <w:shd w:val="clear" w:color="auto" w:fill="auto"/>
            <w:vAlign w:val="center"/>
          </w:tcPr>
          <w:p w14:paraId="02B8606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-0.305*</w:t>
            </w:r>
          </w:p>
        </w:tc>
        <w:tc>
          <w:tcPr>
            <w:tcW w:w="1166" w:type="dxa"/>
            <w:tcBorders>
              <w:top w:val="nil"/>
              <w:left w:val="nil"/>
              <w:bottom w:val="nil"/>
              <w:right w:val="nil"/>
            </w:tcBorders>
            <w:shd w:val="clear" w:color="auto" w:fill="auto"/>
            <w:vAlign w:val="center"/>
          </w:tcPr>
          <w:p w14:paraId="7655FC5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-0.525*</w:t>
            </w:r>
          </w:p>
        </w:tc>
      </w:tr>
      <w:tr w:rsidR="00727A9B" w:rsidRPr="006F5D71" w14:paraId="5C260B44" w14:textId="77777777" w:rsidTr="004C7443">
        <w:trPr>
          <w:trHeight w:val="222"/>
          <w:jc w:val="center"/>
        </w:trPr>
        <w:tc>
          <w:tcPr>
            <w:tcW w:w="3870" w:type="dxa"/>
            <w:tcBorders>
              <w:top w:val="nil"/>
              <w:left w:val="nil"/>
              <w:bottom w:val="nil"/>
              <w:right w:val="nil"/>
            </w:tcBorders>
            <w:shd w:val="clear" w:color="auto" w:fill="auto"/>
            <w:vAlign w:val="center"/>
          </w:tcPr>
          <w:p w14:paraId="3B5A99DF"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1DCDC3C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(0.199)</w:t>
            </w:r>
          </w:p>
        </w:tc>
        <w:tc>
          <w:tcPr>
            <w:tcW w:w="1264" w:type="dxa"/>
            <w:tcBorders>
              <w:top w:val="nil"/>
              <w:left w:val="nil"/>
              <w:bottom w:val="nil"/>
              <w:right w:val="nil"/>
            </w:tcBorders>
            <w:shd w:val="clear" w:color="auto" w:fill="auto"/>
            <w:vAlign w:val="center"/>
          </w:tcPr>
          <w:p w14:paraId="79DB580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(0.202)</w:t>
            </w:r>
          </w:p>
        </w:tc>
        <w:tc>
          <w:tcPr>
            <w:tcW w:w="1196" w:type="dxa"/>
            <w:tcBorders>
              <w:top w:val="nil"/>
              <w:left w:val="nil"/>
              <w:bottom w:val="nil"/>
              <w:right w:val="nil"/>
            </w:tcBorders>
            <w:shd w:val="clear" w:color="auto" w:fill="auto"/>
            <w:vAlign w:val="center"/>
          </w:tcPr>
          <w:p w14:paraId="6ECC854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(0.256)</w:t>
            </w:r>
          </w:p>
        </w:tc>
        <w:tc>
          <w:tcPr>
            <w:tcW w:w="1174" w:type="dxa"/>
            <w:tcBorders>
              <w:top w:val="nil"/>
              <w:left w:val="nil"/>
              <w:bottom w:val="nil"/>
              <w:right w:val="nil"/>
            </w:tcBorders>
            <w:shd w:val="clear" w:color="auto" w:fill="auto"/>
            <w:vAlign w:val="center"/>
          </w:tcPr>
          <w:p w14:paraId="3722613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(0.238)</w:t>
            </w:r>
          </w:p>
        </w:tc>
        <w:tc>
          <w:tcPr>
            <w:tcW w:w="1170" w:type="dxa"/>
            <w:tcBorders>
              <w:top w:val="nil"/>
              <w:left w:val="nil"/>
              <w:bottom w:val="nil"/>
              <w:right w:val="nil"/>
            </w:tcBorders>
            <w:shd w:val="clear" w:color="auto" w:fill="auto"/>
            <w:vAlign w:val="center"/>
          </w:tcPr>
          <w:p w14:paraId="3CF771A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(0.146)</w:t>
            </w:r>
          </w:p>
        </w:tc>
        <w:tc>
          <w:tcPr>
            <w:tcW w:w="1166" w:type="dxa"/>
            <w:tcBorders>
              <w:top w:val="nil"/>
              <w:left w:val="nil"/>
              <w:bottom w:val="nil"/>
              <w:right w:val="nil"/>
            </w:tcBorders>
            <w:shd w:val="clear" w:color="auto" w:fill="auto"/>
            <w:vAlign w:val="center"/>
          </w:tcPr>
          <w:p w14:paraId="7BCF5613"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(0.296)</w:t>
            </w:r>
          </w:p>
        </w:tc>
      </w:tr>
      <w:tr w:rsidR="00727A9B" w:rsidRPr="006F5D71" w14:paraId="149AED59" w14:textId="77777777" w:rsidTr="004C7443">
        <w:trPr>
          <w:trHeight w:val="234"/>
          <w:jc w:val="center"/>
        </w:trPr>
        <w:tc>
          <w:tcPr>
            <w:tcW w:w="3870" w:type="dxa"/>
            <w:tcBorders>
              <w:top w:val="nil"/>
              <w:left w:val="nil"/>
              <w:bottom w:val="nil"/>
              <w:right w:val="nil"/>
            </w:tcBorders>
            <w:shd w:val="clear" w:color="auto" w:fill="auto"/>
            <w:vAlign w:val="center"/>
          </w:tcPr>
          <w:p w14:paraId="3A8B0CFD"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Subsidiary Age</w:t>
            </w:r>
          </w:p>
        </w:tc>
        <w:tc>
          <w:tcPr>
            <w:tcW w:w="1170" w:type="dxa"/>
            <w:tcBorders>
              <w:top w:val="nil"/>
              <w:left w:val="nil"/>
              <w:bottom w:val="nil"/>
              <w:right w:val="nil"/>
            </w:tcBorders>
            <w:shd w:val="clear" w:color="auto" w:fill="auto"/>
            <w:vAlign w:val="center"/>
          </w:tcPr>
          <w:p w14:paraId="037E253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-0.127***</w:t>
            </w:r>
          </w:p>
        </w:tc>
        <w:tc>
          <w:tcPr>
            <w:tcW w:w="1264" w:type="dxa"/>
            <w:tcBorders>
              <w:top w:val="nil"/>
              <w:left w:val="nil"/>
              <w:bottom w:val="nil"/>
              <w:right w:val="nil"/>
            </w:tcBorders>
            <w:shd w:val="clear" w:color="auto" w:fill="auto"/>
            <w:vAlign w:val="center"/>
          </w:tcPr>
          <w:p w14:paraId="1966B0F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-0.139***</w:t>
            </w:r>
          </w:p>
        </w:tc>
        <w:tc>
          <w:tcPr>
            <w:tcW w:w="1196" w:type="dxa"/>
            <w:tcBorders>
              <w:top w:val="nil"/>
              <w:left w:val="nil"/>
              <w:bottom w:val="nil"/>
              <w:right w:val="nil"/>
            </w:tcBorders>
            <w:shd w:val="clear" w:color="auto" w:fill="auto"/>
            <w:vAlign w:val="center"/>
          </w:tcPr>
          <w:p w14:paraId="13A06CA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-0.130***</w:t>
            </w:r>
          </w:p>
        </w:tc>
        <w:tc>
          <w:tcPr>
            <w:tcW w:w="1174" w:type="dxa"/>
            <w:tcBorders>
              <w:top w:val="nil"/>
              <w:left w:val="nil"/>
              <w:bottom w:val="nil"/>
              <w:right w:val="nil"/>
            </w:tcBorders>
            <w:shd w:val="clear" w:color="auto" w:fill="auto"/>
            <w:vAlign w:val="center"/>
          </w:tcPr>
          <w:p w14:paraId="0C74B92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-0.199***</w:t>
            </w:r>
          </w:p>
        </w:tc>
        <w:tc>
          <w:tcPr>
            <w:tcW w:w="1170" w:type="dxa"/>
            <w:tcBorders>
              <w:top w:val="nil"/>
              <w:left w:val="nil"/>
              <w:bottom w:val="nil"/>
              <w:right w:val="nil"/>
            </w:tcBorders>
            <w:shd w:val="clear" w:color="auto" w:fill="auto"/>
            <w:vAlign w:val="center"/>
          </w:tcPr>
          <w:p w14:paraId="74EFE46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-0.182***</w:t>
            </w:r>
          </w:p>
        </w:tc>
        <w:tc>
          <w:tcPr>
            <w:tcW w:w="1166" w:type="dxa"/>
            <w:tcBorders>
              <w:top w:val="nil"/>
              <w:left w:val="nil"/>
              <w:bottom w:val="nil"/>
              <w:right w:val="nil"/>
            </w:tcBorders>
            <w:shd w:val="clear" w:color="auto" w:fill="auto"/>
            <w:vAlign w:val="center"/>
          </w:tcPr>
          <w:p w14:paraId="32196DE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-0.209***</w:t>
            </w:r>
          </w:p>
        </w:tc>
      </w:tr>
      <w:tr w:rsidR="00727A9B" w:rsidRPr="006F5D71" w14:paraId="6223FB71" w14:textId="77777777" w:rsidTr="004C7443">
        <w:trPr>
          <w:trHeight w:val="222"/>
          <w:jc w:val="center"/>
        </w:trPr>
        <w:tc>
          <w:tcPr>
            <w:tcW w:w="3870" w:type="dxa"/>
            <w:tcBorders>
              <w:top w:val="nil"/>
              <w:left w:val="nil"/>
              <w:bottom w:val="nil"/>
              <w:right w:val="nil"/>
            </w:tcBorders>
            <w:shd w:val="clear" w:color="auto" w:fill="auto"/>
            <w:vAlign w:val="center"/>
          </w:tcPr>
          <w:p w14:paraId="1690376A"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35AAAD4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(0.012)</w:t>
            </w:r>
          </w:p>
        </w:tc>
        <w:tc>
          <w:tcPr>
            <w:tcW w:w="1264" w:type="dxa"/>
            <w:tcBorders>
              <w:top w:val="nil"/>
              <w:left w:val="nil"/>
              <w:bottom w:val="nil"/>
              <w:right w:val="nil"/>
            </w:tcBorders>
            <w:shd w:val="clear" w:color="auto" w:fill="auto"/>
            <w:vAlign w:val="center"/>
          </w:tcPr>
          <w:p w14:paraId="6FC7745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(0.009)</w:t>
            </w:r>
          </w:p>
        </w:tc>
        <w:tc>
          <w:tcPr>
            <w:tcW w:w="1196" w:type="dxa"/>
            <w:tcBorders>
              <w:top w:val="nil"/>
              <w:left w:val="nil"/>
              <w:bottom w:val="nil"/>
              <w:right w:val="nil"/>
            </w:tcBorders>
            <w:shd w:val="clear" w:color="auto" w:fill="auto"/>
            <w:vAlign w:val="center"/>
          </w:tcPr>
          <w:p w14:paraId="51C6C96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(0.015)</w:t>
            </w:r>
          </w:p>
        </w:tc>
        <w:tc>
          <w:tcPr>
            <w:tcW w:w="1174" w:type="dxa"/>
            <w:tcBorders>
              <w:top w:val="nil"/>
              <w:left w:val="nil"/>
              <w:bottom w:val="nil"/>
              <w:right w:val="nil"/>
            </w:tcBorders>
            <w:shd w:val="clear" w:color="auto" w:fill="auto"/>
            <w:vAlign w:val="center"/>
          </w:tcPr>
          <w:p w14:paraId="52295D3E"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(0.012)</w:t>
            </w:r>
          </w:p>
        </w:tc>
        <w:tc>
          <w:tcPr>
            <w:tcW w:w="1170" w:type="dxa"/>
            <w:tcBorders>
              <w:top w:val="nil"/>
              <w:left w:val="nil"/>
              <w:bottom w:val="nil"/>
              <w:right w:val="nil"/>
            </w:tcBorders>
            <w:shd w:val="clear" w:color="auto" w:fill="auto"/>
            <w:vAlign w:val="center"/>
          </w:tcPr>
          <w:p w14:paraId="17EAF1C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(0.031)</w:t>
            </w:r>
          </w:p>
        </w:tc>
        <w:tc>
          <w:tcPr>
            <w:tcW w:w="1166" w:type="dxa"/>
            <w:tcBorders>
              <w:top w:val="nil"/>
              <w:left w:val="nil"/>
              <w:bottom w:val="nil"/>
              <w:right w:val="nil"/>
            </w:tcBorders>
            <w:shd w:val="clear" w:color="auto" w:fill="auto"/>
            <w:vAlign w:val="center"/>
          </w:tcPr>
          <w:p w14:paraId="2B4A72D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(0.025)</w:t>
            </w:r>
          </w:p>
        </w:tc>
      </w:tr>
      <w:tr w:rsidR="00727A9B" w:rsidRPr="006F5D71" w14:paraId="1E5B7059" w14:textId="77777777" w:rsidTr="004C7443">
        <w:trPr>
          <w:trHeight w:val="234"/>
          <w:jc w:val="center"/>
        </w:trPr>
        <w:tc>
          <w:tcPr>
            <w:tcW w:w="3870" w:type="dxa"/>
            <w:tcBorders>
              <w:top w:val="nil"/>
              <w:left w:val="nil"/>
              <w:bottom w:val="nil"/>
              <w:right w:val="nil"/>
            </w:tcBorders>
            <w:shd w:val="clear" w:color="auto" w:fill="auto"/>
            <w:vAlign w:val="center"/>
          </w:tcPr>
          <w:p w14:paraId="19720262"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i/>
                <w:iCs/>
                <w:color w:val="000000" w:themeColor="text1"/>
                <w:szCs w:val="24"/>
              </w:rPr>
              <w:t>Family Controlled</w:t>
            </w:r>
          </w:p>
        </w:tc>
        <w:tc>
          <w:tcPr>
            <w:tcW w:w="1170" w:type="dxa"/>
            <w:tcBorders>
              <w:top w:val="nil"/>
              <w:left w:val="nil"/>
              <w:bottom w:val="nil"/>
              <w:right w:val="nil"/>
            </w:tcBorders>
            <w:shd w:val="clear" w:color="auto" w:fill="auto"/>
            <w:vAlign w:val="center"/>
          </w:tcPr>
          <w:p w14:paraId="45D2256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-0.623***</w:t>
            </w:r>
          </w:p>
        </w:tc>
        <w:tc>
          <w:tcPr>
            <w:tcW w:w="1264" w:type="dxa"/>
            <w:tcBorders>
              <w:top w:val="nil"/>
              <w:left w:val="nil"/>
              <w:bottom w:val="nil"/>
              <w:right w:val="nil"/>
            </w:tcBorders>
            <w:shd w:val="clear" w:color="auto" w:fill="auto"/>
            <w:vAlign w:val="center"/>
          </w:tcPr>
          <w:p w14:paraId="29F16B9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-0.644***</w:t>
            </w:r>
          </w:p>
        </w:tc>
        <w:tc>
          <w:tcPr>
            <w:tcW w:w="1196" w:type="dxa"/>
            <w:tcBorders>
              <w:top w:val="nil"/>
              <w:left w:val="nil"/>
              <w:bottom w:val="nil"/>
              <w:right w:val="nil"/>
            </w:tcBorders>
            <w:shd w:val="clear" w:color="auto" w:fill="auto"/>
            <w:vAlign w:val="center"/>
          </w:tcPr>
          <w:p w14:paraId="2DB90F7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-0.533**</w:t>
            </w:r>
          </w:p>
        </w:tc>
        <w:tc>
          <w:tcPr>
            <w:tcW w:w="1174" w:type="dxa"/>
            <w:tcBorders>
              <w:top w:val="nil"/>
              <w:left w:val="nil"/>
              <w:bottom w:val="nil"/>
              <w:right w:val="nil"/>
            </w:tcBorders>
            <w:shd w:val="clear" w:color="auto" w:fill="auto"/>
            <w:vAlign w:val="center"/>
          </w:tcPr>
          <w:p w14:paraId="2F92338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-0.529**</w:t>
            </w:r>
          </w:p>
        </w:tc>
        <w:tc>
          <w:tcPr>
            <w:tcW w:w="1170" w:type="dxa"/>
            <w:tcBorders>
              <w:top w:val="nil"/>
              <w:left w:val="nil"/>
              <w:bottom w:val="nil"/>
              <w:right w:val="nil"/>
            </w:tcBorders>
            <w:shd w:val="clear" w:color="auto" w:fill="auto"/>
            <w:vAlign w:val="center"/>
          </w:tcPr>
          <w:p w14:paraId="16CE79F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-0.926**</w:t>
            </w:r>
          </w:p>
        </w:tc>
        <w:tc>
          <w:tcPr>
            <w:tcW w:w="1166" w:type="dxa"/>
            <w:tcBorders>
              <w:top w:val="nil"/>
              <w:left w:val="nil"/>
              <w:bottom w:val="nil"/>
              <w:right w:val="nil"/>
            </w:tcBorders>
            <w:shd w:val="clear" w:color="auto" w:fill="auto"/>
            <w:vAlign w:val="center"/>
          </w:tcPr>
          <w:p w14:paraId="0A2A932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-0.919**</w:t>
            </w:r>
          </w:p>
        </w:tc>
      </w:tr>
      <w:tr w:rsidR="00727A9B" w:rsidRPr="006F5D71" w14:paraId="73A2B8F3" w14:textId="77777777" w:rsidTr="004C7443">
        <w:trPr>
          <w:trHeight w:val="222"/>
          <w:jc w:val="center"/>
        </w:trPr>
        <w:tc>
          <w:tcPr>
            <w:tcW w:w="3870" w:type="dxa"/>
            <w:tcBorders>
              <w:top w:val="nil"/>
              <w:left w:val="nil"/>
              <w:bottom w:val="nil"/>
              <w:right w:val="nil"/>
            </w:tcBorders>
            <w:shd w:val="clear" w:color="auto" w:fill="auto"/>
            <w:vAlign w:val="center"/>
          </w:tcPr>
          <w:p w14:paraId="34F1B683"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37F3919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(0.219)</w:t>
            </w:r>
          </w:p>
        </w:tc>
        <w:tc>
          <w:tcPr>
            <w:tcW w:w="1264" w:type="dxa"/>
            <w:tcBorders>
              <w:top w:val="nil"/>
              <w:left w:val="nil"/>
              <w:bottom w:val="nil"/>
              <w:right w:val="nil"/>
            </w:tcBorders>
            <w:shd w:val="clear" w:color="auto" w:fill="auto"/>
            <w:vAlign w:val="center"/>
          </w:tcPr>
          <w:p w14:paraId="1624103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(0.215)</w:t>
            </w:r>
          </w:p>
        </w:tc>
        <w:tc>
          <w:tcPr>
            <w:tcW w:w="1196" w:type="dxa"/>
            <w:tcBorders>
              <w:top w:val="nil"/>
              <w:left w:val="nil"/>
              <w:bottom w:val="nil"/>
              <w:right w:val="nil"/>
            </w:tcBorders>
            <w:shd w:val="clear" w:color="auto" w:fill="auto"/>
            <w:vAlign w:val="center"/>
          </w:tcPr>
          <w:p w14:paraId="008ECBB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(0.260)</w:t>
            </w:r>
          </w:p>
        </w:tc>
        <w:tc>
          <w:tcPr>
            <w:tcW w:w="1174" w:type="dxa"/>
            <w:tcBorders>
              <w:top w:val="nil"/>
              <w:left w:val="nil"/>
              <w:bottom w:val="nil"/>
              <w:right w:val="nil"/>
            </w:tcBorders>
            <w:shd w:val="clear" w:color="auto" w:fill="auto"/>
            <w:vAlign w:val="center"/>
          </w:tcPr>
          <w:p w14:paraId="012A457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(0.210)</w:t>
            </w:r>
          </w:p>
        </w:tc>
        <w:tc>
          <w:tcPr>
            <w:tcW w:w="1170" w:type="dxa"/>
            <w:tcBorders>
              <w:top w:val="nil"/>
              <w:left w:val="nil"/>
              <w:bottom w:val="nil"/>
              <w:right w:val="nil"/>
            </w:tcBorders>
            <w:shd w:val="clear" w:color="auto" w:fill="auto"/>
            <w:vAlign w:val="center"/>
          </w:tcPr>
          <w:p w14:paraId="4DB77DC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(0.365)</w:t>
            </w:r>
          </w:p>
        </w:tc>
        <w:tc>
          <w:tcPr>
            <w:tcW w:w="1166" w:type="dxa"/>
            <w:tcBorders>
              <w:top w:val="nil"/>
              <w:left w:val="nil"/>
              <w:bottom w:val="nil"/>
              <w:right w:val="nil"/>
            </w:tcBorders>
            <w:shd w:val="clear" w:color="auto" w:fill="auto"/>
            <w:vAlign w:val="center"/>
          </w:tcPr>
          <w:p w14:paraId="1360622B"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(0.345)</w:t>
            </w:r>
          </w:p>
        </w:tc>
      </w:tr>
      <w:tr w:rsidR="00727A9B" w:rsidRPr="006F5D71" w14:paraId="21944FAC" w14:textId="77777777" w:rsidTr="004C7443">
        <w:trPr>
          <w:trHeight w:val="234"/>
          <w:jc w:val="center"/>
        </w:trPr>
        <w:tc>
          <w:tcPr>
            <w:tcW w:w="3870" w:type="dxa"/>
            <w:tcBorders>
              <w:top w:val="nil"/>
              <w:left w:val="nil"/>
              <w:bottom w:val="nil"/>
              <w:right w:val="nil"/>
            </w:tcBorders>
            <w:shd w:val="clear" w:color="auto" w:fill="auto"/>
            <w:vAlign w:val="center"/>
          </w:tcPr>
          <w:p w14:paraId="449E3E5C" w14:textId="77777777" w:rsidR="00C80543" w:rsidRPr="006F5D71" w:rsidRDefault="00C80543" w:rsidP="004C7443">
            <w:pPr>
              <w:widowControl w:val="0"/>
              <w:autoSpaceDE w:val="0"/>
              <w:autoSpaceDN w:val="0"/>
              <w:adjustRightInd w:val="0"/>
              <w:spacing w:after="0" w:line="240" w:lineRule="auto"/>
              <w:rPr>
                <w:color w:val="000000" w:themeColor="text1"/>
                <w:szCs w:val="24"/>
              </w:rPr>
            </w:pPr>
          </w:p>
        </w:tc>
        <w:tc>
          <w:tcPr>
            <w:tcW w:w="1170" w:type="dxa"/>
            <w:tcBorders>
              <w:top w:val="nil"/>
              <w:left w:val="nil"/>
              <w:bottom w:val="nil"/>
              <w:right w:val="nil"/>
            </w:tcBorders>
            <w:shd w:val="clear" w:color="auto" w:fill="auto"/>
            <w:vAlign w:val="center"/>
          </w:tcPr>
          <w:p w14:paraId="05CB217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264" w:type="dxa"/>
            <w:tcBorders>
              <w:top w:val="nil"/>
              <w:left w:val="nil"/>
              <w:bottom w:val="nil"/>
              <w:right w:val="nil"/>
            </w:tcBorders>
            <w:shd w:val="clear" w:color="auto" w:fill="auto"/>
            <w:vAlign w:val="center"/>
          </w:tcPr>
          <w:p w14:paraId="5CCFCE7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96" w:type="dxa"/>
            <w:tcBorders>
              <w:top w:val="nil"/>
              <w:left w:val="nil"/>
              <w:bottom w:val="nil"/>
              <w:right w:val="nil"/>
            </w:tcBorders>
            <w:shd w:val="clear" w:color="auto" w:fill="auto"/>
            <w:vAlign w:val="center"/>
          </w:tcPr>
          <w:p w14:paraId="2B3064D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4" w:type="dxa"/>
            <w:tcBorders>
              <w:top w:val="nil"/>
              <w:left w:val="nil"/>
              <w:bottom w:val="nil"/>
              <w:right w:val="nil"/>
            </w:tcBorders>
            <w:shd w:val="clear" w:color="auto" w:fill="auto"/>
            <w:vAlign w:val="center"/>
          </w:tcPr>
          <w:p w14:paraId="7A99CCD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70" w:type="dxa"/>
            <w:tcBorders>
              <w:top w:val="nil"/>
              <w:left w:val="nil"/>
              <w:bottom w:val="nil"/>
              <w:right w:val="nil"/>
            </w:tcBorders>
            <w:shd w:val="clear" w:color="auto" w:fill="auto"/>
            <w:vAlign w:val="center"/>
          </w:tcPr>
          <w:p w14:paraId="7953750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c>
          <w:tcPr>
            <w:tcW w:w="1166" w:type="dxa"/>
            <w:tcBorders>
              <w:top w:val="nil"/>
              <w:left w:val="nil"/>
              <w:bottom w:val="nil"/>
              <w:right w:val="nil"/>
            </w:tcBorders>
            <w:shd w:val="clear" w:color="auto" w:fill="auto"/>
            <w:vAlign w:val="center"/>
          </w:tcPr>
          <w:p w14:paraId="11BD2DD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p>
        </w:tc>
      </w:tr>
      <w:tr w:rsidR="00727A9B" w:rsidRPr="006F5D71" w14:paraId="1EA97836" w14:textId="77777777" w:rsidTr="004C7443">
        <w:tblPrEx>
          <w:tblBorders>
            <w:bottom w:val="single" w:sz="6" w:space="0" w:color="auto"/>
          </w:tblBorders>
        </w:tblPrEx>
        <w:trPr>
          <w:trHeight w:val="222"/>
          <w:jc w:val="center"/>
        </w:trPr>
        <w:tc>
          <w:tcPr>
            <w:tcW w:w="3870" w:type="dxa"/>
            <w:tcBorders>
              <w:top w:val="nil"/>
              <w:left w:val="nil"/>
              <w:bottom w:val="nil"/>
              <w:right w:val="nil"/>
            </w:tcBorders>
            <w:shd w:val="clear" w:color="auto" w:fill="auto"/>
            <w:vAlign w:val="center"/>
          </w:tcPr>
          <w:p w14:paraId="51C146A9"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color w:val="000000" w:themeColor="text1"/>
                <w:szCs w:val="24"/>
              </w:rPr>
              <w:t>Observations</w:t>
            </w:r>
          </w:p>
        </w:tc>
        <w:tc>
          <w:tcPr>
            <w:tcW w:w="1170" w:type="dxa"/>
            <w:tcBorders>
              <w:top w:val="nil"/>
              <w:left w:val="nil"/>
              <w:bottom w:val="nil"/>
              <w:right w:val="nil"/>
            </w:tcBorders>
            <w:shd w:val="clear" w:color="auto" w:fill="auto"/>
            <w:vAlign w:val="center"/>
          </w:tcPr>
          <w:p w14:paraId="7EC09EAD"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8,827</w:t>
            </w:r>
          </w:p>
        </w:tc>
        <w:tc>
          <w:tcPr>
            <w:tcW w:w="1264" w:type="dxa"/>
            <w:tcBorders>
              <w:top w:val="nil"/>
              <w:left w:val="nil"/>
              <w:bottom w:val="nil"/>
              <w:right w:val="nil"/>
            </w:tcBorders>
            <w:shd w:val="clear" w:color="auto" w:fill="auto"/>
            <w:vAlign w:val="center"/>
          </w:tcPr>
          <w:p w14:paraId="3E94588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8,827</w:t>
            </w:r>
          </w:p>
        </w:tc>
        <w:tc>
          <w:tcPr>
            <w:tcW w:w="1196" w:type="dxa"/>
            <w:tcBorders>
              <w:top w:val="nil"/>
              <w:left w:val="nil"/>
              <w:bottom w:val="nil"/>
              <w:right w:val="nil"/>
            </w:tcBorders>
            <w:shd w:val="clear" w:color="auto" w:fill="auto"/>
            <w:vAlign w:val="center"/>
          </w:tcPr>
          <w:p w14:paraId="5C14C1F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5,848</w:t>
            </w:r>
          </w:p>
        </w:tc>
        <w:tc>
          <w:tcPr>
            <w:tcW w:w="1174" w:type="dxa"/>
            <w:tcBorders>
              <w:top w:val="nil"/>
              <w:left w:val="nil"/>
              <w:bottom w:val="nil"/>
              <w:right w:val="nil"/>
            </w:tcBorders>
            <w:shd w:val="clear" w:color="auto" w:fill="auto"/>
            <w:vAlign w:val="center"/>
          </w:tcPr>
          <w:p w14:paraId="23618D1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5,848</w:t>
            </w:r>
          </w:p>
        </w:tc>
        <w:tc>
          <w:tcPr>
            <w:tcW w:w="1170" w:type="dxa"/>
            <w:tcBorders>
              <w:top w:val="nil"/>
              <w:left w:val="nil"/>
              <w:bottom w:val="nil"/>
              <w:right w:val="nil"/>
            </w:tcBorders>
            <w:shd w:val="clear" w:color="auto" w:fill="auto"/>
            <w:vAlign w:val="center"/>
          </w:tcPr>
          <w:p w14:paraId="706EE1A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2,979</w:t>
            </w:r>
          </w:p>
        </w:tc>
        <w:tc>
          <w:tcPr>
            <w:tcW w:w="1166" w:type="dxa"/>
            <w:tcBorders>
              <w:top w:val="nil"/>
              <w:left w:val="nil"/>
              <w:bottom w:val="nil"/>
              <w:right w:val="nil"/>
            </w:tcBorders>
            <w:shd w:val="clear" w:color="auto" w:fill="auto"/>
            <w:vAlign w:val="center"/>
          </w:tcPr>
          <w:p w14:paraId="68D3C13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2,979</w:t>
            </w:r>
          </w:p>
        </w:tc>
      </w:tr>
      <w:tr w:rsidR="00727A9B" w:rsidRPr="006F5D71" w14:paraId="2B996BED" w14:textId="77777777" w:rsidTr="004C7443">
        <w:tblPrEx>
          <w:tblBorders>
            <w:bottom w:val="single" w:sz="6" w:space="0" w:color="auto"/>
          </w:tblBorders>
        </w:tblPrEx>
        <w:trPr>
          <w:trHeight w:val="222"/>
          <w:jc w:val="center"/>
        </w:trPr>
        <w:tc>
          <w:tcPr>
            <w:tcW w:w="3870" w:type="dxa"/>
            <w:tcBorders>
              <w:top w:val="nil"/>
              <w:left w:val="nil"/>
              <w:bottom w:val="nil"/>
              <w:right w:val="nil"/>
            </w:tcBorders>
            <w:shd w:val="clear" w:color="auto" w:fill="auto"/>
            <w:vAlign w:val="center"/>
          </w:tcPr>
          <w:p w14:paraId="66757FCA"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color w:val="000000" w:themeColor="text1"/>
                <w:szCs w:val="24"/>
              </w:rPr>
              <w:t>Exited cases</w:t>
            </w:r>
          </w:p>
        </w:tc>
        <w:tc>
          <w:tcPr>
            <w:tcW w:w="1170" w:type="dxa"/>
            <w:tcBorders>
              <w:top w:val="nil"/>
              <w:left w:val="nil"/>
              <w:bottom w:val="nil"/>
              <w:right w:val="nil"/>
            </w:tcBorders>
            <w:shd w:val="clear" w:color="auto" w:fill="auto"/>
            <w:vAlign w:val="center"/>
          </w:tcPr>
          <w:p w14:paraId="44B44FDC"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241</w:t>
            </w:r>
          </w:p>
        </w:tc>
        <w:tc>
          <w:tcPr>
            <w:tcW w:w="1264" w:type="dxa"/>
            <w:tcBorders>
              <w:top w:val="nil"/>
              <w:left w:val="nil"/>
              <w:bottom w:val="nil"/>
              <w:right w:val="nil"/>
            </w:tcBorders>
            <w:shd w:val="clear" w:color="auto" w:fill="auto"/>
            <w:vAlign w:val="center"/>
          </w:tcPr>
          <w:p w14:paraId="54687ED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241</w:t>
            </w:r>
          </w:p>
        </w:tc>
        <w:tc>
          <w:tcPr>
            <w:tcW w:w="1196" w:type="dxa"/>
            <w:tcBorders>
              <w:top w:val="nil"/>
              <w:left w:val="nil"/>
              <w:bottom w:val="nil"/>
              <w:right w:val="nil"/>
            </w:tcBorders>
            <w:shd w:val="clear" w:color="auto" w:fill="auto"/>
            <w:vAlign w:val="center"/>
          </w:tcPr>
          <w:p w14:paraId="47D6E8B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179</w:t>
            </w:r>
          </w:p>
        </w:tc>
        <w:tc>
          <w:tcPr>
            <w:tcW w:w="1174" w:type="dxa"/>
            <w:tcBorders>
              <w:top w:val="nil"/>
              <w:left w:val="nil"/>
              <w:bottom w:val="nil"/>
              <w:right w:val="nil"/>
            </w:tcBorders>
            <w:shd w:val="clear" w:color="auto" w:fill="auto"/>
            <w:vAlign w:val="center"/>
          </w:tcPr>
          <w:p w14:paraId="1AAB139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179</w:t>
            </w:r>
          </w:p>
        </w:tc>
        <w:tc>
          <w:tcPr>
            <w:tcW w:w="1170" w:type="dxa"/>
            <w:tcBorders>
              <w:top w:val="nil"/>
              <w:left w:val="nil"/>
              <w:bottom w:val="nil"/>
              <w:right w:val="nil"/>
            </w:tcBorders>
            <w:shd w:val="clear" w:color="auto" w:fill="auto"/>
            <w:vAlign w:val="center"/>
          </w:tcPr>
          <w:p w14:paraId="301C6B64"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62</w:t>
            </w:r>
          </w:p>
        </w:tc>
        <w:tc>
          <w:tcPr>
            <w:tcW w:w="1166" w:type="dxa"/>
            <w:tcBorders>
              <w:top w:val="nil"/>
              <w:left w:val="nil"/>
              <w:bottom w:val="nil"/>
              <w:right w:val="nil"/>
            </w:tcBorders>
            <w:shd w:val="clear" w:color="auto" w:fill="auto"/>
            <w:vAlign w:val="center"/>
          </w:tcPr>
          <w:p w14:paraId="4D50B0B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 xml:space="preserve"> 62</w:t>
            </w:r>
          </w:p>
        </w:tc>
      </w:tr>
      <w:tr w:rsidR="00727A9B" w:rsidRPr="006F5D71" w14:paraId="55D582D3" w14:textId="77777777" w:rsidTr="004C7443">
        <w:tblPrEx>
          <w:tblBorders>
            <w:bottom w:val="single" w:sz="6" w:space="0" w:color="auto"/>
          </w:tblBorders>
        </w:tblPrEx>
        <w:trPr>
          <w:trHeight w:val="222"/>
          <w:jc w:val="center"/>
        </w:trPr>
        <w:tc>
          <w:tcPr>
            <w:tcW w:w="3870" w:type="dxa"/>
            <w:tcBorders>
              <w:top w:val="nil"/>
              <w:left w:val="nil"/>
              <w:bottom w:val="nil"/>
              <w:right w:val="nil"/>
            </w:tcBorders>
            <w:shd w:val="clear" w:color="auto" w:fill="auto"/>
            <w:vAlign w:val="center"/>
          </w:tcPr>
          <w:p w14:paraId="37CE2316"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color w:val="000000" w:themeColor="text1"/>
                <w:szCs w:val="24"/>
              </w:rPr>
              <w:t>Log Likelihood</w:t>
            </w:r>
          </w:p>
        </w:tc>
        <w:tc>
          <w:tcPr>
            <w:tcW w:w="1170" w:type="dxa"/>
            <w:tcBorders>
              <w:top w:val="nil"/>
              <w:left w:val="nil"/>
              <w:bottom w:val="nil"/>
              <w:right w:val="nil"/>
            </w:tcBorders>
            <w:shd w:val="clear" w:color="auto" w:fill="auto"/>
            <w:vAlign w:val="center"/>
          </w:tcPr>
          <w:p w14:paraId="7A24E179"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-1520.25</w:t>
            </w:r>
          </w:p>
        </w:tc>
        <w:tc>
          <w:tcPr>
            <w:tcW w:w="1264" w:type="dxa"/>
            <w:tcBorders>
              <w:top w:val="nil"/>
              <w:left w:val="nil"/>
              <w:bottom w:val="nil"/>
              <w:right w:val="nil"/>
            </w:tcBorders>
            <w:shd w:val="clear" w:color="auto" w:fill="auto"/>
            <w:vAlign w:val="center"/>
          </w:tcPr>
          <w:p w14:paraId="73EAE10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-1519.72</w:t>
            </w:r>
          </w:p>
        </w:tc>
        <w:tc>
          <w:tcPr>
            <w:tcW w:w="1196" w:type="dxa"/>
            <w:tcBorders>
              <w:top w:val="nil"/>
              <w:left w:val="nil"/>
              <w:bottom w:val="nil"/>
              <w:right w:val="nil"/>
            </w:tcBorders>
            <w:shd w:val="clear" w:color="auto" w:fill="auto"/>
            <w:vAlign w:val="center"/>
          </w:tcPr>
          <w:p w14:paraId="14C7D656"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-1173.58</w:t>
            </w:r>
          </w:p>
        </w:tc>
        <w:tc>
          <w:tcPr>
            <w:tcW w:w="1174" w:type="dxa"/>
            <w:tcBorders>
              <w:top w:val="nil"/>
              <w:left w:val="nil"/>
              <w:bottom w:val="nil"/>
              <w:right w:val="nil"/>
            </w:tcBorders>
            <w:shd w:val="clear" w:color="auto" w:fill="auto"/>
            <w:vAlign w:val="center"/>
          </w:tcPr>
          <w:p w14:paraId="51766068"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-1033.22</w:t>
            </w:r>
          </w:p>
        </w:tc>
        <w:tc>
          <w:tcPr>
            <w:tcW w:w="1170" w:type="dxa"/>
            <w:tcBorders>
              <w:top w:val="nil"/>
              <w:left w:val="nil"/>
              <w:bottom w:val="nil"/>
              <w:right w:val="nil"/>
            </w:tcBorders>
            <w:shd w:val="clear" w:color="auto" w:fill="auto"/>
            <w:vAlign w:val="center"/>
          </w:tcPr>
          <w:p w14:paraId="455D545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-278.73</w:t>
            </w:r>
          </w:p>
        </w:tc>
        <w:tc>
          <w:tcPr>
            <w:tcW w:w="1166" w:type="dxa"/>
            <w:tcBorders>
              <w:top w:val="nil"/>
              <w:left w:val="nil"/>
              <w:bottom w:val="nil"/>
              <w:right w:val="nil"/>
            </w:tcBorders>
            <w:shd w:val="clear" w:color="auto" w:fill="auto"/>
            <w:vAlign w:val="center"/>
          </w:tcPr>
          <w:p w14:paraId="2879704A"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-276.47</w:t>
            </w:r>
          </w:p>
        </w:tc>
      </w:tr>
      <w:tr w:rsidR="00727A9B" w:rsidRPr="006F5D71" w14:paraId="08544D41" w14:textId="77777777" w:rsidTr="004C7443">
        <w:tblPrEx>
          <w:tblBorders>
            <w:bottom w:val="single" w:sz="6" w:space="0" w:color="auto"/>
          </w:tblBorders>
        </w:tblPrEx>
        <w:trPr>
          <w:trHeight w:val="234"/>
          <w:jc w:val="center"/>
        </w:trPr>
        <w:tc>
          <w:tcPr>
            <w:tcW w:w="3870" w:type="dxa"/>
            <w:tcBorders>
              <w:top w:val="nil"/>
              <w:left w:val="nil"/>
              <w:bottom w:val="single" w:sz="6" w:space="0" w:color="auto"/>
              <w:right w:val="nil"/>
            </w:tcBorders>
            <w:shd w:val="clear" w:color="auto" w:fill="auto"/>
            <w:vAlign w:val="center"/>
          </w:tcPr>
          <w:p w14:paraId="7B08BE7A" w14:textId="77777777" w:rsidR="00C80543" w:rsidRPr="006F5D71" w:rsidRDefault="00C80543" w:rsidP="004C7443">
            <w:pPr>
              <w:widowControl w:val="0"/>
              <w:autoSpaceDE w:val="0"/>
              <w:autoSpaceDN w:val="0"/>
              <w:adjustRightInd w:val="0"/>
              <w:spacing w:after="0" w:line="240" w:lineRule="auto"/>
              <w:rPr>
                <w:color w:val="000000" w:themeColor="text1"/>
                <w:szCs w:val="24"/>
              </w:rPr>
            </w:pPr>
            <w:r w:rsidRPr="006F5D71">
              <w:rPr>
                <w:color w:val="000000" w:themeColor="text1"/>
                <w:szCs w:val="24"/>
              </w:rPr>
              <w:t>Chi-square</w:t>
            </w:r>
          </w:p>
        </w:tc>
        <w:tc>
          <w:tcPr>
            <w:tcW w:w="1170" w:type="dxa"/>
            <w:tcBorders>
              <w:top w:val="nil"/>
              <w:left w:val="nil"/>
              <w:bottom w:val="single" w:sz="6" w:space="0" w:color="auto"/>
              <w:right w:val="nil"/>
            </w:tcBorders>
            <w:shd w:val="clear" w:color="auto" w:fill="auto"/>
            <w:vAlign w:val="center"/>
          </w:tcPr>
          <w:p w14:paraId="198048C1"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1043.2***</w:t>
            </w:r>
          </w:p>
        </w:tc>
        <w:tc>
          <w:tcPr>
            <w:tcW w:w="1264" w:type="dxa"/>
            <w:tcBorders>
              <w:top w:val="nil"/>
              <w:left w:val="nil"/>
              <w:bottom w:val="single" w:sz="6" w:space="0" w:color="auto"/>
              <w:right w:val="nil"/>
            </w:tcBorders>
            <w:shd w:val="clear" w:color="auto" w:fill="auto"/>
            <w:vAlign w:val="center"/>
          </w:tcPr>
          <w:p w14:paraId="6973E675"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1044.2***</w:t>
            </w:r>
          </w:p>
        </w:tc>
        <w:tc>
          <w:tcPr>
            <w:tcW w:w="1196" w:type="dxa"/>
            <w:tcBorders>
              <w:top w:val="nil"/>
              <w:left w:val="nil"/>
              <w:bottom w:val="single" w:sz="6" w:space="0" w:color="auto"/>
              <w:right w:val="nil"/>
            </w:tcBorders>
            <w:shd w:val="clear" w:color="auto" w:fill="auto"/>
            <w:vAlign w:val="center"/>
          </w:tcPr>
          <w:p w14:paraId="1E5D083F"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573.3***</w:t>
            </w:r>
          </w:p>
        </w:tc>
        <w:tc>
          <w:tcPr>
            <w:tcW w:w="1174" w:type="dxa"/>
            <w:tcBorders>
              <w:top w:val="nil"/>
              <w:left w:val="nil"/>
              <w:bottom w:val="single" w:sz="6" w:space="0" w:color="auto"/>
              <w:right w:val="nil"/>
            </w:tcBorders>
            <w:shd w:val="clear" w:color="auto" w:fill="auto"/>
            <w:vAlign w:val="center"/>
          </w:tcPr>
          <w:p w14:paraId="72122862"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862.1***</w:t>
            </w:r>
          </w:p>
        </w:tc>
        <w:tc>
          <w:tcPr>
            <w:tcW w:w="1170" w:type="dxa"/>
            <w:tcBorders>
              <w:top w:val="nil"/>
              <w:left w:val="nil"/>
              <w:bottom w:val="single" w:sz="6" w:space="0" w:color="auto"/>
              <w:right w:val="nil"/>
            </w:tcBorders>
            <w:shd w:val="clear" w:color="auto" w:fill="auto"/>
            <w:vAlign w:val="center"/>
          </w:tcPr>
          <w:p w14:paraId="3DA42D17"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321.6***</w:t>
            </w:r>
          </w:p>
        </w:tc>
        <w:tc>
          <w:tcPr>
            <w:tcW w:w="1166" w:type="dxa"/>
            <w:tcBorders>
              <w:top w:val="nil"/>
              <w:left w:val="nil"/>
              <w:bottom w:val="single" w:sz="6" w:space="0" w:color="auto"/>
              <w:right w:val="nil"/>
            </w:tcBorders>
            <w:shd w:val="clear" w:color="auto" w:fill="auto"/>
            <w:vAlign w:val="center"/>
          </w:tcPr>
          <w:p w14:paraId="5E629E00" w14:textId="77777777" w:rsidR="00C80543" w:rsidRPr="006F5D71" w:rsidRDefault="00C80543" w:rsidP="004C744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328.3***</w:t>
            </w:r>
          </w:p>
        </w:tc>
      </w:tr>
    </w:tbl>
    <w:bookmarkEnd w:id="14"/>
    <w:p w14:paraId="252475A1" w14:textId="77777777" w:rsidR="008F1BD8" w:rsidRPr="006F5D71" w:rsidRDefault="008F1BD8" w:rsidP="008F1BD8">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Standard errors in parentheses</w:t>
      </w:r>
    </w:p>
    <w:p w14:paraId="02C1721D" w14:textId="77777777" w:rsidR="004B70C4" w:rsidRPr="006F5D71" w:rsidRDefault="008F1BD8" w:rsidP="0084434A">
      <w:pPr>
        <w:widowControl w:val="0"/>
        <w:autoSpaceDE w:val="0"/>
        <w:autoSpaceDN w:val="0"/>
        <w:adjustRightInd w:val="0"/>
        <w:spacing w:after="0" w:line="240" w:lineRule="auto"/>
        <w:jc w:val="center"/>
        <w:rPr>
          <w:rFonts w:cs="Times New Roman"/>
          <w:color w:val="000000" w:themeColor="text1"/>
          <w:szCs w:val="24"/>
        </w:rPr>
      </w:pPr>
      <w:r w:rsidRPr="006F5D71">
        <w:rPr>
          <w:color w:val="000000" w:themeColor="text1"/>
          <w:szCs w:val="24"/>
        </w:rPr>
        <w:t>*** p&lt;0.01, ** p&lt;0.05, * p&lt;0.1</w:t>
      </w:r>
    </w:p>
    <w:p w14:paraId="52438718" w14:textId="77777777" w:rsidR="00281675" w:rsidRPr="006F5D71" w:rsidRDefault="00281675">
      <w:pPr>
        <w:rPr>
          <w:color w:val="000000" w:themeColor="text1"/>
          <w:sz w:val="22"/>
        </w:rPr>
      </w:pPr>
    </w:p>
    <w:p w14:paraId="03A28548" w14:textId="77777777" w:rsidR="008F1BD8" w:rsidRPr="006F5D71" w:rsidRDefault="008F1BD8" w:rsidP="008F1BD8">
      <w:pPr>
        <w:widowControl w:val="0"/>
        <w:autoSpaceDE w:val="0"/>
        <w:autoSpaceDN w:val="0"/>
        <w:adjustRightInd w:val="0"/>
        <w:spacing w:after="0" w:line="240" w:lineRule="auto"/>
        <w:rPr>
          <w:color w:val="000000" w:themeColor="text1"/>
          <w:szCs w:val="24"/>
        </w:rPr>
      </w:pPr>
      <w:r w:rsidRPr="006F5D71">
        <w:rPr>
          <w:b/>
          <w:bCs/>
          <w:color w:val="000000" w:themeColor="text1"/>
          <w:szCs w:val="24"/>
        </w:rPr>
        <w:t>Table 5: Homogeneity tests</w:t>
      </w:r>
      <w:r w:rsidRPr="006F5D71">
        <w:rPr>
          <w:color w:val="000000" w:themeColor="text1"/>
          <w:szCs w:val="24"/>
        </w:rPr>
        <w:t>: test of equality of survival functions across North and South group</w:t>
      </w:r>
    </w:p>
    <w:tbl>
      <w:tblPr>
        <w:tblW w:w="9514" w:type="dxa"/>
        <w:tblLook w:val="04A0" w:firstRow="1" w:lastRow="0" w:firstColumn="1" w:lastColumn="0" w:noHBand="0" w:noVBand="1"/>
      </w:tblPr>
      <w:tblGrid>
        <w:gridCol w:w="3195"/>
        <w:gridCol w:w="6319"/>
      </w:tblGrid>
      <w:tr w:rsidR="00727A9B" w:rsidRPr="006F5D71" w14:paraId="1D73A8B7" w14:textId="77777777" w:rsidTr="00CA5BAC">
        <w:trPr>
          <w:trHeight w:val="378"/>
        </w:trPr>
        <w:tc>
          <w:tcPr>
            <w:tcW w:w="3195" w:type="dxa"/>
            <w:tcBorders>
              <w:top w:val="single" w:sz="4" w:space="0" w:color="auto"/>
              <w:left w:val="nil"/>
              <w:bottom w:val="single" w:sz="4" w:space="0" w:color="auto"/>
              <w:right w:val="single" w:sz="4" w:space="0" w:color="auto"/>
            </w:tcBorders>
            <w:shd w:val="clear" w:color="auto" w:fill="auto"/>
            <w:noWrap/>
            <w:vAlign w:val="bottom"/>
            <w:hideMark/>
          </w:tcPr>
          <w:p w14:paraId="0CDFD24F" w14:textId="77777777" w:rsidR="008F1BD8" w:rsidRPr="006F5D71" w:rsidRDefault="008F1BD8" w:rsidP="008F1BD8">
            <w:pPr>
              <w:spacing w:after="0" w:line="240" w:lineRule="auto"/>
              <w:rPr>
                <w:rFonts w:cs="Calibri"/>
                <w:color w:val="000000" w:themeColor="text1"/>
              </w:rPr>
            </w:pPr>
            <w:r w:rsidRPr="006F5D71">
              <w:rPr>
                <w:rFonts w:cs="Calibri"/>
                <w:color w:val="000000" w:themeColor="text1"/>
              </w:rPr>
              <w:t> </w:t>
            </w:r>
          </w:p>
        </w:tc>
        <w:tc>
          <w:tcPr>
            <w:tcW w:w="6319" w:type="dxa"/>
            <w:tcBorders>
              <w:top w:val="single" w:sz="4" w:space="0" w:color="auto"/>
              <w:left w:val="nil"/>
              <w:bottom w:val="single" w:sz="4" w:space="0" w:color="auto"/>
              <w:right w:val="nil"/>
            </w:tcBorders>
            <w:shd w:val="clear" w:color="auto" w:fill="auto"/>
            <w:noWrap/>
            <w:vAlign w:val="bottom"/>
            <w:hideMark/>
          </w:tcPr>
          <w:p w14:paraId="0193C831" w14:textId="77777777" w:rsidR="008F1BD8" w:rsidRPr="006F5D71" w:rsidRDefault="008F1BD8" w:rsidP="008F1BD8">
            <w:pPr>
              <w:spacing w:after="0" w:line="240" w:lineRule="auto"/>
              <w:jc w:val="center"/>
              <w:rPr>
                <w:rFonts w:cs="Calibri"/>
                <w:b/>
                <w:bCs/>
                <w:color w:val="000000" w:themeColor="text1"/>
              </w:rPr>
            </w:pPr>
            <w:r w:rsidRPr="006F5D71">
              <w:rPr>
                <w:b/>
                <w:bCs/>
                <w:color w:val="000000" w:themeColor="text1"/>
              </w:rPr>
              <w:t>North Vs South</w:t>
            </w:r>
          </w:p>
        </w:tc>
      </w:tr>
      <w:tr w:rsidR="00727A9B" w:rsidRPr="006F5D71" w14:paraId="15B54396" w14:textId="77777777" w:rsidTr="00CA5BAC">
        <w:trPr>
          <w:trHeight w:val="378"/>
        </w:trPr>
        <w:tc>
          <w:tcPr>
            <w:tcW w:w="3195" w:type="dxa"/>
            <w:tcBorders>
              <w:top w:val="nil"/>
              <w:left w:val="nil"/>
              <w:bottom w:val="nil"/>
              <w:right w:val="single" w:sz="4" w:space="0" w:color="auto"/>
            </w:tcBorders>
            <w:shd w:val="clear" w:color="auto" w:fill="auto"/>
            <w:noWrap/>
            <w:vAlign w:val="bottom"/>
            <w:hideMark/>
          </w:tcPr>
          <w:p w14:paraId="791C2EB3" w14:textId="77777777" w:rsidR="008F1BD8" w:rsidRPr="006F5D71" w:rsidRDefault="008F1BD8" w:rsidP="008F1BD8">
            <w:pPr>
              <w:spacing w:after="0" w:line="240" w:lineRule="auto"/>
              <w:rPr>
                <w:b/>
                <w:bCs/>
                <w:color w:val="000000" w:themeColor="text1"/>
              </w:rPr>
            </w:pPr>
            <w:r w:rsidRPr="006F5D71">
              <w:rPr>
                <w:b/>
                <w:bCs/>
                <w:color w:val="000000" w:themeColor="text1"/>
              </w:rPr>
              <w:t>Log-Rank Test</w:t>
            </w:r>
          </w:p>
        </w:tc>
        <w:tc>
          <w:tcPr>
            <w:tcW w:w="6319" w:type="dxa"/>
            <w:tcBorders>
              <w:top w:val="nil"/>
              <w:left w:val="nil"/>
              <w:bottom w:val="nil"/>
              <w:right w:val="nil"/>
            </w:tcBorders>
            <w:shd w:val="clear" w:color="auto" w:fill="auto"/>
            <w:noWrap/>
            <w:vAlign w:val="bottom"/>
            <w:hideMark/>
          </w:tcPr>
          <w:p w14:paraId="4938738A" w14:textId="77777777" w:rsidR="008F1BD8" w:rsidRPr="006F5D71" w:rsidRDefault="008F1BD8" w:rsidP="008F1BD8">
            <w:pPr>
              <w:spacing w:after="0" w:line="240" w:lineRule="auto"/>
              <w:jc w:val="center"/>
              <w:rPr>
                <w:color w:val="000000" w:themeColor="text1"/>
              </w:rPr>
            </w:pPr>
            <w:r w:rsidRPr="006F5D71">
              <w:rPr>
                <w:color w:val="000000" w:themeColor="text1"/>
              </w:rPr>
              <w:t>10.03 (0.0015)</w:t>
            </w:r>
          </w:p>
        </w:tc>
      </w:tr>
      <w:tr w:rsidR="00727A9B" w:rsidRPr="006F5D71" w14:paraId="3655AFA5" w14:textId="77777777" w:rsidTr="00CA5BAC">
        <w:trPr>
          <w:trHeight w:val="378"/>
        </w:trPr>
        <w:tc>
          <w:tcPr>
            <w:tcW w:w="3195" w:type="dxa"/>
            <w:tcBorders>
              <w:top w:val="nil"/>
              <w:left w:val="nil"/>
              <w:bottom w:val="nil"/>
              <w:right w:val="single" w:sz="4" w:space="0" w:color="auto"/>
            </w:tcBorders>
            <w:shd w:val="clear" w:color="auto" w:fill="auto"/>
            <w:noWrap/>
            <w:vAlign w:val="bottom"/>
            <w:hideMark/>
          </w:tcPr>
          <w:p w14:paraId="65EE8BC9" w14:textId="77777777" w:rsidR="008F1BD8" w:rsidRPr="006F5D71" w:rsidRDefault="008F1BD8" w:rsidP="008F1BD8">
            <w:pPr>
              <w:spacing w:after="0" w:line="240" w:lineRule="auto"/>
              <w:rPr>
                <w:b/>
                <w:bCs/>
                <w:color w:val="000000" w:themeColor="text1"/>
              </w:rPr>
            </w:pPr>
            <w:r w:rsidRPr="006F5D71">
              <w:rPr>
                <w:b/>
                <w:bCs/>
                <w:color w:val="000000" w:themeColor="text1"/>
              </w:rPr>
              <w:t>Wilcoxon Test</w:t>
            </w:r>
          </w:p>
        </w:tc>
        <w:tc>
          <w:tcPr>
            <w:tcW w:w="6319" w:type="dxa"/>
            <w:tcBorders>
              <w:top w:val="nil"/>
              <w:left w:val="nil"/>
              <w:bottom w:val="nil"/>
              <w:right w:val="nil"/>
            </w:tcBorders>
            <w:shd w:val="clear" w:color="auto" w:fill="auto"/>
            <w:noWrap/>
            <w:vAlign w:val="bottom"/>
            <w:hideMark/>
          </w:tcPr>
          <w:p w14:paraId="0B758400" w14:textId="77777777" w:rsidR="008F1BD8" w:rsidRPr="006F5D71" w:rsidRDefault="008F1BD8" w:rsidP="008F1BD8">
            <w:pPr>
              <w:spacing w:after="0" w:line="240" w:lineRule="auto"/>
              <w:jc w:val="center"/>
              <w:rPr>
                <w:color w:val="000000" w:themeColor="text1"/>
              </w:rPr>
            </w:pPr>
            <w:r w:rsidRPr="006F5D71">
              <w:rPr>
                <w:color w:val="000000" w:themeColor="text1"/>
              </w:rPr>
              <w:t>30.537 (0.0000)</w:t>
            </w:r>
          </w:p>
        </w:tc>
      </w:tr>
      <w:tr w:rsidR="00727A9B" w:rsidRPr="006F5D71" w14:paraId="79BCF715" w14:textId="77777777" w:rsidTr="00CA5BAC">
        <w:trPr>
          <w:trHeight w:val="378"/>
        </w:trPr>
        <w:tc>
          <w:tcPr>
            <w:tcW w:w="3195" w:type="dxa"/>
            <w:tcBorders>
              <w:top w:val="nil"/>
              <w:left w:val="nil"/>
              <w:bottom w:val="nil"/>
              <w:right w:val="single" w:sz="4" w:space="0" w:color="auto"/>
            </w:tcBorders>
            <w:shd w:val="clear" w:color="auto" w:fill="auto"/>
            <w:noWrap/>
            <w:vAlign w:val="bottom"/>
            <w:hideMark/>
          </w:tcPr>
          <w:p w14:paraId="104016E6" w14:textId="77777777" w:rsidR="008F1BD8" w:rsidRPr="006F5D71" w:rsidRDefault="008F1BD8" w:rsidP="008F1BD8">
            <w:pPr>
              <w:spacing w:after="0" w:line="240" w:lineRule="auto"/>
              <w:rPr>
                <w:b/>
                <w:bCs/>
                <w:color w:val="000000" w:themeColor="text1"/>
              </w:rPr>
            </w:pPr>
            <w:proofErr w:type="spellStart"/>
            <w:r w:rsidRPr="006F5D71">
              <w:rPr>
                <w:b/>
                <w:bCs/>
                <w:color w:val="000000" w:themeColor="text1"/>
              </w:rPr>
              <w:t>Peto</w:t>
            </w:r>
            <w:proofErr w:type="spellEnd"/>
            <w:r w:rsidRPr="006F5D71">
              <w:rPr>
                <w:b/>
                <w:bCs/>
                <w:color w:val="000000" w:themeColor="text1"/>
              </w:rPr>
              <w:t>–</w:t>
            </w:r>
            <w:proofErr w:type="spellStart"/>
            <w:r w:rsidRPr="006F5D71">
              <w:rPr>
                <w:b/>
                <w:bCs/>
                <w:color w:val="000000" w:themeColor="text1"/>
              </w:rPr>
              <w:t>Peto</w:t>
            </w:r>
            <w:proofErr w:type="spellEnd"/>
            <w:r w:rsidRPr="006F5D71">
              <w:rPr>
                <w:b/>
                <w:bCs/>
                <w:color w:val="000000" w:themeColor="text1"/>
              </w:rPr>
              <w:t xml:space="preserve"> Prentice</w:t>
            </w:r>
          </w:p>
        </w:tc>
        <w:tc>
          <w:tcPr>
            <w:tcW w:w="6319" w:type="dxa"/>
            <w:tcBorders>
              <w:top w:val="nil"/>
              <w:left w:val="nil"/>
              <w:bottom w:val="nil"/>
              <w:right w:val="nil"/>
            </w:tcBorders>
            <w:shd w:val="clear" w:color="auto" w:fill="auto"/>
            <w:noWrap/>
            <w:vAlign w:val="bottom"/>
            <w:hideMark/>
          </w:tcPr>
          <w:p w14:paraId="05BB33C0" w14:textId="77777777" w:rsidR="008F1BD8" w:rsidRPr="006F5D71" w:rsidRDefault="008F1BD8" w:rsidP="008F1BD8">
            <w:pPr>
              <w:spacing w:after="0" w:line="240" w:lineRule="auto"/>
              <w:jc w:val="center"/>
              <w:rPr>
                <w:color w:val="000000" w:themeColor="text1"/>
              </w:rPr>
            </w:pPr>
            <w:r w:rsidRPr="006F5D71">
              <w:rPr>
                <w:color w:val="000000" w:themeColor="text1"/>
              </w:rPr>
              <w:t>10.47 (0.0012)</w:t>
            </w:r>
          </w:p>
        </w:tc>
      </w:tr>
      <w:tr w:rsidR="00727A9B" w:rsidRPr="006F5D71" w14:paraId="347B53FF" w14:textId="77777777" w:rsidTr="00CA5BAC">
        <w:trPr>
          <w:trHeight w:val="378"/>
        </w:trPr>
        <w:tc>
          <w:tcPr>
            <w:tcW w:w="3195" w:type="dxa"/>
            <w:tcBorders>
              <w:top w:val="nil"/>
              <w:left w:val="nil"/>
              <w:bottom w:val="single" w:sz="4" w:space="0" w:color="auto"/>
              <w:right w:val="single" w:sz="4" w:space="0" w:color="auto"/>
            </w:tcBorders>
            <w:shd w:val="clear" w:color="auto" w:fill="auto"/>
            <w:noWrap/>
            <w:vAlign w:val="bottom"/>
            <w:hideMark/>
          </w:tcPr>
          <w:p w14:paraId="615FD285" w14:textId="77777777" w:rsidR="008F1BD8" w:rsidRPr="006F5D71" w:rsidRDefault="008F1BD8" w:rsidP="008F1BD8">
            <w:pPr>
              <w:spacing w:after="0" w:line="240" w:lineRule="auto"/>
              <w:rPr>
                <w:b/>
                <w:bCs/>
                <w:color w:val="000000" w:themeColor="text1"/>
              </w:rPr>
            </w:pPr>
            <w:proofErr w:type="spellStart"/>
            <w:r w:rsidRPr="006F5D71">
              <w:rPr>
                <w:b/>
                <w:bCs/>
                <w:color w:val="000000" w:themeColor="text1"/>
              </w:rPr>
              <w:t>Tarone</w:t>
            </w:r>
            <w:proofErr w:type="spellEnd"/>
            <w:r w:rsidRPr="006F5D71">
              <w:rPr>
                <w:b/>
                <w:bCs/>
                <w:color w:val="000000" w:themeColor="text1"/>
              </w:rPr>
              <w:t xml:space="preserve"> Ware</w:t>
            </w:r>
          </w:p>
        </w:tc>
        <w:tc>
          <w:tcPr>
            <w:tcW w:w="6319" w:type="dxa"/>
            <w:tcBorders>
              <w:top w:val="nil"/>
              <w:left w:val="nil"/>
              <w:bottom w:val="single" w:sz="4" w:space="0" w:color="auto"/>
              <w:right w:val="nil"/>
            </w:tcBorders>
            <w:shd w:val="clear" w:color="auto" w:fill="auto"/>
            <w:noWrap/>
            <w:vAlign w:val="bottom"/>
            <w:hideMark/>
          </w:tcPr>
          <w:p w14:paraId="341C15C1" w14:textId="77777777" w:rsidR="008F1BD8" w:rsidRPr="006F5D71" w:rsidRDefault="008F1BD8" w:rsidP="008F1BD8">
            <w:pPr>
              <w:spacing w:after="0" w:line="240" w:lineRule="auto"/>
              <w:jc w:val="center"/>
              <w:rPr>
                <w:color w:val="000000" w:themeColor="text1"/>
              </w:rPr>
            </w:pPr>
            <w:r w:rsidRPr="006F5D71">
              <w:rPr>
                <w:color w:val="000000" w:themeColor="text1"/>
              </w:rPr>
              <w:t>17.41 (0.0000)</w:t>
            </w:r>
          </w:p>
        </w:tc>
      </w:tr>
    </w:tbl>
    <w:p w14:paraId="7A523107" w14:textId="77777777" w:rsidR="008F1BD8" w:rsidRPr="006F5D71" w:rsidRDefault="00C91A3C" w:rsidP="00C91A3C">
      <w:pPr>
        <w:widowControl w:val="0"/>
        <w:autoSpaceDE w:val="0"/>
        <w:autoSpaceDN w:val="0"/>
        <w:adjustRightInd w:val="0"/>
        <w:spacing w:after="0" w:line="240" w:lineRule="auto"/>
        <w:rPr>
          <w:color w:val="000000" w:themeColor="text1"/>
          <w:szCs w:val="24"/>
        </w:rPr>
      </w:pPr>
      <w:r w:rsidRPr="006F5D71">
        <w:rPr>
          <w:color w:val="000000" w:themeColor="text1"/>
          <w:szCs w:val="24"/>
        </w:rPr>
        <w:t>P-values</w:t>
      </w:r>
      <w:r w:rsidR="008F1BD8" w:rsidRPr="006F5D71">
        <w:rPr>
          <w:color w:val="000000" w:themeColor="text1"/>
          <w:szCs w:val="24"/>
        </w:rPr>
        <w:t xml:space="preserve"> are in </w:t>
      </w:r>
      <w:r w:rsidR="00FC0D30" w:rsidRPr="006F5D71">
        <w:rPr>
          <w:color w:val="000000" w:themeColor="text1"/>
          <w:szCs w:val="24"/>
        </w:rPr>
        <w:t>parentheses.</w:t>
      </w:r>
      <w:r w:rsidRPr="006F5D71">
        <w:rPr>
          <w:color w:val="000000" w:themeColor="text1"/>
          <w:szCs w:val="24"/>
        </w:rPr>
        <w:t xml:space="preserve"> </w:t>
      </w:r>
      <w:r w:rsidR="008F1BD8" w:rsidRPr="006F5D71">
        <w:rPr>
          <w:color w:val="000000" w:themeColor="text1"/>
          <w:szCs w:val="24"/>
        </w:rPr>
        <w:t>Null Hypothesis is that surviv</w:t>
      </w:r>
      <w:r w:rsidR="00446B96" w:rsidRPr="006F5D71">
        <w:rPr>
          <w:color w:val="000000" w:themeColor="text1"/>
          <w:szCs w:val="24"/>
        </w:rPr>
        <w:t>al</w:t>
      </w:r>
      <w:r w:rsidR="008F1BD8" w:rsidRPr="006F5D71">
        <w:rPr>
          <w:color w:val="000000" w:themeColor="text1"/>
          <w:szCs w:val="24"/>
        </w:rPr>
        <w:t xml:space="preserve"> functions are same across groups</w:t>
      </w:r>
      <w:r w:rsidR="00163B9C">
        <w:rPr>
          <w:color w:val="000000" w:themeColor="text1"/>
          <w:szCs w:val="24"/>
        </w:rPr>
        <w:t>,</w:t>
      </w:r>
      <w:r w:rsidR="008F1BD8" w:rsidRPr="006F5D71">
        <w:rPr>
          <w:color w:val="000000" w:themeColor="text1"/>
          <w:szCs w:val="24"/>
        </w:rPr>
        <w:t xml:space="preserve"> i.e.</w:t>
      </w:r>
      <w:r w:rsidR="00163B9C">
        <w:rPr>
          <w:color w:val="000000" w:themeColor="text1"/>
          <w:szCs w:val="24"/>
        </w:rPr>
        <w:t>,</w:t>
      </w:r>
      <w:r w:rsidR="008F1BD8" w:rsidRPr="006F5D71">
        <w:rPr>
          <w:color w:val="000000" w:themeColor="text1"/>
          <w:szCs w:val="24"/>
        </w:rPr>
        <w:t xml:space="preserve"> North and South. It is rejected in all four homogeneity tests, indicating that surviv</w:t>
      </w:r>
      <w:r w:rsidR="00446B96" w:rsidRPr="006F5D71">
        <w:rPr>
          <w:color w:val="000000" w:themeColor="text1"/>
          <w:szCs w:val="24"/>
        </w:rPr>
        <w:t>al</w:t>
      </w:r>
      <w:r w:rsidR="008F1BD8" w:rsidRPr="006F5D71">
        <w:rPr>
          <w:color w:val="000000" w:themeColor="text1"/>
          <w:szCs w:val="24"/>
        </w:rPr>
        <w:t xml:space="preserve"> functions are not same across groups.</w:t>
      </w:r>
    </w:p>
    <w:p w14:paraId="3E2FE01D" w14:textId="77777777" w:rsidR="00DF0662" w:rsidRPr="006F5D71" w:rsidRDefault="00DF0662" w:rsidP="00DF0662">
      <w:pPr>
        <w:widowControl w:val="0"/>
        <w:autoSpaceDE w:val="0"/>
        <w:autoSpaceDN w:val="0"/>
        <w:adjustRightInd w:val="0"/>
        <w:spacing w:line="240" w:lineRule="auto"/>
        <w:rPr>
          <w:b/>
          <w:bCs/>
          <w:color w:val="000000" w:themeColor="text1"/>
          <w:szCs w:val="24"/>
        </w:rPr>
      </w:pPr>
      <w:r w:rsidRPr="006F5D71">
        <w:rPr>
          <w:b/>
          <w:bCs/>
          <w:color w:val="000000" w:themeColor="text1"/>
          <w:szCs w:val="24"/>
        </w:rPr>
        <w:lastRenderedPageBreak/>
        <w:t>Table 6:</w:t>
      </w:r>
      <w:r w:rsidR="00F72D31">
        <w:rPr>
          <w:b/>
          <w:bCs/>
          <w:color w:val="000000" w:themeColor="text1"/>
          <w:szCs w:val="24"/>
        </w:rPr>
        <w:t xml:space="preserve"> </w:t>
      </w:r>
      <w:r w:rsidRPr="006F5D71">
        <w:rPr>
          <w:b/>
          <w:bCs/>
          <w:color w:val="000000" w:themeColor="text1"/>
          <w:szCs w:val="24"/>
        </w:rPr>
        <w:t>Hazard Rates</w:t>
      </w:r>
    </w:p>
    <w:tbl>
      <w:tblPr>
        <w:tblW w:w="9472" w:type="dxa"/>
        <w:jc w:val="center"/>
        <w:tblLayout w:type="fixed"/>
        <w:tblCellMar>
          <w:left w:w="75" w:type="dxa"/>
          <w:right w:w="75" w:type="dxa"/>
        </w:tblCellMar>
        <w:tblLook w:val="0000" w:firstRow="0" w:lastRow="0" w:firstColumn="0" w:lastColumn="0" w:noHBand="0" w:noVBand="0"/>
      </w:tblPr>
      <w:tblGrid>
        <w:gridCol w:w="4398"/>
        <w:gridCol w:w="1842"/>
        <w:gridCol w:w="1612"/>
        <w:gridCol w:w="1620"/>
      </w:tblGrid>
      <w:tr w:rsidR="00727A9B" w:rsidRPr="006F5D71" w14:paraId="1C5705E1" w14:textId="77777777" w:rsidTr="008714B3">
        <w:trPr>
          <w:trHeight w:val="53"/>
          <w:jc w:val="center"/>
        </w:trPr>
        <w:tc>
          <w:tcPr>
            <w:tcW w:w="4398" w:type="dxa"/>
            <w:tcBorders>
              <w:top w:val="single" w:sz="4" w:space="0" w:color="auto"/>
              <w:bottom w:val="single" w:sz="4" w:space="0" w:color="auto"/>
            </w:tcBorders>
            <w:vAlign w:val="center"/>
          </w:tcPr>
          <w:p w14:paraId="4DB59B11" w14:textId="77777777" w:rsidR="00DF0662" w:rsidRPr="006F5D71" w:rsidRDefault="00F72D31" w:rsidP="008714B3">
            <w:pPr>
              <w:widowControl w:val="0"/>
              <w:autoSpaceDE w:val="0"/>
              <w:autoSpaceDN w:val="0"/>
              <w:adjustRightInd w:val="0"/>
              <w:spacing w:after="0" w:line="240" w:lineRule="auto"/>
              <w:rPr>
                <w:color w:val="000000" w:themeColor="text1"/>
                <w:szCs w:val="24"/>
              </w:rPr>
            </w:pPr>
            <w:r>
              <w:rPr>
                <w:color w:val="000000" w:themeColor="text1"/>
                <w:szCs w:val="24"/>
              </w:rPr>
              <w:t xml:space="preserve"> </w:t>
            </w:r>
          </w:p>
        </w:tc>
        <w:tc>
          <w:tcPr>
            <w:tcW w:w="1842" w:type="dxa"/>
            <w:tcBorders>
              <w:top w:val="single" w:sz="4" w:space="0" w:color="auto"/>
              <w:bottom w:val="single" w:sz="4" w:space="0" w:color="auto"/>
            </w:tcBorders>
            <w:vAlign w:val="center"/>
          </w:tcPr>
          <w:p w14:paraId="4B0AAF8B" w14:textId="77777777" w:rsidR="00DF0662" w:rsidRPr="006F5D71" w:rsidRDefault="00DF0662" w:rsidP="008714B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w:t>
            </w:r>
          </w:p>
        </w:tc>
        <w:tc>
          <w:tcPr>
            <w:tcW w:w="1612" w:type="dxa"/>
            <w:tcBorders>
              <w:top w:val="single" w:sz="4" w:space="0" w:color="auto"/>
              <w:bottom w:val="single" w:sz="4" w:space="0" w:color="auto"/>
            </w:tcBorders>
            <w:vAlign w:val="center"/>
          </w:tcPr>
          <w:p w14:paraId="73FD5590" w14:textId="77777777" w:rsidR="00DF0662" w:rsidRPr="006F5D71" w:rsidRDefault="00DF0662" w:rsidP="008714B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w:t>
            </w:r>
          </w:p>
        </w:tc>
        <w:tc>
          <w:tcPr>
            <w:tcW w:w="1620" w:type="dxa"/>
            <w:tcBorders>
              <w:top w:val="single" w:sz="4" w:space="0" w:color="auto"/>
              <w:bottom w:val="single" w:sz="4" w:space="0" w:color="auto"/>
            </w:tcBorders>
            <w:vAlign w:val="center"/>
          </w:tcPr>
          <w:p w14:paraId="58C86EFF" w14:textId="77777777" w:rsidR="00DF0662" w:rsidRPr="006F5D71" w:rsidRDefault="00DF0662" w:rsidP="008714B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(3)</w:t>
            </w:r>
          </w:p>
        </w:tc>
      </w:tr>
      <w:tr w:rsidR="00727A9B" w:rsidRPr="006F5D71" w14:paraId="206874B3" w14:textId="77777777" w:rsidTr="008714B3">
        <w:trPr>
          <w:trHeight w:val="56"/>
          <w:jc w:val="center"/>
        </w:trPr>
        <w:tc>
          <w:tcPr>
            <w:tcW w:w="4398" w:type="dxa"/>
            <w:tcBorders>
              <w:top w:val="single" w:sz="4" w:space="0" w:color="auto"/>
              <w:bottom w:val="single" w:sz="4" w:space="0" w:color="auto"/>
            </w:tcBorders>
            <w:vAlign w:val="center"/>
          </w:tcPr>
          <w:p w14:paraId="51894907" w14:textId="77777777" w:rsidR="00DF0662" w:rsidRPr="006F5D71" w:rsidRDefault="00DF0662" w:rsidP="008714B3">
            <w:pPr>
              <w:widowControl w:val="0"/>
              <w:autoSpaceDE w:val="0"/>
              <w:autoSpaceDN w:val="0"/>
              <w:adjustRightInd w:val="0"/>
              <w:spacing w:after="0" w:line="240" w:lineRule="auto"/>
              <w:rPr>
                <w:color w:val="000000" w:themeColor="text1"/>
                <w:szCs w:val="24"/>
              </w:rPr>
            </w:pPr>
            <w:r w:rsidRPr="006F5D71">
              <w:rPr>
                <w:color w:val="000000" w:themeColor="text1"/>
                <w:szCs w:val="24"/>
              </w:rPr>
              <w:t xml:space="preserve">VARIABLES </w:t>
            </w:r>
          </w:p>
        </w:tc>
        <w:tc>
          <w:tcPr>
            <w:tcW w:w="1842" w:type="dxa"/>
            <w:tcBorders>
              <w:top w:val="single" w:sz="4" w:space="0" w:color="auto"/>
              <w:bottom w:val="single" w:sz="4" w:space="0" w:color="auto"/>
            </w:tcBorders>
            <w:vAlign w:val="center"/>
          </w:tcPr>
          <w:p w14:paraId="1AC3658A" w14:textId="77777777" w:rsidR="00DF0662" w:rsidRPr="006F5D71" w:rsidRDefault="00DF0662" w:rsidP="008714B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Overall</w:t>
            </w:r>
          </w:p>
        </w:tc>
        <w:tc>
          <w:tcPr>
            <w:tcW w:w="1612" w:type="dxa"/>
            <w:tcBorders>
              <w:top w:val="single" w:sz="4" w:space="0" w:color="auto"/>
              <w:bottom w:val="single" w:sz="4" w:space="0" w:color="auto"/>
            </w:tcBorders>
            <w:vAlign w:val="center"/>
          </w:tcPr>
          <w:p w14:paraId="551B2A5C" w14:textId="77777777" w:rsidR="00DF0662" w:rsidRPr="006F5D71" w:rsidRDefault="00DF0662" w:rsidP="008714B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North</w:t>
            </w:r>
          </w:p>
        </w:tc>
        <w:tc>
          <w:tcPr>
            <w:tcW w:w="1620" w:type="dxa"/>
            <w:tcBorders>
              <w:top w:val="single" w:sz="4" w:space="0" w:color="auto"/>
              <w:bottom w:val="single" w:sz="4" w:space="0" w:color="auto"/>
            </w:tcBorders>
            <w:vAlign w:val="center"/>
          </w:tcPr>
          <w:p w14:paraId="0E34F35A" w14:textId="77777777" w:rsidR="00DF0662" w:rsidRPr="006F5D71" w:rsidRDefault="00DF0662" w:rsidP="008714B3">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South</w:t>
            </w:r>
          </w:p>
        </w:tc>
      </w:tr>
      <w:tr w:rsidR="00727A9B" w:rsidRPr="006F5D71" w14:paraId="6C52D8C5" w14:textId="77777777" w:rsidTr="008714B3">
        <w:trPr>
          <w:trHeight w:val="107"/>
          <w:jc w:val="center"/>
        </w:trPr>
        <w:tc>
          <w:tcPr>
            <w:tcW w:w="4398" w:type="dxa"/>
            <w:tcBorders>
              <w:top w:val="single" w:sz="4" w:space="0" w:color="auto"/>
            </w:tcBorders>
            <w:vAlign w:val="center"/>
          </w:tcPr>
          <w:p w14:paraId="6251C8EC" w14:textId="77777777" w:rsidR="00DF0662" w:rsidRPr="006F5D71" w:rsidRDefault="00DF0662" w:rsidP="00163B9C">
            <w:pPr>
              <w:widowControl w:val="0"/>
              <w:autoSpaceDE w:val="0"/>
              <w:autoSpaceDN w:val="0"/>
              <w:adjustRightInd w:val="0"/>
              <w:spacing w:after="0" w:line="240" w:lineRule="auto"/>
              <w:rPr>
                <w:color w:val="000000" w:themeColor="text1"/>
                <w:szCs w:val="24"/>
              </w:rPr>
            </w:pPr>
            <w:r w:rsidRPr="006F5D71">
              <w:rPr>
                <w:b/>
                <w:bCs/>
                <w:color w:val="000000" w:themeColor="text1"/>
                <w:szCs w:val="24"/>
              </w:rPr>
              <w:t>Firm</w:t>
            </w:r>
            <w:r w:rsidR="00163B9C">
              <w:rPr>
                <w:b/>
                <w:bCs/>
                <w:color w:val="000000" w:themeColor="text1"/>
                <w:szCs w:val="24"/>
              </w:rPr>
              <w:t>-s</w:t>
            </w:r>
            <w:r w:rsidRPr="006F5D71">
              <w:rPr>
                <w:b/>
                <w:bCs/>
                <w:color w:val="000000" w:themeColor="text1"/>
                <w:szCs w:val="24"/>
              </w:rPr>
              <w:t>pecific Advantages</w:t>
            </w:r>
          </w:p>
        </w:tc>
        <w:tc>
          <w:tcPr>
            <w:tcW w:w="1842" w:type="dxa"/>
            <w:tcBorders>
              <w:top w:val="single" w:sz="4" w:space="0" w:color="auto"/>
            </w:tcBorders>
            <w:vAlign w:val="center"/>
          </w:tcPr>
          <w:p w14:paraId="7695F407" w14:textId="77777777" w:rsidR="00DF0662" w:rsidRPr="006F5D71" w:rsidRDefault="00DF0662" w:rsidP="008714B3">
            <w:pPr>
              <w:widowControl w:val="0"/>
              <w:autoSpaceDE w:val="0"/>
              <w:autoSpaceDN w:val="0"/>
              <w:adjustRightInd w:val="0"/>
              <w:spacing w:after="0" w:line="240" w:lineRule="auto"/>
              <w:jc w:val="center"/>
              <w:rPr>
                <w:color w:val="000000" w:themeColor="text1"/>
                <w:szCs w:val="24"/>
              </w:rPr>
            </w:pPr>
          </w:p>
        </w:tc>
        <w:tc>
          <w:tcPr>
            <w:tcW w:w="1612" w:type="dxa"/>
            <w:tcBorders>
              <w:top w:val="single" w:sz="4" w:space="0" w:color="auto"/>
            </w:tcBorders>
            <w:vAlign w:val="center"/>
          </w:tcPr>
          <w:p w14:paraId="71BF98C4" w14:textId="77777777" w:rsidR="00DF0662" w:rsidRPr="006F5D71" w:rsidRDefault="00DF0662" w:rsidP="008714B3">
            <w:pPr>
              <w:widowControl w:val="0"/>
              <w:autoSpaceDE w:val="0"/>
              <w:autoSpaceDN w:val="0"/>
              <w:adjustRightInd w:val="0"/>
              <w:spacing w:after="0" w:line="240" w:lineRule="auto"/>
              <w:jc w:val="center"/>
              <w:rPr>
                <w:color w:val="000000" w:themeColor="text1"/>
                <w:szCs w:val="24"/>
              </w:rPr>
            </w:pPr>
          </w:p>
        </w:tc>
        <w:tc>
          <w:tcPr>
            <w:tcW w:w="1620" w:type="dxa"/>
            <w:tcBorders>
              <w:top w:val="single" w:sz="4" w:space="0" w:color="auto"/>
            </w:tcBorders>
            <w:vAlign w:val="center"/>
          </w:tcPr>
          <w:p w14:paraId="5E548A84" w14:textId="77777777" w:rsidR="00DF0662" w:rsidRPr="006F5D71" w:rsidRDefault="00DF0662" w:rsidP="008714B3">
            <w:pPr>
              <w:widowControl w:val="0"/>
              <w:autoSpaceDE w:val="0"/>
              <w:autoSpaceDN w:val="0"/>
              <w:adjustRightInd w:val="0"/>
              <w:spacing w:after="0" w:line="240" w:lineRule="auto"/>
              <w:jc w:val="center"/>
              <w:rPr>
                <w:color w:val="000000" w:themeColor="text1"/>
                <w:szCs w:val="24"/>
              </w:rPr>
            </w:pPr>
          </w:p>
        </w:tc>
      </w:tr>
      <w:tr w:rsidR="00727A9B" w:rsidRPr="006F5D71" w14:paraId="43301A26" w14:textId="77777777" w:rsidTr="008714B3">
        <w:trPr>
          <w:trHeight w:val="53"/>
          <w:jc w:val="center"/>
        </w:trPr>
        <w:tc>
          <w:tcPr>
            <w:tcW w:w="4398" w:type="dxa"/>
            <w:vAlign w:val="center"/>
          </w:tcPr>
          <w:p w14:paraId="4152F035" w14:textId="77777777" w:rsidR="00804EA1" w:rsidRPr="006F5D71" w:rsidRDefault="00804EA1" w:rsidP="00804EA1">
            <w:pPr>
              <w:widowControl w:val="0"/>
              <w:autoSpaceDE w:val="0"/>
              <w:autoSpaceDN w:val="0"/>
              <w:adjustRightInd w:val="0"/>
              <w:spacing w:after="0" w:line="240" w:lineRule="auto"/>
              <w:rPr>
                <w:i/>
                <w:color w:val="000000" w:themeColor="text1"/>
                <w:szCs w:val="24"/>
              </w:rPr>
            </w:pPr>
            <w:r w:rsidRPr="006F5D71">
              <w:rPr>
                <w:i/>
                <w:color w:val="000000" w:themeColor="text1"/>
                <w:szCs w:val="24"/>
              </w:rPr>
              <w:t>Absorptive Capacity</w:t>
            </w:r>
          </w:p>
        </w:tc>
        <w:tc>
          <w:tcPr>
            <w:tcW w:w="1842" w:type="dxa"/>
            <w:vAlign w:val="center"/>
          </w:tcPr>
          <w:p w14:paraId="25D5F7CC"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0.670***</w:t>
            </w:r>
          </w:p>
        </w:tc>
        <w:tc>
          <w:tcPr>
            <w:tcW w:w="1612" w:type="dxa"/>
            <w:vAlign w:val="center"/>
          </w:tcPr>
          <w:p w14:paraId="1C901F15"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0.702</w:t>
            </w:r>
          </w:p>
        </w:tc>
        <w:tc>
          <w:tcPr>
            <w:tcW w:w="1620" w:type="dxa"/>
            <w:vAlign w:val="center"/>
          </w:tcPr>
          <w:p w14:paraId="60053787"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0.616***</w:t>
            </w:r>
          </w:p>
        </w:tc>
      </w:tr>
      <w:tr w:rsidR="00727A9B" w:rsidRPr="006F5D71" w14:paraId="48DA6F6A" w14:textId="77777777" w:rsidTr="008714B3">
        <w:trPr>
          <w:trHeight w:val="53"/>
          <w:jc w:val="center"/>
        </w:trPr>
        <w:tc>
          <w:tcPr>
            <w:tcW w:w="4398" w:type="dxa"/>
            <w:vAlign w:val="center"/>
          </w:tcPr>
          <w:p w14:paraId="2767F10F" w14:textId="77777777" w:rsidR="00804EA1" w:rsidRPr="006F5D71" w:rsidRDefault="00804EA1" w:rsidP="00804EA1">
            <w:pPr>
              <w:widowControl w:val="0"/>
              <w:autoSpaceDE w:val="0"/>
              <w:autoSpaceDN w:val="0"/>
              <w:adjustRightInd w:val="0"/>
              <w:spacing w:after="0" w:line="240" w:lineRule="auto"/>
              <w:rPr>
                <w:i/>
                <w:color w:val="000000" w:themeColor="text1"/>
                <w:szCs w:val="24"/>
              </w:rPr>
            </w:pPr>
          </w:p>
        </w:tc>
        <w:tc>
          <w:tcPr>
            <w:tcW w:w="1842" w:type="dxa"/>
            <w:vAlign w:val="center"/>
          </w:tcPr>
          <w:p w14:paraId="59978A57"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(0.140)</w:t>
            </w:r>
          </w:p>
        </w:tc>
        <w:tc>
          <w:tcPr>
            <w:tcW w:w="1612" w:type="dxa"/>
            <w:vAlign w:val="center"/>
          </w:tcPr>
          <w:p w14:paraId="25A306CC"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(0.639)</w:t>
            </w:r>
          </w:p>
        </w:tc>
        <w:tc>
          <w:tcPr>
            <w:tcW w:w="1620" w:type="dxa"/>
            <w:vAlign w:val="center"/>
          </w:tcPr>
          <w:p w14:paraId="7A4875C1"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(0.043)</w:t>
            </w:r>
          </w:p>
        </w:tc>
      </w:tr>
      <w:tr w:rsidR="00727A9B" w:rsidRPr="006F5D71" w14:paraId="6445AFE4" w14:textId="77777777" w:rsidTr="008714B3">
        <w:trPr>
          <w:trHeight w:val="164"/>
          <w:jc w:val="center"/>
        </w:trPr>
        <w:tc>
          <w:tcPr>
            <w:tcW w:w="4398" w:type="dxa"/>
            <w:vAlign w:val="center"/>
          </w:tcPr>
          <w:p w14:paraId="7EF10A8C" w14:textId="77777777" w:rsidR="00804EA1" w:rsidRPr="006F5D71" w:rsidRDefault="00804EA1" w:rsidP="00804EA1">
            <w:pPr>
              <w:widowControl w:val="0"/>
              <w:autoSpaceDE w:val="0"/>
              <w:autoSpaceDN w:val="0"/>
              <w:adjustRightInd w:val="0"/>
              <w:spacing w:after="0" w:line="240" w:lineRule="auto"/>
              <w:rPr>
                <w:i/>
                <w:color w:val="000000" w:themeColor="text1"/>
                <w:szCs w:val="24"/>
              </w:rPr>
            </w:pPr>
            <w:r w:rsidRPr="006F5D71">
              <w:rPr>
                <w:i/>
                <w:color w:val="000000" w:themeColor="text1"/>
                <w:szCs w:val="24"/>
              </w:rPr>
              <w:t xml:space="preserve">Absorptive Capacity Leader </w:t>
            </w:r>
          </w:p>
        </w:tc>
        <w:tc>
          <w:tcPr>
            <w:tcW w:w="1842" w:type="dxa"/>
            <w:vAlign w:val="center"/>
          </w:tcPr>
          <w:p w14:paraId="002EA349"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0.708**</w:t>
            </w:r>
          </w:p>
        </w:tc>
        <w:tc>
          <w:tcPr>
            <w:tcW w:w="1612" w:type="dxa"/>
            <w:vAlign w:val="center"/>
          </w:tcPr>
          <w:p w14:paraId="183AD5E7"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0.760</w:t>
            </w:r>
          </w:p>
        </w:tc>
        <w:tc>
          <w:tcPr>
            <w:tcW w:w="1620" w:type="dxa"/>
            <w:vAlign w:val="center"/>
          </w:tcPr>
          <w:p w14:paraId="242CC31B"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0.443***</w:t>
            </w:r>
          </w:p>
        </w:tc>
      </w:tr>
      <w:tr w:rsidR="00727A9B" w:rsidRPr="006F5D71" w14:paraId="22EFB9B5" w14:textId="77777777" w:rsidTr="008714B3">
        <w:trPr>
          <w:trHeight w:val="56"/>
          <w:jc w:val="center"/>
        </w:trPr>
        <w:tc>
          <w:tcPr>
            <w:tcW w:w="4398" w:type="dxa"/>
            <w:vAlign w:val="center"/>
          </w:tcPr>
          <w:p w14:paraId="60799C03" w14:textId="77777777" w:rsidR="00804EA1" w:rsidRPr="006F5D71" w:rsidRDefault="00804EA1" w:rsidP="00804EA1">
            <w:pPr>
              <w:widowControl w:val="0"/>
              <w:autoSpaceDE w:val="0"/>
              <w:autoSpaceDN w:val="0"/>
              <w:adjustRightInd w:val="0"/>
              <w:spacing w:after="0" w:line="240" w:lineRule="auto"/>
              <w:rPr>
                <w:color w:val="000000" w:themeColor="text1"/>
                <w:szCs w:val="24"/>
              </w:rPr>
            </w:pPr>
          </w:p>
        </w:tc>
        <w:tc>
          <w:tcPr>
            <w:tcW w:w="1842" w:type="dxa"/>
            <w:vAlign w:val="center"/>
          </w:tcPr>
          <w:p w14:paraId="3463054B"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(0.262)</w:t>
            </w:r>
          </w:p>
        </w:tc>
        <w:tc>
          <w:tcPr>
            <w:tcW w:w="1612" w:type="dxa"/>
            <w:vAlign w:val="center"/>
          </w:tcPr>
          <w:p w14:paraId="55CEDECB"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(0.522)</w:t>
            </w:r>
          </w:p>
        </w:tc>
        <w:tc>
          <w:tcPr>
            <w:tcW w:w="1620" w:type="dxa"/>
            <w:vAlign w:val="center"/>
          </w:tcPr>
          <w:p w14:paraId="7C45F5B2"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(0.078)</w:t>
            </w:r>
          </w:p>
        </w:tc>
      </w:tr>
      <w:tr w:rsidR="00727A9B" w:rsidRPr="006F5D71" w14:paraId="79911643" w14:textId="77777777" w:rsidTr="008714B3">
        <w:trPr>
          <w:trHeight w:val="50"/>
          <w:jc w:val="center"/>
        </w:trPr>
        <w:tc>
          <w:tcPr>
            <w:tcW w:w="4398" w:type="dxa"/>
            <w:vAlign w:val="center"/>
          </w:tcPr>
          <w:p w14:paraId="61B41AF6" w14:textId="77777777" w:rsidR="00804EA1" w:rsidRPr="006F5D71" w:rsidRDefault="00804EA1" w:rsidP="00804EA1">
            <w:pPr>
              <w:widowControl w:val="0"/>
              <w:autoSpaceDE w:val="0"/>
              <w:autoSpaceDN w:val="0"/>
              <w:adjustRightInd w:val="0"/>
              <w:spacing w:after="0" w:line="240" w:lineRule="auto"/>
              <w:rPr>
                <w:color w:val="000000" w:themeColor="text1"/>
                <w:szCs w:val="24"/>
              </w:rPr>
            </w:pPr>
            <w:r w:rsidRPr="006F5D71">
              <w:rPr>
                <w:i/>
                <w:iCs/>
                <w:color w:val="000000" w:themeColor="text1"/>
                <w:szCs w:val="24"/>
              </w:rPr>
              <w:t>Labor Productivity</w:t>
            </w:r>
          </w:p>
        </w:tc>
        <w:tc>
          <w:tcPr>
            <w:tcW w:w="1842" w:type="dxa"/>
            <w:vAlign w:val="center"/>
          </w:tcPr>
          <w:p w14:paraId="557B30C6"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0.962***</w:t>
            </w:r>
          </w:p>
        </w:tc>
        <w:tc>
          <w:tcPr>
            <w:tcW w:w="1612" w:type="dxa"/>
            <w:vAlign w:val="center"/>
          </w:tcPr>
          <w:p w14:paraId="720AFADC"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0.986</w:t>
            </w:r>
          </w:p>
        </w:tc>
        <w:tc>
          <w:tcPr>
            <w:tcW w:w="1620" w:type="dxa"/>
            <w:vAlign w:val="center"/>
          </w:tcPr>
          <w:p w14:paraId="2A46CF72"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0.933**</w:t>
            </w:r>
          </w:p>
        </w:tc>
      </w:tr>
      <w:tr w:rsidR="00727A9B" w:rsidRPr="006F5D71" w14:paraId="0DBD368F" w14:textId="77777777" w:rsidTr="008714B3">
        <w:trPr>
          <w:trHeight w:val="56"/>
          <w:jc w:val="center"/>
        </w:trPr>
        <w:tc>
          <w:tcPr>
            <w:tcW w:w="4398" w:type="dxa"/>
            <w:vAlign w:val="center"/>
          </w:tcPr>
          <w:p w14:paraId="4E0FFDFA" w14:textId="77777777" w:rsidR="00804EA1" w:rsidRPr="006F5D71" w:rsidRDefault="00804EA1" w:rsidP="00804EA1">
            <w:pPr>
              <w:widowControl w:val="0"/>
              <w:autoSpaceDE w:val="0"/>
              <w:autoSpaceDN w:val="0"/>
              <w:adjustRightInd w:val="0"/>
              <w:spacing w:after="0" w:line="240" w:lineRule="auto"/>
              <w:rPr>
                <w:color w:val="000000" w:themeColor="text1"/>
                <w:szCs w:val="24"/>
              </w:rPr>
            </w:pPr>
          </w:p>
        </w:tc>
        <w:tc>
          <w:tcPr>
            <w:tcW w:w="1842" w:type="dxa"/>
            <w:vAlign w:val="center"/>
          </w:tcPr>
          <w:p w14:paraId="568F408D"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(0.010)</w:t>
            </w:r>
          </w:p>
        </w:tc>
        <w:tc>
          <w:tcPr>
            <w:tcW w:w="1612" w:type="dxa"/>
            <w:vAlign w:val="center"/>
          </w:tcPr>
          <w:p w14:paraId="50AC4E2B"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(0.759)</w:t>
            </w:r>
          </w:p>
        </w:tc>
        <w:tc>
          <w:tcPr>
            <w:tcW w:w="1620" w:type="dxa"/>
            <w:vAlign w:val="center"/>
          </w:tcPr>
          <w:p w14:paraId="7D3FA581"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(0.385)</w:t>
            </w:r>
          </w:p>
        </w:tc>
      </w:tr>
      <w:tr w:rsidR="00727A9B" w:rsidRPr="006F5D71" w14:paraId="7AE8351B" w14:textId="77777777" w:rsidTr="008714B3">
        <w:trPr>
          <w:trHeight w:val="107"/>
          <w:jc w:val="center"/>
        </w:trPr>
        <w:tc>
          <w:tcPr>
            <w:tcW w:w="4398" w:type="dxa"/>
            <w:vAlign w:val="center"/>
          </w:tcPr>
          <w:p w14:paraId="2EE2C69F" w14:textId="77777777" w:rsidR="00804EA1" w:rsidRPr="006F5D71" w:rsidRDefault="00804EA1" w:rsidP="00804EA1">
            <w:pPr>
              <w:widowControl w:val="0"/>
              <w:autoSpaceDE w:val="0"/>
              <w:autoSpaceDN w:val="0"/>
              <w:adjustRightInd w:val="0"/>
              <w:spacing w:after="0" w:line="240" w:lineRule="auto"/>
              <w:rPr>
                <w:color w:val="000000" w:themeColor="text1"/>
                <w:szCs w:val="24"/>
              </w:rPr>
            </w:pPr>
            <w:r w:rsidRPr="006F5D71">
              <w:rPr>
                <w:i/>
                <w:iCs/>
                <w:color w:val="000000" w:themeColor="text1"/>
                <w:szCs w:val="24"/>
              </w:rPr>
              <w:t xml:space="preserve">Labor Productivity Leader </w:t>
            </w:r>
          </w:p>
        </w:tc>
        <w:tc>
          <w:tcPr>
            <w:tcW w:w="1842" w:type="dxa"/>
            <w:vAlign w:val="center"/>
          </w:tcPr>
          <w:p w14:paraId="4CEA7DDB"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0.482***</w:t>
            </w:r>
          </w:p>
        </w:tc>
        <w:tc>
          <w:tcPr>
            <w:tcW w:w="1612" w:type="dxa"/>
            <w:vAlign w:val="center"/>
          </w:tcPr>
          <w:p w14:paraId="5AEB07F5"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0.712</w:t>
            </w:r>
          </w:p>
        </w:tc>
        <w:tc>
          <w:tcPr>
            <w:tcW w:w="1620" w:type="dxa"/>
            <w:vAlign w:val="center"/>
          </w:tcPr>
          <w:p w14:paraId="059D3433"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0.220***</w:t>
            </w:r>
          </w:p>
        </w:tc>
      </w:tr>
      <w:tr w:rsidR="00727A9B" w:rsidRPr="006F5D71" w14:paraId="3DF892C3" w14:textId="77777777" w:rsidTr="008714B3">
        <w:trPr>
          <w:trHeight w:val="53"/>
          <w:jc w:val="center"/>
        </w:trPr>
        <w:tc>
          <w:tcPr>
            <w:tcW w:w="4398" w:type="dxa"/>
            <w:vAlign w:val="center"/>
          </w:tcPr>
          <w:p w14:paraId="394A4FEF" w14:textId="77777777" w:rsidR="00804EA1" w:rsidRPr="006F5D71" w:rsidRDefault="00804EA1" w:rsidP="00804EA1">
            <w:pPr>
              <w:widowControl w:val="0"/>
              <w:autoSpaceDE w:val="0"/>
              <w:autoSpaceDN w:val="0"/>
              <w:adjustRightInd w:val="0"/>
              <w:spacing w:after="0" w:line="240" w:lineRule="auto"/>
              <w:rPr>
                <w:color w:val="000000" w:themeColor="text1"/>
                <w:szCs w:val="24"/>
              </w:rPr>
            </w:pPr>
          </w:p>
        </w:tc>
        <w:tc>
          <w:tcPr>
            <w:tcW w:w="1842" w:type="dxa"/>
            <w:vAlign w:val="center"/>
          </w:tcPr>
          <w:p w14:paraId="72E958DD"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(0.012)</w:t>
            </w:r>
          </w:p>
        </w:tc>
        <w:tc>
          <w:tcPr>
            <w:tcW w:w="1612" w:type="dxa"/>
            <w:vAlign w:val="center"/>
          </w:tcPr>
          <w:p w14:paraId="7D031CB4"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(0.699)</w:t>
            </w:r>
          </w:p>
        </w:tc>
        <w:tc>
          <w:tcPr>
            <w:tcW w:w="1620" w:type="dxa"/>
            <w:vAlign w:val="center"/>
          </w:tcPr>
          <w:p w14:paraId="7B71207F"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(0.020)</w:t>
            </w:r>
          </w:p>
        </w:tc>
      </w:tr>
      <w:tr w:rsidR="00727A9B" w:rsidRPr="006F5D71" w14:paraId="6DE743DC" w14:textId="77777777" w:rsidTr="008714B3">
        <w:trPr>
          <w:trHeight w:val="53"/>
          <w:jc w:val="center"/>
        </w:trPr>
        <w:tc>
          <w:tcPr>
            <w:tcW w:w="4398" w:type="dxa"/>
            <w:vAlign w:val="center"/>
          </w:tcPr>
          <w:p w14:paraId="0423089A" w14:textId="77777777" w:rsidR="00804EA1" w:rsidRPr="006F5D71" w:rsidRDefault="00804EA1" w:rsidP="00804EA1">
            <w:pPr>
              <w:widowControl w:val="0"/>
              <w:autoSpaceDE w:val="0"/>
              <w:autoSpaceDN w:val="0"/>
              <w:adjustRightInd w:val="0"/>
              <w:spacing w:after="0" w:line="240" w:lineRule="auto"/>
              <w:rPr>
                <w:color w:val="000000" w:themeColor="text1"/>
                <w:szCs w:val="24"/>
              </w:rPr>
            </w:pPr>
            <w:r w:rsidRPr="006F5D71">
              <w:rPr>
                <w:i/>
                <w:iCs/>
                <w:color w:val="000000" w:themeColor="text1"/>
                <w:szCs w:val="24"/>
              </w:rPr>
              <w:t>Profitability</w:t>
            </w:r>
          </w:p>
        </w:tc>
        <w:tc>
          <w:tcPr>
            <w:tcW w:w="1842" w:type="dxa"/>
            <w:vAlign w:val="center"/>
          </w:tcPr>
          <w:p w14:paraId="4F0DB38B"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0.690***</w:t>
            </w:r>
          </w:p>
        </w:tc>
        <w:tc>
          <w:tcPr>
            <w:tcW w:w="1612" w:type="dxa"/>
            <w:vAlign w:val="center"/>
          </w:tcPr>
          <w:p w14:paraId="5BADACCB"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0.703*</w:t>
            </w:r>
          </w:p>
        </w:tc>
        <w:tc>
          <w:tcPr>
            <w:tcW w:w="1620" w:type="dxa"/>
            <w:vAlign w:val="center"/>
          </w:tcPr>
          <w:p w14:paraId="30CAC4A9"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0.450***</w:t>
            </w:r>
          </w:p>
        </w:tc>
      </w:tr>
      <w:tr w:rsidR="00727A9B" w:rsidRPr="006F5D71" w14:paraId="04C336A3" w14:textId="77777777" w:rsidTr="008714B3">
        <w:trPr>
          <w:trHeight w:val="53"/>
          <w:jc w:val="center"/>
        </w:trPr>
        <w:tc>
          <w:tcPr>
            <w:tcW w:w="4398" w:type="dxa"/>
            <w:vAlign w:val="center"/>
          </w:tcPr>
          <w:p w14:paraId="5C233F2A" w14:textId="77777777" w:rsidR="00804EA1" w:rsidRPr="006F5D71" w:rsidRDefault="00804EA1" w:rsidP="00804EA1">
            <w:pPr>
              <w:widowControl w:val="0"/>
              <w:autoSpaceDE w:val="0"/>
              <w:autoSpaceDN w:val="0"/>
              <w:adjustRightInd w:val="0"/>
              <w:spacing w:after="0" w:line="240" w:lineRule="auto"/>
              <w:rPr>
                <w:color w:val="000000" w:themeColor="text1"/>
                <w:szCs w:val="24"/>
              </w:rPr>
            </w:pPr>
          </w:p>
        </w:tc>
        <w:tc>
          <w:tcPr>
            <w:tcW w:w="1842" w:type="dxa"/>
            <w:vAlign w:val="center"/>
          </w:tcPr>
          <w:p w14:paraId="4F3B0BFE"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(0.020)</w:t>
            </w:r>
          </w:p>
        </w:tc>
        <w:tc>
          <w:tcPr>
            <w:tcW w:w="1612" w:type="dxa"/>
            <w:vAlign w:val="center"/>
          </w:tcPr>
          <w:p w14:paraId="2747F208"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(0.298)</w:t>
            </w:r>
          </w:p>
        </w:tc>
        <w:tc>
          <w:tcPr>
            <w:tcW w:w="1620" w:type="dxa"/>
            <w:vAlign w:val="center"/>
          </w:tcPr>
          <w:p w14:paraId="0E1CDFD2"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(0.070)</w:t>
            </w:r>
          </w:p>
        </w:tc>
      </w:tr>
      <w:tr w:rsidR="00727A9B" w:rsidRPr="006F5D71" w14:paraId="5B8FA1A2" w14:textId="77777777" w:rsidTr="008714B3">
        <w:trPr>
          <w:trHeight w:val="107"/>
          <w:jc w:val="center"/>
        </w:trPr>
        <w:tc>
          <w:tcPr>
            <w:tcW w:w="4398" w:type="dxa"/>
            <w:vAlign w:val="center"/>
          </w:tcPr>
          <w:p w14:paraId="5013B94C" w14:textId="77777777" w:rsidR="00804EA1" w:rsidRPr="006F5D71" w:rsidRDefault="00804EA1" w:rsidP="00804EA1">
            <w:pPr>
              <w:widowControl w:val="0"/>
              <w:autoSpaceDE w:val="0"/>
              <w:autoSpaceDN w:val="0"/>
              <w:adjustRightInd w:val="0"/>
              <w:spacing w:after="0" w:line="240" w:lineRule="auto"/>
              <w:rPr>
                <w:color w:val="000000" w:themeColor="text1"/>
                <w:szCs w:val="24"/>
              </w:rPr>
            </w:pPr>
            <w:r w:rsidRPr="006F5D71">
              <w:rPr>
                <w:i/>
                <w:iCs/>
                <w:color w:val="000000" w:themeColor="text1"/>
                <w:szCs w:val="24"/>
              </w:rPr>
              <w:t xml:space="preserve">Profitability Leader </w:t>
            </w:r>
          </w:p>
        </w:tc>
        <w:tc>
          <w:tcPr>
            <w:tcW w:w="1842" w:type="dxa"/>
            <w:vAlign w:val="center"/>
          </w:tcPr>
          <w:p w14:paraId="1FB86749"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0.511**</w:t>
            </w:r>
          </w:p>
        </w:tc>
        <w:tc>
          <w:tcPr>
            <w:tcW w:w="1612" w:type="dxa"/>
            <w:vAlign w:val="center"/>
          </w:tcPr>
          <w:p w14:paraId="005F2AB9"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0.502*</w:t>
            </w:r>
          </w:p>
        </w:tc>
        <w:tc>
          <w:tcPr>
            <w:tcW w:w="1620" w:type="dxa"/>
            <w:vAlign w:val="center"/>
          </w:tcPr>
          <w:p w14:paraId="5DF6AE75"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0.187**</w:t>
            </w:r>
          </w:p>
        </w:tc>
      </w:tr>
      <w:tr w:rsidR="00727A9B" w:rsidRPr="006F5D71" w14:paraId="03268DB9" w14:textId="77777777" w:rsidTr="008714B3">
        <w:trPr>
          <w:trHeight w:val="56"/>
          <w:jc w:val="center"/>
        </w:trPr>
        <w:tc>
          <w:tcPr>
            <w:tcW w:w="4398" w:type="dxa"/>
            <w:vAlign w:val="center"/>
          </w:tcPr>
          <w:p w14:paraId="3038B7FE" w14:textId="77777777" w:rsidR="00804EA1" w:rsidRPr="006F5D71" w:rsidRDefault="00804EA1" w:rsidP="00804EA1">
            <w:pPr>
              <w:widowControl w:val="0"/>
              <w:autoSpaceDE w:val="0"/>
              <w:autoSpaceDN w:val="0"/>
              <w:adjustRightInd w:val="0"/>
              <w:spacing w:after="0" w:line="240" w:lineRule="auto"/>
              <w:rPr>
                <w:color w:val="000000" w:themeColor="text1"/>
                <w:szCs w:val="24"/>
              </w:rPr>
            </w:pPr>
          </w:p>
        </w:tc>
        <w:tc>
          <w:tcPr>
            <w:tcW w:w="1842" w:type="dxa"/>
            <w:vAlign w:val="center"/>
          </w:tcPr>
          <w:p w14:paraId="0AF75395"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(0.204)</w:t>
            </w:r>
          </w:p>
        </w:tc>
        <w:tc>
          <w:tcPr>
            <w:tcW w:w="1612" w:type="dxa"/>
            <w:vAlign w:val="center"/>
          </w:tcPr>
          <w:p w14:paraId="4D4E3978"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(0.209)</w:t>
            </w:r>
          </w:p>
        </w:tc>
        <w:tc>
          <w:tcPr>
            <w:tcW w:w="1620" w:type="dxa"/>
            <w:vAlign w:val="center"/>
          </w:tcPr>
          <w:p w14:paraId="4CFF8F3A" w14:textId="77777777" w:rsidR="00804EA1" w:rsidRPr="006F5D71" w:rsidRDefault="00804EA1" w:rsidP="00804EA1">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(0.074)</w:t>
            </w:r>
          </w:p>
        </w:tc>
      </w:tr>
      <w:tr w:rsidR="00727A9B" w:rsidRPr="006F5D71" w14:paraId="22D42D4C" w14:textId="77777777" w:rsidTr="008714B3">
        <w:trPr>
          <w:trHeight w:val="50"/>
          <w:jc w:val="center"/>
        </w:trPr>
        <w:tc>
          <w:tcPr>
            <w:tcW w:w="4398" w:type="dxa"/>
            <w:vAlign w:val="center"/>
          </w:tcPr>
          <w:p w14:paraId="7917AA07" w14:textId="77777777" w:rsidR="002361E4" w:rsidRPr="006F5D71" w:rsidRDefault="000510CF" w:rsidP="002361E4">
            <w:pPr>
              <w:widowControl w:val="0"/>
              <w:autoSpaceDE w:val="0"/>
              <w:autoSpaceDN w:val="0"/>
              <w:adjustRightInd w:val="0"/>
              <w:spacing w:after="0" w:line="240" w:lineRule="auto"/>
              <w:rPr>
                <w:b/>
                <w:bCs/>
                <w:color w:val="000000" w:themeColor="text1"/>
                <w:szCs w:val="24"/>
              </w:rPr>
            </w:pPr>
            <w:r w:rsidRPr="006F5D71">
              <w:rPr>
                <w:b/>
                <w:bCs/>
                <w:color w:val="000000" w:themeColor="text1"/>
                <w:szCs w:val="24"/>
              </w:rPr>
              <w:t>Endogenous &amp; Exogenous Risks</w:t>
            </w:r>
          </w:p>
        </w:tc>
        <w:tc>
          <w:tcPr>
            <w:tcW w:w="1842" w:type="dxa"/>
            <w:vAlign w:val="center"/>
          </w:tcPr>
          <w:p w14:paraId="1BE2B4C0"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p>
        </w:tc>
        <w:tc>
          <w:tcPr>
            <w:tcW w:w="1612" w:type="dxa"/>
            <w:vAlign w:val="center"/>
          </w:tcPr>
          <w:p w14:paraId="633CEB03"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p>
        </w:tc>
        <w:tc>
          <w:tcPr>
            <w:tcW w:w="1620" w:type="dxa"/>
            <w:vAlign w:val="center"/>
          </w:tcPr>
          <w:p w14:paraId="3310B3F3"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p>
        </w:tc>
      </w:tr>
      <w:tr w:rsidR="00727A9B" w:rsidRPr="006F5D71" w14:paraId="20778304" w14:textId="77777777" w:rsidTr="008714B3">
        <w:trPr>
          <w:trHeight w:val="53"/>
          <w:jc w:val="center"/>
        </w:trPr>
        <w:tc>
          <w:tcPr>
            <w:tcW w:w="4398" w:type="dxa"/>
            <w:vAlign w:val="center"/>
          </w:tcPr>
          <w:p w14:paraId="40DA830B" w14:textId="77777777" w:rsidR="002361E4" w:rsidRPr="006F5D71" w:rsidRDefault="002361E4" w:rsidP="002361E4">
            <w:pPr>
              <w:widowControl w:val="0"/>
              <w:autoSpaceDE w:val="0"/>
              <w:autoSpaceDN w:val="0"/>
              <w:adjustRightInd w:val="0"/>
              <w:spacing w:after="0" w:line="240" w:lineRule="auto"/>
              <w:rPr>
                <w:color w:val="000000" w:themeColor="text1"/>
                <w:szCs w:val="24"/>
              </w:rPr>
            </w:pPr>
            <w:r w:rsidRPr="006F5D71">
              <w:rPr>
                <w:i/>
                <w:iCs/>
                <w:color w:val="000000" w:themeColor="text1"/>
                <w:szCs w:val="24"/>
              </w:rPr>
              <w:t>Country Risk</w:t>
            </w:r>
          </w:p>
        </w:tc>
        <w:tc>
          <w:tcPr>
            <w:tcW w:w="1842" w:type="dxa"/>
            <w:vAlign w:val="center"/>
          </w:tcPr>
          <w:p w14:paraId="19E20CF2"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2.406*</w:t>
            </w:r>
          </w:p>
        </w:tc>
        <w:tc>
          <w:tcPr>
            <w:tcW w:w="1612" w:type="dxa"/>
            <w:vAlign w:val="center"/>
          </w:tcPr>
          <w:p w14:paraId="1017727D"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2.073**</w:t>
            </w:r>
          </w:p>
        </w:tc>
        <w:tc>
          <w:tcPr>
            <w:tcW w:w="1620" w:type="dxa"/>
            <w:vAlign w:val="center"/>
          </w:tcPr>
          <w:p w14:paraId="6E8FDF54"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1.992</w:t>
            </w:r>
          </w:p>
        </w:tc>
      </w:tr>
      <w:tr w:rsidR="00727A9B" w:rsidRPr="006F5D71" w14:paraId="42FF33B2" w14:textId="77777777" w:rsidTr="008714B3">
        <w:trPr>
          <w:trHeight w:val="56"/>
          <w:jc w:val="center"/>
        </w:trPr>
        <w:tc>
          <w:tcPr>
            <w:tcW w:w="4398" w:type="dxa"/>
            <w:vAlign w:val="center"/>
          </w:tcPr>
          <w:p w14:paraId="23EA00B4" w14:textId="77777777" w:rsidR="002361E4" w:rsidRPr="006F5D71" w:rsidRDefault="002361E4" w:rsidP="002361E4">
            <w:pPr>
              <w:widowControl w:val="0"/>
              <w:autoSpaceDE w:val="0"/>
              <w:autoSpaceDN w:val="0"/>
              <w:adjustRightInd w:val="0"/>
              <w:spacing w:after="0" w:line="240" w:lineRule="auto"/>
              <w:rPr>
                <w:color w:val="000000" w:themeColor="text1"/>
                <w:szCs w:val="24"/>
              </w:rPr>
            </w:pPr>
          </w:p>
        </w:tc>
        <w:tc>
          <w:tcPr>
            <w:tcW w:w="1842" w:type="dxa"/>
            <w:vAlign w:val="center"/>
          </w:tcPr>
          <w:p w14:paraId="6329C178"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(1.265)</w:t>
            </w:r>
          </w:p>
        </w:tc>
        <w:tc>
          <w:tcPr>
            <w:tcW w:w="1612" w:type="dxa"/>
            <w:vAlign w:val="center"/>
          </w:tcPr>
          <w:p w14:paraId="53F00EC1"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(0.797)</w:t>
            </w:r>
          </w:p>
        </w:tc>
        <w:tc>
          <w:tcPr>
            <w:tcW w:w="1620" w:type="dxa"/>
            <w:vAlign w:val="center"/>
          </w:tcPr>
          <w:p w14:paraId="3B72ED1D"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(1.529)</w:t>
            </w:r>
          </w:p>
        </w:tc>
      </w:tr>
      <w:tr w:rsidR="00727A9B" w:rsidRPr="006F5D71" w14:paraId="1C14A672" w14:textId="77777777" w:rsidTr="008714B3">
        <w:trPr>
          <w:trHeight w:val="107"/>
          <w:jc w:val="center"/>
        </w:trPr>
        <w:tc>
          <w:tcPr>
            <w:tcW w:w="4398" w:type="dxa"/>
            <w:vAlign w:val="center"/>
          </w:tcPr>
          <w:p w14:paraId="536F1C6A" w14:textId="77777777" w:rsidR="002361E4" w:rsidRPr="006F5D71" w:rsidRDefault="002361E4" w:rsidP="002361E4">
            <w:pPr>
              <w:widowControl w:val="0"/>
              <w:autoSpaceDE w:val="0"/>
              <w:autoSpaceDN w:val="0"/>
              <w:adjustRightInd w:val="0"/>
              <w:spacing w:after="0" w:line="240" w:lineRule="auto"/>
              <w:rPr>
                <w:color w:val="000000" w:themeColor="text1"/>
                <w:szCs w:val="24"/>
              </w:rPr>
            </w:pPr>
            <w:r w:rsidRPr="006F5D71">
              <w:rPr>
                <w:i/>
                <w:iCs/>
                <w:color w:val="000000" w:themeColor="text1"/>
                <w:szCs w:val="24"/>
              </w:rPr>
              <w:t>Institutional Distance</w:t>
            </w:r>
          </w:p>
        </w:tc>
        <w:tc>
          <w:tcPr>
            <w:tcW w:w="1842" w:type="dxa"/>
            <w:vAlign w:val="center"/>
          </w:tcPr>
          <w:p w14:paraId="68A1E5CC"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1.159***</w:t>
            </w:r>
          </w:p>
        </w:tc>
        <w:tc>
          <w:tcPr>
            <w:tcW w:w="1612" w:type="dxa"/>
            <w:vAlign w:val="center"/>
          </w:tcPr>
          <w:p w14:paraId="25F9B467"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1.190***</w:t>
            </w:r>
          </w:p>
        </w:tc>
        <w:tc>
          <w:tcPr>
            <w:tcW w:w="1620" w:type="dxa"/>
            <w:vAlign w:val="center"/>
          </w:tcPr>
          <w:p w14:paraId="778A9F78"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1.510</w:t>
            </w:r>
          </w:p>
        </w:tc>
      </w:tr>
      <w:tr w:rsidR="00727A9B" w:rsidRPr="006F5D71" w14:paraId="36C52602" w14:textId="77777777" w:rsidTr="008714B3">
        <w:trPr>
          <w:trHeight w:val="53"/>
          <w:jc w:val="center"/>
        </w:trPr>
        <w:tc>
          <w:tcPr>
            <w:tcW w:w="4398" w:type="dxa"/>
            <w:vAlign w:val="center"/>
          </w:tcPr>
          <w:p w14:paraId="5F4233F6" w14:textId="77777777" w:rsidR="002361E4" w:rsidRPr="006F5D71" w:rsidRDefault="002361E4" w:rsidP="002361E4">
            <w:pPr>
              <w:widowControl w:val="0"/>
              <w:autoSpaceDE w:val="0"/>
              <w:autoSpaceDN w:val="0"/>
              <w:adjustRightInd w:val="0"/>
              <w:spacing w:after="0" w:line="240" w:lineRule="auto"/>
              <w:rPr>
                <w:color w:val="000000" w:themeColor="text1"/>
                <w:szCs w:val="24"/>
              </w:rPr>
            </w:pPr>
          </w:p>
        </w:tc>
        <w:tc>
          <w:tcPr>
            <w:tcW w:w="1842" w:type="dxa"/>
            <w:vAlign w:val="center"/>
          </w:tcPr>
          <w:p w14:paraId="09D04853"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(0.012)</w:t>
            </w:r>
          </w:p>
        </w:tc>
        <w:tc>
          <w:tcPr>
            <w:tcW w:w="1612" w:type="dxa"/>
            <w:vAlign w:val="center"/>
          </w:tcPr>
          <w:p w14:paraId="16735778"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(0.019)</w:t>
            </w:r>
          </w:p>
        </w:tc>
        <w:tc>
          <w:tcPr>
            <w:tcW w:w="1620" w:type="dxa"/>
            <w:vAlign w:val="center"/>
          </w:tcPr>
          <w:p w14:paraId="61EF5CBA"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(1.838)</w:t>
            </w:r>
          </w:p>
        </w:tc>
      </w:tr>
      <w:tr w:rsidR="00727A9B" w:rsidRPr="006F5D71" w14:paraId="32E8CA77" w14:textId="77777777" w:rsidTr="008714B3">
        <w:trPr>
          <w:trHeight w:val="53"/>
          <w:jc w:val="center"/>
        </w:trPr>
        <w:tc>
          <w:tcPr>
            <w:tcW w:w="4398" w:type="dxa"/>
            <w:vAlign w:val="center"/>
          </w:tcPr>
          <w:p w14:paraId="444FFDC8" w14:textId="77777777" w:rsidR="002361E4" w:rsidRPr="006F5D71" w:rsidRDefault="002361E4" w:rsidP="002361E4">
            <w:pPr>
              <w:widowControl w:val="0"/>
              <w:autoSpaceDE w:val="0"/>
              <w:autoSpaceDN w:val="0"/>
              <w:adjustRightInd w:val="0"/>
              <w:spacing w:after="0" w:line="240" w:lineRule="auto"/>
              <w:rPr>
                <w:color w:val="000000" w:themeColor="text1"/>
                <w:szCs w:val="24"/>
              </w:rPr>
            </w:pPr>
            <w:r w:rsidRPr="006F5D71">
              <w:rPr>
                <w:i/>
                <w:iCs/>
                <w:color w:val="000000" w:themeColor="text1"/>
                <w:szCs w:val="24"/>
              </w:rPr>
              <w:t>Exchange Rate Risk</w:t>
            </w:r>
          </w:p>
        </w:tc>
        <w:tc>
          <w:tcPr>
            <w:tcW w:w="1842" w:type="dxa"/>
            <w:vAlign w:val="center"/>
          </w:tcPr>
          <w:p w14:paraId="4BC7C071"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1.460***</w:t>
            </w:r>
          </w:p>
        </w:tc>
        <w:tc>
          <w:tcPr>
            <w:tcW w:w="1612" w:type="dxa"/>
            <w:vAlign w:val="center"/>
          </w:tcPr>
          <w:p w14:paraId="492E8046"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1.093***</w:t>
            </w:r>
          </w:p>
        </w:tc>
        <w:tc>
          <w:tcPr>
            <w:tcW w:w="1620" w:type="dxa"/>
            <w:vAlign w:val="center"/>
          </w:tcPr>
          <w:p w14:paraId="17FBD360"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1.038*</w:t>
            </w:r>
          </w:p>
        </w:tc>
      </w:tr>
      <w:tr w:rsidR="00727A9B" w:rsidRPr="006F5D71" w14:paraId="74F515F3" w14:textId="77777777" w:rsidTr="008714B3">
        <w:trPr>
          <w:trHeight w:val="53"/>
          <w:jc w:val="center"/>
        </w:trPr>
        <w:tc>
          <w:tcPr>
            <w:tcW w:w="4398" w:type="dxa"/>
            <w:vAlign w:val="center"/>
          </w:tcPr>
          <w:p w14:paraId="27AC00BD" w14:textId="77777777" w:rsidR="002361E4" w:rsidRPr="006F5D71" w:rsidRDefault="002361E4" w:rsidP="002361E4">
            <w:pPr>
              <w:widowControl w:val="0"/>
              <w:autoSpaceDE w:val="0"/>
              <w:autoSpaceDN w:val="0"/>
              <w:adjustRightInd w:val="0"/>
              <w:spacing w:after="0" w:line="240" w:lineRule="auto"/>
              <w:rPr>
                <w:color w:val="000000" w:themeColor="text1"/>
                <w:szCs w:val="24"/>
              </w:rPr>
            </w:pPr>
          </w:p>
        </w:tc>
        <w:tc>
          <w:tcPr>
            <w:tcW w:w="1842" w:type="dxa"/>
            <w:vAlign w:val="center"/>
          </w:tcPr>
          <w:p w14:paraId="0CA50D68"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(0.020)</w:t>
            </w:r>
          </w:p>
        </w:tc>
        <w:tc>
          <w:tcPr>
            <w:tcW w:w="1612" w:type="dxa"/>
            <w:vAlign w:val="center"/>
          </w:tcPr>
          <w:p w14:paraId="330011D8"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(0.011)</w:t>
            </w:r>
          </w:p>
        </w:tc>
        <w:tc>
          <w:tcPr>
            <w:tcW w:w="1620" w:type="dxa"/>
            <w:vAlign w:val="center"/>
          </w:tcPr>
          <w:p w14:paraId="24B954C0"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(0.513)</w:t>
            </w:r>
          </w:p>
        </w:tc>
      </w:tr>
      <w:tr w:rsidR="00727A9B" w:rsidRPr="006F5D71" w14:paraId="27A5A4B8" w14:textId="77777777" w:rsidTr="008714B3">
        <w:trPr>
          <w:trHeight w:val="53"/>
          <w:jc w:val="center"/>
        </w:trPr>
        <w:tc>
          <w:tcPr>
            <w:tcW w:w="4398" w:type="dxa"/>
            <w:vAlign w:val="center"/>
          </w:tcPr>
          <w:p w14:paraId="79580110" w14:textId="77777777" w:rsidR="002361E4" w:rsidRPr="006F5D71" w:rsidRDefault="002361E4" w:rsidP="002361E4">
            <w:pPr>
              <w:widowControl w:val="0"/>
              <w:autoSpaceDE w:val="0"/>
              <w:autoSpaceDN w:val="0"/>
              <w:adjustRightInd w:val="0"/>
              <w:spacing w:after="0" w:line="240" w:lineRule="auto"/>
              <w:rPr>
                <w:color w:val="000000" w:themeColor="text1"/>
                <w:szCs w:val="24"/>
              </w:rPr>
            </w:pPr>
            <w:r w:rsidRPr="006F5D71">
              <w:rPr>
                <w:i/>
                <w:iCs/>
                <w:color w:val="000000" w:themeColor="text1"/>
                <w:szCs w:val="24"/>
              </w:rPr>
              <w:t>Production Cost Risk</w:t>
            </w:r>
          </w:p>
        </w:tc>
        <w:tc>
          <w:tcPr>
            <w:tcW w:w="1842" w:type="dxa"/>
            <w:vAlign w:val="center"/>
          </w:tcPr>
          <w:p w14:paraId="402DB155"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1.092***</w:t>
            </w:r>
          </w:p>
        </w:tc>
        <w:tc>
          <w:tcPr>
            <w:tcW w:w="1612" w:type="dxa"/>
            <w:vAlign w:val="center"/>
          </w:tcPr>
          <w:p w14:paraId="33F8E0B9"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1.168***</w:t>
            </w:r>
          </w:p>
        </w:tc>
        <w:tc>
          <w:tcPr>
            <w:tcW w:w="1620" w:type="dxa"/>
            <w:vAlign w:val="center"/>
          </w:tcPr>
          <w:p w14:paraId="6DD1E0B0"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1.051*</w:t>
            </w:r>
          </w:p>
        </w:tc>
      </w:tr>
      <w:tr w:rsidR="00727A9B" w:rsidRPr="006F5D71" w14:paraId="0BCE75F3" w14:textId="77777777" w:rsidTr="008714B3">
        <w:trPr>
          <w:trHeight w:val="53"/>
          <w:jc w:val="center"/>
        </w:trPr>
        <w:tc>
          <w:tcPr>
            <w:tcW w:w="4398" w:type="dxa"/>
            <w:vAlign w:val="center"/>
          </w:tcPr>
          <w:p w14:paraId="18ACE629" w14:textId="77777777" w:rsidR="002361E4" w:rsidRPr="006F5D71" w:rsidRDefault="002361E4" w:rsidP="002361E4">
            <w:pPr>
              <w:widowControl w:val="0"/>
              <w:autoSpaceDE w:val="0"/>
              <w:autoSpaceDN w:val="0"/>
              <w:adjustRightInd w:val="0"/>
              <w:spacing w:after="0" w:line="240" w:lineRule="auto"/>
              <w:rPr>
                <w:color w:val="000000" w:themeColor="text1"/>
                <w:szCs w:val="24"/>
              </w:rPr>
            </w:pPr>
          </w:p>
        </w:tc>
        <w:tc>
          <w:tcPr>
            <w:tcW w:w="1842" w:type="dxa"/>
            <w:vAlign w:val="center"/>
          </w:tcPr>
          <w:p w14:paraId="3C067907"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(0.121)</w:t>
            </w:r>
          </w:p>
        </w:tc>
        <w:tc>
          <w:tcPr>
            <w:tcW w:w="1612" w:type="dxa"/>
            <w:vAlign w:val="center"/>
          </w:tcPr>
          <w:p w14:paraId="5F5DDBFB"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(0.138)</w:t>
            </w:r>
          </w:p>
        </w:tc>
        <w:tc>
          <w:tcPr>
            <w:tcW w:w="1620" w:type="dxa"/>
            <w:vAlign w:val="center"/>
          </w:tcPr>
          <w:p w14:paraId="2ECD0F3D"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(0.460)</w:t>
            </w:r>
          </w:p>
        </w:tc>
      </w:tr>
      <w:tr w:rsidR="00727A9B" w:rsidRPr="006F5D71" w14:paraId="5ED3D1D4" w14:textId="77777777" w:rsidTr="008714B3">
        <w:trPr>
          <w:trHeight w:val="53"/>
          <w:jc w:val="center"/>
        </w:trPr>
        <w:tc>
          <w:tcPr>
            <w:tcW w:w="4398" w:type="dxa"/>
            <w:vAlign w:val="center"/>
          </w:tcPr>
          <w:p w14:paraId="0A8F9624" w14:textId="77777777" w:rsidR="002361E4" w:rsidRPr="006F5D71" w:rsidRDefault="002361E4" w:rsidP="002361E4">
            <w:pPr>
              <w:widowControl w:val="0"/>
              <w:autoSpaceDE w:val="0"/>
              <w:autoSpaceDN w:val="0"/>
              <w:adjustRightInd w:val="0"/>
              <w:spacing w:after="0" w:line="240" w:lineRule="auto"/>
              <w:rPr>
                <w:color w:val="000000" w:themeColor="text1"/>
                <w:szCs w:val="24"/>
              </w:rPr>
            </w:pPr>
            <w:r w:rsidRPr="006F5D71">
              <w:rPr>
                <w:i/>
                <w:iCs/>
                <w:color w:val="000000" w:themeColor="text1"/>
                <w:szCs w:val="24"/>
              </w:rPr>
              <w:t>Demand Risk</w:t>
            </w:r>
          </w:p>
        </w:tc>
        <w:tc>
          <w:tcPr>
            <w:tcW w:w="1842" w:type="dxa"/>
            <w:vAlign w:val="center"/>
          </w:tcPr>
          <w:p w14:paraId="417F92A8"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2.971***</w:t>
            </w:r>
          </w:p>
        </w:tc>
        <w:tc>
          <w:tcPr>
            <w:tcW w:w="1612" w:type="dxa"/>
            <w:vAlign w:val="center"/>
          </w:tcPr>
          <w:p w14:paraId="562A1DFB"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w:t>
            </w:r>
            <w:r w:rsidR="008E61F0" w:rsidRPr="006F5D71">
              <w:rPr>
                <w:color w:val="000000" w:themeColor="text1"/>
                <w:szCs w:val="24"/>
              </w:rPr>
              <w:t>8</w:t>
            </w:r>
            <w:r w:rsidRPr="006F5D71">
              <w:rPr>
                <w:color w:val="000000" w:themeColor="text1"/>
                <w:szCs w:val="24"/>
              </w:rPr>
              <w:t>03***</w:t>
            </w:r>
          </w:p>
        </w:tc>
        <w:tc>
          <w:tcPr>
            <w:tcW w:w="1620" w:type="dxa"/>
            <w:vAlign w:val="center"/>
          </w:tcPr>
          <w:p w14:paraId="28CD160E" w14:textId="77777777" w:rsidR="002361E4" w:rsidRPr="006F5D71" w:rsidRDefault="008E61F0"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w:t>
            </w:r>
            <w:r w:rsidR="002361E4" w:rsidRPr="006F5D71">
              <w:rPr>
                <w:color w:val="000000" w:themeColor="text1"/>
                <w:szCs w:val="24"/>
              </w:rPr>
              <w:t>.</w:t>
            </w:r>
            <w:r w:rsidRPr="006F5D71">
              <w:rPr>
                <w:color w:val="000000" w:themeColor="text1"/>
                <w:szCs w:val="24"/>
              </w:rPr>
              <w:t>0</w:t>
            </w:r>
            <w:r w:rsidR="002361E4" w:rsidRPr="006F5D71">
              <w:rPr>
                <w:color w:val="000000" w:themeColor="text1"/>
                <w:szCs w:val="24"/>
              </w:rPr>
              <w:t>80**</w:t>
            </w:r>
          </w:p>
        </w:tc>
      </w:tr>
      <w:tr w:rsidR="00727A9B" w:rsidRPr="006F5D71" w14:paraId="395C6A06" w14:textId="77777777" w:rsidTr="008714B3">
        <w:trPr>
          <w:trHeight w:val="53"/>
          <w:jc w:val="center"/>
        </w:trPr>
        <w:tc>
          <w:tcPr>
            <w:tcW w:w="4398" w:type="dxa"/>
            <w:vAlign w:val="center"/>
          </w:tcPr>
          <w:p w14:paraId="7F259B70" w14:textId="77777777" w:rsidR="002361E4" w:rsidRPr="006F5D71" w:rsidRDefault="002361E4" w:rsidP="002361E4">
            <w:pPr>
              <w:widowControl w:val="0"/>
              <w:autoSpaceDE w:val="0"/>
              <w:autoSpaceDN w:val="0"/>
              <w:adjustRightInd w:val="0"/>
              <w:spacing w:after="0" w:line="240" w:lineRule="auto"/>
              <w:rPr>
                <w:color w:val="000000" w:themeColor="text1"/>
                <w:szCs w:val="24"/>
              </w:rPr>
            </w:pPr>
          </w:p>
        </w:tc>
        <w:tc>
          <w:tcPr>
            <w:tcW w:w="1842" w:type="dxa"/>
            <w:vAlign w:val="center"/>
          </w:tcPr>
          <w:p w14:paraId="60C90754"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(0.232)</w:t>
            </w:r>
          </w:p>
        </w:tc>
        <w:tc>
          <w:tcPr>
            <w:tcW w:w="1612" w:type="dxa"/>
            <w:vAlign w:val="center"/>
          </w:tcPr>
          <w:p w14:paraId="1B2B143C" w14:textId="77777777" w:rsidR="002361E4" w:rsidRPr="006F5D71" w:rsidRDefault="002361E4" w:rsidP="008E61F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r w:rsidR="008E61F0" w:rsidRPr="006F5D71">
              <w:rPr>
                <w:color w:val="000000" w:themeColor="text1"/>
                <w:szCs w:val="24"/>
              </w:rPr>
              <w:t>0</w:t>
            </w:r>
            <w:r w:rsidRPr="006F5D71">
              <w:rPr>
                <w:color w:val="000000" w:themeColor="text1"/>
                <w:szCs w:val="24"/>
              </w:rPr>
              <w:t>.260)</w:t>
            </w:r>
          </w:p>
        </w:tc>
        <w:tc>
          <w:tcPr>
            <w:tcW w:w="1620" w:type="dxa"/>
            <w:vAlign w:val="center"/>
          </w:tcPr>
          <w:p w14:paraId="5EB3F8CB"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r w:rsidR="008E61F0" w:rsidRPr="006F5D71">
              <w:rPr>
                <w:color w:val="000000" w:themeColor="text1"/>
                <w:szCs w:val="24"/>
              </w:rPr>
              <w:t>0</w:t>
            </w:r>
            <w:r w:rsidRPr="006F5D71">
              <w:rPr>
                <w:color w:val="000000" w:themeColor="text1"/>
                <w:szCs w:val="24"/>
              </w:rPr>
              <w:t>.</w:t>
            </w:r>
            <w:r w:rsidR="008E61F0" w:rsidRPr="006F5D71">
              <w:rPr>
                <w:color w:val="000000" w:themeColor="text1"/>
                <w:szCs w:val="24"/>
              </w:rPr>
              <w:t>4</w:t>
            </w:r>
            <w:r w:rsidRPr="006F5D71">
              <w:rPr>
                <w:color w:val="000000" w:themeColor="text1"/>
                <w:szCs w:val="24"/>
              </w:rPr>
              <w:t>01)</w:t>
            </w:r>
          </w:p>
        </w:tc>
      </w:tr>
      <w:tr w:rsidR="00727A9B" w:rsidRPr="006F5D71" w14:paraId="70DC236A" w14:textId="77777777" w:rsidTr="008714B3">
        <w:trPr>
          <w:trHeight w:val="53"/>
          <w:jc w:val="center"/>
        </w:trPr>
        <w:tc>
          <w:tcPr>
            <w:tcW w:w="4398" w:type="dxa"/>
            <w:vAlign w:val="center"/>
          </w:tcPr>
          <w:p w14:paraId="295C3FB3" w14:textId="77777777" w:rsidR="002361E4" w:rsidRPr="006F5D71" w:rsidRDefault="002361E4" w:rsidP="002361E4">
            <w:pPr>
              <w:widowControl w:val="0"/>
              <w:autoSpaceDE w:val="0"/>
              <w:autoSpaceDN w:val="0"/>
              <w:adjustRightInd w:val="0"/>
              <w:spacing w:after="0" w:line="240" w:lineRule="auto"/>
              <w:rPr>
                <w:color w:val="000000" w:themeColor="text1"/>
                <w:szCs w:val="24"/>
              </w:rPr>
            </w:pPr>
            <w:r w:rsidRPr="006F5D71">
              <w:rPr>
                <w:i/>
                <w:iCs/>
                <w:color w:val="000000" w:themeColor="text1"/>
                <w:szCs w:val="24"/>
              </w:rPr>
              <w:t>Financial Crisis</w:t>
            </w:r>
          </w:p>
        </w:tc>
        <w:tc>
          <w:tcPr>
            <w:tcW w:w="1842" w:type="dxa"/>
            <w:vAlign w:val="center"/>
          </w:tcPr>
          <w:p w14:paraId="53046F7F"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3.316***</w:t>
            </w:r>
          </w:p>
        </w:tc>
        <w:tc>
          <w:tcPr>
            <w:tcW w:w="1612" w:type="dxa"/>
            <w:vAlign w:val="center"/>
          </w:tcPr>
          <w:p w14:paraId="6C364130"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1.858**</w:t>
            </w:r>
          </w:p>
        </w:tc>
        <w:tc>
          <w:tcPr>
            <w:tcW w:w="1620" w:type="dxa"/>
            <w:vAlign w:val="center"/>
          </w:tcPr>
          <w:p w14:paraId="786FB769"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1.647</w:t>
            </w:r>
          </w:p>
        </w:tc>
      </w:tr>
      <w:tr w:rsidR="00727A9B" w:rsidRPr="006F5D71" w14:paraId="190A30DC" w14:textId="77777777" w:rsidTr="008714B3">
        <w:trPr>
          <w:trHeight w:val="53"/>
          <w:jc w:val="center"/>
        </w:trPr>
        <w:tc>
          <w:tcPr>
            <w:tcW w:w="4398" w:type="dxa"/>
            <w:vAlign w:val="center"/>
          </w:tcPr>
          <w:p w14:paraId="4847857B" w14:textId="77777777" w:rsidR="002361E4" w:rsidRPr="006F5D71" w:rsidRDefault="002361E4" w:rsidP="002361E4">
            <w:pPr>
              <w:widowControl w:val="0"/>
              <w:autoSpaceDE w:val="0"/>
              <w:autoSpaceDN w:val="0"/>
              <w:adjustRightInd w:val="0"/>
              <w:spacing w:after="0" w:line="240" w:lineRule="auto"/>
              <w:rPr>
                <w:color w:val="000000" w:themeColor="text1"/>
                <w:szCs w:val="24"/>
              </w:rPr>
            </w:pPr>
          </w:p>
        </w:tc>
        <w:tc>
          <w:tcPr>
            <w:tcW w:w="1842" w:type="dxa"/>
            <w:vAlign w:val="center"/>
          </w:tcPr>
          <w:p w14:paraId="7AD88FC7"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(1.050)</w:t>
            </w:r>
          </w:p>
        </w:tc>
        <w:tc>
          <w:tcPr>
            <w:tcW w:w="1612" w:type="dxa"/>
            <w:vAlign w:val="center"/>
          </w:tcPr>
          <w:p w14:paraId="6110CC2A"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(0.704)</w:t>
            </w:r>
          </w:p>
        </w:tc>
        <w:tc>
          <w:tcPr>
            <w:tcW w:w="1620" w:type="dxa"/>
            <w:vAlign w:val="center"/>
          </w:tcPr>
          <w:p w14:paraId="5C753F4C"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(1.529)</w:t>
            </w:r>
          </w:p>
        </w:tc>
      </w:tr>
      <w:tr w:rsidR="00727A9B" w:rsidRPr="006F5D71" w14:paraId="2C35AFFB" w14:textId="77777777" w:rsidTr="008714B3">
        <w:trPr>
          <w:trHeight w:val="107"/>
          <w:jc w:val="center"/>
        </w:trPr>
        <w:tc>
          <w:tcPr>
            <w:tcW w:w="4398" w:type="dxa"/>
            <w:vAlign w:val="center"/>
          </w:tcPr>
          <w:p w14:paraId="37013121" w14:textId="77777777" w:rsidR="002361E4" w:rsidRPr="006F5D71" w:rsidRDefault="002361E4" w:rsidP="002361E4">
            <w:pPr>
              <w:widowControl w:val="0"/>
              <w:autoSpaceDE w:val="0"/>
              <w:autoSpaceDN w:val="0"/>
              <w:adjustRightInd w:val="0"/>
              <w:spacing w:after="0" w:line="240" w:lineRule="auto"/>
              <w:rPr>
                <w:b/>
                <w:bCs/>
                <w:color w:val="000000" w:themeColor="text1"/>
                <w:szCs w:val="24"/>
              </w:rPr>
            </w:pPr>
            <w:r w:rsidRPr="006F5D71">
              <w:rPr>
                <w:b/>
                <w:bCs/>
                <w:color w:val="000000" w:themeColor="text1"/>
                <w:szCs w:val="24"/>
              </w:rPr>
              <w:t xml:space="preserve">Risk </w:t>
            </w:r>
            <w:r w:rsidR="00163B9C" w:rsidRPr="006F5D71">
              <w:rPr>
                <w:b/>
                <w:bCs/>
                <w:color w:val="000000" w:themeColor="text1"/>
                <w:szCs w:val="24"/>
              </w:rPr>
              <w:t>Mitigating Factor</w:t>
            </w:r>
          </w:p>
        </w:tc>
        <w:tc>
          <w:tcPr>
            <w:tcW w:w="1842" w:type="dxa"/>
            <w:vAlign w:val="center"/>
          </w:tcPr>
          <w:p w14:paraId="43C68439"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p>
        </w:tc>
        <w:tc>
          <w:tcPr>
            <w:tcW w:w="1612" w:type="dxa"/>
            <w:vAlign w:val="center"/>
          </w:tcPr>
          <w:p w14:paraId="31CB5241"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p>
        </w:tc>
        <w:tc>
          <w:tcPr>
            <w:tcW w:w="1620" w:type="dxa"/>
            <w:vAlign w:val="center"/>
          </w:tcPr>
          <w:p w14:paraId="601F4F65"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p>
        </w:tc>
      </w:tr>
      <w:tr w:rsidR="00727A9B" w:rsidRPr="006F5D71" w14:paraId="40CCE75A" w14:textId="77777777" w:rsidTr="008714B3">
        <w:trPr>
          <w:trHeight w:val="53"/>
          <w:jc w:val="center"/>
        </w:trPr>
        <w:tc>
          <w:tcPr>
            <w:tcW w:w="4398" w:type="dxa"/>
            <w:vAlign w:val="center"/>
          </w:tcPr>
          <w:p w14:paraId="22AD054E" w14:textId="77777777" w:rsidR="002361E4" w:rsidRPr="006F5D71" w:rsidRDefault="002361E4" w:rsidP="002361E4">
            <w:pPr>
              <w:widowControl w:val="0"/>
              <w:autoSpaceDE w:val="0"/>
              <w:autoSpaceDN w:val="0"/>
              <w:adjustRightInd w:val="0"/>
              <w:spacing w:after="0" w:line="240" w:lineRule="auto"/>
              <w:rPr>
                <w:color w:val="000000" w:themeColor="text1"/>
                <w:szCs w:val="24"/>
              </w:rPr>
            </w:pPr>
            <w:r w:rsidRPr="006F5D71">
              <w:rPr>
                <w:i/>
                <w:iCs/>
                <w:color w:val="000000" w:themeColor="text1"/>
                <w:szCs w:val="24"/>
              </w:rPr>
              <w:t>Home Country Diaspora</w:t>
            </w:r>
          </w:p>
        </w:tc>
        <w:tc>
          <w:tcPr>
            <w:tcW w:w="1842" w:type="dxa"/>
            <w:vAlign w:val="center"/>
          </w:tcPr>
          <w:p w14:paraId="62B141FF"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0.951**</w:t>
            </w:r>
          </w:p>
        </w:tc>
        <w:tc>
          <w:tcPr>
            <w:tcW w:w="1612" w:type="dxa"/>
            <w:vAlign w:val="center"/>
          </w:tcPr>
          <w:p w14:paraId="453DCA79"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0.845</w:t>
            </w:r>
          </w:p>
        </w:tc>
        <w:tc>
          <w:tcPr>
            <w:tcW w:w="1620" w:type="dxa"/>
            <w:vAlign w:val="center"/>
          </w:tcPr>
          <w:p w14:paraId="6E8D60F1"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0.559**</w:t>
            </w:r>
          </w:p>
        </w:tc>
      </w:tr>
      <w:tr w:rsidR="00727A9B" w:rsidRPr="006F5D71" w14:paraId="503A77A7" w14:textId="77777777" w:rsidTr="008714B3">
        <w:trPr>
          <w:trHeight w:val="53"/>
          <w:jc w:val="center"/>
        </w:trPr>
        <w:tc>
          <w:tcPr>
            <w:tcW w:w="4398" w:type="dxa"/>
            <w:vAlign w:val="center"/>
          </w:tcPr>
          <w:p w14:paraId="0FD42D75" w14:textId="77777777" w:rsidR="002361E4" w:rsidRPr="006F5D71" w:rsidRDefault="002361E4" w:rsidP="002361E4">
            <w:pPr>
              <w:widowControl w:val="0"/>
              <w:autoSpaceDE w:val="0"/>
              <w:autoSpaceDN w:val="0"/>
              <w:adjustRightInd w:val="0"/>
              <w:spacing w:after="0" w:line="240" w:lineRule="auto"/>
              <w:rPr>
                <w:color w:val="000000" w:themeColor="text1"/>
                <w:szCs w:val="24"/>
              </w:rPr>
            </w:pPr>
          </w:p>
        </w:tc>
        <w:tc>
          <w:tcPr>
            <w:tcW w:w="1842" w:type="dxa"/>
            <w:vAlign w:val="center"/>
          </w:tcPr>
          <w:p w14:paraId="59E09919"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(0.365)</w:t>
            </w:r>
          </w:p>
        </w:tc>
        <w:tc>
          <w:tcPr>
            <w:tcW w:w="1612" w:type="dxa"/>
            <w:vAlign w:val="center"/>
          </w:tcPr>
          <w:p w14:paraId="185E4BBF"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(0.778)</w:t>
            </w:r>
          </w:p>
        </w:tc>
        <w:tc>
          <w:tcPr>
            <w:tcW w:w="1620" w:type="dxa"/>
            <w:vAlign w:val="center"/>
          </w:tcPr>
          <w:p w14:paraId="748C94EE"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(0.208)</w:t>
            </w:r>
          </w:p>
        </w:tc>
      </w:tr>
      <w:tr w:rsidR="00727A9B" w:rsidRPr="006F5D71" w14:paraId="41624850" w14:textId="77777777" w:rsidTr="008714B3">
        <w:trPr>
          <w:trHeight w:val="107"/>
          <w:jc w:val="center"/>
        </w:trPr>
        <w:tc>
          <w:tcPr>
            <w:tcW w:w="4398" w:type="dxa"/>
            <w:vAlign w:val="center"/>
          </w:tcPr>
          <w:p w14:paraId="6E0D31FC" w14:textId="77777777" w:rsidR="002361E4" w:rsidRPr="006F5D71" w:rsidRDefault="002361E4" w:rsidP="002361E4">
            <w:pPr>
              <w:widowControl w:val="0"/>
              <w:autoSpaceDE w:val="0"/>
              <w:autoSpaceDN w:val="0"/>
              <w:adjustRightInd w:val="0"/>
              <w:spacing w:after="0" w:line="240" w:lineRule="auto"/>
              <w:rPr>
                <w:color w:val="000000" w:themeColor="text1"/>
                <w:szCs w:val="24"/>
              </w:rPr>
            </w:pPr>
            <w:r w:rsidRPr="006F5D71">
              <w:rPr>
                <w:i/>
                <w:iCs/>
                <w:color w:val="000000" w:themeColor="text1"/>
                <w:szCs w:val="24"/>
              </w:rPr>
              <w:t>Home Country Diaspora × Country Risk</w:t>
            </w:r>
          </w:p>
        </w:tc>
        <w:tc>
          <w:tcPr>
            <w:tcW w:w="1842" w:type="dxa"/>
            <w:vAlign w:val="center"/>
          </w:tcPr>
          <w:p w14:paraId="0B43751B"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0.887*</w:t>
            </w:r>
          </w:p>
        </w:tc>
        <w:tc>
          <w:tcPr>
            <w:tcW w:w="1612" w:type="dxa"/>
            <w:vAlign w:val="center"/>
          </w:tcPr>
          <w:p w14:paraId="35F0374B"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0.984</w:t>
            </w:r>
          </w:p>
        </w:tc>
        <w:tc>
          <w:tcPr>
            <w:tcW w:w="1620" w:type="dxa"/>
            <w:vAlign w:val="center"/>
          </w:tcPr>
          <w:p w14:paraId="5B8611B6"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0.780**</w:t>
            </w:r>
          </w:p>
        </w:tc>
      </w:tr>
      <w:tr w:rsidR="00727A9B" w:rsidRPr="006F5D71" w14:paraId="7EE95582" w14:textId="77777777" w:rsidTr="008714B3">
        <w:trPr>
          <w:trHeight w:val="53"/>
          <w:jc w:val="center"/>
        </w:trPr>
        <w:tc>
          <w:tcPr>
            <w:tcW w:w="4398" w:type="dxa"/>
            <w:vAlign w:val="center"/>
          </w:tcPr>
          <w:p w14:paraId="727CECB1" w14:textId="77777777" w:rsidR="002361E4" w:rsidRPr="006F5D71" w:rsidRDefault="002361E4" w:rsidP="002361E4">
            <w:pPr>
              <w:widowControl w:val="0"/>
              <w:autoSpaceDE w:val="0"/>
              <w:autoSpaceDN w:val="0"/>
              <w:adjustRightInd w:val="0"/>
              <w:spacing w:after="0" w:line="240" w:lineRule="auto"/>
              <w:rPr>
                <w:color w:val="000000" w:themeColor="text1"/>
                <w:szCs w:val="24"/>
              </w:rPr>
            </w:pPr>
          </w:p>
        </w:tc>
        <w:tc>
          <w:tcPr>
            <w:tcW w:w="1842" w:type="dxa"/>
            <w:vAlign w:val="center"/>
          </w:tcPr>
          <w:p w14:paraId="3D913504"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(0.361)</w:t>
            </w:r>
          </w:p>
        </w:tc>
        <w:tc>
          <w:tcPr>
            <w:tcW w:w="1612" w:type="dxa"/>
            <w:vAlign w:val="center"/>
          </w:tcPr>
          <w:p w14:paraId="06ABB7E4"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(0.660)</w:t>
            </w:r>
          </w:p>
        </w:tc>
        <w:tc>
          <w:tcPr>
            <w:tcW w:w="1620" w:type="dxa"/>
            <w:vAlign w:val="center"/>
          </w:tcPr>
          <w:p w14:paraId="04BA6CB7"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(0.309)</w:t>
            </w:r>
          </w:p>
        </w:tc>
      </w:tr>
      <w:tr w:rsidR="00727A9B" w:rsidRPr="006F5D71" w14:paraId="1E1988DF" w14:textId="77777777" w:rsidTr="008714B3">
        <w:trPr>
          <w:trHeight w:val="161"/>
          <w:jc w:val="center"/>
        </w:trPr>
        <w:tc>
          <w:tcPr>
            <w:tcW w:w="4398" w:type="dxa"/>
            <w:vAlign w:val="center"/>
          </w:tcPr>
          <w:p w14:paraId="588262CC" w14:textId="77777777" w:rsidR="002361E4" w:rsidRPr="006F5D71" w:rsidRDefault="002361E4" w:rsidP="002361E4">
            <w:pPr>
              <w:widowControl w:val="0"/>
              <w:autoSpaceDE w:val="0"/>
              <w:autoSpaceDN w:val="0"/>
              <w:adjustRightInd w:val="0"/>
              <w:spacing w:after="0" w:line="240" w:lineRule="auto"/>
              <w:rPr>
                <w:color w:val="000000" w:themeColor="text1"/>
                <w:szCs w:val="24"/>
              </w:rPr>
            </w:pPr>
            <w:r w:rsidRPr="006F5D71">
              <w:rPr>
                <w:i/>
                <w:iCs/>
                <w:color w:val="000000" w:themeColor="text1"/>
                <w:szCs w:val="24"/>
              </w:rPr>
              <w:t>Home Country Diaspora × Institutional Distance</w:t>
            </w:r>
          </w:p>
        </w:tc>
        <w:tc>
          <w:tcPr>
            <w:tcW w:w="1842" w:type="dxa"/>
            <w:vAlign w:val="center"/>
          </w:tcPr>
          <w:p w14:paraId="1D150EA4"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0.993**</w:t>
            </w:r>
          </w:p>
        </w:tc>
        <w:tc>
          <w:tcPr>
            <w:tcW w:w="1612" w:type="dxa"/>
            <w:vAlign w:val="center"/>
          </w:tcPr>
          <w:p w14:paraId="4BDF7DF2"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0.986</w:t>
            </w:r>
          </w:p>
        </w:tc>
        <w:tc>
          <w:tcPr>
            <w:tcW w:w="1620" w:type="dxa"/>
            <w:vAlign w:val="center"/>
          </w:tcPr>
          <w:p w14:paraId="57EF9AFC"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0.955*</w:t>
            </w:r>
          </w:p>
        </w:tc>
      </w:tr>
      <w:tr w:rsidR="00727A9B" w:rsidRPr="006F5D71" w14:paraId="7DDBAACB" w14:textId="77777777" w:rsidTr="008714B3">
        <w:trPr>
          <w:trHeight w:val="53"/>
          <w:jc w:val="center"/>
        </w:trPr>
        <w:tc>
          <w:tcPr>
            <w:tcW w:w="4398" w:type="dxa"/>
            <w:vAlign w:val="center"/>
          </w:tcPr>
          <w:p w14:paraId="54A485E3" w14:textId="77777777" w:rsidR="002361E4" w:rsidRPr="006F5D71" w:rsidRDefault="002361E4" w:rsidP="002361E4">
            <w:pPr>
              <w:widowControl w:val="0"/>
              <w:autoSpaceDE w:val="0"/>
              <w:autoSpaceDN w:val="0"/>
              <w:adjustRightInd w:val="0"/>
              <w:spacing w:after="0" w:line="240" w:lineRule="auto"/>
              <w:rPr>
                <w:color w:val="000000" w:themeColor="text1"/>
                <w:szCs w:val="24"/>
              </w:rPr>
            </w:pPr>
          </w:p>
        </w:tc>
        <w:tc>
          <w:tcPr>
            <w:tcW w:w="1842" w:type="dxa"/>
            <w:vAlign w:val="center"/>
          </w:tcPr>
          <w:p w14:paraId="46B13C1E"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(0.391)</w:t>
            </w:r>
          </w:p>
        </w:tc>
        <w:tc>
          <w:tcPr>
            <w:tcW w:w="1612" w:type="dxa"/>
            <w:vAlign w:val="center"/>
          </w:tcPr>
          <w:p w14:paraId="185C1EE5"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(0.883)</w:t>
            </w:r>
          </w:p>
        </w:tc>
        <w:tc>
          <w:tcPr>
            <w:tcW w:w="1620" w:type="dxa"/>
            <w:vAlign w:val="center"/>
          </w:tcPr>
          <w:p w14:paraId="211A026C"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(0.426)</w:t>
            </w:r>
          </w:p>
        </w:tc>
      </w:tr>
      <w:tr w:rsidR="00727A9B" w:rsidRPr="006F5D71" w14:paraId="026DDE5C" w14:textId="77777777" w:rsidTr="008714B3">
        <w:trPr>
          <w:trHeight w:val="53"/>
          <w:jc w:val="center"/>
        </w:trPr>
        <w:tc>
          <w:tcPr>
            <w:tcW w:w="4398" w:type="dxa"/>
            <w:vAlign w:val="center"/>
          </w:tcPr>
          <w:p w14:paraId="6F342B79" w14:textId="77777777" w:rsidR="002361E4" w:rsidRPr="006F5D71" w:rsidRDefault="002361E4" w:rsidP="002361E4">
            <w:pPr>
              <w:widowControl w:val="0"/>
              <w:autoSpaceDE w:val="0"/>
              <w:autoSpaceDN w:val="0"/>
              <w:adjustRightInd w:val="0"/>
              <w:spacing w:after="0" w:line="240" w:lineRule="auto"/>
              <w:rPr>
                <w:i/>
                <w:iCs/>
                <w:color w:val="000000" w:themeColor="text1"/>
                <w:szCs w:val="24"/>
              </w:rPr>
            </w:pPr>
            <w:r w:rsidRPr="006F5D71">
              <w:rPr>
                <w:b/>
                <w:bCs/>
                <w:color w:val="000000" w:themeColor="text1"/>
                <w:szCs w:val="24"/>
              </w:rPr>
              <w:t>Controls</w:t>
            </w:r>
          </w:p>
        </w:tc>
        <w:tc>
          <w:tcPr>
            <w:tcW w:w="1842" w:type="dxa"/>
            <w:vAlign w:val="center"/>
          </w:tcPr>
          <w:p w14:paraId="3F74B95E"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p>
        </w:tc>
        <w:tc>
          <w:tcPr>
            <w:tcW w:w="1612" w:type="dxa"/>
            <w:vAlign w:val="center"/>
          </w:tcPr>
          <w:p w14:paraId="7BF82116"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p>
        </w:tc>
        <w:tc>
          <w:tcPr>
            <w:tcW w:w="1620" w:type="dxa"/>
            <w:vAlign w:val="center"/>
          </w:tcPr>
          <w:p w14:paraId="791A564E"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p>
        </w:tc>
      </w:tr>
      <w:tr w:rsidR="00727A9B" w:rsidRPr="006F5D71" w14:paraId="32E482DA" w14:textId="77777777" w:rsidTr="008714B3">
        <w:trPr>
          <w:trHeight w:val="53"/>
          <w:jc w:val="center"/>
        </w:trPr>
        <w:tc>
          <w:tcPr>
            <w:tcW w:w="4398" w:type="dxa"/>
            <w:vAlign w:val="center"/>
          </w:tcPr>
          <w:p w14:paraId="4BF811D0" w14:textId="77777777" w:rsidR="002361E4" w:rsidRPr="006F5D71" w:rsidRDefault="002361E4" w:rsidP="002361E4">
            <w:pPr>
              <w:widowControl w:val="0"/>
              <w:autoSpaceDE w:val="0"/>
              <w:autoSpaceDN w:val="0"/>
              <w:adjustRightInd w:val="0"/>
              <w:spacing w:after="0" w:line="240" w:lineRule="auto"/>
              <w:rPr>
                <w:color w:val="000000" w:themeColor="text1"/>
                <w:szCs w:val="24"/>
              </w:rPr>
            </w:pPr>
            <w:r w:rsidRPr="006F5D71">
              <w:rPr>
                <w:i/>
                <w:iCs/>
                <w:color w:val="000000" w:themeColor="text1"/>
                <w:szCs w:val="24"/>
              </w:rPr>
              <w:t>Sunk Cost</w:t>
            </w:r>
          </w:p>
        </w:tc>
        <w:tc>
          <w:tcPr>
            <w:tcW w:w="1842" w:type="dxa"/>
            <w:vAlign w:val="center"/>
          </w:tcPr>
          <w:p w14:paraId="06D040B8"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0.002***</w:t>
            </w:r>
          </w:p>
        </w:tc>
        <w:tc>
          <w:tcPr>
            <w:tcW w:w="1612" w:type="dxa"/>
            <w:vAlign w:val="center"/>
          </w:tcPr>
          <w:p w14:paraId="7E4F8963"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0.007***</w:t>
            </w:r>
          </w:p>
        </w:tc>
        <w:tc>
          <w:tcPr>
            <w:tcW w:w="1620" w:type="dxa"/>
            <w:vAlign w:val="center"/>
          </w:tcPr>
          <w:p w14:paraId="4C56A428"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0.002***</w:t>
            </w:r>
          </w:p>
        </w:tc>
      </w:tr>
      <w:tr w:rsidR="00727A9B" w:rsidRPr="006F5D71" w14:paraId="59D274F6" w14:textId="77777777" w:rsidTr="008714B3">
        <w:trPr>
          <w:trHeight w:val="107"/>
          <w:jc w:val="center"/>
        </w:trPr>
        <w:tc>
          <w:tcPr>
            <w:tcW w:w="4398" w:type="dxa"/>
            <w:vAlign w:val="center"/>
          </w:tcPr>
          <w:p w14:paraId="037CA364" w14:textId="77777777" w:rsidR="002361E4" w:rsidRPr="006F5D71" w:rsidRDefault="002361E4" w:rsidP="002361E4">
            <w:pPr>
              <w:widowControl w:val="0"/>
              <w:autoSpaceDE w:val="0"/>
              <w:autoSpaceDN w:val="0"/>
              <w:adjustRightInd w:val="0"/>
              <w:spacing w:after="0" w:line="240" w:lineRule="auto"/>
              <w:rPr>
                <w:color w:val="000000" w:themeColor="text1"/>
                <w:szCs w:val="24"/>
              </w:rPr>
            </w:pPr>
          </w:p>
        </w:tc>
        <w:tc>
          <w:tcPr>
            <w:tcW w:w="1842" w:type="dxa"/>
            <w:vAlign w:val="center"/>
          </w:tcPr>
          <w:p w14:paraId="5F94DDA9"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(0.001)</w:t>
            </w:r>
          </w:p>
        </w:tc>
        <w:tc>
          <w:tcPr>
            <w:tcW w:w="1612" w:type="dxa"/>
            <w:vAlign w:val="center"/>
          </w:tcPr>
          <w:p w14:paraId="6D088E48"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(0.002)</w:t>
            </w:r>
          </w:p>
        </w:tc>
        <w:tc>
          <w:tcPr>
            <w:tcW w:w="1620" w:type="dxa"/>
            <w:vAlign w:val="center"/>
          </w:tcPr>
          <w:p w14:paraId="7C4763F4"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(0.000)</w:t>
            </w:r>
          </w:p>
        </w:tc>
      </w:tr>
      <w:tr w:rsidR="00727A9B" w:rsidRPr="006F5D71" w14:paraId="6C5A26B3" w14:textId="77777777" w:rsidTr="008714B3">
        <w:trPr>
          <w:trHeight w:val="53"/>
          <w:jc w:val="center"/>
        </w:trPr>
        <w:tc>
          <w:tcPr>
            <w:tcW w:w="4398" w:type="dxa"/>
            <w:vAlign w:val="center"/>
          </w:tcPr>
          <w:p w14:paraId="79DDDBCD" w14:textId="77777777" w:rsidR="002361E4" w:rsidRPr="006F5D71" w:rsidRDefault="002361E4" w:rsidP="002361E4">
            <w:pPr>
              <w:widowControl w:val="0"/>
              <w:autoSpaceDE w:val="0"/>
              <w:autoSpaceDN w:val="0"/>
              <w:adjustRightInd w:val="0"/>
              <w:spacing w:after="0" w:line="240" w:lineRule="auto"/>
              <w:rPr>
                <w:color w:val="000000" w:themeColor="text1"/>
                <w:szCs w:val="24"/>
              </w:rPr>
            </w:pPr>
            <w:r w:rsidRPr="006F5D71">
              <w:rPr>
                <w:color w:val="000000" w:themeColor="text1"/>
                <w:szCs w:val="24"/>
              </w:rPr>
              <w:t>ROA</w:t>
            </w:r>
          </w:p>
        </w:tc>
        <w:tc>
          <w:tcPr>
            <w:tcW w:w="1842" w:type="dxa"/>
            <w:vAlign w:val="center"/>
          </w:tcPr>
          <w:p w14:paraId="4F4650E4"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0.527***</w:t>
            </w:r>
          </w:p>
        </w:tc>
        <w:tc>
          <w:tcPr>
            <w:tcW w:w="1612" w:type="dxa"/>
            <w:vAlign w:val="center"/>
          </w:tcPr>
          <w:p w14:paraId="579A19C3"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0.803***</w:t>
            </w:r>
          </w:p>
        </w:tc>
        <w:tc>
          <w:tcPr>
            <w:tcW w:w="1620" w:type="dxa"/>
            <w:vAlign w:val="center"/>
          </w:tcPr>
          <w:p w14:paraId="4DDB2D00"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0.449***</w:t>
            </w:r>
          </w:p>
        </w:tc>
      </w:tr>
      <w:tr w:rsidR="00727A9B" w:rsidRPr="006F5D71" w14:paraId="3E9E9334" w14:textId="77777777" w:rsidTr="008714B3">
        <w:trPr>
          <w:trHeight w:val="56"/>
          <w:jc w:val="center"/>
        </w:trPr>
        <w:tc>
          <w:tcPr>
            <w:tcW w:w="4398" w:type="dxa"/>
            <w:vAlign w:val="center"/>
          </w:tcPr>
          <w:p w14:paraId="598B88BA" w14:textId="77777777" w:rsidR="002361E4" w:rsidRPr="006F5D71" w:rsidRDefault="002361E4" w:rsidP="002361E4">
            <w:pPr>
              <w:widowControl w:val="0"/>
              <w:autoSpaceDE w:val="0"/>
              <w:autoSpaceDN w:val="0"/>
              <w:adjustRightInd w:val="0"/>
              <w:spacing w:after="0" w:line="240" w:lineRule="auto"/>
              <w:rPr>
                <w:color w:val="000000" w:themeColor="text1"/>
                <w:szCs w:val="24"/>
              </w:rPr>
            </w:pPr>
          </w:p>
        </w:tc>
        <w:tc>
          <w:tcPr>
            <w:tcW w:w="1842" w:type="dxa"/>
            <w:vAlign w:val="center"/>
          </w:tcPr>
          <w:p w14:paraId="59093065"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(0.018)</w:t>
            </w:r>
          </w:p>
        </w:tc>
        <w:tc>
          <w:tcPr>
            <w:tcW w:w="1612" w:type="dxa"/>
            <w:vAlign w:val="center"/>
          </w:tcPr>
          <w:p w14:paraId="509270F3"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(0.120)</w:t>
            </w:r>
          </w:p>
        </w:tc>
        <w:tc>
          <w:tcPr>
            <w:tcW w:w="1620" w:type="dxa"/>
            <w:vAlign w:val="center"/>
          </w:tcPr>
          <w:p w14:paraId="1D040773"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(0.030)</w:t>
            </w:r>
          </w:p>
        </w:tc>
      </w:tr>
      <w:tr w:rsidR="00727A9B" w:rsidRPr="006F5D71" w14:paraId="7E10C6F8" w14:textId="77777777" w:rsidTr="008714B3">
        <w:trPr>
          <w:trHeight w:val="50"/>
          <w:jc w:val="center"/>
        </w:trPr>
        <w:tc>
          <w:tcPr>
            <w:tcW w:w="4398" w:type="dxa"/>
            <w:vAlign w:val="center"/>
          </w:tcPr>
          <w:p w14:paraId="64821638" w14:textId="77777777" w:rsidR="002361E4" w:rsidRPr="006F5D71" w:rsidRDefault="002361E4" w:rsidP="002361E4">
            <w:pPr>
              <w:widowControl w:val="0"/>
              <w:autoSpaceDE w:val="0"/>
              <w:autoSpaceDN w:val="0"/>
              <w:adjustRightInd w:val="0"/>
              <w:spacing w:after="0" w:line="240" w:lineRule="auto"/>
              <w:rPr>
                <w:color w:val="000000" w:themeColor="text1"/>
                <w:szCs w:val="24"/>
              </w:rPr>
            </w:pPr>
            <w:r w:rsidRPr="006F5D71">
              <w:rPr>
                <w:i/>
                <w:iCs/>
                <w:color w:val="000000" w:themeColor="text1"/>
                <w:szCs w:val="24"/>
              </w:rPr>
              <w:t>Equity Ownership</w:t>
            </w:r>
          </w:p>
        </w:tc>
        <w:tc>
          <w:tcPr>
            <w:tcW w:w="1842" w:type="dxa"/>
            <w:vAlign w:val="center"/>
          </w:tcPr>
          <w:p w14:paraId="6D9B447F"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0.792*</w:t>
            </w:r>
          </w:p>
        </w:tc>
        <w:tc>
          <w:tcPr>
            <w:tcW w:w="1612" w:type="dxa"/>
            <w:vAlign w:val="center"/>
          </w:tcPr>
          <w:p w14:paraId="789FBA63"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1.363*</w:t>
            </w:r>
          </w:p>
        </w:tc>
        <w:tc>
          <w:tcPr>
            <w:tcW w:w="1620" w:type="dxa"/>
            <w:vAlign w:val="center"/>
          </w:tcPr>
          <w:p w14:paraId="22BE6AB8"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0.220***</w:t>
            </w:r>
          </w:p>
        </w:tc>
      </w:tr>
      <w:tr w:rsidR="00727A9B" w:rsidRPr="006F5D71" w14:paraId="488D039B" w14:textId="77777777" w:rsidTr="008714B3">
        <w:trPr>
          <w:trHeight w:val="56"/>
          <w:jc w:val="center"/>
        </w:trPr>
        <w:tc>
          <w:tcPr>
            <w:tcW w:w="4398" w:type="dxa"/>
            <w:vAlign w:val="center"/>
          </w:tcPr>
          <w:p w14:paraId="64AE05C9" w14:textId="77777777" w:rsidR="002361E4" w:rsidRPr="006F5D71" w:rsidRDefault="002361E4" w:rsidP="002361E4">
            <w:pPr>
              <w:widowControl w:val="0"/>
              <w:autoSpaceDE w:val="0"/>
              <w:autoSpaceDN w:val="0"/>
              <w:adjustRightInd w:val="0"/>
              <w:spacing w:after="0" w:line="240" w:lineRule="auto"/>
              <w:rPr>
                <w:color w:val="000000" w:themeColor="text1"/>
                <w:szCs w:val="24"/>
              </w:rPr>
            </w:pPr>
          </w:p>
        </w:tc>
        <w:tc>
          <w:tcPr>
            <w:tcW w:w="1842" w:type="dxa"/>
            <w:vAlign w:val="center"/>
          </w:tcPr>
          <w:p w14:paraId="0320ED3B"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(0.398)</w:t>
            </w:r>
          </w:p>
        </w:tc>
        <w:tc>
          <w:tcPr>
            <w:tcW w:w="1612" w:type="dxa"/>
            <w:vAlign w:val="center"/>
          </w:tcPr>
          <w:p w14:paraId="2139918E"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(0.680)</w:t>
            </w:r>
          </w:p>
        </w:tc>
        <w:tc>
          <w:tcPr>
            <w:tcW w:w="1620" w:type="dxa"/>
            <w:vAlign w:val="center"/>
          </w:tcPr>
          <w:p w14:paraId="3891B301" w14:textId="77777777" w:rsidR="002361E4" w:rsidRPr="006F5D71" w:rsidRDefault="002361E4" w:rsidP="002361E4">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(0.020)</w:t>
            </w:r>
          </w:p>
        </w:tc>
      </w:tr>
      <w:tr w:rsidR="00727A9B" w:rsidRPr="006F5D71" w14:paraId="1F6144A3" w14:textId="77777777" w:rsidTr="008714B3">
        <w:trPr>
          <w:trHeight w:val="56"/>
          <w:jc w:val="center"/>
        </w:trPr>
        <w:tc>
          <w:tcPr>
            <w:tcW w:w="4398" w:type="dxa"/>
            <w:vAlign w:val="center"/>
          </w:tcPr>
          <w:p w14:paraId="64D02DC5" w14:textId="77777777" w:rsidR="00B97B60" w:rsidRPr="006F5D71" w:rsidRDefault="00B97B60" w:rsidP="00163B9C">
            <w:pPr>
              <w:widowControl w:val="0"/>
              <w:autoSpaceDE w:val="0"/>
              <w:autoSpaceDN w:val="0"/>
              <w:adjustRightInd w:val="0"/>
              <w:spacing w:after="0" w:line="240" w:lineRule="auto"/>
              <w:rPr>
                <w:color w:val="000000" w:themeColor="text1"/>
                <w:szCs w:val="24"/>
              </w:rPr>
            </w:pPr>
            <w:r w:rsidRPr="006F5D71">
              <w:rPr>
                <w:i/>
                <w:iCs/>
                <w:color w:val="000000" w:themeColor="text1"/>
                <w:szCs w:val="24"/>
              </w:rPr>
              <w:t>Asset</w:t>
            </w:r>
            <w:r w:rsidR="00163B9C">
              <w:rPr>
                <w:i/>
                <w:iCs/>
                <w:color w:val="000000" w:themeColor="text1"/>
                <w:szCs w:val="24"/>
              </w:rPr>
              <w:t>-s</w:t>
            </w:r>
            <w:r w:rsidRPr="006F5D71">
              <w:rPr>
                <w:i/>
                <w:iCs/>
                <w:color w:val="000000" w:themeColor="text1"/>
                <w:szCs w:val="24"/>
              </w:rPr>
              <w:t>eeking Motive</w:t>
            </w:r>
          </w:p>
        </w:tc>
        <w:tc>
          <w:tcPr>
            <w:tcW w:w="1842" w:type="dxa"/>
            <w:vAlign w:val="center"/>
          </w:tcPr>
          <w:p w14:paraId="2178BDF4"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1.436*</w:t>
            </w:r>
          </w:p>
        </w:tc>
        <w:tc>
          <w:tcPr>
            <w:tcW w:w="1612" w:type="dxa"/>
            <w:vAlign w:val="center"/>
          </w:tcPr>
          <w:p w14:paraId="301BF5E2"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1.566**</w:t>
            </w:r>
          </w:p>
        </w:tc>
        <w:tc>
          <w:tcPr>
            <w:tcW w:w="1620" w:type="dxa"/>
            <w:vAlign w:val="center"/>
          </w:tcPr>
          <w:p w14:paraId="3BB4BA71"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0.727*</w:t>
            </w:r>
          </w:p>
        </w:tc>
      </w:tr>
      <w:tr w:rsidR="00727A9B" w:rsidRPr="006F5D71" w14:paraId="1590EADF" w14:textId="77777777" w:rsidTr="008714B3">
        <w:trPr>
          <w:trHeight w:val="56"/>
          <w:jc w:val="center"/>
        </w:trPr>
        <w:tc>
          <w:tcPr>
            <w:tcW w:w="4398" w:type="dxa"/>
            <w:vAlign w:val="center"/>
          </w:tcPr>
          <w:p w14:paraId="7192F4E8" w14:textId="77777777" w:rsidR="00B97B60" w:rsidRPr="006F5D71" w:rsidRDefault="00B97B60" w:rsidP="00B97B60">
            <w:pPr>
              <w:widowControl w:val="0"/>
              <w:autoSpaceDE w:val="0"/>
              <w:autoSpaceDN w:val="0"/>
              <w:adjustRightInd w:val="0"/>
              <w:spacing w:after="0" w:line="240" w:lineRule="auto"/>
              <w:rPr>
                <w:color w:val="000000" w:themeColor="text1"/>
                <w:szCs w:val="24"/>
              </w:rPr>
            </w:pPr>
          </w:p>
        </w:tc>
        <w:tc>
          <w:tcPr>
            <w:tcW w:w="1842" w:type="dxa"/>
            <w:vAlign w:val="center"/>
          </w:tcPr>
          <w:p w14:paraId="2DCA645D"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(0.761)</w:t>
            </w:r>
          </w:p>
        </w:tc>
        <w:tc>
          <w:tcPr>
            <w:tcW w:w="1612" w:type="dxa"/>
            <w:vAlign w:val="center"/>
          </w:tcPr>
          <w:p w14:paraId="487915D5"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(0.621)</w:t>
            </w:r>
          </w:p>
        </w:tc>
        <w:tc>
          <w:tcPr>
            <w:tcW w:w="1620" w:type="dxa"/>
            <w:vAlign w:val="center"/>
          </w:tcPr>
          <w:p w14:paraId="6847623F"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(0.370)</w:t>
            </w:r>
          </w:p>
        </w:tc>
      </w:tr>
      <w:tr w:rsidR="00727A9B" w:rsidRPr="006F5D71" w14:paraId="0BEC256C" w14:textId="77777777" w:rsidTr="008714B3">
        <w:trPr>
          <w:trHeight w:val="53"/>
          <w:jc w:val="center"/>
        </w:trPr>
        <w:tc>
          <w:tcPr>
            <w:tcW w:w="4398" w:type="dxa"/>
            <w:vAlign w:val="center"/>
          </w:tcPr>
          <w:p w14:paraId="738F3AA2"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i/>
                <w:iCs/>
                <w:color w:val="000000" w:themeColor="text1"/>
                <w:szCs w:val="24"/>
              </w:rPr>
              <w:lastRenderedPageBreak/>
              <w:t>Parent Size</w:t>
            </w:r>
          </w:p>
        </w:tc>
        <w:tc>
          <w:tcPr>
            <w:tcW w:w="1842" w:type="dxa"/>
            <w:vAlign w:val="center"/>
          </w:tcPr>
          <w:p w14:paraId="58C95FF2"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0.007***</w:t>
            </w:r>
          </w:p>
        </w:tc>
        <w:tc>
          <w:tcPr>
            <w:tcW w:w="1612" w:type="dxa"/>
            <w:vAlign w:val="center"/>
          </w:tcPr>
          <w:p w14:paraId="4072B3EF"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0.003***</w:t>
            </w:r>
          </w:p>
        </w:tc>
        <w:tc>
          <w:tcPr>
            <w:tcW w:w="1620" w:type="dxa"/>
            <w:vAlign w:val="center"/>
          </w:tcPr>
          <w:p w14:paraId="0B6DBCAE"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0.002***</w:t>
            </w:r>
          </w:p>
        </w:tc>
      </w:tr>
      <w:tr w:rsidR="00727A9B" w:rsidRPr="006F5D71" w14:paraId="4A664271" w14:textId="77777777" w:rsidTr="008714B3">
        <w:trPr>
          <w:trHeight w:val="53"/>
          <w:jc w:val="center"/>
        </w:trPr>
        <w:tc>
          <w:tcPr>
            <w:tcW w:w="4398" w:type="dxa"/>
            <w:vAlign w:val="center"/>
          </w:tcPr>
          <w:p w14:paraId="7D645B46" w14:textId="77777777" w:rsidR="00B97B60" w:rsidRPr="006F5D71" w:rsidRDefault="00B97B60" w:rsidP="00B97B60">
            <w:pPr>
              <w:widowControl w:val="0"/>
              <w:autoSpaceDE w:val="0"/>
              <w:autoSpaceDN w:val="0"/>
              <w:adjustRightInd w:val="0"/>
              <w:spacing w:after="0" w:line="240" w:lineRule="auto"/>
              <w:rPr>
                <w:color w:val="000000" w:themeColor="text1"/>
                <w:szCs w:val="24"/>
              </w:rPr>
            </w:pPr>
          </w:p>
        </w:tc>
        <w:tc>
          <w:tcPr>
            <w:tcW w:w="1842" w:type="dxa"/>
            <w:vAlign w:val="center"/>
          </w:tcPr>
          <w:p w14:paraId="0E0E91BB"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(0.001)</w:t>
            </w:r>
          </w:p>
        </w:tc>
        <w:tc>
          <w:tcPr>
            <w:tcW w:w="1612" w:type="dxa"/>
            <w:vAlign w:val="center"/>
          </w:tcPr>
          <w:p w14:paraId="5FF96BCD"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(0.001)</w:t>
            </w:r>
          </w:p>
        </w:tc>
        <w:tc>
          <w:tcPr>
            <w:tcW w:w="1620" w:type="dxa"/>
            <w:vAlign w:val="center"/>
          </w:tcPr>
          <w:p w14:paraId="7EA99280"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(0.001)</w:t>
            </w:r>
          </w:p>
        </w:tc>
      </w:tr>
      <w:tr w:rsidR="00727A9B" w:rsidRPr="006F5D71" w14:paraId="58897500" w14:textId="77777777" w:rsidTr="008714B3">
        <w:trPr>
          <w:trHeight w:val="53"/>
          <w:jc w:val="center"/>
        </w:trPr>
        <w:tc>
          <w:tcPr>
            <w:tcW w:w="4398" w:type="dxa"/>
            <w:vAlign w:val="center"/>
          </w:tcPr>
          <w:p w14:paraId="500FD253"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i/>
                <w:iCs/>
                <w:color w:val="000000" w:themeColor="text1"/>
                <w:szCs w:val="24"/>
              </w:rPr>
              <w:t>Parent Experience in American Region</w:t>
            </w:r>
          </w:p>
        </w:tc>
        <w:tc>
          <w:tcPr>
            <w:tcW w:w="1842" w:type="dxa"/>
            <w:vAlign w:val="center"/>
          </w:tcPr>
          <w:p w14:paraId="0A049BDD"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0.952**</w:t>
            </w:r>
          </w:p>
        </w:tc>
        <w:tc>
          <w:tcPr>
            <w:tcW w:w="1612" w:type="dxa"/>
            <w:vAlign w:val="center"/>
          </w:tcPr>
          <w:p w14:paraId="6DDC1B5D"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0.845***</w:t>
            </w:r>
          </w:p>
        </w:tc>
        <w:tc>
          <w:tcPr>
            <w:tcW w:w="1620" w:type="dxa"/>
            <w:vAlign w:val="center"/>
          </w:tcPr>
          <w:p w14:paraId="3012B3D3"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p>
        </w:tc>
      </w:tr>
      <w:tr w:rsidR="00727A9B" w:rsidRPr="006F5D71" w14:paraId="5BFEEDC0" w14:textId="77777777" w:rsidTr="008714B3">
        <w:trPr>
          <w:trHeight w:val="53"/>
          <w:jc w:val="center"/>
        </w:trPr>
        <w:tc>
          <w:tcPr>
            <w:tcW w:w="4398" w:type="dxa"/>
            <w:vAlign w:val="center"/>
          </w:tcPr>
          <w:p w14:paraId="2C5A688D" w14:textId="77777777" w:rsidR="00B97B60" w:rsidRPr="006F5D71" w:rsidRDefault="00B97B60" w:rsidP="00B97B60">
            <w:pPr>
              <w:widowControl w:val="0"/>
              <w:autoSpaceDE w:val="0"/>
              <w:autoSpaceDN w:val="0"/>
              <w:adjustRightInd w:val="0"/>
              <w:spacing w:after="0" w:line="240" w:lineRule="auto"/>
              <w:rPr>
                <w:color w:val="000000" w:themeColor="text1"/>
                <w:szCs w:val="24"/>
              </w:rPr>
            </w:pPr>
          </w:p>
        </w:tc>
        <w:tc>
          <w:tcPr>
            <w:tcW w:w="1842" w:type="dxa"/>
            <w:vAlign w:val="center"/>
          </w:tcPr>
          <w:p w14:paraId="2369C41D"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(0.354)</w:t>
            </w:r>
          </w:p>
        </w:tc>
        <w:tc>
          <w:tcPr>
            <w:tcW w:w="1612" w:type="dxa"/>
            <w:vAlign w:val="center"/>
          </w:tcPr>
          <w:p w14:paraId="2B954CAD"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(0.148)</w:t>
            </w:r>
          </w:p>
        </w:tc>
        <w:tc>
          <w:tcPr>
            <w:tcW w:w="1620" w:type="dxa"/>
            <w:vAlign w:val="center"/>
          </w:tcPr>
          <w:p w14:paraId="19AB4EE9"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p>
        </w:tc>
      </w:tr>
      <w:tr w:rsidR="00727A9B" w:rsidRPr="006F5D71" w14:paraId="05CB6288" w14:textId="77777777" w:rsidTr="008714B3">
        <w:trPr>
          <w:trHeight w:val="53"/>
          <w:jc w:val="center"/>
        </w:trPr>
        <w:tc>
          <w:tcPr>
            <w:tcW w:w="4398" w:type="dxa"/>
            <w:vAlign w:val="center"/>
          </w:tcPr>
          <w:p w14:paraId="5DF3C5ED"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i/>
                <w:iCs/>
                <w:color w:val="000000" w:themeColor="text1"/>
                <w:szCs w:val="24"/>
              </w:rPr>
              <w:t>Parent Experience in European Region</w:t>
            </w:r>
          </w:p>
        </w:tc>
        <w:tc>
          <w:tcPr>
            <w:tcW w:w="1842" w:type="dxa"/>
            <w:vAlign w:val="center"/>
          </w:tcPr>
          <w:p w14:paraId="6BFCF381"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0.923*</w:t>
            </w:r>
          </w:p>
        </w:tc>
        <w:tc>
          <w:tcPr>
            <w:tcW w:w="1612" w:type="dxa"/>
            <w:vAlign w:val="center"/>
          </w:tcPr>
          <w:p w14:paraId="621696F8"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0.880**</w:t>
            </w:r>
          </w:p>
        </w:tc>
        <w:tc>
          <w:tcPr>
            <w:tcW w:w="1620" w:type="dxa"/>
            <w:vAlign w:val="center"/>
          </w:tcPr>
          <w:p w14:paraId="17AA92B8"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p>
        </w:tc>
      </w:tr>
      <w:tr w:rsidR="00727A9B" w:rsidRPr="006F5D71" w14:paraId="2C5F0B56" w14:textId="77777777" w:rsidTr="008714B3">
        <w:trPr>
          <w:trHeight w:val="53"/>
          <w:jc w:val="center"/>
        </w:trPr>
        <w:tc>
          <w:tcPr>
            <w:tcW w:w="4398" w:type="dxa"/>
            <w:vAlign w:val="center"/>
          </w:tcPr>
          <w:p w14:paraId="668FAC08" w14:textId="77777777" w:rsidR="00B97B60" w:rsidRPr="006F5D71" w:rsidRDefault="00B97B60" w:rsidP="00B97B60">
            <w:pPr>
              <w:widowControl w:val="0"/>
              <w:autoSpaceDE w:val="0"/>
              <w:autoSpaceDN w:val="0"/>
              <w:adjustRightInd w:val="0"/>
              <w:spacing w:after="0" w:line="240" w:lineRule="auto"/>
              <w:rPr>
                <w:color w:val="000000" w:themeColor="text1"/>
                <w:szCs w:val="24"/>
              </w:rPr>
            </w:pPr>
          </w:p>
        </w:tc>
        <w:tc>
          <w:tcPr>
            <w:tcW w:w="1842" w:type="dxa"/>
            <w:vAlign w:val="center"/>
          </w:tcPr>
          <w:p w14:paraId="30C7AAB0"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(0.489)</w:t>
            </w:r>
          </w:p>
        </w:tc>
        <w:tc>
          <w:tcPr>
            <w:tcW w:w="1612" w:type="dxa"/>
            <w:vAlign w:val="center"/>
          </w:tcPr>
          <w:p w14:paraId="76EBFE79"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(0.331)</w:t>
            </w:r>
          </w:p>
        </w:tc>
        <w:tc>
          <w:tcPr>
            <w:tcW w:w="1620" w:type="dxa"/>
            <w:vAlign w:val="center"/>
          </w:tcPr>
          <w:p w14:paraId="568E4E4F"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p>
        </w:tc>
      </w:tr>
      <w:tr w:rsidR="00727A9B" w:rsidRPr="006F5D71" w14:paraId="4F7F14C6" w14:textId="77777777" w:rsidTr="008714B3">
        <w:trPr>
          <w:trHeight w:val="53"/>
          <w:jc w:val="center"/>
        </w:trPr>
        <w:tc>
          <w:tcPr>
            <w:tcW w:w="4398" w:type="dxa"/>
            <w:vAlign w:val="center"/>
          </w:tcPr>
          <w:p w14:paraId="5542A587"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i/>
                <w:iCs/>
                <w:color w:val="000000" w:themeColor="text1"/>
                <w:szCs w:val="24"/>
              </w:rPr>
              <w:t>Parent Experience in African Region</w:t>
            </w:r>
          </w:p>
        </w:tc>
        <w:tc>
          <w:tcPr>
            <w:tcW w:w="1842" w:type="dxa"/>
            <w:vAlign w:val="center"/>
          </w:tcPr>
          <w:p w14:paraId="78D50A3A"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0.786***</w:t>
            </w:r>
          </w:p>
        </w:tc>
        <w:tc>
          <w:tcPr>
            <w:tcW w:w="1612" w:type="dxa"/>
            <w:vAlign w:val="center"/>
          </w:tcPr>
          <w:p w14:paraId="1FF63946"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p>
        </w:tc>
        <w:tc>
          <w:tcPr>
            <w:tcW w:w="1620" w:type="dxa"/>
            <w:vAlign w:val="center"/>
          </w:tcPr>
          <w:p w14:paraId="440002FA"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0.582**</w:t>
            </w:r>
          </w:p>
        </w:tc>
      </w:tr>
      <w:tr w:rsidR="00727A9B" w:rsidRPr="006F5D71" w14:paraId="179B17B4" w14:textId="77777777" w:rsidTr="008714B3">
        <w:trPr>
          <w:trHeight w:val="53"/>
          <w:jc w:val="center"/>
        </w:trPr>
        <w:tc>
          <w:tcPr>
            <w:tcW w:w="4398" w:type="dxa"/>
            <w:vAlign w:val="center"/>
          </w:tcPr>
          <w:p w14:paraId="594CD59B" w14:textId="77777777" w:rsidR="00B97B60" w:rsidRPr="006F5D71" w:rsidRDefault="00B97B60" w:rsidP="00B97B60">
            <w:pPr>
              <w:widowControl w:val="0"/>
              <w:autoSpaceDE w:val="0"/>
              <w:autoSpaceDN w:val="0"/>
              <w:adjustRightInd w:val="0"/>
              <w:spacing w:after="0" w:line="240" w:lineRule="auto"/>
              <w:rPr>
                <w:color w:val="000000" w:themeColor="text1"/>
                <w:szCs w:val="24"/>
              </w:rPr>
            </w:pPr>
          </w:p>
        </w:tc>
        <w:tc>
          <w:tcPr>
            <w:tcW w:w="1842" w:type="dxa"/>
            <w:vAlign w:val="center"/>
          </w:tcPr>
          <w:p w14:paraId="73AB87CD"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(0.080)</w:t>
            </w:r>
          </w:p>
        </w:tc>
        <w:tc>
          <w:tcPr>
            <w:tcW w:w="1612" w:type="dxa"/>
            <w:vAlign w:val="center"/>
          </w:tcPr>
          <w:p w14:paraId="1685C447"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p>
        </w:tc>
        <w:tc>
          <w:tcPr>
            <w:tcW w:w="1620" w:type="dxa"/>
            <w:vAlign w:val="center"/>
          </w:tcPr>
          <w:p w14:paraId="24C79490"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(0.222)</w:t>
            </w:r>
          </w:p>
        </w:tc>
      </w:tr>
      <w:tr w:rsidR="00727A9B" w:rsidRPr="006F5D71" w14:paraId="595DC523" w14:textId="77777777" w:rsidTr="008714B3">
        <w:trPr>
          <w:trHeight w:val="53"/>
          <w:jc w:val="center"/>
        </w:trPr>
        <w:tc>
          <w:tcPr>
            <w:tcW w:w="4398" w:type="dxa"/>
            <w:vAlign w:val="center"/>
          </w:tcPr>
          <w:p w14:paraId="33E9217E"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i/>
                <w:iCs/>
                <w:color w:val="000000" w:themeColor="text1"/>
                <w:szCs w:val="24"/>
              </w:rPr>
              <w:t>Parent Experience in Asian Region</w:t>
            </w:r>
          </w:p>
        </w:tc>
        <w:tc>
          <w:tcPr>
            <w:tcW w:w="1842" w:type="dxa"/>
            <w:vAlign w:val="center"/>
          </w:tcPr>
          <w:p w14:paraId="11B6B518"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0.584***</w:t>
            </w:r>
          </w:p>
        </w:tc>
        <w:tc>
          <w:tcPr>
            <w:tcW w:w="1612" w:type="dxa"/>
            <w:vAlign w:val="center"/>
          </w:tcPr>
          <w:p w14:paraId="294E16C9"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p>
        </w:tc>
        <w:tc>
          <w:tcPr>
            <w:tcW w:w="1620" w:type="dxa"/>
            <w:vAlign w:val="center"/>
          </w:tcPr>
          <w:p w14:paraId="33CCF849"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0.147***</w:t>
            </w:r>
          </w:p>
        </w:tc>
      </w:tr>
      <w:tr w:rsidR="00727A9B" w:rsidRPr="006F5D71" w14:paraId="64869E31" w14:textId="77777777" w:rsidTr="008714B3">
        <w:trPr>
          <w:trHeight w:val="53"/>
          <w:jc w:val="center"/>
        </w:trPr>
        <w:tc>
          <w:tcPr>
            <w:tcW w:w="4398" w:type="dxa"/>
            <w:vAlign w:val="center"/>
          </w:tcPr>
          <w:p w14:paraId="7D60A787" w14:textId="77777777" w:rsidR="00B97B60" w:rsidRPr="006F5D71" w:rsidRDefault="00B97B60" w:rsidP="00B97B60">
            <w:pPr>
              <w:widowControl w:val="0"/>
              <w:autoSpaceDE w:val="0"/>
              <w:autoSpaceDN w:val="0"/>
              <w:adjustRightInd w:val="0"/>
              <w:spacing w:after="0" w:line="240" w:lineRule="auto"/>
              <w:rPr>
                <w:color w:val="000000" w:themeColor="text1"/>
                <w:szCs w:val="24"/>
              </w:rPr>
            </w:pPr>
          </w:p>
        </w:tc>
        <w:tc>
          <w:tcPr>
            <w:tcW w:w="1842" w:type="dxa"/>
            <w:vAlign w:val="center"/>
          </w:tcPr>
          <w:p w14:paraId="0007E1C1"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(0.058)</w:t>
            </w:r>
          </w:p>
        </w:tc>
        <w:tc>
          <w:tcPr>
            <w:tcW w:w="1612" w:type="dxa"/>
            <w:vAlign w:val="center"/>
          </w:tcPr>
          <w:p w14:paraId="496C5865"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p>
        </w:tc>
        <w:tc>
          <w:tcPr>
            <w:tcW w:w="1620" w:type="dxa"/>
            <w:vAlign w:val="center"/>
          </w:tcPr>
          <w:p w14:paraId="5C87E5C5"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(0.010)</w:t>
            </w:r>
          </w:p>
        </w:tc>
      </w:tr>
      <w:tr w:rsidR="00727A9B" w:rsidRPr="006F5D71" w14:paraId="582C1C12" w14:textId="77777777" w:rsidTr="008714B3">
        <w:trPr>
          <w:trHeight w:val="53"/>
          <w:jc w:val="center"/>
        </w:trPr>
        <w:tc>
          <w:tcPr>
            <w:tcW w:w="4398" w:type="dxa"/>
            <w:vAlign w:val="center"/>
          </w:tcPr>
          <w:p w14:paraId="1B6F9FA9"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i/>
                <w:iCs/>
                <w:color w:val="000000" w:themeColor="text1"/>
                <w:szCs w:val="24"/>
              </w:rPr>
              <w:t>Parent Experience in Arab Region</w:t>
            </w:r>
          </w:p>
        </w:tc>
        <w:tc>
          <w:tcPr>
            <w:tcW w:w="1842" w:type="dxa"/>
            <w:vAlign w:val="center"/>
          </w:tcPr>
          <w:p w14:paraId="244CD26A"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0.188**</w:t>
            </w:r>
          </w:p>
        </w:tc>
        <w:tc>
          <w:tcPr>
            <w:tcW w:w="1612" w:type="dxa"/>
            <w:vAlign w:val="center"/>
          </w:tcPr>
          <w:p w14:paraId="3230F2F1"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w:t>
            </w:r>
          </w:p>
        </w:tc>
        <w:tc>
          <w:tcPr>
            <w:tcW w:w="1620" w:type="dxa"/>
            <w:vAlign w:val="center"/>
          </w:tcPr>
          <w:p w14:paraId="1AE4D780"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0.038***</w:t>
            </w:r>
          </w:p>
        </w:tc>
      </w:tr>
      <w:tr w:rsidR="00727A9B" w:rsidRPr="006F5D71" w14:paraId="15921692" w14:textId="77777777" w:rsidTr="008714B3">
        <w:trPr>
          <w:trHeight w:val="53"/>
          <w:jc w:val="center"/>
        </w:trPr>
        <w:tc>
          <w:tcPr>
            <w:tcW w:w="4398" w:type="dxa"/>
            <w:vAlign w:val="center"/>
          </w:tcPr>
          <w:p w14:paraId="2F3DBED3" w14:textId="77777777" w:rsidR="00B97B60" w:rsidRPr="006F5D71" w:rsidRDefault="00B97B60" w:rsidP="00B97B60">
            <w:pPr>
              <w:widowControl w:val="0"/>
              <w:autoSpaceDE w:val="0"/>
              <w:autoSpaceDN w:val="0"/>
              <w:adjustRightInd w:val="0"/>
              <w:spacing w:after="0" w:line="240" w:lineRule="auto"/>
              <w:rPr>
                <w:color w:val="000000" w:themeColor="text1"/>
                <w:szCs w:val="24"/>
              </w:rPr>
            </w:pPr>
          </w:p>
        </w:tc>
        <w:tc>
          <w:tcPr>
            <w:tcW w:w="1842" w:type="dxa"/>
            <w:vAlign w:val="center"/>
          </w:tcPr>
          <w:p w14:paraId="6ECE67C9"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(0.070)</w:t>
            </w:r>
          </w:p>
        </w:tc>
        <w:tc>
          <w:tcPr>
            <w:tcW w:w="1612" w:type="dxa"/>
            <w:vAlign w:val="center"/>
          </w:tcPr>
          <w:p w14:paraId="7F7080A1"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p>
        </w:tc>
        <w:tc>
          <w:tcPr>
            <w:tcW w:w="1620" w:type="dxa"/>
            <w:vAlign w:val="center"/>
          </w:tcPr>
          <w:p w14:paraId="1A038F03"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(0.010)</w:t>
            </w:r>
          </w:p>
        </w:tc>
      </w:tr>
      <w:tr w:rsidR="00727A9B" w:rsidRPr="006F5D71" w14:paraId="01F7A7FD" w14:textId="77777777" w:rsidTr="008714B3">
        <w:trPr>
          <w:trHeight w:val="53"/>
          <w:jc w:val="center"/>
        </w:trPr>
        <w:tc>
          <w:tcPr>
            <w:tcW w:w="4398" w:type="dxa"/>
            <w:vAlign w:val="center"/>
          </w:tcPr>
          <w:p w14:paraId="2078A686"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i/>
                <w:iCs/>
                <w:color w:val="000000" w:themeColor="text1"/>
                <w:szCs w:val="24"/>
              </w:rPr>
              <w:t>Subsidiary Size</w:t>
            </w:r>
          </w:p>
        </w:tc>
        <w:tc>
          <w:tcPr>
            <w:tcW w:w="1842" w:type="dxa"/>
            <w:vAlign w:val="center"/>
          </w:tcPr>
          <w:p w14:paraId="4F992118"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0.013***</w:t>
            </w:r>
          </w:p>
        </w:tc>
        <w:tc>
          <w:tcPr>
            <w:tcW w:w="1612" w:type="dxa"/>
            <w:vAlign w:val="center"/>
          </w:tcPr>
          <w:p w14:paraId="40977B52"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0.028***</w:t>
            </w:r>
          </w:p>
        </w:tc>
        <w:tc>
          <w:tcPr>
            <w:tcW w:w="1620" w:type="dxa"/>
            <w:vAlign w:val="center"/>
          </w:tcPr>
          <w:p w14:paraId="0E62DE52"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0.008***</w:t>
            </w:r>
          </w:p>
        </w:tc>
      </w:tr>
      <w:tr w:rsidR="00727A9B" w:rsidRPr="006F5D71" w14:paraId="575D3E3D" w14:textId="77777777" w:rsidTr="008714B3">
        <w:trPr>
          <w:trHeight w:val="53"/>
          <w:jc w:val="center"/>
        </w:trPr>
        <w:tc>
          <w:tcPr>
            <w:tcW w:w="4398" w:type="dxa"/>
            <w:vAlign w:val="center"/>
          </w:tcPr>
          <w:p w14:paraId="14F4513B" w14:textId="77777777" w:rsidR="00B97B60" w:rsidRPr="006F5D71" w:rsidRDefault="00B97B60" w:rsidP="00B97B60">
            <w:pPr>
              <w:widowControl w:val="0"/>
              <w:autoSpaceDE w:val="0"/>
              <w:autoSpaceDN w:val="0"/>
              <w:adjustRightInd w:val="0"/>
              <w:spacing w:after="0" w:line="240" w:lineRule="auto"/>
              <w:rPr>
                <w:color w:val="000000" w:themeColor="text1"/>
                <w:szCs w:val="24"/>
              </w:rPr>
            </w:pPr>
          </w:p>
        </w:tc>
        <w:tc>
          <w:tcPr>
            <w:tcW w:w="1842" w:type="dxa"/>
            <w:vAlign w:val="center"/>
          </w:tcPr>
          <w:p w14:paraId="7BDD0060"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(0.002)</w:t>
            </w:r>
          </w:p>
        </w:tc>
        <w:tc>
          <w:tcPr>
            <w:tcW w:w="1612" w:type="dxa"/>
            <w:vAlign w:val="center"/>
          </w:tcPr>
          <w:p w14:paraId="68645FB4"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(0.003)</w:t>
            </w:r>
          </w:p>
        </w:tc>
        <w:tc>
          <w:tcPr>
            <w:tcW w:w="1620" w:type="dxa"/>
            <w:vAlign w:val="center"/>
          </w:tcPr>
          <w:p w14:paraId="6DB86DE8"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(0.002)</w:t>
            </w:r>
          </w:p>
        </w:tc>
      </w:tr>
      <w:tr w:rsidR="00727A9B" w:rsidRPr="006F5D71" w14:paraId="7469438D" w14:textId="77777777" w:rsidTr="008714B3">
        <w:trPr>
          <w:trHeight w:val="53"/>
          <w:jc w:val="center"/>
        </w:trPr>
        <w:tc>
          <w:tcPr>
            <w:tcW w:w="4398" w:type="dxa"/>
            <w:vAlign w:val="center"/>
          </w:tcPr>
          <w:p w14:paraId="2F2985CC"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i/>
                <w:iCs/>
                <w:color w:val="000000" w:themeColor="text1"/>
                <w:szCs w:val="24"/>
              </w:rPr>
              <w:t>Leverage</w:t>
            </w:r>
          </w:p>
        </w:tc>
        <w:tc>
          <w:tcPr>
            <w:tcW w:w="1842" w:type="dxa"/>
            <w:vAlign w:val="center"/>
          </w:tcPr>
          <w:p w14:paraId="66FEC291"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1.680*</w:t>
            </w:r>
          </w:p>
        </w:tc>
        <w:tc>
          <w:tcPr>
            <w:tcW w:w="1612" w:type="dxa"/>
            <w:vAlign w:val="center"/>
          </w:tcPr>
          <w:p w14:paraId="567B1E40"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1.407**</w:t>
            </w:r>
          </w:p>
        </w:tc>
        <w:tc>
          <w:tcPr>
            <w:tcW w:w="1620" w:type="dxa"/>
            <w:vAlign w:val="center"/>
          </w:tcPr>
          <w:p w14:paraId="4C445477"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1.950</w:t>
            </w:r>
          </w:p>
        </w:tc>
      </w:tr>
      <w:tr w:rsidR="00727A9B" w:rsidRPr="006F5D71" w14:paraId="6AF7947D" w14:textId="77777777" w:rsidTr="008714B3">
        <w:trPr>
          <w:trHeight w:val="56"/>
          <w:jc w:val="center"/>
        </w:trPr>
        <w:tc>
          <w:tcPr>
            <w:tcW w:w="4398" w:type="dxa"/>
            <w:vAlign w:val="center"/>
          </w:tcPr>
          <w:p w14:paraId="05516EC3" w14:textId="77777777" w:rsidR="00B97B60" w:rsidRPr="006F5D71" w:rsidRDefault="00B97B60" w:rsidP="00B97B60">
            <w:pPr>
              <w:widowControl w:val="0"/>
              <w:autoSpaceDE w:val="0"/>
              <w:autoSpaceDN w:val="0"/>
              <w:adjustRightInd w:val="0"/>
              <w:spacing w:after="0" w:line="240" w:lineRule="auto"/>
              <w:rPr>
                <w:color w:val="000000" w:themeColor="text1"/>
                <w:szCs w:val="24"/>
              </w:rPr>
            </w:pPr>
          </w:p>
        </w:tc>
        <w:tc>
          <w:tcPr>
            <w:tcW w:w="1842" w:type="dxa"/>
            <w:vAlign w:val="center"/>
          </w:tcPr>
          <w:p w14:paraId="2012F01B"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(0.689)</w:t>
            </w:r>
          </w:p>
        </w:tc>
        <w:tc>
          <w:tcPr>
            <w:tcW w:w="1612" w:type="dxa"/>
            <w:vAlign w:val="center"/>
          </w:tcPr>
          <w:p w14:paraId="1191F74E"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(0.550)</w:t>
            </w:r>
          </w:p>
        </w:tc>
        <w:tc>
          <w:tcPr>
            <w:tcW w:w="1620" w:type="dxa"/>
            <w:vAlign w:val="center"/>
          </w:tcPr>
          <w:p w14:paraId="27C9275B"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(1.999)</w:t>
            </w:r>
          </w:p>
        </w:tc>
      </w:tr>
      <w:tr w:rsidR="00727A9B" w:rsidRPr="006F5D71" w14:paraId="0C19EC5F" w14:textId="77777777" w:rsidTr="008714B3">
        <w:trPr>
          <w:trHeight w:val="53"/>
          <w:jc w:val="center"/>
        </w:trPr>
        <w:tc>
          <w:tcPr>
            <w:tcW w:w="4398" w:type="dxa"/>
            <w:vAlign w:val="center"/>
          </w:tcPr>
          <w:p w14:paraId="370875B9"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i/>
                <w:iCs/>
                <w:color w:val="000000" w:themeColor="text1"/>
                <w:szCs w:val="24"/>
              </w:rPr>
              <w:t>State Affiliation</w:t>
            </w:r>
          </w:p>
        </w:tc>
        <w:tc>
          <w:tcPr>
            <w:tcW w:w="1842" w:type="dxa"/>
            <w:vAlign w:val="center"/>
          </w:tcPr>
          <w:p w14:paraId="5A990CDA"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0.269***</w:t>
            </w:r>
          </w:p>
        </w:tc>
        <w:tc>
          <w:tcPr>
            <w:tcW w:w="1612" w:type="dxa"/>
            <w:vAlign w:val="center"/>
          </w:tcPr>
          <w:p w14:paraId="3C8EEE72"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0.485***</w:t>
            </w:r>
          </w:p>
        </w:tc>
        <w:tc>
          <w:tcPr>
            <w:tcW w:w="1620" w:type="dxa"/>
            <w:vAlign w:val="center"/>
          </w:tcPr>
          <w:p w14:paraId="525E70CB"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0.115***</w:t>
            </w:r>
          </w:p>
        </w:tc>
      </w:tr>
      <w:tr w:rsidR="00727A9B" w:rsidRPr="006F5D71" w14:paraId="5A905361" w14:textId="77777777" w:rsidTr="008714B3">
        <w:trPr>
          <w:trHeight w:val="53"/>
          <w:jc w:val="center"/>
        </w:trPr>
        <w:tc>
          <w:tcPr>
            <w:tcW w:w="4398" w:type="dxa"/>
            <w:vAlign w:val="center"/>
          </w:tcPr>
          <w:p w14:paraId="598DBD12" w14:textId="77777777" w:rsidR="00B97B60" w:rsidRPr="006F5D71" w:rsidRDefault="00B97B60" w:rsidP="00B97B60">
            <w:pPr>
              <w:widowControl w:val="0"/>
              <w:autoSpaceDE w:val="0"/>
              <w:autoSpaceDN w:val="0"/>
              <w:adjustRightInd w:val="0"/>
              <w:spacing w:after="0" w:line="240" w:lineRule="auto"/>
              <w:rPr>
                <w:color w:val="000000" w:themeColor="text1"/>
                <w:szCs w:val="24"/>
              </w:rPr>
            </w:pPr>
          </w:p>
        </w:tc>
        <w:tc>
          <w:tcPr>
            <w:tcW w:w="1842" w:type="dxa"/>
            <w:vAlign w:val="center"/>
          </w:tcPr>
          <w:p w14:paraId="2D9B3D19"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(0.055)</w:t>
            </w:r>
          </w:p>
        </w:tc>
        <w:tc>
          <w:tcPr>
            <w:tcW w:w="1612" w:type="dxa"/>
            <w:vAlign w:val="center"/>
          </w:tcPr>
          <w:p w14:paraId="3783AE97"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(0.101)</w:t>
            </w:r>
          </w:p>
        </w:tc>
        <w:tc>
          <w:tcPr>
            <w:tcW w:w="1620" w:type="dxa"/>
            <w:vAlign w:val="center"/>
          </w:tcPr>
          <w:p w14:paraId="51CDADC6"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(0.008)</w:t>
            </w:r>
          </w:p>
        </w:tc>
      </w:tr>
      <w:tr w:rsidR="00727A9B" w:rsidRPr="006F5D71" w14:paraId="1B110D7F" w14:textId="77777777" w:rsidTr="008714B3">
        <w:trPr>
          <w:trHeight w:val="53"/>
          <w:jc w:val="center"/>
        </w:trPr>
        <w:tc>
          <w:tcPr>
            <w:tcW w:w="4398" w:type="dxa"/>
            <w:vAlign w:val="center"/>
          </w:tcPr>
          <w:p w14:paraId="6DDB90E5"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i/>
                <w:iCs/>
                <w:color w:val="000000" w:themeColor="text1"/>
                <w:szCs w:val="24"/>
              </w:rPr>
              <w:t>China Dummy</w:t>
            </w:r>
          </w:p>
        </w:tc>
        <w:tc>
          <w:tcPr>
            <w:tcW w:w="1842" w:type="dxa"/>
            <w:vAlign w:val="center"/>
          </w:tcPr>
          <w:p w14:paraId="1B52872C"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0.570**</w:t>
            </w:r>
          </w:p>
        </w:tc>
        <w:tc>
          <w:tcPr>
            <w:tcW w:w="1612" w:type="dxa"/>
            <w:vAlign w:val="center"/>
          </w:tcPr>
          <w:p w14:paraId="48185EB4"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0.619**</w:t>
            </w:r>
          </w:p>
        </w:tc>
        <w:tc>
          <w:tcPr>
            <w:tcW w:w="1620" w:type="dxa"/>
            <w:vAlign w:val="center"/>
          </w:tcPr>
          <w:p w14:paraId="69F5F050"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0.591*</w:t>
            </w:r>
          </w:p>
        </w:tc>
      </w:tr>
      <w:tr w:rsidR="00727A9B" w:rsidRPr="006F5D71" w14:paraId="16A06685" w14:textId="77777777" w:rsidTr="008714B3">
        <w:trPr>
          <w:trHeight w:val="56"/>
          <w:jc w:val="center"/>
        </w:trPr>
        <w:tc>
          <w:tcPr>
            <w:tcW w:w="4398" w:type="dxa"/>
            <w:vAlign w:val="center"/>
          </w:tcPr>
          <w:p w14:paraId="783F9235" w14:textId="77777777" w:rsidR="00B97B60" w:rsidRPr="006F5D71" w:rsidRDefault="00B97B60" w:rsidP="00B97B60">
            <w:pPr>
              <w:widowControl w:val="0"/>
              <w:autoSpaceDE w:val="0"/>
              <w:autoSpaceDN w:val="0"/>
              <w:adjustRightInd w:val="0"/>
              <w:spacing w:after="0" w:line="240" w:lineRule="auto"/>
              <w:rPr>
                <w:color w:val="000000" w:themeColor="text1"/>
                <w:szCs w:val="24"/>
              </w:rPr>
            </w:pPr>
          </w:p>
        </w:tc>
        <w:tc>
          <w:tcPr>
            <w:tcW w:w="1842" w:type="dxa"/>
            <w:vAlign w:val="center"/>
          </w:tcPr>
          <w:p w14:paraId="39D8E9A0"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(0.201)</w:t>
            </w:r>
          </w:p>
        </w:tc>
        <w:tc>
          <w:tcPr>
            <w:tcW w:w="1612" w:type="dxa"/>
            <w:vAlign w:val="center"/>
          </w:tcPr>
          <w:p w14:paraId="51876808"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(0.224)</w:t>
            </w:r>
          </w:p>
        </w:tc>
        <w:tc>
          <w:tcPr>
            <w:tcW w:w="1620" w:type="dxa"/>
            <w:vAlign w:val="center"/>
          </w:tcPr>
          <w:p w14:paraId="52AECAA1"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(0.320)</w:t>
            </w:r>
          </w:p>
        </w:tc>
      </w:tr>
      <w:tr w:rsidR="00727A9B" w:rsidRPr="006F5D71" w14:paraId="1F0AAA0C" w14:textId="77777777" w:rsidTr="008714B3">
        <w:trPr>
          <w:trHeight w:val="50"/>
          <w:jc w:val="center"/>
        </w:trPr>
        <w:tc>
          <w:tcPr>
            <w:tcW w:w="4398" w:type="dxa"/>
            <w:vAlign w:val="center"/>
          </w:tcPr>
          <w:p w14:paraId="2289C29A"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i/>
                <w:iCs/>
                <w:color w:val="000000" w:themeColor="text1"/>
                <w:szCs w:val="24"/>
              </w:rPr>
              <w:t>Subsidiary Age</w:t>
            </w:r>
          </w:p>
        </w:tc>
        <w:tc>
          <w:tcPr>
            <w:tcW w:w="1842" w:type="dxa"/>
            <w:vAlign w:val="center"/>
          </w:tcPr>
          <w:p w14:paraId="19FB4FF6"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0.870***</w:t>
            </w:r>
          </w:p>
        </w:tc>
        <w:tc>
          <w:tcPr>
            <w:tcW w:w="1612" w:type="dxa"/>
            <w:vAlign w:val="center"/>
          </w:tcPr>
          <w:p w14:paraId="593744D1"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0.820***</w:t>
            </w:r>
          </w:p>
        </w:tc>
        <w:tc>
          <w:tcPr>
            <w:tcW w:w="1620" w:type="dxa"/>
            <w:vAlign w:val="center"/>
          </w:tcPr>
          <w:p w14:paraId="3857E576"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0.811***</w:t>
            </w:r>
          </w:p>
        </w:tc>
      </w:tr>
      <w:tr w:rsidR="00727A9B" w:rsidRPr="006F5D71" w14:paraId="0D342E21" w14:textId="77777777" w:rsidTr="008714B3">
        <w:trPr>
          <w:trHeight w:val="56"/>
          <w:jc w:val="center"/>
        </w:trPr>
        <w:tc>
          <w:tcPr>
            <w:tcW w:w="4398" w:type="dxa"/>
            <w:vAlign w:val="center"/>
          </w:tcPr>
          <w:p w14:paraId="772A6174" w14:textId="77777777" w:rsidR="00B97B60" w:rsidRPr="006F5D71" w:rsidRDefault="00B97B60" w:rsidP="00B97B60">
            <w:pPr>
              <w:widowControl w:val="0"/>
              <w:autoSpaceDE w:val="0"/>
              <w:autoSpaceDN w:val="0"/>
              <w:adjustRightInd w:val="0"/>
              <w:spacing w:after="0" w:line="240" w:lineRule="auto"/>
              <w:rPr>
                <w:color w:val="000000" w:themeColor="text1"/>
                <w:szCs w:val="24"/>
              </w:rPr>
            </w:pPr>
          </w:p>
        </w:tc>
        <w:tc>
          <w:tcPr>
            <w:tcW w:w="1842" w:type="dxa"/>
            <w:vAlign w:val="center"/>
          </w:tcPr>
          <w:p w14:paraId="2FE989D7"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(0.010)</w:t>
            </w:r>
          </w:p>
        </w:tc>
        <w:tc>
          <w:tcPr>
            <w:tcW w:w="1612" w:type="dxa"/>
            <w:vAlign w:val="center"/>
          </w:tcPr>
          <w:p w14:paraId="2D59C9C2"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(0.010)</w:t>
            </w:r>
          </w:p>
        </w:tc>
        <w:tc>
          <w:tcPr>
            <w:tcW w:w="1620" w:type="dxa"/>
            <w:vAlign w:val="center"/>
          </w:tcPr>
          <w:p w14:paraId="689DEA58"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(0.008)</w:t>
            </w:r>
          </w:p>
        </w:tc>
      </w:tr>
      <w:tr w:rsidR="00727A9B" w:rsidRPr="006F5D71" w14:paraId="6BDC9ACA" w14:textId="77777777" w:rsidTr="008714B3">
        <w:trPr>
          <w:trHeight w:val="53"/>
          <w:jc w:val="center"/>
        </w:trPr>
        <w:tc>
          <w:tcPr>
            <w:tcW w:w="4398" w:type="dxa"/>
            <w:vAlign w:val="center"/>
          </w:tcPr>
          <w:p w14:paraId="25DA5AA4"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i/>
                <w:iCs/>
                <w:color w:val="000000" w:themeColor="text1"/>
                <w:szCs w:val="24"/>
              </w:rPr>
              <w:t>Family Controlled</w:t>
            </w:r>
          </w:p>
        </w:tc>
        <w:tc>
          <w:tcPr>
            <w:tcW w:w="1842" w:type="dxa"/>
            <w:vAlign w:val="center"/>
          </w:tcPr>
          <w:p w14:paraId="44D41753"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0.525***</w:t>
            </w:r>
          </w:p>
        </w:tc>
        <w:tc>
          <w:tcPr>
            <w:tcW w:w="1612" w:type="dxa"/>
            <w:vAlign w:val="center"/>
          </w:tcPr>
          <w:p w14:paraId="178FAB83"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0.589**</w:t>
            </w:r>
          </w:p>
        </w:tc>
        <w:tc>
          <w:tcPr>
            <w:tcW w:w="1620" w:type="dxa"/>
            <w:vAlign w:val="center"/>
          </w:tcPr>
          <w:p w14:paraId="7DB38AB1"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0.400***</w:t>
            </w:r>
          </w:p>
        </w:tc>
      </w:tr>
      <w:tr w:rsidR="00727A9B" w:rsidRPr="006F5D71" w14:paraId="4F432CC1" w14:textId="77777777" w:rsidTr="008714B3">
        <w:trPr>
          <w:trHeight w:val="56"/>
          <w:jc w:val="center"/>
        </w:trPr>
        <w:tc>
          <w:tcPr>
            <w:tcW w:w="4398" w:type="dxa"/>
            <w:vAlign w:val="center"/>
          </w:tcPr>
          <w:p w14:paraId="092B2635" w14:textId="77777777" w:rsidR="00B97B60" w:rsidRPr="006F5D71" w:rsidRDefault="00B97B60" w:rsidP="00B97B60">
            <w:pPr>
              <w:widowControl w:val="0"/>
              <w:autoSpaceDE w:val="0"/>
              <w:autoSpaceDN w:val="0"/>
              <w:adjustRightInd w:val="0"/>
              <w:spacing w:after="0" w:line="240" w:lineRule="auto"/>
              <w:rPr>
                <w:color w:val="000000" w:themeColor="text1"/>
                <w:szCs w:val="24"/>
              </w:rPr>
            </w:pPr>
          </w:p>
        </w:tc>
        <w:tc>
          <w:tcPr>
            <w:tcW w:w="1842" w:type="dxa"/>
            <w:vAlign w:val="center"/>
          </w:tcPr>
          <w:p w14:paraId="5765653E"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(0.110)</w:t>
            </w:r>
          </w:p>
        </w:tc>
        <w:tc>
          <w:tcPr>
            <w:tcW w:w="1612" w:type="dxa"/>
            <w:vAlign w:val="center"/>
          </w:tcPr>
          <w:p w14:paraId="67E9D8E2"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(0.231)</w:t>
            </w:r>
          </w:p>
        </w:tc>
        <w:tc>
          <w:tcPr>
            <w:tcW w:w="1620" w:type="dxa"/>
            <w:vAlign w:val="center"/>
          </w:tcPr>
          <w:p w14:paraId="11323C62"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(0.060)</w:t>
            </w:r>
          </w:p>
        </w:tc>
      </w:tr>
      <w:tr w:rsidR="00727A9B" w:rsidRPr="006F5D71" w14:paraId="6457206B" w14:textId="77777777" w:rsidTr="008714B3">
        <w:trPr>
          <w:trHeight w:val="53"/>
          <w:jc w:val="center"/>
        </w:trPr>
        <w:tc>
          <w:tcPr>
            <w:tcW w:w="4398" w:type="dxa"/>
            <w:vAlign w:val="center"/>
          </w:tcPr>
          <w:p w14:paraId="5F18C7F2" w14:textId="77777777" w:rsidR="00B97B60" w:rsidRPr="006F5D71" w:rsidRDefault="00B97B60" w:rsidP="00B97B60">
            <w:pPr>
              <w:widowControl w:val="0"/>
              <w:autoSpaceDE w:val="0"/>
              <w:autoSpaceDN w:val="0"/>
              <w:adjustRightInd w:val="0"/>
              <w:spacing w:after="0" w:line="240" w:lineRule="auto"/>
              <w:rPr>
                <w:color w:val="000000" w:themeColor="text1"/>
                <w:szCs w:val="24"/>
              </w:rPr>
            </w:pPr>
          </w:p>
        </w:tc>
        <w:tc>
          <w:tcPr>
            <w:tcW w:w="1842" w:type="dxa"/>
            <w:vAlign w:val="center"/>
          </w:tcPr>
          <w:p w14:paraId="54BB74F7"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p>
        </w:tc>
        <w:tc>
          <w:tcPr>
            <w:tcW w:w="1612" w:type="dxa"/>
            <w:vAlign w:val="center"/>
          </w:tcPr>
          <w:p w14:paraId="368310B5"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p>
        </w:tc>
        <w:tc>
          <w:tcPr>
            <w:tcW w:w="1620" w:type="dxa"/>
            <w:vAlign w:val="center"/>
          </w:tcPr>
          <w:p w14:paraId="5D24B596"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p>
        </w:tc>
      </w:tr>
      <w:tr w:rsidR="00727A9B" w:rsidRPr="006F5D71" w14:paraId="13D038BE" w14:textId="77777777" w:rsidTr="008714B3">
        <w:trPr>
          <w:trHeight w:val="53"/>
          <w:jc w:val="center"/>
        </w:trPr>
        <w:tc>
          <w:tcPr>
            <w:tcW w:w="4398" w:type="dxa"/>
            <w:vAlign w:val="center"/>
          </w:tcPr>
          <w:p w14:paraId="7D839C68"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color w:val="000000" w:themeColor="text1"/>
                <w:szCs w:val="24"/>
              </w:rPr>
              <w:t>Observations</w:t>
            </w:r>
          </w:p>
        </w:tc>
        <w:tc>
          <w:tcPr>
            <w:tcW w:w="1842" w:type="dxa"/>
            <w:vAlign w:val="center"/>
          </w:tcPr>
          <w:p w14:paraId="3D14456E"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8,827</w:t>
            </w:r>
          </w:p>
        </w:tc>
        <w:tc>
          <w:tcPr>
            <w:tcW w:w="1612" w:type="dxa"/>
            <w:vAlign w:val="center"/>
          </w:tcPr>
          <w:p w14:paraId="4DB86C58"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5,848</w:t>
            </w:r>
          </w:p>
        </w:tc>
        <w:tc>
          <w:tcPr>
            <w:tcW w:w="1620" w:type="dxa"/>
            <w:vAlign w:val="center"/>
          </w:tcPr>
          <w:p w14:paraId="37214E93"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2,979</w:t>
            </w:r>
          </w:p>
        </w:tc>
      </w:tr>
      <w:tr w:rsidR="00727A9B" w:rsidRPr="006F5D71" w14:paraId="0FD1DB89" w14:textId="77777777" w:rsidTr="008714B3">
        <w:trPr>
          <w:trHeight w:val="56"/>
          <w:jc w:val="center"/>
        </w:trPr>
        <w:tc>
          <w:tcPr>
            <w:tcW w:w="4398" w:type="dxa"/>
            <w:vAlign w:val="center"/>
          </w:tcPr>
          <w:p w14:paraId="361D949C"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color w:val="000000" w:themeColor="text1"/>
                <w:szCs w:val="24"/>
              </w:rPr>
              <w:t>Exited cases</w:t>
            </w:r>
          </w:p>
        </w:tc>
        <w:tc>
          <w:tcPr>
            <w:tcW w:w="1842" w:type="dxa"/>
            <w:vAlign w:val="center"/>
          </w:tcPr>
          <w:p w14:paraId="27DAF85E"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241</w:t>
            </w:r>
          </w:p>
        </w:tc>
        <w:tc>
          <w:tcPr>
            <w:tcW w:w="1612" w:type="dxa"/>
            <w:vAlign w:val="center"/>
          </w:tcPr>
          <w:p w14:paraId="167703DF"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179</w:t>
            </w:r>
          </w:p>
        </w:tc>
        <w:tc>
          <w:tcPr>
            <w:tcW w:w="1620" w:type="dxa"/>
            <w:vAlign w:val="center"/>
          </w:tcPr>
          <w:p w14:paraId="6EDC2DB1"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 xml:space="preserve"> 62</w:t>
            </w:r>
          </w:p>
        </w:tc>
      </w:tr>
      <w:tr w:rsidR="00727A9B" w:rsidRPr="006F5D71" w14:paraId="5F47AC46" w14:textId="77777777" w:rsidTr="00FE0765">
        <w:trPr>
          <w:trHeight w:val="56"/>
          <w:jc w:val="center"/>
        </w:trPr>
        <w:tc>
          <w:tcPr>
            <w:tcW w:w="4398" w:type="dxa"/>
            <w:tcBorders>
              <w:top w:val="nil"/>
              <w:left w:val="nil"/>
              <w:bottom w:val="nil"/>
              <w:right w:val="nil"/>
            </w:tcBorders>
            <w:vAlign w:val="center"/>
          </w:tcPr>
          <w:p w14:paraId="00DFD08B"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color w:val="000000" w:themeColor="text1"/>
                <w:szCs w:val="24"/>
              </w:rPr>
              <w:t>Log Likelihood</w:t>
            </w:r>
          </w:p>
        </w:tc>
        <w:tc>
          <w:tcPr>
            <w:tcW w:w="1842" w:type="dxa"/>
            <w:tcBorders>
              <w:top w:val="nil"/>
              <w:left w:val="nil"/>
              <w:bottom w:val="nil"/>
              <w:right w:val="nil"/>
            </w:tcBorders>
            <w:vAlign w:val="center"/>
          </w:tcPr>
          <w:p w14:paraId="255019B2"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-1519.72</w:t>
            </w:r>
          </w:p>
        </w:tc>
        <w:tc>
          <w:tcPr>
            <w:tcW w:w="1612" w:type="dxa"/>
            <w:tcBorders>
              <w:top w:val="nil"/>
              <w:left w:val="nil"/>
              <w:bottom w:val="nil"/>
              <w:right w:val="nil"/>
            </w:tcBorders>
            <w:vAlign w:val="center"/>
          </w:tcPr>
          <w:p w14:paraId="0CF69A29"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-1033.22</w:t>
            </w:r>
          </w:p>
        </w:tc>
        <w:tc>
          <w:tcPr>
            <w:tcW w:w="1620" w:type="dxa"/>
            <w:tcBorders>
              <w:top w:val="nil"/>
              <w:left w:val="nil"/>
              <w:bottom w:val="nil"/>
              <w:right w:val="nil"/>
            </w:tcBorders>
            <w:vAlign w:val="center"/>
          </w:tcPr>
          <w:p w14:paraId="6B84C35D"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-276.47</w:t>
            </w:r>
          </w:p>
        </w:tc>
      </w:tr>
      <w:tr w:rsidR="00727A9B" w:rsidRPr="006F5D71" w14:paraId="7D72F014" w14:textId="77777777" w:rsidTr="008714B3">
        <w:trPr>
          <w:trHeight w:val="53"/>
          <w:jc w:val="center"/>
        </w:trPr>
        <w:tc>
          <w:tcPr>
            <w:tcW w:w="4398" w:type="dxa"/>
            <w:tcBorders>
              <w:bottom w:val="single" w:sz="4" w:space="0" w:color="auto"/>
            </w:tcBorders>
            <w:vAlign w:val="center"/>
          </w:tcPr>
          <w:p w14:paraId="5BA8E7CC" w14:textId="77777777" w:rsidR="00B97B60" w:rsidRPr="006F5D71" w:rsidRDefault="00B97B60" w:rsidP="00B97B60">
            <w:pPr>
              <w:widowControl w:val="0"/>
              <w:autoSpaceDE w:val="0"/>
              <w:autoSpaceDN w:val="0"/>
              <w:adjustRightInd w:val="0"/>
              <w:spacing w:after="0" w:line="240" w:lineRule="auto"/>
              <w:rPr>
                <w:color w:val="000000" w:themeColor="text1"/>
                <w:szCs w:val="24"/>
              </w:rPr>
            </w:pPr>
            <w:r w:rsidRPr="006F5D71">
              <w:rPr>
                <w:color w:val="000000" w:themeColor="text1"/>
                <w:szCs w:val="24"/>
              </w:rPr>
              <w:t>Chi-square</w:t>
            </w:r>
          </w:p>
        </w:tc>
        <w:tc>
          <w:tcPr>
            <w:tcW w:w="1842" w:type="dxa"/>
            <w:tcBorders>
              <w:bottom w:val="single" w:sz="4" w:space="0" w:color="auto"/>
            </w:tcBorders>
            <w:vAlign w:val="center"/>
          </w:tcPr>
          <w:p w14:paraId="79D16C4D"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1044.2***</w:t>
            </w:r>
          </w:p>
        </w:tc>
        <w:tc>
          <w:tcPr>
            <w:tcW w:w="1612" w:type="dxa"/>
            <w:tcBorders>
              <w:bottom w:val="single" w:sz="4" w:space="0" w:color="auto"/>
            </w:tcBorders>
            <w:vAlign w:val="center"/>
          </w:tcPr>
          <w:p w14:paraId="7234B517"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862.1***</w:t>
            </w:r>
          </w:p>
        </w:tc>
        <w:tc>
          <w:tcPr>
            <w:tcW w:w="1620" w:type="dxa"/>
            <w:tcBorders>
              <w:bottom w:val="single" w:sz="4" w:space="0" w:color="auto"/>
            </w:tcBorders>
            <w:vAlign w:val="center"/>
          </w:tcPr>
          <w:p w14:paraId="6B141B94" w14:textId="77777777" w:rsidR="00B97B60" w:rsidRPr="006F5D71" w:rsidRDefault="00B97B60" w:rsidP="00B97B60">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328.3***</w:t>
            </w:r>
          </w:p>
        </w:tc>
      </w:tr>
    </w:tbl>
    <w:p w14:paraId="3D711E16" w14:textId="77777777" w:rsidR="00DF0662" w:rsidRPr="006F5D71" w:rsidRDefault="00DF0662" w:rsidP="00DF0662">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Standard errors in parentheses</w:t>
      </w:r>
    </w:p>
    <w:p w14:paraId="379BFE58" w14:textId="77777777" w:rsidR="00DF0662" w:rsidRPr="006F5D71" w:rsidRDefault="00DF0662" w:rsidP="00DF0662">
      <w:pPr>
        <w:widowControl w:val="0"/>
        <w:autoSpaceDE w:val="0"/>
        <w:autoSpaceDN w:val="0"/>
        <w:adjustRightInd w:val="0"/>
        <w:spacing w:after="0" w:line="240" w:lineRule="auto"/>
        <w:jc w:val="center"/>
        <w:rPr>
          <w:color w:val="000000" w:themeColor="text1"/>
          <w:szCs w:val="24"/>
        </w:rPr>
      </w:pPr>
      <w:r w:rsidRPr="006F5D71">
        <w:rPr>
          <w:color w:val="000000" w:themeColor="text1"/>
          <w:szCs w:val="24"/>
        </w:rPr>
        <w:t>*** p&lt;0.01, ** p&lt;0.05, * p&lt;0.1</w:t>
      </w:r>
    </w:p>
    <w:p w14:paraId="76795354" w14:textId="77777777" w:rsidR="00DF0662" w:rsidRPr="006F5D71" w:rsidRDefault="00DF0662">
      <w:pPr>
        <w:rPr>
          <w:color w:val="000000" w:themeColor="text1"/>
          <w:sz w:val="22"/>
        </w:rPr>
      </w:pPr>
    </w:p>
    <w:p w14:paraId="277EA3CB" w14:textId="77777777" w:rsidR="004B70C4" w:rsidRPr="006F5D71" w:rsidRDefault="00CA5BAC" w:rsidP="00042BDD">
      <w:pPr>
        <w:shd w:val="clear" w:color="auto" w:fill="FFFFFF" w:themeFill="background1"/>
        <w:jc w:val="center"/>
        <w:rPr>
          <w:color w:val="000000" w:themeColor="text1"/>
        </w:rPr>
      </w:pPr>
      <w:r w:rsidRPr="006F5D71">
        <w:rPr>
          <w:noProof/>
          <w:color w:val="000000" w:themeColor="text1"/>
        </w:rPr>
        <w:lastRenderedPageBreak/>
        <w:drawing>
          <wp:inline distT="0" distB="0" distL="0" distR="0" wp14:anchorId="17A8B3EE" wp14:editId="3E0B7473">
            <wp:extent cx="5691100" cy="311467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04993" cy="3122278"/>
                    </a:xfrm>
                    <a:prstGeom prst="rect">
                      <a:avLst/>
                    </a:prstGeom>
                    <a:noFill/>
                  </pic:spPr>
                </pic:pic>
              </a:graphicData>
            </a:graphic>
          </wp:inline>
        </w:drawing>
      </w:r>
    </w:p>
    <w:p w14:paraId="405E7A56" w14:textId="77777777" w:rsidR="00540904" w:rsidRPr="006F5D71" w:rsidRDefault="00540904" w:rsidP="00042BDD">
      <w:pPr>
        <w:shd w:val="clear" w:color="auto" w:fill="FFFFFF" w:themeFill="background1"/>
        <w:jc w:val="center"/>
        <w:rPr>
          <w:color w:val="000000" w:themeColor="text1"/>
        </w:rPr>
      </w:pPr>
      <w:r w:rsidRPr="006F5D71">
        <w:rPr>
          <w:color w:val="000000" w:themeColor="text1"/>
        </w:rPr>
        <w:t>Figure</w:t>
      </w:r>
      <w:r w:rsidR="002B698C" w:rsidRPr="006F5D71">
        <w:rPr>
          <w:color w:val="000000" w:themeColor="text1"/>
        </w:rPr>
        <w:t xml:space="preserve"> 1:</w:t>
      </w:r>
      <w:r w:rsidRPr="006F5D71">
        <w:rPr>
          <w:color w:val="000000" w:themeColor="text1"/>
        </w:rPr>
        <w:t xml:space="preserve"> </w:t>
      </w:r>
      <w:r w:rsidR="002B698C" w:rsidRPr="006F5D71">
        <w:rPr>
          <w:color w:val="000000" w:themeColor="text1"/>
        </w:rPr>
        <w:t>EMNCs’ survival r</w:t>
      </w:r>
      <w:r w:rsidRPr="006F5D71">
        <w:rPr>
          <w:color w:val="000000" w:themeColor="text1"/>
        </w:rPr>
        <w:t>ate in North</w:t>
      </w:r>
      <w:r w:rsidR="002B698C" w:rsidRPr="006F5D71">
        <w:rPr>
          <w:color w:val="000000" w:themeColor="text1"/>
        </w:rPr>
        <w:t xml:space="preserve"> and South</w:t>
      </w:r>
    </w:p>
    <w:p w14:paraId="03881C0C" w14:textId="77777777" w:rsidR="00AE0BD2" w:rsidRPr="006F5D71" w:rsidRDefault="00AE0BD2" w:rsidP="00042BDD">
      <w:pPr>
        <w:shd w:val="clear" w:color="auto" w:fill="FFFFFF" w:themeFill="background1"/>
        <w:jc w:val="center"/>
        <w:rPr>
          <w:color w:val="000000" w:themeColor="text1"/>
        </w:rPr>
      </w:pPr>
    </w:p>
    <w:sectPr w:rsidR="00AE0BD2" w:rsidRPr="006F5D71" w:rsidSect="006346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8C0D3" w14:textId="77777777" w:rsidR="0086473B" w:rsidRDefault="0086473B" w:rsidP="003173F0">
      <w:pPr>
        <w:spacing w:after="0" w:line="240" w:lineRule="auto"/>
      </w:pPr>
      <w:r>
        <w:separator/>
      </w:r>
    </w:p>
  </w:endnote>
  <w:endnote w:type="continuationSeparator" w:id="0">
    <w:p w14:paraId="0EB2582E" w14:textId="77777777" w:rsidR="0086473B" w:rsidRDefault="0086473B" w:rsidP="0031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863180f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Math">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566745"/>
      <w:docPartObj>
        <w:docPartGallery w:val="Page Numbers (Bottom of Page)"/>
        <w:docPartUnique/>
      </w:docPartObj>
    </w:sdtPr>
    <w:sdtEndPr>
      <w:rPr>
        <w:noProof/>
      </w:rPr>
    </w:sdtEndPr>
    <w:sdtContent>
      <w:p w14:paraId="36A77446" w14:textId="77777777" w:rsidR="00BD4CDB" w:rsidRDefault="0063465C">
        <w:pPr>
          <w:pStyle w:val="Footer"/>
          <w:jc w:val="center"/>
        </w:pPr>
        <w:r>
          <w:fldChar w:fldCharType="begin"/>
        </w:r>
        <w:r w:rsidR="00BD4CDB">
          <w:instrText xml:space="preserve"> PAGE   \* MERGEFORMAT </w:instrText>
        </w:r>
        <w:r>
          <w:fldChar w:fldCharType="separate"/>
        </w:r>
        <w:r w:rsidR="004A2F94">
          <w:rPr>
            <w:noProof/>
          </w:rPr>
          <w:t>33</w:t>
        </w:r>
        <w:r>
          <w:rPr>
            <w:noProof/>
          </w:rPr>
          <w:fldChar w:fldCharType="end"/>
        </w:r>
      </w:p>
    </w:sdtContent>
  </w:sdt>
  <w:p w14:paraId="5124799F" w14:textId="77777777" w:rsidR="00BD4CDB" w:rsidRDefault="00BD4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2216" w14:textId="77777777" w:rsidR="0086473B" w:rsidRDefault="0086473B" w:rsidP="003173F0">
      <w:pPr>
        <w:spacing w:after="0" w:line="240" w:lineRule="auto"/>
      </w:pPr>
      <w:r>
        <w:separator/>
      </w:r>
    </w:p>
  </w:footnote>
  <w:footnote w:type="continuationSeparator" w:id="0">
    <w:p w14:paraId="0FC68E43" w14:textId="77777777" w:rsidR="0086473B" w:rsidRDefault="0086473B" w:rsidP="003173F0">
      <w:pPr>
        <w:spacing w:after="0" w:line="240" w:lineRule="auto"/>
      </w:pPr>
      <w:r>
        <w:continuationSeparator/>
      </w:r>
    </w:p>
  </w:footnote>
  <w:footnote w:id="1">
    <w:p w14:paraId="7981A78F" w14:textId="77777777" w:rsidR="00BD4CDB" w:rsidRPr="00BD4CDB" w:rsidRDefault="00BD4CDB">
      <w:pPr>
        <w:pStyle w:val="FootnoteText"/>
        <w:rPr>
          <w:lang w:val="en-GB"/>
        </w:rPr>
      </w:pPr>
      <w:r>
        <w:rPr>
          <w:rStyle w:val="FootnoteReference"/>
        </w:rPr>
        <w:footnoteRef/>
      </w:r>
      <w:r>
        <w:t xml:space="preserve"> </w:t>
      </w:r>
      <w:r>
        <w:rPr>
          <w:lang w:val="en-GB"/>
        </w:rPr>
        <w:t xml:space="preserve">We are </w:t>
      </w:r>
      <w:r w:rsidR="00F65130">
        <w:rPr>
          <w:lang w:val="en-GB"/>
        </w:rPr>
        <w:t xml:space="preserve">very </w:t>
      </w:r>
      <w:r>
        <w:rPr>
          <w:lang w:val="en-GB"/>
        </w:rPr>
        <w:t xml:space="preserve">grateful to comments from two anonymous referees that greatly improved the empirical analysis in the paper.  We are also grateful to Nagesh Kumar, Archana Aggarwal and participants of a seminar at ISID, New Delhi for comments on an earlier draft of this paper.  The authors remain responsible for any errors that remain. </w:t>
      </w:r>
    </w:p>
  </w:footnote>
  <w:footnote w:id="2">
    <w:p w14:paraId="7E0612C7" w14:textId="77777777" w:rsidR="00BD4CDB" w:rsidRPr="001D4320" w:rsidRDefault="00BD4CDB" w:rsidP="004A1A5F">
      <w:pPr>
        <w:pStyle w:val="FootnoteText"/>
        <w:jc w:val="both"/>
        <w:rPr>
          <w:lang w:val="en-GB"/>
        </w:rPr>
      </w:pPr>
      <w:r>
        <w:rPr>
          <w:rStyle w:val="FootnoteReference"/>
        </w:rPr>
        <w:footnoteRef/>
      </w:r>
      <w:r>
        <w:t xml:space="preserve"> </w:t>
      </w:r>
      <w:r w:rsidRPr="001D4320">
        <w:t>Furthermore, in the data used in this study, the list of host countries for North a</w:t>
      </w:r>
      <w:r>
        <w:t>nd South are the same as those classified</w:t>
      </w:r>
      <w:r w:rsidRPr="001D4320">
        <w:t xml:space="preserve"> ‘developed’ and ‘developing’</w:t>
      </w:r>
      <w:r>
        <w:t xml:space="preserve">. See Table A1 provided in the </w:t>
      </w:r>
      <w:r w:rsidRPr="00D27E94">
        <w:rPr>
          <w:color w:val="000000" w:themeColor="text1"/>
        </w:rPr>
        <w:t>supplementary</w:t>
      </w:r>
      <w:r>
        <w:rPr>
          <w:color w:val="000000" w:themeColor="text1"/>
        </w:rPr>
        <w:t xml:space="preserve"> file</w:t>
      </w:r>
      <w:r>
        <w:t>.</w:t>
      </w:r>
    </w:p>
  </w:footnote>
  <w:footnote w:id="3">
    <w:p w14:paraId="4A0B69FB" w14:textId="77777777" w:rsidR="00BD4CDB" w:rsidRPr="00F13410" w:rsidRDefault="00BD4CDB">
      <w:pPr>
        <w:pStyle w:val="FootnoteText"/>
        <w:rPr>
          <w:color w:val="000000" w:themeColor="text1"/>
        </w:rPr>
      </w:pPr>
      <w:r w:rsidRPr="00F13410">
        <w:rPr>
          <w:rStyle w:val="FootnoteReference"/>
          <w:color w:val="000000" w:themeColor="text1"/>
        </w:rPr>
        <w:footnoteRef/>
      </w:r>
      <w:r w:rsidRPr="00F13410">
        <w:rPr>
          <w:color w:val="000000" w:themeColor="text1"/>
        </w:rPr>
        <w:t xml:space="preserve"> While we do not deny the remarkable success of EMNCs in developed markets, we suggest that the probability of survival of EMNCs on average is higher in </w:t>
      </w:r>
      <w:r>
        <w:rPr>
          <w:color w:val="000000" w:themeColor="text1"/>
        </w:rPr>
        <w:t xml:space="preserve">the </w:t>
      </w:r>
      <w:r w:rsidRPr="00F13410">
        <w:rPr>
          <w:color w:val="000000" w:themeColor="text1"/>
        </w:rPr>
        <w:t xml:space="preserve">South as compared to </w:t>
      </w:r>
      <w:r>
        <w:rPr>
          <w:color w:val="000000" w:themeColor="text1"/>
        </w:rPr>
        <w:t xml:space="preserve">the </w:t>
      </w:r>
      <w:r w:rsidRPr="00F13410">
        <w:rPr>
          <w:color w:val="000000" w:themeColor="text1"/>
        </w:rPr>
        <w:t>North due to their relative FSAs.</w:t>
      </w:r>
      <w:r>
        <w:rPr>
          <w:color w:val="000000" w:themeColor="text1"/>
        </w:rPr>
        <w:t xml:space="preserve"> </w:t>
      </w:r>
    </w:p>
  </w:footnote>
  <w:footnote w:id="4">
    <w:p w14:paraId="32EDAE9B" w14:textId="77777777" w:rsidR="00BD4CDB" w:rsidRPr="007064A2" w:rsidRDefault="00BD4CDB">
      <w:pPr>
        <w:pStyle w:val="FootnoteText"/>
        <w:rPr>
          <w:lang w:val="en-GB"/>
        </w:rPr>
      </w:pPr>
      <w:r>
        <w:rPr>
          <w:rStyle w:val="FootnoteReference"/>
        </w:rPr>
        <w:footnoteRef/>
      </w:r>
      <w:r>
        <w:t xml:space="preserve"> </w:t>
      </w:r>
      <w:r w:rsidRPr="007064A2">
        <w:t>A nascent body of literature considers political risk as endogenous risk as firms can lobby governments and mitigate adverse impacts of political uncertainty (Buckley et al, 2020).</w:t>
      </w:r>
    </w:p>
  </w:footnote>
  <w:footnote w:id="5">
    <w:p w14:paraId="635043C7" w14:textId="77777777" w:rsidR="00BD4CDB" w:rsidRPr="001A7B86" w:rsidRDefault="00BD4CDB">
      <w:pPr>
        <w:pStyle w:val="FootnoteText"/>
        <w:rPr>
          <w:lang w:val="en-GB"/>
        </w:rPr>
      </w:pPr>
      <w:r>
        <w:rPr>
          <w:rStyle w:val="FootnoteReference"/>
        </w:rPr>
        <w:footnoteRef/>
      </w:r>
      <w:r>
        <w:t xml:space="preserve"> </w:t>
      </w:r>
      <w:r w:rsidRPr="007726D8">
        <w:t>The list of host countries included in North and South</w:t>
      </w:r>
      <w:r>
        <w:t xml:space="preserve"> regions is provided in</w:t>
      </w:r>
      <w:r w:rsidRPr="007726D8">
        <w:t xml:space="preserve"> </w:t>
      </w:r>
      <w:r>
        <w:t>supplementary file (</w:t>
      </w:r>
      <w:r w:rsidRPr="007726D8">
        <w:t>Table A1</w:t>
      </w:r>
      <w:r>
        <w:t>)</w:t>
      </w:r>
      <w:r w:rsidRPr="007726D8">
        <w:t>.</w:t>
      </w:r>
    </w:p>
  </w:footnote>
  <w:footnote w:id="6">
    <w:p w14:paraId="19451079" w14:textId="77777777" w:rsidR="00BD4CDB" w:rsidRPr="005C48B7" w:rsidRDefault="00BD4CDB">
      <w:pPr>
        <w:pStyle w:val="FootnoteText"/>
        <w:rPr>
          <w:lang w:val="en-GB"/>
        </w:rPr>
      </w:pPr>
      <w:r>
        <w:rPr>
          <w:rStyle w:val="FootnoteReference"/>
        </w:rPr>
        <w:footnoteRef/>
      </w:r>
      <w:r>
        <w:t xml:space="preserve"> </w:t>
      </w:r>
      <w:r w:rsidRPr="005C48B7">
        <w:rPr>
          <w:rFonts w:cs="Times New Roman"/>
          <w:lang w:val="en-GB"/>
        </w:rPr>
        <w:t xml:space="preserve">As the hazard rate is the </w:t>
      </w:r>
      <w:r w:rsidRPr="005C48B7">
        <w:rPr>
          <w:rFonts w:ascii="Cambria Math" w:hAnsi="Cambria Math" w:cs="Cambria Math"/>
        </w:rPr>
        <w:t>𝑒</w:t>
      </w:r>
      <w:proofErr w:type="spellStart"/>
      <w:proofErr w:type="gramStart"/>
      <w:r w:rsidRPr="005C48B7">
        <w:rPr>
          <w:rFonts w:cs="Times New Roman"/>
        </w:rPr>
        <w:t>xp</w:t>
      </w:r>
      <w:proofErr w:type="spellEnd"/>
      <w:r w:rsidRPr="005C48B7">
        <w:rPr>
          <w:rFonts w:cs="Times New Roman"/>
        </w:rPr>
        <w:t>(</w:t>
      </w:r>
      <w:proofErr w:type="gramEnd"/>
      <w:r w:rsidRPr="005C48B7">
        <w:rPr>
          <w:rFonts w:ascii="Cambria Math" w:hAnsi="Cambria Math" w:cs="Cambria Math"/>
        </w:rPr>
        <w:t>𝛽</w:t>
      </w:r>
      <w:r w:rsidRPr="005C48B7">
        <w:rPr>
          <w:rFonts w:cs="Times New Roman"/>
        </w:rPr>
        <w:t xml:space="preserve">´ </w:t>
      </w:r>
      <w:r w:rsidRPr="005C48B7">
        <w:rPr>
          <w:rFonts w:ascii="Cambria Math" w:hAnsi="Cambria Math" w:cs="Cambria Math"/>
        </w:rPr>
        <w:t>𝑋</w:t>
      </w:r>
      <w:r w:rsidRPr="005C48B7">
        <w:rPr>
          <w:rFonts w:cs="Times New Roman"/>
        </w:rPr>
        <w:t xml:space="preserve">), negative values of </w:t>
      </w:r>
      <w:r w:rsidRPr="005C48B7">
        <w:rPr>
          <w:rFonts w:ascii="Cambria Math" w:hAnsi="Cambria Math" w:cs="Cambria Math"/>
        </w:rPr>
        <w:t>𝛽</w:t>
      </w:r>
      <w:r w:rsidRPr="005C48B7">
        <w:rPr>
          <w:rFonts w:cs="Times New Roman"/>
        </w:rPr>
        <w:t xml:space="preserve"> result in </w:t>
      </w:r>
      <w:r>
        <w:rPr>
          <w:rFonts w:cs="Times New Roman"/>
        </w:rPr>
        <w:t xml:space="preserve">hazard rate </w:t>
      </w:r>
      <w:r w:rsidRPr="005C48B7">
        <w:rPr>
          <w:rFonts w:cs="Times New Roman"/>
        </w:rPr>
        <w:t>values less than 1.</w:t>
      </w:r>
      <w:r>
        <w:rPr>
          <w:rFonts w:ascii="Cambria Math" w:hAnsi="Cambria Math" w:cs="Cambria Math"/>
        </w:rPr>
        <w:t xml:space="preserve"> </w:t>
      </w:r>
    </w:p>
  </w:footnote>
  <w:footnote w:id="7">
    <w:p w14:paraId="0995AA02" w14:textId="77777777" w:rsidR="00BD4CDB" w:rsidRPr="00387B03" w:rsidRDefault="00BD4CDB" w:rsidP="006D08E1">
      <w:pPr>
        <w:pStyle w:val="FootnoteText"/>
        <w:jc w:val="both"/>
        <w:rPr>
          <w:color w:val="000000" w:themeColor="text1"/>
        </w:rPr>
      </w:pPr>
      <w:r w:rsidRPr="00387B03">
        <w:rPr>
          <w:rStyle w:val="FootnoteReference"/>
          <w:color w:val="000000" w:themeColor="text1"/>
        </w:rPr>
        <w:footnoteRef/>
      </w:r>
      <w:r w:rsidRPr="00387B03">
        <w:rPr>
          <w:color w:val="000000" w:themeColor="text1"/>
        </w:rPr>
        <w:t xml:space="preserve"> It is important to note that Figure 1 depicts the survival rate of a cohort of firms that existed in the market in 2005 and plots the year of exit from this population of firms.</w:t>
      </w:r>
      <w:r>
        <w:rPr>
          <w:color w:val="000000" w:themeColor="text1"/>
        </w:rPr>
        <w:t xml:space="preserve"> </w:t>
      </w:r>
      <w:r w:rsidRPr="00387B03">
        <w:rPr>
          <w:color w:val="000000" w:themeColor="text1"/>
        </w:rPr>
        <w:t xml:space="preserve">Our sample does not include any new firm that enters the market during 2005-2018. As only exits from the cohort are analyzed, </w:t>
      </w:r>
      <w:r>
        <w:rPr>
          <w:color w:val="000000" w:themeColor="text1"/>
        </w:rPr>
        <w:t>their</w:t>
      </w:r>
      <w:r w:rsidRPr="00387B03">
        <w:rPr>
          <w:color w:val="000000" w:themeColor="text1"/>
        </w:rPr>
        <w:t xml:space="preserve"> survival function will always have a declining trend. </w:t>
      </w:r>
    </w:p>
  </w:footnote>
  <w:footnote w:id="8">
    <w:p w14:paraId="4DA7BD1B" w14:textId="77777777" w:rsidR="00BD4CDB" w:rsidRPr="00481B17" w:rsidRDefault="00BD4CDB">
      <w:pPr>
        <w:pStyle w:val="FootnoteText"/>
        <w:rPr>
          <w:lang w:val="en-GB"/>
        </w:rPr>
      </w:pPr>
      <w:r>
        <w:rPr>
          <w:rStyle w:val="FootnoteReference"/>
        </w:rPr>
        <w:footnoteRef/>
      </w:r>
      <w:r>
        <w:t xml:space="preserve"> </w:t>
      </w:r>
      <w:r>
        <w:rPr>
          <w:lang w:val="en-GB"/>
        </w:rPr>
        <w:t>We are grateful to two anonymous referees for these suggestions.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22AA3"/>
    <w:multiLevelType w:val="hybridMultilevel"/>
    <w:tmpl w:val="4FE0D666"/>
    <w:lvl w:ilvl="0" w:tplc="986E5B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jA1N7ewMDUxNzMDMpR0lIJTi4sz8/NACkwsagH0pGyrLQAAAA=="/>
  </w:docVars>
  <w:rsids>
    <w:rsidRoot w:val="001A070A"/>
    <w:rsid w:val="0000040C"/>
    <w:rsid w:val="000035E4"/>
    <w:rsid w:val="00006EB5"/>
    <w:rsid w:val="000118BF"/>
    <w:rsid w:val="00012571"/>
    <w:rsid w:val="0001344D"/>
    <w:rsid w:val="0001504A"/>
    <w:rsid w:val="000206D6"/>
    <w:rsid w:val="00021FD1"/>
    <w:rsid w:val="00031A06"/>
    <w:rsid w:val="000357EE"/>
    <w:rsid w:val="00041491"/>
    <w:rsid w:val="00042BDD"/>
    <w:rsid w:val="00044D6B"/>
    <w:rsid w:val="00045A1D"/>
    <w:rsid w:val="00045B7F"/>
    <w:rsid w:val="00046627"/>
    <w:rsid w:val="00050FA2"/>
    <w:rsid w:val="000510CF"/>
    <w:rsid w:val="000517C8"/>
    <w:rsid w:val="00052827"/>
    <w:rsid w:val="00052EF0"/>
    <w:rsid w:val="00052F34"/>
    <w:rsid w:val="00057332"/>
    <w:rsid w:val="0005782D"/>
    <w:rsid w:val="00060AEE"/>
    <w:rsid w:val="000622B8"/>
    <w:rsid w:val="00065511"/>
    <w:rsid w:val="0007658C"/>
    <w:rsid w:val="00076FCC"/>
    <w:rsid w:val="000779CD"/>
    <w:rsid w:val="000817FC"/>
    <w:rsid w:val="00081CFC"/>
    <w:rsid w:val="00082487"/>
    <w:rsid w:val="000826AE"/>
    <w:rsid w:val="000842D1"/>
    <w:rsid w:val="00085B97"/>
    <w:rsid w:val="00085D34"/>
    <w:rsid w:val="00093735"/>
    <w:rsid w:val="000940D2"/>
    <w:rsid w:val="000960F7"/>
    <w:rsid w:val="0009777E"/>
    <w:rsid w:val="000A12D0"/>
    <w:rsid w:val="000A2683"/>
    <w:rsid w:val="000A300D"/>
    <w:rsid w:val="000A3222"/>
    <w:rsid w:val="000A4526"/>
    <w:rsid w:val="000A5553"/>
    <w:rsid w:val="000A559F"/>
    <w:rsid w:val="000A67ED"/>
    <w:rsid w:val="000B1C04"/>
    <w:rsid w:val="000B253D"/>
    <w:rsid w:val="000B2597"/>
    <w:rsid w:val="000B5FD4"/>
    <w:rsid w:val="000B6858"/>
    <w:rsid w:val="000C2412"/>
    <w:rsid w:val="000C290B"/>
    <w:rsid w:val="000C2F2E"/>
    <w:rsid w:val="000C4F09"/>
    <w:rsid w:val="000C6D76"/>
    <w:rsid w:val="000C737B"/>
    <w:rsid w:val="000C7E26"/>
    <w:rsid w:val="000C7EBA"/>
    <w:rsid w:val="000C7EEA"/>
    <w:rsid w:val="000D04F8"/>
    <w:rsid w:val="000D2D27"/>
    <w:rsid w:val="000D3955"/>
    <w:rsid w:val="000D44E2"/>
    <w:rsid w:val="000D4C18"/>
    <w:rsid w:val="000D620F"/>
    <w:rsid w:val="000D7994"/>
    <w:rsid w:val="000E0A8E"/>
    <w:rsid w:val="000E57A9"/>
    <w:rsid w:val="000E5E50"/>
    <w:rsid w:val="000E7615"/>
    <w:rsid w:val="000F0BE3"/>
    <w:rsid w:val="000F0DAD"/>
    <w:rsid w:val="000F1487"/>
    <w:rsid w:val="000F6BE0"/>
    <w:rsid w:val="0010127D"/>
    <w:rsid w:val="0010157C"/>
    <w:rsid w:val="00101F9F"/>
    <w:rsid w:val="00102136"/>
    <w:rsid w:val="00107559"/>
    <w:rsid w:val="00110B7A"/>
    <w:rsid w:val="0011142C"/>
    <w:rsid w:val="001134EC"/>
    <w:rsid w:val="001140BA"/>
    <w:rsid w:val="00117E27"/>
    <w:rsid w:val="00125288"/>
    <w:rsid w:val="00127F31"/>
    <w:rsid w:val="00131123"/>
    <w:rsid w:val="00132B4F"/>
    <w:rsid w:val="001337CA"/>
    <w:rsid w:val="00135227"/>
    <w:rsid w:val="00135903"/>
    <w:rsid w:val="001423F1"/>
    <w:rsid w:val="001445E2"/>
    <w:rsid w:val="00146447"/>
    <w:rsid w:val="00147248"/>
    <w:rsid w:val="0014729E"/>
    <w:rsid w:val="001524D7"/>
    <w:rsid w:val="0015367D"/>
    <w:rsid w:val="00153778"/>
    <w:rsid w:val="0015508B"/>
    <w:rsid w:val="0015728F"/>
    <w:rsid w:val="00161513"/>
    <w:rsid w:val="0016335B"/>
    <w:rsid w:val="001635D4"/>
    <w:rsid w:val="00163704"/>
    <w:rsid w:val="00163B9C"/>
    <w:rsid w:val="0016455A"/>
    <w:rsid w:val="001645C0"/>
    <w:rsid w:val="00165AD7"/>
    <w:rsid w:val="00165B67"/>
    <w:rsid w:val="00165EAF"/>
    <w:rsid w:val="001669A2"/>
    <w:rsid w:val="001670EA"/>
    <w:rsid w:val="00167A0B"/>
    <w:rsid w:val="001745BB"/>
    <w:rsid w:val="00174D72"/>
    <w:rsid w:val="00180124"/>
    <w:rsid w:val="0018097B"/>
    <w:rsid w:val="00182440"/>
    <w:rsid w:val="00185A10"/>
    <w:rsid w:val="00186544"/>
    <w:rsid w:val="00186761"/>
    <w:rsid w:val="001950CE"/>
    <w:rsid w:val="00197ED0"/>
    <w:rsid w:val="001A070A"/>
    <w:rsid w:val="001A16D4"/>
    <w:rsid w:val="001A2DE1"/>
    <w:rsid w:val="001A30A6"/>
    <w:rsid w:val="001A4C16"/>
    <w:rsid w:val="001A53D2"/>
    <w:rsid w:val="001A59B7"/>
    <w:rsid w:val="001A7262"/>
    <w:rsid w:val="001A77F7"/>
    <w:rsid w:val="001A7B86"/>
    <w:rsid w:val="001A7DB7"/>
    <w:rsid w:val="001B028A"/>
    <w:rsid w:val="001B0FA9"/>
    <w:rsid w:val="001B1767"/>
    <w:rsid w:val="001B1D74"/>
    <w:rsid w:val="001B2A3E"/>
    <w:rsid w:val="001B2B4A"/>
    <w:rsid w:val="001B2DA8"/>
    <w:rsid w:val="001B5FC9"/>
    <w:rsid w:val="001C03EC"/>
    <w:rsid w:val="001C0826"/>
    <w:rsid w:val="001C3263"/>
    <w:rsid w:val="001C7514"/>
    <w:rsid w:val="001D0874"/>
    <w:rsid w:val="001D1966"/>
    <w:rsid w:val="001D3A38"/>
    <w:rsid w:val="001D4320"/>
    <w:rsid w:val="001D4F7E"/>
    <w:rsid w:val="001D5B01"/>
    <w:rsid w:val="001E1F96"/>
    <w:rsid w:val="001E51AC"/>
    <w:rsid w:val="001E6AC0"/>
    <w:rsid w:val="001E774C"/>
    <w:rsid w:val="001E7948"/>
    <w:rsid w:val="001F49D3"/>
    <w:rsid w:val="00200F91"/>
    <w:rsid w:val="00204A13"/>
    <w:rsid w:val="00207875"/>
    <w:rsid w:val="00210B56"/>
    <w:rsid w:val="00211D09"/>
    <w:rsid w:val="00213B2C"/>
    <w:rsid w:val="00214047"/>
    <w:rsid w:val="00221380"/>
    <w:rsid w:val="00223806"/>
    <w:rsid w:val="0023047B"/>
    <w:rsid w:val="0023170F"/>
    <w:rsid w:val="00231D8D"/>
    <w:rsid w:val="00232638"/>
    <w:rsid w:val="00234177"/>
    <w:rsid w:val="00235BEE"/>
    <w:rsid w:val="002361E4"/>
    <w:rsid w:val="00236E35"/>
    <w:rsid w:val="00237A00"/>
    <w:rsid w:val="0024260F"/>
    <w:rsid w:val="00245A02"/>
    <w:rsid w:val="0025310B"/>
    <w:rsid w:val="00253AAA"/>
    <w:rsid w:val="00254F23"/>
    <w:rsid w:val="00255935"/>
    <w:rsid w:val="002569ED"/>
    <w:rsid w:val="00260740"/>
    <w:rsid w:val="00262CAB"/>
    <w:rsid w:val="00267EBB"/>
    <w:rsid w:val="00273350"/>
    <w:rsid w:val="0027417E"/>
    <w:rsid w:val="0027609E"/>
    <w:rsid w:val="002815E3"/>
    <w:rsid w:val="00281675"/>
    <w:rsid w:val="00281C1A"/>
    <w:rsid w:val="0028272B"/>
    <w:rsid w:val="0028368B"/>
    <w:rsid w:val="002849FD"/>
    <w:rsid w:val="00291B87"/>
    <w:rsid w:val="00291D64"/>
    <w:rsid w:val="00292C7B"/>
    <w:rsid w:val="00297CBA"/>
    <w:rsid w:val="002A42F4"/>
    <w:rsid w:val="002A6BB3"/>
    <w:rsid w:val="002B1268"/>
    <w:rsid w:val="002B1380"/>
    <w:rsid w:val="002B22DF"/>
    <w:rsid w:val="002B4094"/>
    <w:rsid w:val="002B473E"/>
    <w:rsid w:val="002B5807"/>
    <w:rsid w:val="002B698C"/>
    <w:rsid w:val="002C0902"/>
    <w:rsid w:val="002C0B55"/>
    <w:rsid w:val="002C2BEB"/>
    <w:rsid w:val="002C4D98"/>
    <w:rsid w:val="002C7851"/>
    <w:rsid w:val="002C7E87"/>
    <w:rsid w:val="002D0C7B"/>
    <w:rsid w:val="002D315B"/>
    <w:rsid w:val="002D44CA"/>
    <w:rsid w:val="002D69DA"/>
    <w:rsid w:val="002E0C7B"/>
    <w:rsid w:val="002E3CD1"/>
    <w:rsid w:val="002F2553"/>
    <w:rsid w:val="002F2930"/>
    <w:rsid w:val="002F6D3C"/>
    <w:rsid w:val="0030031F"/>
    <w:rsid w:val="00302A8A"/>
    <w:rsid w:val="003039F5"/>
    <w:rsid w:val="003059CD"/>
    <w:rsid w:val="00307439"/>
    <w:rsid w:val="00312577"/>
    <w:rsid w:val="003173F0"/>
    <w:rsid w:val="00317F31"/>
    <w:rsid w:val="00320E20"/>
    <w:rsid w:val="00321039"/>
    <w:rsid w:val="00323E5A"/>
    <w:rsid w:val="00327335"/>
    <w:rsid w:val="00327622"/>
    <w:rsid w:val="0033018B"/>
    <w:rsid w:val="00330B6B"/>
    <w:rsid w:val="003315DE"/>
    <w:rsid w:val="003322B0"/>
    <w:rsid w:val="0033279B"/>
    <w:rsid w:val="003327E1"/>
    <w:rsid w:val="00332F27"/>
    <w:rsid w:val="0033375D"/>
    <w:rsid w:val="00334F63"/>
    <w:rsid w:val="00335612"/>
    <w:rsid w:val="003363FC"/>
    <w:rsid w:val="003401B7"/>
    <w:rsid w:val="00340F70"/>
    <w:rsid w:val="00342A88"/>
    <w:rsid w:val="00343323"/>
    <w:rsid w:val="00355274"/>
    <w:rsid w:val="00357273"/>
    <w:rsid w:val="003622B9"/>
    <w:rsid w:val="003628B9"/>
    <w:rsid w:val="00362C78"/>
    <w:rsid w:val="003630BD"/>
    <w:rsid w:val="00363CD0"/>
    <w:rsid w:val="00366C5B"/>
    <w:rsid w:val="003719F1"/>
    <w:rsid w:val="00373E5C"/>
    <w:rsid w:val="003748EE"/>
    <w:rsid w:val="00375548"/>
    <w:rsid w:val="0038385B"/>
    <w:rsid w:val="00383E6B"/>
    <w:rsid w:val="003844F0"/>
    <w:rsid w:val="0038559E"/>
    <w:rsid w:val="00387029"/>
    <w:rsid w:val="00387B03"/>
    <w:rsid w:val="00387B07"/>
    <w:rsid w:val="00390256"/>
    <w:rsid w:val="00395005"/>
    <w:rsid w:val="00396AFE"/>
    <w:rsid w:val="00396DF8"/>
    <w:rsid w:val="003A4431"/>
    <w:rsid w:val="003A6CBF"/>
    <w:rsid w:val="003B04FD"/>
    <w:rsid w:val="003B2A5C"/>
    <w:rsid w:val="003B338F"/>
    <w:rsid w:val="003B55C6"/>
    <w:rsid w:val="003B598F"/>
    <w:rsid w:val="003B7322"/>
    <w:rsid w:val="003D007B"/>
    <w:rsid w:val="003D0167"/>
    <w:rsid w:val="003D0A7C"/>
    <w:rsid w:val="003D3703"/>
    <w:rsid w:val="003D46B5"/>
    <w:rsid w:val="003D66D6"/>
    <w:rsid w:val="003D6D47"/>
    <w:rsid w:val="003D7FCC"/>
    <w:rsid w:val="003E43B8"/>
    <w:rsid w:val="003F01B1"/>
    <w:rsid w:val="003F19BE"/>
    <w:rsid w:val="003F1AB6"/>
    <w:rsid w:val="003F342A"/>
    <w:rsid w:val="003F5328"/>
    <w:rsid w:val="003F6A26"/>
    <w:rsid w:val="00407471"/>
    <w:rsid w:val="00413620"/>
    <w:rsid w:val="00413BF4"/>
    <w:rsid w:val="00416143"/>
    <w:rsid w:val="00416347"/>
    <w:rsid w:val="00416686"/>
    <w:rsid w:val="00422046"/>
    <w:rsid w:val="00423BAE"/>
    <w:rsid w:val="00427F07"/>
    <w:rsid w:val="00430905"/>
    <w:rsid w:val="00431E42"/>
    <w:rsid w:val="00437239"/>
    <w:rsid w:val="004425FA"/>
    <w:rsid w:val="0044473A"/>
    <w:rsid w:val="004454C8"/>
    <w:rsid w:val="00446B96"/>
    <w:rsid w:val="00447C32"/>
    <w:rsid w:val="004551D3"/>
    <w:rsid w:val="0045753B"/>
    <w:rsid w:val="004643E4"/>
    <w:rsid w:val="00470192"/>
    <w:rsid w:val="00470CC9"/>
    <w:rsid w:val="00473243"/>
    <w:rsid w:val="00475E3C"/>
    <w:rsid w:val="00476B1A"/>
    <w:rsid w:val="0047789D"/>
    <w:rsid w:val="00481B17"/>
    <w:rsid w:val="00482E8E"/>
    <w:rsid w:val="004844FB"/>
    <w:rsid w:val="004845CD"/>
    <w:rsid w:val="004845FF"/>
    <w:rsid w:val="004846DF"/>
    <w:rsid w:val="0048537C"/>
    <w:rsid w:val="00493A68"/>
    <w:rsid w:val="00495D0A"/>
    <w:rsid w:val="00495ECB"/>
    <w:rsid w:val="00497840"/>
    <w:rsid w:val="00497C80"/>
    <w:rsid w:val="004A17F9"/>
    <w:rsid w:val="004A1A5F"/>
    <w:rsid w:val="004A1C80"/>
    <w:rsid w:val="004A2E45"/>
    <w:rsid w:val="004A2F94"/>
    <w:rsid w:val="004A36E3"/>
    <w:rsid w:val="004A5217"/>
    <w:rsid w:val="004A541F"/>
    <w:rsid w:val="004A69EE"/>
    <w:rsid w:val="004A7484"/>
    <w:rsid w:val="004B05C7"/>
    <w:rsid w:val="004B0B64"/>
    <w:rsid w:val="004B2327"/>
    <w:rsid w:val="004B4D19"/>
    <w:rsid w:val="004B4D80"/>
    <w:rsid w:val="004B517B"/>
    <w:rsid w:val="004B70C4"/>
    <w:rsid w:val="004B748F"/>
    <w:rsid w:val="004B78EA"/>
    <w:rsid w:val="004B7F44"/>
    <w:rsid w:val="004C0801"/>
    <w:rsid w:val="004C59CA"/>
    <w:rsid w:val="004C6809"/>
    <w:rsid w:val="004C7443"/>
    <w:rsid w:val="004D176A"/>
    <w:rsid w:val="004E0FC1"/>
    <w:rsid w:val="004E10FF"/>
    <w:rsid w:val="004E1475"/>
    <w:rsid w:val="004E3ECA"/>
    <w:rsid w:val="004E47D9"/>
    <w:rsid w:val="004F0CC1"/>
    <w:rsid w:val="004F37B5"/>
    <w:rsid w:val="004F5BBF"/>
    <w:rsid w:val="00501736"/>
    <w:rsid w:val="00507026"/>
    <w:rsid w:val="005071AF"/>
    <w:rsid w:val="00507605"/>
    <w:rsid w:val="00507BDC"/>
    <w:rsid w:val="005121F1"/>
    <w:rsid w:val="0051398F"/>
    <w:rsid w:val="00516C9B"/>
    <w:rsid w:val="00521C64"/>
    <w:rsid w:val="00522709"/>
    <w:rsid w:val="0052295B"/>
    <w:rsid w:val="00522A46"/>
    <w:rsid w:val="00523986"/>
    <w:rsid w:val="00524426"/>
    <w:rsid w:val="00527B9A"/>
    <w:rsid w:val="00530694"/>
    <w:rsid w:val="0053097E"/>
    <w:rsid w:val="00530CC0"/>
    <w:rsid w:val="005319C1"/>
    <w:rsid w:val="00532687"/>
    <w:rsid w:val="00533F03"/>
    <w:rsid w:val="0053649B"/>
    <w:rsid w:val="00536799"/>
    <w:rsid w:val="00540904"/>
    <w:rsid w:val="00541CD3"/>
    <w:rsid w:val="00542E7B"/>
    <w:rsid w:val="00543B4B"/>
    <w:rsid w:val="005465A0"/>
    <w:rsid w:val="00546ECD"/>
    <w:rsid w:val="005471FE"/>
    <w:rsid w:val="00547C76"/>
    <w:rsid w:val="0055434D"/>
    <w:rsid w:val="00554536"/>
    <w:rsid w:val="00557C49"/>
    <w:rsid w:val="00560C54"/>
    <w:rsid w:val="00560F0D"/>
    <w:rsid w:val="0056322D"/>
    <w:rsid w:val="00566259"/>
    <w:rsid w:val="005679E5"/>
    <w:rsid w:val="00573CD5"/>
    <w:rsid w:val="0057437C"/>
    <w:rsid w:val="00576B26"/>
    <w:rsid w:val="00580B15"/>
    <w:rsid w:val="00580EE3"/>
    <w:rsid w:val="00581F01"/>
    <w:rsid w:val="00582853"/>
    <w:rsid w:val="00583853"/>
    <w:rsid w:val="00583905"/>
    <w:rsid w:val="0058399E"/>
    <w:rsid w:val="00583E47"/>
    <w:rsid w:val="00584340"/>
    <w:rsid w:val="0058523C"/>
    <w:rsid w:val="00591E3B"/>
    <w:rsid w:val="00592518"/>
    <w:rsid w:val="0059482F"/>
    <w:rsid w:val="005949D3"/>
    <w:rsid w:val="00594C6B"/>
    <w:rsid w:val="00594FC4"/>
    <w:rsid w:val="005A0426"/>
    <w:rsid w:val="005A07C8"/>
    <w:rsid w:val="005A083A"/>
    <w:rsid w:val="005A0D7D"/>
    <w:rsid w:val="005A30BD"/>
    <w:rsid w:val="005A4268"/>
    <w:rsid w:val="005A63A9"/>
    <w:rsid w:val="005B52B6"/>
    <w:rsid w:val="005B56BD"/>
    <w:rsid w:val="005B56FA"/>
    <w:rsid w:val="005B7C1F"/>
    <w:rsid w:val="005C355B"/>
    <w:rsid w:val="005C48B7"/>
    <w:rsid w:val="005C5EB5"/>
    <w:rsid w:val="005C66E3"/>
    <w:rsid w:val="005C700F"/>
    <w:rsid w:val="005C7EEA"/>
    <w:rsid w:val="005D2CF0"/>
    <w:rsid w:val="005D3B8F"/>
    <w:rsid w:val="005D3C23"/>
    <w:rsid w:val="005D6147"/>
    <w:rsid w:val="005D643E"/>
    <w:rsid w:val="005D6B74"/>
    <w:rsid w:val="005D7D04"/>
    <w:rsid w:val="005D7E0E"/>
    <w:rsid w:val="005E0A83"/>
    <w:rsid w:val="005E1994"/>
    <w:rsid w:val="005E1AA1"/>
    <w:rsid w:val="005E2FAC"/>
    <w:rsid w:val="005E473F"/>
    <w:rsid w:val="005E4FEA"/>
    <w:rsid w:val="005E6BDE"/>
    <w:rsid w:val="005F25E6"/>
    <w:rsid w:val="005F3107"/>
    <w:rsid w:val="005F3AD9"/>
    <w:rsid w:val="005F4162"/>
    <w:rsid w:val="006028B5"/>
    <w:rsid w:val="0060334B"/>
    <w:rsid w:val="006065F2"/>
    <w:rsid w:val="00606B78"/>
    <w:rsid w:val="00607DF1"/>
    <w:rsid w:val="00613F86"/>
    <w:rsid w:val="00625725"/>
    <w:rsid w:val="00625762"/>
    <w:rsid w:val="0063194E"/>
    <w:rsid w:val="00631F92"/>
    <w:rsid w:val="0063271D"/>
    <w:rsid w:val="00632894"/>
    <w:rsid w:val="0063465C"/>
    <w:rsid w:val="006351CA"/>
    <w:rsid w:val="006358EE"/>
    <w:rsid w:val="0063631E"/>
    <w:rsid w:val="00637EC3"/>
    <w:rsid w:val="006407B8"/>
    <w:rsid w:val="006420BA"/>
    <w:rsid w:val="006446B4"/>
    <w:rsid w:val="006458E9"/>
    <w:rsid w:val="00652F12"/>
    <w:rsid w:val="006552CB"/>
    <w:rsid w:val="00655BE2"/>
    <w:rsid w:val="006570A6"/>
    <w:rsid w:val="00662CDE"/>
    <w:rsid w:val="00666EA5"/>
    <w:rsid w:val="006671E2"/>
    <w:rsid w:val="00674376"/>
    <w:rsid w:val="006747B7"/>
    <w:rsid w:val="00674C50"/>
    <w:rsid w:val="00674E3B"/>
    <w:rsid w:val="00682D7D"/>
    <w:rsid w:val="006832D5"/>
    <w:rsid w:val="006844A5"/>
    <w:rsid w:val="00685050"/>
    <w:rsid w:val="00686180"/>
    <w:rsid w:val="00690728"/>
    <w:rsid w:val="006925AA"/>
    <w:rsid w:val="00694D3D"/>
    <w:rsid w:val="00695482"/>
    <w:rsid w:val="0069635D"/>
    <w:rsid w:val="00697408"/>
    <w:rsid w:val="00697B75"/>
    <w:rsid w:val="006A1992"/>
    <w:rsid w:val="006A50E3"/>
    <w:rsid w:val="006A7347"/>
    <w:rsid w:val="006B1231"/>
    <w:rsid w:val="006B26C6"/>
    <w:rsid w:val="006B4597"/>
    <w:rsid w:val="006B7BA3"/>
    <w:rsid w:val="006B7FF1"/>
    <w:rsid w:val="006C0409"/>
    <w:rsid w:val="006C04CA"/>
    <w:rsid w:val="006C5F26"/>
    <w:rsid w:val="006D066C"/>
    <w:rsid w:val="006D08E1"/>
    <w:rsid w:val="006D15B6"/>
    <w:rsid w:val="006D1DEA"/>
    <w:rsid w:val="006D341F"/>
    <w:rsid w:val="006D4C73"/>
    <w:rsid w:val="006D59BA"/>
    <w:rsid w:val="006D5B07"/>
    <w:rsid w:val="006E0862"/>
    <w:rsid w:val="006E1696"/>
    <w:rsid w:val="006E1A32"/>
    <w:rsid w:val="006E3D67"/>
    <w:rsid w:val="006E56E2"/>
    <w:rsid w:val="006E645B"/>
    <w:rsid w:val="006F023C"/>
    <w:rsid w:val="006F0A78"/>
    <w:rsid w:val="006F5D71"/>
    <w:rsid w:val="006F7004"/>
    <w:rsid w:val="006F78D2"/>
    <w:rsid w:val="0070056E"/>
    <w:rsid w:val="00700EDE"/>
    <w:rsid w:val="00704A2C"/>
    <w:rsid w:val="007058EE"/>
    <w:rsid w:val="00706440"/>
    <w:rsid w:val="007064A2"/>
    <w:rsid w:val="0071043C"/>
    <w:rsid w:val="00710E47"/>
    <w:rsid w:val="00712C92"/>
    <w:rsid w:val="007139CE"/>
    <w:rsid w:val="00713AFF"/>
    <w:rsid w:val="007144DD"/>
    <w:rsid w:val="00716D13"/>
    <w:rsid w:val="0072103F"/>
    <w:rsid w:val="0072246F"/>
    <w:rsid w:val="00723F9D"/>
    <w:rsid w:val="0072476A"/>
    <w:rsid w:val="00726548"/>
    <w:rsid w:val="00726768"/>
    <w:rsid w:val="007268B5"/>
    <w:rsid w:val="00727A9B"/>
    <w:rsid w:val="00730DC6"/>
    <w:rsid w:val="00731DC2"/>
    <w:rsid w:val="00733BA6"/>
    <w:rsid w:val="00735BA0"/>
    <w:rsid w:val="00737A36"/>
    <w:rsid w:val="007429F3"/>
    <w:rsid w:val="00744AD8"/>
    <w:rsid w:val="00747E5B"/>
    <w:rsid w:val="00753724"/>
    <w:rsid w:val="00754CBB"/>
    <w:rsid w:val="00755891"/>
    <w:rsid w:val="0076018E"/>
    <w:rsid w:val="00760553"/>
    <w:rsid w:val="007618A4"/>
    <w:rsid w:val="00764824"/>
    <w:rsid w:val="00767125"/>
    <w:rsid w:val="00771D1A"/>
    <w:rsid w:val="007726D8"/>
    <w:rsid w:val="00774083"/>
    <w:rsid w:val="00775518"/>
    <w:rsid w:val="00776463"/>
    <w:rsid w:val="00776D5B"/>
    <w:rsid w:val="007771A8"/>
    <w:rsid w:val="007773C8"/>
    <w:rsid w:val="00784962"/>
    <w:rsid w:val="007868A4"/>
    <w:rsid w:val="00793FDB"/>
    <w:rsid w:val="0079447A"/>
    <w:rsid w:val="0079609E"/>
    <w:rsid w:val="00797B87"/>
    <w:rsid w:val="007A353F"/>
    <w:rsid w:val="007A6471"/>
    <w:rsid w:val="007A731D"/>
    <w:rsid w:val="007B6BD7"/>
    <w:rsid w:val="007B7053"/>
    <w:rsid w:val="007B70BD"/>
    <w:rsid w:val="007C1C87"/>
    <w:rsid w:val="007C3CA4"/>
    <w:rsid w:val="007C45E6"/>
    <w:rsid w:val="007C48F3"/>
    <w:rsid w:val="007C57CF"/>
    <w:rsid w:val="007C6902"/>
    <w:rsid w:val="007C6CA2"/>
    <w:rsid w:val="007D02DD"/>
    <w:rsid w:val="007D0678"/>
    <w:rsid w:val="007D0E90"/>
    <w:rsid w:val="007D3001"/>
    <w:rsid w:val="007D41E1"/>
    <w:rsid w:val="007D6290"/>
    <w:rsid w:val="007D682B"/>
    <w:rsid w:val="007D74B1"/>
    <w:rsid w:val="007E3709"/>
    <w:rsid w:val="007E3F73"/>
    <w:rsid w:val="007E48CA"/>
    <w:rsid w:val="007E6635"/>
    <w:rsid w:val="007E6BD7"/>
    <w:rsid w:val="007E7D52"/>
    <w:rsid w:val="007F3AAD"/>
    <w:rsid w:val="007F77A3"/>
    <w:rsid w:val="00800413"/>
    <w:rsid w:val="0080175E"/>
    <w:rsid w:val="00801BF9"/>
    <w:rsid w:val="00804EA1"/>
    <w:rsid w:val="008053C6"/>
    <w:rsid w:val="00806661"/>
    <w:rsid w:val="00806E3E"/>
    <w:rsid w:val="00807275"/>
    <w:rsid w:val="0082003A"/>
    <w:rsid w:val="008206FB"/>
    <w:rsid w:val="0082136F"/>
    <w:rsid w:val="00821679"/>
    <w:rsid w:val="00822655"/>
    <w:rsid w:val="00822B79"/>
    <w:rsid w:val="00822DC5"/>
    <w:rsid w:val="00827D3C"/>
    <w:rsid w:val="00830689"/>
    <w:rsid w:val="00831D9F"/>
    <w:rsid w:val="0083456B"/>
    <w:rsid w:val="00836794"/>
    <w:rsid w:val="0083780C"/>
    <w:rsid w:val="008407CF"/>
    <w:rsid w:val="0084320C"/>
    <w:rsid w:val="0084434A"/>
    <w:rsid w:val="0084738F"/>
    <w:rsid w:val="00850FCF"/>
    <w:rsid w:val="00852504"/>
    <w:rsid w:val="00853459"/>
    <w:rsid w:val="00855C00"/>
    <w:rsid w:val="00855D3E"/>
    <w:rsid w:val="00856D9E"/>
    <w:rsid w:val="008612DC"/>
    <w:rsid w:val="00861B08"/>
    <w:rsid w:val="00863D4A"/>
    <w:rsid w:val="0086473B"/>
    <w:rsid w:val="0086703D"/>
    <w:rsid w:val="008714B3"/>
    <w:rsid w:val="00872387"/>
    <w:rsid w:val="00874D9F"/>
    <w:rsid w:val="00876D2E"/>
    <w:rsid w:val="008903CC"/>
    <w:rsid w:val="008946E2"/>
    <w:rsid w:val="0089796E"/>
    <w:rsid w:val="008A0981"/>
    <w:rsid w:val="008A1797"/>
    <w:rsid w:val="008A26E8"/>
    <w:rsid w:val="008A2779"/>
    <w:rsid w:val="008A2873"/>
    <w:rsid w:val="008A410A"/>
    <w:rsid w:val="008B0C29"/>
    <w:rsid w:val="008B0E26"/>
    <w:rsid w:val="008B3A4E"/>
    <w:rsid w:val="008B3D15"/>
    <w:rsid w:val="008B4AE1"/>
    <w:rsid w:val="008B576F"/>
    <w:rsid w:val="008B7D21"/>
    <w:rsid w:val="008C07D2"/>
    <w:rsid w:val="008C11F5"/>
    <w:rsid w:val="008C1774"/>
    <w:rsid w:val="008C247F"/>
    <w:rsid w:val="008C2730"/>
    <w:rsid w:val="008C3304"/>
    <w:rsid w:val="008C57F0"/>
    <w:rsid w:val="008D1B2D"/>
    <w:rsid w:val="008D25D9"/>
    <w:rsid w:val="008D298D"/>
    <w:rsid w:val="008D3BA7"/>
    <w:rsid w:val="008D40B7"/>
    <w:rsid w:val="008D4E96"/>
    <w:rsid w:val="008D5F76"/>
    <w:rsid w:val="008D6764"/>
    <w:rsid w:val="008D74A5"/>
    <w:rsid w:val="008D7CCF"/>
    <w:rsid w:val="008D7FF6"/>
    <w:rsid w:val="008E03A6"/>
    <w:rsid w:val="008E0822"/>
    <w:rsid w:val="008E61F0"/>
    <w:rsid w:val="008E6A2B"/>
    <w:rsid w:val="008F152C"/>
    <w:rsid w:val="008F1BD8"/>
    <w:rsid w:val="008F563E"/>
    <w:rsid w:val="008F58E0"/>
    <w:rsid w:val="008F7F09"/>
    <w:rsid w:val="00901C43"/>
    <w:rsid w:val="00903D4E"/>
    <w:rsid w:val="00903FE7"/>
    <w:rsid w:val="00905929"/>
    <w:rsid w:val="0091037A"/>
    <w:rsid w:val="009108F0"/>
    <w:rsid w:val="00911C08"/>
    <w:rsid w:val="00915C66"/>
    <w:rsid w:val="00916BEA"/>
    <w:rsid w:val="00923A3F"/>
    <w:rsid w:val="00923BB5"/>
    <w:rsid w:val="00924A95"/>
    <w:rsid w:val="00925F89"/>
    <w:rsid w:val="009311A1"/>
    <w:rsid w:val="0093131F"/>
    <w:rsid w:val="0093219A"/>
    <w:rsid w:val="00935D9F"/>
    <w:rsid w:val="00936190"/>
    <w:rsid w:val="00936D59"/>
    <w:rsid w:val="00937DAC"/>
    <w:rsid w:val="00940626"/>
    <w:rsid w:val="00941B2F"/>
    <w:rsid w:val="00942E6F"/>
    <w:rsid w:val="00945501"/>
    <w:rsid w:val="00945D5B"/>
    <w:rsid w:val="00947F99"/>
    <w:rsid w:val="00952CA0"/>
    <w:rsid w:val="00954A2E"/>
    <w:rsid w:val="00954C29"/>
    <w:rsid w:val="00954DCD"/>
    <w:rsid w:val="009630C0"/>
    <w:rsid w:val="009635B1"/>
    <w:rsid w:val="00964BF8"/>
    <w:rsid w:val="00964EB8"/>
    <w:rsid w:val="00965246"/>
    <w:rsid w:val="00966F73"/>
    <w:rsid w:val="00967826"/>
    <w:rsid w:val="009723FA"/>
    <w:rsid w:val="009745AE"/>
    <w:rsid w:val="00977403"/>
    <w:rsid w:val="00981088"/>
    <w:rsid w:val="00984916"/>
    <w:rsid w:val="00984D66"/>
    <w:rsid w:val="00987D9C"/>
    <w:rsid w:val="009948E8"/>
    <w:rsid w:val="009961A3"/>
    <w:rsid w:val="00996D93"/>
    <w:rsid w:val="009A1484"/>
    <w:rsid w:val="009A195C"/>
    <w:rsid w:val="009A2023"/>
    <w:rsid w:val="009A2F0B"/>
    <w:rsid w:val="009A40C0"/>
    <w:rsid w:val="009B0273"/>
    <w:rsid w:val="009B1629"/>
    <w:rsid w:val="009B59BB"/>
    <w:rsid w:val="009B610B"/>
    <w:rsid w:val="009B77AE"/>
    <w:rsid w:val="009C0DCC"/>
    <w:rsid w:val="009C69CD"/>
    <w:rsid w:val="009C74C9"/>
    <w:rsid w:val="009D11BC"/>
    <w:rsid w:val="009D2DEF"/>
    <w:rsid w:val="009D4CE9"/>
    <w:rsid w:val="009D6D67"/>
    <w:rsid w:val="009F1B20"/>
    <w:rsid w:val="009F26B1"/>
    <w:rsid w:val="009F3C16"/>
    <w:rsid w:val="009F5660"/>
    <w:rsid w:val="009F6FAE"/>
    <w:rsid w:val="009F7C8E"/>
    <w:rsid w:val="00A05536"/>
    <w:rsid w:val="00A06795"/>
    <w:rsid w:val="00A07247"/>
    <w:rsid w:val="00A07955"/>
    <w:rsid w:val="00A1064B"/>
    <w:rsid w:val="00A11655"/>
    <w:rsid w:val="00A12C1B"/>
    <w:rsid w:val="00A12FCA"/>
    <w:rsid w:val="00A13329"/>
    <w:rsid w:val="00A20707"/>
    <w:rsid w:val="00A21F40"/>
    <w:rsid w:val="00A23177"/>
    <w:rsid w:val="00A23617"/>
    <w:rsid w:val="00A24373"/>
    <w:rsid w:val="00A25B2D"/>
    <w:rsid w:val="00A32995"/>
    <w:rsid w:val="00A36C88"/>
    <w:rsid w:val="00A41D69"/>
    <w:rsid w:val="00A47293"/>
    <w:rsid w:val="00A516B7"/>
    <w:rsid w:val="00A533B8"/>
    <w:rsid w:val="00A5606C"/>
    <w:rsid w:val="00A56B5B"/>
    <w:rsid w:val="00A57F3F"/>
    <w:rsid w:val="00A636E4"/>
    <w:rsid w:val="00A63DCD"/>
    <w:rsid w:val="00A657F2"/>
    <w:rsid w:val="00A7028B"/>
    <w:rsid w:val="00A73523"/>
    <w:rsid w:val="00A75205"/>
    <w:rsid w:val="00A80A53"/>
    <w:rsid w:val="00A8147F"/>
    <w:rsid w:val="00A8244F"/>
    <w:rsid w:val="00A84946"/>
    <w:rsid w:val="00A8680D"/>
    <w:rsid w:val="00A8745C"/>
    <w:rsid w:val="00A875A6"/>
    <w:rsid w:val="00A8782D"/>
    <w:rsid w:val="00A91B1F"/>
    <w:rsid w:val="00A92425"/>
    <w:rsid w:val="00A94349"/>
    <w:rsid w:val="00A96588"/>
    <w:rsid w:val="00AA1D2C"/>
    <w:rsid w:val="00AA24E0"/>
    <w:rsid w:val="00AA4CD2"/>
    <w:rsid w:val="00AA5968"/>
    <w:rsid w:val="00AB09BA"/>
    <w:rsid w:val="00AB0EFD"/>
    <w:rsid w:val="00AB3073"/>
    <w:rsid w:val="00AB32C3"/>
    <w:rsid w:val="00AB35E4"/>
    <w:rsid w:val="00AB6728"/>
    <w:rsid w:val="00AB7DB6"/>
    <w:rsid w:val="00AC0053"/>
    <w:rsid w:val="00AC462B"/>
    <w:rsid w:val="00AD02C1"/>
    <w:rsid w:val="00AD2217"/>
    <w:rsid w:val="00AD390D"/>
    <w:rsid w:val="00AD4026"/>
    <w:rsid w:val="00AD4765"/>
    <w:rsid w:val="00AD7AC9"/>
    <w:rsid w:val="00AE0BD2"/>
    <w:rsid w:val="00AE4DF7"/>
    <w:rsid w:val="00AE56C4"/>
    <w:rsid w:val="00AE657D"/>
    <w:rsid w:val="00B0173A"/>
    <w:rsid w:val="00B0173B"/>
    <w:rsid w:val="00B02D20"/>
    <w:rsid w:val="00B02E83"/>
    <w:rsid w:val="00B10EAB"/>
    <w:rsid w:val="00B13110"/>
    <w:rsid w:val="00B139FA"/>
    <w:rsid w:val="00B142A5"/>
    <w:rsid w:val="00B229D3"/>
    <w:rsid w:val="00B24D34"/>
    <w:rsid w:val="00B26314"/>
    <w:rsid w:val="00B3192F"/>
    <w:rsid w:val="00B326C5"/>
    <w:rsid w:val="00B33821"/>
    <w:rsid w:val="00B33D52"/>
    <w:rsid w:val="00B347CF"/>
    <w:rsid w:val="00B35067"/>
    <w:rsid w:val="00B35A02"/>
    <w:rsid w:val="00B36C24"/>
    <w:rsid w:val="00B45F90"/>
    <w:rsid w:val="00B47CF2"/>
    <w:rsid w:val="00B62A97"/>
    <w:rsid w:val="00B6308A"/>
    <w:rsid w:val="00B646D4"/>
    <w:rsid w:val="00B65C14"/>
    <w:rsid w:val="00B67153"/>
    <w:rsid w:val="00B71D49"/>
    <w:rsid w:val="00B73DF1"/>
    <w:rsid w:val="00B756D2"/>
    <w:rsid w:val="00B763D3"/>
    <w:rsid w:val="00B771CA"/>
    <w:rsid w:val="00B8089F"/>
    <w:rsid w:val="00B812A9"/>
    <w:rsid w:val="00B8238A"/>
    <w:rsid w:val="00B862EC"/>
    <w:rsid w:val="00B86543"/>
    <w:rsid w:val="00B86CAA"/>
    <w:rsid w:val="00B90AFB"/>
    <w:rsid w:val="00B9154D"/>
    <w:rsid w:val="00B93DFB"/>
    <w:rsid w:val="00B93F32"/>
    <w:rsid w:val="00B97285"/>
    <w:rsid w:val="00B974FB"/>
    <w:rsid w:val="00B97B60"/>
    <w:rsid w:val="00BA14F9"/>
    <w:rsid w:val="00BA436F"/>
    <w:rsid w:val="00BA4DA8"/>
    <w:rsid w:val="00BA4F76"/>
    <w:rsid w:val="00BA5E72"/>
    <w:rsid w:val="00BA6BF8"/>
    <w:rsid w:val="00BA71F2"/>
    <w:rsid w:val="00BB0366"/>
    <w:rsid w:val="00BB0CAF"/>
    <w:rsid w:val="00BB1491"/>
    <w:rsid w:val="00BC27FA"/>
    <w:rsid w:val="00BC325A"/>
    <w:rsid w:val="00BC77BD"/>
    <w:rsid w:val="00BD1ACC"/>
    <w:rsid w:val="00BD4CDB"/>
    <w:rsid w:val="00BE019A"/>
    <w:rsid w:val="00BE0E6A"/>
    <w:rsid w:val="00BE1A1C"/>
    <w:rsid w:val="00BE3CA9"/>
    <w:rsid w:val="00BE5629"/>
    <w:rsid w:val="00BE6BF3"/>
    <w:rsid w:val="00BE6E5F"/>
    <w:rsid w:val="00BE7590"/>
    <w:rsid w:val="00BE7FF6"/>
    <w:rsid w:val="00BF705E"/>
    <w:rsid w:val="00BF7588"/>
    <w:rsid w:val="00BF7A05"/>
    <w:rsid w:val="00C021CE"/>
    <w:rsid w:val="00C04888"/>
    <w:rsid w:val="00C07319"/>
    <w:rsid w:val="00C1039C"/>
    <w:rsid w:val="00C11D08"/>
    <w:rsid w:val="00C13696"/>
    <w:rsid w:val="00C13E3A"/>
    <w:rsid w:val="00C14FE9"/>
    <w:rsid w:val="00C1518D"/>
    <w:rsid w:val="00C15EC2"/>
    <w:rsid w:val="00C162AB"/>
    <w:rsid w:val="00C175F0"/>
    <w:rsid w:val="00C17A97"/>
    <w:rsid w:val="00C2095F"/>
    <w:rsid w:val="00C228D3"/>
    <w:rsid w:val="00C2365F"/>
    <w:rsid w:val="00C247F5"/>
    <w:rsid w:val="00C25798"/>
    <w:rsid w:val="00C2668A"/>
    <w:rsid w:val="00C27DB7"/>
    <w:rsid w:val="00C326AE"/>
    <w:rsid w:val="00C340ED"/>
    <w:rsid w:val="00C3487B"/>
    <w:rsid w:val="00C34C93"/>
    <w:rsid w:val="00C34D38"/>
    <w:rsid w:val="00C358F8"/>
    <w:rsid w:val="00C36B4E"/>
    <w:rsid w:val="00C3748D"/>
    <w:rsid w:val="00C40850"/>
    <w:rsid w:val="00C44A2B"/>
    <w:rsid w:val="00C45145"/>
    <w:rsid w:val="00C46089"/>
    <w:rsid w:val="00C51C2A"/>
    <w:rsid w:val="00C52051"/>
    <w:rsid w:val="00C52170"/>
    <w:rsid w:val="00C524C3"/>
    <w:rsid w:val="00C55166"/>
    <w:rsid w:val="00C57F70"/>
    <w:rsid w:val="00C60A2A"/>
    <w:rsid w:val="00C62620"/>
    <w:rsid w:val="00C642E6"/>
    <w:rsid w:val="00C64C53"/>
    <w:rsid w:val="00C65790"/>
    <w:rsid w:val="00C65F26"/>
    <w:rsid w:val="00C665E2"/>
    <w:rsid w:val="00C669E2"/>
    <w:rsid w:val="00C676A7"/>
    <w:rsid w:val="00C7148F"/>
    <w:rsid w:val="00C7223A"/>
    <w:rsid w:val="00C729A8"/>
    <w:rsid w:val="00C74BC2"/>
    <w:rsid w:val="00C74E57"/>
    <w:rsid w:val="00C80543"/>
    <w:rsid w:val="00C836F9"/>
    <w:rsid w:val="00C84516"/>
    <w:rsid w:val="00C8470A"/>
    <w:rsid w:val="00C86F7C"/>
    <w:rsid w:val="00C86F98"/>
    <w:rsid w:val="00C87AAD"/>
    <w:rsid w:val="00C91A3C"/>
    <w:rsid w:val="00C95487"/>
    <w:rsid w:val="00C9692D"/>
    <w:rsid w:val="00C973F4"/>
    <w:rsid w:val="00C97918"/>
    <w:rsid w:val="00CA2814"/>
    <w:rsid w:val="00CA3878"/>
    <w:rsid w:val="00CA3FC9"/>
    <w:rsid w:val="00CA4524"/>
    <w:rsid w:val="00CA5BAC"/>
    <w:rsid w:val="00CB0229"/>
    <w:rsid w:val="00CB519B"/>
    <w:rsid w:val="00CB748A"/>
    <w:rsid w:val="00CC4173"/>
    <w:rsid w:val="00CC4183"/>
    <w:rsid w:val="00CC494C"/>
    <w:rsid w:val="00CC6F20"/>
    <w:rsid w:val="00CD1C03"/>
    <w:rsid w:val="00CD49C6"/>
    <w:rsid w:val="00CD50DB"/>
    <w:rsid w:val="00CD546C"/>
    <w:rsid w:val="00CD560F"/>
    <w:rsid w:val="00CD645C"/>
    <w:rsid w:val="00CE01E3"/>
    <w:rsid w:val="00CE195F"/>
    <w:rsid w:val="00CE4E39"/>
    <w:rsid w:val="00CE6009"/>
    <w:rsid w:val="00CF13B5"/>
    <w:rsid w:val="00CF5CAB"/>
    <w:rsid w:val="00CF6692"/>
    <w:rsid w:val="00D01B51"/>
    <w:rsid w:val="00D0772C"/>
    <w:rsid w:val="00D109D4"/>
    <w:rsid w:val="00D1170C"/>
    <w:rsid w:val="00D14A21"/>
    <w:rsid w:val="00D15CE4"/>
    <w:rsid w:val="00D17530"/>
    <w:rsid w:val="00D17EC7"/>
    <w:rsid w:val="00D20A8D"/>
    <w:rsid w:val="00D21D50"/>
    <w:rsid w:val="00D22600"/>
    <w:rsid w:val="00D2412D"/>
    <w:rsid w:val="00D27E94"/>
    <w:rsid w:val="00D27F74"/>
    <w:rsid w:val="00D315A1"/>
    <w:rsid w:val="00D31926"/>
    <w:rsid w:val="00D32912"/>
    <w:rsid w:val="00D352B7"/>
    <w:rsid w:val="00D35C9B"/>
    <w:rsid w:val="00D404C7"/>
    <w:rsid w:val="00D424B2"/>
    <w:rsid w:val="00D42E2F"/>
    <w:rsid w:val="00D44DBD"/>
    <w:rsid w:val="00D45B4A"/>
    <w:rsid w:val="00D46319"/>
    <w:rsid w:val="00D46642"/>
    <w:rsid w:val="00D5052B"/>
    <w:rsid w:val="00D55A35"/>
    <w:rsid w:val="00D6019C"/>
    <w:rsid w:val="00D6056B"/>
    <w:rsid w:val="00D635A1"/>
    <w:rsid w:val="00D644D8"/>
    <w:rsid w:val="00D671D8"/>
    <w:rsid w:val="00D7354C"/>
    <w:rsid w:val="00D76A29"/>
    <w:rsid w:val="00D81D05"/>
    <w:rsid w:val="00D83906"/>
    <w:rsid w:val="00D841A9"/>
    <w:rsid w:val="00D90B42"/>
    <w:rsid w:val="00D914A0"/>
    <w:rsid w:val="00D945F9"/>
    <w:rsid w:val="00D9499F"/>
    <w:rsid w:val="00DA27D5"/>
    <w:rsid w:val="00DA5387"/>
    <w:rsid w:val="00DA758D"/>
    <w:rsid w:val="00DB1670"/>
    <w:rsid w:val="00DB1C76"/>
    <w:rsid w:val="00DB24E5"/>
    <w:rsid w:val="00DB28D0"/>
    <w:rsid w:val="00DB2EAF"/>
    <w:rsid w:val="00DB4031"/>
    <w:rsid w:val="00DB4B85"/>
    <w:rsid w:val="00DB719F"/>
    <w:rsid w:val="00DD0065"/>
    <w:rsid w:val="00DD116B"/>
    <w:rsid w:val="00DD1C00"/>
    <w:rsid w:val="00DD1FEC"/>
    <w:rsid w:val="00DD2021"/>
    <w:rsid w:val="00DD54E0"/>
    <w:rsid w:val="00DE3325"/>
    <w:rsid w:val="00DE37D2"/>
    <w:rsid w:val="00DF0662"/>
    <w:rsid w:val="00DF750F"/>
    <w:rsid w:val="00DF75BC"/>
    <w:rsid w:val="00DF7C53"/>
    <w:rsid w:val="00E0200E"/>
    <w:rsid w:val="00E02954"/>
    <w:rsid w:val="00E03C6D"/>
    <w:rsid w:val="00E05DC2"/>
    <w:rsid w:val="00E07673"/>
    <w:rsid w:val="00E1312B"/>
    <w:rsid w:val="00E154E4"/>
    <w:rsid w:val="00E15BC6"/>
    <w:rsid w:val="00E17B30"/>
    <w:rsid w:val="00E237DE"/>
    <w:rsid w:val="00E24A7D"/>
    <w:rsid w:val="00E24B25"/>
    <w:rsid w:val="00E276BD"/>
    <w:rsid w:val="00E342DE"/>
    <w:rsid w:val="00E405A8"/>
    <w:rsid w:val="00E41AE1"/>
    <w:rsid w:val="00E43E63"/>
    <w:rsid w:val="00E44EFD"/>
    <w:rsid w:val="00E4645D"/>
    <w:rsid w:val="00E503C2"/>
    <w:rsid w:val="00E5698D"/>
    <w:rsid w:val="00E64D62"/>
    <w:rsid w:val="00E65004"/>
    <w:rsid w:val="00E71346"/>
    <w:rsid w:val="00E75394"/>
    <w:rsid w:val="00E75743"/>
    <w:rsid w:val="00E7692D"/>
    <w:rsid w:val="00E77F09"/>
    <w:rsid w:val="00E8021D"/>
    <w:rsid w:val="00E829D9"/>
    <w:rsid w:val="00E84E63"/>
    <w:rsid w:val="00E85B1B"/>
    <w:rsid w:val="00E877F4"/>
    <w:rsid w:val="00E907B6"/>
    <w:rsid w:val="00E90C6F"/>
    <w:rsid w:val="00E91261"/>
    <w:rsid w:val="00E91788"/>
    <w:rsid w:val="00E920C7"/>
    <w:rsid w:val="00E942F1"/>
    <w:rsid w:val="00E96290"/>
    <w:rsid w:val="00E96D0F"/>
    <w:rsid w:val="00EA0358"/>
    <w:rsid w:val="00EA0AFD"/>
    <w:rsid w:val="00EA295E"/>
    <w:rsid w:val="00EA4439"/>
    <w:rsid w:val="00EB23A5"/>
    <w:rsid w:val="00EB2896"/>
    <w:rsid w:val="00EB3B92"/>
    <w:rsid w:val="00EB53BB"/>
    <w:rsid w:val="00EB5FD6"/>
    <w:rsid w:val="00EB6B63"/>
    <w:rsid w:val="00EC1192"/>
    <w:rsid w:val="00EC124F"/>
    <w:rsid w:val="00EC497F"/>
    <w:rsid w:val="00EC7566"/>
    <w:rsid w:val="00ED2BE3"/>
    <w:rsid w:val="00ED396C"/>
    <w:rsid w:val="00ED6244"/>
    <w:rsid w:val="00EE0AEE"/>
    <w:rsid w:val="00EE1184"/>
    <w:rsid w:val="00EE2785"/>
    <w:rsid w:val="00EF086F"/>
    <w:rsid w:val="00EF0FAC"/>
    <w:rsid w:val="00EF31F9"/>
    <w:rsid w:val="00EF33F7"/>
    <w:rsid w:val="00EF56C0"/>
    <w:rsid w:val="00EF5B88"/>
    <w:rsid w:val="00EF5F59"/>
    <w:rsid w:val="00F02752"/>
    <w:rsid w:val="00F03701"/>
    <w:rsid w:val="00F06452"/>
    <w:rsid w:val="00F067C8"/>
    <w:rsid w:val="00F06A5B"/>
    <w:rsid w:val="00F12BD7"/>
    <w:rsid w:val="00F13410"/>
    <w:rsid w:val="00F15884"/>
    <w:rsid w:val="00F16DC4"/>
    <w:rsid w:val="00F21D3B"/>
    <w:rsid w:val="00F22FAE"/>
    <w:rsid w:val="00F23AD7"/>
    <w:rsid w:val="00F23C78"/>
    <w:rsid w:val="00F23FEA"/>
    <w:rsid w:val="00F25418"/>
    <w:rsid w:val="00F2632B"/>
    <w:rsid w:val="00F264B4"/>
    <w:rsid w:val="00F31CC8"/>
    <w:rsid w:val="00F34EE1"/>
    <w:rsid w:val="00F37C56"/>
    <w:rsid w:val="00F37ED0"/>
    <w:rsid w:val="00F41DF3"/>
    <w:rsid w:val="00F42189"/>
    <w:rsid w:val="00F45DC6"/>
    <w:rsid w:val="00F52463"/>
    <w:rsid w:val="00F5333F"/>
    <w:rsid w:val="00F5378F"/>
    <w:rsid w:val="00F55D88"/>
    <w:rsid w:val="00F56AEE"/>
    <w:rsid w:val="00F634B8"/>
    <w:rsid w:val="00F63ABA"/>
    <w:rsid w:val="00F64834"/>
    <w:rsid w:val="00F65130"/>
    <w:rsid w:val="00F675AD"/>
    <w:rsid w:val="00F70DE3"/>
    <w:rsid w:val="00F71073"/>
    <w:rsid w:val="00F72D31"/>
    <w:rsid w:val="00F75FD2"/>
    <w:rsid w:val="00F76C29"/>
    <w:rsid w:val="00F777D7"/>
    <w:rsid w:val="00F80303"/>
    <w:rsid w:val="00F82B87"/>
    <w:rsid w:val="00F8376C"/>
    <w:rsid w:val="00F84092"/>
    <w:rsid w:val="00F84B70"/>
    <w:rsid w:val="00F8732F"/>
    <w:rsid w:val="00F879B6"/>
    <w:rsid w:val="00F90486"/>
    <w:rsid w:val="00F90D5B"/>
    <w:rsid w:val="00F91AB6"/>
    <w:rsid w:val="00F91F99"/>
    <w:rsid w:val="00F95411"/>
    <w:rsid w:val="00FA26A5"/>
    <w:rsid w:val="00FA380B"/>
    <w:rsid w:val="00FA739E"/>
    <w:rsid w:val="00FB0ADA"/>
    <w:rsid w:val="00FB0F10"/>
    <w:rsid w:val="00FB2552"/>
    <w:rsid w:val="00FB5E0E"/>
    <w:rsid w:val="00FC0260"/>
    <w:rsid w:val="00FC0D30"/>
    <w:rsid w:val="00FC253A"/>
    <w:rsid w:val="00FC32C6"/>
    <w:rsid w:val="00FC476F"/>
    <w:rsid w:val="00FC57F2"/>
    <w:rsid w:val="00FC6C36"/>
    <w:rsid w:val="00FD1A67"/>
    <w:rsid w:val="00FD5849"/>
    <w:rsid w:val="00FD6219"/>
    <w:rsid w:val="00FD64AA"/>
    <w:rsid w:val="00FD709C"/>
    <w:rsid w:val="00FD73DA"/>
    <w:rsid w:val="00FD75CF"/>
    <w:rsid w:val="00FD799D"/>
    <w:rsid w:val="00FE0765"/>
    <w:rsid w:val="00FE5088"/>
    <w:rsid w:val="00FE59A4"/>
    <w:rsid w:val="00FE5B52"/>
    <w:rsid w:val="00FE7317"/>
    <w:rsid w:val="00FF0AC2"/>
    <w:rsid w:val="00FF124A"/>
    <w:rsid w:val="00FF3F65"/>
    <w:rsid w:val="00FF4FE6"/>
    <w:rsid w:val="00FF72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58D5"/>
  <w15:docId w15:val="{8D4C21E0-8AE5-4291-9F99-88083F9E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67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67D"/>
    <w:pPr>
      <w:spacing w:after="0" w:line="240" w:lineRule="auto"/>
    </w:pPr>
    <w:rPr>
      <w:rFonts w:ascii="Times New Roman" w:hAnsi="Times New Roman"/>
      <w:sz w:val="24"/>
    </w:rPr>
  </w:style>
  <w:style w:type="paragraph" w:styleId="Header">
    <w:name w:val="header"/>
    <w:basedOn w:val="Normal"/>
    <w:link w:val="HeaderChar"/>
    <w:uiPriority w:val="99"/>
    <w:unhideWhenUsed/>
    <w:rsid w:val="00317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3F0"/>
    <w:rPr>
      <w:rFonts w:ascii="Times New Roman" w:hAnsi="Times New Roman"/>
      <w:sz w:val="24"/>
    </w:rPr>
  </w:style>
  <w:style w:type="paragraph" w:styleId="Footer">
    <w:name w:val="footer"/>
    <w:basedOn w:val="Normal"/>
    <w:link w:val="FooterChar"/>
    <w:uiPriority w:val="99"/>
    <w:unhideWhenUsed/>
    <w:rsid w:val="00317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3F0"/>
    <w:rPr>
      <w:rFonts w:ascii="Times New Roman" w:hAnsi="Times New Roman"/>
      <w:sz w:val="24"/>
    </w:rPr>
  </w:style>
  <w:style w:type="paragraph" w:styleId="ListParagraph">
    <w:name w:val="List Paragraph"/>
    <w:basedOn w:val="Normal"/>
    <w:uiPriority w:val="34"/>
    <w:qFormat/>
    <w:rsid w:val="00771D1A"/>
    <w:pPr>
      <w:spacing w:after="200" w:line="276" w:lineRule="auto"/>
      <w:ind w:left="720"/>
      <w:contextualSpacing/>
    </w:pPr>
    <w:rPr>
      <w:rFonts w:asciiTheme="minorHAnsi" w:hAnsiTheme="minorHAnsi"/>
      <w:sz w:val="22"/>
      <w:lang w:val="en-GB"/>
    </w:rPr>
  </w:style>
  <w:style w:type="character" w:styleId="CommentReference">
    <w:name w:val="annotation reference"/>
    <w:basedOn w:val="DefaultParagraphFont"/>
    <w:uiPriority w:val="99"/>
    <w:semiHidden/>
    <w:unhideWhenUsed/>
    <w:rsid w:val="00EC7566"/>
    <w:rPr>
      <w:sz w:val="16"/>
      <w:szCs w:val="16"/>
    </w:rPr>
  </w:style>
  <w:style w:type="paragraph" w:styleId="CommentText">
    <w:name w:val="annotation text"/>
    <w:basedOn w:val="Normal"/>
    <w:link w:val="CommentTextChar"/>
    <w:uiPriority w:val="99"/>
    <w:semiHidden/>
    <w:unhideWhenUsed/>
    <w:rsid w:val="00EC7566"/>
    <w:pPr>
      <w:spacing w:line="240" w:lineRule="auto"/>
    </w:pPr>
    <w:rPr>
      <w:sz w:val="20"/>
      <w:szCs w:val="20"/>
    </w:rPr>
  </w:style>
  <w:style w:type="character" w:customStyle="1" w:styleId="CommentTextChar">
    <w:name w:val="Comment Text Char"/>
    <w:basedOn w:val="DefaultParagraphFont"/>
    <w:link w:val="CommentText"/>
    <w:uiPriority w:val="99"/>
    <w:semiHidden/>
    <w:rsid w:val="00EC75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C7566"/>
    <w:rPr>
      <w:b/>
      <w:bCs/>
    </w:rPr>
  </w:style>
  <w:style w:type="character" w:customStyle="1" w:styleId="CommentSubjectChar">
    <w:name w:val="Comment Subject Char"/>
    <w:basedOn w:val="CommentTextChar"/>
    <w:link w:val="CommentSubject"/>
    <w:uiPriority w:val="99"/>
    <w:semiHidden/>
    <w:rsid w:val="00EC7566"/>
    <w:rPr>
      <w:rFonts w:ascii="Times New Roman" w:hAnsi="Times New Roman"/>
      <w:b/>
      <w:bCs/>
      <w:sz w:val="20"/>
      <w:szCs w:val="20"/>
    </w:rPr>
  </w:style>
  <w:style w:type="paragraph" w:styleId="BalloonText">
    <w:name w:val="Balloon Text"/>
    <w:basedOn w:val="Normal"/>
    <w:link w:val="BalloonTextChar"/>
    <w:uiPriority w:val="99"/>
    <w:semiHidden/>
    <w:unhideWhenUsed/>
    <w:rsid w:val="00EC7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566"/>
    <w:rPr>
      <w:rFonts w:ascii="Segoe UI" w:hAnsi="Segoe UI" w:cs="Segoe UI"/>
      <w:sz w:val="18"/>
      <w:szCs w:val="18"/>
    </w:rPr>
  </w:style>
  <w:style w:type="character" w:styleId="Strong">
    <w:name w:val="Strong"/>
    <w:basedOn w:val="DefaultParagraphFont"/>
    <w:uiPriority w:val="22"/>
    <w:qFormat/>
    <w:rsid w:val="009A2023"/>
    <w:rPr>
      <w:b/>
      <w:bCs/>
    </w:rPr>
  </w:style>
  <w:style w:type="character" w:customStyle="1" w:styleId="fontstyle01">
    <w:name w:val="fontstyle01"/>
    <w:basedOn w:val="DefaultParagraphFont"/>
    <w:rsid w:val="00B35A02"/>
    <w:rPr>
      <w:rFonts w:ascii="AdvOT863180fb" w:hAnsi="AdvOT863180fb" w:hint="default"/>
      <w:b w:val="0"/>
      <w:bCs w:val="0"/>
      <w:i w:val="0"/>
      <w:iCs w:val="0"/>
      <w:color w:val="000000"/>
      <w:sz w:val="16"/>
      <w:szCs w:val="16"/>
    </w:rPr>
  </w:style>
  <w:style w:type="character" w:styleId="Hyperlink">
    <w:name w:val="Hyperlink"/>
    <w:basedOn w:val="DefaultParagraphFont"/>
    <w:uiPriority w:val="99"/>
    <w:unhideWhenUsed/>
    <w:rsid w:val="00231D8D"/>
    <w:rPr>
      <w:color w:val="0563C1" w:themeColor="hyperlink"/>
      <w:u w:val="single"/>
    </w:rPr>
  </w:style>
  <w:style w:type="paragraph" w:styleId="FootnoteText">
    <w:name w:val="footnote text"/>
    <w:basedOn w:val="Normal"/>
    <w:link w:val="FootnoteTextChar"/>
    <w:uiPriority w:val="99"/>
    <w:semiHidden/>
    <w:unhideWhenUsed/>
    <w:rsid w:val="005C48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8B7"/>
    <w:rPr>
      <w:rFonts w:ascii="Times New Roman" w:hAnsi="Times New Roman"/>
      <w:sz w:val="20"/>
      <w:szCs w:val="20"/>
    </w:rPr>
  </w:style>
  <w:style w:type="character" w:styleId="FootnoteReference">
    <w:name w:val="footnote reference"/>
    <w:basedOn w:val="DefaultParagraphFont"/>
    <w:uiPriority w:val="99"/>
    <w:semiHidden/>
    <w:unhideWhenUsed/>
    <w:rsid w:val="005C48B7"/>
    <w:rPr>
      <w:vertAlign w:val="superscript"/>
    </w:rPr>
  </w:style>
  <w:style w:type="character" w:styleId="PlaceholderText">
    <w:name w:val="Placeholder Text"/>
    <w:basedOn w:val="DefaultParagraphFont"/>
    <w:uiPriority w:val="99"/>
    <w:semiHidden/>
    <w:rsid w:val="002F2553"/>
    <w:rPr>
      <w:color w:val="808080"/>
    </w:rPr>
  </w:style>
  <w:style w:type="character" w:customStyle="1" w:styleId="selectable">
    <w:name w:val="selectable"/>
    <w:basedOn w:val="DefaultParagraphFont"/>
    <w:rsid w:val="0033375D"/>
  </w:style>
  <w:style w:type="character" w:customStyle="1" w:styleId="UnresolvedMention1">
    <w:name w:val="Unresolved Mention1"/>
    <w:basedOn w:val="DefaultParagraphFont"/>
    <w:uiPriority w:val="99"/>
    <w:semiHidden/>
    <w:unhideWhenUsed/>
    <w:rsid w:val="002B4094"/>
    <w:rPr>
      <w:color w:val="605E5C"/>
      <w:shd w:val="clear" w:color="auto" w:fill="E1DFDD"/>
    </w:rPr>
  </w:style>
  <w:style w:type="paragraph" w:styleId="Title">
    <w:name w:val="Title"/>
    <w:basedOn w:val="Normal"/>
    <w:next w:val="Normal"/>
    <w:link w:val="TitleChar"/>
    <w:uiPriority w:val="10"/>
    <w:qFormat/>
    <w:rsid w:val="00B974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4FB"/>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7064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64A2"/>
    <w:rPr>
      <w:rFonts w:ascii="Times New Roman" w:hAnsi="Times New Roman"/>
      <w:sz w:val="20"/>
      <w:szCs w:val="20"/>
    </w:rPr>
  </w:style>
  <w:style w:type="character" w:styleId="EndnoteReference">
    <w:name w:val="endnote reference"/>
    <w:basedOn w:val="DefaultParagraphFont"/>
    <w:uiPriority w:val="99"/>
    <w:semiHidden/>
    <w:unhideWhenUsed/>
    <w:rsid w:val="007064A2"/>
    <w:rPr>
      <w:vertAlign w:val="superscript"/>
    </w:rPr>
  </w:style>
  <w:style w:type="character" w:customStyle="1" w:styleId="UnresolvedMention2">
    <w:name w:val="Unresolved Mention2"/>
    <w:basedOn w:val="DefaultParagraphFont"/>
    <w:uiPriority w:val="99"/>
    <w:semiHidden/>
    <w:unhideWhenUsed/>
    <w:rsid w:val="00967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7311">
      <w:bodyDiv w:val="1"/>
      <w:marLeft w:val="0"/>
      <w:marRight w:val="0"/>
      <w:marTop w:val="0"/>
      <w:marBottom w:val="0"/>
      <w:divBdr>
        <w:top w:val="none" w:sz="0" w:space="0" w:color="auto"/>
        <w:left w:val="none" w:sz="0" w:space="0" w:color="auto"/>
        <w:bottom w:val="none" w:sz="0" w:space="0" w:color="auto"/>
        <w:right w:val="none" w:sz="0" w:space="0" w:color="auto"/>
      </w:divBdr>
      <w:divsChild>
        <w:div w:id="1873958220">
          <w:marLeft w:val="0"/>
          <w:marRight w:val="0"/>
          <w:marTop w:val="0"/>
          <w:marBottom w:val="0"/>
          <w:divBdr>
            <w:top w:val="none" w:sz="0" w:space="0" w:color="auto"/>
            <w:left w:val="none" w:sz="0" w:space="0" w:color="auto"/>
            <w:bottom w:val="none" w:sz="0" w:space="0" w:color="auto"/>
            <w:right w:val="none" w:sz="0" w:space="0" w:color="auto"/>
          </w:divBdr>
        </w:div>
        <w:div w:id="1518233384">
          <w:marLeft w:val="0"/>
          <w:marRight w:val="0"/>
          <w:marTop w:val="0"/>
          <w:marBottom w:val="0"/>
          <w:divBdr>
            <w:top w:val="none" w:sz="0" w:space="0" w:color="auto"/>
            <w:left w:val="none" w:sz="0" w:space="0" w:color="auto"/>
            <w:bottom w:val="none" w:sz="0" w:space="0" w:color="auto"/>
            <w:right w:val="none" w:sz="0" w:space="0" w:color="auto"/>
          </w:divBdr>
        </w:div>
      </w:divsChild>
    </w:div>
    <w:div w:id="180051347">
      <w:bodyDiv w:val="1"/>
      <w:marLeft w:val="0"/>
      <w:marRight w:val="0"/>
      <w:marTop w:val="0"/>
      <w:marBottom w:val="0"/>
      <w:divBdr>
        <w:top w:val="none" w:sz="0" w:space="0" w:color="auto"/>
        <w:left w:val="none" w:sz="0" w:space="0" w:color="auto"/>
        <w:bottom w:val="none" w:sz="0" w:space="0" w:color="auto"/>
        <w:right w:val="none" w:sz="0" w:space="0" w:color="auto"/>
      </w:divBdr>
      <w:divsChild>
        <w:div w:id="1546678060">
          <w:marLeft w:val="0"/>
          <w:marRight w:val="0"/>
          <w:marTop w:val="0"/>
          <w:marBottom w:val="0"/>
          <w:divBdr>
            <w:top w:val="none" w:sz="0" w:space="0" w:color="auto"/>
            <w:left w:val="none" w:sz="0" w:space="0" w:color="auto"/>
            <w:bottom w:val="none" w:sz="0" w:space="0" w:color="auto"/>
            <w:right w:val="none" w:sz="0" w:space="0" w:color="auto"/>
          </w:divBdr>
        </w:div>
      </w:divsChild>
    </w:div>
    <w:div w:id="331490689">
      <w:bodyDiv w:val="1"/>
      <w:marLeft w:val="0"/>
      <w:marRight w:val="0"/>
      <w:marTop w:val="0"/>
      <w:marBottom w:val="0"/>
      <w:divBdr>
        <w:top w:val="none" w:sz="0" w:space="0" w:color="auto"/>
        <w:left w:val="none" w:sz="0" w:space="0" w:color="auto"/>
        <w:bottom w:val="none" w:sz="0" w:space="0" w:color="auto"/>
        <w:right w:val="none" w:sz="0" w:space="0" w:color="auto"/>
      </w:divBdr>
    </w:div>
    <w:div w:id="375933218">
      <w:bodyDiv w:val="1"/>
      <w:marLeft w:val="0"/>
      <w:marRight w:val="0"/>
      <w:marTop w:val="0"/>
      <w:marBottom w:val="0"/>
      <w:divBdr>
        <w:top w:val="none" w:sz="0" w:space="0" w:color="auto"/>
        <w:left w:val="none" w:sz="0" w:space="0" w:color="auto"/>
        <w:bottom w:val="none" w:sz="0" w:space="0" w:color="auto"/>
        <w:right w:val="none" w:sz="0" w:space="0" w:color="auto"/>
      </w:divBdr>
    </w:div>
    <w:div w:id="1359502090">
      <w:bodyDiv w:val="1"/>
      <w:marLeft w:val="0"/>
      <w:marRight w:val="0"/>
      <w:marTop w:val="0"/>
      <w:marBottom w:val="0"/>
      <w:divBdr>
        <w:top w:val="none" w:sz="0" w:space="0" w:color="auto"/>
        <w:left w:val="none" w:sz="0" w:space="0" w:color="auto"/>
        <w:bottom w:val="none" w:sz="0" w:space="0" w:color="auto"/>
        <w:right w:val="none" w:sz="0" w:space="0" w:color="auto"/>
      </w:divBdr>
    </w:div>
    <w:div w:id="186987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39E75E8B713F6947A06812EE2C3598CF" ma:contentTypeVersion="14" ma:contentTypeDescription="Create a new document." ma:contentTypeScope="" ma:versionID="9b08096ba4f71ab3371921aac9f1d89e">
  <xsd:schema xmlns:xsd="http://www.w3.org/2001/XMLSchema" xmlns:xs="http://www.w3.org/2001/XMLSchema" xmlns:p="http://schemas.microsoft.com/office/2006/metadata/properties" xmlns:ns3="612f1d7c-3be2-4469-9a3a-d022603afdba" xmlns:ns4="7649414b-3cd2-4a35-bc83-63d125e125df" targetNamespace="http://schemas.microsoft.com/office/2006/metadata/properties" ma:root="true" ma:fieldsID="84ed3eb41cede2467639efec0398f7ec" ns3:_="" ns4:_="">
    <xsd:import namespace="612f1d7c-3be2-4469-9a3a-d022603afdba"/>
    <xsd:import namespace="7649414b-3cd2-4a35-bc83-63d125e125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f1d7c-3be2-4469-9a3a-d022603af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49414b-3cd2-4a35-bc83-63d125e125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5D0FB-730D-4DC1-8E85-425B2A719065}">
  <ds:schemaRefs>
    <ds:schemaRef ds:uri="http://schemas.openxmlformats.org/officeDocument/2006/bibliography"/>
  </ds:schemaRefs>
</ds:datastoreItem>
</file>

<file path=customXml/itemProps2.xml><?xml version="1.0" encoding="utf-8"?>
<ds:datastoreItem xmlns:ds="http://schemas.openxmlformats.org/officeDocument/2006/customXml" ds:itemID="{64470EBB-D67A-496D-A3E7-025BE2CE8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f1d7c-3be2-4469-9a3a-d022603afdba"/>
    <ds:schemaRef ds:uri="7649414b-3cd2-4a35-bc83-63d125e12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2AB27-55D7-4F0F-9F2D-01DCEF4184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386D8A-5845-4D40-819D-FE81234F5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19828</Words>
  <Characters>113020</Characters>
  <Application>Microsoft Office Word</Application>
  <DocSecurity>4</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IHYNjs伀</dc:creator>
  <cp:lastModifiedBy>Linda Edwards</cp:lastModifiedBy>
  <cp:revision>2</cp:revision>
  <cp:lastPrinted>2022-09-29T05:19:00Z</cp:lastPrinted>
  <dcterms:created xsi:type="dcterms:W3CDTF">2023-01-30T11:17:00Z</dcterms:created>
  <dcterms:modified xsi:type="dcterms:W3CDTF">2023-01-30T11:17:00Z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0x01010039E75E8B713F6947A06812EE2C3598CF</vt:lpwstr>
  </property>
</Properties>
</file>