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8D664" w14:textId="77777777" w:rsidR="00700062" w:rsidRDefault="00700062"/>
    <w:p w14:paraId="49D584BB" w14:textId="77777777" w:rsidR="000C2129" w:rsidRDefault="000C2129" w:rsidP="008C5C58">
      <w:pPr>
        <w:jc w:val="center"/>
      </w:pPr>
    </w:p>
    <w:p w14:paraId="423DD757" w14:textId="77777777" w:rsidR="00F92E81" w:rsidRDefault="00F92E81" w:rsidP="008C5C58">
      <w:pPr>
        <w:jc w:val="center"/>
        <w:rPr>
          <w:rFonts w:eastAsiaTheme="minorHAnsi"/>
          <w:b/>
          <w:bCs/>
          <w:sz w:val="28"/>
          <w:szCs w:val="28"/>
          <w:lang w:eastAsia="en-US"/>
        </w:rPr>
      </w:pPr>
    </w:p>
    <w:p w14:paraId="5BB18D6A" w14:textId="77777777" w:rsidR="00F92E81" w:rsidRDefault="00F92E81" w:rsidP="008C5C58">
      <w:pPr>
        <w:jc w:val="center"/>
        <w:rPr>
          <w:rFonts w:eastAsiaTheme="minorHAnsi"/>
          <w:b/>
          <w:bCs/>
          <w:sz w:val="28"/>
          <w:szCs w:val="28"/>
          <w:lang w:eastAsia="en-US"/>
        </w:rPr>
      </w:pPr>
    </w:p>
    <w:p w14:paraId="1F51E1F0" w14:textId="78DFB501" w:rsidR="000C2129" w:rsidRDefault="005C3299" w:rsidP="008C5C58">
      <w:pPr>
        <w:jc w:val="center"/>
        <w:rPr>
          <w:rFonts w:eastAsiaTheme="minorHAnsi"/>
          <w:b/>
          <w:bCs/>
          <w:sz w:val="28"/>
          <w:szCs w:val="28"/>
          <w:lang w:eastAsia="en-US"/>
        </w:rPr>
      </w:pPr>
      <w:r w:rsidRPr="005C3299">
        <w:rPr>
          <w:rFonts w:eastAsiaTheme="minorHAnsi"/>
          <w:b/>
          <w:bCs/>
          <w:sz w:val="28"/>
          <w:szCs w:val="28"/>
          <w:lang w:eastAsia="en-US"/>
        </w:rPr>
        <w:t>NICE guidelines on myocardial revascularisation</w:t>
      </w:r>
    </w:p>
    <w:p w14:paraId="73971DC3" w14:textId="77777777" w:rsidR="0073252D" w:rsidRDefault="0073252D" w:rsidP="00E44AD5">
      <w:pPr>
        <w:rPr>
          <w:rFonts w:eastAsiaTheme="minorHAnsi"/>
          <w:b/>
          <w:bCs/>
          <w:sz w:val="28"/>
          <w:szCs w:val="28"/>
          <w:lang w:eastAsia="en-US"/>
        </w:rPr>
      </w:pPr>
    </w:p>
    <w:p w14:paraId="64093072" w14:textId="4F946E2A" w:rsidR="00F92E81" w:rsidRDefault="00F92E81" w:rsidP="008C5C58">
      <w:pPr>
        <w:jc w:val="center"/>
        <w:rPr>
          <w:rFonts w:eastAsiaTheme="minorHAnsi"/>
          <w:b/>
          <w:bCs/>
          <w:sz w:val="28"/>
          <w:szCs w:val="28"/>
          <w:lang w:eastAsia="en-US"/>
        </w:rPr>
      </w:pPr>
    </w:p>
    <w:p w14:paraId="0C53188E" w14:textId="528E675E" w:rsidR="00F92E81" w:rsidRPr="00F92E81" w:rsidRDefault="00F92E81" w:rsidP="008C5C58">
      <w:pPr>
        <w:jc w:val="center"/>
        <w:rPr>
          <w:sz w:val="28"/>
          <w:szCs w:val="28"/>
        </w:rPr>
      </w:pPr>
      <w:r w:rsidRPr="00F92E81">
        <w:rPr>
          <w:rFonts w:eastAsiaTheme="minorHAnsi"/>
          <w:sz w:val="28"/>
          <w:szCs w:val="28"/>
          <w:lang w:eastAsia="en-US"/>
        </w:rPr>
        <w:t xml:space="preserve">Commissioned article by </w:t>
      </w:r>
      <w:r w:rsidRPr="00F92E81">
        <w:rPr>
          <w:rFonts w:eastAsiaTheme="minorHAnsi"/>
          <w:i/>
          <w:iCs/>
          <w:sz w:val="28"/>
          <w:szCs w:val="28"/>
          <w:lang w:eastAsia="en-US"/>
        </w:rPr>
        <w:t xml:space="preserve">Heart </w:t>
      </w:r>
      <w:r w:rsidRPr="00F92E81">
        <w:rPr>
          <w:rFonts w:eastAsiaTheme="minorHAnsi"/>
          <w:sz w:val="28"/>
          <w:szCs w:val="28"/>
          <w:lang w:eastAsia="en-US"/>
        </w:rPr>
        <w:t>editorial team</w:t>
      </w:r>
    </w:p>
    <w:p w14:paraId="23556C29" w14:textId="77777777" w:rsidR="005E5F22" w:rsidRDefault="005E5F22" w:rsidP="005E5F22">
      <w:pPr>
        <w:spacing w:line="360" w:lineRule="auto"/>
      </w:pPr>
    </w:p>
    <w:p w14:paraId="66DBCDBB" w14:textId="77777777" w:rsidR="00F92E81" w:rsidRDefault="00F92E81" w:rsidP="00A22C92">
      <w:pPr>
        <w:spacing w:line="360" w:lineRule="auto"/>
        <w:jc w:val="center"/>
      </w:pPr>
    </w:p>
    <w:p w14:paraId="067D706F" w14:textId="77777777" w:rsidR="00F92E81" w:rsidRDefault="00F92E81" w:rsidP="00A22C92">
      <w:pPr>
        <w:spacing w:line="360" w:lineRule="auto"/>
        <w:jc w:val="center"/>
      </w:pPr>
    </w:p>
    <w:p w14:paraId="11D82F95" w14:textId="77777777" w:rsidR="00F92E81" w:rsidRDefault="00F92E81" w:rsidP="00A22C92">
      <w:pPr>
        <w:spacing w:line="360" w:lineRule="auto"/>
        <w:jc w:val="center"/>
      </w:pPr>
    </w:p>
    <w:p w14:paraId="581E0091" w14:textId="77777777" w:rsidR="00F92E81" w:rsidRDefault="00F92E81" w:rsidP="00A22C92">
      <w:pPr>
        <w:spacing w:line="360" w:lineRule="auto"/>
        <w:jc w:val="center"/>
      </w:pPr>
    </w:p>
    <w:p w14:paraId="6EFF9492" w14:textId="77777777" w:rsidR="00F92E81" w:rsidRDefault="00F92E81" w:rsidP="00A22C92">
      <w:pPr>
        <w:spacing w:line="360" w:lineRule="auto"/>
        <w:jc w:val="center"/>
      </w:pPr>
    </w:p>
    <w:p w14:paraId="1F232EAC" w14:textId="10A04E9F" w:rsidR="00AE2914" w:rsidRDefault="00A22C92" w:rsidP="00A22C92">
      <w:pPr>
        <w:spacing w:line="360" w:lineRule="auto"/>
        <w:jc w:val="center"/>
      </w:pPr>
      <w:r>
        <w:t>Richard Jabbour</w:t>
      </w:r>
      <w:r w:rsidRPr="00A22C92">
        <w:rPr>
          <w:vertAlign w:val="superscript"/>
        </w:rPr>
        <w:t>1</w:t>
      </w:r>
      <w:r>
        <w:t>, Nick Curzen</w:t>
      </w:r>
      <w:r w:rsidRPr="00A22C92">
        <w:rPr>
          <w:vertAlign w:val="superscript"/>
        </w:rPr>
        <w:t>1,2</w:t>
      </w:r>
    </w:p>
    <w:p w14:paraId="23C244CB" w14:textId="77777777" w:rsidR="00A22C92" w:rsidRDefault="00A22C92" w:rsidP="00A22C92">
      <w:pPr>
        <w:spacing w:line="360" w:lineRule="auto"/>
        <w:jc w:val="center"/>
      </w:pPr>
    </w:p>
    <w:p w14:paraId="6ED5DE15" w14:textId="77777777" w:rsidR="00A22C92" w:rsidRPr="00A22C92" w:rsidRDefault="00A22C92" w:rsidP="00A22C92">
      <w:pPr>
        <w:spacing w:line="360" w:lineRule="auto"/>
        <w:jc w:val="center"/>
      </w:pPr>
      <w:r w:rsidRPr="00A22C92">
        <w:rPr>
          <w:vertAlign w:val="superscript"/>
        </w:rPr>
        <w:t>1</w:t>
      </w:r>
      <w:r w:rsidRPr="00A22C92">
        <w:t>Coronary Research Group, University Hospital Southampton NHS Foundation Trust, Southampton, SO16 6YD, UK.</w:t>
      </w:r>
    </w:p>
    <w:p w14:paraId="1DB5D0A1" w14:textId="77777777" w:rsidR="00A22C92" w:rsidRPr="00A22C92" w:rsidRDefault="00A22C92" w:rsidP="00A22C92">
      <w:pPr>
        <w:spacing w:line="360" w:lineRule="auto"/>
        <w:jc w:val="center"/>
      </w:pPr>
      <w:r w:rsidRPr="00A22C92">
        <w:rPr>
          <w:vertAlign w:val="superscript"/>
        </w:rPr>
        <w:t>2</w:t>
      </w:r>
      <w:r w:rsidRPr="00A22C92">
        <w:t>Faculty of Medicine, University of Southampton, Southampton, SO16 6YD, UK.</w:t>
      </w:r>
    </w:p>
    <w:p w14:paraId="2FE215A1" w14:textId="77777777" w:rsidR="00AE2914" w:rsidRDefault="00AE2914" w:rsidP="005E5F22">
      <w:pPr>
        <w:spacing w:line="360" w:lineRule="auto"/>
      </w:pPr>
    </w:p>
    <w:p w14:paraId="77037D02" w14:textId="77777777" w:rsidR="007752FA" w:rsidRDefault="007752FA" w:rsidP="007752FA">
      <w:pPr>
        <w:spacing w:line="360" w:lineRule="auto"/>
      </w:pPr>
    </w:p>
    <w:p w14:paraId="5BDFB3FB" w14:textId="77777777" w:rsidR="007752FA" w:rsidRDefault="007752FA" w:rsidP="007752FA">
      <w:pPr>
        <w:spacing w:line="360" w:lineRule="auto"/>
      </w:pPr>
    </w:p>
    <w:p w14:paraId="30089780" w14:textId="77777777" w:rsidR="007752FA" w:rsidRDefault="007752FA" w:rsidP="007752FA">
      <w:pPr>
        <w:spacing w:line="360" w:lineRule="auto"/>
      </w:pPr>
      <w:r>
        <w:t>Conflicts of interest statement:</w:t>
      </w:r>
    </w:p>
    <w:p w14:paraId="54A8D1E1" w14:textId="77777777" w:rsidR="007752FA" w:rsidRDefault="007752FA" w:rsidP="007752FA">
      <w:pPr>
        <w:pStyle w:val="NoSpacing"/>
      </w:pPr>
      <w:r w:rsidRPr="00AC34C8">
        <w:t xml:space="preserve">N. </w:t>
      </w:r>
      <w:proofErr w:type="spellStart"/>
      <w:r w:rsidRPr="00AC34C8">
        <w:t>Curzen</w:t>
      </w:r>
      <w:proofErr w:type="spellEnd"/>
      <w:r w:rsidRPr="00AC34C8">
        <w:t xml:space="preserve"> – unrestricted research grants from: Boston Scientific; </w:t>
      </w:r>
      <w:proofErr w:type="spellStart"/>
      <w:r w:rsidRPr="00AC34C8">
        <w:t>Heartflow</w:t>
      </w:r>
      <w:proofErr w:type="spellEnd"/>
      <w:r w:rsidRPr="00AC34C8">
        <w:t>; Beckman</w:t>
      </w:r>
      <w:r>
        <w:t xml:space="preserve"> Coulter. S</w:t>
      </w:r>
      <w:r w:rsidRPr="008F38C6">
        <w:t>peaker fees</w:t>
      </w:r>
      <w:r>
        <w:t xml:space="preserve">/consultancy from: </w:t>
      </w:r>
      <w:r w:rsidRPr="008F38C6">
        <w:t xml:space="preserve">Abbot Vascular; </w:t>
      </w:r>
      <w:proofErr w:type="spellStart"/>
      <w:r w:rsidRPr="008F38C6">
        <w:t>Heartflow</w:t>
      </w:r>
      <w:proofErr w:type="spellEnd"/>
      <w:r w:rsidRPr="008F38C6">
        <w:t>; Boston</w:t>
      </w:r>
      <w:r>
        <w:t xml:space="preserve"> </w:t>
      </w:r>
      <w:proofErr w:type="gramStart"/>
      <w:r w:rsidRPr="008F38C6">
        <w:t>Scientific;</w:t>
      </w:r>
      <w:proofErr w:type="gramEnd"/>
      <w:r w:rsidRPr="008F38C6">
        <w:t xml:space="preserve"> </w:t>
      </w:r>
    </w:p>
    <w:p w14:paraId="6B889068" w14:textId="77777777" w:rsidR="007752FA" w:rsidRDefault="007752FA" w:rsidP="007752FA">
      <w:pPr>
        <w:pStyle w:val="NoSpacing"/>
      </w:pPr>
      <w:r>
        <w:t>T</w:t>
      </w:r>
      <w:r w:rsidRPr="008F38C6">
        <w:t xml:space="preserve">ravel sponsorship – </w:t>
      </w:r>
      <w:r>
        <w:t xml:space="preserve">Edwards; </w:t>
      </w:r>
      <w:r w:rsidRPr="008F38C6">
        <w:t>Biosensors, Abbot, Lilly/D-S; St Jude Medical, Medtronic.</w:t>
      </w:r>
    </w:p>
    <w:p w14:paraId="7118E6A8" w14:textId="77777777" w:rsidR="007752FA" w:rsidRDefault="007752FA" w:rsidP="007752FA">
      <w:pPr>
        <w:spacing w:line="360" w:lineRule="auto"/>
      </w:pPr>
      <w:r>
        <w:t>R. Jabbour – none declared</w:t>
      </w:r>
    </w:p>
    <w:p w14:paraId="206D00B5" w14:textId="77777777" w:rsidR="007752FA" w:rsidRDefault="007752FA" w:rsidP="005E5F22">
      <w:pPr>
        <w:spacing w:line="360" w:lineRule="auto"/>
      </w:pPr>
    </w:p>
    <w:p w14:paraId="7FA1ACC0" w14:textId="77777777" w:rsidR="00E44AD5" w:rsidRDefault="00E44AD5" w:rsidP="00E44AD5">
      <w:pPr>
        <w:pStyle w:val="NoSpacing"/>
      </w:pPr>
      <w:proofErr w:type="spellStart"/>
      <w:r>
        <w:t>Contributorship</w:t>
      </w:r>
      <w:proofErr w:type="spellEnd"/>
      <w:r>
        <w:t xml:space="preserve"> statement:</w:t>
      </w:r>
    </w:p>
    <w:p w14:paraId="786D2D0B" w14:textId="77777777" w:rsidR="00E44AD5" w:rsidRDefault="00E44AD5" w:rsidP="00E44AD5">
      <w:pPr>
        <w:pStyle w:val="NoSpacing"/>
      </w:pPr>
      <w:r w:rsidRPr="005E0898">
        <w:t>RJ and NC contributed equally to this manuscript. NC provided expert appraisal and additional viewpoints.</w:t>
      </w:r>
    </w:p>
    <w:p w14:paraId="2A409C1D" w14:textId="77777777" w:rsidR="00A22C92" w:rsidRDefault="00A22C92" w:rsidP="005E5F22">
      <w:pPr>
        <w:spacing w:line="360" w:lineRule="auto"/>
      </w:pPr>
    </w:p>
    <w:p w14:paraId="451F8AF5" w14:textId="77777777" w:rsidR="00A22C92" w:rsidRDefault="00A22C92" w:rsidP="005E5F22">
      <w:pPr>
        <w:spacing w:line="360" w:lineRule="auto"/>
      </w:pPr>
    </w:p>
    <w:p w14:paraId="0C1E78D4" w14:textId="77777777" w:rsidR="00A22C92" w:rsidRPr="00A22C92" w:rsidRDefault="00A22C92" w:rsidP="00F92E81">
      <w:pPr>
        <w:rPr>
          <w:b/>
          <w:bCs/>
        </w:rPr>
      </w:pPr>
      <w:r w:rsidRPr="00A22C92">
        <w:rPr>
          <w:b/>
          <w:bCs/>
        </w:rPr>
        <w:t>Corresponding Author:</w:t>
      </w:r>
    </w:p>
    <w:p w14:paraId="080E0688" w14:textId="77777777" w:rsidR="00AE2914" w:rsidRDefault="00A22C92" w:rsidP="00F92E81">
      <w:r>
        <w:t xml:space="preserve">Prof </w:t>
      </w:r>
      <w:r w:rsidRPr="00A22C92">
        <w:t xml:space="preserve">Nick </w:t>
      </w:r>
      <w:proofErr w:type="spellStart"/>
      <w:r w:rsidRPr="00A22C92">
        <w:t>Curzen</w:t>
      </w:r>
      <w:proofErr w:type="spellEnd"/>
    </w:p>
    <w:p w14:paraId="1D1D34A6" w14:textId="77777777" w:rsidR="00A22C92" w:rsidRDefault="00A22C92" w:rsidP="00F92E81">
      <w:r w:rsidRPr="00A22C92">
        <w:t>Wessex Cardiothoracic Centre</w:t>
      </w:r>
    </w:p>
    <w:p w14:paraId="04798259" w14:textId="77777777" w:rsidR="00A22C92" w:rsidRDefault="00A22C92" w:rsidP="00F92E81">
      <w:r w:rsidRPr="00A22C92">
        <w:t>University Hospital Southampton NHS Trust</w:t>
      </w:r>
    </w:p>
    <w:p w14:paraId="448A5318" w14:textId="77777777" w:rsidR="00A22C92" w:rsidRDefault="00A22C92" w:rsidP="00F92E81">
      <w:r w:rsidRPr="00A22C92">
        <w:t xml:space="preserve">Southampton </w:t>
      </w:r>
    </w:p>
    <w:p w14:paraId="09A2937E" w14:textId="77777777" w:rsidR="00A22C92" w:rsidRDefault="00A22C92" w:rsidP="00F92E81">
      <w:r w:rsidRPr="00A22C92">
        <w:t>SO16 6YD, UK</w:t>
      </w:r>
    </w:p>
    <w:p w14:paraId="3D00FF19" w14:textId="77777777" w:rsidR="00AE2914" w:rsidRDefault="00A22C92" w:rsidP="00F92E81">
      <w:r>
        <w:t>Nick.curzen@uhs.nhs.uk</w:t>
      </w:r>
    </w:p>
    <w:p w14:paraId="36B3E5EF" w14:textId="77777777" w:rsidR="00F92E81" w:rsidRDefault="00F92E81">
      <w:pPr>
        <w:rPr>
          <w:b/>
          <w:bCs/>
        </w:rPr>
      </w:pPr>
      <w:r>
        <w:rPr>
          <w:b/>
          <w:bCs/>
        </w:rPr>
        <w:lastRenderedPageBreak/>
        <w:br w:type="page"/>
      </w:r>
    </w:p>
    <w:p w14:paraId="6A473001" w14:textId="684B9584" w:rsidR="00AE2914" w:rsidRDefault="00AE2914" w:rsidP="005E5F22">
      <w:pPr>
        <w:spacing w:line="360" w:lineRule="auto"/>
        <w:rPr>
          <w:b/>
          <w:bCs/>
        </w:rPr>
      </w:pPr>
      <w:r>
        <w:rPr>
          <w:b/>
          <w:bCs/>
        </w:rPr>
        <w:lastRenderedPageBreak/>
        <w:t>Abstract (</w:t>
      </w:r>
      <w:r w:rsidR="009B1730">
        <w:rPr>
          <w:b/>
          <w:bCs/>
        </w:rPr>
        <w:t xml:space="preserve">up to </w:t>
      </w:r>
      <w:r>
        <w:rPr>
          <w:b/>
          <w:bCs/>
        </w:rPr>
        <w:t>250 words)</w:t>
      </w:r>
    </w:p>
    <w:p w14:paraId="480992F8" w14:textId="30E8F146" w:rsidR="009B1730" w:rsidRPr="003F590E" w:rsidRDefault="009B1730" w:rsidP="009B1730">
      <w:pPr>
        <w:spacing w:line="360" w:lineRule="auto"/>
        <w:rPr>
          <w:b/>
          <w:bCs/>
        </w:rPr>
      </w:pPr>
      <w:r w:rsidRPr="00F27A39">
        <w:t xml:space="preserve">Cardiologists in the United Kingdom </w:t>
      </w:r>
      <w:r w:rsidR="00926AC0">
        <w:t xml:space="preserve">predominantly </w:t>
      </w:r>
      <w:r w:rsidRPr="00F27A39">
        <w:t>use the National Institute for Health and Care Excellence (NICE) and European Society of Cardiology</w:t>
      </w:r>
      <w:r w:rsidR="003F590E">
        <w:t xml:space="preserve"> (ESC)</w:t>
      </w:r>
      <w:r w:rsidRPr="00F27A39">
        <w:t xml:space="preserve"> </w:t>
      </w:r>
      <w:r w:rsidR="00926AC0" w:rsidRPr="00F27A39">
        <w:t xml:space="preserve">guidelines </w:t>
      </w:r>
      <w:r w:rsidRPr="00F27A39">
        <w:t>to help guide decision</w:t>
      </w:r>
      <w:r w:rsidR="004D3837">
        <w:t xml:space="preserve"> </w:t>
      </w:r>
      <w:r w:rsidRPr="00F27A39">
        <w:t>making. This article will appraise the current recommendations from NICE regarding myocardial revascularisation and compare them to other</w:t>
      </w:r>
      <w:r w:rsidR="003F590E">
        <w:t xml:space="preserve"> major</w:t>
      </w:r>
      <w:r w:rsidRPr="00F27A39">
        <w:t xml:space="preserve"> international guidelines.</w:t>
      </w:r>
      <w:r w:rsidR="003F590E">
        <w:rPr>
          <w:b/>
          <w:bCs/>
        </w:rPr>
        <w:t xml:space="preserve"> </w:t>
      </w:r>
      <w:r>
        <w:t>Whilst t</w:t>
      </w:r>
      <w:r w:rsidRPr="00F27A39">
        <w:t xml:space="preserve">here are </w:t>
      </w:r>
      <w:r>
        <w:t>many</w:t>
      </w:r>
      <w:r w:rsidRPr="00F27A39">
        <w:t xml:space="preserve"> similarities, </w:t>
      </w:r>
      <w:r>
        <w:t xml:space="preserve">subtle </w:t>
      </w:r>
      <w:r w:rsidRPr="00F27A39">
        <w:t>differences exist</w:t>
      </w:r>
      <w:r w:rsidR="00230C86">
        <w:t>.</w:t>
      </w:r>
      <w:r w:rsidRPr="00F27A39">
        <w:t xml:space="preserve"> </w:t>
      </w:r>
      <w:r w:rsidR="00230C86">
        <w:t xml:space="preserve">These differences arise </w:t>
      </w:r>
      <w:r w:rsidRPr="00F27A39">
        <w:t xml:space="preserve">in part </w:t>
      </w:r>
      <w:r w:rsidR="00926AC0">
        <w:t>due to</w:t>
      </w:r>
      <w:r w:rsidRPr="00B62C5C">
        <w:t xml:space="preserve"> </w:t>
      </w:r>
      <w:r w:rsidR="004D3837" w:rsidRPr="00B62C5C">
        <w:t xml:space="preserve">the </w:t>
      </w:r>
      <w:r w:rsidRPr="00B62C5C">
        <w:t>evidence base</w:t>
      </w:r>
      <w:r w:rsidR="003F590E" w:rsidRPr="00B62C5C">
        <w:t xml:space="preserve"> </w:t>
      </w:r>
      <w:r w:rsidR="00926AC0">
        <w:t>at time of publication</w:t>
      </w:r>
      <w:r w:rsidR="00230C86" w:rsidRPr="00B62C5C">
        <w:t>,</w:t>
      </w:r>
      <w:r w:rsidRPr="00B62C5C">
        <w:t xml:space="preserve"> but also </w:t>
      </w:r>
      <w:r w:rsidR="004D3837" w:rsidRPr="00B62C5C">
        <w:t xml:space="preserve">from </w:t>
      </w:r>
      <w:r w:rsidRPr="00B62C5C">
        <w:t xml:space="preserve">the different healthcare systems that they </w:t>
      </w:r>
      <w:r w:rsidR="00926AC0">
        <w:t>are designed for</w:t>
      </w:r>
      <w:r w:rsidR="00230C86" w:rsidRPr="00B62C5C">
        <w:t>,</w:t>
      </w:r>
      <w:r w:rsidRPr="00B62C5C">
        <w:t xml:space="preserve"> </w:t>
      </w:r>
      <w:r w:rsidR="007E2A9E" w:rsidRPr="00B62C5C">
        <w:t>and</w:t>
      </w:r>
      <w:r w:rsidR="00230C86" w:rsidRPr="00B62C5C">
        <w:t xml:space="preserve"> from the </w:t>
      </w:r>
      <w:r w:rsidRPr="00B62C5C">
        <w:t xml:space="preserve">cost-effectiveness </w:t>
      </w:r>
      <w:r w:rsidR="00230C86" w:rsidRPr="00B62C5C">
        <w:t>models</w:t>
      </w:r>
      <w:r w:rsidR="008C5C58" w:rsidRPr="00B62C5C">
        <w:t xml:space="preserve"> </w:t>
      </w:r>
      <w:r w:rsidRPr="00B62C5C">
        <w:t xml:space="preserve">that </w:t>
      </w:r>
      <w:r w:rsidR="00230C86" w:rsidRPr="00B62C5C">
        <w:t>dominate</w:t>
      </w:r>
      <w:r w:rsidRPr="00B62C5C">
        <w:t xml:space="preserve"> the methodology used by NICE.</w:t>
      </w:r>
      <w:r w:rsidR="003F590E" w:rsidRPr="00B62C5C">
        <w:t xml:space="preserve"> The clinical implications of the differences between </w:t>
      </w:r>
      <w:r w:rsidR="00926AC0">
        <w:t>the international guidelines</w:t>
      </w:r>
      <w:r w:rsidR="003F590E" w:rsidRPr="00B62C5C">
        <w:t xml:space="preserve"> </w:t>
      </w:r>
      <w:r w:rsidR="00255492" w:rsidRPr="00B62C5C">
        <w:t>will be</w:t>
      </w:r>
      <w:r w:rsidR="003F590E" w:rsidRPr="00B62C5C">
        <w:t xml:space="preserve"> </w:t>
      </w:r>
      <w:r w:rsidR="004D3837" w:rsidRPr="00B62C5C">
        <w:t>analysed</w:t>
      </w:r>
      <w:r w:rsidR="003F590E" w:rsidRPr="00B62C5C">
        <w:t>.</w:t>
      </w:r>
      <w:r w:rsidR="003F590E">
        <w:t xml:space="preserve"> </w:t>
      </w:r>
    </w:p>
    <w:p w14:paraId="3258108E" w14:textId="77777777" w:rsidR="009B1730" w:rsidRPr="00F27A39" w:rsidRDefault="009B1730" w:rsidP="009B1730">
      <w:pPr>
        <w:spacing w:line="360" w:lineRule="auto"/>
      </w:pPr>
    </w:p>
    <w:p w14:paraId="777FF6F7" w14:textId="77777777" w:rsidR="00AE2914" w:rsidRDefault="00AE2914" w:rsidP="005E5F22">
      <w:pPr>
        <w:spacing w:line="360" w:lineRule="auto"/>
        <w:rPr>
          <w:b/>
          <w:bCs/>
        </w:rPr>
      </w:pPr>
    </w:p>
    <w:p w14:paraId="03326AB4" w14:textId="77777777" w:rsidR="00AE2914" w:rsidRDefault="00AE2914" w:rsidP="005E5F22">
      <w:pPr>
        <w:spacing w:line="360" w:lineRule="auto"/>
        <w:rPr>
          <w:b/>
          <w:bCs/>
        </w:rPr>
      </w:pPr>
    </w:p>
    <w:p w14:paraId="4034305E" w14:textId="77777777" w:rsidR="00AE2914" w:rsidRDefault="00AE2914" w:rsidP="005E5F22">
      <w:pPr>
        <w:spacing w:line="360" w:lineRule="auto"/>
        <w:rPr>
          <w:b/>
          <w:bCs/>
        </w:rPr>
      </w:pPr>
    </w:p>
    <w:p w14:paraId="2D3049BD" w14:textId="77777777" w:rsidR="00AE2914" w:rsidRDefault="00AE2914" w:rsidP="005E5F22">
      <w:pPr>
        <w:spacing w:line="360" w:lineRule="auto"/>
        <w:rPr>
          <w:b/>
          <w:bCs/>
        </w:rPr>
      </w:pPr>
    </w:p>
    <w:p w14:paraId="30899BFF" w14:textId="77777777" w:rsidR="00AE2914" w:rsidRDefault="00AE2914" w:rsidP="005E5F22">
      <w:pPr>
        <w:spacing w:line="360" w:lineRule="auto"/>
        <w:rPr>
          <w:b/>
          <w:bCs/>
        </w:rPr>
      </w:pPr>
    </w:p>
    <w:p w14:paraId="2A32524A" w14:textId="77777777" w:rsidR="00AE2914" w:rsidRDefault="00AE2914" w:rsidP="005E5F22">
      <w:pPr>
        <w:spacing w:line="360" w:lineRule="auto"/>
        <w:rPr>
          <w:b/>
          <w:bCs/>
        </w:rPr>
      </w:pPr>
    </w:p>
    <w:p w14:paraId="678BB3C0" w14:textId="77777777" w:rsidR="00AE2914" w:rsidRDefault="00AE2914" w:rsidP="005E5F22">
      <w:pPr>
        <w:spacing w:line="360" w:lineRule="auto"/>
        <w:rPr>
          <w:b/>
          <w:bCs/>
        </w:rPr>
      </w:pPr>
    </w:p>
    <w:p w14:paraId="757BC8E7" w14:textId="77777777" w:rsidR="00AE2914" w:rsidRDefault="00AE2914" w:rsidP="005E5F22">
      <w:pPr>
        <w:spacing w:line="360" w:lineRule="auto"/>
        <w:rPr>
          <w:b/>
          <w:bCs/>
        </w:rPr>
      </w:pPr>
    </w:p>
    <w:p w14:paraId="28D7454C" w14:textId="77777777" w:rsidR="00AE2914" w:rsidRDefault="00AE2914" w:rsidP="005E5F22">
      <w:pPr>
        <w:spacing w:line="360" w:lineRule="auto"/>
        <w:rPr>
          <w:b/>
          <w:bCs/>
        </w:rPr>
      </w:pPr>
    </w:p>
    <w:p w14:paraId="658A465B" w14:textId="77777777" w:rsidR="00AE2914" w:rsidRDefault="00AE2914" w:rsidP="005E5F22">
      <w:pPr>
        <w:spacing w:line="360" w:lineRule="auto"/>
        <w:rPr>
          <w:b/>
          <w:bCs/>
        </w:rPr>
      </w:pPr>
    </w:p>
    <w:p w14:paraId="04B9F16C" w14:textId="77777777" w:rsidR="00AE2914" w:rsidRDefault="00AE2914" w:rsidP="005E5F22">
      <w:pPr>
        <w:spacing w:line="360" w:lineRule="auto"/>
        <w:rPr>
          <w:b/>
          <w:bCs/>
        </w:rPr>
      </w:pPr>
    </w:p>
    <w:p w14:paraId="6C6F5FF9" w14:textId="77777777" w:rsidR="00AE2914" w:rsidRDefault="00AE2914" w:rsidP="005E5F22">
      <w:pPr>
        <w:spacing w:line="360" w:lineRule="auto"/>
        <w:rPr>
          <w:b/>
          <w:bCs/>
        </w:rPr>
      </w:pPr>
    </w:p>
    <w:p w14:paraId="07C1C5F4" w14:textId="77777777" w:rsidR="00AE2914" w:rsidRDefault="00AE2914" w:rsidP="005E5F22">
      <w:pPr>
        <w:spacing w:line="360" w:lineRule="auto"/>
        <w:rPr>
          <w:b/>
          <w:bCs/>
        </w:rPr>
      </w:pPr>
    </w:p>
    <w:p w14:paraId="2FD3C3BC" w14:textId="77777777" w:rsidR="00AE2914" w:rsidRDefault="00AE2914" w:rsidP="005E5F22">
      <w:pPr>
        <w:spacing w:line="360" w:lineRule="auto"/>
        <w:rPr>
          <w:b/>
          <w:bCs/>
        </w:rPr>
      </w:pPr>
    </w:p>
    <w:p w14:paraId="6A08CF92" w14:textId="77777777" w:rsidR="00AE2914" w:rsidRDefault="00AE2914" w:rsidP="005E5F22">
      <w:pPr>
        <w:spacing w:line="360" w:lineRule="auto"/>
        <w:rPr>
          <w:b/>
          <w:bCs/>
        </w:rPr>
      </w:pPr>
    </w:p>
    <w:p w14:paraId="6F1010CB" w14:textId="77777777" w:rsidR="00AE2914" w:rsidRDefault="00AE2914" w:rsidP="005E5F22">
      <w:pPr>
        <w:spacing w:line="360" w:lineRule="auto"/>
        <w:rPr>
          <w:b/>
          <w:bCs/>
        </w:rPr>
      </w:pPr>
    </w:p>
    <w:p w14:paraId="56612625" w14:textId="77777777" w:rsidR="00AE2914" w:rsidRDefault="00AE2914" w:rsidP="005E5F22">
      <w:pPr>
        <w:spacing w:line="360" w:lineRule="auto"/>
        <w:rPr>
          <w:b/>
          <w:bCs/>
        </w:rPr>
      </w:pPr>
    </w:p>
    <w:p w14:paraId="68013095" w14:textId="77777777" w:rsidR="00AE2914" w:rsidRDefault="00AE2914" w:rsidP="005E5F22">
      <w:pPr>
        <w:spacing w:line="360" w:lineRule="auto"/>
        <w:rPr>
          <w:b/>
          <w:bCs/>
        </w:rPr>
      </w:pPr>
    </w:p>
    <w:p w14:paraId="10B1A77D" w14:textId="77777777" w:rsidR="00AE2914" w:rsidRDefault="00AE2914" w:rsidP="005E5F22">
      <w:pPr>
        <w:spacing w:line="360" w:lineRule="auto"/>
        <w:rPr>
          <w:b/>
          <w:bCs/>
        </w:rPr>
      </w:pPr>
    </w:p>
    <w:p w14:paraId="0A731458" w14:textId="77777777" w:rsidR="00AE2914" w:rsidRDefault="00AE2914" w:rsidP="005E5F22">
      <w:pPr>
        <w:spacing w:line="360" w:lineRule="auto"/>
        <w:rPr>
          <w:b/>
          <w:bCs/>
        </w:rPr>
      </w:pPr>
    </w:p>
    <w:p w14:paraId="7BE034B4" w14:textId="77777777" w:rsidR="00A04785" w:rsidRDefault="00A04785" w:rsidP="005E5F22">
      <w:pPr>
        <w:spacing w:line="360" w:lineRule="auto"/>
        <w:rPr>
          <w:b/>
          <w:bCs/>
        </w:rPr>
      </w:pPr>
    </w:p>
    <w:p w14:paraId="6352DB32" w14:textId="77777777" w:rsidR="00EB1250" w:rsidRDefault="00EB1250" w:rsidP="005E5F22">
      <w:pPr>
        <w:spacing w:line="360" w:lineRule="auto"/>
        <w:rPr>
          <w:b/>
          <w:bCs/>
        </w:rPr>
      </w:pPr>
    </w:p>
    <w:p w14:paraId="7CAFE61A" w14:textId="77777777" w:rsidR="00EB1250" w:rsidRDefault="00EB1250" w:rsidP="005E5F22">
      <w:pPr>
        <w:spacing w:line="360" w:lineRule="auto"/>
        <w:rPr>
          <w:b/>
          <w:bCs/>
        </w:rPr>
      </w:pPr>
    </w:p>
    <w:p w14:paraId="031B6497" w14:textId="77777777" w:rsidR="00252891" w:rsidRPr="00F27A39" w:rsidRDefault="00252891" w:rsidP="005E5F22">
      <w:pPr>
        <w:spacing w:line="360" w:lineRule="auto"/>
        <w:rPr>
          <w:b/>
          <w:bCs/>
        </w:rPr>
      </w:pPr>
      <w:r w:rsidRPr="00F27A39">
        <w:rPr>
          <w:b/>
          <w:bCs/>
        </w:rPr>
        <w:lastRenderedPageBreak/>
        <w:t>Introduction</w:t>
      </w:r>
      <w:r w:rsidR="001E31CE">
        <w:rPr>
          <w:b/>
          <w:bCs/>
        </w:rPr>
        <w:t xml:space="preserve">   </w:t>
      </w:r>
    </w:p>
    <w:p w14:paraId="1AF010AA" w14:textId="7EE1C7F3" w:rsidR="008C5C58" w:rsidRPr="00F27A39" w:rsidRDefault="000C2129" w:rsidP="005E5F22">
      <w:pPr>
        <w:spacing w:line="360" w:lineRule="auto"/>
      </w:pPr>
      <w:r w:rsidRPr="00F27A39">
        <w:t>Cardiologists in the United Kin</w:t>
      </w:r>
      <w:r w:rsidR="00C27411" w:rsidRPr="00F27A39">
        <w:t xml:space="preserve">gdom use the NICE </w:t>
      </w:r>
      <w:r w:rsidR="00EB7722" w:rsidRPr="00F27A39">
        <w:t xml:space="preserve">and ESC </w:t>
      </w:r>
      <w:r w:rsidR="005A393E" w:rsidRPr="00F27A39">
        <w:t xml:space="preserve">guidelines </w:t>
      </w:r>
      <w:r w:rsidR="00EB7722" w:rsidRPr="00F27A39">
        <w:t>to help guide decision-making. This article will appraise the current recommendations from NICE regarding myocardial revascularisation</w:t>
      </w:r>
      <w:r w:rsidR="001369E3">
        <w:t>,</w:t>
      </w:r>
      <w:r w:rsidR="002A5E6B">
        <w:t xml:space="preserve"> including </w:t>
      </w:r>
      <w:r w:rsidR="001369E3">
        <w:t xml:space="preserve">some aspects of </w:t>
      </w:r>
      <w:r w:rsidR="002A5E6B">
        <w:t>antiplatelet therapy</w:t>
      </w:r>
      <w:r w:rsidR="001369E3">
        <w:t>,</w:t>
      </w:r>
      <w:r w:rsidR="00255492">
        <w:t xml:space="preserve"> </w:t>
      </w:r>
      <w:r w:rsidR="002A5E6B">
        <w:t xml:space="preserve">and </w:t>
      </w:r>
      <w:r w:rsidR="008427C7" w:rsidRPr="00F27A39">
        <w:t>compar</w:t>
      </w:r>
      <w:r w:rsidR="002A5E6B">
        <w:t>e</w:t>
      </w:r>
      <w:r w:rsidR="008427C7" w:rsidRPr="00F27A39">
        <w:t xml:space="preserve"> them to other</w:t>
      </w:r>
      <w:r w:rsidR="00EB1250">
        <w:t xml:space="preserve"> major</w:t>
      </w:r>
      <w:r w:rsidR="008427C7" w:rsidRPr="00F27A39">
        <w:t xml:space="preserve"> international guidelines. </w:t>
      </w:r>
      <w:r w:rsidR="00B3627D">
        <w:t>Whilst t</w:t>
      </w:r>
      <w:r w:rsidR="00B3627D" w:rsidRPr="00F27A39">
        <w:t xml:space="preserve">here are </w:t>
      </w:r>
      <w:r w:rsidR="00B3627D">
        <w:t>many</w:t>
      </w:r>
      <w:r w:rsidR="00B3627D" w:rsidRPr="00F27A39">
        <w:t xml:space="preserve"> similarities, </w:t>
      </w:r>
      <w:r w:rsidR="00B3627D">
        <w:t xml:space="preserve">subtle </w:t>
      </w:r>
      <w:r w:rsidR="00B3627D" w:rsidRPr="00F27A39">
        <w:t>differences exist</w:t>
      </w:r>
      <w:r w:rsidR="00B3627D">
        <w:t>.</w:t>
      </w:r>
      <w:r w:rsidR="00B3627D" w:rsidRPr="00F27A39">
        <w:t xml:space="preserve"> </w:t>
      </w:r>
      <w:r w:rsidR="00B3627D">
        <w:t xml:space="preserve">These differences arise </w:t>
      </w:r>
      <w:r w:rsidR="00B3627D" w:rsidRPr="00F27A39">
        <w:t xml:space="preserve">in part </w:t>
      </w:r>
      <w:r w:rsidR="00B3627D">
        <w:t>from the</w:t>
      </w:r>
      <w:r w:rsidR="00B3627D" w:rsidRPr="00F27A39">
        <w:t xml:space="preserve"> date of publication and therefore evidence base</w:t>
      </w:r>
      <w:r w:rsidR="00B3627D">
        <w:t xml:space="preserve"> used,</w:t>
      </w:r>
      <w:r w:rsidR="00B3627D" w:rsidRPr="00F27A39">
        <w:t xml:space="preserve"> but also</w:t>
      </w:r>
      <w:r w:rsidR="006C6E04">
        <w:t xml:space="preserve"> from</w:t>
      </w:r>
      <w:r w:rsidR="00B3627D" w:rsidRPr="00F27A39">
        <w:t xml:space="preserve"> the different healthcare systems</w:t>
      </w:r>
      <w:r w:rsidR="00B3627D">
        <w:t xml:space="preserve"> that they represent, </w:t>
      </w:r>
      <w:r w:rsidR="008C5C58">
        <w:t>and</w:t>
      </w:r>
      <w:r w:rsidR="00B3627D">
        <w:t xml:space="preserve"> from the </w:t>
      </w:r>
      <w:r w:rsidR="00B3627D" w:rsidRPr="00F27A39">
        <w:t xml:space="preserve">cost-effectiveness </w:t>
      </w:r>
      <w:r w:rsidR="00B3627D">
        <w:t>models</w:t>
      </w:r>
      <w:r w:rsidR="008C5C58">
        <w:t xml:space="preserve"> </w:t>
      </w:r>
      <w:r w:rsidR="00B3627D" w:rsidRPr="00F27A39">
        <w:t xml:space="preserve">that </w:t>
      </w:r>
      <w:r w:rsidR="00B3627D">
        <w:t>dominate the methodology used by NICE</w:t>
      </w:r>
      <w:r w:rsidR="00B3627D" w:rsidRPr="00F27A39">
        <w:t>.</w:t>
      </w:r>
      <w:r w:rsidR="00B3627D">
        <w:t xml:space="preserve"> </w:t>
      </w:r>
      <w:r w:rsidR="008427C7" w:rsidRPr="00F27A39">
        <w:t xml:space="preserve">There is no single NICE guideline concerning myocardial revascularisation, </w:t>
      </w:r>
      <w:r w:rsidR="00B3627D">
        <w:t>but</w:t>
      </w:r>
      <w:r w:rsidR="008427C7" w:rsidRPr="00F27A39">
        <w:t xml:space="preserve"> recommendations are made </w:t>
      </w:r>
      <w:r w:rsidR="00B3627D">
        <w:t>with</w:t>
      </w:r>
      <w:r w:rsidR="008427C7" w:rsidRPr="00F27A39">
        <w:t xml:space="preserve">in </w:t>
      </w:r>
      <w:r w:rsidR="00B3627D">
        <w:t>NICE</w:t>
      </w:r>
      <w:r w:rsidR="008427C7" w:rsidRPr="00F27A39">
        <w:t xml:space="preserve"> guidelines about stable angina</w:t>
      </w:r>
      <w:r w:rsidR="0007430E">
        <w:t xml:space="preserve"> </w:t>
      </w:r>
      <w:r w:rsidR="008427C7" w:rsidRPr="00F27A39">
        <w:t>and acute coronary syndromes.</w:t>
      </w:r>
      <w:r w:rsidR="00F22023">
        <w:fldChar w:fldCharType="begin" w:fldLock="1"/>
      </w:r>
      <w:r w:rsidR="00F22023">
        <w:instrText>ADDIN CSL_CITATION {"citationItems":[{"id":"ITEM-1","itemData":{"id":"ITEM-1","issued":{"date-parts":[["0"]]},"page":"https://www.nice.org.uk/guidance/ng185.","title":"National Institute for Health and Care Excellence. Acute coronary syndromes. 2020.","type":"webpage"},"uris":["http://www.mendeley.com/documents/?uuid=1fdcdae9-4953-4f7f-8600-3a495bf4a190"]},{"id":"ITEM-2","itemData":{"id":"ITEM-2","issued":{"date-parts":[["0"]]},"page":"http://www.nice.org.uk/ guidance/cg126/evidence/fu","title":"National Clinical Guidelines Centre. Stable angina: Full ( July 2011): methods, evidence &amp; guidance.","type":"webpage"},"uris":["http://www.mendeley.com/documents/?uuid=b373040f-6cc1-45da-b825-b7643f467d7e"]}],"mendeley":{"formattedCitation":"&lt;sup&gt;1,2&lt;/sup&gt;","plainTextFormattedCitation":"1,2","previouslyFormattedCitation":"&lt;sup&gt;1,2&lt;/sup&gt;"},"properties":{"noteIndex":0},"schema":"https://github.com/citation-style-language/schema/raw/master/csl-citation.json"}</w:instrText>
      </w:r>
      <w:r w:rsidR="00F22023">
        <w:fldChar w:fldCharType="separate"/>
      </w:r>
      <w:r w:rsidR="00F22023" w:rsidRPr="00F22023">
        <w:rPr>
          <w:noProof/>
          <w:vertAlign w:val="superscript"/>
        </w:rPr>
        <w:t>1,2</w:t>
      </w:r>
      <w:r w:rsidR="00F22023">
        <w:fldChar w:fldCharType="end"/>
      </w:r>
      <w:r w:rsidR="00FF4B04">
        <w:t xml:space="preserve"> </w:t>
      </w:r>
      <w:r w:rsidR="008C5C58" w:rsidRPr="008C5C58">
        <w:t xml:space="preserve">The evidence base regarding the prognostic and symptomatic benefit of </w:t>
      </w:r>
      <w:r w:rsidR="00CF4CDD">
        <w:t>myocardial</w:t>
      </w:r>
      <w:r w:rsidR="008C5C58" w:rsidRPr="008C5C58">
        <w:t xml:space="preserve"> revascularisation is different for chronic and acute coronary syndromes, so these will be analyse</w:t>
      </w:r>
      <w:r w:rsidR="00ED1599">
        <w:t>d</w:t>
      </w:r>
      <w:r w:rsidR="008C5C58" w:rsidRPr="008C5C58">
        <w:t xml:space="preserve"> separately.</w:t>
      </w:r>
      <w:r w:rsidR="00B40095">
        <w:fldChar w:fldCharType="begin" w:fldLock="1"/>
      </w:r>
      <w:r w:rsidR="00B40095">
        <w:instrText>ADDIN CSL_CITATION {"citationItems":[{"id":"ITEM-1","itemData":{"DOI":"10.1161/CIRCULATIONAHA.120.048194","ISSN":"1524-4539 (Electronic)","PMID":"32794407","abstract":"BACKGROUND: Revascularization is often performed in patients with stable ischemic  heart disease. However, whether revascularization reduces death and other cardiovascular outcomes is uncertain. METHODS: We conducted PUBMED/EMBASE/Cochrane Central Register of Controlled Trials searches for randomized trials comparing routine revascularization versus an initial conservative strategy in patients with stable ischemic heart disease. The primary outcome was death. Secondary outcomes were cardiovascular death, myocardial infarction (MI), heart failure, stroke, unstable angina, and freedom from angina. Trials were stratified by percent stent use and by percent statin use to evaluate outcomes in contemporary trials. RESULTS: Fourteen randomized clinical trials that enrolled 14 877 patients followed up for a weighted mean of 4.5 years with 64 678 patient-years of follow-up fulfilled our inclusion criteria. Most trials enrolled patients with preserved left ventricular systolic function and low symptom burden, and excluded patients with left main disease. Revascularization compared with medical therapy alone was not associated with a reduced risk of death (relative risk [RR], 0.99 [95% CI, 0.90-1.09]). Trial sequential analysis showed that the cumulative z-curve crossed the futility boundary, indicating firm evidence for lack of a 10% or greater reduction in death. Revascularization was associated with a reduced nonprocedural MI (RR, 0.76 [95% CI, 0.67-0.85]) but also with increased procedural MI (RR, 2.48 [95% CI, 1.86-3.31]) with no difference in overall MI (RR, 0.93 [95% CI, 0.83-1.03]). A significant reduction in unstable angina (RR, 0.64 [95% CI, 0.45-0.92]) and increase in freedom from angina (RR, 1.10 [95% CI, 1.05-1.15]) was also observed with revascularization. There were no treatment-related differences in the risk of heart failure or stroke. CONCLUSIONS: In patients with stable ischemic heart disease, routine revascularization was not associated with improved survival but was associated with a lower risk of nonprocedural MI and unstable angina with greater freedom from angina at the expense of higher rates of procedural MI. Longer-term follow-up of trials is needed to assess whether reduction in these nonfatal spontaneous events improves long-term survival.","author":[{"dropping-particle":"","family":"Bangalore","given":"Sripal","non-dropping-particle":"","parse-names":false,"suffix":""},{"dropping-particle":"","family":"Maron","given":"David J","non-dropping-particle":"","parse-names":false,"suffix":""},{"dropping-particle":"","family":"Stone","given":"Gregg W","non-dropping-particle":"","parse-names":false,"suffix":""},{"dropping-particle":"","family":"Hochman","given":"Judith S","non-dropping-particle":"","parse-names":false,"suffix":""}],"container-title":"Circulation","id":"ITEM-1","issue":"9","issued":{"date-parts":[["2020","9"]]},"language":"eng","page":"841-857","publisher-place":"United States","title":"Routine Revascularization Versus Initial Medical Therapy for Stable Ischemic  Heart Disease: A Systematic Review and Meta-Analysis of Randomized Trials.","type":"article-journal","volume":"142"},"uris":["http://www.mendeley.com/documents/?uuid=16a24358-7ebd-48ad-b7b1-4325c8ccec71"]},{"id":"ITEM-2","itemData":{"DOI":"10.1016/S0140-6736(17)32714-9","ISSN":"1474-547X (Electronic)","PMID":"29103656","abstract":"BACKGROUND: Symptomatic relief is the primary goal of percutaneous coronary  intervention (PCI) in stable angina and is commonly observed clinically. However, there is no evidence from blinded, placebo-controlled randomised trials to show its efficacy. METHODS: ORBITA is a blinded, multicentre randomised trial of PCI versus a placebo procedure for angina relief that was done at five study sites in the UK. We enrolled patients with severe (≥70%) single-vessel stenoses. After enrolment, patients received 6 weeks of medication optimisation. Patients then had pre-randomisation assessments with cardiopulmonary exercise testing, symptom questionnaires, and dobutamine stress echocardiography. Patients were randomised 1:1 to undergo PCI or a placebo procedure by use of an automated online randomisation tool. After 6 weeks of follow-up, the assessments done before randomisation were repeated at the final assessment. The primary endpoint was difference in exercise time increment between groups. All analyses were based on the intention-to-treat principle and the study population contained all participants who underwent randomisation. This study is registered with ClinicalTrials.gov, number NCT02062593. FINDINGS: ORBITA enrolled 230 patients with ischaemic symptoms. After the medication optimisation phase and between Jan 6, 2014, and Aug 11, 2017, 200 patients underwent randomisation, with 105 patients assigned PCI and 95 assigned the placebo procedure. Lesions had mean area stenosis of 84·4% (SD 10·2), fractional flow reserve of 0·69 (0·16), and instantaneous wave-free ratio of 0·76 (0·22). There was no significant difference in the primary endpoint of exercise time increment between groups (PCI minus placebo 16·6 s, 95% CI -8·9 to 42·0, p=0·200). There were no deaths. Serious adverse events included four pressure-wire related complications in the placebo group, which required PCI, and five major bleeding events, including two in the PCI group and three in the placebo group. INTERPRETATION: In patients with medically treated angina and severe coronary stenosis, PCI did not increase exercise time by more than the effect of a placebo procedure. The efficacy of invasive procedures can be assessed with a placebo control, as is standard for pharmacotherapy. FUNDING: NIHR Imperial Biomedical Research Centre, Foundation for Circulatory Health, Imperial College Healthcare Charity, Philips Volcano, NIHR Barts Biomedical Research Centre.","author":[{"dropping-particle":"","family":"Al-Lamee","given":"Rasha","non-dropping-particle":"","parse-names":false,"suffix":""},{"dropping-particle":"","family":"Thompson","given":"David","non-dropping-particle":"","parse-names":false,"suffix":""},{"dropping-particle":"","family":"Dehbi","given":"Hakim-Moulay","non-dropping-particle":"","parse-names":false,"suffix":""},{"dropping-particle":"","family":"Sen","given":"Sayan","non-dropping-particle":"","parse-names":false,"suffix":""},{"dropping-particle":"","family":"Tang","given":"Kare","non-dropping-particle":"","parse-names":false,"suffix":""},{"dropping-particle":"","family":"Davies","given":"John","non-dropping-particle":"","parse-names":false,"suffix":""},{"dropping-particle":"","family":"Keeble","given":"Thomas","non-dropping-particle":"","parse-names":false,"suffix":""},{"dropping-particle":"","family":"Mielewczik","given":"Michael","non-dropping-particle":"","parse-names":false,"suffix":""},{"dropping-particle":"","family":"Kaprielian","given":"Raffi","non-dropping-particle":"","parse-names":false,"suffix":""},{"dropping-particle":"","family":"Malik","given":"Iqbal S","non-dropping-particle":"","parse-names":false,"suffix":""},{"dropping-particle":"","family":"Nijjer","given":"Sukhjinder S","non-dropping-particle":"","parse-names":false,"suffix":""},{"dropping-particle":"","family":"Petraco","given":"Ricardo","non-dropping-particle":"","parse-names":false,"suffix":""},{"dropping-particle":"","family":"Cook","given":"Christopher","non-dropping-particle":"","parse-names":false,"suffix":""},{"dropping-particle":"","family":"Ahmad","given":"Yousif","non-dropping-particle":"","parse-names":false,"suffix":""},{"dropping-particle":"","family":"Howard","given":"James","non-dropping-particle":"","parse-names":false,"suffix":""},{"dropping-particle":"","family":"Baker","given":"Christopher","non-dropping-particle":"","parse-names":false,"suffix":""},{"dropping-particle":"","family":"Sharp","given":"Andrew","non-dropping-particle":"","parse-names":false,"suffix":""},{"dropping-particle":"","family":"Gerber","given":"Robert","non-dropping-particle":"","parse-names":false,"suffix":""},{"dropping-particle":"","family":"Talwar","given":"Suneel","non-dropping-particle":"","parse-names":false,"suffix":""},{"dropping-particle":"","family":"Assomull","given":"Ravi","non-dropping-particle":"","parse-names":false,"suffix":""},{"dropping-particle":"","family":"Mayet","given":"Jamil","non-dropping-particle":"","parse-names":false,"suffix":""},{"dropping-particle":"","family":"Wensel","given":"Roland","non-dropping-particle":"","parse-names":false,"suffix":""},{"dropping-particle":"","family":"Collier","given":"David","non-dropping-particle":"","parse-names":false,"suffix":""},{"dropping-particle":"","family":"Shun-Shin","given":"Matthew","non-dropping-particle":"","parse-names":false,"suffix":""},{"dropping-particle":"","family":"Thom","given":"Simon A","non-dropping-particle":"","parse-names":false,"suffix":""},{"dropping-particle":"","family":"Davies","given":"Justin E","non-dropping-particle":"","parse-names":false,"suffix":""},{"dropping-particle":"","family":"Francis","given":"Darrel P","non-dropping-particle":"","parse-names":false,"suffix":""}],"container-title":"Lancet (London, England)","id":"ITEM-2","issue":"10115","issued":{"date-parts":[["2018","1"]]},"language":"eng","page":"31-40","publisher-place":"England","title":"Percutaneous coronary intervention in stable angina (ORBITA): a double-blind,  randomised controlled trial.","type":"article-journal","volume":"391"},"uris":["http://www.mendeley.com/documents/?uuid=d987f88c-3b2d-4681-b22d-6d0c11bb55b8"]},{"id":"ITEM-3","itemData":{"DOI":"10.1161/CIR.0000000000001039","ISSN":"1524-4539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A","non-dropping-particle":"","parse-names":false,"suffix":""}],"container-title":"Circulation","id":"ITEM-3","issue":"3","issued":{"date-parts":[["2022","1"]]},"language":"eng","page":"e4-e17","publisher-place":"United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Guidelines.","type":"article-journal","volume":"145"},"uris":["http://www.mendeley.com/documents/?uuid=fae58fe5-e3b9-440c-a6e3-d09897d44976"]},{"id":"ITEM-4","itemData":{"DOI":"10.1093/eurheartj/ehy394","ISSN":"1522-9645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journal","id":"ITEM-4","issue":"2","issued":{"date-parts":[["2019","1"]]},"language":"eng","page":"87-165","publisher-place":"England","title":"2018 ESC/EACTS Guidelines on myocardial revascularization.","type":"article-journal","volume":"40"},"uris":["http://www.mendeley.com/documents/?uuid=172fd6b2-4fca-43ea-ac0a-003d2d1f2038"]}],"mendeley":{"formattedCitation":"&lt;sup&gt;3–6&lt;/sup&gt;","plainTextFormattedCitation":"3–6","previouslyFormattedCitation":"&lt;sup&gt;3–6&lt;/sup&gt;"},"properties":{"noteIndex":0},"schema":"https://github.com/citation-style-language/schema/raw/master/csl-citation.json"}</w:instrText>
      </w:r>
      <w:r w:rsidR="00B40095">
        <w:fldChar w:fldCharType="separate"/>
      </w:r>
      <w:r w:rsidR="00B40095" w:rsidRPr="00B40095">
        <w:rPr>
          <w:noProof/>
          <w:vertAlign w:val="superscript"/>
        </w:rPr>
        <w:t>3–6</w:t>
      </w:r>
      <w:r w:rsidR="00B40095">
        <w:fldChar w:fldCharType="end"/>
      </w:r>
    </w:p>
    <w:p w14:paraId="06BC087A" w14:textId="77777777" w:rsidR="00246534" w:rsidRPr="00F27A39" w:rsidRDefault="00246534" w:rsidP="005E5F22">
      <w:pPr>
        <w:spacing w:line="360" w:lineRule="auto"/>
      </w:pPr>
    </w:p>
    <w:p w14:paraId="769DE511" w14:textId="24119838" w:rsidR="00246534" w:rsidRPr="00F27A39" w:rsidRDefault="00246534" w:rsidP="005E5F22">
      <w:pPr>
        <w:spacing w:line="360" w:lineRule="auto"/>
        <w:rPr>
          <w:b/>
          <w:bCs/>
        </w:rPr>
      </w:pPr>
      <w:r w:rsidRPr="00F27A39">
        <w:rPr>
          <w:b/>
          <w:bCs/>
        </w:rPr>
        <w:t>Stable coronary artery disease / chronic coronary syndrome</w:t>
      </w:r>
      <w:r w:rsidR="004D5D6C">
        <w:rPr>
          <w:b/>
          <w:bCs/>
        </w:rPr>
        <w:t xml:space="preserve"> (CCS)</w:t>
      </w:r>
    </w:p>
    <w:p w14:paraId="2269B896" w14:textId="77777777" w:rsidR="00ED5206" w:rsidRPr="00F27A39" w:rsidRDefault="00ED5206" w:rsidP="005E5F22">
      <w:pPr>
        <w:spacing w:line="360" w:lineRule="auto"/>
      </w:pPr>
    </w:p>
    <w:p w14:paraId="4CDB0C43" w14:textId="77777777" w:rsidR="00B2138D" w:rsidRPr="00BC72C4" w:rsidRDefault="00B2138D" w:rsidP="005E5F22">
      <w:pPr>
        <w:spacing w:line="360" w:lineRule="auto"/>
        <w:rPr>
          <w:i/>
          <w:iCs/>
        </w:rPr>
      </w:pPr>
      <w:r w:rsidRPr="00BC72C4">
        <w:rPr>
          <w:i/>
          <w:iCs/>
        </w:rPr>
        <w:t>Diagnosis</w:t>
      </w:r>
    </w:p>
    <w:p w14:paraId="0A7241E8" w14:textId="60C2AC9F" w:rsidR="004A53A6" w:rsidRPr="00F27A39" w:rsidRDefault="00246534" w:rsidP="005E5F22">
      <w:pPr>
        <w:spacing w:line="360" w:lineRule="auto"/>
      </w:pPr>
      <w:r w:rsidRPr="00F27A39">
        <w:t xml:space="preserve">The recommendations </w:t>
      </w:r>
      <w:r w:rsidR="00A15099">
        <w:t xml:space="preserve">from NICE </w:t>
      </w:r>
      <w:r w:rsidRPr="00F27A39">
        <w:t xml:space="preserve">regarding </w:t>
      </w:r>
      <w:r w:rsidR="0020246F">
        <w:t xml:space="preserve">diagnosis </w:t>
      </w:r>
      <w:r w:rsidRPr="00F27A39">
        <w:t>are summarised in Figure 1</w:t>
      </w:r>
      <w:r w:rsidR="00C219A1">
        <w:t xml:space="preserve"> and compared to other guidelines in Table 1</w:t>
      </w:r>
      <w:r w:rsidRPr="00F27A39">
        <w:t xml:space="preserve">. </w:t>
      </w:r>
      <w:r w:rsidR="00CF4CDD" w:rsidRPr="00F9235F">
        <w:t>NICE was an early adopter of CT coronary angiography (CTCA), which is the first line investigation in the “Chest pain of recent onset” NICE CG95 guidelines if clinical assessment indicates typical or atypical angina, or if there are pathological ST segment or T-wave changes or Q waves on the resting ECG</w:t>
      </w:r>
      <w:r w:rsidR="00A645AC" w:rsidRPr="00F27A39">
        <w:t>.</w:t>
      </w:r>
      <w:r w:rsidR="00F22023" w:rsidRPr="00F9235F">
        <w:rPr>
          <w:vertAlign w:val="superscript"/>
        </w:rPr>
        <w:fldChar w:fldCharType="begin" w:fldLock="1"/>
      </w:r>
      <w:r w:rsidR="00F22023" w:rsidRPr="00F9235F">
        <w:rPr>
          <w:vertAlign w:val="superscript"/>
        </w:rPr>
        <w:instrText>ADDIN CSL_CITATION {"citationItems":[{"id":"ITEM-1","itemData":{"id":"ITEM-1","issued":{"date-parts":[["0"]]},"page":"http://www. nice.org.uk/guidance/CG95.","title":"Chest pain of recent onset: assessment and diagnosis of recent onset chest pain or discomfort of suspected cardiac origin. Nice clinical guideline (2010).","type":"webpage"},"uris":["http://www.mendeley.com/documents/?uuid=cf4e2b41-4c9f-4460-b5d4-daf6aa0bc461"]}],"mendeley":{"formattedCitation":"&lt;sup&gt;7&lt;/sup&gt;","plainTextFormattedCitation":"7","previouslyFormattedCitation":"&lt;sup&gt;7&lt;/sup&gt;"},"properties":{"noteIndex":0},"schema":"https://github.com/citation-style-language/schema/raw/master/csl-citation.json"}</w:instrText>
      </w:r>
      <w:r w:rsidR="00F22023" w:rsidRPr="00F9235F">
        <w:rPr>
          <w:vertAlign w:val="superscript"/>
        </w:rPr>
        <w:fldChar w:fldCharType="separate"/>
      </w:r>
      <w:r w:rsidR="00F22023" w:rsidRPr="00B3288C">
        <w:rPr>
          <w:noProof/>
          <w:vertAlign w:val="superscript"/>
        </w:rPr>
        <w:t>7</w:t>
      </w:r>
      <w:r w:rsidR="00F22023" w:rsidRPr="00F9235F">
        <w:rPr>
          <w:vertAlign w:val="superscript"/>
        </w:rPr>
        <w:fldChar w:fldCharType="end"/>
      </w:r>
      <w:r w:rsidR="0020246F">
        <w:t xml:space="preserve"> In other words, these guidelines recommend CTCA as the frontline test for the majority of patients. Furthermore, the NICE Technology Appraisal of FFR</w:t>
      </w:r>
      <w:r w:rsidR="0020246F" w:rsidRPr="00F31366">
        <w:rPr>
          <w:vertAlign w:val="subscript"/>
        </w:rPr>
        <w:t>CT</w:t>
      </w:r>
      <w:r w:rsidR="00CA5ABC">
        <w:t xml:space="preserve"> </w:t>
      </w:r>
      <w:r w:rsidR="007E2A9E">
        <w:t xml:space="preserve">(MTG32) </w:t>
      </w:r>
      <w:r w:rsidR="0020246F">
        <w:t xml:space="preserve">recommends this complementary test </w:t>
      </w:r>
      <w:r w:rsidR="00C02645">
        <w:t xml:space="preserve">as an alternative option </w:t>
      </w:r>
      <w:r w:rsidR="0020246F">
        <w:t xml:space="preserve">for </w:t>
      </w:r>
      <w:r w:rsidR="00C02645">
        <w:t xml:space="preserve">patient with </w:t>
      </w:r>
      <w:r w:rsidR="00C02645" w:rsidRPr="00F9235F">
        <w:t>stable, recent-onset chest pain</w:t>
      </w:r>
      <w:r w:rsidR="0020246F">
        <w:t>.</w:t>
      </w:r>
      <w:r w:rsidR="007E2A9E">
        <w:fldChar w:fldCharType="begin" w:fldLock="1"/>
      </w:r>
      <w:r w:rsidR="00B62C5C">
        <w:instrText>ADDIN CSL_CITATION {"citationItems":[{"id":"ITEM-1","itemData":{"id":"ITEM-1","issued":{"date-parts":[["0"]]},"page":"https://www.nice.org.uk/guidance/mtg32","title":"HeartFlow FFRCT for estimating fractional flow reserve from coronary CT angiography. [MTG32]","type":"article-journal"},"uris":["http://www.mendeley.com/documents/?uuid=e25b27a3-5081-4c75-baf2-6e8dce574deb"]}],"mendeley":{"formattedCitation":"&lt;sup&gt;8&lt;/sup&gt;","plainTextFormattedCitation":"8","previouslyFormattedCitation":"&lt;sup&gt;8&lt;/sup&gt;"},"properties":{"noteIndex":0},"schema":"https://github.com/citation-style-language/schema/raw/master/csl-citation.json"}</w:instrText>
      </w:r>
      <w:r w:rsidR="007E2A9E">
        <w:fldChar w:fldCharType="separate"/>
      </w:r>
      <w:r w:rsidR="007E2A9E" w:rsidRPr="007E2A9E">
        <w:rPr>
          <w:noProof/>
          <w:vertAlign w:val="superscript"/>
        </w:rPr>
        <w:t>8</w:t>
      </w:r>
      <w:r w:rsidR="007E2A9E">
        <w:fldChar w:fldCharType="end"/>
      </w:r>
      <w:r w:rsidR="0020246F">
        <w:t xml:space="preserve"> Whilst the use of </w:t>
      </w:r>
      <w:r w:rsidR="00266B81">
        <w:t xml:space="preserve">CTCA </w:t>
      </w:r>
      <w:r w:rsidR="00C02645">
        <w:t>is</w:t>
      </w:r>
      <w:r w:rsidR="00266B81">
        <w:t xml:space="preserve"> expected to </w:t>
      </w:r>
      <w:r w:rsidR="00C02645">
        <w:t xml:space="preserve">reduce </w:t>
      </w:r>
      <w:r w:rsidR="00266B81">
        <w:t xml:space="preserve">the number of patients requiring diagnostic invasive coronary angiography(ICA), it </w:t>
      </w:r>
      <w:r w:rsidR="00C02645">
        <w:t xml:space="preserve">does </w:t>
      </w:r>
      <w:r w:rsidR="00266B81">
        <w:t>not theoretically influence the proportion being offered revascularisation</w:t>
      </w:r>
      <w:r w:rsidR="005C5DE5">
        <w:t xml:space="preserve"> as it does not assess ischaemia</w:t>
      </w:r>
      <w:r w:rsidR="00266B81">
        <w:t>. By contrast, liberal use of FFR</w:t>
      </w:r>
      <w:r w:rsidR="00266B81" w:rsidRPr="00F31366">
        <w:rPr>
          <w:vertAlign w:val="subscript"/>
        </w:rPr>
        <w:t>CT</w:t>
      </w:r>
      <w:r w:rsidR="00266B81">
        <w:t xml:space="preserve"> has the potential to </w:t>
      </w:r>
      <w:r w:rsidR="00255492">
        <w:t>reduce the</w:t>
      </w:r>
      <w:r w:rsidR="00266B81">
        <w:t xml:space="preserve"> rate of </w:t>
      </w:r>
      <w:r w:rsidR="00255492">
        <w:t>ICA significantly</w:t>
      </w:r>
      <w:r w:rsidR="00C6535B">
        <w:t>, as has been demonstrated in PLATFORM and FORECAST</w:t>
      </w:r>
      <w:r w:rsidR="00266B81">
        <w:t>.</w:t>
      </w:r>
      <w:r w:rsidR="00317CCF">
        <w:fldChar w:fldCharType="begin" w:fldLock="1"/>
      </w:r>
      <w:r w:rsidR="00CF09A4">
        <w:instrText>ADDIN CSL_CITATION {"citationItems":[{"id":"ITEM-1","itemData":{"DOI":"10.1093/eurheartj/ehab444","ISSN":"1522-9645 (Electronic)","PMID":"34269376","abstract":"AIMS: Fractional flow reserve (FFRCT) using computed tomography coronary  angiography (CTCA) determines both the presence of coronary artery disease and vessel-specific ischaemia. We tested whether an evaluation strategy based on FFRCT would improve economic and clinical outcomes compared with standard care. METHODS AND RESULTS: Overall, 1400 patients with stable chest pain in 11 centres were randomized to initial testing with CTCA with selective FFRCT (experimental group) or standard clinical care pathways (standard group). The primary endpoint was total cardiac costs at 9 months. Secondary endpoints were angina status, quality of life, major adverse cardiac and cerebrovascular events, and use of invasive coronary angiography. Randomized groups were similar at baseline. Most patients had an initial CTCA: 439 (63%) in the standard group vs. 674 (96%) in the experimental group, 254 of whom (38%) underwent FFRCT. Mean total cardiac costs were higher by £114 (+8%) in the experimental group, with a 95% confidence interval from -£112 (-8%) to +£337 (+23%), though the difference was not significant (P = 0.10). Major adverse cardiac and cerebrovascular events did not differ significantly (10.2% in the experimental group vs. 10.6% in the standard group) and angina and quality of life improved to a similar degree over follow-up in both randomized groups. Invasive angiography was reduced significantly in the experimental group (19% vs. 25%, P = 0.01). CONCLUSION: A strategy of CTCA with selective FFRCT in patients with stable angina did not differ significantly from standard clinical care pathways in cost or clinical outcomes, but did reduce the use of invasive coronary angiography.","author":[{"dropping-particle":"","family":"Curzen","given":"Nick","non-dropping-particle":"","parse-names":false,"suffix":""},{"dropping-particle":"","family":"Nicholas","given":"Zoe","non-dropping-particle":"","parse-names":false,"suffix":""},{"dropping-particle":"","family":"Stuart","given":"Beth","non-dropping-particle":"","parse-names":false,"suffix":""},{"dropping-particle":"","family":"Wilding","given":"Sam","non-dropping-particle":"","parse-names":false,"suffix":""},{"dropping-particle":"","family":"Hill","given":"Kayleigh","non-dropping-particle":"","parse-names":false,"suffix":""},{"dropping-particle":"","family":"Shambrook","given":"James","non-dropping-particle":"","parse-names":false,"suffix":""},{"dropping-particle":"","family":"Eminton","given":"Zina","non-dropping-particle":"","parse-names":false,"suffix":""},{"dropping-particle":"","family":"Ball","given":"Darran","non-dropping-particle":"","parse-names":false,"suffix":""},{"dropping-particle":"","family":"Barrett","given":"Camilla","non-dropping-particle":"","parse-names":false,"suffix":""},{"dropping-particle":"","family":"Johnson","given":"Lucy","non-dropping-particle":"","parse-names":false,"suffix":""},{"dropping-particle":"","family":"Nuttall","given":"Jacqui","non-dropping-particle":"","parse-names":false,"suffix":""},{"dropping-particle":"","family":"Fox","given":"Kim","non-dropping-particle":"","parse-names":false,"suffix":""},{"dropping-particle":"","family":"Connolly","given":"Derek","non-dropping-particle":"","parse-names":false,"suffix":""},{"dropping-particle":"","family":"O'Kane","given":"Peter","non-dropping-particle":"","parse-names":false,"suffix":""},{"dropping-particle":"","family":"Hobson","given":"Alex","non-dropping-particle":"","parse-names":false,"suffix":""},{"dropping-particle":"","family":"Chauhan","given":"Anoop","non-dropping-particle":"","parse-names":false,"suffix":""},{"dropping-particle":"","family":"Uren","given":"Neal","non-dropping-particle":"","parse-names":false,"suffix":""},{"dropping-particle":"","family":"Mccann","given":"Gerry","non-dropping-particle":"","parse-names":false,"suffix":""},{"dropping-particle":"","family":"Berry","given":"Colin","non-dropping-particle":"","parse-names":false,"suffix":""},{"dropping-particle":"","family":"Carter","given":"Justin","non-dropping-particle":"","parse-names":false,"suffix":""},{"dropping-particle":"","family":"Roobottom","given":"Carl","non-dropping-particle":"","parse-names":false,"suffix":""},{"dropping-particle":"","family":"Mamas","given":"Mamas","non-dropping-particle":"","parse-names":false,"suffix":""},{"dropping-particle":"","family":"Rajani","given":"Ronak","non-dropping-particle":"","parse-names":false,"suffix":""},{"dropping-particle":"","family":"Ford","given":"Ian","non-dropping-particle":"","parse-names":false,"suffix":""},{"dropping-particle":"","family":"Douglas","given":"Pamela","non-dropping-particle":"","parse-names":false,"suffix":""},{"dropping-particle":"","family":"Hlatky","given":"Mark","non-dropping-particle":"","parse-names":false,"suffix":""}],"container-title":"European heart journal","id":"ITEM-1","issue":"37","issued":{"date-parts":[["2021","10"]]},"language":"eng","page":"3844-3852","title":"Fractional flow reserve derived from computed tomography coronary angiography in  the assessment and management of stable chest pain: the FORECAST randomized trial.","type":"article-journal","volume":"42"},"uris":["http://www.mendeley.com/documents/?uuid=a2ac007f-4c78-4516-8681-9b15c94b495d"]},{"id":"ITEM-2","itemData":{"DOI":"10.1093/eurheartj/ehv444","ISSN":"1522-9645 (Electronic)","PMID":"26330417","abstract":"AIMS: In symptomatic patients with suspected coronary artery disease (CAD),  computed tomographic angiography (CTA) improves patient selection for invasive coronary angiography (ICA) compared with functional testing. The impact of measuring fractional flow reserve by CTA (FFRCT) is unknown. METHODS AND RESULTS: At 11 sites, 584 patients with new onset chest pain were prospectively assigned to receive either usual testing (n = 287) or CTA/FFR(CT) (n = 297). Test interpretation and care decisions were made by the clinical care team. The primary endpoint was the percentage of those with planned ICA in whom no significant obstructive CAD (no stenosis ≥50% by core laboratory quantitative analysis or invasive FFR &lt; 0.80) was found at ICA within 90 days. Secondary endpoints including death, myocardial infarction, and unplanned revascularization were independently and blindly adjudicated. Subjects averaged 61 ± 11 years of age, 40% were female, and the mean pre-test probability of obstructive CAD was 49 ± 17%. Among those with intended ICA (FFR(CT)-guided = 193; usual care = 187), no obstructive CAD was found at ICA in 24 (12%) in the CTA/FFR(CT) arm and 137 (73%) in the usual care arm (risk difference 61%, 95% confidence interval 53-69, P&lt; 0.0001), with similar mean cumulative radiation exposure (9.9 vs. 9.4 mSv, P = 0.20). Invasive coronary angiography was cancelled in 61% after receiving CTA/FFR(CT) results. Among those with intended non-invasive testing, the rates of finding no obstructive CAD at ICA were 13% (CTA/FFR(CT)) and 6% (usual care; P = 0.95). Clinical event rates within 90 days were low in usual care and CTA/FFR(CT) arms. CONCLUSIONS: Computed tomographic angiography/fractional flow reserve by CTA was a feasible and safe alternative to ICA and was associated with a significantly lower rate of invasive angiography showing no obstructive CAD.","author":[{"dropping-particle":"","family":"Douglas","given":"Pamela S","non-dropping-particle":"","parse-names":false,"suffix":""},{"dropping-particle":"","family":"Pontone","given":"Gianluca","non-dropping-particle":"","parse-names":false,"suffix":""},{"dropping-particle":"","family":"Hlatky","given":"Mark A","non-dropping-particle":"","parse-names":false,"suffix":""},{"dropping-particle":"","family":"Patel","given":"Manesh R","non-dropping-particle":"","parse-names":false,"suffix":""},{"dropping-particle":"","family":"Norgaard","given":"Bjarne L","non-dropping-particle":"","parse-names":false,"suffix":""},{"dropping-particle":"","family":"Byrne","given":"Robert A","non-dropping-particle":"","parse-names":false,"suffix":""},{"dropping-particle":"","family":"Curzen","given":"Nick","non-dropping-particle":"","parse-names":false,"suffix":""},{"dropping-particle":"","family":"Purcell","given":"Ian","non-dropping-particle":"","parse-names":false,"suffix":""},{"dropping-particle":"","family":"Gutberlet","given":"Matthias","non-dropping-particle":"","parse-names":false,"suffix":""},{"dropping-particle":"","family":"Rioufol","given":"Gilles","non-dropping-particle":"","parse-names":false,"suffix":""},{"dropping-particle":"","family":"Hink","given":"Ulrich","non-dropping-particle":"","parse-names":false,"suffix":""},{"dropping-particle":"","family":"Schuchlenz","given":"Herwig Walter","non-dropping-particle":"","parse-names":false,"suffix":""},{"dropping-particle":"","family":"Feuchtner","given":"Gudrun","non-dropping-particle":"","parse-names":false,"suffix":""},{"dropping-particle":"","family":"Gilard","given":"Martine","non-dropping-particle":"","parse-names":false,"suffix":""},{"dropping-particle":"","family":"Andreini","given":"Daniele","non-dropping-particle":"","parse-names":false,"suffix":""},{"dropping-particle":"","family":"Jensen","given":"Jesper M","non-dropping-particle":"","parse-names":false,"suffix":""},{"dropping-particle":"","family":"Hadamitzky","given":"Martin","non-dropping-particle":"","parse-names":false,"suffix":""},{"dropping-particle":"","family":"Chiswell","given":"Karen","non-dropping-particle":"","parse-names":false,"suffix":""},{"dropping-particle":"","family":"Cyr","given":"Derek","non-dropping-particle":"","parse-names":false,"suffix":""},{"dropping-particle":"","family":"Wilk","given":"Alan","non-dropping-particle":"","parse-names":false,"suffix":""},{"dropping-particle":"","family":"Wang","given":"Furong","non-dropping-particle":"","parse-names":false,"suffix":""},{"dropping-particle":"","family":"Rogers","given":"Campbell","non-dropping-particle":"","parse-names":false,"suffix":""},{"dropping-particle":"","family":"Bruyne","given":"Bernard","non-dropping-particle":"De","parse-names":false,"suffix":""}],"container-title":"European heart journal","id":"ITEM-2","issue":"47","issued":{"date-parts":[["2015","12"]]},"language":"eng","page":"3359-3367","title":"Clinical outcomes of fractional flow reserve by computed tomographic  angiography-guided diagnostic strategies vs. usual care in patients with suspected coronary artery disease: the prospective longitudinal trial of FFR(CT): outcome and resource impacts s","type":"article-journal","volume":"36"},"uris":["http://www.mendeley.com/documents/?uuid=39182a61-4706-4616-8026-ec10aaa5e6b5"]}],"mendeley":{"formattedCitation":"&lt;sup&gt;9,10&lt;/sup&gt;","plainTextFormattedCitation":"9,10","previouslyFormattedCitation":"&lt;sup&gt;9,10&lt;/sup&gt;"},"properties":{"noteIndex":0},"schema":"https://github.com/citation-style-language/schema/raw/master/csl-citation.json"}</w:instrText>
      </w:r>
      <w:r w:rsidR="00317CCF">
        <w:fldChar w:fldCharType="separate"/>
      </w:r>
      <w:r w:rsidR="00317CCF" w:rsidRPr="00317CCF">
        <w:rPr>
          <w:noProof/>
          <w:vertAlign w:val="superscript"/>
        </w:rPr>
        <w:t>9,10</w:t>
      </w:r>
      <w:r w:rsidR="00317CCF">
        <w:fldChar w:fldCharType="end"/>
      </w:r>
    </w:p>
    <w:p w14:paraId="5C571368" w14:textId="77777777" w:rsidR="004A53A6" w:rsidRDefault="004A53A6" w:rsidP="005E5F22">
      <w:pPr>
        <w:spacing w:line="360" w:lineRule="auto"/>
      </w:pPr>
    </w:p>
    <w:p w14:paraId="13906A7B" w14:textId="1989C665" w:rsidR="00704815" w:rsidRDefault="00704815" w:rsidP="00FD3641">
      <w:pPr>
        <w:rPr>
          <w:i/>
          <w:iCs/>
        </w:rPr>
      </w:pPr>
      <w:r w:rsidRPr="00BC72C4">
        <w:rPr>
          <w:i/>
          <w:iCs/>
        </w:rPr>
        <w:t>Indication</w:t>
      </w:r>
      <w:r w:rsidR="005D57E1">
        <w:rPr>
          <w:i/>
          <w:iCs/>
        </w:rPr>
        <w:t>s</w:t>
      </w:r>
      <w:r w:rsidRPr="00BC72C4">
        <w:rPr>
          <w:i/>
          <w:iCs/>
        </w:rPr>
        <w:t xml:space="preserve"> for revascularisation</w:t>
      </w:r>
    </w:p>
    <w:p w14:paraId="2651A12A" w14:textId="77777777" w:rsidR="00FD3641" w:rsidRPr="00FD3641" w:rsidRDefault="00FD3641" w:rsidP="00F9235F">
      <w:pPr>
        <w:spacing w:line="360" w:lineRule="auto"/>
      </w:pPr>
    </w:p>
    <w:p w14:paraId="24A08FBE" w14:textId="45AEB415" w:rsidR="0039592D" w:rsidRPr="00F9235F" w:rsidRDefault="004A53A6" w:rsidP="00FD3641">
      <w:pPr>
        <w:spacing w:line="360" w:lineRule="auto"/>
        <w:rPr>
          <w:b/>
          <w:bCs/>
        </w:rPr>
      </w:pPr>
      <w:r w:rsidRPr="00F27A39">
        <w:lastRenderedPageBreak/>
        <w:t xml:space="preserve">The importance of optimal medical </w:t>
      </w:r>
      <w:r w:rsidR="0039592D" w:rsidRPr="00F27A39">
        <w:t>therapy</w:t>
      </w:r>
      <w:r w:rsidRPr="00F27A39">
        <w:t xml:space="preserve"> </w:t>
      </w:r>
      <w:r w:rsidR="00A15099" w:rsidRPr="00F27A39">
        <w:t xml:space="preserve">is </w:t>
      </w:r>
      <w:r w:rsidR="00AE288A">
        <w:t>stressed</w:t>
      </w:r>
      <w:r w:rsidRPr="00F27A39">
        <w:t xml:space="preserve"> in the </w:t>
      </w:r>
      <w:r w:rsidR="005D57E1">
        <w:t>NICE</w:t>
      </w:r>
      <w:r w:rsidR="005D57E1" w:rsidRPr="00F27A39">
        <w:t xml:space="preserve"> </w:t>
      </w:r>
      <w:r w:rsidRPr="00F27A39">
        <w:t>guidelines</w:t>
      </w:r>
      <w:r w:rsidR="005D57E1">
        <w:t xml:space="preserve"> </w:t>
      </w:r>
      <w:r w:rsidR="00FD3641">
        <w:t>(</w:t>
      </w:r>
      <w:r w:rsidR="005D57E1" w:rsidRPr="00F9235F">
        <w:t xml:space="preserve">Stable angina: management; </w:t>
      </w:r>
      <w:r w:rsidR="00FD3641" w:rsidRPr="00FD3641">
        <w:t>CG126)</w:t>
      </w:r>
      <w:r w:rsidRPr="00F27A39">
        <w:t xml:space="preserve">. </w:t>
      </w:r>
      <w:r w:rsidR="00A7689D">
        <w:t>Specifically</w:t>
      </w:r>
      <w:r w:rsidR="00B53149">
        <w:t>:</w:t>
      </w:r>
      <w:r w:rsidRPr="00F27A39">
        <w:t xml:space="preserve"> </w:t>
      </w:r>
      <w:r w:rsidR="00B53149">
        <w:t>1</w:t>
      </w:r>
      <w:r w:rsidR="00A7689D">
        <w:t xml:space="preserve">) </w:t>
      </w:r>
      <w:r w:rsidRPr="00F27A39">
        <w:t xml:space="preserve">an angiogram is </w:t>
      </w:r>
      <w:r w:rsidR="00D928A5">
        <w:t xml:space="preserve">predominantly </w:t>
      </w:r>
      <w:r w:rsidRPr="00F27A39">
        <w:t xml:space="preserve">recommended for patients whose </w:t>
      </w:r>
      <w:r w:rsidR="007D1BF5" w:rsidRPr="00F27A39">
        <w:t>symptoms</w:t>
      </w:r>
      <w:r w:rsidRPr="00F27A39">
        <w:t xml:space="preserve"> are not satisfactorily controlled on </w:t>
      </w:r>
      <w:r w:rsidR="00AE288A">
        <w:t xml:space="preserve">optimal </w:t>
      </w:r>
      <w:r w:rsidRPr="00F27A39">
        <w:t>medical therapy</w:t>
      </w:r>
      <w:r w:rsidR="00A7689D">
        <w:t>(OMT)</w:t>
      </w:r>
      <w:r w:rsidR="00F22023" w:rsidRPr="007E2A9E">
        <w:rPr>
          <w:vertAlign w:val="superscript"/>
        </w:rPr>
        <w:fldChar w:fldCharType="begin" w:fldLock="1"/>
      </w:r>
      <w:r w:rsidR="00F22023" w:rsidRPr="007E2A9E">
        <w:rPr>
          <w:vertAlign w:val="superscript"/>
        </w:rPr>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F22023" w:rsidRPr="007E2A9E">
        <w:rPr>
          <w:vertAlign w:val="superscript"/>
        </w:rPr>
        <w:fldChar w:fldCharType="separate"/>
      </w:r>
      <w:r w:rsidR="00F22023" w:rsidRPr="007E2A9E">
        <w:rPr>
          <w:noProof/>
          <w:vertAlign w:val="superscript"/>
        </w:rPr>
        <w:t>2</w:t>
      </w:r>
      <w:r w:rsidR="00F22023" w:rsidRPr="007E2A9E">
        <w:rPr>
          <w:vertAlign w:val="superscript"/>
        </w:rPr>
        <w:fldChar w:fldCharType="end"/>
      </w:r>
      <w:r w:rsidR="00B53149">
        <w:t>,</w:t>
      </w:r>
      <w:r w:rsidRPr="00F27A39">
        <w:t xml:space="preserve"> </w:t>
      </w:r>
      <w:r w:rsidR="00A7689D">
        <w:t xml:space="preserve">and </w:t>
      </w:r>
      <w:r w:rsidR="00B53149">
        <w:t>2</w:t>
      </w:r>
      <w:r w:rsidR="00A7689D">
        <w:t>)</w:t>
      </w:r>
      <w:r w:rsidRPr="00F27A39">
        <w:t xml:space="preserve"> </w:t>
      </w:r>
      <w:r w:rsidR="00CB327A" w:rsidRPr="00F27A39">
        <w:t>r</w:t>
      </w:r>
      <w:r w:rsidRPr="00F27A39">
        <w:t>evasc</w:t>
      </w:r>
      <w:r w:rsidR="00CB327A" w:rsidRPr="00F27A39">
        <w:t>ularization</w:t>
      </w:r>
      <w:r w:rsidRPr="00F27A39">
        <w:t>(PCI or CABG)</w:t>
      </w:r>
      <w:r w:rsidR="00CB327A" w:rsidRPr="00F27A39">
        <w:t xml:space="preserve"> considered</w:t>
      </w:r>
      <w:r w:rsidRPr="00F27A39">
        <w:t xml:space="preserve"> in </w:t>
      </w:r>
      <w:r w:rsidR="0039592D" w:rsidRPr="00F27A39">
        <w:t>patients</w:t>
      </w:r>
      <w:r w:rsidRPr="00F27A39">
        <w:t xml:space="preserve"> who</w:t>
      </w:r>
      <w:r w:rsidR="00254B1A">
        <w:t xml:space="preserve"> have refractory</w:t>
      </w:r>
      <w:r w:rsidRPr="00F27A39">
        <w:t xml:space="preserve"> symptoms </w:t>
      </w:r>
      <w:r w:rsidR="00CB327A" w:rsidRPr="00F27A39">
        <w:t>despite</w:t>
      </w:r>
      <w:r w:rsidRPr="00F27A39">
        <w:t xml:space="preserve"> </w:t>
      </w:r>
      <w:r w:rsidR="00A7689D">
        <w:t>OMT</w:t>
      </w:r>
      <w:r w:rsidRPr="00F27A39">
        <w:t>.</w:t>
      </w:r>
      <w:r w:rsidR="00F22023" w:rsidRPr="007E2A9E">
        <w:rPr>
          <w:vertAlign w:val="superscript"/>
        </w:rPr>
        <w:fldChar w:fldCharType="begin" w:fldLock="1"/>
      </w:r>
      <w:r w:rsidR="00F22023" w:rsidRPr="007E2A9E">
        <w:rPr>
          <w:vertAlign w:val="superscript"/>
        </w:rPr>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F22023" w:rsidRPr="007E2A9E">
        <w:rPr>
          <w:vertAlign w:val="superscript"/>
        </w:rPr>
        <w:fldChar w:fldCharType="separate"/>
      </w:r>
      <w:r w:rsidR="00F22023" w:rsidRPr="007E2A9E">
        <w:rPr>
          <w:noProof/>
          <w:vertAlign w:val="superscript"/>
        </w:rPr>
        <w:t>2</w:t>
      </w:r>
      <w:r w:rsidR="00F22023" w:rsidRPr="007E2A9E">
        <w:rPr>
          <w:vertAlign w:val="superscript"/>
        </w:rPr>
        <w:fldChar w:fldCharType="end"/>
      </w:r>
      <w:r w:rsidRPr="00F27A39">
        <w:t xml:space="preserve"> </w:t>
      </w:r>
      <w:r w:rsidR="00D928A5">
        <w:t>However, i</w:t>
      </w:r>
      <w:r w:rsidR="00BF7120">
        <w:t xml:space="preserve">n the subset of patients who are controlled on medical therapy, </w:t>
      </w:r>
      <w:r w:rsidR="00BF7120" w:rsidRPr="00BF7120">
        <w:t xml:space="preserve">CABG </w:t>
      </w:r>
      <w:r w:rsidR="00D928A5">
        <w:t>can be</w:t>
      </w:r>
      <w:r w:rsidR="00D928A5" w:rsidRPr="00BF7120">
        <w:t xml:space="preserve"> </w:t>
      </w:r>
      <w:r w:rsidR="00BF7120" w:rsidRPr="00BF7120">
        <w:t>considered to improve prognosis in a subgroup of people with left main stem or proximal three-vessel disease.</w:t>
      </w:r>
      <w:r w:rsidR="00F22023" w:rsidRPr="007E2A9E">
        <w:rPr>
          <w:vertAlign w:val="superscript"/>
        </w:rPr>
        <w:fldChar w:fldCharType="begin" w:fldLock="1"/>
      </w:r>
      <w:r w:rsidR="00F22023" w:rsidRPr="007E2A9E">
        <w:rPr>
          <w:vertAlign w:val="superscript"/>
        </w:rPr>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F22023" w:rsidRPr="007E2A9E">
        <w:rPr>
          <w:vertAlign w:val="superscript"/>
        </w:rPr>
        <w:fldChar w:fldCharType="separate"/>
      </w:r>
      <w:r w:rsidR="00F22023" w:rsidRPr="007E2A9E">
        <w:rPr>
          <w:noProof/>
          <w:vertAlign w:val="superscript"/>
        </w:rPr>
        <w:t>2</w:t>
      </w:r>
      <w:r w:rsidR="00F22023" w:rsidRPr="007E2A9E">
        <w:rPr>
          <w:vertAlign w:val="superscript"/>
        </w:rPr>
        <w:fldChar w:fldCharType="end"/>
      </w:r>
      <w:r w:rsidR="00254B1A">
        <w:t xml:space="preserve"> </w:t>
      </w:r>
      <w:r w:rsidR="00605A62">
        <w:t>By contrast, t</w:t>
      </w:r>
      <w:r w:rsidR="00254B1A">
        <w:t xml:space="preserve">here is no mention of </w:t>
      </w:r>
      <w:r w:rsidR="000D0C0E">
        <w:t xml:space="preserve">prognostic benefit for </w:t>
      </w:r>
      <w:r w:rsidR="00254B1A">
        <w:t>PCI.</w:t>
      </w:r>
    </w:p>
    <w:p w14:paraId="3EB72A70" w14:textId="77777777" w:rsidR="00D3419F" w:rsidRDefault="00D3419F" w:rsidP="005E5F22">
      <w:pPr>
        <w:spacing w:line="360" w:lineRule="auto"/>
      </w:pPr>
    </w:p>
    <w:p w14:paraId="77F11E67" w14:textId="768FA9B8" w:rsidR="00B3288C" w:rsidRDefault="0053116F" w:rsidP="005E5F22">
      <w:pPr>
        <w:spacing w:line="360" w:lineRule="auto"/>
      </w:pPr>
      <w:r w:rsidRPr="00F9235F">
        <w:t>The ESC myocardial revascularisation guidelines provide didactic recommendations for revascularisation in CCS including</w:t>
      </w:r>
      <w:r w:rsidR="00D3419F" w:rsidRPr="00F27A39">
        <w:t xml:space="preserve">: </w:t>
      </w:r>
      <w:r w:rsidR="00D3419F">
        <w:t xml:space="preserve">1) </w:t>
      </w:r>
      <w:r w:rsidR="003E1F2F">
        <w:t>l</w:t>
      </w:r>
      <w:r w:rsidR="00D3419F">
        <w:t>eft main</w:t>
      </w:r>
      <w:r w:rsidR="00D3419F" w:rsidRPr="00F27A39">
        <w:t xml:space="preserve"> with 50% stenosis</w:t>
      </w:r>
      <w:r w:rsidR="00EF6ECD">
        <w:t>(</w:t>
      </w:r>
      <w:r w:rsidR="006B0A13">
        <w:t>c</w:t>
      </w:r>
      <w:r w:rsidR="00EF6ECD">
        <w:t>lass IA)</w:t>
      </w:r>
      <w:r w:rsidR="00D3419F">
        <w:t>; 2)</w:t>
      </w:r>
      <w:r w:rsidR="00D3419F" w:rsidRPr="00F27A39">
        <w:t xml:space="preserve"> proximal LAD &gt;50%</w:t>
      </w:r>
      <w:r w:rsidR="00EF6ECD">
        <w:t>(</w:t>
      </w:r>
      <w:r w:rsidR="006B0A13">
        <w:t>c</w:t>
      </w:r>
      <w:r w:rsidR="00EF6ECD">
        <w:t>lass IA); 3)</w:t>
      </w:r>
      <w:r w:rsidR="00D3419F" w:rsidRPr="00F27A39">
        <w:t xml:space="preserve"> 2 or 3 vessel with &gt;50% stenosis</w:t>
      </w:r>
      <w:r w:rsidR="00EF6ECD">
        <w:t xml:space="preserve"> with </w:t>
      </w:r>
      <w:r w:rsidR="00D3419F" w:rsidRPr="00F27A39">
        <w:t>LVEF</w:t>
      </w:r>
      <w:r w:rsidR="0066750B">
        <w:sym w:font="Symbol" w:char="F0A3"/>
      </w:r>
      <w:r w:rsidR="00D3419F" w:rsidRPr="00F27A39">
        <w:t>35%</w:t>
      </w:r>
      <w:r w:rsidR="00EF6ECD">
        <w:t>(</w:t>
      </w:r>
      <w:r w:rsidR="006B0A13">
        <w:t>c</w:t>
      </w:r>
      <w:r w:rsidR="00EF6ECD">
        <w:t>lass IA)</w:t>
      </w:r>
      <w:r w:rsidR="00D3419F">
        <w:t xml:space="preserve">; 4) </w:t>
      </w:r>
      <w:r w:rsidR="003E1F2F">
        <w:t>l</w:t>
      </w:r>
      <w:r w:rsidR="00D3419F" w:rsidRPr="00F27A39">
        <w:t>arge area of ischaemia(&gt;10%)</w:t>
      </w:r>
      <w:r w:rsidR="00EF6ECD">
        <w:t xml:space="preserve"> or</w:t>
      </w:r>
      <w:r w:rsidR="00202E56">
        <w:t xml:space="preserve"> </w:t>
      </w:r>
      <w:r w:rsidR="00D3419F" w:rsidRPr="00F27A39">
        <w:t>abnormal FFR(</w:t>
      </w:r>
      <w:r w:rsidR="003E1F2F">
        <w:t>c</w:t>
      </w:r>
      <w:r w:rsidR="00EF6ECD">
        <w:t>lass IA</w:t>
      </w:r>
      <w:r w:rsidR="00D3419F" w:rsidRPr="00F27A39">
        <w:t>)</w:t>
      </w:r>
      <w:r w:rsidR="00D3419F">
        <w:t xml:space="preserve"> or 5) </w:t>
      </w:r>
      <w:r w:rsidR="003E1F2F">
        <w:t>s</w:t>
      </w:r>
      <w:r w:rsidR="00D3419F" w:rsidRPr="00F27A39">
        <w:t>ingle remaining coronary artery with stenosis &gt; 50%(</w:t>
      </w:r>
      <w:r w:rsidR="00CA5ABC">
        <w:t>c</w:t>
      </w:r>
      <w:r w:rsidR="00704815">
        <w:t>lass</w:t>
      </w:r>
      <w:r w:rsidR="00EF6ECD">
        <w:t xml:space="preserve"> </w:t>
      </w:r>
      <w:r w:rsidR="00F22023">
        <w:t>I</w:t>
      </w:r>
      <w:r w:rsidR="00D3419F" w:rsidRPr="00F27A39">
        <w:t>C)</w:t>
      </w:r>
      <w:r w:rsidR="00D3419F">
        <w:t>.</w:t>
      </w:r>
      <w:r w:rsidR="00F22023">
        <w:fldChar w:fldCharType="begin" w:fldLock="1"/>
      </w:r>
      <w:r w:rsidR="00F22023">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F22023">
        <w:fldChar w:fldCharType="separate"/>
      </w:r>
      <w:r w:rsidR="00F22023" w:rsidRPr="00F22023">
        <w:rPr>
          <w:noProof/>
          <w:vertAlign w:val="superscript"/>
        </w:rPr>
        <w:t>6</w:t>
      </w:r>
      <w:r w:rsidR="00F22023">
        <w:fldChar w:fldCharType="end"/>
      </w:r>
      <w:r w:rsidR="00256D86">
        <w:t xml:space="preserve"> </w:t>
      </w:r>
      <w:r w:rsidRPr="00F9235F">
        <w:t>Numbers 1), 2), 3), &amp; 5) of these ESC indications for revasc</w:t>
      </w:r>
      <w:r w:rsidR="00466F5B">
        <w:t>ularisation</w:t>
      </w:r>
      <w:r w:rsidRPr="00F9235F">
        <w:t xml:space="preserve"> must in addition have documented ischaemia or be a haemodynamically relevant lesion (FFR &lt;0.80 or </w:t>
      </w:r>
      <w:proofErr w:type="spellStart"/>
      <w:r w:rsidRPr="00F9235F">
        <w:t>iwFR</w:t>
      </w:r>
      <w:proofErr w:type="spellEnd"/>
      <w:r w:rsidRPr="00F9235F">
        <w:t xml:space="preserve"> &lt;0.89)</w:t>
      </w:r>
      <w:r w:rsidR="00B3288C">
        <w:t>.</w:t>
      </w:r>
      <w:r w:rsidR="00466F5B">
        <w:t xml:space="preserve"> </w:t>
      </w:r>
      <w:r w:rsidR="00B3288C">
        <w:t>A lesion</w:t>
      </w:r>
      <w:r w:rsidR="00466F5B">
        <w:t xml:space="preserve"> w</w:t>
      </w:r>
      <w:r w:rsidRPr="00F9235F">
        <w:t>ithout ischaemia must be &gt;90% on angiographic appearance</w:t>
      </w:r>
      <w:r w:rsidR="00B3288C">
        <w:t xml:space="preserve"> to qualify for revascularisation</w:t>
      </w:r>
      <w:r w:rsidRPr="00F9235F">
        <w:t>.</w:t>
      </w:r>
      <w:r w:rsidR="00B3288C">
        <w:t xml:space="preserve"> </w:t>
      </w:r>
      <w:r w:rsidR="00E605B0">
        <w:t>R</w:t>
      </w:r>
      <w:r w:rsidR="00256D86">
        <w:t xml:space="preserve">evascularisation </w:t>
      </w:r>
      <w:r w:rsidR="00E605B0">
        <w:t xml:space="preserve">to improve symptoms </w:t>
      </w:r>
      <w:r w:rsidR="00256D86">
        <w:t xml:space="preserve">is </w:t>
      </w:r>
      <w:r w:rsidR="00EF6ECD">
        <w:t xml:space="preserve">addressed separately </w:t>
      </w:r>
      <w:r w:rsidR="008C1E82">
        <w:t>and is recommended for</w:t>
      </w:r>
      <w:r w:rsidR="00EF6ECD">
        <w:t xml:space="preserve"> haemodynamically significant coronary </w:t>
      </w:r>
      <w:r w:rsidR="008C1E82">
        <w:t>lesions</w:t>
      </w:r>
      <w:r w:rsidR="00EF6ECD">
        <w:t xml:space="preserve"> in the presence of limiting angina</w:t>
      </w:r>
      <w:r w:rsidR="00E87862">
        <w:t>,</w:t>
      </w:r>
      <w:r w:rsidR="00EF6ECD">
        <w:t xml:space="preserve"> or angina equivalent</w:t>
      </w:r>
      <w:r w:rsidR="00E87862">
        <w:t>,</w:t>
      </w:r>
      <w:r w:rsidR="00EF6ECD">
        <w:t xml:space="preserve"> with insuffi</w:t>
      </w:r>
      <w:r w:rsidR="00704815">
        <w:t>ci</w:t>
      </w:r>
      <w:r w:rsidR="00EF6ECD">
        <w:t xml:space="preserve">ent response to </w:t>
      </w:r>
      <w:r w:rsidR="00704815">
        <w:t>optimised</w:t>
      </w:r>
      <w:r w:rsidR="00EF6ECD">
        <w:t xml:space="preserve"> medical therapy(</w:t>
      </w:r>
      <w:r w:rsidR="00CA5ABC">
        <w:t>c</w:t>
      </w:r>
      <w:r w:rsidR="00EF6ECD">
        <w:t xml:space="preserve">lass </w:t>
      </w:r>
      <w:r w:rsidR="00F22023">
        <w:t>I</w:t>
      </w:r>
      <w:r w:rsidR="00EF6ECD">
        <w:t>A).</w:t>
      </w:r>
      <w:r w:rsidR="00F22023">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F22023">
        <w:fldChar w:fldCharType="separate"/>
      </w:r>
      <w:r w:rsidR="00F22023" w:rsidRPr="00F22023">
        <w:rPr>
          <w:noProof/>
          <w:vertAlign w:val="superscript"/>
        </w:rPr>
        <w:t>2</w:t>
      </w:r>
      <w:r w:rsidR="00F22023">
        <w:fldChar w:fldCharType="end"/>
      </w:r>
      <w:r>
        <w:rPr>
          <w:vertAlign w:val="superscript"/>
        </w:rPr>
        <w:t>,</w:t>
      </w:r>
      <w:r w:rsidR="00D36BDE">
        <w:fldChar w:fldCharType="begin" w:fldLock="1"/>
      </w:r>
      <w:r w:rsidR="00CF09A4">
        <w:instrText>ADDIN CSL_CITATION {"citationItems":[{"id":"ITEM-1","itemData":{"DOI":"10.1093/eurheartj/ehz425","ISSN":"1522-9645 (Electronic)","PMID":"31504439","author":[{"dropping-particle":"","family":"Knuuti","given":"Juhani","non-dropping-particle":"","parse-names":false,"suffix":""},{"dropping-particle":"","family":"Wijns","given":"William","non-dropping-particle":"","parse-names":false,"suffix":""},{"dropping-particle":"","family":"Saraste","given":"Antti","non-dropping-particle":"","parse-names":false,"suffix":""},{"dropping-particle":"","family":"Capodanno","given":"Davide","non-dropping-particle":"","parse-names":false,"suffix":""},{"dropping-particle":"","family":"Barbato","given":"Emanuele","non-dropping-particle":"","parse-names":false,"suffix":""},{"dropping-particle":"","family":"Funck-Brentano","given":"Christian","non-dropping-particle":"","parse-names":false,"suffix":""},{"dropping-particle":"","family":"Prescott","given":"Eva","non-dropping-particle":"","parse-names":false,"suffix":""},{"dropping-particle":"","family":"Storey","given":"Robert F","non-dropping-particle":"","parse-names":false,"suffix":""},{"dropping-particle":"","family":"Deaton","given":"Christi","non-dropping-particle":"","parse-names":false,"suffix":""},{"dropping-particle":"","family":"Cuisset","given":"Thomas","non-dropping-particle":"","parse-names":false,"suffix":""},{"dropping-particle":"","family":"Agewall","given":"Stefan","non-dropping-particle":"","parse-names":false,"suffix":""},{"dropping-particle":"","family":"Dickstein","given":"Kenneth","non-dropping-particle":"","parse-names":false,"suffix":""},{"dropping-particle":"","family":"Edvardsen","given":"Thor","non-dropping-particle":"","parse-names":false,"suffix":""},{"dropping-particle":"","family":"Escaned","given":"Javier","non-dropping-particle":"","parse-names":false,"suffix":""},{"dropping-particle":"","family":"Gersh","given":"Bernard J","non-dropping-particle":"","parse-names":false,"suffix":""},{"dropping-particle":"","family":"Svitil","given":"Pavel","non-dropping-particle":"","parse-names":false,"suffix":""},{"dropping-particle":"","family":"Gilard","given":"Martine","non-dropping-particle":"","parse-names":false,"suffix":""},{"dropping-particle":"","family":"Hasdai","given":"David","non-dropping-particle":"","parse-names":false,"suffix":""},{"dropping-particle":"","family":"Hatala","given":"Robert","non-dropping-particle":"","parse-names":false,"suffix":""},{"dropping-particle":"","family":"Mahfoud","given":"Felix","non-dropping-particle":"","parse-names":false,"suffix":""},{"dropping-particle":"","family":"Masip","given":"Josep","non-dropping-particle":"","parse-names":false,"suffix":""},{"dropping-particle":"","family":"Muneretto","given":"Claudio","non-dropping-particle":"","parse-names":false,"suffix":""},{"dropping-particle":"","family":"Valgimigli","given":"Marco","non-dropping-particle":"","parse-names":false,"suffix":""},{"dropping-particle":"","family":"Achenbach","given":"Stephan","non-dropping-particle":"","parse-names":false,"suffix":""},{"dropping-particle":"","family":"Bax","given":"Jeroen J","non-dropping-particle":"","parse-names":false,"suffix":""}],"container-title":"European heart journal","id":"ITEM-1","issue":"3","issued":{"date-parts":[["2020","1"]]},"language":"eng","page":"407-477","publisher-place":"England","title":"2019 ESC Guidelines for the diagnosis and management of chronic coronary  syndromes.","type":"article-journal","volume":"41"},"uris":["http://www.mendeley.com/documents/?uuid=d3c39206-475c-4a1f-a7cd-b4917c87f69e"]}],"mendeley":{"formattedCitation":"&lt;sup&gt;11&lt;/sup&gt;","plainTextFormattedCitation":"11","previouslyFormattedCitation":"&lt;sup&gt;11&lt;/sup&gt;"},"properties":{"noteIndex":0},"schema":"https://github.com/citation-style-language/schema/raw/master/csl-citation.json"}</w:instrText>
      </w:r>
      <w:r w:rsidR="00D36BDE">
        <w:fldChar w:fldCharType="separate"/>
      </w:r>
      <w:r w:rsidR="00CF09A4" w:rsidRPr="00CF09A4">
        <w:rPr>
          <w:noProof/>
          <w:vertAlign w:val="superscript"/>
        </w:rPr>
        <w:t>11</w:t>
      </w:r>
      <w:r w:rsidR="00D36BDE">
        <w:fldChar w:fldCharType="end"/>
      </w:r>
      <w:r w:rsidR="00433216">
        <w:t xml:space="preserve"> </w:t>
      </w:r>
    </w:p>
    <w:p w14:paraId="1B659FA2" w14:textId="77777777" w:rsidR="00B3288C" w:rsidRDefault="00B3288C" w:rsidP="005E5F22">
      <w:pPr>
        <w:spacing w:line="360" w:lineRule="auto"/>
      </w:pPr>
    </w:p>
    <w:p w14:paraId="13E3F04B" w14:textId="006EE492" w:rsidR="00D3419F" w:rsidRDefault="002A5E6B" w:rsidP="005E5F22">
      <w:pPr>
        <w:spacing w:line="360" w:lineRule="auto"/>
      </w:pPr>
      <w:r>
        <w:t>Recently, the UK REVIVED-BCIS2 trial, which evaluated the efficacy of PCI compared to OMT for patients with ischaemic EF&lt;35% has been reported. Over a median follow-up of 41months, event rates were high (37.2% PCI group vs 38.0% OMT; p=0.96) but not different between groups and</w:t>
      </w:r>
      <w:r w:rsidR="001369E3">
        <w:t>,</w:t>
      </w:r>
      <w:r>
        <w:t xml:space="preserve"> notably</w:t>
      </w:r>
      <w:r w:rsidR="001369E3">
        <w:t xml:space="preserve">, the </w:t>
      </w:r>
      <w:r>
        <w:t>change</w:t>
      </w:r>
      <w:r w:rsidR="001369E3">
        <w:t xml:space="preserve"> in left ventricular ejection fraction</w:t>
      </w:r>
      <w:r>
        <w:t xml:space="preserve"> was also not significant. Future guidelines will likely incorporate these findings into their recommendations.</w:t>
      </w:r>
      <w:r w:rsidR="00CF09A4">
        <w:fldChar w:fldCharType="begin" w:fldLock="1"/>
      </w:r>
      <w:r w:rsidR="004C7AC4">
        <w:instrText>ADDIN CSL_CITATION {"citationItems":[{"id":"ITEM-1","itemData":{"DOI":"10.1016/j.jchf.2018.01.024","ISSN":"2213-1787 (Electronic)","PMID":"29852933","abstract":"OBJECTIVES: Evaluate whether PCI in combination with optimal medical therapy  (OMT) will reduce all-cause death and hospitalization for HF compared to a strategy of OMT alone. BACKGROUND: Ischemic cardiomyopathy (ICM) is the most common cause of heart failure (HF) and is associated with significant mortality and morbidity. Surgical revascularization has been shown to improve long-term outcomes in some patients, but surgery itself carries a major early hazard. Percutaneous coronary intervention (PCI) may allow a better balance between risk and benefit. METHODS: REVIVED-BCIS2 is a prospective, multi-center, open-label, randomized controlled trial, funded by the National Institute for Health Research in the United Kingdom. Follow-up will be for at least 2 years from randomization. Secondary outcomes include left ventricular ejection fraction (LVEF), quality of life scores, appropriate implantable cardioverter defibrillator therapy and acute myocardial infarction. Patients with LVEF ≤35%, extensive coronary disease and demonstrable myocardial viability are eligible for inclusion and those with a myocardial infarction within 4 weeks, decompensated HF or sustained ventricular arrhythmias within 72 h are excluded. A trial of 700 patients has more than 85% power to detect a 30% relative reduction in hazard. RESULTS: A total of 400 patients have been enrolled to date. CONCLUSIONS: International guidelines do not provide firm recommendations on the role of PCI in managing severe ICM, because of a lack of robust evidence. REVIVED-BCIS2 will provide the first randomized data on the efficacy and safety of PCI in ICM and has the potential to inform guidelines pertaining to both revascularization and HF. (Study of Efficacy and Safety of Percutaneous Coronary Intervention to Improve Survival in Heart Failure [REVIVED-BCIS2]; NCT01920048) (REVascularisation for Ischaemic VEntricular Dysfunction; ISRCTN45979711).","author":[{"dropping-particle":"","family":"Perera","given":"Divaka","non-dropping-particle":"","parse-names":false,"suffix":""},{"dropping-particle":"","family":"Clayton","given":"Tim","non-dropping-particle":"","parse-names":false,"suffix":""},{"dropping-particle":"","family":"Petrie","given":"Mark C","non-dropping-particle":"","parse-names":false,"suffix":""},{"dropping-particle":"","family":"Greenwood","given":"John P","non-dropping-particle":"","parse-names":false,"suffix":""},{"dropping-particle":"","family":"O'Kane","given":"Peter D","non-dropping-particle":"","parse-names":false,"suffix":""},{"dropping-particle":"","family":"Evans","given":"Richard","non-dropping-particle":"","parse-names":false,"suffix":""},{"dropping-particle":"","family":"Sculpher","given":"Mark","non-dropping-particle":"","parse-names":false,"suffix":""},{"dropping-particle":"","family":"Mcdonagh","given":"Theresa","non-dropping-particle":"","parse-names":false,"suffix":""},{"dropping-particle":"","family":"Gershlick","given":"Anthony","non-dropping-particle":"","parse-names":false,"suffix":""},{"dropping-particle":"","family":"Belder","given":"Mark","non-dropping-particle":"de","parse-names":false,"suffix":""},{"dropping-particle":"","family":"Redwood","given":"Simon","non-dropping-particle":"","parse-names":false,"suffix":""},{"dropping-particle":"","family":"Carr-White","given":"Gerald","non-dropping-particle":"","parse-names":false,"suffix":""},{"dropping-particle":"","family":"Marber","given":"Michael","non-dropping-particle":"","parse-names":false,"suffix":""}],"container-title":"JACC. Heart failure","id":"ITEM-1","issue":"6","issued":{"date-parts":[["2018","6"]]},"language":"eng","page":"517-526","publisher-place":"United States","title":"Percutaneous Revascularization for Ischemic Ventricular Dysfunction: Rationale  and Design of the REVIVED-BCIS2 Trial: Percutaneous Coronary Intervention for Ischemic Cardiomyopathy.","type":"article-journal","volume":"6"},"uris":["http://www.mendeley.com/documents/?uuid=5e470bf8-5390-4fc3-b383-d1f5fafa7ac2"]}],"mendeley":{"formattedCitation":"&lt;sup&gt;12&lt;/sup&gt;","plainTextFormattedCitation":"12","previouslyFormattedCitation":"&lt;sup&gt;12&lt;/sup&gt;"},"properties":{"noteIndex":0},"schema":"https://github.com/citation-style-language/schema/raw/master/csl-citation.json"}</w:instrText>
      </w:r>
      <w:r w:rsidR="00CF09A4">
        <w:fldChar w:fldCharType="separate"/>
      </w:r>
      <w:r w:rsidR="00CF09A4" w:rsidRPr="00CF09A4">
        <w:rPr>
          <w:noProof/>
          <w:vertAlign w:val="superscript"/>
        </w:rPr>
        <w:t>12</w:t>
      </w:r>
      <w:r w:rsidR="00CF09A4">
        <w:fldChar w:fldCharType="end"/>
      </w:r>
    </w:p>
    <w:p w14:paraId="2A862C6A" w14:textId="77777777" w:rsidR="00B03BF4" w:rsidRDefault="00B03BF4" w:rsidP="005E5F22">
      <w:pPr>
        <w:spacing w:line="360" w:lineRule="auto"/>
      </w:pPr>
    </w:p>
    <w:p w14:paraId="786296B3" w14:textId="77777777" w:rsidR="00704815" w:rsidRPr="00BC72C4" w:rsidRDefault="00704815" w:rsidP="005E5F22">
      <w:pPr>
        <w:spacing w:line="360" w:lineRule="auto"/>
        <w:rPr>
          <w:i/>
          <w:iCs/>
        </w:rPr>
      </w:pPr>
      <w:r w:rsidRPr="00BC72C4">
        <w:rPr>
          <w:i/>
          <w:iCs/>
        </w:rPr>
        <w:t>PCI versus CABG</w:t>
      </w:r>
    </w:p>
    <w:p w14:paraId="584835F2" w14:textId="4D429514" w:rsidR="00712C79" w:rsidRDefault="00704815" w:rsidP="005E5F22">
      <w:pPr>
        <w:spacing w:line="360" w:lineRule="auto"/>
      </w:pPr>
      <w:r>
        <w:t xml:space="preserve">NICE guidelines </w:t>
      </w:r>
      <w:r w:rsidR="005D4DE8">
        <w:t xml:space="preserve">stress </w:t>
      </w:r>
      <w:r>
        <w:t xml:space="preserve">the importance of </w:t>
      </w:r>
      <w:r w:rsidR="00C161B1">
        <w:t xml:space="preserve">regular </w:t>
      </w:r>
      <w:r>
        <w:t xml:space="preserve">Heart Team </w:t>
      </w:r>
      <w:r w:rsidRPr="0099063E">
        <w:t>meeting</w:t>
      </w:r>
      <w:r>
        <w:t>s</w:t>
      </w:r>
      <w:r w:rsidRPr="0099063E">
        <w:t xml:space="preserve"> to discuss the risks and benefits of drug treatment </w:t>
      </w:r>
      <w:r w:rsidR="00C92B2A">
        <w:t xml:space="preserve">alone </w:t>
      </w:r>
      <w:r w:rsidR="003255DD">
        <w:t>and/</w:t>
      </w:r>
      <w:r w:rsidRPr="0099063E">
        <w:t xml:space="preserve">or </w:t>
      </w:r>
      <w:r w:rsidR="003255DD">
        <w:t xml:space="preserve">define the </w:t>
      </w:r>
      <w:r w:rsidRPr="0099063E">
        <w:t>revascularisation strateg</w:t>
      </w:r>
      <w:r w:rsidR="00771E8F">
        <w:t>y</w:t>
      </w:r>
      <w:r w:rsidRPr="0099063E">
        <w:t>.</w:t>
      </w:r>
      <w:r w:rsidR="00D36BDE">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D36BDE">
        <w:fldChar w:fldCharType="separate"/>
      </w:r>
      <w:r w:rsidR="00D36BDE" w:rsidRPr="00D36BDE">
        <w:rPr>
          <w:noProof/>
          <w:vertAlign w:val="superscript"/>
        </w:rPr>
        <w:t>2</w:t>
      </w:r>
      <w:r w:rsidR="00D36BDE">
        <w:fldChar w:fldCharType="end"/>
      </w:r>
      <w:r>
        <w:t xml:space="preserve"> </w:t>
      </w:r>
      <w:r w:rsidR="00B03BF4" w:rsidRPr="00AE288A">
        <w:t>In symptomatic patients in whom either CABG or PCI</w:t>
      </w:r>
      <w:r w:rsidR="00AE288A">
        <w:t xml:space="preserve"> </w:t>
      </w:r>
      <w:r w:rsidR="00B03BF4" w:rsidRPr="00AE288A">
        <w:t>might be appropriate,</w:t>
      </w:r>
      <w:r w:rsidR="00AE288A">
        <w:t xml:space="preserve"> </w:t>
      </w:r>
      <w:r w:rsidR="00B03BF4" w:rsidRPr="00AE288A">
        <w:t>NICE recommends that the risks and benefits of</w:t>
      </w:r>
      <w:r w:rsidR="00AE288A">
        <w:t xml:space="preserve"> </w:t>
      </w:r>
      <w:r w:rsidR="00B03BF4" w:rsidRPr="00AE288A">
        <w:t xml:space="preserve">PCI and CABG are explained </w:t>
      </w:r>
      <w:r w:rsidR="00F3085F">
        <w:t xml:space="preserve">to the patient </w:t>
      </w:r>
      <w:r w:rsidR="00B03BF4" w:rsidRPr="00AE288A">
        <w:t xml:space="preserve">and, if no preference </w:t>
      </w:r>
      <w:r w:rsidR="00B03BF4" w:rsidRPr="00AE288A">
        <w:lastRenderedPageBreak/>
        <w:t>is</w:t>
      </w:r>
      <w:r w:rsidR="00AE288A">
        <w:t xml:space="preserve"> </w:t>
      </w:r>
      <w:r w:rsidR="00B03BF4" w:rsidRPr="00AE288A">
        <w:t>expressed, the evidence which suggests that PCI</w:t>
      </w:r>
      <w:r w:rsidR="00AE288A">
        <w:t xml:space="preserve"> </w:t>
      </w:r>
      <w:r w:rsidR="00B03BF4" w:rsidRPr="00AE288A">
        <w:t xml:space="preserve">may be the more cost-effective procedure </w:t>
      </w:r>
      <w:r w:rsidR="005D4DE8">
        <w:t>should be</w:t>
      </w:r>
      <w:r w:rsidR="00B03BF4" w:rsidRPr="00AE288A">
        <w:t xml:space="preserve"> </w:t>
      </w:r>
      <w:r w:rsidR="00C06845" w:rsidRPr="00AE288A">
        <w:t>considered</w:t>
      </w:r>
      <w:r w:rsidR="00B03BF4" w:rsidRPr="00AE288A">
        <w:t xml:space="preserve"> </w:t>
      </w:r>
      <w:r w:rsidR="005D4DE8">
        <w:t>when</w:t>
      </w:r>
      <w:r w:rsidR="00B03BF4" w:rsidRPr="00AE288A">
        <w:t xml:space="preserve"> </w:t>
      </w:r>
      <w:r w:rsidR="005D4DE8">
        <w:t>deciding</w:t>
      </w:r>
      <w:r w:rsidR="00B03BF4" w:rsidRPr="00AE288A">
        <w:t>.</w:t>
      </w:r>
      <w:r w:rsidR="00256D86" w:rsidRPr="00256D86">
        <w:t xml:space="preserve"> </w:t>
      </w:r>
      <w:r w:rsidR="00D36BDE">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D36BDE">
        <w:fldChar w:fldCharType="separate"/>
      </w:r>
      <w:r w:rsidR="00D36BDE" w:rsidRPr="00D36BDE">
        <w:rPr>
          <w:noProof/>
          <w:vertAlign w:val="superscript"/>
        </w:rPr>
        <w:t>2</w:t>
      </w:r>
      <w:r w:rsidR="00D36BDE">
        <w:fldChar w:fldCharType="end"/>
      </w:r>
      <w:r w:rsidR="00F3085F">
        <w:t xml:space="preserve">  As with all such guidelines, some of the most recent data(in this case comparing PCI and CABG)</w:t>
      </w:r>
      <w:r w:rsidR="00925675">
        <w:fldChar w:fldCharType="begin" w:fldLock="1"/>
      </w:r>
      <w:r w:rsidR="00925675">
        <w:instrText>ADDIN CSL_CITATION {"citationItems":[{"id":"ITEM-1","itemData":{"DOI":"10.1161/CIRCULATIONAHA.120.048194","ISSN":"1524-4539 (Electronic)","PMID":"32794407","abstract":"BACKGROUND: Revascularization is often performed in patients with stable ischemic  heart disease. However, whether revascularization reduces death and other cardiovascular outcomes is uncertain. METHODS: We conducted PUBMED/EMBASE/Cochrane Central Register of Controlled Trials searches for randomized trials comparing routine revascularization versus an initial conservative strategy in patients with stable ischemic heart disease. The primary outcome was death. Secondary outcomes were cardiovascular death, myocardial infarction (MI), heart failure, stroke, unstable angina, and freedom from angina. Trials were stratified by percent stent use and by percent statin use to evaluate outcomes in contemporary trials. RESULTS: Fourteen randomized clinical trials that enrolled 14 877 patients followed up for a weighted mean of 4.5 years with 64 678 patient-years of follow-up fulfilled our inclusion criteria. Most trials enrolled patients with preserved left ventricular systolic function and low symptom burden, and excluded patients with left main disease. Revascularization compared with medical therapy alone was not associated with a reduced risk of death (relative risk [RR], 0.99 [95% CI, 0.90-1.09]). Trial sequential analysis showed that the cumulative z-curve crossed the futility boundary, indicating firm evidence for lack of a 10% or greater reduction in death. Revascularization was associated with a reduced nonprocedural MI (RR, 0.76 [95% CI, 0.67-0.85]) but also with increased procedural MI (RR, 2.48 [95% CI, 1.86-3.31]) with no difference in overall MI (RR, 0.93 [95% CI, 0.83-1.03]). A significant reduction in unstable angina (RR, 0.64 [95% CI, 0.45-0.92]) and increase in freedom from angina (RR, 1.10 [95% CI, 1.05-1.15]) was also observed with revascularization. There were no treatment-related differences in the risk of heart failure or stroke. CONCLUSIONS: In patients with stable ischemic heart disease, routine revascularization was not associated with improved survival but was associated with a lower risk of nonprocedural MI and unstable angina with greater freedom from angina at the expense of higher rates of procedural MI. Longer-term follow-up of trials is needed to assess whether reduction in these nonfatal spontaneous events improves long-term survival.","author":[{"dropping-particle":"","family":"Bangalore","given":"Sripal","non-dropping-particle":"","parse-names":false,"suffix":""},{"dropping-particle":"","family":"Maron","given":"David J","non-dropping-particle":"","parse-names":false,"suffix":""},{"dropping-particle":"","family":"Stone","given":"Gregg W","non-dropping-particle":"","parse-names":false,"suffix":""},{"dropping-particle":"","family":"Hochman","given":"Judith S","non-dropping-particle":"","parse-names":false,"suffix":""}],"container-title":"Circulation","id":"ITEM-1","issue":"9","issued":{"date-parts":[["2020","9"]]},"language":"eng","page":"841-857","publisher-place":"United States","title":"Routine Revascularization Versus Initial Medical Therapy for Stable Ischemic  Heart Disease: A Systematic Review and Meta-Analysis of Randomized Trials.","type":"article-journal","volume":"142"},"uris":["http://www.mendeley.com/documents/?uuid=16a24358-7ebd-48ad-b7b1-4325c8ccec71"]},{"id":"ITEM-2","itemData":{"DOI":"10.1016/S0140-6736(17)32714-9","ISSN":"1474-547X (Electronic)","PMID":"29103656","abstract":"BACKGROUND: Symptomatic relief is the primary goal of percutaneous coronary  intervention (PCI) in stable angina and is commonly observed clinically. However, there is no evidence from blinded, placebo-controlled randomised trials to show its efficacy. METHODS: ORBITA is a blinded, multicentre randomised trial of PCI versus a placebo procedure for angina relief that was done at five study sites in the UK. We enrolled patients with severe (≥70%) single-vessel stenoses. After enrolment, patients received 6 weeks of medication optimisation. Patients then had pre-randomisation assessments with cardiopulmonary exercise testing, symptom questionnaires, and dobutamine stress echocardiography. Patients were randomised 1:1 to undergo PCI or a placebo procedure by use of an automated online randomisation tool. After 6 weeks of follow-up, the assessments done before randomisation were repeated at the final assessment. The primary endpoint was difference in exercise time increment between groups. All analyses were based on the intention-to-treat principle and the study population contained all participants who underwent randomisation. This study is registered with ClinicalTrials.gov, number NCT02062593. FINDINGS: ORBITA enrolled 230 patients with ischaemic symptoms. After the medication optimisation phase and between Jan 6, 2014, and Aug 11, 2017, 200 patients underwent randomisation, with 105 patients assigned PCI and 95 assigned the placebo procedure. Lesions had mean area stenosis of 84·4% (SD 10·2), fractional flow reserve of 0·69 (0·16), and instantaneous wave-free ratio of 0·76 (0·22). There was no significant difference in the primary endpoint of exercise time increment between groups (PCI minus placebo 16·6 s, 95% CI -8·9 to 42·0, p=0·200). There were no deaths. Serious adverse events included four pressure-wire related complications in the placebo group, which required PCI, and five major bleeding events, including two in the PCI group and three in the placebo group. INTERPRETATION: In patients with medically treated angina and severe coronary stenosis, PCI did not increase exercise time by more than the effect of a placebo procedure. The efficacy of invasive procedures can be assessed with a placebo control, as is standard for pharmacotherapy. FUNDING: NIHR Imperial Biomedical Research Centre, Foundation for Circulatory Health, Imperial College Healthcare Charity, Philips Volcano, NIHR Barts Biomedical Research Centre.","author":[{"dropping-particle":"","family":"Al-Lamee","given":"Rasha","non-dropping-particle":"","parse-names":false,"suffix":""},{"dropping-particle":"","family":"Thompson","given":"David","non-dropping-particle":"","parse-names":false,"suffix":""},{"dropping-particle":"","family":"Dehbi","given":"Hakim-Moulay","non-dropping-particle":"","parse-names":false,"suffix":""},{"dropping-particle":"","family":"Sen","given":"Sayan","non-dropping-particle":"","parse-names":false,"suffix":""},{"dropping-particle":"","family":"Tang","given":"Kare","non-dropping-particle":"","parse-names":false,"suffix":""},{"dropping-particle":"","family":"Davies","given":"John","non-dropping-particle":"","parse-names":false,"suffix":""},{"dropping-particle":"","family":"Keeble","given":"Thomas","non-dropping-particle":"","parse-names":false,"suffix":""},{"dropping-particle":"","family":"Mielewczik","given":"Michael","non-dropping-particle":"","parse-names":false,"suffix":""},{"dropping-particle":"","family":"Kaprielian","given":"Raffi","non-dropping-particle":"","parse-names":false,"suffix":""},{"dropping-particle":"","family":"Malik","given":"Iqbal S","non-dropping-particle":"","parse-names":false,"suffix":""},{"dropping-particle":"","family":"Nijjer","given":"Sukhjinder S","non-dropping-particle":"","parse-names":false,"suffix":""},{"dropping-particle":"","family":"Petraco","given":"Ricardo","non-dropping-particle":"","parse-names":false,"suffix":""},{"dropping-particle":"","family":"Cook","given":"Christopher","non-dropping-particle":"","parse-names":false,"suffix":""},{"dropping-particle":"","family":"Ahmad","given":"Yousif","non-dropping-particle":"","parse-names":false,"suffix":""},{"dropping-particle":"","family":"Howard","given":"James","non-dropping-particle":"","parse-names":false,"suffix":""},{"dropping-particle":"","family":"Baker","given":"Christopher","non-dropping-particle":"","parse-names":false,"suffix":""},{"dropping-particle":"","family":"Sharp","given":"Andrew","non-dropping-particle":"","parse-names":false,"suffix":""},{"dropping-particle":"","family":"Gerber","given":"Robert","non-dropping-particle":"","parse-names":false,"suffix":""},{"dropping-particle":"","family":"Talwar","given":"Suneel","non-dropping-particle":"","parse-names":false,"suffix":""},{"dropping-particle":"","family":"Assomull","given":"Ravi","non-dropping-particle":"","parse-names":false,"suffix":""},{"dropping-particle":"","family":"Mayet","given":"Jamil","non-dropping-particle":"","parse-names":false,"suffix":""},{"dropping-particle":"","family":"Wensel","given":"Roland","non-dropping-particle":"","parse-names":false,"suffix":""},{"dropping-particle":"","family":"Collier","given":"David","non-dropping-particle":"","parse-names":false,"suffix":""},{"dropping-particle":"","family":"Shun-Shin","given":"Matthew","non-dropping-particle":"","parse-names":false,"suffix":""},{"dropping-particle":"","family":"Thom","given":"Simon A","non-dropping-particle":"","parse-names":false,"suffix":""},{"dropping-particle":"","family":"Davies","given":"Justin E","non-dropping-particle":"","parse-names":false,"suffix":""},{"dropping-particle":"","family":"Francis","given":"Darrel P","non-dropping-particle":"","parse-names":false,"suffix":""}],"container-title":"Lancet (London, England)","id":"ITEM-2","issue":"10115","issued":{"date-parts":[["2018","1"]]},"language":"eng","page":"31-40","publisher-place":"England","title":"Percutaneous coronary intervention in stable angina (ORBITA): a double-blind,  randomised controlled trial.","type":"article-journal","volume":"391"},"uris":["http://www.mendeley.com/documents/?uuid=d987f88c-3b2d-4681-b22d-6d0c11bb55b8"]}],"mendeley":{"formattedCitation":"&lt;sup&gt;3,4&lt;/sup&gt;","plainTextFormattedCitation":"3,4","previouslyFormattedCitation":"&lt;sup&gt;3,4&lt;/sup&gt;"},"properties":{"noteIndex":0},"schema":"https://github.com/citation-style-language/schema/raw/master/csl-citation.json"}</w:instrText>
      </w:r>
      <w:r w:rsidR="00925675">
        <w:fldChar w:fldCharType="separate"/>
      </w:r>
      <w:r w:rsidR="00925675" w:rsidRPr="00C97068">
        <w:rPr>
          <w:noProof/>
          <w:vertAlign w:val="superscript"/>
        </w:rPr>
        <w:t>3,4</w:t>
      </w:r>
      <w:r w:rsidR="00925675">
        <w:fldChar w:fldCharType="end"/>
      </w:r>
      <w:r w:rsidR="00925675">
        <w:t xml:space="preserve"> </w:t>
      </w:r>
      <w:r w:rsidR="00F3085F">
        <w:t xml:space="preserve"> are not included</w:t>
      </w:r>
      <w:r w:rsidR="00E13428">
        <w:t xml:space="preserve"> and </w:t>
      </w:r>
      <w:r w:rsidR="00925675">
        <w:t xml:space="preserve">regarding cost-effectiveness </w:t>
      </w:r>
      <w:r w:rsidR="00E13428">
        <w:t>indicate that CABG may have relative cost benefits over PCI</w:t>
      </w:r>
      <w:r w:rsidR="00F3085F">
        <w:t>.</w:t>
      </w:r>
      <w:r w:rsidR="00925675">
        <w:fldChar w:fldCharType="begin" w:fldLock="1"/>
      </w:r>
      <w:r w:rsidR="003E5A16">
        <w:instrText>ADDIN CSL_CITATION {"citationItems":[{"id":"ITEM-1","itemData":{"DOI":"10.1161/CIRCINTERVENTIONS.122.011981","ISSN":"1941-7632 (Electronic)","PMID":"35861797","abstract":"BACKGROUND: The EXCEL trial (Evaluation of XIENCE Versus Coronary Artery Bypass  Surgery for Effectiveness of Left Main Revascularization) demonstrated in patients with left main coronary artery disease, no significant difference between coronary artery bypass graft surgery (CABG) and percutaneous coronary intervention (PCI) with everolimus-eluting stents for the composite end point of death, stroke, or myocardial infarction at 5 years. However, all-cause mortality at 5 years was higher with PCI. Long-term cost-effectiveness of these 2 strategies has heretofore not been evaluated. METHODS: From 2010 to 2014, 1905 patients with left main coronary artery disease were randomized to CABG (n=957) or PCI (n=948). Costs ($2019) were assessed over 5 years using resource-based costing and Medicare reimbursement rates. Health utilities were assessed using the EuroQOL 5-dimension questionnaire. Five-year EXCEL data in combination with US lifetables were used to develop a Markov model to evaluate lifetime cost-effectiveness. An incremental cost-effectiveness ratio &lt;$50 000 per quality-adjusted life year (QALY) gained was considered highly cost-effective. RESULTS: Index revascularization procedure costs were $4,850/patient higher with CABG, and total costs for the index hospitalization were $17 610/patient higher with CABG ($32 297 versus $19 687, P&lt;0.001). Cumulative 5-year costs were $20 449/patient higher with CABG. CABG was projected to increase lifetime costs by $21 551 while increasing quality-adjusted life expectancy by 0.49 QALYs, yielding an incremental cost-effectiveness ratio of $44 235/QALY. In a post hoc sensitivity analysis using mortality hazard ratios from a meta-analysis of all randomized CABG versus PCI in left main disease trials, the gain associated with CABG was 0.08 to 0.14 QALYs, resulting in an incremental cost-effectiveness ratio of $139 775 to $232 710/QALY gained. CONCLUSIONS: Based on data from the EXCEL trial, CABG is an economically attractive revascularization strategy compared with PCI over a lifetime horizon for patients with significant left main coronary artery disease. However, this conclusion is sensitive to the long-term mortality rates with the 2 strategies, and CABG is no longer highly cost-effective when substituting the pooled treatment effect from the 4 major PCI versus CABG trials for left main disease. REGISTRATION: URL: https://www. CLINICALTRIALS: gov; Unique identifier: NCT01205776.","author":[{"dropping-particle":"","family":"Magnuson","given":"Elizabeth A","non-dropping-particle":"","parse-names":false,"suffix":""},{"dropping-particle":"","family":"Chinnakondepalli","given":"Khaja","non-dropping-particle":"","parse-names":false,"suffix":""},{"dropping-particle":"","family":"Vilain","given":"Katherine","non-dropping-particle":"","parse-names":false,"suffix":""},{"dropping-particle":"","family":"Serruys","given":"Patrick W","non-dropping-particle":"","parse-names":false,"suffix":""},{"dropping-particle":"","family":"Sabik","given":"Joseph F","non-dropping-particle":"","parse-names":false,"suffix":""},{"dropping-particle":"","family":"Kappetein","given":"A Pieter","non-dropping-particle":"","parse-names":false,"suffix":""},{"dropping-particle":"","family":"Stone","given":"Gregg W","non-dropping-particle":"","parse-names":false,"suffix":""},{"dropping-particle":"","family":"Cohen","given":"David J","non-dropping-particle":"","parse-names":false,"suffix":""}],"container-title":"Circulation. Cardiovascular interventions","id":"ITEM-1","issue":"7","issued":{"date-parts":[["2022","7"]]},"language":"eng","page":"e011981","publisher-place":"United States","title":"Cost-Effectiveness of Percutaneous Coronary Intervention Versus Bypass Surgery  for Patients With Left Main Disease: Results From the EXCEL Trial.","type":"article-journal","volume":"15"},"uris":["http://www.mendeley.com/documents/?uuid=018d3ea6-9269-4cd9-bd8c-2293261b0c1e"]}],"mendeley":{"formattedCitation":"&lt;sup&gt;13&lt;/sup&gt;","plainTextFormattedCitation":"13","previouslyFormattedCitation":"&lt;sup&gt;13&lt;/sup&gt;"},"properties":{"noteIndex":0},"schema":"https://github.com/citation-style-language/schema/raw/master/csl-citation.json"}</w:instrText>
      </w:r>
      <w:r w:rsidR="00925675">
        <w:fldChar w:fldCharType="separate"/>
      </w:r>
      <w:r w:rsidR="00925675" w:rsidRPr="00925675">
        <w:rPr>
          <w:noProof/>
          <w:vertAlign w:val="superscript"/>
        </w:rPr>
        <w:t>13</w:t>
      </w:r>
      <w:r w:rsidR="00925675">
        <w:fldChar w:fldCharType="end"/>
      </w:r>
      <w:r w:rsidR="00C97068">
        <w:t xml:space="preserve"> </w:t>
      </w:r>
    </w:p>
    <w:p w14:paraId="3C561C5B" w14:textId="77777777" w:rsidR="00712C79" w:rsidRDefault="00712C79" w:rsidP="005E5F22">
      <w:pPr>
        <w:spacing w:line="360" w:lineRule="auto"/>
      </w:pPr>
    </w:p>
    <w:p w14:paraId="24A5923E" w14:textId="1170DF4A" w:rsidR="00EC17B9" w:rsidRDefault="00256D86" w:rsidP="005E5F22">
      <w:pPr>
        <w:spacing w:line="360" w:lineRule="auto"/>
      </w:pPr>
      <w:r w:rsidRPr="00F27A39">
        <w:t xml:space="preserve">Regarding multivessel disease, </w:t>
      </w:r>
      <w:r w:rsidR="00F3085F">
        <w:t xml:space="preserve">it is recommended that </w:t>
      </w:r>
      <w:r w:rsidRPr="00F27A39">
        <w:t xml:space="preserve">the potential survival benefit of CABG should be taken into account in patients with diabetes, </w:t>
      </w:r>
      <w:r>
        <w:t>a</w:t>
      </w:r>
      <w:r w:rsidRPr="00F27A39">
        <w:t>ge&gt;65, and anatomical</w:t>
      </w:r>
      <w:r w:rsidR="0074755E">
        <w:t xml:space="preserve"> three vessel disease</w:t>
      </w:r>
      <w:r w:rsidRPr="00F27A39">
        <w:t xml:space="preserve"> </w:t>
      </w:r>
      <w:r w:rsidR="0074755E">
        <w:t>(</w:t>
      </w:r>
      <w:r w:rsidRPr="00F27A39">
        <w:t>3VD</w:t>
      </w:r>
      <w:r w:rsidR="0074755E">
        <w:t>)</w:t>
      </w:r>
      <w:r w:rsidRPr="00F27A39">
        <w:t xml:space="preserve"> with or without involvement of left main stem.</w:t>
      </w:r>
      <w:r w:rsidR="00D36BDE">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D36BDE">
        <w:fldChar w:fldCharType="separate"/>
      </w:r>
      <w:r w:rsidR="00D36BDE" w:rsidRPr="00D36BDE">
        <w:rPr>
          <w:noProof/>
          <w:vertAlign w:val="superscript"/>
        </w:rPr>
        <w:t>2</w:t>
      </w:r>
      <w:r w:rsidR="00D36BDE">
        <w:fldChar w:fldCharType="end"/>
      </w:r>
      <w:r w:rsidRPr="00F27A39">
        <w:t xml:space="preserve"> CABG is also preferred for left main/prox</w:t>
      </w:r>
      <w:r w:rsidR="00084B55">
        <w:t>imal</w:t>
      </w:r>
      <w:r w:rsidRPr="00F27A39">
        <w:t xml:space="preserve"> 3VD.</w:t>
      </w:r>
      <w:r w:rsidR="00D36BDE">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D36BDE">
        <w:fldChar w:fldCharType="separate"/>
      </w:r>
      <w:r w:rsidR="00D36BDE" w:rsidRPr="00D36BDE">
        <w:rPr>
          <w:noProof/>
          <w:vertAlign w:val="superscript"/>
        </w:rPr>
        <w:t>2</w:t>
      </w:r>
      <w:r w:rsidR="00D36BDE">
        <w:fldChar w:fldCharType="end"/>
      </w:r>
      <w:r w:rsidRPr="00F27A39">
        <w:t xml:space="preserve"> </w:t>
      </w:r>
      <w:r w:rsidR="0074755E">
        <w:t>In contrast to NICE, PCI or CABG is recommended in the ESC guidelines for one-vessel CAD with proximal LAD stenosis(class IA).</w:t>
      </w:r>
      <w:r w:rsidR="0074755E">
        <w:fldChar w:fldCharType="begin" w:fldLock="1"/>
      </w:r>
      <w:r w:rsidR="0074755E">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74755E">
        <w:fldChar w:fldCharType="separate"/>
      </w:r>
      <w:r w:rsidR="0074755E" w:rsidRPr="00D36BDE">
        <w:rPr>
          <w:noProof/>
          <w:vertAlign w:val="superscript"/>
        </w:rPr>
        <w:t>6</w:t>
      </w:r>
      <w:r w:rsidR="0074755E">
        <w:fldChar w:fldCharType="end"/>
      </w:r>
      <w:r w:rsidR="0074755E">
        <w:t xml:space="preserve"> </w:t>
      </w:r>
      <w:r w:rsidR="0074755E" w:rsidRPr="00F27A39">
        <w:rPr>
          <w:color w:val="222122"/>
        </w:rPr>
        <w:t>CABG is</w:t>
      </w:r>
      <w:r w:rsidR="0074755E">
        <w:rPr>
          <w:color w:val="222122"/>
        </w:rPr>
        <w:t xml:space="preserve"> also</w:t>
      </w:r>
      <w:r w:rsidR="0074755E" w:rsidRPr="00F27A39">
        <w:rPr>
          <w:color w:val="222122"/>
        </w:rPr>
        <w:t xml:space="preserve"> recommended to improve survival(class 1B) in stable patients with multivessel CAD and severe</w:t>
      </w:r>
      <w:r w:rsidR="0074755E">
        <w:rPr>
          <w:color w:val="222122"/>
        </w:rPr>
        <w:t xml:space="preserve"> ischaemic</w:t>
      </w:r>
      <w:r w:rsidR="0074755E" w:rsidRPr="00F27A39">
        <w:rPr>
          <w:color w:val="222122"/>
        </w:rPr>
        <w:t xml:space="preserve"> left ventricular systolic dysfunction(LVEF</w:t>
      </w:r>
      <w:r w:rsidR="0074755E" w:rsidRPr="00F27A39">
        <w:t>≤</w:t>
      </w:r>
      <w:r w:rsidR="0074755E" w:rsidRPr="00F27A39">
        <w:rPr>
          <w:color w:val="222122"/>
        </w:rPr>
        <w:t>35%).</w:t>
      </w:r>
      <w:r w:rsidR="0074755E">
        <w:rPr>
          <w:color w:val="222122"/>
        </w:rPr>
        <w:fldChar w:fldCharType="begin" w:fldLock="1"/>
      </w:r>
      <w:r w:rsidR="0074755E">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74755E">
        <w:rPr>
          <w:color w:val="222122"/>
        </w:rPr>
        <w:fldChar w:fldCharType="separate"/>
      </w:r>
      <w:r w:rsidR="0074755E" w:rsidRPr="00D36BDE">
        <w:rPr>
          <w:noProof/>
          <w:color w:val="222122"/>
          <w:vertAlign w:val="superscript"/>
        </w:rPr>
        <w:t>6</w:t>
      </w:r>
      <w:r w:rsidR="0074755E">
        <w:rPr>
          <w:color w:val="222122"/>
        </w:rPr>
        <w:fldChar w:fldCharType="end"/>
      </w:r>
    </w:p>
    <w:p w14:paraId="7EE82B70" w14:textId="77777777" w:rsidR="00EC17B9" w:rsidRDefault="00EC17B9" w:rsidP="005E5F22">
      <w:pPr>
        <w:spacing w:line="360" w:lineRule="auto"/>
      </w:pPr>
    </w:p>
    <w:p w14:paraId="2BD75C81" w14:textId="77777777" w:rsidR="00EC17B9" w:rsidRPr="00EC17B9" w:rsidRDefault="00EC17B9" w:rsidP="005E5F22">
      <w:pPr>
        <w:spacing w:line="360" w:lineRule="auto"/>
        <w:rPr>
          <w:i/>
          <w:iCs/>
        </w:rPr>
      </w:pPr>
      <w:r w:rsidRPr="00EC17B9">
        <w:rPr>
          <w:i/>
          <w:iCs/>
        </w:rPr>
        <w:t>Use of SYNTAX score</w:t>
      </w:r>
    </w:p>
    <w:p w14:paraId="00047B3D" w14:textId="14BE4F17" w:rsidR="00256D86" w:rsidRPr="00F5202F" w:rsidRDefault="00B01C5D" w:rsidP="005E5F22">
      <w:pPr>
        <w:spacing w:line="360" w:lineRule="auto"/>
      </w:pPr>
      <w:r w:rsidRPr="00F27A39">
        <w:t xml:space="preserve">No specific complexity tool is recommended </w:t>
      </w:r>
      <w:r>
        <w:t>by NICE</w:t>
      </w:r>
      <w:r w:rsidR="006E48C7">
        <w:t>,</w:t>
      </w:r>
      <w:r>
        <w:t xml:space="preserve"> </w:t>
      </w:r>
      <w:r w:rsidRPr="00F27A39">
        <w:t>but it is clearly stated that anatomic</w:t>
      </w:r>
      <w:r w:rsidR="00F3085F">
        <w:t>al</w:t>
      </w:r>
      <w:r w:rsidRPr="00F27A39">
        <w:t xml:space="preserve"> complexity should be taken into account when </w:t>
      </w:r>
      <w:r w:rsidR="00F3085F">
        <w:t>consider</w:t>
      </w:r>
      <w:r w:rsidRPr="00F27A39">
        <w:t xml:space="preserve">ing </w:t>
      </w:r>
      <w:r w:rsidR="0074755E">
        <w:t>the best mode of revascularisation</w:t>
      </w:r>
      <w:r w:rsidRPr="00F27A39">
        <w:t>.</w:t>
      </w:r>
      <w:r w:rsidR="00D36BDE">
        <w:fldChar w:fldCharType="begin" w:fldLock="1"/>
      </w:r>
      <w:r w:rsidR="00D36BDE">
        <w:instrText>ADDIN CSL_CITATION {"citationItems":[{"id":"ITEM-1","itemData":{"id":"ITEM-1","issued":{"date-parts":[["0"]]},"page":"http://www.nice.org.uk/ guidance/cg126/evidence/fu","title":"National Clinical Guidelines Centre. Stable angina: Full ( July 2011): methods, evidence &amp; guidance.","type":"webpage"},"uris":["http://www.mendeley.com/documents/?uuid=b373040f-6cc1-45da-b825-b7643f467d7e"]}],"mendeley":{"formattedCitation":"&lt;sup&gt;2&lt;/sup&gt;","plainTextFormattedCitation":"2","previouslyFormattedCitation":"&lt;sup&gt;2&lt;/sup&gt;"},"properties":{"noteIndex":0},"schema":"https://github.com/citation-style-language/schema/raw/master/csl-citation.json"}</w:instrText>
      </w:r>
      <w:r w:rsidR="00D36BDE">
        <w:fldChar w:fldCharType="separate"/>
      </w:r>
      <w:r w:rsidR="00D36BDE" w:rsidRPr="00D36BDE">
        <w:rPr>
          <w:noProof/>
          <w:vertAlign w:val="superscript"/>
        </w:rPr>
        <w:t>2</w:t>
      </w:r>
      <w:r w:rsidR="00D36BDE">
        <w:fldChar w:fldCharType="end"/>
      </w:r>
      <w:r w:rsidRPr="00F27A39">
        <w:t xml:space="preserve"> </w:t>
      </w:r>
      <w:r w:rsidR="00084B55">
        <w:t xml:space="preserve">By contrast, the </w:t>
      </w:r>
      <w:r w:rsidRPr="00F27A39">
        <w:t>SYNTAX score</w:t>
      </w:r>
      <w:r w:rsidR="00084B55">
        <w:t xml:space="preserve"> </w:t>
      </w:r>
      <w:r w:rsidRPr="00F27A39">
        <w:t xml:space="preserve">is recommended by ESC </w:t>
      </w:r>
      <w:r w:rsidR="008A12C5">
        <w:t xml:space="preserve">for use in left main </w:t>
      </w:r>
      <w:r w:rsidR="0074755E">
        <w:t>and/</w:t>
      </w:r>
      <w:r w:rsidR="008A12C5">
        <w:t xml:space="preserve">or </w:t>
      </w:r>
      <w:r w:rsidR="00C97068">
        <w:t>3</w:t>
      </w:r>
      <w:r w:rsidR="008A12C5">
        <w:t>VD</w:t>
      </w:r>
      <w:r w:rsidRPr="00F27A39">
        <w:t>(</w:t>
      </w:r>
      <w:r w:rsidR="0063001B">
        <w:t xml:space="preserve">class </w:t>
      </w:r>
      <w:r w:rsidRPr="00F27A39">
        <w:t>1</w:t>
      </w:r>
      <w:r w:rsidR="008A12C5">
        <w:t>B</w:t>
      </w:r>
      <w:r w:rsidRPr="00F27A39">
        <w:t>)</w:t>
      </w:r>
      <w:r w:rsidR="008A12C5">
        <w:t>.</w:t>
      </w:r>
      <w:r w:rsidR="00D36BDE">
        <w:fldChar w:fldCharType="begin" w:fldLock="1"/>
      </w:r>
      <w:r w:rsidR="00D36BDE">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D36BDE">
        <w:fldChar w:fldCharType="separate"/>
      </w:r>
      <w:r w:rsidR="00D36BDE" w:rsidRPr="00D36BDE">
        <w:rPr>
          <w:noProof/>
          <w:vertAlign w:val="superscript"/>
        </w:rPr>
        <w:t>6</w:t>
      </w:r>
      <w:r w:rsidR="00D36BDE">
        <w:fldChar w:fldCharType="end"/>
      </w:r>
      <w:r w:rsidR="008A12C5">
        <w:t xml:space="preserve"> </w:t>
      </w:r>
      <w:r w:rsidR="00B9157A" w:rsidRPr="00694B5B">
        <w:t>For example</w:t>
      </w:r>
      <w:r w:rsidR="00256D86" w:rsidRPr="00694B5B">
        <w:t>,</w:t>
      </w:r>
      <w:r w:rsidRPr="00694B5B">
        <w:t xml:space="preserve"> ESC</w:t>
      </w:r>
      <w:r w:rsidR="00256D86" w:rsidRPr="00694B5B">
        <w:t xml:space="preserve"> </w:t>
      </w:r>
      <w:r w:rsidRPr="00694B5B">
        <w:t xml:space="preserve">guidelines state that </w:t>
      </w:r>
      <w:r w:rsidR="00256D86" w:rsidRPr="00694B5B">
        <w:t xml:space="preserve">CABG </w:t>
      </w:r>
      <w:r w:rsidRPr="00694B5B">
        <w:t xml:space="preserve">is 1st line </w:t>
      </w:r>
      <w:r w:rsidR="00256D86" w:rsidRPr="00694B5B">
        <w:t>for patients with</w:t>
      </w:r>
      <w:r w:rsidRPr="00694B5B">
        <w:t xml:space="preserve"> </w:t>
      </w:r>
      <w:r w:rsidR="00694B5B" w:rsidRPr="00694B5B">
        <w:t>significant</w:t>
      </w:r>
      <w:r w:rsidR="00256D86" w:rsidRPr="00694B5B">
        <w:t xml:space="preserve"> left main stem disease</w:t>
      </w:r>
      <w:r w:rsidR="00B9157A" w:rsidRPr="00694B5B">
        <w:t xml:space="preserve"> with</w:t>
      </w:r>
      <w:r w:rsidR="00256D86" w:rsidRPr="00694B5B">
        <w:t xml:space="preserve"> SYNTAX score &gt;33</w:t>
      </w:r>
      <w:r w:rsidR="00C06845">
        <w:t>(</w:t>
      </w:r>
      <w:r w:rsidR="0063001B">
        <w:t>c</w:t>
      </w:r>
      <w:r w:rsidR="00C06845">
        <w:t>lass IA)</w:t>
      </w:r>
      <w:r w:rsidRPr="00694B5B">
        <w:t xml:space="preserve"> </w:t>
      </w:r>
      <w:r w:rsidR="00256D86" w:rsidRPr="00694B5B">
        <w:t>and for patients with 3</w:t>
      </w:r>
      <w:r w:rsidR="00B845DB">
        <w:t>VD</w:t>
      </w:r>
      <w:r w:rsidR="00256D86" w:rsidRPr="00694B5B">
        <w:t xml:space="preserve"> </w:t>
      </w:r>
      <w:r w:rsidR="008C1E82">
        <w:t>either with</w:t>
      </w:r>
      <w:r w:rsidR="00256D86" w:rsidRPr="00694B5B">
        <w:t xml:space="preserve"> </w:t>
      </w:r>
      <w:r w:rsidR="005958CA">
        <w:t>intermediate/high SYNTAX score</w:t>
      </w:r>
      <w:r w:rsidR="00C06845">
        <w:t>(</w:t>
      </w:r>
      <w:r w:rsidR="0074755E">
        <w:rPr>
          <w:rFonts w:ascii="Segoe UI" w:hAnsi="Segoe UI" w:cs="Segoe UI"/>
          <w:color w:val="212121"/>
          <w:shd w:val="clear" w:color="auto" w:fill="FFFFFF"/>
        </w:rPr>
        <w:t>≥</w:t>
      </w:r>
      <w:r w:rsidR="0074755E">
        <w:t xml:space="preserve">23; </w:t>
      </w:r>
      <w:r w:rsidR="0063001B">
        <w:t>c</w:t>
      </w:r>
      <w:r w:rsidR="00C06845">
        <w:t>lass IA)</w:t>
      </w:r>
      <w:r w:rsidR="00B845DB">
        <w:t>,</w:t>
      </w:r>
      <w:r w:rsidR="00C06845">
        <w:t xml:space="preserve"> </w:t>
      </w:r>
      <w:r w:rsidR="005958CA">
        <w:t xml:space="preserve">or </w:t>
      </w:r>
      <w:r w:rsidR="008C1E82">
        <w:t>if</w:t>
      </w:r>
      <w:r w:rsidR="005958CA">
        <w:t xml:space="preserve"> diabet</w:t>
      </w:r>
      <w:r w:rsidR="008C1E82">
        <w:t>ic</w:t>
      </w:r>
      <w:r w:rsidR="00B845DB">
        <w:t>,</w:t>
      </w:r>
      <w:r w:rsidR="005958CA">
        <w:t xml:space="preserve"> irrespective of SYNTAX score</w:t>
      </w:r>
      <w:r w:rsidR="00C06845">
        <w:t>(</w:t>
      </w:r>
      <w:r w:rsidR="0063001B">
        <w:t>c</w:t>
      </w:r>
      <w:r w:rsidR="00C06845">
        <w:t>lass IA)</w:t>
      </w:r>
      <w:r w:rsidR="005958CA">
        <w:t>.</w:t>
      </w:r>
      <w:r w:rsidR="00D36BDE">
        <w:fldChar w:fldCharType="begin" w:fldLock="1"/>
      </w:r>
      <w:r w:rsidR="00D36BDE">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D36BDE">
        <w:fldChar w:fldCharType="separate"/>
      </w:r>
      <w:r w:rsidR="00D36BDE" w:rsidRPr="00D36BDE">
        <w:rPr>
          <w:noProof/>
          <w:vertAlign w:val="superscript"/>
        </w:rPr>
        <w:t>6</w:t>
      </w:r>
      <w:r w:rsidR="00D36BDE">
        <w:fldChar w:fldCharType="end"/>
      </w:r>
      <w:r w:rsidR="005958CA">
        <w:t xml:space="preserve"> </w:t>
      </w:r>
      <w:r w:rsidR="00A35F3B">
        <w:t xml:space="preserve">On the other hand, </w:t>
      </w:r>
      <w:r w:rsidR="00256D86" w:rsidRPr="00694B5B">
        <w:t>PCI</w:t>
      </w:r>
      <w:r w:rsidR="00B9157A" w:rsidRPr="00694B5B">
        <w:t xml:space="preserve"> is recommended</w:t>
      </w:r>
      <w:r w:rsidR="00256D86" w:rsidRPr="00694B5B">
        <w:t xml:space="preserve"> </w:t>
      </w:r>
      <w:r w:rsidR="007A5847">
        <w:t xml:space="preserve">as an option </w:t>
      </w:r>
      <w:r w:rsidR="00256D86" w:rsidRPr="00694B5B">
        <w:t>for patients with left</w:t>
      </w:r>
      <w:r w:rsidR="00B9157A" w:rsidRPr="00694B5B">
        <w:t xml:space="preserve"> </w:t>
      </w:r>
      <w:r w:rsidR="00256D86" w:rsidRPr="00694B5B">
        <w:t>main stem</w:t>
      </w:r>
      <w:r w:rsidR="00C06845">
        <w:t xml:space="preserve"> </w:t>
      </w:r>
      <w:r w:rsidR="00B845DB">
        <w:t xml:space="preserve">disease </w:t>
      </w:r>
      <w:r w:rsidR="00C06845">
        <w:t>with low SYNTAX score(</w:t>
      </w:r>
      <w:r w:rsidR="0074755E" w:rsidRPr="00F9235F">
        <w:t xml:space="preserve">≤22; </w:t>
      </w:r>
      <w:r w:rsidR="0063001B">
        <w:t>c</w:t>
      </w:r>
      <w:r w:rsidR="00C06845">
        <w:t xml:space="preserve">lass IA) and </w:t>
      </w:r>
      <w:r w:rsidR="00C97068">
        <w:t>3VD</w:t>
      </w:r>
      <w:r w:rsidR="00C06845">
        <w:t xml:space="preserve"> without diabetes mellitus and low SYNTAX score(</w:t>
      </w:r>
      <w:r w:rsidR="0063001B">
        <w:t>c</w:t>
      </w:r>
      <w:r w:rsidR="00C06845">
        <w:t>lass IA)</w:t>
      </w:r>
      <w:r w:rsidR="00256D86" w:rsidRPr="00694B5B">
        <w:t>.</w:t>
      </w:r>
      <w:r w:rsidR="00D36BDE">
        <w:fldChar w:fldCharType="begin" w:fldLock="1"/>
      </w:r>
      <w:r w:rsidR="00D36BDE">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D36BDE">
        <w:fldChar w:fldCharType="separate"/>
      </w:r>
      <w:r w:rsidR="00D36BDE" w:rsidRPr="00D36BDE">
        <w:rPr>
          <w:noProof/>
          <w:vertAlign w:val="superscript"/>
        </w:rPr>
        <w:t>6</w:t>
      </w:r>
      <w:r w:rsidR="00D36BDE">
        <w:fldChar w:fldCharType="end"/>
      </w:r>
      <w:r w:rsidR="00C06845">
        <w:t xml:space="preserve"> </w:t>
      </w:r>
      <w:r w:rsidR="00256D86" w:rsidRPr="00694B5B">
        <w:t xml:space="preserve"> </w:t>
      </w:r>
    </w:p>
    <w:p w14:paraId="46F87361" w14:textId="77777777" w:rsidR="00F5202F" w:rsidRPr="00BC72C4" w:rsidRDefault="00F5202F" w:rsidP="005E5F22">
      <w:pPr>
        <w:tabs>
          <w:tab w:val="left" w:pos="2880"/>
        </w:tabs>
        <w:spacing w:line="360" w:lineRule="auto"/>
        <w:rPr>
          <w:i/>
          <w:iCs/>
        </w:rPr>
      </w:pPr>
    </w:p>
    <w:p w14:paraId="446F2E20" w14:textId="77777777" w:rsidR="00EC17B9" w:rsidRPr="00BC72C4" w:rsidRDefault="00BC72C4" w:rsidP="005E5F22">
      <w:pPr>
        <w:tabs>
          <w:tab w:val="left" w:pos="2880"/>
        </w:tabs>
        <w:spacing w:line="360" w:lineRule="auto"/>
        <w:rPr>
          <w:i/>
          <w:iCs/>
        </w:rPr>
      </w:pPr>
      <w:r w:rsidRPr="00BC72C4">
        <w:rPr>
          <w:i/>
          <w:iCs/>
        </w:rPr>
        <w:t xml:space="preserve">Comparison with </w:t>
      </w:r>
      <w:r w:rsidR="00AA68B9">
        <w:rPr>
          <w:i/>
          <w:iCs/>
        </w:rPr>
        <w:t>ACC/AHA/SCAI</w:t>
      </w:r>
      <w:r w:rsidRPr="00BC72C4">
        <w:rPr>
          <w:i/>
          <w:iCs/>
        </w:rPr>
        <w:t xml:space="preserve"> guidelines</w:t>
      </w:r>
    </w:p>
    <w:p w14:paraId="784959D0" w14:textId="678B5473" w:rsidR="00B2138D" w:rsidRPr="00F27A39" w:rsidRDefault="00B9157A" w:rsidP="005E5F22">
      <w:pPr>
        <w:spacing w:line="360" w:lineRule="auto"/>
      </w:pPr>
      <w:r>
        <w:t xml:space="preserve">The </w:t>
      </w:r>
      <w:r w:rsidR="00585BDB">
        <w:t xml:space="preserve">most </w:t>
      </w:r>
      <w:r w:rsidR="001F52ED">
        <w:t xml:space="preserve">recently published </w:t>
      </w:r>
      <w:r w:rsidR="00585BDB">
        <w:t xml:space="preserve">revascularisation </w:t>
      </w:r>
      <w:r w:rsidR="00256D86">
        <w:t xml:space="preserve">guidelines </w:t>
      </w:r>
      <w:r w:rsidR="00585BDB">
        <w:t>are those from ACC/AHA/SCAI. These</w:t>
      </w:r>
      <w:r w:rsidR="00122C39">
        <w:t xml:space="preserve"> are generally more</w:t>
      </w:r>
      <w:r w:rsidR="00A945A0">
        <w:t xml:space="preserve"> in line with NICE and</w:t>
      </w:r>
      <w:r w:rsidR="00585BDB">
        <w:t>,</w:t>
      </w:r>
      <w:r w:rsidR="00122C39">
        <w:t xml:space="preserve"> </w:t>
      </w:r>
      <w:r w:rsidR="00585BDB">
        <w:t xml:space="preserve">specifically, are </w:t>
      </w:r>
      <w:r w:rsidR="005D4DE8">
        <w:t xml:space="preserve">more </w:t>
      </w:r>
      <w:r w:rsidR="00122C39">
        <w:t>conservative than the ESC</w:t>
      </w:r>
      <w:r w:rsidR="005D4DE8">
        <w:t xml:space="preserve"> </w:t>
      </w:r>
      <w:r w:rsidR="00864BA8">
        <w:t>regarding revascularisation in</w:t>
      </w:r>
      <w:r w:rsidR="00255492">
        <w:t xml:space="preserve"> </w:t>
      </w:r>
      <w:r w:rsidR="00656CDC">
        <w:t>CCS</w:t>
      </w:r>
      <w:r w:rsidR="00CA2000">
        <w:t>.</w:t>
      </w:r>
      <w:r w:rsidR="00D36BDE">
        <w:fldChar w:fldCharType="begin" w:fldLock="1"/>
      </w:r>
      <w:r w:rsidR="00D36BDE">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D36BDE">
        <w:fldChar w:fldCharType="separate"/>
      </w:r>
      <w:r w:rsidR="00D36BDE" w:rsidRPr="00D36BDE">
        <w:rPr>
          <w:noProof/>
          <w:vertAlign w:val="superscript"/>
        </w:rPr>
        <w:t>5</w:t>
      </w:r>
      <w:r w:rsidR="00D36BDE">
        <w:fldChar w:fldCharType="end"/>
      </w:r>
      <w:r w:rsidR="00D36BDE">
        <w:t xml:space="preserve"> </w:t>
      </w:r>
      <w:r w:rsidR="00585BDB">
        <w:t xml:space="preserve">As such, these guidelines have proved relatively contentious. </w:t>
      </w:r>
      <w:r w:rsidR="00864BA8">
        <w:t>For example, i</w:t>
      </w:r>
      <w:r w:rsidR="00864BA8" w:rsidRPr="00F27A39">
        <w:t>n stable multivessel disease, CABG</w:t>
      </w:r>
      <w:r w:rsidR="00F2596F">
        <w:t>/</w:t>
      </w:r>
      <w:r w:rsidR="00864BA8" w:rsidRPr="00F27A39">
        <w:t xml:space="preserve">PCI </w:t>
      </w:r>
      <w:r w:rsidR="00A945A0">
        <w:t xml:space="preserve">has </w:t>
      </w:r>
      <w:r w:rsidR="00864BA8" w:rsidRPr="00F27A39">
        <w:t xml:space="preserve">a class </w:t>
      </w:r>
      <w:r w:rsidR="00BC72C4">
        <w:t>II</w:t>
      </w:r>
      <w:r w:rsidR="00864BA8" w:rsidRPr="00F27A39">
        <w:t>b</w:t>
      </w:r>
      <w:r w:rsidR="00A945A0">
        <w:t>(</w:t>
      </w:r>
      <w:r w:rsidR="00D061CE">
        <w:t>“</w:t>
      </w:r>
      <w:r w:rsidR="00A945A0">
        <w:t>may be considered</w:t>
      </w:r>
      <w:r w:rsidR="00D061CE">
        <w:t>”</w:t>
      </w:r>
      <w:r w:rsidR="00A945A0">
        <w:t>)</w:t>
      </w:r>
      <w:r w:rsidR="00864BA8" w:rsidRPr="00F27A39">
        <w:t xml:space="preserve"> recommendation.</w:t>
      </w:r>
      <w:r w:rsidR="00D36BDE">
        <w:fldChar w:fldCharType="begin" w:fldLock="1"/>
      </w:r>
      <w:r w:rsidR="00D36BDE">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D36BDE">
        <w:fldChar w:fldCharType="separate"/>
      </w:r>
      <w:r w:rsidR="00D36BDE" w:rsidRPr="00D36BDE">
        <w:rPr>
          <w:noProof/>
          <w:vertAlign w:val="superscript"/>
        </w:rPr>
        <w:t>5</w:t>
      </w:r>
      <w:r w:rsidR="00D36BDE">
        <w:fldChar w:fldCharType="end"/>
      </w:r>
      <w:r w:rsidR="00864BA8" w:rsidRPr="00F27A39">
        <w:t xml:space="preserve"> </w:t>
      </w:r>
      <w:r w:rsidR="00864BA8">
        <w:t>Proximal LAD disease with normal LV function also has a lower</w:t>
      </w:r>
      <w:r w:rsidR="00BC72C4">
        <w:t>,</w:t>
      </w:r>
      <w:r w:rsidR="00864BA8">
        <w:t xml:space="preserve"> </w:t>
      </w:r>
      <w:r w:rsidR="00BC72C4">
        <w:t>c</w:t>
      </w:r>
      <w:r w:rsidR="00864BA8">
        <w:t xml:space="preserve">lass </w:t>
      </w:r>
      <w:r w:rsidR="00BC72C4">
        <w:t>II</w:t>
      </w:r>
      <w:r w:rsidR="00864BA8">
        <w:t>b recommendation, citing uncertain benefit.</w:t>
      </w:r>
      <w:r w:rsidR="00D36BDE">
        <w:fldChar w:fldCharType="begin" w:fldLock="1"/>
      </w:r>
      <w:r w:rsidR="00D36BDE">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D36BDE">
        <w:fldChar w:fldCharType="separate"/>
      </w:r>
      <w:r w:rsidR="00D36BDE" w:rsidRPr="00D36BDE">
        <w:rPr>
          <w:noProof/>
          <w:vertAlign w:val="superscript"/>
        </w:rPr>
        <w:t>5</w:t>
      </w:r>
      <w:r w:rsidR="00D36BDE">
        <w:fldChar w:fldCharType="end"/>
      </w:r>
      <w:r w:rsidR="00864BA8">
        <w:t xml:space="preserve"> T</w:t>
      </w:r>
      <w:r w:rsidR="00CA2000">
        <w:t xml:space="preserve">he SYNTAX score </w:t>
      </w:r>
      <w:r w:rsidR="00A945A0">
        <w:t xml:space="preserve">also </w:t>
      </w:r>
      <w:r w:rsidR="00CA2000">
        <w:t xml:space="preserve">has a downgraded recommendation(class </w:t>
      </w:r>
      <w:r w:rsidR="00BC72C4">
        <w:t>II</w:t>
      </w:r>
      <w:r w:rsidR="00CA2000">
        <w:t xml:space="preserve">b) for use in </w:t>
      </w:r>
      <w:r w:rsidR="00C97068">
        <w:t>3</w:t>
      </w:r>
      <w:r w:rsidR="00CA2000">
        <w:t>VD</w:t>
      </w:r>
      <w:r w:rsidR="00585BDB">
        <w:t>.</w:t>
      </w:r>
      <w:r w:rsidR="00864BA8">
        <w:t xml:space="preserve"> </w:t>
      </w:r>
      <w:r w:rsidR="00585BDB">
        <w:t xml:space="preserve">Finally, </w:t>
      </w:r>
      <w:r w:rsidR="00864BA8">
        <w:t>r</w:t>
      </w:r>
      <w:r w:rsidR="00CA2000">
        <w:t>egarding left main disease there is also a lower recommendation for PCI(</w:t>
      </w:r>
      <w:r w:rsidR="00F2596F">
        <w:t>c</w:t>
      </w:r>
      <w:r w:rsidR="00CA2000">
        <w:t xml:space="preserve">lass </w:t>
      </w:r>
      <w:proofErr w:type="spellStart"/>
      <w:r w:rsidR="00BC72C4">
        <w:t>II</w:t>
      </w:r>
      <w:r w:rsidR="00CA2000">
        <w:t>a</w:t>
      </w:r>
      <w:proofErr w:type="spellEnd"/>
      <w:r w:rsidR="00CA2000">
        <w:t xml:space="preserve">) in selected stable patients with low to </w:t>
      </w:r>
      <w:r w:rsidR="00CA2000">
        <w:lastRenderedPageBreak/>
        <w:t>medium anatomic</w:t>
      </w:r>
      <w:r w:rsidR="00026654">
        <w:t>al</w:t>
      </w:r>
      <w:r w:rsidR="00CA2000">
        <w:t xml:space="preserve"> complexity </w:t>
      </w:r>
      <w:r w:rsidR="00122C39">
        <w:t>for whom PCI can provide equivalent revascularisation to CABG</w:t>
      </w:r>
      <w:r w:rsidR="00CA2000">
        <w:t>.</w:t>
      </w:r>
      <w:r w:rsidR="00122C39">
        <w:t xml:space="preserve"> </w:t>
      </w:r>
      <w:r w:rsidR="00D36BDE">
        <w:fldChar w:fldCharType="begin" w:fldLock="1"/>
      </w:r>
      <w:r w:rsidR="00D36BDE">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D36BDE">
        <w:fldChar w:fldCharType="separate"/>
      </w:r>
      <w:r w:rsidR="00D36BDE" w:rsidRPr="00D36BDE">
        <w:rPr>
          <w:noProof/>
          <w:vertAlign w:val="superscript"/>
        </w:rPr>
        <w:t>5</w:t>
      </w:r>
      <w:r w:rsidR="00D36BDE">
        <w:fldChar w:fldCharType="end"/>
      </w:r>
    </w:p>
    <w:p w14:paraId="310778C0" w14:textId="77777777" w:rsidR="00F50640" w:rsidRPr="00F27A39" w:rsidRDefault="00F50640" w:rsidP="005E5F22">
      <w:pPr>
        <w:spacing w:line="360" w:lineRule="auto"/>
        <w:rPr>
          <w:b/>
          <w:bCs/>
        </w:rPr>
      </w:pPr>
    </w:p>
    <w:p w14:paraId="06B01EB7" w14:textId="77777777" w:rsidR="00B2138D" w:rsidRPr="00F27A39" w:rsidRDefault="00B2138D" w:rsidP="005E5F22">
      <w:pPr>
        <w:spacing w:line="360" w:lineRule="auto"/>
        <w:rPr>
          <w:b/>
          <w:bCs/>
        </w:rPr>
      </w:pPr>
      <w:r w:rsidRPr="00F27A39">
        <w:rPr>
          <w:b/>
          <w:bCs/>
        </w:rPr>
        <w:t>Acute Coronary Syndrome</w:t>
      </w:r>
    </w:p>
    <w:p w14:paraId="2D971877" w14:textId="77777777" w:rsidR="00B2138D" w:rsidRPr="00F27A39" w:rsidRDefault="00B2138D" w:rsidP="005E5F22">
      <w:pPr>
        <w:spacing w:line="360" w:lineRule="auto"/>
        <w:rPr>
          <w:b/>
          <w:bCs/>
        </w:rPr>
      </w:pPr>
    </w:p>
    <w:p w14:paraId="189259BC" w14:textId="77777777" w:rsidR="00C219A1" w:rsidRPr="00F50640" w:rsidRDefault="00B2138D" w:rsidP="005E5F22">
      <w:pPr>
        <w:spacing w:line="360" w:lineRule="auto"/>
        <w:rPr>
          <w:b/>
          <w:bCs/>
        </w:rPr>
      </w:pPr>
      <w:r w:rsidRPr="00F27A39">
        <w:rPr>
          <w:b/>
          <w:bCs/>
        </w:rPr>
        <w:t xml:space="preserve">STEMI </w:t>
      </w:r>
    </w:p>
    <w:p w14:paraId="4189463B" w14:textId="77777777" w:rsidR="00A357DE" w:rsidRDefault="00086EBC" w:rsidP="005E5F22">
      <w:pPr>
        <w:spacing w:line="360" w:lineRule="auto"/>
      </w:pPr>
      <w:r>
        <w:rPr>
          <w:color w:val="222122"/>
        </w:rPr>
        <w:t>The evidence for revascularisation in STEMI is well established from multiple randomised controlled clinical trials</w:t>
      </w:r>
      <w:r w:rsidR="004949EC">
        <w:rPr>
          <w:color w:val="222122"/>
        </w:rPr>
        <w:t xml:space="preserve"> and is reflected in the similarities between the major guidelines</w:t>
      </w:r>
      <w:r>
        <w:rPr>
          <w:color w:val="222122"/>
        </w:rPr>
        <w:t xml:space="preserve">. </w:t>
      </w:r>
      <w:r w:rsidR="00D0751C" w:rsidRPr="00F27A39">
        <w:t xml:space="preserve">The recommendations </w:t>
      </w:r>
      <w:r w:rsidR="00D0751C">
        <w:t xml:space="preserve">from NICE </w:t>
      </w:r>
      <w:r w:rsidR="00D0751C" w:rsidRPr="00F27A39">
        <w:t xml:space="preserve">regarding </w:t>
      </w:r>
      <w:r w:rsidR="00D0751C">
        <w:t>STEMI</w:t>
      </w:r>
      <w:r w:rsidR="00D0751C" w:rsidRPr="00F27A39">
        <w:t xml:space="preserve"> are summarised in Figure </w:t>
      </w:r>
      <w:r w:rsidR="00D0751C">
        <w:t>2</w:t>
      </w:r>
      <w:r w:rsidR="00C219A1">
        <w:t xml:space="preserve"> and compared to other guidelines in Table 2</w:t>
      </w:r>
      <w:r w:rsidR="00D0751C" w:rsidRPr="00F27A39">
        <w:t>.</w:t>
      </w:r>
    </w:p>
    <w:p w14:paraId="4A582378" w14:textId="77777777" w:rsidR="00D0751C" w:rsidRDefault="00D0751C" w:rsidP="005E5F22">
      <w:pPr>
        <w:spacing w:line="360" w:lineRule="auto"/>
        <w:rPr>
          <w:color w:val="222122"/>
        </w:rPr>
      </w:pPr>
    </w:p>
    <w:p w14:paraId="32558ADC" w14:textId="63ECF2D4" w:rsidR="00E3706E" w:rsidRDefault="0074755E" w:rsidP="005E5F22">
      <w:pPr>
        <w:spacing w:line="360" w:lineRule="auto"/>
        <w:rPr>
          <w:i/>
          <w:iCs/>
          <w:color w:val="222122"/>
        </w:rPr>
      </w:pPr>
      <w:r>
        <w:rPr>
          <w:i/>
          <w:iCs/>
          <w:color w:val="222122"/>
        </w:rPr>
        <w:t>Indications for PCI</w:t>
      </w:r>
    </w:p>
    <w:p w14:paraId="38C914D5" w14:textId="528FC466" w:rsidR="00E92D95" w:rsidRPr="00F9235F" w:rsidRDefault="00E92D95" w:rsidP="005E5F22">
      <w:pPr>
        <w:spacing w:line="360" w:lineRule="auto"/>
      </w:pPr>
      <w:r w:rsidRPr="00F9235F">
        <w:t xml:space="preserve">NICE guidelines state that PCI should be offered if </w:t>
      </w:r>
      <w:r w:rsidRPr="00E92D95">
        <w:t>presenting within</w:t>
      </w:r>
      <w:r w:rsidRPr="00F9235F">
        <w:t xml:space="preserve"> 12 hours of symptom onset and PCI can be delivered within 120 mins of diagnosis.</w:t>
      </w:r>
      <w:r>
        <w:rPr>
          <w:color w:val="222122"/>
        </w:rPr>
        <w:fldChar w:fldCharType="begin" w:fldLock="1"/>
      </w:r>
      <w:r>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Pr>
          <w:color w:val="222122"/>
        </w:rPr>
        <w:fldChar w:fldCharType="separate"/>
      </w:r>
      <w:r w:rsidRPr="00D36BDE">
        <w:rPr>
          <w:noProof/>
          <w:color w:val="222122"/>
          <w:vertAlign w:val="superscript"/>
        </w:rPr>
        <w:t>1</w:t>
      </w:r>
      <w:r>
        <w:rPr>
          <w:color w:val="222122"/>
        </w:rPr>
        <w:fldChar w:fldCharType="end"/>
      </w:r>
      <w:r w:rsidRPr="00F9235F">
        <w:t xml:space="preserve"> Coronary angiography, with follow-on primary PCI if indicated, should be considered for people with acute STEMI presenting more than 12 hours after the onset of symptoms if there is evidence of ongoing myocardial ischaemia or cardiogenic shock.</w:t>
      </w:r>
      <w:r>
        <w:rPr>
          <w:color w:val="222122"/>
        </w:rPr>
        <w:fldChar w:fldCharType="begin" w:fldLock="1"/>
      </w:r>
      <w:r>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Pr>
          <w:color w:val="222122"/>
        </w:rPr>
        <w:fldChar w:fldCharType="separate"/>
      </w:r>
      <w:r w:rsidRPr="00D36BDE">
        <w:rPr>
          <w:noProof/>
          <w:color w:val="222122"/>
          <w:vertAlign w:val="superscript"/>
        </w:rPr>
        <w:t>1</w:t>
      </w:r>
      <w:r>
        <w:rPr>
          <w:color w:val="222122"/>
        </w:rPr>
        <w:fldChar w:fldCharType="end"/>
      </w:r>
      <w:r w:rsidRPr="00F9235F">
        <w:t xml:space="preserve"> Fibrinolysis should be offered to patients presenting within12 hours of symptom onset if PCI cannot be delivered within 120 mins. If there is evidence of residual ST elevation 60-90 minutes after administration, rescue PCI should be offered immediately. Coronary angiography should be considered in all stable patients post </w:t>
      </w:r>
      <w:r w:rsidR="00277B63">
        <w:t>fibrinolysis</w:t>
      </w:r>
      <w:r w:rsidRPr="00F9235F">
        <w:t xml:space="preserve"> during the index hospital admission</w:t>
      </w:r>
      <w:r>
        <w:t>.</w:t>
      </w:r>
      <w:r w:rsidRPr="00E92D95">
        <w:rPr>
          <w:color w:val="222122"/>
        </w:rPr>
        <w:t xml:space="preserve"> </w:t>
      </w:r>
      <w:r>
        <w:rPr>
          <w:color w:val="222122"/>
        </w:rPr>
        <w:fldChar w:fldCharType="begin" w:fldLock="1"/>
      </w:r>
      <w:r>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Pr>
          <w:color w:val="222122"/>
        </w:rPr>
        <w:fldChar w:fldCharType="separate"/>
      </w:r>
      <w:r w:rsidRPr="00D36BDE">
        <w:rPr>
          <w:noProof/>
          <w:color w:val="222122"/>
          <w:vertAlign w:val="superscript"/>
        </w:rPr>
        <w:t>1</w:t>
      </w:r>
      <w:r>
        <w:rPr>
          <w:color w:val="222122"/>
        </w:rPr>
        <w:fldChar w:fldCharType="end"/>
      </w:r>
    </w:p>
    <w:p w14:paraId="69B81352" w14:textId="09E64B36" w:rsidR="001C2405" w:rsidRDefault="00E3706E" w:rsidP="001C2405">
      <w:pPr>
        <w:spacing w:before="100" w:beforeAutospacing="1" w:after="100" w:afterAutospacing="1" w:line="360" w:lineRule="auto"/>
        <w:rPr>
          <w:color w:val="222122"/>
        </w:rPr>
      </w:pPr>
      <w:r>
        <w:rPr>
          <w:color w:val="222122"/>
        </w:rPr>
        <w:t>The ESC</w:t>
      </w:r>
      <w:r w:rsidR="00912FC7">
        <w:rPr>
          <w:color w:val="222122"/>
        </w:rPr>
        <w:t xml:space="preserve"> and</w:t>
      </w:r>
      <w:r w:rsidR="00255492">
        <w:rPr>
          <w:color w:val="222122"/>
        </w:rPr>
        <w:t xml:space="preserve"> </w:t>
      </w:r>
      <w:r w:rsidR="00FD680F" w:rsidRPr="00FD680F">
        <w:t>ACC/AHA/SCAI</w:t>
      </w:r>
      <w:r>
        <w:rPr>
          <w:color w:val="222122"/>
        </w:rPr>
        <w:t xml:space="preserve"> guidelines are generally concordant regarding timing and suitability of PCI</w:t>
      </w:r>
      <w:r w:rsidR="00942DDA">
        <w:rPr>
          <w:color w:val="222122"/>
        </w:rPr>
        <w:t>,</w:t>
      </w:r>
      <w:r>
        <w:rPr>
          <w:color w:val="222122"/>
        </w:rPr>
        <w:t xml:space="preserve"> but have slightly longer timeframes.</w:t>
      </w:r>
      <w:r w:rsidR="0030048E">
        <w:rPr>
          <w:color w:val="222122"/>
        </w:rPr>
        <w:fldChar w:fldCharType="begin" w:fldLock="1"/>
      </w:r>
      <w:r w:rsidR="0030048E">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revascularization.","type":"article-journal","volume":"40"},"uris":["http://www.mendeley.com/documents/?uuid=172fd6b2-4fca-43ea-ac0a-003d2d1f2038"]},{"id":"ITEM-2","itemData":{"DOI":"10.1161/CIR.0000000000001039","ISSN":"1524-4539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A","non-dropping-particle":"","parse-names":false,"suffix":""}],"container-title":"Circulation","id":"ITEM-2","issue":"3","issued":{"date-parts":[["2022","1"]]},"language":"eng","page":"e4-e17","publisher-place":"United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5,6&lt;/sup&gt;","plainTextFormattedCitation":"5,6","previouslyFormattedCitation":"&lt;sup&gt;5,6&lt;/sup&gt;"},"properties":{"noteIndex":0},"schema":"https://github.com/citation-style-language/schema/raw/master/csl-citation.json"}</w:instrText>
      </w:r>
      <w:r w:rsidR="0030048E">
        <w:rPr>
          <w:color w:val="222122"/>
        </w:rPr>
        <w:fldChar w:fldCharType="separate"/>
      </w:r>
      <w:r w:rsidR="0030048E" w:rsidRPr="0030048E">
        <w:rPr>
          <w:noProof/>
          <w:color w:val="222122"/>
          <w:vertAlign w:val="superscript"/>
        </w:rPr>
        <w:t>5,6</w:t>
      </w:r>
      <w:r w:rsidR="0030048E">
        <w:rPr>
          <w:color w:val="222122"/>
        </w:rPr>
        <w:fldChar w:fldCharType="end"/>
      </w:r>
      <w:r>
        <w:rPr>
          <w:color w:val="222122"/>
        </w:rPr>
        <w:t xml:space="preserve"> For example, in the ESC guidelines, </w:t>
      </w:r>
      <w:r w:rsidRPr="00F27A39">
        <w:rPr>
          <w:color w:val="222122"/>
        </w:rPr>
        <w:t xml:space="preserve">PCI </w:t>
      </w:r>
      <w:r w:rsidR="002D564E">
        <w:rPr>
          <w:color w:val="222122"/>
        </w:rPr>
        <w:t>is recommended</w:t>
      </w:r>
      <w:r w:rsidRPr="00F27A39">
        <w:rPr>
          <w:color w:val="222122"/>
        </w:rPr>
        <w:t xml:space="preserve"> for patients who present </w:t>
      </w:r>
      <w:r w:rsidR="00F2596F">
        <w:rPr>
          <w:color w:val="222122"/>
        </w:rPr>
        <w:t>&lt;</w:t>
      </w:r>
      <w:r w:rsidRPr="00F27A39">
        <w:rPr>
          <w:color w:val="222122"/>
        </w:rPr>
        <w:t>12 hours, but it is also considered reasonable for STEMI patients within 12</w:t>
      </w:r>
      <w:r w:rsidR="00F2596F">
        <w:rPr>
          <w:color w:val="222122"/>
        </w:rPr>
        <w:t>-</w:t>
      </w:r>
      <w:r>
        <w:rPr>
          <w:color w:val="222122"/>
        </w:rPr>
        <w:t>48</w:t>
      </w:r>
      <w:r w:rsidRPr="00F27A39">
        <w:rPr>
          <w:color w:val="222122"/>
        </w:rPr>
        <w:t xml:space="preserve"> hours(class </w:t>
      </w:r>
      <w:proofErr w:type="spellStart"/>
      <w:r>
        <w:rPr>
          <w:color w:val="222122"/>
        </w:rPr>
        <w:t>II</w:t>
      </w:r>
      <w:r w:rsidRPr="00F27A39">
        <w:rPr>
          <w:color w:val="222122"/>
        </w:rPr>
        <w:t>a</w:t>
      </w:r>
      <w:proofErr w:type="spellEnd"/>
      <w:r w:rsidRPr="00F27A39">
        <w:rPr>
          <w:color w:val="222122"/>
        </w:rPr>
        <w:t>)</w:t>
      </w:r>
      <w:r>
        <w:rPr>
          <w:color w:val="222122"/>
        </w:rPr>
        <w:t>.</w:t>
      </w:r>
      <w:r w:rsidR="0030048E">
        <w:rPr>
          <w:color w:val="222122"/>
        </w:rPr>
        <w:fldChar w:fldCharType="begin" w:fldLock="1"/>
      </w:r>
      <w:r w:rsidR="0030048E">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30048E">
        <w:rPr>
          <w:color w:val="222122"/>
        </w:rPr>
        <w:fldChar w:fldCharType="separate"/>
      </w:r>
      <w:r w:rsidR="0030048E" w:rsidRPr="0030048E">
        <w:rPr>
          <w:noProof/>
          <w:color w:val="222122"/>
          <w:vertAlign w:val="superscript"/>
        </w:rPr>
        <w:t>6</w:t>
      </w:r>
      <w:r w:rsidR="0030048E">
        <w:rPr>
          <w:color w:val="222122"/>
        </w:rPr>
        <w:fldChar w:fldCharType="end"/>
      </w:r>
      <w:r>
        <w:rPr>
          <w:color w:val="222122"/>
        </w:rPr>
        <w:t xml:space="preserve"> In the </w:t>
      </w:r>
      <w:r w:rsidR="00AA68B9">
        <w:rPr>
          <w:color w:val="222122"/>
        </w:rPr>
        <w:t>ACC/AHA/SCAI</w:t>
      </w:r>
      <w:r>
        <w:rPr>
          <w:color w:val="222122"/>
        </w:rPr>
        <w:t xml:space="preserve"> guidelines, PCI has a </w:t>
      </w:r>
      <w:r w:rsidR="003D78BB">
        <w:rPr>
          <w:color w:val="222122"/>
        </w:rPr>
        <w:t xml:space="preserve">similar </w:t>
      </w:r>
      <w:r>
        <w:rPr>
          <w:color w:val="222122"/>
        </w:rPr>
        <w:t xml:space="preserve">class I indication for </w:t>
      </w:r>
      <w:r w:rsidR="002D564E">
        <w:rPr>
          <w:color w:val="222122"/>
        </w:rPr>
        <w:t>&lt;</w:t>
      </w:r>
      <w:r>
        <w:rPr>
          <w:color w:val="222122"/>
        </w:rPr>
        <w:t>12hours</w:t>
      </w:r>
      <w:r w:rsidR="00BB76CA">
        <w:rPr>
          <w:color w:val="222122"/>
        </w:rPr>
        <w:t>,</w:t>
      </w:r>
      <w:r>
        <w:rPr>
          <w:color w:val="222122"/>
        </w:rPr>
        <w:t xml:space="preserve"> </w:t>
      </w:r>
      <w:r w:rsidR="003D78BB">
        <w:rPr>
          <w:color w:val="222122"/>
        </w:rPr>
        <w:t xml:space="preserve">but </w:t>
      </w:r>
      <w:r>
        <w:rPr>
          <w:color w:val="222122"/>
        </w:rPr>
        <w:t xml:space="preserve">a </w:t>
      </w:r>
      <w:r w:rsidR="002D564E">
        <w:rPr>
          <w:color w:val="222122"/>
        </w:rPr>
        <w:t xml:space="preserve">longer </w:t>
      </w:r>
      <w:r>
        <w:rPr>
          <w:color w:val="222122"/>
        </w:rPr>
        <w:t>time</w:t>
      </w:r>
      <w:r w:rsidR="003D78BB">
        <w:rPr>
          <w:color w:val="222122"/>
        </w:rPr>
        <w:t xml:space="preserve"> window</w:t>
      </w:r>
      <w:r>
        <w:rPr>
          <w:color w:val="222122"/>
        </w:rPr>
        <w:t xml:space="preserve"> </w:t>
      </w:r>
      <w:r w:rsidR="003D78BB">
        <w:rPr>
          <w:color w:val="222122"/>
        </w:rPr>
        <w:t>of 12-24hours</w:t>
      </w:r>
      <w:r w:rsidR="003D78BB" w:rsidRPr="003D78BB">
        <w:rPr>
          <w:color w:val="222122"/>
        </w:rPr>
        <w:t xml:space="preserve"> </w:t>
      </w:r>
      <w:r w:rsidR="003D78BB">
        <w:rPr>
          <w:color w:val="222122"/>
        </w:rPr>
        <w:t>i</w:t>
      </w:r>
      <w:r w:rsidR="00B2210E">
        <w:rPr>
          <w:color w:val="222122"/>
        </w:rPr>
        <w:t>s</w:t>
      </w:r>
      <w:r w:rsidR="003D78BB">
        <w:rPr>
          <w:color w:val="222122"/>
        </w:rPr>
        <w:t xml:space="preserve"> given a </w:t>
      </w:r>
      <w:r>
        <w:rPr>
          <w:color w:val="222122"/>
        </w:rPr>
        <w:t xml:space="preserve">class </w:t>
      </w:r>
      <w:proofErr w:type="spellStart"/>
      <w:r>
        <w:rPr>
          <w:color w:val="222122"/>
        </w:rPr>
        <w:t>IIa</w:t>
      </w:r>
      <w:proofErr w:type="spellEnd"/>
      <w:r w:rsidR="003D78BB">
        <w:rPr>
          <w:color w:val="222122"/>
        </w:rPr>
        <w:t xml:space="preserve"> recommendation</w:t>
      </w:r>
      <w:r>
        <w:rPr>
          <w:color w:val="222122"/>
        </w:rPr>
        <w:t>.</w:t>
      </w:r>
      <w:r w:rsidR="0030048E">
        <w:rPr>
          <w:color w:val="222122"/>
        </w:rPr>
        <w:fldChar w:fldCharType="begin" w:fldLock="1"/>
      </w:r>
      <w:r w:rsidR="001213F5">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30048E">
        <w:rPr>
          <w:color w:val="222122"/>
        </w:rPr>
        <w:fldChar w:fldCharType="separate"/>
      </w:r>
      <w:r w:rsidR="0030048E" w:rsidRPr="0030048E">
        <w:rPr>
          <w:noProof/>
          <w:color w:val="222122"/>
          <w:vertAlign w:val="superscript"/>
        </w:rPr>
        <w:t>5</w:t>
      </w:r>
      <w:r w:rsidR="0030048E">
        <w:rPr>
          <w:color w:val="222122"/>
        </w:rPr>
        <w:fldChar w:fldCharType="end"/>
      </w:r>
    </w:p>
    <w:p w14:paraId="55CA1D82" w14:textId="57CB0BF1" w:rsidR="001C2405" w:rsidRDefault="001C2405" w:rsidP="001C2405">
      <w:pPr>
        <w:spacing w:before="100" w:beforeAutospacing="1" w:after="100" w:afterAutospacing="1" w:line="360" w:lineRule="auto"/>
        <w:rPr>
          <w:color w:val="222122"/>
        </w:rPr>
      </w:pPr>
      <w:r>
        <w:rPr>
          <w:color w:val="222122"/>
        </w:rPr>
        <w:t xml:space="preserve">In both guidelines, </w:t>
      </w:r>
      <w:proofErr w:type="gramStart"/>
      <w:r w:rsidRPr="00F27A39">
        <w:rPr>
          <w:color w:val="222122"/>
        </w:rPr>
        <w:t>PCI</w:t>
      </w:r>
      <w:r w:rsidR="00671B20">
        <w:rPr>
          <w:color w:val="222122"/>
        </w:rPr>
        <w:t>(</w:t>
      </w:r>
      <w:proofErr w:type="gramEnd"/>
      <w:r w:rsidRPr="00F27A39">
        <w:rPr>
          <w:color w:val="222122"/>
        </w:rPr>
        <w:t>or surgery</w:t>
      </w:r>
      <w:r w:rsidR="00671B20">
        <w:rPr>
          <w:color w:val="222122"/>
        </w:rPr>
        <w:t xml:space="preserve"> </w:t>
      </w:r>
      <w:r w:rsidRPr="00F27A39">
        <w:rPr>
          <w:color w:val="222122"/>
        </w:rPr>
        <w:t xml:space="preserve">if PCI not feasible) </w:t>
      </w:r>
      <w:r w:rsidR="0063001B">
        <w:rPr>
          <w:color w:val="222122"/>
        </w:rPr>
        <w:t>is recommended in</w:t>
      </w:r>
      <w:r w:rsidRPr="00F27A39">
        <w:rPr>
          <w:color w:val="222122"/>
        </w:rPr>
        <w:t xml:space="preserve"> patients with cardiogenic shock or hemodynamic instability irrespective of symptom onset</w:t>
      </w:r>
      <w:r w:rsidR="00610347">
        <w:rPr>
          <w:color w:val="222122"/>
        </w:rPr>
        <w:t>. R</w:t>
      </w:r>
      <w:r w:rsidRPr="00F27A39">
        <w:rPr>
          <w:color w:val="222122"/>
        </w:rPr>
        <w:t xml:space="preserve">escue PCI </w:t>
      </w:r>
      <w:r>
        <w:rPr>
          <w:color w:val="222122"/>
        </w:rPr>
        <w:t>has</w:t>
      </w:r>
      <w:r w:rsidRPr="00F27A39">
        <w:rPr>
          <w:color w:val="222122"/>
        </w:rPr>
        <w:t xml:space="preserve"> a class I indication after failed fibrinoly</w:t>
      </w:r>
      <w:r w:rsidR="00277B63">
        <w:rPr>
          <w:color w:val="222122"/>
        </w:rPr>
        <w:t>sis</w:t>
      </w:r>
      <w:r>
        <w:rPr>
          <w:color w:val="222122"/>
        </w:rPr>
        <w:t xml:space="preserve"> in the ESC guidelines</w:t>
      </w:r>
      <w:r w:rsidRPr="00F27A39">
        <w:rPr>
          <w:color w:val="222122"/>
        </w:rPr>
        <w:t>.</w:t>
      </w:r>
      <w:r w:rsidR="001213F5">
        <w:rPr>
          <w:color w:val="222122"/>
        </w:rPr>
        <w:fldChar w:fldCharType="begin" w:fldLock="1"/>
      </w:r>
      <w:r w:rsidR="001213F5">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Guidelines.","type":"article-journal","volume":"145"},"uris":["http://www.mendeley.com/documents/?uuid=fae58fe5-e3b9-440c-a6e3-d09897d44976"]},{"id":"ITEM-2","itemData":{"DOI":"10.1093/eurheartj/ehy394","ISSN":"1522-9645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journal","id":"ITEM-2","issue":"2","issued":{"date-parts":[["2019","1"]]},"language":"eng","page":"87-165","publisher-place":"England","title":"2018 ESC/EACTS Guidelines on myocardial revascularization.","type":"article-journal","volume":"40"},"uris":["http://www.mendeley.com/documents/?uuid=172fd6b2-4fca-43ea-ac0a-003d2d1f2038"]}],"mendeley":{"formattedCitation":"&lt;sup&gt;5,6&lt;/sup&gt;","plainTextFormattedCitation":"5,6","previouslyFormattedCitation":"&lt;sup&gt;5,6&lt;/sup&gt;"},"properties":{"noteIndex":0},"schema":"https://github.com/citation-style-language/schema/raw/master/csl-citation.json"}</w:instrText>
      </w:r>
      <w:r w:rsidR="001213F5">
        <w:rPr>
          <w:color w:val="222122"/>
        </w:rPr>
        <w:fldChar w:fldCharType="separate"/>
      </w:r>
      <w:r w:rsidR="001213F5" w:rsidRPr="001213F5">
        <w:rPr>
          <w:noProof/>
          <w:color w:val="222122"/>
          <w:vertAlign w:val="superscript"/>
        </w:rPr>
        <w:t>5,6</w:t>
      </w:r>
      <w:r w:rsidR="001213F5">
        <w:rPr>
          <w:color w:val="222122"/>
        </w:rPr>
        <w:fldChar w:fldCharType="end"/>
      </w:r>
      <w:r w:rsidRPr="00F27A39">
        <w:rPr>
          <w:color w:val="222122"/>
        </w:rPr>
        <w:t xml:space="preserve"> </w:t>
      </w:r>
    </w:p>
    <w:p w14:paraId="45DAF392" w14:textId="5FE3E305" w:rsidR="001C2405" w:rsidRDefault="001C2405" w:rsidP="00E3706E">
      <w:pPr>
        <w:spacing w:before="100" w:beforeAutospacing="1" w:after="100" w:afterAutospacing="1" w:line="360" w:lineRule="auto"/>
        <w:rPr>
          <w:color w:val="222122"/>
        </w:rPr>
      </w:pPr>
      <w:r>
        <w:rPr>
          <w:color w:val="222122"/>
        </w:rPr>
        <w:t xml:space="preserve">In the ESC guidelines, </w:t>
      </w:r>
      <w:r w:rsidR="00277B63">
        <w:rPr>
          <w:color w:val="222122"/>
        </w:rPr>
        <w:t xml:space="preserve">fibrinolysis </w:t>
      </w:r>
      <w:r w:rsidR="00016C4F">
        <w:rPr>
          <w:color w:val="222122"/>
        </w:rPr>
        <w:t>recommendations</w:t>
      </w:r>
      <w:r>
        <w:rPr>
          <w:color w:val="222122"/>
        </w:rPr>
        <w:t xml:space="preserve"> are similar to NICE.</w:t>
      </w:r>
      <w:r w:rsidR="001213F5">
        <w:rPr>
          <w:color w:val="222122"/>
        </w:rPr>
        <w:fldChar w:fldCharType="begin" w:fldLock="1"/>
      </w:r>
      <w:r w:rsidR="001213F5">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1213F5">
        <w:rPr>
          <w:color w:val="222122"/>
        </w:rPr>
        <w:fldChar w:fldCharType="separate"/>
      </w:r>
      <w:r w:rsidR="001213F5" w:rsidRPr="001213F5">
        <w:rPr>
          <w:noProof/>
          <w:color w:val="222122"/>
          <w:vertAlign w:val="superscript"/>
        </w:rPr>
        <w:t>6</w:t>
      </w:r>
      <w:r w:rsidR="001213F5">
        <w:rPr>
          <w:color w:val="222122"/>
        </w:rPr>
        <w:fldChar w:fldCharType="end"/>
      </w:r>
      <w:r>
        <w:rPr>
          <w:color w:val="222122"/>
        </w:rPr>
        <w:t xml:space="preserve"> In the updated American guidelines, no specific </w:t>
      </w:r>
      <w:r w:rsidR="00296FDA">
        <w:rPr>
          <w:color w:val="222122"/>
        </w:rPr>
        <w:t>details</w:t>
      </w:r>
      <w:r>
        <w:rPr>
          <w:color w:val="222122"/>
        </w:rPr>
        <w:t xml:space="preserve"> </w:t>
      </w:r>
      <w:r w:rsidR="00296FDA">
        <w:rPr>
          <w:color w:val="222122"/>
        </w:rPr>
        <w:t>are</w:t>
      </w:r>
      <w:r>
        <w:rPr>
          <w:color w:val="222122"/>
        </w:rPr>
        <w:t xml:space="preserve"> given </w:t>
      </w:r>
      <w:r w:rsidR="00296FDA">
        <w:rPr>
          <w:color w:val="222122"/>
        </w:rPr>
        <w:t>regarding timing of</w:t>
      </w:r>
      <w:r>
        <w:rPr>
          <w:color w:val="222122"/>
        </w:rPr>
        <w:t xml:space="preserve"> </w:t>
      </w:r>
      <w:r w:rsidR="00277B63">
        <w:rPr>
          <w:color w:val="222122"/>
        </w:rPr>
        <w:t xml:space="preserve">fibrinolysis </w:t>
      </w:r>
      <w:r>
        <w:rPr>
          <w:color w:val="222122"/>
        </w:rPr>
        <w:t>in STEMI</w:t>
      </w:r>
      <w:r w:rsidR="00DC5617">
        <w:rPr>
          <w:color w:val="222122"/>
        </w:rPr>
        <w:t>,</w:t>
      </w:r>
      <w:r w:rsidR="008F1281">
        <w:rPr>
          <w:color w:val="222122"/>
        </w:rPr>
        <w:t xml:space="preserve"> </w:t>
      </w:r>
      <w:r w:rsidR="008F1281">
        <w:rPr>
          <w:color w:val="222122"/>
        </w:rPr>
        <w:lastRenderedPageBreak/>
        <w:t>but rescue PCI is recommended(class I) after failed lytic therapy</w:t>
      </w:r>
      <w:r w:rsidR="00610347">
        <w:rPr>
          <w:color w:val="222122"/>
        </w:rPr>
        <w:t xml:space="preserve">. Importantly, </w:t>
      </w:r>
      <w:r w:rsidR="008F1281">
        <w:rPr>
          <w:color w:val="222122"/>
        </w:rPr>
        <w:t xml:space="preserve"> </w:t>
      </w:r>
      <w:r w:rsidR="00DC5617">
        <w:rPr>
          <w:color w:val="222122"/>
        </w:rPr>
        <w:t xml:space="preserve">routine </w:t>
      </w:r>
      <w:r w:rsidR="00610347">
        <w:rPr>
          <w:color w:val="222122"/>
        </w:rPr>
        <w:t xml:space="preserve">invasive </w:t>
      </w:r>
      <w:r w:rsidR="008F1281">
        <w:rPr>
          <w:color w:val="222122"/>
        </w:rPr>
        <w:t xml:space="preserve">angiography </w:t>
      </w:r>
      <w:r w:rsidR="00610347">
        <w:rPr>
          <w:color w:val="222122"/>
        </w:rPr>
        <w:t xml:space="preserve">is recommended </w:t>
      </w:r>
      <w:r w:rsidR="008F1281">
        <w:rPr>
          <w:color w:val="222122"/>
        </w:rPr>
        <w:t xml:space="preserve">3-24hours after </w:t>
      </w:r>
      <w:r w:rsidR="00610347">
        <w:rPr>
          <w:color w:val="222122"/>
        </w:rPr>
        <w:t xml:space="preserve">any </w:t>
      </w:r>
      <w:r w:rsidR="00277B63">
        <w:rPr>
          <w:color w:val="222122"/>
        </w:rPr>
        <w:t xml:space="preserve">fibrinolysis </w:t>
      </w:r>
      <w:r w:rsidR="008F1281">
        <w:rPr>
          <w:color w:val="222122"/>
        </w:rPr>
        <w:t>therapy is given</w:t>
      </w:r>
      <w:r w:rsidR="00F2596F">
        <w:rPr>
          <w:color w:val="222122"/>
        </w:rPr>
        <w:t>(</w:t>
      </w:r>
      <w:r w:rsidR="008F1281">
        <w:rPr>
          <w:color w:val="222122"/>
        </w:rPr>
        <w:t xml:space="preserve">class </w:t>
      </w:r>
      <w:proofErr w:type="spellStart"/>
      <w:r w:rsidR="008F1281">
        <w:rPr>
          <w:color w:val="222122"/>
        </w:rPr>
        <w:t>IIa</w:t>
      </w:r>
      <w:proofErr w:type="spellEnd"/>
      <w:r w:rsidR="00F2596F">
        <w:rPr>
          <w:color w:val="222122"/>
        </w:rPr>
        <w:t>)</w:t>
      </w:r>
      <w:r>
        <w:rPr>
          <w:color w:val="222122"/>
        </w:rPr>
        <w:t>.</w:t>
      </w:r>
      <w:r w:rsidR="001213F5">
        <w:rPr>
          <w:color w:val="222122"/>
        </w:rPr>
        <w:fldChar w:fldCharType="begin" w:fldLock="1"/>
      </w:r>
      <w:r w:rsidR="001213F5">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1213F5">
        <w:rPr>
          <w:color w:val="222122"/>
        </w:rPr>
        <w:fldChar w:fldCharType="separate"/>
      </w:r>
      <w:r w:rsidR="001213F5" w:rsidRPr="001213F5">
        <w:rPr>
          <w:noProof/>
          <w:color w:val="222122"/>
          <w:vertAlign w:val="superscript"/>
        </w:rPr>
        <w:t>5</w:t>
      </w:r>
      <w:r w:rsidR="001213F5">
        <w:rPr>
          <w:color w:val="222122"/>
        </w:rPr>
        <w:fldChar w:fldCharType="end"/>
      </w:r>
    </w:p>
    <w:p w14:paraId="7BBEFEBA" w14:textId="77777777" w:rsidR="00274208" w:rsidRPr="00274208" w:rsidRDefault="00274208" w:rsidP="00E3706E">
      <w:pPr>
        <w:spacing w:before="100" w:beforeAutospacing="1" w:after="100" w:afterAutospacing="1" w:line="360" w:lineRule="auto"/>
        <w:rPr>
          <w:i/>
          <w:iCs/>
          <w:color w:val="222122"/>
        </w:rPr>
      </w:pPr>
      <w:r w:rsidRPr="00274208">
        <w:rPr>
          <w:i/>
          <w:iCs/>
          <w:color w:val="222122"/>
        </w:rPr>
        <w:t>Complete Revascularisation</w:t>
      </w:r>
    </w:p>
    <w:p w14:paraId="693F2BD7" w14:textId="1679F73E" w:rsidR="00274208" w:rsidRDefault="00620972" w:rsidP="00274208">
      <w:pPr>
        <w:spacing w:before="100" w:beforeAutospacing="1" w:after="100" w:afterAutospacing="1" w:line="360" w:lineRule="auto"/>
        <w:rPr>
          <w:color w:val="222122"/>
        </w:rPr>
      </w:pPr>
      <w:r w:rsidRPr="00F9235F">
        <w:rPr>
          <w:color w:val="222122"/>
        </w:rPr>
        <w:t>NICE recommends revascularisation of non-culprit arteries following primary PCI in patients who have significant bystander disease</w:t>
      </w:r>
      <w:r w:rsidR="00F31366">
        <w:rPr>
          <w:color w:val="222122"/>
        </w:rPr>
        <w:t>.</w:t>
      </w:r>
      <w:r w:rsidR="006D3936">
        <w:rPr>
          <w:color w:val="222122"/>
        </w:rPr>
        <w:t xml:space="preserve"> Further</w:t>
      </w:r>
      <w:r w:rsidR="00A91B78">
        <w:rPr>
          <w:color w:val="222122"/>
        </w:rPr>
        <w:t>more</w:t>
      </w:r>
      <w:r w:rsidR="006D3936">
        <w:rPr>
          <w:color w:val="222122"/>
        </w:rPr>
        <w:t>,</w:t>
      </w:r>
      <w:r w:rsidR="00A91B78">
        <w:rPr>
          <w:color w:val="222122"/>
        </w:rPr>
        <w:t xml:space="preserve"> </w:t>
      </w:r>
      <w:r w:rsidR="006D3936">
        <w:rPr>
          <w:color w:val="222122"/>
        </w:rPr>
        <w:t>complete revascularisation should</w:t>
      </w:r>
      <w:r w:rsidR="00274208" w:rsidRPr="00F27A39">
        <w:rPr>
          <w:color w:val="222122"/>
        </w:rPr>
        <w:t xml:space="preserve"> be </w:t>
      </w:r>
      <w:r w:rsidR="00274208">
        <w:rPr>
          <w:color w:val="222122"/>
        </w:rPr>
        <w:t xml:space="preserve">performed </w:t>
      </w:r>
      <w:r w:rsidR="00274208" w:rsidRPr="00F27A39">
        <w:rPr>
          <w:color w:val="222122"/>
        </w:rPr>
        <w:t>during the index hospital admission.</w:t>
      </w:r>
      <w:r w:rsidR="001213F5">
        <w:rPr>
          <w:color w:val="222122"/>
        </w:rPr>
        <w:fldChar w:fldCharType="begin" w:fldLock="1"/>
      </w:r>
      <w:r w:rsidR="001213F5">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1213F5">
        <w:rPr>
          <w:color w:val="222122"/>
        </w:rPr>
        <w:fldChar w:fldCharType="separate"/>
      </w:r>
      <w:r w:rsidR="001213F5" w:rsidRPr="001213F5">
        <w:rPr>
          <w:noProof/>
          <w:color w:val="222122"/>
          <w:vertAlign w:val="superscript"/>
        </w:rPr>
        <w:t>1</w:t>
      </w:r>
      <w:r w:rsidR="001213F5">
        <w:rPr>
          <w:color w:val="222122"/>
        </w:rPr>
        <w:fldChar w:fldCharType="end"/>
      </w:r>
      <w:r w:rsidR="00274208" w:rsidRPr="00FC2F3E">
        <w:rPr>
          <w:color w:val="222122"/>
        </w:rPr>
        <w:t xml:space="preserve">  </w:t>
      </w:r>
      <w:r w:rsidR="006D3936">
        <w:rPr>
          <w:color w:val="222122"/>
        </w:rPr>
        <w:t xml:space="preserve">By contrast, </w:t>
      </w:r>
      <w:r w:rsidR="00AD04B7">
        <w:rPr>
          <w:color w:val="222122"/>
        </w:rPr>
        <w:t>only the culprit vessel should be treated</w:t>
      </w:r>
      <w:r w:rsidR="00050DE8">
        <w:rPr>
          <w:color w:val="222122"/>
        </w:rPr>
        <w:t xml:space="preserve"> </w:t>
      </w:r>
      <w:r w:rsidR="00274208" w:rsidRPr="00FC2F3E">
        <w:rPr>
          <w:color w:val="222122"/>
        </w:rPr>
        <w:t xml:space="preserve">during the index procedure for </w:t>
      </w:r>
      <w:r w:rsidR="006D3936">
        <w:rPr>
          <w:color w:val="222122"/>
        </w:rPr>
        <w:t xml:space="preserve">STEMI patients </w:t>
      </w:r>
      <w:r w:rsidR="00274208" w:rsidRPr="00FC2F3E">
        <w:rPr>
          <w:color w:val="222122"/>
        </w:rPr>
        <w:t>with cardiogenic shock</w:t>
      </w:r>
      <w:r w:rsidR="00274208">
        <w:rPr>
          <w:color w:val="222122"/>
        </w:rPr>
        <w:t>.</w:t>
      </w:r>
      <w:r w:rsidR="001213F5">
        <w:rPr>
          <w:color w:val="222122"/>
        </w:rPr>
        <w:fldChar w:fldCharType="begin" w:fldLock="1"/>
      </w:r>
      <w:r w:rsidR="00A97711">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1213F5">
        <w:rPr>
          <w:color w:val="222122"/>
        </w:rPr>
        <w:fldChar w:fldCharType="separate"/>
      </w:r>
      <w:r w:rsidR="001213F5" w:rsidRPr="001213F5">
        <w:rPr>
          <w:noProof/>
          <w:color w:val="222122"/>
          <w:vertAlign w:val="superscript"/>
        </w:rPr>
        <w:t>1</w:t>
      </w:r>
      <w:r w:rsidR="001213F5">
        <w:rPr>
          <w:color w:val="222122"/>
        </w:rPr>
        <w:fldChar w:fldCharType="end"/>
      </w:r>
    </w:p>
    <w:p w14:paraId="084DE47B" w14:textId="75B8F0C7" w:rsidR="00274208" w:rsidRPr="00274208" w:rsidRDefault="00497D4F" w:rsidP="00274208">
      <w:pPr>
        <w:spacing w:line="360" w:lineRule="auto"/>
        <w:rPr>
          <w:color w:val="222122"/>
        </w:rPr>
      </w:pPr>
      <w:r>
        <w:rPr>
          <w:color w:val="222122"/>
        </w:rPr>
        <w:t>The</w:t>
      </w:r>
      <w:r w:rsidR="008F1281">
        <w:rPr>
          <w:color w:val="222122"/>
        </w:rPr>
        <w:t xml:space="preserve"> ESC and ACC/AHA/SCAI</w:t>
      </w:r>
      <w:r w:rsidR="00B2210E">
        <w:rPr>
          <w:color w:val="222122"/>
        </w:rPr>
        <w:t xml:space="preserve"> guidelines</w:t>
      </w:r>
      <w:r>
        <w:rPr>
          <w:color w:val="222122"/>
        </w:rPr>
        <w:t xml:space="preserve"> regarding complete revascularisation in STEMI</w:t>
      </w:r>
      <w:r w:rsidR="00B2210E">
        <w:rPr>
          <w:color w:val="222122"/>
        </w:rPr>
        <w:t xml:space="preserve"> </w:t>
      </w:r>
      <w:r w:rsidR="008F1281">
        <w:rPr>
          <w:color w:val="222122"/>
        </w:rPr>
        <w:t xml:space="preserve">are </w:t>
      </w:r>
      <w:r w:rsidR="00CC5C7B">
        <w:rPr>
          <w:color w:val="222122"/>
        </w:rPr>
        <w:t>concordant with NICE</w:t>
      </w:r>
      <w:r w:rsidR="00274208">
        <w:rPr>
          <w:color w:val="222122"/>
        </w:rPr>
        <w:t>. For example,</w:t>
      </w:r>
      <w:r w:rsidR="00274208" w:rsidRPr="00FC2F3E">
        <w:rPr>
          <w:color w:val="222122"/>
        </w:rPr>
        <w:t xml:space="preserve"> ESC guideline</w:t>
      </w:r>
      <w:r w:rsidR="00274208">
        <w:rPr>
          <w:color w:val="222122"/>
        </w:rPr>
        <w:t>s</w:t>
      </w:r>
      <w:r w:rsidR="00274208" w:rsidRPr="00FC2F3E">
        <w:rPr>
          <w:color w:val="222122"/>
        </w:rPr>
        <w:t xml:space="preserve"> </w:t>
      </w:r>
      <w:r w:rsidR="00B2210E">
        <w:rPr>
          <w:color w:val="222122"/>
        </w:rPr>
        <w:t>specify</w:t>
      </w:r>
      <w:r w:rsidR="00274208" w:rsidRPr="00FC2F3E">
        <w:rPr>
          <w:color w:val="222122"/>
        </w:rPr>
        <w:t xml:space="preserve"> a class </w:t>
      </w:r>
      <w:proofErr w:type="spellStart"/>
      <w:r w:rsidR="00991664" w:rsidRPr="00FC2F3E">
        <w:rPr>
          <w:color w:val="222122"/>
        </w:rPr>
        <w:t>II</w:t>
      </w:r>
      <w:r w:rsidR="00991664">
        <w:rPr>
          <w:color w:val="222122"/>
        </w:rPr>
        <w:t>a</w:t>
      </w:r>
      <w:proofErr w:type="spellEnd"/>
      <w:r w:rsidR="00991664" w:rsidRPr="00FC2F3E">
        <w:rPr>
          <w:color w:val="222122"/>
        </w:rPr>
        <w:t xml:space="preserve"> </w:t>
      </w:r>
      <w:r w:rsidR="00274208" w:rsidRPr="00FC2F3E">
        <w:rPr>
          <w:color w:val="222122"/>
        </w:rPr>
        <w:t>recommendation for non-IRA lesions before hospital discharge.</w:t>
      </w:r>
      <w:r w:rsidR="00A97711">
        <w:rPr>
          <w:color w:val="222122"/>
        </w:rPr>
        <w:fldChar w:fldCharType="begin" w:fldLock="1"/>
      </w:r>
      <w:r w:rsidR="00A97711">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A97711">
        <w:rPr>
          <w:color w:val="222122"/>
        </w:rPr>
        <w:fldChar w:fldCharType="separate"/>
      </w:r>
      <w:r w:rsidR="00A97711" w:rsidRPr="00A97711">
        <w:rPr>
          <w:noProof/>
          <w:color w:val="222122"/>
          <w:vertAlign w:val="superscript"/>
        </w:rPr>
        <w:t>6</w:t>
      </w:r>
      <w:r w:rsidR="00A97711">
        <w:rPr>
          <w:color w:val="222122"/>
        </w:rPr>
        <w:fldChar w:fldCharType="end"/>
      </w:r>
      <w:r w:rsidR="00274208" w:rsidRPr="00FC2F3E">
        <w:rPr>
          <w:color w:val="222122"/>
        </w:rPr>
        <w:t xml:space="preserve">  In the </w:t>
      </w:r>
      <w:r w:rsidR="00AA68B9">
        <w:rPr>
          <w:color w:val="222122"/>
        </w:rPr>
        <w:t>ACC/AHA/SCAI</w:t>
      </w:r>
      <w:r w:rsidR="00274208" w:rsidRPr="00FC2F3E">
        <w:rPr>
          <w:color w:val="222122"/>
        </w:rPr>
        <w:t xml:space="preserve"> guidelines, staged percutaneous intervention(in hospital or after discharge) of </w:t>
      </w:r>
      <w:r w:rsidR="0037564E">
        <w:rPr>
          <w:color w:val="222122"/>
        </w:rPr>
        <w:t xml:space="preserve">bystander disease </w:t>
      </w:r>
      <w:r w:rsidR="00274208" w:rsidRPr="00FC2F3E">
        <w:rPr>
          <w:color w:val="222122"/>
        </w:rPr>
        <w:t>is recommended(</w:t>
      </w:r>
      <w:r w:rsidR="00CC5C7B">
        <w:rPr>
          <w:color w:val="222122"/>
        </w:rPr>
        <w:t xml:space="preserve">class </w:t>
      </w:r>
      <w:r w:rsidR="00274208" w:rsidRPr="00FC2F3E">
        <w:rPr>
          <w:color w:val="222122"/>
        </w:rPr>
        <w:t>I) i</w:t>
      </w:r>
      <w:r w:rsidR="00040604">
        <w:rPr>
          <w:color w:val="222122"/>
        </w:rPr>
        <w:t>f the vessel supplies a large area of myocardium and the patient has few comorbidities</w:t>
      </w:r>
      <w:r w:rsidR="00274208" w:rsidRPr="00FC2F3E">
        <w:rPr>
          <w:color w:val="222122"/>
        </w:rPr>
        <w:t>.</w:t>
      </w:r>
      <w:r w:rsidR="00A97711">
        <w:rPr>
          <w:color w:val="222122"/>
        </w:rPr>
        <w:fldChar w:fldCharType="begin" w:fldLock="1"/>
      </w:r>
      <w:r w:rsidR="00A97711">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A97711">
        <w:rPr>
          <w:color w:val="222122"/>
        </w:rPr>
        <w:fldChar w:fldCharType="separate"/>
      </w:r>
      <w:r w:rsidR="00A97711" w:rsidRPr="00A97711">
        <w:rPr>
          <w:noProof/>
          <w:color w:val="222122"/>
          <w:vertAlign w:val="superscript"/>
        </w:rPr>
        <w:t>5</w:t>
      </w:r>
      <w:r w:rsidR="00A97711">
        <w:rPr>
          <w:color w:val="222122"/>
        </w:rPr>
        <w:fldChar w:fldCharType="end"/>
      </w:r>
      <w:r w:rsidR="00CC5C7B">
        <w:rPr>
          <w:color w:val="222122"/>
        </w:rPr>
        <w:t xml:space="preserve"> </w:t>
      </w:r>
      <w:r w:rsidR="00BC72C4">
        <w:rPr>
          <w:color w:val="222122"/>
        </w:rPr>
        <w:t xml:space="preserve">In addition, </w:t>
      </w:r>
      <w:r w:rsidR="002B1E21">
        <w:rPr>
          <w:color w:val="222122"/>
        </w:rPr>
        <w:t xml:space="preserve">PCI </w:t>
      </w:r>
      <w:r w:rsidR="00274208" w:rsidRPr="00FC2F3E">
        <w:rPr>
          <w:color w:val="222122"/>
        </w:rPr>
        <w:t>of non</w:t>
      </w:r>
      <w:r w:rsidR="00A97711">
        <w:rPr>
          <w:color w:val="222122"/>
        </w:rPr>
        <w:t>-</w:t>
      </w:r>
      <w:r w:rsidR="00274208" w:rsidRPr="00FC2F3E">
        <w:rPr>
          <w:color w:val="222122"/>
        </w:rPr>
        <w:t xml:space="preserve">culprit </w:t>
      </w:r>
      <w:r w:rsidR="002B1E21">
        <w:rPr>
          <w:color w:val="222122"/>
        </w:rPr>
        <w:t>vessel(s)</w:t>
      </w:r>
      <w:r w:rsidR="00274208" w:rsidRPr="00FC2F3E">
        <w:rPr>
          <w:color w:val="222122"/>
        </w:rPr>
        <w:t xml:space="preserve"> at the time of primary </w:t>
      </w:r>
      <w:r w:rsidR="002B1E21">
        <w:rPr>
          <w:color w:val="222122"/>
        </w:rPr>
        <w:t>PCI</w:t>
      </w:r>
      <w:r w:rsidR="00050DE8">
        <w:rPr>
          <w:color w:val="222122"/>
        </w:rPr>
        <w:t xml:space="preserve"> </w:t>
      </w:r>
      <w:r w:rsidR="00274208" w:rsidRPr="00FC2F3E">
        <w:rPr>
          <w:color w:val="222122"/>
        </w:rPr>
        <w:t>may be considered(</w:t>
      </w:r>
      <w:r w:rsidR="00CC5C7B">
        <w:rPr>
          <w:color w:val="222122"/>
        </w:rPr>
        <w:t>class II</w:t>
      </w:r>
      <w:r w:rsidR="00274208" w:rsidRPr="00FC2F3E">
        <w:rPr>
          <w:color w:val="222122"/>
        </w:rPr>
        <w:t>b) in stable patients with uncomplicated revascularization of the culprit artery, low complexity non</w:t>
      </w:r>
      <w:r w:rsidR="00274208">
        <w:rPr>
          <w:color w:val="222122"/>
        </w:rPr>
        <w:t>-</w:t>
      </w:r>
      <w:r w:rsidR="00274208" w:rsidRPr="00FC2F3E">
        <w:rPr>
          <w:color w:val="222122"/>
        </w:rPr>
        <w:t>culprit artery disease, and normal renal function.</w:t>
      </w:r>
      <w:r w:rsidR="00A97711">
        <w:rPr>
          <w:color w:val="222122"/>
        </w:rPr>
        <w:fldChar w:fldCharType="begin" w:fldLock="1"/>
      </w:r>
      <w:r w:rsidR="00AA68B9">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A97711">
        <w:rPr>
          <w:color w:val="222122"/>
        </w:rPr>
        <w:fldChar w:fldCharType="separate"/>
      </w:r>
      <w:r w:rsidR="00A97711" w:rsidRPr="00A97711">
        <w:rPr>
          <w:noProof/>
          <w:color w:val="222122"/>
          <w:vertAlign w:val="superscript"/>
        </w:rPr>
        <w:t>5</w:t>
      </w:r>
      <w:r w:rsidR="00A97711">
        <w:rPr>
          <w:color w:val="222122"/>
        </w:rPr>
        <w:fldChar w:fldCharType="end"/>
      </w:r>
      <w:r w:rsidR="00274208" w:rsidRPr="00FC2F3E">
        <w:rPr>
          <w:color w:val="222122"/>
        </w:rPr>
        <w:t xml:space="preserve"> </w:t>
      </w:r>
      <w:r w:rsidR="00274208">
        <w:rPr>
          <w:color w:val="222122"/>
        </w:rPr>
        <w:t xml:space="preserve">Regarding STEMI and cardiogenic shock, </w:t>
      </w:r>
      <w:r w:rsidR="009E3099">
        <w:rPr>
          <w:color w:val="222122"/>
        </w:rPr>
        <w:t xml:space="preserve">the </w:t>
      </w:r>
      <w:r w:rsidR="00040604">
        <w:rPr>
          <w:color w:val="222122"/>
        </w:rPr>
        <w:t>NICE</w:t>
      </w:r>
      <w:r w:rsidR="00F2596F">
        <w:rPr>
          <w:color w:val="222122"/>
        </w:rPr>
        <w:t xml:space="preserve">, </w:t>
      </w:r>
      <w:r w:rsidR="00FD680F">
        <w:rPr>
          <w:color w:val="222122"/>
        </w:rPr>
        <w:t>ESC</w:t>
      </w:r>
      <w:r w:rsidR="00F2596F">
        <w:rPr>
          <w:color w:val="222122"/>
        </w:rPr>
        <w:t xml:space="preserve"> and </w:t>
      </w:r>
      <w:r w:rsidR="00FD680F" w:rsidRPr="00FD680F">
        <w:t>ACC/AHA/SCAI</w:t>
      </w:r>
      <w:r w:rsidR="00BC72C4">
        <w:rPr>
          <w:color w:val="222122"/>
        </w:rPr>
        <w:t xml:space="preserve"> </w:t>
      </w:r>
      <w:r w:rsidR="00274208">
        <w:rPr>
          <w:color w:val="222122"/>
        </w:rPr>
        <w:t>guidelines are concordant</w:t>
      </w:r>
      <w:r w:rsidR="009E3099">
        <w:rPr>
          <w:color w:val="222122"/>
        </w:rPr>
        <w:t xml:space="preserve"> in recommending that PC</w:t>
      </w:r>
      <w:r w:rsidR="00A91B78">
        <w:rPr>
          <w:color w:val="222122"/>
        </w:rPr>
        <w:t xml:space="preserve">I </w:t>
      </w:r>
      <w:r w:rsidR="009E3099">
        <w:rPr>
          <w:color w:val="222122"/>
        </w:rPr>
        <w:t xml:space="preserve">of </w:t>
      </w:r>
      <w:r w:rsidR="00274208" w:rsidRPr="00FC2F3E">
        <w:rPr>
          <w:color w:val="222122"/>
        </w:rPr>
        <w:t>non-infarct arter</w:t>
      </w:r>
      <w:r w:rsidR="009E3099">
        <w:rPr>
          <w:color w:val="222122"/>
        </w:rPr>
        <w:t xml:space="preserve">ies should not be </w:t>
      </w:r>
      <w:r w:rsidR="00A91B78">
        <w:rPr>
          <w:color w:val="222122"/>
        </w:rPr>
        <w:t>performed</w:t>
      </w:r>
      <w:r w:rsidR="009E3099">
        <w:rPr>
          <w:color w:val="222122"/>
        </w:rPr>
        <w:t xml:space="preserve"> </w:t>
      </w:r>
      <w:r w:rsidR="00274208" w:rsidRPr="00FC2F3E">
        <w:rPr>
          <w:color w:val="222122"/>
        </w:rPr>
        <w:t>at the time of primary PCI because of the higher risk of death or renal failure</w:t>
      </w:r>
      <w:r w:rsidR="00274208">
        <w:rPr>
          <w:color w:val="222122"/>
        </w:rPr>
        <w:t>(class III).</w:t>
      </w:r>
      <w:r w:rsidR="00AA68B9">
        <w:rPr>
          <w:color w:val="222122"/>
        </w:rPr>
        <w:fldChar w:fldCharType="begin" w:fldLock="1"/>
      </w:r>
      <w:r w:rsidR="00AA68B9">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2020.","type":"webpage"},"uris":["http://www.mendeley.com/documents/?uuid=1fdcdae9-4953-4f7f-8600-3a495bf4a190"]},{"id":"ITEM-2","itemData":{"DOI":"10.1161/CIR.0000000000001039","ISSN":"1524-4539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A","non-dropping-particle":"","parse-names":false,"suffix":""}],"container-title":"Circulation","id":"ITEM-2","issue":"3","issued":{"date-parts":[["2022","1"]]},"language":"eng","page":"e4-e17","publisher-place":"United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Guidelines.","type":"article-journal","volume":"145"},"uris":["http://www.mendeley.com/documents/?uuid=fae58fe5-e3b9-440c-a6e3-d09897d44976"]},{"id":"ITEM-3","itemData":{"DOI":"10.1093/eurheartj/ehy394","ISSN":"1522-9645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journal","id":"ITEM-3","issue":"2","issued":{"date-parts":[["2019","1"]]},"language":"eng","page":"87-165","publisher-place":"England","title":"2018 ESC/EACTS Guidelines on myocardial revascularization.","type":"article-journal","volume":"40"},"uris":["http://www.mendeley.com/documents/?uuid=172fd6b2-4fca-43ea-ac0a-003d2d1f2038"]}],"mendeley":{"formattedCitation":"&lt;sup&gt;1,5,6&lt;/sup&gt;","plainTextFormattedCitation":"1,5,6","previouslyFormattedCitation":"&lt;sup&gt;1,5,6&lt;/sup&gt;"},"properties":{"noteIndex":0},"schema":"https://github.com/citation-style-language/schema/raw/master/csl-citation.json"}</w:instrText>
      </w:r>
      <w:r w:rsidR="00AA68B9">
        <w:rPr>
          <w:color w:val="222122"/>
        </w:rPr>
        <w:fldChar w:fldCharType="separate"/>
      </w:r>
      <w:r w:rsidR="00AA68B9" w:rsidRPr="00AA68B9">
        <w:rPr>
          <w:noProof/>
          <w:color w:val="222122"/>
          <w:vertAlign w:val="superscript"/>
        </w:rPr>
        <w:t>1,5,6</w:t>
      </w:r>
      <w:r w:rsidR="00AA68B9">
        <w:rPr>
          <w:color w:val="222122"/>
        </w:rPr>
        <w:fldChar w:fldCharType="end"/>
      </w:r>
    </w:p>
    <w:p w14:paraId="2F4308E5" w14:textId="77777777" w:rsidR="00A91B78" w:rsidRPr="00E3706E" w:rsidRDefault="00E3706E" w:rsidP="00E3706E">
      <w:pPr>
        <w:spacing w:before="100" w:beforeAutospacing="1" w:after="100" w:afterAutospacing="1" w:line="360" w:lineRule="auto"/>
        <w:rPr>
          <w:i/>
          <w:iCs/>
          <w:color w:val="222122"/>
        </w:rPr>
      </w:pPr>
      <w:r w:rsidRPr="00E3706E">
        <w:rPr>
          <w:i/>
          <w:iCs/>
          <w:color w:val="222122"/>
        </w:rPr>
        <w:t>Antiplatelet therapy</w:t>
      </w:r>
    </w:p>
    <w:p w14:paraId="077E80BC" w14:textId="51BCD810" w:rsidR="00274208" w:rsidRDefault="00E3706E" w:rsidP="006B0A13">
      <w:pPr>
        <w:spacing w:before="100" w:beforeAutospacing="1" w:after="100" w:afterAutospacing="1" w:line="360" w:lineRule="auto"/>
        <w:rPr>
          <w:color w:val="222122"/>
        </w:rPr>
      </w:pPr>
      <w:r>
        <w:rPr>
          <w:color w:val="222122"/>
        </w:rPr>
        <w:t>NICE</w:t>
      </w:r>
      <w:r w:rsidR="00864BA8" w:rsidRPr="00F27A39">
        <w:rPr>
          <w:color w:val="222122"/>
        </w:rPr>
        <w:t xml:space="preserve"> </w:t>
      </w:r>
      <w:r w:rsidR="007E307F">
        <w:rPr>
          <w:color w:val="222122"/>
        </w:rPr>
        <w:t>recommends that a</w:t>
      </w:r>
      <w:r w:rsidR="00864BA8" w:rsidRPr="00F27A39">
        <w:rPr>
          <w:color w:val="222122"/>
        </w:rPr>
        <w:t>spirin 300mg should be administered</w:t>
      </w:r>
      <w:r w:rsidR="00D0751C">
        <w:rPr>
          <w:color w:val="222122"/>
        </w:rPr>
        <w:t xml:space="preserve"> immediately after diagnosis</w:t>
      </w:r>
      <w:r w:rsidR="007E307F">
        <w:rPr>
          <w:color w:val="222122"/>
        </w:rPr>
        <w:t>,</w:t>
      </w:r>
      <w:r w:rsidR="00864BA8" w:rsidRPr="00F27A39">
        <w:rPr>
          <w:color w:val="222122"/>
        </w:rPr>
        <w:t xml:space="preserve"> and </w:t>
      </w:r>
      <w:r w:rsidR="007E307F">
        <w:rPr>
          <w:color w:val="222122"/>
        </w:rPr>
        <w:t xml:space="preserve">that a P2Y12 inhibitor </w:t>
      </w:r>
      <w:r w:rsidR="00FE4CAB">
        <w:rPr>
          <w:color w:val="222122"/>
        </w:rPr>
        <w:t xml:space="preserve">be </w:t>
      </w:r>
      <w:r w:rsidR="009D32CE">
        <w:rPr>
          <w:color w:val="222122"/>
        </w:rPr>
        <w:t xml:space="preserve">given </w:t>
      </w:r>
      <w:r w:rsidR="00A91B78">
        <w:rPr>
          <w:color w:val="222122"/>
        </w:rPr>
        <w:t>early before</w:t>
      </w:r>
      <w:r w:rsidR="007E307F">
        <w:rPr>
          <w:color w:val="222122"/>
        </w:rPr>
        <w:t xml:space="preserve"> primary PCI.</w:t>
      </w:r>
      <w:r w:rsidR="00E64A79" w:rsidRPr="00E64A79">
        <w:rPr>
          <w:rFonts w:ascii="Segoe UI" w:hAnsi="Segoe UI" w:cs="Segoe UI"/>
          <w:color w:val="C00000"/>
          <w:sz w:val="23"/>
          <w:szCs w:val="23"/>
          <w:bdr w:val="none" w:sz="0" w:space="0" w:color="auto" w:frame="1"/>
        </w:rPr>
        <w:t xml:space="preserve"> </w:t>
      </w:r>
      <w:r w:rsidR="00E64A79" w:rsidRPr="00F9235F">
        <w:rPr>
          <w:color w:val="222122"/>
        </w:rPr>
        <w:t>NICE recommends that prasugrel is used as the first line P2Y12 inhibitor in patients who are not taking an oral anticoagulant. Clopidogrel is recommended in patients who are taking an oral anticoagulant</w:t>
      </w:r>
      <w:r w:rsidR="00864BA8" w:rsidRPr="00F27A39">
        <w:rPr>
          <w:color w:val="222122"/>
        </w:rPr>
        <w:t>.</w:t>
      </w:r>
      <w:r w:rsidR="00AA68B9" w:rsidRPr="00F9235F">
        <w:rPr>
          <w:color w:val="222122"/>
          <w:vertAlign w:val="superscript"/>
        </w:rPr>
        <w:fldChar w:fldCharType="begin" w:fldLock="1"/>
      </w:r>
      <w:r w:rsidR="00AA68B9" w:rsidRPr="00F9235F">
        <w:rPr>
          <w:color w:val="222122"/>
          <w:vertAlign w:val="superscript"/>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AA68B9" w:rsidRPr="00F9235F">
        <w:rPr>
          <w:color w:val="222122"/>
          <w:vertAlign w:val="superscript"/>
        </w:rPr>
        <w:fldChar w:fldCharType="separate"/>
      </w:r>
      <w:r w:rsidR="00AA68B9" w:rsidRPr="00B3288C">
        <w:rPr>
          <w:noProof/>
          <w:color w:val="222122"/>
          <w:vertAlign w:val="superscript"/>
        </w:rPr>
        <w:t>1</w:t>
      </w:r>
      <w:r w:rsidR="00AA68B9" w:rsidRPr="00F9235F">
        <w:rPr>
          <w:color w:val="222122"/>
          <w:vertAlign w:val="superscript"/>
        </w:rPr>
        <w:fldChar w:fldCharType="end"/>
      </w:r>
      <w:r w:rsidR="000E6CD6" w:rsidRPr="00F9235F">
        <w:rPr>
          <w:color w:val="222122"/>
          <w:vertAlign w:val="superscript"/>
        </w:rPr>
        <w:t xml:space="preserve"> </w:t>
      </w:r>
      <w:r w:rsidR="00FD680F">
        <w:rPr>
          <w:color w:val="222122"/>
        </w:rPr>
        <w:t>I</w:t>
      </w:r>
      <w:r w:rsidR="00274208">
        <w:rPr>
          <w:color w:val="222122"/>
        </w:rPr>
        <w:t>n contrast to NICE</w:t>
      </w:r>
      <w:r w:rsidR="00FD680F">
        <w:rPr>
          <w:color w:val="222122"/>
        </w:rPr>
        <w:t xml:space="preserve">, ESC </w:t>
      </w:r>
      <w:r w:rsidR="004876AE">
        <w:rPr>
          <w:color w:val="222122"/>
        </w:rPr>
        <w:t>and</w:t>
      </w:r>
      <w:r w:rsidR="00FD680F">
        <w:rPr>
          <w:color w:val="222122"/>
        </w:rPr>
        <w:t xml:space="preserve"> ACC/AHA/SCAI guidelines</w:t>
      </w:r>
      <w:r w:rsidR="00250173">
        <w:rPr>
          <w:color w:val="222122"/>
        </w:rPr>
        <w:t xml:space="preserve"> offer</w:t>
      </w:r>
      <w:r w:rsidR="00274208">
        <w:rPr>
          <w:color w:val="222122"/>
        </w:rPr>
        <w:t xml:space="preserve"> no preference </w:t>
      </w:r>
      <w:r w:rsidR="00FE4CAB">
        <w:rPr>
          <w:color w:val="222122"/>
        </w:rPr>
        <w:t xml:space="preserve">for either </w:t>
      </w:r>
      <w:r w:rsidR="00274208">
        <w:rPr>
          <w:color w:val="222122"/>
        </w:rPr>
        <w:t>prasugrel</w:t>
      </w:r>
      <w:r w:rsidR="00FE4CAB">
        <w:rPr>
          <w:color w:val="222122"/>
        </w:rPr>
        <w:t xml:space="preserve"> or ticagrelor</w:t>
      </w:r>
      <w:r w:rsidR="00274208">
        <w:rPr>
          <w:color w:val="222122"/>
        </w:rPr>
        <w:t>.</w:t>
      </w:r>
      <w:r w:rsidR="00AA68B9" w:rsidRPr="00AA68B9">
        <w:rPr>
          <w:color w:val="222122"/>
        </w:rPr>
        <w:t xml:space="preserve"> </w:t>
      </w:r>
      <w:r w:rsidR="00AA68B9">
        <w:rPr>
          <w:color w:val="222122"/>
        </w:rPr>
        <w:fldChar w:fldCharType="begin" w:fldLock="1"/>
      </w:r>
      <w:r w:rsidR="00DA3C64">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revascularization.","type":"article-journal","volume":"40"},"uris":["http://www.mendeley.com/documents/?uuid=172fd6b2-4fca-43ea-ac0a-003d2d1f2038"]},{"id":"ITEM-2","itemData":{"DOI":"10.1161/CIR.0000000000001039","ISSN":"1524-4539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A","non-dropping-particle":"","parse-names":false,"suffix":""}],"container-title":"Circulation","id":"ITEM-2","issue":"3","issued":{"date-parts":[["2022","1"]]},"language":"eng","page":"e4-e17","publisher-place":"United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5,6&lt;/sup&gt;","plainTextFormattedCitation":"5,6","previouslyFormattedCitation":"&lt;sup&gt;5,6&lt;/sup&gt;"},"properties":{"noteIndex":0},"schema":"https://github.com/citation-style-language/schema/raw/master/csl-citation.json"}</w:instrText>
      </w:r>
      <w:r w:rsidR="00AA68B9">
        <w:rPr>
          <w:color w:val="222122"/>
        </w:rPr>
        <w:fldChar w:fldCharType="separate"/>
      </w:r>
      <w:r w:rsidR="00AA68B9" w:rsidRPr="00AA68B9">
        <w:rPr>
          <w:noProof/>
          <w:color w:val="222122"/>
          <w:vertAlign w:val="superscript"/>
        </w:rPr>
        <w:t>5,6</w:t>
      </w:r>
      <w:r w:rsidR="00AA68B9">
        <w:rPr>
          <w:color w:val="222122"/>
        </w:rPr>
        <w:fldChar w:fldCharType="end"/>
      </w:r>
    </w:p>
    <w:p w14:paraId="1B1D6518" w14:textId="54B9B1F5" w:rsidR="00274208" w:rsidRPr="00274208" w:rsidRDefault="00274208" w:rsidP="005E5F22">
      <w:pPr>
        <w:spacing w:before="100" w:beforeAutospacing="1" w:after="100" w:afterAutospacing="1" w:line="360" w:lineRule="auto"/>
        <w:rPr>
          <w:i/>
          <w:iCs/>
          <w:color w:val="222122"/>
        </w:rPr>
      </w:pPr>
      <w:r w:rsidRPr="00274208">
        <w:rPr>
          <w:i/>
          <w:iCs/>
          <w:color w:val="222122"/>
        </w:rPr>
        <w:t>Access route</w:t>
      </w:r>
      <w:r w:rsidR="009B34B8">
        <w:rPr>
          <w:i/>
          <w:iCs/>
          <w:color w:val="222122"/>
        </w:rPr>
        <w:t xml:space="preserve"> and anticoagulation </w:t>
      </w:r>
    </w:p>
    <w:p w14:paraId="51BC176B" w14:textId="31A1EC5D" w:rsidR="00CC5C7B" w:rsidRPr="00F27A39" w:rsidRDefault="00E64A79" w:rsidP="00CC5C7B">
      <w:pPr>
        <w:spacing w:before="100" w:beforeAutospacing="1" w:after="100" w:afterAutospacing="1" w:line="360" w:lineRule="auto"/>
        <w:rPr>
          <w:color w:val="222122"/>
        </w:rPr>
      </w:pPr>
      <w:r>
        <w:rPr>
          <w:color w:val="222122"/>
        </w:rPr>
        <w:t>NICE recommends</w:t>
      </w:r>
      <w:r w:rsidR="00BC72C4">
        <w:rPr>
          <w:color w:val="222122"/>
        </w:rPr>
        <w:t xml:space="preserve"> r</w:t>
      </w:r>
      <w:r w:rsidR="00864BA8" w:rsidRPr="00313548">
        <w:rPr>
          <w:color w:val="222122"/>
        </w:rPr>
        <w:t>adial</w:t>
      </w:r>
      <w:r w:rsidR="00E60DF2">
        <w:rPr>
          <w:color w:val="222122"/>
        </w:rPr>
        <w:t>, rather than</w:t>
      </w:r>
      <w:r w:rsidR="00864BA8" w:rsidRPr="00313548">
        <w:rPr>
          <w:color w:val="222122"/>
        </w:rPr>
        <w:t xml:space="preserve"> femoral arterial access </w:t>
      </w:r>
      <w:r w:rsidR="00864BA8">
        <w:rPr>
          <w:color w:val="222122"/>
        </w:rPr>
        <w:t xml:space="preserve">should be considered </w:t>
      </w:r>
      <w:r w:rsidR="00864BA8" w:rsidRPr="00313548">
        <w:rPr>
          <w:color w:val="222122"/>
        </w:rPr>
        <w:t xml:space="preserve">for </w:t>
      </w:r>
      <w:r w:rsidR="00E60DF2">
        <w:rPr>
          <w:color w:val="222122"/>
        </w:rPr>
        <w:t>STEMI patients</w:t>
      </w:r>
      <w:r w:rsidR="00864BA8" w:rsidRPr="00313548">
        <w:rPr>
          <w:color w:val="222122"/>
        </w:rPr>
        <w:t xml:space="preserve"> undergoing </w:t>
      </w:r>
      <w:r w:rsidR="00E60DF2">
        <w:rPr>
          <w:color w:val="222122"/>
        </w:rPr>
        <w:t xml:space="preserve">emergency </w:t>
      </w:r>
      <w:r w:rsidR="00864BA8" w:rsidRPr="00313548">
        <w:rPr>
          <w:color w:val="222122"/>
        </w:rPr>
        <w:t>coronary angiography</w:t>
      </w:r>
      <w:r w:rsidR="00E60DF2">
        <w:rPr>
          <w:color w:val="222122"/>
        </w:rPr>
        <w:t xml:space="preserve">. </w:t>
      </w:r>
      <w:r w:rsidRPr="00F9235F">
        <w:rPr>
          <w:color w:val="222122"/>
        </w:rPr>
        <w:t xml:space="preserve">Unfractionated heparin is </w:t>
      </w:r>
      <w:r w:rsidRPr="00F9235F">
        <w:rPr>
          <w:color w:val="222122"/>
        </w:rPr>
        <w:lastRenderedPageBreak/>
        <w:t xml:space="preserve">recommended as the peri-procedural anticoagulant of choice in </w:t>
      </w:r>
      <w:proofErr w:type="spellStart"/>
      <w:r w:rsidRPr="00F9235F">
        <w:rPr>
          <w:color w:val="222122"/>
        </w:rPr>
        <w:t>transradial</w:t>
      </w:r>
      <w:proofErr w:type="spellEnd"/>
      <w:r w:rsidRPr="00F9235F">
        <w:rPr>
          <w:color w:val="222122"/>
        </w:rPr>
        <w:t xml:space="preserve"> cases, with use of bailout glycoprotein IIb/IIIa, if required</w:t>
      </w:r>
      <w:r>
        <w:rPr>
          <w:color w:val="222122"/>
        </w:rPr>
        <w:t>. C</w:t>
      </w:r>
      <w:r w:rsidR="00864BA8" w:rsidRPr="00F27A39">
        <w:rPr>
          <w:color w:val="222122"/>
        </w:rPr>
        <w:t xml:space="preserve">onsideration </w:t>
      </w:r>
      <w:r w:rsidR="00E60DF2">
        <w:rPr>
          <w:color w:val="222122"/>
        </w:rPr>
        <w:t>should be given to using</w:t>
      </w:r>
      <w:r w:rsidR="00864BA8" w:rsidRPr="00F27A39">
        <w:rPr>
          <w:color w:val="222122"/>
        </w:rPr>
        <w:t xml:space="preserve"> bivalirudin with bailout GPI if femoral access </w:t>
      </w:r>
      <w:r w:rsidR="000E12AE">
        <w:rPr>
          <w:color w:val="222122"/>
        </w:rPr>
        <w:t xml:space="preserve">is </w:t>
      </w:r>
      <w:r>
        <w:rPr>
          <w:color w:val="222122"/>
        </w:rPr>
        <w:t>used.</w:t>
      </w:r>
      <w:r w:rsidR="00DA3C64">
        <w:rPr>
          <w:color w:val="222122"/>
        </w:rPr>
        <w:fldChar w:fldCharType="begin" w:fldLock="1"/>
      </w:r>
      <w:r w:rsidR="00DA3C64">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DA3C64">
        <w:rPr>
          <w:color w:val="222122"/>
        </w:rPr>
        <w:fldChar w:fldCharType="separate"/>
      </w:r>
      <w:r w:rsidR="00DA3C64" w:rsidRPr="00DA3C64">
        <w:rPr>
          <w:noProof/>
          <w:color w:val="222122"/>
          <w:vertAlign w:val="superscript"/>
        </w:rPr>
        <w:t>1</w:t>
      </w:r>
      <w:r w:rsidR="00DA3C64">
        <w:rPr>
          <w:color w:val="222122"/>
        </w:rPr>
        <w:fldChar w:fldCharType="end"/>
      </w:r>
      <w:r w:rsidR="00274208" w:rsidRPr="00274208">
        <w:rPr>
          <w:color w:val="222122"/>
        </w:rPr>
        <w:t xml:space="preserve"> </w:t>
      </w:r>
      <w:r w:rsidR="00CC5C7B">
        <w:rPr>
          <w:color w:val="222122"/>
        </w:rPr>
        <w:t xml:space="preserve">Routine use of thrombus aspiration </w:t>
      </w:r>
      <w:r w:rsidR="00E60DF2">
        <w:rPr>
          <w:color w:val="222122"/>
        </w:rPr>
        <w:t xml:space="preserve">during primary PCI </w:t>
      </w:r>
      <w:r w:rsidR="00CC5C7B">
        <w:rPr>
          <w:color w:val="222122"/>
        </w:rPr>
        <w:t xml:space="preserve">is not recommended. </w:t>
      </w:r>
      <w:r w:rsidR="00E60DF2">
        <w:rPr>
          <w:color w:val="222122"/>
        </w:rPr>
        <w:t>These recommendations are</w:t>
      </w:r>
      <w:r w:rsidR="00821D59">
        <w:rPr>
          <w:color w:val="222122"/>
        </w:rPr>
        <w:t xml:space="preserve"> generally</w:t>
      </w:r>
      <w:r w:rsidR="00E60DF2">
        <w:rPr>
          <w:color w:val="222122"/>
        </w:rPr>
        <w:t xml:space="preserve"> consistent with </w:t>
      </w:r>
      <w:r w:rsidR="00274208" w:rsidRPr="00313548">
        <w:rPr>
          <w:color w:val="222122"/>
        </w:rPr>
        <w:t xml:space="preserve">ESC </w:t>
      </w:r>
      <w:r w:rsidR="00274208">
        <w:rPr>
          <w:color w:val="222122"/>
        </w:rPr>
        <w:t xml:space="preserve">and </w:t>
      </w:r>
      <w:r w:rsidR="00573A36">
        <w:rPr>
          <w:color w:val="222122"/>
        </w:rPr>
        <w:t>ACC/AHA/SCAI</w:t>
      </w:r>
      <w:r w:rsidR="00274208">
        <w:rPr>
          <w:color w:val="222122"/>
        </w:rPr>
        <w:t xml:space="preserve"> guidelines.</w:t>
      </w:r>
      <w:r w:rsidR="00DA3C64">
        <w:rPr>
          <w:color w:val="222122"/>
        </w:rPr>
        <w:fldChar w:fldCharType="begin" w:fldLock="1"/>
      </w:r>
      <w:r w:rsidR="00DA3C64">
        <w:rPr>
          <w:color w:val="222122"/>
        </w:rPr>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revascularization.","type":"article-journal","volume":"40"},"uris":["http://www.mendeley.com/documents/?uuid=172fd6b2-4fca-43ea-ac0a-003d2d1f2038"]},{"id":"ITEM-2","itemData":{"DOI":"10.1161/CIR.0000000000001039","ISSN":"1524-4539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A","non-dropping-particle":"","parse-names":false,"suffix":""}],"container-title":"Circulation","id":"ITEM-2","issue":"3","issued":{"date-parts":[["2022","1"]]},"language":"eng","page":"e4-e17","publisher-place":"United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5,6&lt;/sup&gt;","plainTextFormattedCitation":"5,6","previouslyFormattedCitation":"&lt;sup&gt;5,6&lt;/sup&gt;"},"properties":{"noteIndex":0},"schema":"https://github.com/citation-style-language/schema/raw/master/csl-citation.json"}</w:instrText>
      </w:r>
      <w:r w:rsidR="00DA3C64">
        <w:rPr>
          <w:color w:val="222122"/>
        </w:rPr>
        <w:fldChar w:fldCharType="separate"/>
      </w:r>
      <w:r w:rsidR="00DA3C64" w:rsidRPr="00DA3C64">
        <w:rPr>
          <w:noProof/>
          <w:color w:val="222122"/>
          <w:vertAlign w:val="superscript"/>
        </w:rPr>
        <w:t>5,6</w:t>
      </w:r>
      <w:r w:rsidR="00DA3C64">
        <w:rPr>
          <w:color w:val="222122"/>
        </w:rPr>
        <w:fldChar w:fldCharType="end"/>
      </w:r>
    </w:p>
    <w:p w14:paraId="37DB4B93" w14:textId="77777777" w:rsidR="00B62FB7" w:rsidRDefault="00B2138D" w:rsidP="00B62FB7">
      <w:pPr>
        <w:tabs>
          <w:tab w:val="left" w:pos="2304"/>
        </w:tabs>
        <w:spacing w:line="360" w:lineRule="auto"/>
        <w:rPr>
          <w:b/>
          <w:bCs/>
        </w:rPr>
      </w:pPr>
      <w:r w:rsidRPr="00F27A39">
        <w:rPr>
          <w:b/>
          <w:bCs/>
        </w:rPr>
        <w:t xml:space="preserve">NSTEMI </w:t>
      </w:r>
      <w:r w:rsidR="00B62FB7">
        <w:rPr>
          <w:b/>
          <w:bCs/>
        </w:rPr>
        <w:tab/>
      </w:r>
    </w:p>
    <w:p w14:paraId="72EF08DC" w14:textId="77777777" w:rsidR="00B62FB7" w:rsidRPr="00B62FB7" w:rsidRDefault="00B62FB7" w:rsidP="00B62FB7">
      <w:pPr>
        <w:tabs>
          <w:tab w:val="left" w:pos="2304"/>
        </w:tabs>
        <w:spacing w:line="360" w:lineRule="auto"/>
        <w:rPr>
          <w:i/>
          <w:iCs/>
        </w:rPr>
      </w:pPr>
      <w:r w:rsidRPr="00B62FB7">
        <w:rPr>
          <w:i/>
          <w:iCs/>
        </w:rPr>
        <w:t>Risk stratification</w:t>
      </w:r>
    </w:p>
    <w:p w14:paraId="5733E48B" w14:textId="0DE1F2E1" w:rsidR="00A6141A" w:rsidRPr="006F6BD0" w:rsidRDefault="00F03D43" w:rsidP="005E5F22">
      <w:pPr>
        <w:spacing w:line="360" w:lineRule="auto"/>
        <w:rPr>
          <w:color w:val="222122"/>
        </w:rPr>
      </w:pPr>
      <w:r w:rsidRPr="00F03D43">
        <w:rPr>
          <w:color w:val="222122"/>
        </w:rPr>
        <w:t xml:space="preserve">NICE guidelines </w:t>
      </w:r>
      <w:r>
        <w:rPr>
          <w:color w:val="222122"/>
        </w:rPr>
        <w:t xml:space="preserve">regarding unstable angina/NSTEMI </w:t>
      </w:r>
      <w:r w:rsidR="00CC5C7B">
        <w:rPr>
          <w:color w:val="222122"/>
        </w:rPr>
        <w:t xml:space="preserve">recommend </w:t>
      </w:r>
      <w:r>
        <w:rPr>
          <w:color w:val="222122"/>
        </w:rPr>
        <w:t>the u</w:t>
      </w:r>
      <w:r w:rsidR="00252891" w:rsidRPr="007014E9">
        <w:rPr>
          <w:color w:val="222122"/>
        </w:rPr>
        <w:t>se</w:t>
      </w:r>
      <w:r>
        <w:rPr>
          <w:color w:val="222122"/>
        </w:rPr>
        <w:t xml:space="preserve"> of</w:t>
      </w:r>
      <w:r w:rsidR="00252891" w:rsidRPr="007014E9">
        <w:rPr>
          <w:color w:val="222122"/>
        </w:rPr>
        <w:t xml:space="preserve"> </w:t>
      </w:r>
      <w:r w:rsidR="00CC5C7B">
        <w:rPr>
          <w:color w:val="222122"/>
        </w:rPr>
        <w:t>the</w:t>
      </w:r>
      <w:r w:rsidR="00252891" w:rsidRPr="007014E9">
        <w:rPr>
          <w:color w:val="222122"/>
        </w:rPr>
        <w:t xml:space="preserve"> </w:t>
      </w:r>
      <w:r w:rsidR="00050579" w:rsidRPr="007014E9">
        <w:rPr>
          <w:color w:val="222122"/>
        </w:rPr>
        <w:t>Global Registry of Acute Coronary Events(</w:t>
      </w:r>
      <w:r w:rsidR="00252891" w:rsidRPr="007014E9">
        <w:rPr>
          <w:color w:val="222122"/>
        </w:rPr>
        <w:t>GRACE</w:t>
      </w:r>
      <w:r w:rsidR="00050579" w:rsidRPr="007014E9">
        <w:rPr>
          <w:color w:val="222122"/>
        </w:rPr>
        <w:t>)</w:t>
      </w:r>
      <w:r w:rsidR="00CC5C7B">
        <w:rPr>
          <w:color w:val="222122"/>
        </w:rPr>
        <w:t xml:space="preserve"> scoring system to guide treatment</w:t>
      </w:r>
      <w:r w:rsidR="00252891" w:rsidRPr="007014E9">
        <w:rPr>
          <w:color w:val="222122"/>
        </w:rPr>
        <w:t>.</w:t>
      </w:r>
      <w:r w:rsidR="00DA3C64">
        <w:rPr>
          <w:color w:val="222122"/>
        </w:rPr>
        <w:fldChar w:fldCharType="begin" w:fldLock="1"/>
      </w:r>
      <w:r w:rsidR="00DA3C64">
        <w:rPr>
          <w:color w:val="222122"/>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DA3C64">
        <w:rPr>
          <w:color w:val="222122"/>
        </w:rPr>
        <w:fldChar w:fldCharType="separate"/>
      </w:r>
      <w:r w:rsidR="00DA3C64" w:rsidRPr="00DA3C64">
        <w:rPr>
          <w:noProof/>
          <w:color w:val="222122"/>
          <w:vertAlign w:val="superscript"/>
        </w:rPr>
        <w:t>1</w:t>
      </w:r>
      <w:r w:rsidR="00DA3C64">
        <w:rPr>
          <w:color w:val="222122"/>
        </w:rPr>
        <w:fldChar w:fldCharType="end"/>
      </w:r>
      <w:r w:rsidR="00252891" w:rsidRPr="007014E9">
        <w:rPr>
          <w:color w:val="222122"/>
        </w:rPr>
        <w:t xml:space="preserve"> </w:t>
      </w:r>
      <w:r w:rsidR="006548FB" w:rsidRPr="00F9235F">
        <w:rPr>
          <w:color w:val="222122"/>
        </w:rPr>
        <w:t>In patients with a predicted 6-month mortality &gt;3%, angiography should be considered within 72 hours, presuming no contraindications exist. By contrast, in patients with a predicted 6-month mortality ≤3%, conservative management should be considered. Regardless of predicted risk, patients with clinical features indicating instability are recommended to undergo urgent angiography.</w:t>
      </w:r>
      <w:r w:rsidR="00DA3C64" w:rsidRPr="00F9235F">
        <w:rPr>
          <w:color w:val="222122"/>
          <w:vertAlign w:val="superscript"/>
        </w:rPr>
        <w:fldChar w:fldCharType="begin" w:fldLock="1"/>
      </w:r>
      <w:r w:rsidR="00DA3C64" w:rsidRPr="00F9235F">
        <w:rPr>
          <w:color w:val="222122"/>
          <w:vertAlign w:val="superscript"/>
        </w:rPr>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DA3C64" w:rsidRPr="00F9235F">
        <w:rPr>
          <w:color w:val="222122"/>
          <w:vertAlign w:val="superscript"/>
        </w:rPr>
        <w:fldChar w:fldCharType="separate"/>
      </w:r>
      <w:r w:rsidR="00DA3C64" w:rsidRPr="00F9235F">
        <w:rPr>
          <w:noProof/>
          <w:color w:val="222122"/>
          <w:vertAlign w:val="superscript"/>
        </w:rPr>
        <w:t>1</w:t>
      </w:r>
      <w:r w:rsidR="00DA3C64" w:rsidRPr="00F9235F">
        <w:rPr>
          <w:color w:val="222122"/>
          <w:vertAlign w:val="superscript"/>
        </w:rPr>
        <w:fldChar w:fldCharType="end"/>
      </w:r>
      <w:r w:rsidR="00252891" w:rsidRPr="00F9235F">
        <w:rPr>
          <w:color w:val="222122"/>
        </w:rPr>
        <w:t xml:space="preserve"> </w:t>
      </w:r>
      <w:r w:rsidR="00C219A1" w:rsidRPr="00F27A39">
        <w:t xml:space="preserve">The recommendations </w:t>
      </w:r>
      <w:r w:rsidR="00C219A1">
        <w:t xml:space="preserve">from NICE </w:t>
      </w:r>
      <w:r w:rsidR="00C219A1" w:rsidRPr="00F27A39">
        <w:t xml:space="preserve">regarding </w:t>
      </w:r>
      <w:r w:rsidR="00C219A1">
        <w:t>NSTEMI</w:t>
      </w:r>
      <w:r w:rsidR="00C219A1" w:rsidRPr="00F27A39">
        <w:t xml:space="preserve"> are summarised in Figure </w:t>
      </w:r>
      <w:r w:rsidR="00C219A1">
        <w:t>3 and compared to other guidelines in Table 3</w:t>
      </w:r>
      <w:r w:rsidR="00C219A1" w:rsidRPr="00F27A39">
        <w:t>.</w:t>
      </w:r>
    </w:p>
    <w:p w14:paraId="7CD395D0" w14:textId="77777777" w:rsidR="003B6CFB" w:rsidRDefault="003B6CFB" w:rsidP="005E5F22">
      <w:pPr>
        <w:spacing w:line="360" w:lineRule="auto"/>
      </w:pPr>
    </w:p>
    <w:p w14:paraId="528B2BBD" w14:textId="25FE4CF6" w:rsidR="00B15617" w:rsidRPr="00B15617" w:rsidRDefault="008247C2" w:rsidP="005E5F22">
      <w:pPr>
        <w:spacing w:line="360" w:lineRule="auto"/>
      </w:pPr>
      <w:r>
        <w:t>I</w:t>
      </w:r>
      <w:r w:rsidR="00D53542">
        <w:t>n the</w:t>
      </w:r>
      <w:r w:rsidR="003B6CFB">
        <w:t xml:space="preserve"> ESC </w:t>
      </w:r>
      <w:r w:rsidR="00B15617">
        <w:t>guidelines</w:t>
      </w:r>
      <w:r>
        <w:t>, the approach is rather different</w:t>
      </w:r>
      <w:r w:rsidR="006548FB">
        <w:t xml:space="preserve"> </w:t>
      </w:r>
      <w:r w:rsidR="00C81204">
        <w:t>regarding</w:t>
      </w:r>
      <w:r w:rsidR="006548FB">
        <w:t xml:space="preserve"> both use of risk scores and timing of angiography</w:t>
      </w:r>
      <w:r>
        <w:t xml:space="preserve">. Whilst </w:t>
      </w:r>
      <w:r w:rsidR="00205458" w:rsidRPr="00B15617">
        <w:t xml:space="preserve">GRACE risk score models </w:t>
      </w:r>
      <w:r>
        <w:t xml:space="preserve">are recommended for </w:t>
      </w:r>
      <w:r w:rsidR="00205458" w:rsidRPr="00B15617">
        <w:t xml:space="preserve">estimating prognosis(class </w:t>
      </w:r>
      <w:proofErr w:type="spellStart"/>
      <w:r w:rsidR="00205458" w:rsidRPr="00B15617">
        <w:t>IIa</w:t>
      </w:r>
      <w:proofErr w:type="spellEnd"/>
      <w:r w:rsidR="00205458" w:rsidRPr="00B15617">
        <w:t>)</w:t>
      </w:r>
      <w:r w:rsidR="000414C4">
        <w:t>,</w:t>
      </w:r>
      <w:r w:rsidR="00991F52" w:rsidRPr="00B15617">
        <w:t xml:space="preserve"> </w:t>
      </w:r>
      <w:r w:rsidR="00B15617" w:rsidRPr="00B15617">
        <w:t xml:space="preserve">the decision to perform angiography </w:t>
      </w:r>
      <w:r w:rsidR="00F867CF">
        <w:t>is generally</w:t>
      </w:r>
      <w:r w:rsidR="00B15617" w:rsidRPr="00B15617">
        <w:t xml:space="preserve"> based on the presence or absence of </w:t>
      </w:r>
      <w:r>
        <w:t>“</w:t>
      </w:r>
      <w:r w:rsidR="00B15617" w:rsidRPr="00B15617">
        <w:t>very high</w:t>
      </w:r>
      <w:r>
        <w:t>”</w:t>
      </w:r>
      <w:r w:rsidR="00F867CF">
        <w:t xml:space="preserve"> </w:t>
      </w:r>
      <w:r>
        <w:t>risk</w:t>
      </w:r>
      <w:r w:rsidR="00F867CF">
        <w:t xml:space="preserve">(haemodynamic instability, refractory chest pain, life threatening arrhythmia, mechanical complications, </w:t>
      </w:r>
      <w:r w:rsidR="007F058F">
        <w:t xml:space="preserve">acute heart failure related to ACS, ST elevation in </w:t>
      </w:r>
      <w:proofErr w:type="spellStart"/>
      <w:r w:rsidR="007F058F">
        <w:t>aVR</w:t>
      </w:r>
      <w:proofErr w:type="spellEnd"/>
      <w:r w:rsidR="007F058F">
        <w:t xml:space="preserve"> with broad ST depression&gt;1mm)</w:t>
      </w:r>
      <w:r w:rsidR="00B15617" w:rsidRPr="00B15617">
        <w:t xml:space="preserve"> or </w:t>
      </w:r>
      <w:r>
        <w:t>“</w:t>
      </w:r>
      <w:r w:rsidR="00B15617" w:rsidRPr="00B15617">
        <w:t>high</w:t>
      </w:r>
      <w:r>
        <w:t>”</w:t>
      </w:r>
      <w:r w:rsidR="00B15617" w:rsidRPr="00B15617">
        <w:t xml:space="preserve"> risk criteria</w:t>
      </w:r>
      <w:r w:rsidR="007F058F">
        <w:t>(NSTEMI diagnosis, dynamic ST/T changes, resuscitated cardiac arrest without ST segment elevation, GRACE score &gt;140)</w:t>
      </w:r>
      <w:r w:rsidR="00B15617" w:rsidRPr="00B15617">
        <w:t>.</w:t>
      </w:r>
      <w:r w:rsidR="00DA3C64">
        <w:fldChar w:fldCharType="begin" w:fldLock="1"/>
      </w:r>
      <w:r w:rsidR="00DA3C64">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DA3C64">
        <w:fldChar w:fldCharType="separate"/>
      </w:r>
      <w:r w:rsidR="00DA3C64" w:rsidRPr="00DA3C64">
        <w:rPr>
          <w:noProof/>
          <w:vertAlign w:val="superscript"/>
        </w:rPr>
        <w:t>6</w:t>
      </w:r>
      <w:r w:rsidR="00DA3C64">
        <w:fldChar w:fldCharType="end"/>
      </w:r>
      <w:r w:rsidR="006548FB">
        <w:t xml:space="preserve"> </w:t>
      </w:r>
      <w:r w:rsidR="007F058F">
        <w:t xml:space="preserve">If </w:t>
      </w:r>
      <w:r w:rsidR="00B15617" w:rsidRPr="00B15617">
        <w:t xml:space="preserve">very </w:t>
      </w:r>
      <w:r w:rsidR="00EF1380" w:rsidRPr="00B15617">
        <w:t>high</w:t>
      </w:r>
      <w:r w:rsidR="00EF1380">
        <w:t>-risk</w:t>
      </w:r>
      <w:r w:rsidR="00D53542">
        <w:t xml:space="preserve"> criteria</w:t>
      </w:r>
      <w:r w:rsidR="00B15617" w:rsidRPr="00B15617">
        <w:t xml:space="preserve"> </w:t>
      </w:r>
      <w:r w:rsidR="007F058F">
        <w:t>are present an immediate invasive strategy</w:t>
      </w:r>
      <w:r w:rsidR="00B15617" w:rsidRPr="00B15617">
        <w:t>(&lt;2 hours)</w:t>
      </w:r>
      <w:r w:rsidR="007F058F">
        <w:t xml:space="preserve"> is recommended</w:t>
      </w:r>
      <w:r w:rsidR="009D766F">
        <w:t>(class I)</w:t>
      </w:r>
      <w:r w:rsidR="00FD0314">
        <w:t>,</w:t>
      </w:r>
      <w:r w:rsidR="009D766F">
        <w:t xml:space="preserve"> </w:t>
      </w:r>
      <w:r w:rsidR="007F058F">
        <w:t>whilst an early invasive</w:t>
      </w:r>
      <w:r w:rsidR="007F058F" w:rsidRPr="00B15617">
        <w:t>(&lt;24hours)</w:t>
      </w:r>
      <w:r w:rsidR="007F058F">
        <w:t xml:space="preserve"> is </w:t>
      </w:r>
      <w:r w:rsidR="00B62FB7">
        <w:t>recommended</w:t>
      </w:r>
      <w:r w:rsidR="007F058F">
        <w:t xml:space="preserve"> for </w:t>
      </w:r>
      <w:r w:rsidR="00946093" w:rsidRPr="00B15617">
        <w:t>high-risk</w:t>
      </w:r>
      <w:r w:rsidR="007F058F">
        <w:t xml:space="preserve"> criteria</w:t>
      </w:r>
      <w:r w:rsidR="009D766F">
        <w:t>(</w:t>
      </w:r>
      <w:r w:rsidR="000E6CD6">
        <w:t>c</w:t>
      </w:r>
      <w:r w:rsidR="009D766F">
        <w:t>lass I)</w:t>
      </w:r>
      <w:r w:rsidR="007F058F">
        <w:t>.</w:t>
      </w:r>
      <w:r w:rsidR="00B15617" w:rsidRPr="00B15617">
        <w:t xml:space="preserve"> If low risk</w:t>
      </w:r>
      <w:r w:rsidR="007F058F">
        <w:t>(lack of very high / high risk characteristics)</w:t>
      </w:r>
      <w:r w:rsidR="00B15617" w:rsidRPr="00B15617">
        <w:t xml:space="preserve"> </w:t>
      </w:r>
      <w:r w:rsidR="00B97D19">
        <w:t xml:space="preserve">then </w:t>
      </w:r>
      <w:r w:rsidR="007F058F">
        <w:t xml:space="preserve">a </w:t>
      </w:r>
      <w:r w:rsidR="00B15617" w:rsidRPr="00B15617">
        <w:t xml:space="preserve">selective invasive </w:t>
      </w:r>
      <w:r w:rsidR="007F058F">
        <w:t>strategy</w:t>
      </w:r>
      <w:r w:rsidR="00B15617" w:rsidRPr="00B15617">
        <w:t xml:space="preserve"> can be followed</w:t>
      </w:r>
      <w:r w:rsidR="009D766F">
        <w:t>(</w:t>
      </w:r>
      <w:r w:rsidR="0063001B">
        <w:t>c</w:t>
      </w:r>
      <w:r w:rsidR="009D766F">
        <w:t>lass I) after appropriate ischaemia testing or CTCA</w:t>
      </w:r>
      <w:r w:rsidR="00612F63">
        <w:t xml:space="preserve">. </w:t>
      </w:r>
      <w:r w:rsidR="00DA3C64">
        <w:fldChar w:fldCharType="begin" w:fldLock="1"/>
      </w:r>
      <w:r w:rsidR="00771CA2">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DA3C64">
        <w:fldChar w:fldCharType="separate"/>
      </w:r>
      <w:r w:rsidR="00DA3C64" w:rsidRPr="00DA3C64">
        <w:rPr>
          <w:noProof/>
          <w:vertAlign w:val="superscript"/>
        </w:rPr>
        <w:t>6</w:t>
      </w:r>
      <w:r w:rsidR="00DA3C64">
        <w:fldChar w:fldCharType="end"/>
      </w:r>
    </w:p>
    <w:p w14:paraId="4019E0C7" w14:textId="5B8DBE63" w:rsidR="00B62FB7" w:rsidRPr="00D53542" w:rsidRDefault="00612F63" w:rsidP="00F50640">
      <w:pPr>
        <w:spacing w:before="100" w:beforeAutospacing="1" w:after="100" w:afterAutospacing="1" w:line="360" w:lineRule="auto"/>
        <w:rPr>
          <w:color w:val="222122"/>
        </w:rPr>
      </w:pPr>
      <w:r>
        <w:t xml:space="preserve">In the </w:t>
      </w:r>
      <w:r w:rsidR="00AA68B9">
        <w:t>ACC/AHA/SCAI</w:t>
      </w:r>
      <w:r>
        <w:t xml:space="preserve"> guidelines, </w:t>
      </w:r>
      <w:r w:rsidR="00B15617" w:rsidRPr="00F27A39">
        <w:rPr>
          <w:color w:val="222122"/>
        </w:rPr>
        <w:t>an invasive strategy is recommended(class 1)</w:t>
      </w:r>
      <w:r w:rsidR="006548FB">
        <w:rPr>
          <w:color w:val="222122"/>
        </w:rPr>
        <w:t xml:space="preserve"> for patients at elevated risk of recurrent ischaemic events are appropriate candidates for revascularisation</w:t>
      </w:r>
      <w:r w:rsidR="00B15617" w:rsidRPr="00F27A39">
        <w:rPr>
          <w:color w:val="222122"/>
        </w:rPr>
        <w:t>.</w:t>
      </w:r>
      <w:r w:rsidR="00771CA2">
        <w:rPr>
          <w:color w:val="222122"/>
        </w:rPr>
        <w:fldChar w:fldCharType="begin" w:fldLock="1"/>
      </w:r>
      <w:r w:rsidR="00771CA2">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771CA2">
        <w:rPr>
          <w:color w:val="222122"/>
        </w:rPr>
        <w:fldChar w:fldCharType="separate"/>
      </w:r>
      <w:r w:rsidR="00771CA2" w:rsidRPr="00771CA2">
        <w:rPr>
          <w:noProof/>
          <w:color w:val="222122"/>
          <w:vertAlign w:val="superscript"/>
        </w:rPr>
        <w:t>5</w:t>
      </w:r>
      <w:r w:rsidR="00771CA2">
        <w:rPr>
          <w:color w:val="222122"/>
        </w:rPr>
        <w:fldChar w:fldCharType="end"/>
      </w:r>
      <w:r w:rsidR="00B15617" w:rsidRPr="00F27A39">
        <w:rPr>
          <w:color w:val="222122"/>
        </w:rPr>
        <w:t xml:space="preserve"> </w:t>
      </w:r>
      <w:r w:rsidR="00DA3C64">
        <w:rPr>
          <w:color w:val="222122"/>
        </w:rPr>
        <w:t>Similarly,</w:t>
      </w:r>
      <w:r w:rsidR="00D53542">
        <w:rPr>
          <w:color w:val="222122"/>
        </w:rPr>
        <w:t xml:space="preserve"> to NICE/ESC, e</w:t>
      </w:r>
      <w:r w:rsidR="00C92E81">
        <w:rPr>
          <w:color w:val="222122"/>
        </w:rPr>
        <w:t xml:space="preserve">mergency </w:t>
      </w:r>
      <w:r w:rsidR="00D53542">
        <w:rPr>
          <w:color w:val="222122"/>
        </w:rPr>
        <w:t>revascularisation</w:t>
      </w:r>
      <w:r w:rsidR="00C92E81">
        <w:rPr>
          <w:color w:val="222122"/>
        </w:rPr>
        <w:t xml:space="preserve"> is</w:t>
      </w:r>
      <w:r w:rsidR="00B15617" w:rsidRPr="00F27A39">
        <w:rPr>
          <w:color w:val="222122"/>
        </w:rPr>
        <w:t xml:space="preserve"> recommended for patients in cardiogenic shock, those with refractory angina, or hemodynamic or electrical instability</w:t>
      </w:r>
      <w:r w:rsidR="00893540">
        <w:rPr>
          <w:color w:val="222122"/>
        </w:rPr>
        <w:t>(</w:t>
      </w:r>
      <w:r w:rsidR="00F2596F">
        <w:rPr>
          <w:color w:val="222122"/>
        </w:rPr>
        <w:t>c</w:t>
      </w:r>
      <w:r w:rsidR="00893540">
        <w:rPr>
          <w:color w:val="222122"/>
        </w:rPr>
        <w:t>lass I)</w:t>
      </w:r>
      <w:r w:rsidR="00B15617" w:rsidRPr="00F27A39">
        <w:rPr>
          <w:color w:val="222122"/>
        </w:rPr>
        <w:t>.</w:t>
      </w:r>
      <w:r w:rsidR="00771CA2">
        <w:rPr>
          <w:color w:val="222122"/>
        </w:rPr>
        <w:fldChar w:fldCharType="begin" w:fldLock="1"/>
      </w:r>
      <w:r w:rsidR="00771CA2">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771CA2">
        <w:rPr>
          <w:color w:val="222122"/>
        </w:rPr>
        <w:fldChar w:fldCharType="separate"/>
      </w:r>
      <w:r w:rsidR="00771CA2" w:rsidRPr="00771CA2">
        <w:rPr>
          <w:noProof/>
          <w:color w:val="222122"/>
          <w:vertAlign w:val="superscript"/>
        </w:rPr>
        <w:t>5</w:t>
      </w:r>
      <w:r w:rsidR="00771CA2">
        <w:rPr>
          <w:color w:val="222122"/>
        </w:rPr>
        <w:fldChar w:fldCharType="end"/>
      </w:r>
      <w:r w:rsidR="00B15617" w:rsidRPr="00F27A39">
        <w:rPr>
          <w:color w:val="222122"/>
        </w:rPr>
        <w:t xml:space="preserve"> </w:t>
      </w:r>
      <w:r w:rsidR="00D53542">
        <w:rPr>
          <w:color w:val="222122"/>
        </w:rPr>
        <w:t>However, in contrast to NICE</w:t>
      </w:r>
      <w:r w:rsidR="00FD0314">
        <w:rPr>
          <w:color w:val="222122"/>
        </w:rPr>
        <w:t>,</w:t>
      </w:r>
      <w:r w:rsidR="00D53542">
        <w:rPr>
          <w:color w:val="222122"/>
        </w:rPr>
        <w:t xml:space="preserve"> a</w:t>
      </w:r>
      <w:r w:rsidR="00B15617" w:rsidRPr="00F27A39">
        <w:rPr>
          <w:color w:val="222122"/>
        </w:rPr>
        <w:t>n earl</w:t>
      </w:r>
      <w:r w:rsidR="00D53542">
        <w:rPr>
          <w:color w:val="222122"/>
        </w:rPr>
        <w:t>ier</w:t>
      </w:r>
      <w:r w:rsidR="00B15617" w:rsidRPr="00F27A39">
        <w:rPr>
          <w:color w:val="222122"/>
        </w:rPr>
        <w:t xml:space="preserve"> </w:t>
      </w:r>
      <w:r w:rsidR="00D53542">
        <w:rPr>
          <w:color w:val="222122"/>
        </w:rPr>
        <w:t xml:space="preserve">invasive </w:t>
      </w:r>
      <w:r w:rsidR="00B15617" w:rsidRPr="00F27A39">
        <w:rPr>
          <w:color w:val="222122"/>
        </w:rPr>
        <w:t>strategy(</w:t>
      </w:r>
      <w:r w:rsidR="00B935AA">
        <w:rPr>
          <w:color w:val="222122"/>
        </w:rPr>
        <w:t>&lt;</w:t>
      </w:r>
      <w:r w:rsidR="00B15617" w:rsidRPr="00F27A39">
        <w:rPr>
          <w:color w:val="222122"/>
        </w:rPr>
        <w:t xml:space="preserve">24 </w:t>
      </w:r>
      <w:r w:rsidR="00112C35">
        <w:rPr>
          <w:color w:val="222122"/>
        </w:rPr>
        <w:t>hours</w:t>
      </w:r>
      <w:r w:rsidR="00B15617" w:rsidRPr="00F27A39">
        <w:rPr>
          <w:color w:val="222122"/>
        </w:rPr>
        <w:t xml:space="preserve">) is </w:t>
      </w:r>
      <w:r w:rsidR="00D53542">
        <w:rPr>
          <w:color w:val="222122"/>
        </w:rPr>
        <w:lastRenderedPageBreak/>
        <w:t xml:space="preserve">considered </w:t>
      </w:r>
      <w:r w:rsidR="00B15617" w:rsidRPr="00F27A39">
        <w:rPr>
          <w:color w:val="222122"/>
        </w:rPr>
        <w:t>a reasonable approach(class 2a) in stabilized patients at high risk for ischemic events.</w:t>
      </w:r>
      <w:r w:rsidR="00771CA2">
        <w:rPr>
          <w:color w:val="222122"/>
        </w:rPr>
        <w:fldChar w:fldCharType="begin" w:fldLock="1"/>
      </w:r>
      <w:r w:rsidR="00771CA2">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771CA2">
        <w:rPr>
          <w:color w:val="222122"/>
        </w:rPr>
        <w:fldChar w:fldCharType="separate"/>
      </w:r>
      <w:r w:rsidR="00771CA2" w:rsidRPr="00771CA2">
        <w:rPr>
          <w:noProof/>
          <w:color w:val="222122"/>
          <w:vertAlign w:val="superscript"/>
        </w:rPr>
        <w:t>5</w:t>
      </w:r>
      <w:r w:rsidR="00771CA2">
        <w:rPr>
          <w:color w:val="222122"/>
        </w:rPr>
        <w:fldChar w:fldCharType="end"/>
      </w:r>
      <w:r w:rsidR="00B15617" w:rsidRPr="00F27A39">
        <w:rPr>
          <w:color w:val="222122"/>
        </w:rPr>
        <w:t xml:space="preserve"> </w:t>
      </w:r>
      <w:r w:rsidR="00A0023E">
        <w:rPr>
          <w:color w:val="222122"/>
        </w:rPr>
        <w:t>Furthermore, in these guidelines, i</w:t>
      </w:r>
      <w:r w:rsidR="00B15617" w:rsidRPr="00F27A39">
        <w:rPr>
          <w:color w:val="222122"/>
        </w:rPr>
        <w:t>t is also considered reasonable to revasculari</w:t>
      </w:r>
      <w:r w:rsidR="000414C4">
        <w:rPr>
          <w:color w:val="222122"/>
        </w:rPr>
        <w:t>s</w:t>
      </w:r>
      <w:r w:rsidR="00B15617" w:rsidRPr="00F27A39">
        <w:rPr>
          <w:color w:val="222122"/>
        </w:rPr>
        <w:t xml:space="preserve">e before hospital discharge </w:t>
      </w:r>
      <w:r w:rsidR="00C92E81">
        <w:rPr>
          <w:color w:val="222122"/>
        </w:rPr>
        <w:t>if determined to be at an intermediate or low risk of clinical events</w:t>
      </w:r>
      <w:r w:rsidR="00B15617" w:rsidRPr="00F27A39">
        <w:rPr>
          <w:color w:val="222122"/>
        </w:rPr>
        <w:t>(class 2a).</w:t>
      </w:r>
      <w:r w:rsidR="00771CA2">
        <w:rPr>
          <w:color w:val="222122"/>
        </w:rPr>
        <w:fldChar w:fldCharType="begin" w:fldLock="1"/>
      </w:r>
      <w:r w:rsidR="00771CA2">
        <w:rPr>
          <w:color w:val="222122"/>
        </w:rPr>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771CA2">
        <w:rPr>
          <w:color w:val="222122"/>
        </w:rPr>
        <w:fldChar w:fldCharType="separate"/>
      </w:r>
      <w:r w:rsidR="00771CA2" w:rsidRPr="00771CA2">
        <w:rPr>
          <w:noProof/>
          <w:color w:val="222122"/>
          <w:vertAlign w:val="superscript"/>
        </w:rPr>
        <w:t>5</w:t>
      </w:r>
      <w:r w:rsidR="00771CA2">
        <w:rPr>
          <w:color w:val="222122"/>
        </w:rPr>
        <w:fldChar w:fldCharType="end"/>
      </w:r>
      <w:r w:rsidR="00B15617" w:rsidRPr="00F27A39">
        <w:rPr>
          <w:color w:val="222122"/>
        </w:rPr>
        <w:t> </w:t>
      </w:r>
    </w:p>
    <w:p w14:paraId="3BD11A72" w14:textId="77777777" w:rsidR="00F50640" w:rsidRPr="00F50640" w:rsidRDefault="00B62FB7" w:rsidP="00F50640">
      <w:pPr>
        <w:spacing w:line="360" w:lineRule="auto"/>
        <w:rPr>
          <w:i/>
          <w:iCs/>
        </w:rPr>
      </w:pPr>
      <w:r w:rsidRPr="00F50640">
        <w:rPr>
          <w:i/>
          <w:iCs/>
        </w:rPr>
        <w:t>Antiplatelet therapy</w:t>
      </w:r>
    </w:p>
    <w:p w14:paraId="5FF04D52" w14:textId="402038AE" w:rsidR="007014E9" w:rsidRDefault="00A0023E" w:rsidP="00F50640">
      <w:pPr>
        <w:spacing w:line="360" w:lineRule="auto"/>
      </w:pPr>
      <w:r>
        <w:t xml:space="preserve">In the NSTEMI population, NICE recommends </w:t>
      </w:r>
      <w:r w:rsidR="00AE5E5C">
        <w:t>t</w:t>
      </w:r>
      <w:r w:rsidR="00252891" w:rsidRPr="00F27A39">
        <w:t>icagrelor with aspirin</w:t>
      </w:r>
      <w:r w:rsidR="00032167" w:rsidRPr="00F27A39">
        <w:t xml:space="preserve"> </w:t>
      </w:r>
      <w:r>
        <w:t>a</w:t>
      </w:r>
      <w:r w:rsidR="00032167" w:rsidRPr="00F27A39">
        <w:t>s first choice DAPT regime</w:t>
      </w:r>
      <w:r w:rsidR="00252891" w:rsidRPr="00F27A39">
        <w:t xml:space="preserve"> unless </w:t>
      </w:r>
      <w:r w:rsidR="00132562">
        <w:t xml:space="preserve">a patient has </w:t>
      </w:r>
      <w:r w:rsidR="00252891" w:rsidRPr="00F27A39">
        <w:t>high bleeding risk</w:t>
      </w:r>
      <w:r>
        <w:t xml:space="preserve">, in which case </w:t>
      </w:r>
      <w:r w:rsidR="00032167" w:rsidRPr="00F27A39">
        <w:t xml:space="preserve">clopidogrel </w:t>
      </w:r>
      <w:r>
        <w:t>with</w:t>
      </w:r>
      <w:r w:rsidR="00032167" w:rsidRPr="00F27A39">
        <w:t xml:space="preserve"> aspirin</w:t>
      </w:r>
      <w:r w:rsidR="009B183B">
        <w:t xml:space="preserve"> is advised</w:t>
      </w:r>
      <w:r w:rsidR="00032167" w:rsidRPr="00F27A39">
        <w:t>.</w:t>
      </w:r>
      <w:r w:rsidR="00771CA2">
        <w:fldChar w:fldCharType="begin" w:fldLock="1"/>
      </w:r>
      <w:r w:rsidR="00771CA2">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771CA2">
        <w:fldChar w:fldCharType="separate"/>
      </w:r>
      <w:r w:rsidR="00771CA2" w:rsidRPr="00771CA2">
        <w:rPr>
          <w:noProof/>
          <w:vertAlign w:val="superscript"/>
        </w:rPr>
        <w:t>1</w:t>
      </w:r>
      <w:r w:rsidR="00771CA2">
        <w:fldChar w:fldCharType="end"/>
      </w:r>
      <w:r w:rsidR="00584E73">
        <w:t xml:space="preserve"> In </w:t>
      </w:r>
      <w:r w:rsidR="00AE5E5C">
        <w:t>contrast</w:t>
      </w:r>
      <w:r>
        <w:t>,</w:t>
      </w:r>
      <w:r w:rsidR="00AE5E5C">
        <w:t xml:space="preserve"> in </w:t>
      </w:r>
      <w:r w:rsidR="00584E73">
        <w:t xml:space="preserve">the ESC guidelines </w:t>
      </w:r>
      <w:r w:rsidR="00132562">
        <w:t>p</w:t>
      </w:r>
      <w:r w:rsidR="00F9232C" w:rsidRPr="00AE5E5C">
        <w:t xml:space="preserve">rasugrel </w:t>
      </w:r>
      <w:r>
        <w:t xml:space="preserve">is recommended </w:t>
      </w:r>
      <w:r w:rsidR="00132562">
        <w:t xml:space="preserve">for </w:t>
      </w:r>
      <w:r w:rsidR="00F9232C" w:rsidRPr="00AE5E5C">
        <w:t>patients who proceed to PCI</w:t>
      </w:r>
      <w:r w:rsidR="00584E73">
        <w:t>(</w:t>
      </w:r>
      <w:r w:rsidR="00F2596F">
        <w:t>c</w:t>
      </w:r>
      <w:r w:rsidR="00584E73">
        <w:t xml:space="preserve">lass </w:t>
      </w:r>
      <w:proofErr w:type="spellStart"/>
      <w:r w:rsidR="00584E73">
        <w:t>I</w:t>
      </w:r>
      <w:r w:rsidR="00F867CF">
        <w:t>Ia</w:t>
      </w:r>
      <w:proofErr w:type="spellEnd"/>
      <w:r w:rsidR="00584E73">
        <w:t xml:space="preserve">). </w:t>
      </w:r>
      <w:r w:rsidR="00771CA2">
        <w:fldChar w:fldCharType="begin" w:fldLock="1"/>
      </w:r>
      <w:r w:rsidR="00771CA2">
        <w:instrText>ADDIN CSL_CITATION {"citationItems":[{"id":"ITEM-1","itemData":{"DOI":"10.1093/eurheartj/ehy394","ISSN":"1522-9645 (Electronic)","PMID":"30165437","author":[{"dropping-particle":"","family":"Neumann","given":"Franz-Josef","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O","non-dropping-particle":"","parse-names":false,"suffix":""}],"container-title":"European heart journal","id":"ITEM-1","issue":"2","issued":{"date-parts":[["2019","1"]]},"language":"eng","page":"87-165","publisher-place":"England","title":"2018 ESC/EACTS Guidelines on myocardial revascularization.","type":"article-journal","volume":"40"},"uris":["http://www.mendeley.com/documents/?uuid=172fd6b2-4fca-43ea-ac0a-003d2d1f2038"]}],"mendeley":{"formattedCitation":"&lt;sup&gt;6&lt;/sup&gt;","plainTextFormattedCitation":"6","previouslyFormattedCitation":"&lt;sup&gt;6&lt;/sup&gt;"},"properties":{"noteIndex":0},"schema":"https://github.com/citation-style-language/schema/raw/master/csl-citation.json"}</w:instrText>
      </w:r>
      <w:r w:rsidR="00771CA2">
        <w:fldChar w:fldCharType="separate"/>
      </w:r>
      <w:r w:rsidR="00771CA2" w:rsidRPr="00771CA2">
        <w:rPr>
          <w:noProof/>
          <w:vertAlign w:val="superscript"/>
        </w:rPr>
        <w:t>6</w:t>
      </w:r>
      <w:r w:rsidR="00771CA2">
        <w:fldChar w:fldCharType="end"/>
      </w:r>
      <w:r w:rsidR="00584E73">
        <w:t xml:space="preserve"> </w:t>
      </w:r>
      <w:r w:rsidR="00893540">
        <w:t xml:space="preserve">In the </w:t>
      </w:r>
      <w:r w:rsidR="00AA68B9">
        <w:t>ACC/AHA/SCAI</w:t>
      </w:r>
      <w:r w:rsidR="00893540">
        <w:t xml:space="preserve"> guidelines, no </w:t>
      </w:r>
      <w:r w:rsidR="002E3149">
        <w:t>preference</w:t>
      </w:r>
      <w:r w:rsidR="00893540">
        <w:t xml:space="preserve"> is given to ticagrelor or prasugrel but </w:t>
      </w:r>
      <w:r>
        <w:t>both are preferred to</w:t>
      </w:r>
      <w:r w:rsidR="00893540">
        <w:t xml:space="preserve"> </w:t>
      </w:r>
      <w:r w:rsidR="002E3149">
        <w:t>clopidogrel</w:t>
      </w:r>
      <w:r w:rsidR="00893540">
        <w:t xml:space="preserve">(class </w:t>
      </w:r>
      <w:proofErr w:type="spellStart"/>
      <w:r w:rsidR="00893540">
        <w:t>II</w:t>
      </w:r>
      <w:r w:rsidR="00CA5ABC">
        <w:t>a</w:t>
      </w:r>
      <w:proofErr w:type="spellEnd"/>
      <w:r w:rsidR="00893540">
        <w:t>).</w:t>
      </w:r>
      <w:r w:rsidR="00771CA2">
        <w:fldChar w:fldCharType="begin" w:fldLock="1"/>
      </w:r>
      <w:r w:rsidR="00771CA2">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771CA2">
        <w:fldChar w:fldCharType="separate"/>
      </w:r>
      <w:r w:rsidR="00771CA2" w:rsidRPr="00771CA2">
        <w:rPr>
          <w:noProof/>
          <w:vertAlign w:val="superscript"/>
        </w:rPr>
        <w:t>5</w:t>
      </w:r>
      <w:r w:rsidR="00771CA2">
        <w:fldChar w:fldCharType="end"/>
      </w:r>
    </w:p>
    <w:p w14:paraId="20D32EB0" w14:textId="77777777" w:rsidR="002E3149" w:rsidRDefault="002E3149" w:rsidP="00612F63"/>
    <w:p w14:paraId="60B2DEFE" w14:textId="77777777" w:rsidR="002E3149" w:rsidRPr="00612F63" w:rsidRDefault="002E3149" w:rsidP="00612F63"/>
    <w:p w14:paraId="492193EF" w14:textId="77777777" w:rsidR="007014E9" w:rsidRDefault="007014E9" w:rsidP="00684A15">
      <w:pPr>
        <w:rPr>
          <w:b/>
          <w:bCs/>
        </w:rPr>
      </w:pPr>
      <w:r w:rsidRPr="00684A15">
        <w:rPr>
          <w:b/>
          <w:bCs/>
        </w:rPr>
        <w:t>Discussion</w:t>
      </w:r>
    </w:p>
    <w:p w14:paraId="2835139D" w14:textId="77777777" w:rsidR="00A00E81" w:rsidRDefault="00A00E81" w:rsidP="00684A15">
      <w:pPr>
        <w:rPr>
          <w:b/>
          <w:bCs/>
        </w:rPr>
      </w:pPr>
    </w:p>
    <w:p w14:paraId="4886AE82" w14:textId="77777777" w:rsidR="00B95808" w:rsidRPr="00EF1380" w:rsidRDefault="00B95808" w:rsidP="002A5178">
      <w:pPr>
        <w:spacing w:line="360" w:lineRule="auto"/>
        <w:rPr>
          <w:b/>
          <w:bCs/>
        </w:rPr>
      </w:pPr>
    </w:p>
    <w:p w14:paraId="71E18931" w14:textId="3F2087F6" w:rsidR="00132562" w:rsidRPr="00EF1380" w:rsidRDefault="00132562" w:rsidP="002A5178">
      <w:pPr>
        <w:spacing w:line="360" w:lineRule="auto"/>
        <w:rPr>
          <w:b/>
          <w:bCs/>
        </w:rPr>
      </w:pPr>
      <w:r w:rsidRPr="00EF1380">
        <w:rPr>
          <w:b/>
          <w:bCs/>
        </w:rPr>
        <w:t>Prognostic evidence to support revascularisation over medical therapy</w:t>
      </w:r>
      <w:r w:rsidR="002A5E6B">
        <w:rPr>
          <w:b/>
          <w:bCs/>
        </w:rPr>
        <w:t xml:space="preserve"> in stable patients</w:t>
      </w:r>
    </w:p>
    <w:p w14:paraId="74590014" w14:textId="77777777" w:rsidR="00EF1380" w:rsidRPr="00EF1380" w:rsidRDefault="00EF1380" w:rsidP="002A5178">
      <w:pPr>
        <w:spacing w:line="360" w:lineRule="auto"/>
      </w:pPr>
    </w:p>
    <w:p w14:paraId="1564F308" w14:textId="77777777" w:rsidR="00D517AB" w:rsidRPr="00EF1380" w:rsidRDefault="00D517AB" w:rsidP="002A5178">
      <w:pPr>
        <w:spacing w:line="360" w:lineRule="auto"/>
        <w:rPr>
          <w:i/>
          <w:iCs/>
        </w:rPr>
      </w:pPr>
      <w:r w:rsidRPr="00EF1380">
        <w:rPr>
          <w:i/>
          <w:iCs/>
        </w:rPr>
        <w:t>Left Main Disease</w:t>
      </w:r>
    </w:p>
    <w:p w14:paraId="5CCC45CF" w14:textId="76357BE9" w:rsidR="00D517AB" w:rsidRDefault="007327B3" w:rsidP="002A5178">
      <w:pPr>
        <w:spacing w:line="360" w:lineRule="auto"/>
      </w:pPr>
      <w:r w:rsidRPr="00F9235F">
        <w:t>The evidence for prognostic benefit from CABG over medical therapy in patients with left main stem disease is predominantly from historical randomised trials which predated the use of disease-modifying drugs, most notably statins. Contemporary trials comparing revascularisation with medical therapy have excluded patients with left main stem disease</w:t>
      </w:r>
      <w:r w:rsidR="00B3288C">
        <w:t>.</w:t>
      </w:r>
      <w:r w:rsidR="00771CA2" w:rsidRPr="00F9235F">
        <w:rPr>
          <w:vertAlign w:val="superscript"/>
        </w:rPr>
        <w:fldChar w:fldCharType="begin" w:fldLock="1"/>
      </w:r>
      <w:r w:rsidR="003E5A16">
        <w:rPr>
          <w:vertAlign w:val="superscript"/>
        </w:rPr>
        <w:instrText>ADDIN CSL_CITATION {"citationItems":[{"id":"ITEM-1","itemData":{"ISSN":"0140-6736 (Print)","PMID":"6128492","abstract":"This report presents the final results (follow-up 5--8 years) of a prospective  study in 768 men aged under 65 with mild to moderate angina, 50% or greater stenosis in at least two major coronary arteries, and good left ventricular function. 395 were randomised to coronary artery bypass surgery, 373 to no treatment; 1 patient in the surgery group was lost to follow-up. These original groups were compared, whatever subsequently happened to the patients. Survival was improved significantly by surgery in the total population, in patients with three-vessel disease, and in patients with stenosis in the proximal third of the left anterior descending artery constituting a component of either two or three vessel disease, and non-significantly in patients with left main coronary disease. An abnormal electrocardiogram at rest, ST-segment depression greater than or equal to 1.5 mm during exercise, peripheral arterial disease, and increasing age independently point to a better chance of survival with surgery. In the absence of these prognostic variables in patients with eigher two or three vessel disease the outlook is so good that early surgery is unlikely to increase the prospect of survival. In terms of anginal attacks, use of beta-adrenergic blockers and nitrates, and exercise performance the surgical group did significantly better than the medical group throughout the 5 years of follow-up, but the difference between the two treatments tended to decrease.","container-title":"Lancet (London, England)","id":"ITEM-1","issue":"8309","issued":{"date-parts":[["1982","11"]]},"language":"eng","page":"1173-1180","publisher-place":"England","title":"Long-term results of prospective randomised study of coronary artery bypass  surgery in stable angina pectoris. European Coronary Surgery Study Group.","type":"article-journal","volume":"2"},"uris":["http://www.mendeley.com/documents/?uuid=5bfc19df-d3e1-4a3e-bf1e-4546fc480343"]},{"id":"ITEM-2","itemData":{"DOI":"10.1161/01.cir.66.1.14","ISSN":"0009-7322 (Print)","PMID":"6979435","abstract":"This report presents the 42-month survival experience of 91 patients with a  significant lesion of the left main coronary artery in the Veterans Administration Cooperative Study of Coronary Bypass Surgery. Survival in surgical patients was significantly better than that in the medical group (p = 0.016), even after adjustments were made for two important differences in baseline characteristics--duration of angina and high risk by angiographic criteria--between the two groups (p = 0.019). Subgroups based on severity of left main stenosis and on left ventricular (LV) function showed significant trends in favor of surgery in patients with more than 75% left main stenosis and in those with abnormal LV function. A similar but nonsignificant trend was seen in the two subgroups with 50-75% stenosis or with normal LV function. The surgical benefits were not significantly different between the categories of the subgroups defined separately by stenosis and LV function. Low-, middle- and high-risk subgroups based on four noninvasive clinical predictors also showed significantly improved survival with surgery in the high-risk group. The low-risk groups showed a slight, nonsignificant disadvantage with surgical treatment. These data support the view that patients with left main disease are not a homogeneous group. High- and low-risk subgroups with different outcomes and responses to treatment can be delineated by angiographic or clinical criteria. For most patients with left main disease, coronary artery bypass grafting offers improved longevity.","author":[{"dropping-particle":"","family":"Takaro","given":"T","non-dropping-particle":"","parse-names":false,"suffix":""},{"dropping-particle":"","family":"Peduzzi","given":"P","non-dropping-particle":"","parse-names":false,"suffix":""},{"dropping-particle":"","family":"Detre","given":"K M","non-dropping-particle":"","parse-names":false,"suffix":""},{"dropping-particle":"","family":"Hultgren","given":"H N","non-dropping-particle":"","parse-names":false,"suffix":""},{"dropping-particle":"","family":"Murphy","given":"M L","non-dropping-particle":"","parse-names":false,"suffix":""},{"dropping-particle":"","family":"Bel-Kahn","given":"J","non-dropping-particle":"van der","parse-names":false,"suffix":""},{"dropping-particle":"","family":"Thomsen","given":"J","non-dropping-particle":"","parse-names":false,"suffix":""},{"dropping-particle":"","family":"Meadows","given":"W R","non-dropping-particle":"","parse-names":false,"suffix":""}],"container-title":"Circulation","id":"ITEM-2","issue":"1","issued":{"date-parts":[["1982","7"]]},"language":"eng","page":"14-22","publisher-place":"United States","title":"Survival in subgroups of patients with left main coronary artery disease.  Veterans Administration Cooperative Study of Surgery for Coronary Arterial Occlusive Disease.","type":"article-journal","volume":"66"},"uris":["http://www.mendeley.com/documents/?uuid=f53d6527-b1b1-43bb-b558-ab7167eaf919"]},{"id":"ITEM-3","itemData":{"DOI":"10.1161/CIRCULATIONAHA.109.911669","ISSN":"1524-4539 (Electronic)","PMID":"20733102","abstract":"BACKGROUND: This study compared the 10-year follow-up of percutaneous coronary  intervention (PCI), coronary artery surgery (CABG), and medical treatment (MT) in patients with multivessel coronary artery disease, stable angina, and preserved ventricular function. METHODS AND RESULTS: The primary end points were overall mortality, Q-wave myocardial infarction, or refractory angina that required revascularization. All data were analyzed according to the intention-to-treat principle. At a single institution, 611 patients were randomly assigned to CABG (n=203), PCI (n=205), or MT (n=203). The 10-year survival rates were 74.9% with CABG, 75.1% with PCI, and 69% with MT (P=0.089). The 10-year rates of myocardial infarction were 10.3% with CABG, 13.3% with PCI, and 20.7% with MT (P&lt;0.010). The 10-year rates of additional revascularizations were 7.4% with CABG, 41.9% with PCI, and 39.4% with MT (P&lt;0.001). Relative to the composite end point, Cox regression analysis showed a higher incidence of primary events in MT than in CABG (hazard ratio 2.35, 95% confidence interval 1.78 to 3.11) and in PCI than in CABG (hazard ratio 1.85, 95% confidence interval 1.39 to 2.47). Furthermore, 10-year rates of freedom from angina were 64% with CABG, 59% with PCI, and 43% with MT (P&lt;0.001). CONCLUSIONS: Compared with CABG, MT was associated with a significantly higher incidence of subsequent myocardial infarction, a higher rate of additional revascularization, a higher incidence of cardiac death, and consequently a 2.29-fold increased risk of combined events. PCI was associated with an increased need for further revascularization, a higher incidence of myocardial infarction, and a 1.46-fold increased risk of combined events compared with CABG. Additionally, CABG was better than MT at eliminating anginal symptoms. Clinical Trial Registration Information- URL: http://www.controlled-trials.com. REGISTRATION NUMBER: ISRCTN66068876.","author":[{"dropping-particle":"","family":"Hueb","given":"Whady","non-dropping-particle":"","parse-names":false,"suffix":""},{"dropping-particle":"","family":"Lopes","given":"Neuza","non-dropping-particle":"","parse-names":false,"suffix":""},{"dropping-particle":"","family":"Gersh","given":"Bernard J","non-dropping-particle":"","parse-names":false,"suffix":""},{"dropping-particle":"","family":"Soares","given":"Paulo R","non-dropping-particle":"","parse-names":false,"suffix":""},{"dropping-particle":"","family":"Ribeiro","given":"Expedito E","non-dropping-particle":"","parse-names":false,"suffix":""},{"dropping-particle":"","family":"Pereira","given":"Alexandre C","non-dropping-particle":"","parse-names":false,"suffix":""},{"dropping-particle":"","family":"Favarato","given":"Desiderio","non-dropping-particle":"","parse-names":false,"suffix":""},{"dropping-particle":"","family":"Rocha","given":"Antonio Sérgio C","non-dropping-particle":"","parse-names":false,"suffix":""},{"dropping-particle":"","family":"Hueb","given":"Alexandre C","non-dropping-particle":"","parse-names":false,"suffix":""},{"dropping-particle":"","family":"Ramires","given":"Jose A F","non-dropping-particle":"","parse-names":false,"suffix":""}],"container-title":"Circulation","id":"ITEM-3","issue":"10","issued":{"date-parts":[["2010","9"]]},"language":"eng","page":"949-957","publisher-place":"United States","title":"Ten-year follow-up survival of the Medicine, Angioplasty, or Surgery Study (MASS  II): a randomized controlled clinical trial of 3 therapeutic strategies for multivessel coronary artery disease.","type":"article-journal","volume":"122"},"uris":["http://www.mendeley.com/documents/?uuid=f3c6958a-a5c2-45c2-803b-05ad0ed5f9e9"]},{"id":"ITEM-4","itemData":{"ISSN":"0009-7322 (Print)","PMID":"1098805","abstract":"A total of 145 patients with greater than 50% obstruction of the left main  coronary artery (LMC) were studied by coronary arteriography. Of the 140 who survived cardiac catheterization, 121 were considered operable by coronary arteriography, and 19 were inoperable. Of the 121 operable patients, 32 were treated medically, and 89 had aortocoronary bypass surgery. Surgical mortality was 11%. The follow-up was from 1 to 72 months with a mean follow-up of 15 months. A survival table was plotted over a 24-month period. At 90 days survival in surgical patients was 85%, medical patients 72%, and inoperable patients 64%. At one year 82% of surgical patients were alive compared with 61% of medically treated operable patients (P less than 0.05). Thereafter, the survival rate remained stable up to 23 months. Survival in inoperable patients was 38% at one year. Improved surgical survival was associated with the presence of preoperative collateral vessels and a left ventricular stroke index greater than 18 g-m/m2. The study demonstrates that survival is improved significantly by surgery in LMC patients. Since mortality occurs early after coronary arteriography, surgery should be offered early to operable patients.","author":[{"dropping-particle":"V","family":"Talano","given":"J","non-dropping-particle":"","parse-names":false,"suffix":""},{"dropping-particle":"","family":"Scanlon","given":"P J","non-dropping-particle":"","parse-names":false,"suffix":""},{"dropping-particle":"","family":"Meadows","given":"W R","non-dropping-particle":"","parse-names":false,"suffix":""},{"dropping-particle":"","family":"Kahn","given":"M","non-dropping-particle":"","parse-names":false,"suffix":""},{"dropping-particle":"","family":"Pifarre","given":"R","non-dropping-particle":"","parse-names":false,"suffix":""},{"dropping-particle":"","family":"Gunnar","given":"R M","non-dropping-particle":"","parse-names":false,"suffix":""}],"container-title":"Circulation","id":"ITEM-4","issue":"2 Suppl","issued":{"date-parts":[["1975","8"]]},"language":"eng","page":"I105-11","publisher-place":"United States","title":"Influence of surgery on survival in 145 patients with left main coronary artery  disease.","type":"article-journal","volume":"52"},"uris":["http://www.mendeley.com/documents/?uuid=2b700c2f-c189-4484-a49b-54cd370e888e"]},{"id":"ITEM-5","itemData":{"DOI":"10.1016/j.jacc.2003.08.065","ISSN":"0735-1097 (Print)","PMID":"15145093","abstract":"OBJECTIVES: We sought to evaluate the relative efficacies of three possible  therapeutic strategies for patients with multivessel coronary artery disease (CAD), stable angina, and preserved ventricular function. BACKGROUND: Despite routine use of coronary artery bypass graft surgery (CABG) and percutaneous coronary intervention (PCI), there is no conclusive evidence that either one is superior to medical therapy (MT) alone for the treatment of multivessel CAD. METHODS: The primary end point was defined as cardiac mortality, Q-wave myocardial infarction (MI), or refractory angina requiring revascularization. All data were analyzed according to the intention-to-treat principle. RESULTS: A total of 611 patients were randomly assigned to either a CABG (n = 203), PCI (n = 205), or MT (n = 203) group. The one-year survival rates were 96.0% for CABG, 95.6% for PCI, and 98.5% for MT. The rates for one-year survival free of Q-wave MI were 98% for CABG, 92% for PCI, and 97% for MT. After one-year follow-up, 8.3% of MT patients and 13.3% of PCI patients underwent to additional interventions, compared with only 0.5% of CABG patients. At one-year follow-up, 88% of the patients in the CABG group, 79% in the PCI group, and 46% in the MT group were free of angina (p &lt; 0.0001). CONCLUSIONS: Medical therapy for multivessel CAD was associated with a lower incidence of short-term events and a reduced need for additional revascularization, compared with PCI. In addition, CABG was superior to MT for eliminating anginal symptoms. All three therapeutic regimens yielded relatively low rates of cardiac-related deaths.","author":[{"dropping-particle":"","family":"Hueb","given":"Whady","non-dropping-particle":"","parse-names":false,"suffix":""},{"dropping-particle":"","family":"Soares","given":"Paulo R","non-dropping-particle":"","parse-names":false,"suffix":""},{"dropping-particle":"","family":"Gersh","given":"Bernard J","non-dropping-particle":"","parse-names":false,"suffix":""},{"dropping-particle":"","family":"César","given":"Luiz A M","non-dropping-particle":"","parse-names":false,"suffix":""},{"dropping-particle":"","family":"Luz","given":"Protásio L","non-dropping-particle":"","parse-names":false,"suffix":""},{"dropping-particle":"","family":"Puig","given":"Luiz B","non-dropping-particle":"","parse-names":false,"suffix":""},{"dropping-particle":"","family":"Martinez","given":"Eulógio M","non-dropping-particle":"","parse-names":false,"suffix":""},{"dropping-particle":"","family":"Oliveira","given":"Sergio A","non-dropping-particle":"","parse-names":false,"suffix":""},{"dropping-particle":"","family":"Ramires","given":"José A F","non-dropping-particle":"","parse-names":false,"suffix":""}],"container-title":"Journal of the American College of Cardiology","id":"ITEM-5","issue":"10","issued":{"date-parts":[["2004","5"]]},"language":"eng","page":"1743-1751","publisher-place":"United States","title":"The medicine, angioplasty, or surgery study (MASS-II): a randomized, controlled  clinical trial of three therapeutic strategies for multivessel coronary artery disease: one-year results.","type":"article-journal","volume":"43"},"uris":["http://www.mendeley.com/documents/?uuid=64867006-b4c5-4ce7-aafe-39a2d0b4f888"]},{"id":"ITEM-6","itemData":{"DOI":"10.1016/s0140-6736(94)91963-1","ISSN":"0140-6736 (Print)","PMID":"7914958","abstract":"We carried out a systematic overview using individual patient data from the seven  randomised trials that have compared a strategy of initial coronary artery bypass graft (CABG) surgery with one of initial medical therapy to assess the effects on mortality in patients with stable coronary heart disease (stable angina not severe enough to necessitate surgery on grounds of symptoms alone, or myocardial infarction). 1324 patients were assigned CABG surgery and 1325 medical management between 1972 and 1984. The proportion of patients in the medical treatment group who had undergone CABG surgery was 25% at 5 years, 33% at 7 years, and 41% at 10 years: 93.7% of patients assigned to the surgery group underwent CABG surgery. The CABG group had significantly lower mortality than the medical treatment group at 5 years (10.2 vs 15.8%; odds ratio 0.61 [95% CI 0.48-0.77], p = 0.0001), 7 years (15.8 vs 21.7%; 0.68 [0.56-0.83], p &lt; 0.001), and 10 years (26.4 vs 30.5%; 0.83 [0.70-0.98]; p = 0.03). The risk reduction was greater in patients with left main artery disease than in those with disease in three vessels or one or two vessels (odds ratios at 5 years 0.32, 0.58, and 0.77, respectively). Although relative risk reductions in subgroups defined by other baseline characteristics were similar, the absolute benefits of CABG surgery were most pronounced in patients in the highest risk categories. This effect was most evident when several prognostically important clinical and angiographic risk factors were integrated to stratify patients by risk levels and the extension of survival at 10 years was examined (change in survival -1.1 [SE 3.1] months in low-risk group, 5.0 [4.2] months in moderate-risk group, and 8.8 [5.4] months in high-risk group; p for trend &lt; 0.003). A strategy of initial CABG surgery is associated with lower mortality than one of medical management with delayed surgery if necessary, especially in high-risk and medium-risk patients with stable coronary heart disease. In low-risk patients, the limited data show a non-significant trend towards greater mortality with CABG.","author":[{"dropping-particle":"","family":"Yusuf","given":"S","non-dropping-particle":"","parse-names":false,"suffix":""},{"dropping-particle":"","family":"Zucker","given":"D","non-dropping-particle":"","parse-names":false,"suffix":""},{"dropping-particle":"","family":"Peduzzi","given":"P","non-dropping-particle":"","parse-names":false,"suffix":""},{"dropping-particle":"","family":"Fisher","given":"L D","non-dropping-particle":"","parse-names":false,"suffix":""},{"dropping-particle":"","family":"Takaro","given":"T","non-dropping-particle":"","parse-names":false,"suffix":""},{"dropping-particle":"","family":"Kennedy","given":"J W","non-dropping-particle":"","parse-names":false,"suffix":""},{"dropping-particle":"","family":"Davis","given":"K","non-dropping-particle":"","parse-names":false,"suffix":""},{"dropping-particle":"","family":"Killip","given":"T","non-dropping-particle":"","parse-names":false,"suffix":""},{"dropping-particle":"","family":"Passamani","given":"E","non-dropping-particle":"","parse-names":false,"suffix":""},{"dropping-particle":"","family":"Norris","given":"R","non-dropping-particle":"","parse-names":false,"suffix":""}],"container-title":"Lancet (London, England)","id":"ITEM-6","issue":"8922","issued":{"date-parts":[["1994","8"]]},"language":"eng","page":"563-570","publisher-place":"England","title":"Effect of coronary artery bypass graft surgery on survival: overview of 10-year  results from randomised trials by the Coronary Artery Bypass Graft Surgery Trialists Collaboration.","type":"article-journal","volume":"344"},"uris":["http://www.mendeley.com/documents/?uuid=328f4fbf-7b70-4af2-8bf2-6c949f1b1d37"]}],"mendeley":{"formattedCitation":"&lt;sup&gt;14–19&lt;/sup&gt;","plainTextFormattedCitation":"14–19","previouslyFormattedCitation":"&lt;sup&gt;14–19&lt;/sup&gt;"},"properties":{"noteIndex":0},"schema":"https://github.com/citation-style-language/schema/raw/master/csl-citation.json"}</w:instrText>
      </w:r>
      <w:r w:rsidR="00771CA2" w:rsidRPr="00F9235F">
        <w:rPr>
          <w:vertAlign w:val="superscript"/>
        </w:rPr>
        <w:fldChar w:fldCharType="separate"/>
      </w:r>
      <w:r w:rsidR="00925675" w:rsidRPr="00925675">
        <w:rPr>
          <w:noProof/>
          <w:vertAlign w:val="superscript"/>
        </w:rPr>
        <w:t>14–19</w:t>
      </w:r>
      <w:r w:rsidR="00771CA2" w:rsidRPr="00F9235F">
        <w:rPr>
          <w:vertAlign w:val="superscript"/>
        </w:rPr>
        <w:fldChar w:fldCharType="end"/>
      </w:r>
      <w:r w:rsidR="00B95808">
        <w:t xml:space="preserve"> </w:t>
      </w:r>
      <w:r w:rsidR="00D517AB">
        <w:t>There is no randomised trial evidence that PC</w:t>
      </w:r>
      <w:r w:rsidR="00ED1599">
        <w:t>I</w:t>
      </w:r>
      <w:r w:rsidR="00D517AB">
        <w:t xml:space="preserve"> offers prognostic advantage over OMT in left main disease</w:t>
      </w:r>
      <w:r>
        <w:t xml:space="preserve">; </w:t>
      </w:r>
      <w:r w:rsidR="00BC4EBA">
        <w:t>for example, left main disease was an exclusion to randomisation in ISCHEMIA.</w:t>
      </w:r>
      <w:r w:rsidR="00B62C5C">
        <w:fldChar w:fldCharType="begin" w:fldLock="1"/>
      </w:r>
      <w:r w:rsidR="00B62C5C">
        <w:instrText>ADDIN CSL_CITATION {"citationItems":[{"id":"ITEM-1","itemData":{"DOI":"10.1161/CIRCULATIONAHA.120.048194","ISSN":"1524-4539 (Electronic)","PMID":"32794407","abstract":"BACKGROUND: Revascularization is often performed in patients with stable ischemic  heart disease. However, whether revascularization reduces death and other cardiovascular outcomes is uncertain. METHODS: We conducted PUBMED/EMBASE/Cochrane Central Register of Controlled Trials searches for randomized trials comparing routine revascularization versus an initial conservative strategy in patients with stable ischemic heart disease. The primary outcome was death. Secondary outcomes were cardiovascular death, myocardial infarction (MI), heart failure, stroke, unstable angina, and freedom from angina. Trials were stratified by percent stent use and by percent statin use to evaluate outcomes in contemporary trials. RESULTS: Fourteen randomized clinical trials that enrolled 14 877 patients followed up for a weighted mean of 4.5 years with 64 678 patient-years of follow-up fulfilled our inclusion criteria. Most trials enrolled patients with preserved left ventricular systolic function and low symptom burden, and excluded patients with left main disease. Revascularization compared with medical therapy alone was not associated with a reduced risk of death (relative risk [RR], 0.99 [95% CI, 0.90-1.09]). Trial sequential analysis showed that the cumulative z-curve crossed the futility boundary, indicating firm evidence for lack of a 10% or greater reduction in death. Revascularization was associated with a reduced nonprocedural MI (RR, 0.76 [95% CI, 0.67-0.85]) but also with increased procedural MI (RR, 2.48 [95% CI, 1.86-3.31]) with no difference in overall MI (RR, 0.93 [95% CI, 0.83-1.03]). A significant reduction in unstable angina (RR, 0.64 [95% CI, 0.45-0.92]) and increase in freedom from angina (RR, 1.10 [95% CI, 1.05-1.15]) was also observed with revascularization. There were no treatment-related differences in the risk of heart failure or stroke. CONCLUSIONS: In patients with stable ischemic heart disease, routine revascularization was not associated with improved survival but was associated with a lower risk of nonprocedural MI and unstable angina with greater freedom from angina at the expense of higher rates of procedural MI. Longer-term follow-up of trials is needed to assess whether reduction in these nonfatal spontaneous events improves long-term survival.","author":[{"dropping-particle":"","family":"Bangalore","given":"Sripal","non-dropping-particle":"","parse-names":false,"suffix":""},{"dropping-particle":"","family":"Maron","given":"David J","non-dropping-particle":"","parse-names":false,"suffix":""},{"dropping-particle":"","family":"Stone","given":"Gregg W","non-dropping-particle":"","parse-names":false,"suffix":""},{"dropping-particle":"","family":"Hochman","given":"Judith S","non-dropping-particle":"","parse-names":false,"suffix":""}],"container-title":"Circulation","id":"ITEM-1","issue":"9","issued":{"date-parts":[["2020","9"]]},"language":"eng","page":"841-857","publisher-place":"United States","title":"Routine Revascularization Versus Initial Medical Therapy for Stable Ischemic  Heart Disease: A Systematic Review and Meta-Analysis of Randomized Trials.","type":"article-journal","volume":"142"},"uris":["http://www.mendeley.com/documents/?uuid=16a24358-7ebd-48ad-b7b1-4325c8ccec71"]}],"mendeley":{"formattedCitation":"&lt;sup&gt;3&lt;/sup&gt;","plainTextFormattedCitation":"3","previouslyFormattedCitation":"&lt;sup&gt;3&lt;/sup&gt;"},"properties":{"noteIndex":0},"schema":"https://github.com/citation-style-language/schema/raw/master/csl-citation.json"}</w:instrText>
      </w:r>
      <w:r w:rsidR="00B62C5C">
        <w:fldChar w:fldCharType="separate"/>
      </w:r>
      <w:r w:rsidR="00B62C5C" w:rsidRPr="00B62C5C">
        <w:rPr>
          <w:noProof/>
          <w:vertAlign w:val="superscript"/>
        </w:rPr>
        <w:t>3</w:t>
      </w:r>
      <w:r w:rsidR="00B62C5C">
        <w:fldChar w:fldCharType="end"/>
      </w:r>
      <w:r w:rsidR="00BC4EBA">
        <w:t xml:space="preserve"> </w:t>
      </w:r>
      <w:r w:rsidR="00D517AB">
        <w:t xml:space="preserve"> However, there are both randomised and observational data to suggest equivalent mortality </w:t>
      </w:r>
      <w:r w:rsidR="00FE71EB">
        <w:t>after</w:t>
      </w:r>
      <w:r w:rsidR="00D517AB">
        <w:t xml:space="preserve"> PCI and CABG in left main patients </w:t>
      </w:r>
      <w:r w:rsidR="00FE71EB">
        <w:t xml:space="preserve">who are </w:t>
      </w:r>
      <w:r w:rsidR="00D517AB">
        <w:t>suitable for both</w:t>
      </w:r>
      <w:r w:rsidR="00FE71EB">
        <w:t>. Perhaps</w:t>
      </w:r>
      <w:r w:rsidR="00D517AB">
        <w:t xml:space="preserve"> </w:t>
      </w:r>
      <w:r w:rsidR="00FE71EB">
        <w:t xml:space="preserve">therefore, </w:t>
      </w:r>
      <w:r w:rsidR="00D517AB">
        <w:t>we can infer that PC</w:t>
      </w:r>
      <w:r w:rsidR="002761A2">
        <w:t>I</w:t>
      </w:r>
      <w:r w:rsidR="00D517AB">
        <w:t xml:space="preserve"> also has prognostic advantage </w:t>
      </w:r>
      <w:r>
        <w:t>in patients with left main disease.</w:t>
      </w:r>
      <w:r w:rsidR="00D517AB">
        <w:t xml:space="preserve"> </w:t>
      </w:r>
      <w:r>
        <w:t>A</w:t>
      </w:r>
      <w:r w:rsidR="0078463A">
        <w:t xml:space="preserve"> </w:t>
      </w:r>
      <w:r w:rsidR="00B95808">
        <w:t xml:space="preserve">meta-analysis </w:t>
      </w:r>
      <w:r w:rsidR="0078463A">
        <w:t>of</w:t>
      </w:r>
      <w:r w:rsidR="00B95808">
        <w:t xml:space="preserve"> </w:t>
      </w:r>
      <w:r w:rsidR="009F374E">
        <w:t xml:space="preserve">19 </w:t>
      </w:r>
      <w:r w:rsidR="00B3288C">
        <w:t xml:space="preserve">historical </w:t>
      </w:r>
      <w:r w:rsidR="00D517AB">
        <w:t xml:space="preserve">left main </w:t>
      </w:r>
      <w:r w:rsidR="009F374E">
        <w:t>studies found equivalent mortality rates between CABG and PCI</w:t>
      </w:r>
      <w:r w:rsidR="00D517AB">
        <w:t>, and that both</w:t>
      </w:r>
      <w:r w:rsidR="009F374E">
        <w:t xml:space="preserve"> were </w:t>
      </w:r>
      <w:r w:rsidR="00D517AB">
        <w:t xml:space="preserve">associated with superior survival compared with </w:t>
      </w:r>
      <w:r w:rsidR="009F374E">
        <w:t>medical therapy</w:t>
      </w:r>
      <w:r w:rsidR="00B95808">
        <w:t>.</w:t>
      </w:r>
      <w:r w:rsidR="00B53602">
        <w:fldChar w:fldCharType="begin" w:fldLock="1"/>
      </w:r>
      <w:r w:rsidR="003E5A16">
        <w:instrText>ADDIN CSL_CITATION {"citationItems":[{"id":"ITEM-1","itemData":{"DOI":"10.1161/CIRCULATIONAHA.112.000646","ISSN":"1524-4539 (Electronic)","PMID":"23674397","abstract":"BACKGROUND: Several randomized clinical trials support the use of coronary artery  bypass grafting (CABG) for patients with unprotected left main coronary artery disease. Studies suggesting the equivalence of percutaneous coronary intervention (PCI) with CABG for this indication indirectly support the 2011 American College of Cardiology Foundation/American Heart Association Class IIa recommendation for PCI to improve survival in patients with unprotected left main coronary artery disease. We tested whether bayesian approaches uphold the new recommendation. METHODS AND RESULTS: We performed a bayesian cross-design and network meta-analysis of 12 studies (4 randomized clinical trials and 8 observational studies) comparing CABG with PCI (n=4574 patients) and of 7 studies (2 randomized clinical trials and 5 observational studies) comparing CABG with medical therapy (n=3224 patients). The odds ratios of 1-year mortality after PCI compared with CABG using bayesian cross-design meta-analysis were not different among randomized clinical trials (odds ratio, 0.99; 95% bayesian credible interval, 0.67-1.43), matched cohort studies (odds ratio, 1.10; 95% bayesian credible interval, 0.76-1.73), and other types of cohort studies (odds ratio, 0.93; 95% bayesian credible interval, 0.58-1.35). A network meta-analysis suggested that medical therapy is associated with higher 1-year mortality than the use of PCI for patients with unprotected left main coronary artery disease (odds ratio, 3.22; 95% bayesian credible interval, 1.96-5.30). CONCLUSIONS: Bayesian methods support the current guidelines, which were based on traditional statistical methods and have proposed that PCI, like CABG, improves survival for patients with unprotected left main coronary artery disease compared with medical therapy. An integrated approach using both direct and indirect evidence may yield new insights to enhance the translation of clinical trial data into practice.","author":[{"dropping-particle":"","family":"Bittl","given":"John A","non-dropping-particle":"","parse-names":false,"suffix":""},{"dropping-particle":"","family":"He","given":"Yulei","non-dropping-particle":"","parse-names":false,"suffix":""},{"dropping-particle":"","family":"Jacobs","given":"Alice K","non-dropping-particle":"","parse-names":false,"suffix":""},{"dropping-particle":"","family":"Yancy","given":"Clyde W","non-dropping-particle":"","parse-names":false,"suffix":""},{"dropping-particle":"","family":"Normand","given":"Sharon-Lise T","non-dropping-particle":"","parse-names":false,"suffix":""}],"container-title":"Circulation","id":"ITEM-1","issue":"22","issued":{"date-parts":[["2013","6"]]},"language":"eng","page":"2177-2185","publisher-place":"United States","title":"Bayesian methods affirm the use of percutaneous coronary intervention to improve  survival in patients with unprotected left main coronary artery disease.","type":"article-journal","volume":"127"},"uris":["http://www.mendeley.com/documents/?uuid=ba0232c5-635e-46e9-9bf9-9d8c970cfe76"]}],"mendeley":{"formattedCitation":"&lt;sup&gt;20&lt;/sup&gt;","plainTextFormattedCitation":"20","previouslyFormattedCitation":"&lt;sup&gt;20&lt;/sup&gt;"},"properties":{"noteIndex":0},"schema":"https://github.com/citation-style-language/schema/raw/master/csl-citation.json"}</w:instrText>
      </w:r>
      <w:r w:rsidR="00B53602">
        <w:fldChar w:fldCharType="separate"/>
      </w:r>
      <w:r w:rsidR="00925675" w:rsidRPr="00925675">
        <w:rPr>
          <w:noProof/>
          <w:vertAlign w:val="superscript"/>
        </w:rPr>
        <w:t>20</w:t>
      </w:r>
      <w:r w:rsidR="00B53602">
        <w:fldChar w:fldCharType="end"/>
      </w:r>
      <w:r w:rsidR="006E391C" w:rsidRPr="006E391C">
        <w:t xml:space="preserve"> </w:t>
      </w:r>
      <w:r w:rsidR="006E391C">
        <w:t>This is also consistent with another recent meta-analysis which reported no difference in all-cause death at 5 years overall</w:t>
      </w:r>
      <w:r w:rsidR="001369E3">
        <w:t>;</w:t>
      </w:r>
      <w:r w:rsidR="006E391C">
        <w:t xml:space="preserve"> </w:t>
      </w:r>
      <w:r w:rsidR="001369E3">
        <w:t>although</w:t>
      </w:r>
      <w:r w:rsidR="006E391C">
        <w:t>, by using Bayesian analyses, a slight increase in cumulative risk of death with PCI of 1% (0.2% per year) was found.</w:t>
      </w:r>
      <w:r w:rsidR="006E391C">
        <w:fldChar w:fldCharType="begin" w:fldLock="1"/>
      </w:r>
      <w:r w:rsidR="003E5A16">
        <w:instrText>ADDIN CSL_CITATION {"citationItems":[{"id":"ITEM-1","itemData":{"DOI":"10.1016/S0140-6736(21)02334-5","ISSN":"1474-547X (Electronic)","PMID":"34793745","abstract":"BACKGROUND: The optimal revascularisation strategy for patients with left main  coronary artery disease is uncertain. We therefore aimed to evaluate long-term outcomes for patients treated with percutaneous coronary intervention (PCI) with drug-eluting stents versus coronary artery bypass grafting (CABG). METHODS: In this individual patient data meta-analysis, we searched MEDLINE, Embase, and the Cochrane database using the search terms \"left main\", \"percutaneous coronary intervention\" or \"stent\", and \"coronary artery bypass graft*\" to identify randomised controlled trials (RCTs) published in English between database inception and Aug 31, 2021, comparing PCI with drug-eluting stents with CABG in patients with left main coronary artery disease that had at least 5 years of patient follow-up for all-cause mortality. Two authors (MSS and BAB) identified studies meeting the criteria. The primary endpoint was 5-year all-cause mortality. Secondary endpoints were cardiovascular death, spontaneous myocardial infarction, procedural myocardial infarction, stroke, and repeat revascularisation. We used a one-stage approach; event rates were calculated by use of the Kaplan-Meier method and treatment group comparisons were made by use of a Cox frailty model, with trial as a random effect. In Bayesian analyses, the probabilities of absolute risk differences in the primary endpoint between PCI and CABG being more than 0·0%, and at least 1·0%, 2·5%, or 5·0%, were calculated. FINDINGS: Our literature search yielded 1599 results, of which four RCTs-SYNTAX, PRECOMBAT, NOBLE, and EXCEL-meeting our inclusion criteria were included in our meta-analysis. 4394 patients, with a median SYNTAX score of 25·0 (IQR 18·0-31·0), were randomly assigned to PCI (n=2197) or CABG (n=2197). The Kaplan-Meier estimate of 5-year all-cause death was 11·2% (95% CI 9·9-12·6) with PCI and 10·2% (9·0-11·6) with CABG (hazard ratio 1·10, 95% CI 0·91-1·32; p=0·33), resulting in a non-statistically significant absolute risk difference of 0·9% (95% CI -0·9 to 2·8). In Bayesian analyses, there was an 85·7% probability that death at 5 years was greater with PCI than with CABG; this difference was more likely than not less than 1·0% (&lt;0·2% per year). The numerical difference in mortality was comprised more of non-cardiovascular than cardiovascular death. Spontaneous myocardial infarction (6·2%, 95% CI 5·2-7·3 vs 2·6%, 2·0-3·4; hazard ratio [HR] 2·35, 95% CI 1·71-3·23; p&lt;0·0001) and repeat revascularisation (…","author":[{"dropping-particle":"","family":"Sabatine","given":"Marc S","non-dropping-particle":"","parse-names":false,"suffix":""},{"dropping-particle":"","family":"Bergmark","given":"Brian A","non-dropping-particle":"","parse-names":false,"suffix":""},{"dropping-particle":"","family":"Murphy","given":"Sabina A","non-dropping-particle":"","parse-names":false,"suffix":""},{"dropping-particle":"","family":"O'Gara","given":"Patrick T","non-dropping-particle":"","parse-names":false,"suffix":""},{"dropping-particle":"","family":"Smith","given":"Peter K","non-dropping-particle":"","parse-names":false,"suffix":""},{"dropping-particle":"","family":"Serruys","given":"Patrick W","non-dropping-particle":"","parse-names":false,"suffix":""},{"dropping-particle":"","family":"Kappetein","given":"A Pieter","non-dropping-particle":"","parse-names":false,"suffix":""},{"dropping-particle":"","family":"Park","given":"Seung-Jung","non-dropping-particle":"","parse-names":false,"suffix":""},{"dropping-particle":"","family":"Park","given":"Duk-Woo","non-dropping-particle":"","parse-names":false,"suffix":""},{"dropping-particle":"","family":"Christiansen","given":"Evald H","non-dropping-particle":"","parse-names":false,"suffix":""},{"dropping-particle":"","family":"Holm","given":"Niels R","non-dropping-particle":"","parse-names":false,"suffix":""},{"dropping-particle":"","family":"Nielsen","given":"Per H","non-dropping-particle":"","parse-names":false,"suffix":""},{"dropping-particle":"","family":"Stone","given":"Gregg W","non-dropping-particle":"","parse-names":false,"suffix":""},{"dropping-particle":"","family":"Sabik","given":"Joseph F","non-dropping-particle":"","parse-names":false,"suffix":""},{"dropping-particle":"","family":"Braunwald","given":"Eugene","non-dropping-particle":"","parse-names":false,"suffix":""}],"container-title":"Lancet (London, England)","id":"ITEM-1","issue":"10318","issued":{"date-parts":[["2021","12"]]},"language":"eng","page":"2247-2257","publisher-place":"England","title":"Percutaneous coronary intervention with drug-eluting stents versus coronary  artery bypass grafting in left main coronary artery disease: an individual patient data meta-analysis.","type":"article-journal","volume":"398"},"uris":["http://www.mendeley.com/documents/?uuid=36735284-f063-47a2-810c-6185e458fddf"]}],"mendeley":{"formattedCitation":"&lt;sup&gt;21&lt;/sup&gt;","plainTextFormattedCitation":"21","previouslyFormattedCitation":"&lt;sup&gt;21&lt;/sup&gt;"},"properties":{"noteIndex":0},"schema":"https://github.com/citation-style-language/schema/raw/master/csl-citation.json"}</w:instrText>
      </w:r>
      <w:r w:rsidR="006E391C">
        <w:fldChar w:fldCharType="separate"/>
      </w:r>
      <w:r w:rsidR="00925675" w:rsidRPr="00925675">
        <w:rPr>
          <w:noProof/>
          <w:vertAlign w:val="superscript"/>
        </w:rPr>
        <w:t>21</w:t>
      </w:r>
      <w:r w:rsidR="006E391C">
        <w:fldChar w:fldCharType="end"/>
      </w:r>
      <w:r w:rsidR="006E391C">
        <w:t xml:space="preserve"> </w:t>
      </w:r>
      <w:r w:rsidR="00B95808">
        <w:t xml:space="preserve"> </w:t>
      </w:r>
      <w:r w:rsidR="00037705">
        <w:t xml:space="preserve">In addition, a recent meta-analysis </w:t>
      </w:r>
      <w:r>
        <w:t xml:space="preserve">of </w:t>
      </w:r>
      <w:r w:rsidR="00D517AB">
        <w:t>contemporary</w:t>
      </w:r>
      <w:r w:rsidR="009B183B">
        <w:t xml:space="preserve"> </w:t>
      </w:r>
      <w:r w:rsidR="00845C98">
        <w:t xml:space="preserve">trials </w:t>
      </w:r>
      <w:r w:rsidR="00037705">
        <w:t xml:space="preserve">also found similar </w:t>
      </w:r>
      <w:r w:rsidR="00974124">
        <w:t>major adverse cardiovascular events</w:t>
      </w:r>
      <w:r w:rsidR="00037705">
        <w:t xml:space="preserve"> between PCI and CABG</w:t>
      </w:r>
      <w:r w:rsidR="002B773B">
        <w:t xml:space="preserve">, </w:t>
      </w:r>
      <w:r w:rsidR="00975963">
        <w:t>although</w:t>
      </w:r>
      <w:r w:rsidR="002B773B">
        <w:t xml:space="preserve"> </w:t>
      </w:r>
      <w:r w:rsidR="00677EDC">
        <w:t xml:space="preserve">repeat </w:t>
      </w:r>
      <w:r w:rsidR="002B773B">
        <w:t xml:space="preserve">revascularisation </w:t>
      </w:r>
      <w:r w:rsidR="002B773B">
        <w:lastRenderedPageBreak/>
        <w:t xml:space="preserve">procedures </w:t>
      </w:r>
      <w:r w:rsidR="00975963">
        <w:t>were</w:t>
      </w:r>
      <w:r w:rsidR="00255492">
        <w:t xml:space="preserve"> </w:t>
      </w:r>
      <w:r w:rsidR="00D517AB">
        <w:t>significantly higher for PCI</w:t>
      </w:r>
      <w:r w:rsidR="008801FC">
        <w:t>.</w:t>
      </w:r>
      <w:r w:rsidR="00037705">
        <w:fldChar w:fldCharType="begin" w:fldLock="1"/>
      </w:r>
      <w:r w:rsidR="003E5A16">
        <w:instrText>ADDIN CSL_CITATION {"citationItems":[{"id":"ITEM-1","itemData":{"DOI":"10.1093/eurheartj/ehaa135","ISSN":"0195-668X","abstract":"The optimal method of revascularization for patients with left main coronary artery disease (LMCAD) is controversial. Coronary artery bypass graft surgery (CABG) has traditionally been considered the gold standard therapy, and recent randomized trials comparing CABG with percutaneous coronary intervention (PCI) with drug-eluting stents (DES) have reported conflicting outcomes. We, therefore, performed a systematic review and updated meta-analysis comparing CABG to PCI with DES for the treatment of LMCAD.We systematically identified all randomized trials comparing PCI with DES vs. CABG in patients with LMCAD. The primary efficacy endpoint was all-cause mortality. Secondary endpoints included cardiac death, myocardial infarction (MI), stroke, and unplanned revascularization. All analyses were by intention-to-treat. There were five eligible trials in which 4612 patients were randomized. The weighted mean follow-up duration was 67.1 months. There were no significant differences between PCI and CABG for the risk of all-cause mortality [relative risk (RR) 1.03, 95\\\\% confidence interval (CI) 0.81–1.32; P = 0.779] or cardiac death (RR 1.03, 95\\\\% CI 0.79–1.34; P = 0.817). There were also no significant differences in the risk of stroke (RR 0.74, 95\\\\% CI 0.35–1.50; P = 0.400) or MI (RR 1.22, 95\\\\% CI 0.96–1.56; P = 0.110). Percutaneous coronary intervention was associated with an increased risk of unplanned revascularization (RR 1.73, 95\\\\% CI 1.49–2.02; P \\\\&amp;lt; 0.001).The totality of randomized clinical trial evidence demonstrated similar long-term mortality after PCI with DES compared with CABG in patients with LMCAD. Nor were there significant differences in cardiac death, stroke, or MI between PCI and CABG. Unplanned revascularization procedures were less common after CABG compared with PCI. These findings may inform clinical decision-making between cardiologists, surgeons, and patients with LMCAD.","author":[{"dropping-particle":"","family":"Ahmad","given":"Yousif","non-dropping-particle":"","parse-names":false,"suffix":""},{"dropping-particle":"","family":"Howard","given":"James P","non-dropping-particle":"","parse-names":false,"suffix":""},{"dropping-particle":"","family":"Arnold","given":"Ahran D","non-dropping-particle":"","parse-names":false,"suffix":""},{"dropping-particle":"","family":"Cook","given":"Christopher M","non-dropping-particle":"","parse-names":false,"suffix":""},{"dropping-particle":"","family":"Prasad","given":"Megha","non-dropping-particle":"","parse-names":false,"suffix":""},{"dropping-particle":"","family":"Ali","given":"Ziad A","non-dropping-particle":"","parse-names":false,"suffix":""},{"dropping-particle":"","family":"Parikh","given":"Manish A","non-dropping-particle":"","parse-names":false,"suffix":""},{"dropping-particle":"","family":"Kosmidou","given":"Ioanna","non-dropping-particle":"","parse-names":false,"suffix":""},{"dropping-particle":"","family":"Francis","given":"Darrel P","non-dropping-particle":"","parse-names":false,"suffix":""},{"dropping-particle":"","family":"Moses","given":"Jeffrey W","non-dropping-particle":"","parse-names":false,"suffix":""},{"dropping-particle":"","family":"Leon","given":"Martin B","non-dropping-particle":"","parse-names":false,"suffix":""},{"dropping-particle":"","family":"Kirtane","given":"Ajay J","non-dropping-particle":"","parse-names":false,"suffix":""},{"dropping-particle":"","family":"Stone","given":"Gregg W","non-dropping-particle":"","parse-names":false,"suffix":""},{"dropping-particle":"","family":"Karmpaliotis","given":"Dimitri","non-dropping-particle":"","parse-names":false,"suffix":""}],"container-title":"European Heart Journal","id":"ITEM-1","issue":"34","issued":{"date-parts":[["2020"]]},"page":"3228-3235","title":"Mortality after drug-eluting stents vs. coronary artery bypass grafting for left main coronary artery disease: a meta-analysis of randomized controlled trials","type":"article-journal","volume":"41"},"uris":["http://www.mendeley.com/documents/?uuid=0a5c5467-ff69-48d2-a17e-eab97e12871e"]}],"mendeley":{"formattedCitation":"&lt;sup&gt;22&lt;/sup&gt;","plainTextFormattedCitation":"22","previouslyFormattedCitation":"&lt;sup&gt;22&lt;/sup&gt;"},"properties":{"noteIndex":0},"schema":"https://github.com/citation-style-language/schema/raw/master/csl-citation.json"}</w:instrText>
      </w:r>
      <w:r w:rsidR="00037705">
        <w:fldChar w:fldCharType="separate"/>
      </w:r>
      <w:r w:rsidR="00925675" w:rsidRPr="00925675">
        <w:rPr>
          <w:noProof/>
          <w:vertAlign w:val="superscript"/>
        </w:rPr>
        <w:t>22</w:t>
      </w:r>
      <w:r w:rsidR="00037705">
        <w:fldChar w:fldCharType="end"/>
      </w:r>
      <w:r w:rsidR="008801FC">
        <w:t xml:space="preserve"> </w:t>
      </w:r>
      <w:r w:rsidR="00677EDC">
        <w:t>However,</w:t>
      </w:r>
      <w:r w:rsidR="00A540D1">
        <w:t xml:space="preserve"> It seems highly unlikely that there will ever be a randomised trial comparing PCI versus OMT alone in patients with significant LM disease.</w:t>
      </w:r>
      <w:r w:rsidR="00766840">
        <w:t xml:space="preserve"> </w:t>
      </w:r>
      <w:r w:rsidR="001369E3" w:rsidRPr="00F9235F">
        <w:t xml:space="preserve">Whilst randomised data are rightly considered to carry the most scientific validity, the findings of </w:t>
      </w:r>
      <w:r w:rsidR="001369E3" w:rsidRPr="001369E3">
        <w:t>large-scale</w:t>
      </w:r>
      <w:r w:rsidR="001369E3" w:rsidRPr="00F9235F">
        <w:t xml:space="preserve"> observational studies have complementary value, given that they include a much larger representation of the </w:t>
      </w:r>
      <w:r w:rsidR="00D92964" w:rsidRPr="00D92964">
        <w:t>real-world</w:t>
      </w:r>
      <w:r w:rsidR="001369E3" w:rsidRPr="00F9235F">
        <w:t xml:space="preserve"> population of patients that we look after in routine practice. The observational </w:t>
      </w:r>
      <w:r w:rsidR="001369E3" w:rsidRPr="001369E3">
        <w:t>long-term</w:t>
      </w:r>
      <w:r w:rsidR="001369E3" w:rsidRPr="00F9235F">
        <w:t xml:space="preserve"> data for patients with 3VD, when comparing multivessel PCI with CABG, are consistent with the </w:t>
      </w:r>
      <w:r w:rsidR="001369E3" w:rsidRPr="001369E3">
        <w:t>10-year</w:t>
      </w:r>
      <w:r w:rsidR="001369E3" w:rsidRPr="00F9235F">
        <w:t xml:space="preserve"> results in SYNTAXES, thus adding weight to the concept that there is indeed a difference in long term mortality.</w:t>
      </w:r>
      <w:r w:rsidR="001369E3">
        <w:rPr>
          <w:rFonts w:ascii="Segoe UI" w:hAnsi="Segoe UI" w:cs="Segoe UI"/>
          <w:color w:val="C00000"/>
          <w:sz w:val="23"/>
          <w:szCs w:val="23"/>
          <w:bdr w:val="none" w:sz="0" w:space="0" w:color="auto" w:frame="1"/>
        </w:rPr>
        <w:t xml:space="preserve"> </w:t>
      </w:r>
      <w:r w:rsidR="009E0CBE">
        <w:rPr>
          <w:rFonts w:ascii="Segoe UI" w:hAnsi="Segoe UI" w:cs="Segoe UI"/>
          <w:color w:val="C00000"/>
          <w:sz w:val="23"/>
          <w:szCs w:val="23"/>
          <w:bdr w:val="none" w:sz="0" w:space="0" w:color="auto" w:frame="1"/>
        </w:rPr>
        <w:fldChar w:fldCharType="begin" w:fldLock="1"/>
      </w:r>
      <w:r w:rsidR="00BF577E">
        <w:rPr>
          <w:rFonts w:ascii="Segoe UI" w:hAnsi="Segoe UI" w:cs="Segoe UI"/>
          <w:color w:val="C00000"/>
          <w:sz w:val="23"/>
          <w:szCs w:val="23"/>
          <w:bdr w:val="none" w:sz="0" w:space="0" w:color="auto" w:frame="1"/>
        </w:rPr>
        <w:instrText>ADDIN CSL_CITATION {"citationItems":[{"id":"ITEM-1","itemData":{"DOI":"10.1161/CIRCINTERVENTIONS.115.002626","ISSN":"1941-7632 (Electronic)","PMID":"26156152","abstract":"BACKGROUND: In patients with diabetes mellitus and multivessel disease, coronary  artery bypass graft surgery and percutaneous coronary intervention are treatment options. However, there is paucity of data comparing coronary artery bypass graft surgery against newer generation stents. METHODS AND RESULTS: Patients included in the New York State registries who had diabetes mellitus and underwent isolated coronary artery bypass graft surgery or percutaneous coronary intervention with everolimus eluting stent (EES) for multivessel disease were included. Propensity score matching was used to assemble a cohort with similar baseline characteristics. The primary outcome was all-cause mortality. Secondary outcomes were myocardial infarction (MI), stroke, and repeat revascularization. Short-term (within 30 days) and long-term outcomes were evaluated. Among 16,089 patients with diabetes mellitus and multivessel disease, 8096 patients with similar propensity scores were included. At short-term, EES was associated with a lower risk of death (hazard ratio [HR] =0.58; 95% confidence interval [CI], 0.34-0.98; P=0.04) and stroke (HR=0.14; 95% CI, 0.06-0.30; P&lt;0.0001) but higher risk of MI (HR=2.44; 95% CI, 1.13-5.31; P=0.02). At long-term, EES was associated with a similar risk of death (425 [10.50%] versus 414 [10.23%] events; HR=1.12; 95% CI, 0.96-1.30; P=0.16), a lower risk of stroke (118 [2.92%] versus 157 [3.88%] events; HR=0.76; 95% CI, 0.58-0.99; P=0.04) but a higher risk of MI (260 [6.42%] versus 166 [4.10%] events; HR=1.64; 95% CI, 1.32-2.04; P&lt;0.0001) and repeat revascularization (889 [21.96%] versus 421 [10.40%] events; HR=2.42; 95% CI, 2.12-2.76; P&lt;0.0001). The higher risk of MI was not seen in the subgroup of EES patients who underwent complete revascularization (HR=1.37; 95% CI, 0.76-2.47; P=0.30). CONCLUSIONS: In patients with diabetes mellitus and multivessel disease, EES was associated with lower upfront risk of death and stroke when compared with coronary artery bypass graft surgery. However, at long-term, EES was associated with similar risk of death, a higher risk of MI (in those with incomplete revascularization), and repeat revascularization but a lower risk of stroke.","author":[{"dropping-particle":"","family":"Bangalore","given":"Sripal","non-dropping-particle":"","parse-names":false,"suffix":""},{"dropping-particle":"","family":"Guo","given":"Yu","non-dropping-particle":"","parse-names":false,"suffix":""},{"dropping-particle":"","family":"Samadashvili","given":"Zaza","non-dropping-particle":"","parse-names":false,"suffix":""},{"dropping-particle":"","family":"Blecker","given":"Saul","non-dropping-particle":"","parse-names":false,"suffix":""},{"dropping-particle":"","family":"Xu","given":"Jinfeng","non-dropping-particle":"","parse-names":false,"suffix":""},{"dropping-particle":"","family":"Hannan","given":"Edward L","non-dropping-particle":"","parse-names":false,"suffix":""}],"container-title":"Circulation. Cardiovascular interventions","id":"ITEM-1","issue":"7","issued":{"date-parts":[["2015","7"]]},"language":"eng","page":"e002626","title":"Everolimus Eluting Stents Versus Coronary Artery Bypass Graft Surgery for  Patients With Diabetes Mellitus and Multivessel Disease.","type":"article-journal","volume":"8"},"uris":["http://www.mendeley.com/documents/?uuid=1fea35d6-b510-44da-a926-125854433f17"]},{"id":"ITEM-2","itemData":{"DOI":"10.1016/S0140-6736(19)31997-X","ISSN":"1474-547X (Electronic)","PMID":"31488373","abstract":"BACKGROUND: The Synergy between PCI with Taxus and Cardiac Surgery (SYNTAX) trial  was a non-inferiority trial that compared percutaneous coronary intervention (PCI) using first-generation paclitaxel-eluting stents with coronary artery bypass grafting (CABG) in patients with de-novo three-vessel and left main coronary artery disease, and reported results up to 5 years. We now report 10-year all-cause death results. METHODS: The SYNTAX Extended Survival (SYNTAXES) study is an investigator-driven extension of follow-up of a multicentre, randomised controlled trial done in 85 hospitals across 18 North American and European countries. Patients with de-novo three-vessel and left main coronary artery disease were randomly assigned (1:1) to the PCI group or CABG group. Patients with a history of PCI or CABG, acute myocardial infarction, or an indication for concomitant cardiac surgery were excluded. The primary endpoint of the SYNTAXES study was 10-year all-cause death, which was assessed according to the intention-to-treat principle. Prespecified subgroup analyses were performed according to the presence or absence of left main coronary artery disease and diabetes, and according to coronary complexity defined by core laboratory SYNTAX score tertiles. This study is registered with ClinicalTrials.gov, NCT03417050. FINDINGS: From March, 2005, to April, 2007, 1800 patients were randomly assigned to the PCI (n=903) or CABG (n=897) group. Vital status information at 10 years was complete for 841 (93%) patients in the PCI group and 848 (95%) patients in the CABG group. At 10 years, 248 (28%) patients had died after PCI and 212 (24%) after CABG (hazard ratio 1·19 [95% CI 0·99-1·43], p=0·066). Among patients with three-vessel disease, 153 (28%) of 546 had died after PCI versus 114 (21%) of 549 after CABG (hazard ratio 1·42 [95% CI 1·11-1·81]), and among patients with left main coronary artery disease, 95 (27%) of 357 had died after PCI versus 98 (28%) of 348 after CABG (0·92 [0·69-1·22], p(interaction)=0·023). There was no treatment-by-subgroup interaction with diabetes (p(interaction)=0·60) and no linear trend across SYNTAX score tertiles (p(trend)=0·20). INTERPRETATION: At 10 years, no significant difference existed in all-cause death between PCI using first-generation paclitaxel-eluting stents and CABG. However, CABG provided a significant survival benefit in patients with three-vessel disease, but not in patients with left main coronary artery disease. FUNDING: Ge…","author":[{"dropping-particle":"","family":"Thuijs","given":"Daniel J F M","non-dropping-particle":"","parse-names":false,"suffix":""},{"dropping-particle":"","family":"Kappetein","given":"A Pieter","non-dropping-particle":"","parse-names":false,"suffix":""},{"dropping-particle":"","family":"Serruys","given":"Patrick W","non-dropping-particle":"","parse-names":false,"suffix":""},{"dropping-particle":"","family":"Mohr","given":"Friedrich-Wilhelm","non-dropping-particle":"","parse-names":false,"suffix":""},{"dropping-particle":"","family":"Morice","given":"Marie-Claude","non-dropping-particle":"","parse-names":false,"suffix":""},{"dropping-particle":"","family":"Mack","given":"Michael J","non-dropping-particle":"","parse-names":false,"suffix":""},{"dropping-particle":"","family":"Holmes","given":"David R Jr","non-dropping-particle":"","parse-names":false,"suffix":""},{"dropping-particle":"","family":"Curzen","given":"Nick","non-dropping-particle":"","parse-names":false,"suffix":""},{"dropping-particle":"","family":"Davierwala","given":"Piroze","non-dropping-particle":"","parse-names":false,"suffix":""},{"dropping-particle":"","family":"Noack","given":"Thilo","non-dropping-particle":"","parse-names":false,"suffix":""},{"dropping-particle":"","family":"Milojevic","given":"Milan","non-dropping-particle":"","parse-names":false,"suffix":""},{"dropping-particle":"","family":"Dawkins","given":"Keith D","non-dropping-particle":"","parse-names":false,"suffix":""},{"dropping-particle":"","family":"Costa","given":"Bruno R","non-dropping-particle":"da","parse-names":false,"suffix":""},{"dropping-particle":"","family":"Jüni","given":"Peter","non-dropping-particle":"","parse-names":false,"suffix":""},{"dropping-particle":"","family":"Head","given":"Stuart J","non-dropping-particle":"","parse-names":false,"suffix":""}],"container-title":"Lancet (London, England)","id":"ITEM-2","issue":"10206","issued":{"date-parts":[["2019","10"]]},"language":"eng","page":"1325-1334","publisher-place":"England","title":"Percutaneous coronary intervention versus coronary artery bypass grafting in  patients with three-vessel or left main coronary artery disease: 10-year follow-up of the multicentre randomised controlled SYNTAX trial.","type":"article-journal","volume":"394"},"uris":["http://www.mendeley.com/documents/?uuid=23596c47-c85d-4f8b-b68f-a306417e4527"]}],"mendeley":{"formattedCitation":"&lt;sup&gt;23,24&lt;/sup&gt;","plainTextFormattedCitation":"23,24","previouslyFormattedCitation":"&lt;sup&gt;23,24&lt;/sup&gt;"},"properties":{"noteIndex":0},"schema":"https://github.com/citation-style-language/schema/raw/master/csl-citation.json"}</w:instrText>
      </w:r>
      <w:r w:rsidR="009E0CBE">
        <w:rPr>
          <w:rFonts w:ascii="Segoe UI" w:hAnsi="Segoe UI" w:cs="Segoe UI"/>
          <w:color w:val="C00000"/>
          <w:sz w:val="23"/>
          <w:szCs w:val="23"/>
          <w:bdr w:val="none" w:sz="0" w:space="0" w:color="auto" w:frame="1"/>
        </w:rPr>
        <w:fldChar w:fldCharType="separate"/>
      </w:r>
      <w:r w:rsidR="009E0CBE" w:rsidRPr="009E0CBE">
        <w:rPr>
          <w:rFonts w:ascii="Segoe UI" w:hAnsi="Segoe UI" w:cs="Segoe UI"/>
          <w:noProof/>
          <w:color w:val="C00000"/>
          <w:sz w:val="23"/>
          <w:szCs w:val="23"/>
          <w:bdr w:val="none" w:sz="0" w:space="0" w:color="auto" w:frame="1"/>
          <w:vertAlign w:val="superscript"/>
        </w:rPr>
        <w:t>23,24</w:t>
      </w:r>
      <w:r w:rsidR="009E0CBE">
        <w:rPr>
          <w:rFonts w:ascii="Segoe UI" w:hAnsi="Segoe UI" w:cs="Segoe UI"/>
          <w:color w:val="C00000"/>
          <w:sz w:val="23"/>
          <w:szCs w:val="23"/>
          <w:bdr w:val="none" w:sz="0" w:space="0" w:color="auto" w:frame="1"/>
        </w:rPr>
        <w:fldChar w:fldCharType="end"/>
      </w:r>
    </w:p>
    <w:p w14:paraId="239EF01D" w14:textId="77777777" w:rsidR="00ED1599" w:rsidRDefault="00ED1599" w:rsidP="002A5178">
      <w:pPr>
        <w:spacing w:line="360" w:lineRule="auto"/>
      </w:pPr>
    </w:p>
    <w:p w14:paraId="236E612D" w14:textId="77777777" w:rsidR="008C0EA7" w:rsidRPr="009B183B" w:rsidRDefault="008C0EA7" w:rsidP="002A5178">
      <w:pPr>
        <w:spacing w:line="360" w:lineRule="auto"/>
        <w:rPr>
          <w:i/>
          <w:iCs/>
        </w:rPr>
      </w:pPr>
      <w:r w:rsidRPr="009B183B">
        <w:rPr>
          <w:i/>
          <w:iCs/>
        </w:rPr>
        <w:t>Three Vessel Disease</w:t>
      </w:r>
    </w:p>
    <w:p w14:paraId="5C92D09D" w14:textId="2EF87AA4" w:rsidR="00B95808" w:rsidRPr="002A5178" w:rsidRDefault="008C0EA7" w:rsidP="002A5178">
      <w:pPr>
        <w:spacing w:line="360" w:lineRule="auto"/>
      </w:pPr>
      <w:r>
        <w:t xml:space="preserve">In this sub-group, the historical evidence does suggest </w:t>
      </w:r>
      <w:r w:rsidR="005F47BC">
        <w:t xml:space="preserve">survival </w:t>
      </w:r>
      <w:r>
        <w:t xml:space="preserve">advantage for CABG over medical treatment, although these data </w:t>
      </w:r>
      <w:r w:rsidR="005F47BC">
        <w:t xml:space="preserve">again largely </w:t>
      </w:r>
      <w:r>
        <w:t>pre-date the advent of disease-modifying medical therapy</w:t>
      </w:r>
      <w:r w:rsidR="0078463A">
        <w:t>.</w:t>
      </w:r>
      <w:r w:rsidR="00AE1225">
        <w:fldChar w:fldCharType="begin" w:fldLock="1"/>
      </w:r>
      <w:r w:rsidR="003E5A16">
        <w:instrText>ADDIN CSL_CITATION {"citationItems":[{"id":"ITEM-1","itemData":{"DOI":"10.1016/s0140-6736(94)91963-1","ISSN":"0140-6736 (Print)","PMID":"7914958","abstract":"We carried out a systematic overview using individual patient data from the seven  randomised trials that have compared a strategy of initial coronary artery bypass graft (CABG) surgery with one of initial medical therapy to assess the effects on mortality in patients with stable coronary heart disease (stable angina not severe enough to necessitate surgery on grounds of symptoms alone, or myocardial infarction). 1324 patients were assigned CABG surgery and 1325 medical management between 1972 and 1984. The proportion of patients in the medical treatment group who had undergone CABG surgery was 25% at 5 years, 33% at 7 years, and 41% at 10 years: 93.7% of patients assigned to the surgery group underwent CABG surgery. The CABG group had significantly lower mortality than the medical treatment group at 5 years (10.2 vs 15.8%; odds ratio 0.61 [95% CI 0.48-0.77], p = 0.0001), 7 years (15.8 vs 21.7%; 0.68 [0.56-0.83], p &lt; 0.001), and 10 years (26.4 vs 30.5%; 0.83 [0.70-0.98]; p = 0.03). The risk reduction was greater in patients with left main artery disease than in those with disease in three vessels or one or two vessels (odds ratios at 5 years 0.32, 0.58, and 0.77, respectively). Although relative risk reductions in subgroups defined by other baseline characteristics were similar, the absolute benefits of CABG surgery were most pronounced in patients in the highest risk categories. This effect was most evident when several prognostically important clinical and angiographic risk factors were integrated to stratify patients by risk levels and the extension of survival at 10 years was examined (change in survival -1.1 [SE 3.1] months in low-risk group, 5.0 [4.2] months in moderate-risk group, and 8.8 [5.4] months in high-risk group; p for trend &lt; 0.003). A strategy of initial CABG surgery is associated with lower mortality than one of medical management with delayed surgery if necessary, especially in high-risk and medium-risk patients with stable coronary heart disease. In low-risk patients, the limited data show a non-significant trend towards greater mortality with CABG.","author":[{"dropping-particle":"","family":"Yusuf","given":"S","non-dropping-particle":"","parse-names":false,"suffix":""},{"dropping-particle":"","family":"Zucker","given":"D","non-dropping-particle":"","parse-names":false,"suffix":""},{"dropping-particle":"","family":"Peduzzi","given":"P","non-dropping-particle":"","parse-names":false,"suffix":""},{"dropping-particle":"","family":"Fisher","given":"L D","non-dropping-particle":"","parse-names":false,"suffix":""},{"dropping-particle":"","family":"Takaro","given":"T","non-dropping-particle":"","parse-names":false,"suffix":""},{"dropping-particle":"","family":"Kennedy","given":"J W","non-dropping-particle":"","parse-names":false,"suffix":""},{"dropping-particle":"","family":"Davis","given":"K","non-dropping-particle":"","parse-names":false,"suffix":""},{"dropping-particle":"","family":"Killip","given":"T","non-dropping-particle":"","parse-names":false,"suffix":""},{"dropping-particle":"","family":"Passamani","given":"E","non-dropping-particle":"","parse-names":false,"suffix":""},{"dropping-particle":"","family":"Norris","given":"R","non-dropping-particle":"","parse-names":false,"suffix":""}],"container-title":"Lancet (London, England)","id":"ITEM-1","issue":"8922","issued":{"date-parts":[["1994","8"]]},"language":"eng","page":"563-570","publisher-place":"England","title":"Effect of coronary artery bypass graft surgery on survival: overview of 10-year  results from randomised trials by the Coronary Artery Bypass Graft Surgery Trialists Collaboration.","type":"article-journal","volume":"344"},"uris":["http://www.mendeley.com/documents/?uuid=328f4fbf-7b70-4af2-8bf2-6c949f1b1d37"]},{"id":"ITEM-2","itemData":{"ISSN":"0140-6736 (Print)","PMID":"6128492","abstract":"This report presents the final results (follow-up 5--8 years) of a prospective  study in 768 men aged under 65 with mild to moderate angina, 50% or greater stenosis in at least two major coronary arteries, and good left ventricular function. 395 were randomised to coronary artery bypass surgery, 373 to no treatment; 1 patient in the surgery group was lost to follow-up. These original groups were compared, whatever subsequently happened to the patients. Survival was improved significantly by surgery in the total population, in patients with three-vessel disease, and in patients with stenosis in the proximal third of the left anterior descending artery constituting a component of either two or three vessel disease, and non-significantly in patients with left main coronary disease. An abnormal electrocardiogram at rest, ST-segment depression greater than or equal to 1.5 mm during exercise, peripheral arterial disease, and increasing age independently point to a better chance of survival with surgery. In the absence of these prognostic variables in patients with eigher two or three vessel disease the outlook is so good that early surgery is unlikely to increase the prospect of survival. In terms of anginal attacks, use of beta-adrenergic blockers and nitrates, and exercise performance the surgical group did significantly better than the medical group throughout the 5 years of follow-up, but the difference between the two treatments tended to decrease.","container-title":"Lancet (London, England)","id":"ITEM-2","issue":"8309","issued":{"date-parts":[["1982","11"]]},"language":"eng","page":"1173-1180","publisher-place":"England","title":"Long-term results of prospective randomised study of coronary artery bypass  surgery in stable angina pectoris. European Coronary Surgery Study Group.","type":"article-journal","volume":"2"},"uris":["http://www.mendeley.com/documents/?uuid=5bfc19df-d3e1-4a3e-bf1e-4546fc480343"]}],"mendeley":{"formattedCitation":"&lt;sup&gt;14,19&lt;/sup&gt;","plainTextFormattedCitation":"14,19","previouslyFormattedCitation":"&lt;sup&gt;14,19&lt;/sup&gt;"},"properties":{"noteIndex":0},"schema":"https://github.com/citation-style-language/schema/raw/master/csl-citation.json"}</w:instrText>
      </w:r>
      <w:r w:rsidR="00AE1225">
        <w:fldChar w:fldCharType="separate"/>
      </w:r>
      <w:r w:rsidR="00925675" w:rsidRPr="00925675">
        <w:rPr>
          <w:noProof/>
          <w:vertAlign w:val="superscript"/>
        </w:rPr>
        <w:t>14,19</w:t>
      </w:r>
      <w:r w:rsidR="00AE1225">
        <w:fldChar w:fldCharType="end"/>
      </w:r>
      <w:r w:rsidR="00B95808">
        <w:t xml:space="preserve"> </w:t>
      </w:r>
      <w:r w:rsidR="00766840">
        <w:t>When comparing CABG versus PCI, a recent meta-analysis reported a</w:t>
      </w:r>
      <w:r w:rsidR="00766840" w:rsidRPr="00766840">
        <w:t xml:space="preserve"> mortality benefit of CABG in diabetics</w:t>
      </w:r>
      <w:r w:rsidR="006E391C">
        <w:t xml:space="preserve"> with</w:t>
      </w:r>
      <w:r w:rsidR="00766840" w:rsidRPr="00766840">
        <w:t xml:space="preserve"> multivessel disease</w:t>
      </w:r>
      <w:r w:rsidR="006E391C">
        <w:t xml:space="preserve"> and </w:t>
      </w:r>
      <w:r w:rsidR="00766840" w:rsidRPr="00766840">
        <w:t>higher coronary complexity.</w:t>
      </w:r>
      <w:r w:rsidR="00766840">
        <w:fldChar w:fldCharType="begin" w:fldLock="1"/>
      </w:r>
      <w:r w:rsidR="00BF577E">
        <w:instrText>ADDIN CSL_CITATION {"citationItems":[{"id":"ITEM-1","itemData":{"DOI":"10.1016/S0140-6736(18)30423-9","ISSN":"1474-547X (Electronic)","PMID":"29478841","abstract":"BACKGROUND: Numerous randomised trials have compared coronary artery bypass  grafting (CABG) with percutaneous coronary intervention (PCI) for patients with coronary artery disease. However, no studies have been powered to detect a difference in mortality between the revascularisation strategies. METHODS: We did a systematic review up to July 19, 2017, to identify randomised clinical trials comparing CABG with PCI using stents. Eligible studies included patients with multivessel or left main coronary artery disease who did not present with acute myocardial infarction, did PCI with stents (bare-metal or drug-eluting), and had more than 1 year of follow-up for all-cause mortality. In a collaborative, pooled analysis of individual patient data from the identified trials, we estimated all-cause mortality up to 5 years using Kaplan-Meier analyses and compared PCI with CABG using a random-effects Cox proportional-hazards model stratified by trial. Consistency of treatment effect was explored in subgroup analyses, with subgroups defined according to baseline clinical and anatomical characteristics. FINDINGS: We included 11 randomised trials involving 11 518 patients selected by heart teams who were assigned to PCI (n=5753) or to CABG (n=5765). 976 patients died over a mean follow-up of 3·8 years (SD 1·4). Mean Synergy between PCI with Taxus and Cardiac Surgery (SYNTAX) score was 26·0 (SD 9·5), with 1798 (22·1%) of 8138 patients having a SYNTAX score of 33 or higher. 5 year all-cause mortality was 11·2% after PCI and 9·2% after CABG (hazard ratio [HR] 1·20, 95% CI 1·06-1·37; p=0·0038). 5 year all-cause mortality was significantly different between the interventions in patients with multivessel disease (11·5% after PCI vs 8·9% after CABG; HR 1·28, 95% CI 1·09-1·49; p=0·0019), including in those with diabetes (15·5% vs 10·0%; 1·48, 1·19-1·84; p=0·0004), but not in those without diabetes (8·7% vs 8·0%; 1·08, 0·86-1·36; p=0·49). SYNTAX score had a significant effect on the difference between the interventions in multivessel disease. 5 year all-cause mortality was similar between the interventions in patients with left main disease (10·7% after PCI vs 10·5% after CABG; 1·07, 0·87-1·33; p=0·52), regardless of diabetes status and SYNTAX score. INTERPRETATION: CABG had a mortality benefit over PCI in patients with multivessel disease, particularly those with diabetes and higher coronary complexity. No benefit for CABG over PCI was seen in patients with left main diseas…","author":[{"dropping-particle":"","family":"Head","given":"Stuart J","non-dropping-particle":"","parse-names":false,"suffix":""},{"dropping-particle":"","family":"Milojevic","given":"Milan","non-dropping-particle":"","parse-names":false,"suffix":""},{"dropping-particle":"","family":"Daemen","given":"Joost","non-dropping-particle":"","parse-names":false,"suffix":""},{"dropping-particle":"","family":"Ahn","given":"Jung-Min","non-dropping-particle":"","parse-names":false,"suffix":""},{"dropping-particle":"","family":"Boersma","given":"Eric","non-dropping-particle":"","parse-names":false,"suffix":""},{"dropping-particle":"","family":"Christiansen","given":"Evald H","non-dropping-particle":"","parse-names":false,"suffix":""},{"dropping-particle":"","family":"Domanski","given":"Michael J","non-dropping-particle":"","parse-names":false,"suffix":""},{"dropping-particle":"","family":"Farkouh","given":"Michael E","non-dropping-particle":"","parse-names":false,"suffix":""},{"dropping-particle":"","family":"Flather","given":"Marcus","non-dropping-particle":"","parse-names":false,"suffix":""},{"dropping-particle":"","family":"Fuster","given":"Valentin","non-dropping-particle":"","parse-names":false,"suffix":""},{"dropping-particle":"","family":"Hlatky","given":"Mark A","non-dropping-particle":"","parse-names":false,"suffix":""},{"dropping-particle":"","family":"Holm","given":"Niels R","non-dropping-particle":"","parse-names":false,"suffix":""},{"dropping-particle":"","family":"Hueb","given":"Whady A","non-dropping-particle":"","parse-names":false,"suffix":""},{"dropping-particle":"","family":"Kamalesh","given":"Masoor","non-dropping-particle":"","parse-names":false,"suffix":""},{"dropping-particle":"","family":"Kim","given":"Young-Hak","non-dropping-particle":"","parse-names":false,"suffix":""},{"dropping-particle":"","family":"Mäkikallio","given":"Timo","non-dropping-particle":"","parse-names":false,"suffix":""},{"dropping-particle":"","family":"Mohr","given":"Friedrich W","non-dropping-particle":"","parse-names":false,"suffix":""},{"dropping-particle":"","family":"Papageorgiou","given":"Grigorios","non-dropping-particle":"","parse-names":false,"suffix":""},{"dropping-particle":"","family":"Park","given":"Seung-Jung","non-dropping-particle":"","parse-names":false,"suffix":""},{"dropping-particle":"","family":"Rodriguez","given":"Alfredo E","non-dropping-particle":"","parse-names":false,"suffix":""},{"dropping-particle":"","family":"Sabik","given":"Joseph F 3rd","non-dropping-particle":"","parse-names":false,"suffix":""},{"dropping-particle":"","family":"Stables","given":"Rodney H","non-dropping-particle":"","parse-names":false,"suffix":""},{"dropping-particle":"","family":"Stone","given":"Gregg W","non-dropping-particle":"","parse-names":false,"suffix":""},{"dropping-particle":"","family":"Serruys","given":"Patrick W","non-dropping-particle":"","parse-names":false,"suffix":""},{"dropping-particle":"","family":"Kappetein","given":"Arie Pieter","non-dropping-particle":"","parse-names":false,"suffix":""}],"container-title":"Lancet (London, England)","id":"ITEM-1","issue":"10124","issued":{"date-parts":[["2018","3"]]},"language":"eng","page":"939-948","publisher-place":"England","title":"Mortality after coronary artery bypass grafting versus percutaneous coronary  intervention with stenting for coronary artery disease: a pooled analysis of individual patient data.","type":"article-journal","volume":"391"},"uris":["http://www.mendeley.com/documents/?uuid=06f3410a-d108-46eb-8f19-4c177f0d5c9b"]}],"mendeley":{"formattedCitation":"&lt;sup&gt;25&lt;/sup&gt;","plainTextFormattedCitation":"25","previouslyFormattedCitation":"&lt;sup&gt;23&lt;/sup&gt;"},"properties":{"noteIndex":0},"schema":"https://github.com/citation-style-language/schema/raw/master/csl-citation.json"}</w:instrText>
      </w:r>
      <w:r w:rsidR="00766840">
        <w:fldChar w:fldCharType="separate"/>
      </w:r>
      <w:r w:rsidR="00BF577E" w:rsidRPr="00BF577E">
        <w:rPr>
          <w:noProof/>
          <w:vertAlign w:val="superscript"/>
        </w:rPr>
        <w:t>25</w:t>
      </w:r>
      <w:r w:rsidR="00766840">
        <w:fldChar w:fldCharType="end"/>
      </w:r>
      <w:r w:rsidR="00766840" w:rsidRPr="00766840">
        <w:t> </w:t>
      </w:r>
      <w:r w:rsidR="0078463A">
        <w:t xml:space="preserve">However, </w:t>
      </w:r>
      <w:r w:rsidR="00B95808">
        <w:t>recent data from ISCHEMIA</w:t>
      </w:r>
      <w:r w:rsidR="00E97424">
        <w:t xml:space="preserve"> is concordant with the results of prior RCTs which </w:t>
      </w:r>
      <w:r w:rsidR="00845C98">
        <w:t>did</w:t>
      </w:r>
      <w:r w:rsidR="00E97424">
        <w:t xml:space="preserve"> not show a </w:t>
      </w:r>
      <w:r w:rsidR="004D10DB">
        <w:t>survival</w:t>
      </w:r>
      <w:r w:rsidR="00E97424">
        <w:t xml:space="preserve"> advantage for PCI</w:t>
      </w:r>
      <w:r w:rsidR="00132562">
        <w:t xml:space="preserve"> or CABG</w:t>
      </w:r>
      <w:r w:rsidR="00E97424">
        <w:t xml:space="preserve"> over medical therapy</w:t>
      </w:r>
      <w:r w:rsidR="00BC4EBA">
        <w:t>, allowing for the exclusion of left main disease</w:t>
      </w:r>
      <w:r w:rsidR="00E97424">
        <w:t>.</w:t>
      </w:r>
      <w:r w:rsidR="005D0966">
        <w:fldChar w:fldCharType="begin" w:fldLock="1"/>
      </w:r>
      <w:r w:rsidR="00B40095">
        <w:instrText>ADDIN CSL_CITATION {"citationItems":[{"id":"ITEM-1","itemData":{"DOI":"10.1161/CIRCULATIONAHA.120.048194","ISSN":"1524-4539 (Electronic)","PMID":"32794407","abstract":"BACKGROUND: Revascularization is often performed in patients with stable ischemic  heart disease. However, whether revascularization reduces death and other cardiovascular outcomes is uncertain. METHODS: We conducted PUBMED/EMBASE/Cochrane Central Register of Controlled Trials searches for randomized trials comparing routine revascularization versus an initial conservative strategy in patients with stable ischemic heart disease. The primary outcome was death. Secondary outcomes were cardiovascular death, myocardial infarction (MI), heart failure, stroke, unstable angina, and freedom from angina. Trials were stratified by percent stent use and by percent statin use to evaluate outcomes in contemporary trials. RESULTS: Fourteen randomized clinical trials that enrolled 14 877 patients followed up for a weighted mean of 4.5 years with 64 678 patient-years of follow-up fulfilled our inclusion criteria. Most trials enrolled patients with preserved left ventricular systolic function and low symptom burden, and excluded patients with left main disease. Revascularization compared with medical therapy alone was not associated with a reduced risk of death (relative risk [RR], 0.99 [95% CI, 0.90-1.09]). Trial sequential analysis showed that the cumulative z-curve crossed the futility boundary, indicating firm evidence for lack of a 10% or greater reduction in death. Revascularization was associated with a reduced nonprocedural MI (RR, 0.76 [95% CI, 0.67-0.85]) but also with increased procedural MI (RR, 2.48 [95% CI, 1.86-3.31]) with no difference in overall MI (RR, 0.93 [95% CI, 0.83-1.03]). A significant reduction in unstable angina (RR, 0.64 [95% CI, 0.45-0.92]) and increase in freedom from angina (RR, 1.10 [95% CI, 1.05-1.15]) was also observed with revascularization. There were no treatment-related differences in the risk of heart failure or stroke. CONCLUSIONS: In patients with stable ischemic heart disease, routine revascularization was not associated with improved survival but was associated with a lower risk of nonprocedural MI and unstable angina with greater freedom from angina at the expense of higher rates of procedural MI. Longer-term follow-up of trials is needed to assess whether reduction in these nonfatal spontaneous events improves long-term survival.","author":[{"dropping-particle":"","family":"Bangalore","given":"Sripal","non-dropping-particle":"","parse-names":false,"suffix":""},{"dropping-particle":"","family":"Maron","given":"David J","non-dropping-particle":"","parse-names":false,"suffix":""},{"dropping-particle":"","family":"Stone","given":"Gregg W","non-dropping-particle":"","parse-names":false,"suffix":""},{"dropping-particle":"","family":"Hochman","given":"Judith S","non-dropping-particle":"","parse-names":false,"suffix":""}],"container-title":"Circulation","id":"ITEM-1","issue":"9","issued":{"date-parts":[["2020","9"]]},"language":"eng","page":"841-857","publisher-place":"United States","title":"Routine Revascularization Versus Initial Medical Therapy for Stable Ischemic  Heart Disease: A Systematic Review and Meta-Analysis of Randomized Trials.","type":"article-journal","volume":"142"},"uris":["http://www.mendeley.com/documents/?uuid=16a24358-7ebd-48ad-b7b1-4325c8ccec71"]}],"mendeley":{"formattedCitation":"&lt;sup&gt;3&lt;/sup&gt;","plainTextFormattedCitation":"3","previouslyFormattedCitation":"&lt;sup&gt;3&lt;/sup&gt;"},"properties":{"noteIndex":0},"schema":"https://github.com/citation-style-language/schema/raw/master/csl-citation.json"}</w:instrText>
      </w:r>
      <w:r w:rsidR="005D0966">
        <w:fldChar w:fldCharType="separate"/>
      </w:r>
      <w:r w:rsidR="00B40095" w:rsidRPr="00B40095">
        <w:rPr>
          <w:noProof/>
          <w:vertAlign w:val="superscript"/>
        </w:rPr>
        <w:t>3</w:t>
      </w:r>
      <w:r w:rsidR="005D0966">
        <w:fldChar w:fldCharType="end"/>
      </w:r>
      <w:r w:rsidR="00E97424">
        <w:t xml:space="preserve"> </w:t>
      </w:r>
      <w:r w:rsidR="0078463A">
        <w:t>It must be noted that</w:t>
      </w:r>
      <w:r w:rsidR="006240D6">
        <w:t>,</w:t>
      </w:r>
      <w:r w:rsidR="0078463A">
        <w:t xml:space="preserve"> r</w:t>
      </w:r>
      <w:r w:rsidR="00E97424">
        <w:t>egarding proximal LAD disease</w:t>
      </w:r>
      <w:r w:rsidR="0078463A">
        <w:t xml:space="preserve">, </w:t>
      </w:r>
      <w:r w:rsidR="00845C98">
        <w:t xml:space="preserve">whilst </w:t>
      </w:r>
      <w:r w:rsidR="0051664A">
        <w:t>an early meta-analysis showed a benefit with CABG over medical therapy</w:t>
      </w:r>
      <w:r w:rsidR="00845C98">
        <w:t xml:space="preserve">, </w:t>
      </w:r>
      <w:r w:rsidR="0078463A">
        <w:t>the</w:t>
      </w:r>
      <w:r w:rsidR="0051664A">
        <w:t xml:space="preserve"> dedicated</w:t>
      </w:r>
      <w:r w:rsidR="00E97424">
        <w:t xml:space="preserve"> MASS trial </w:t>
      </w:r>
      <w:r w:rsidR="0078463A">
        <w:t xml:space="preserve">did </w:t>
      </w:r>
      <w:r w:rsidR="00845C98">
        <w:t>not</w:t>
      </w:r>
      <w:r w:rsidR="005F47BC">
        <w:t>.</w:t>
      </w:r>
      <w:r w:rsidR="00B62C5C">
        <w:fldChar w:fldCharType="begin" w:fldLock="1"/>
      </w:r>
      <w:r w:rsidR="00BF577E">
        <w:instrText>ADDIN CSL_CITATION {"citationItems":[{"id":"ITEM-1","itemData":{"DOI":"10.1016/0735-1097(95)00384-3","ISSN":"0735-1097 (Print)","PMID":"7594092","abstract":"OBJECTIVES: This study sought to evaluate, in a prospective and randomized trial,  the relative efficacies of three possible therapeutic strategies for patients with a single severe proximal stenosis of the left anterior descending coronary artery and stable angina. BACKGROUND: Although percutaneous transluminal coronary angioplasty and coronary artery bypass surgery are often performed in patients with a single proximal stenosis of the left anterior descending coronary artery, it is unclear whether revascularization offers greater clinical benefit than medical therapy alone. METHODS: At a single center, 214 patients with stable angina, normal ventricular function and a proximal stenosis of the left anterior descending coronary artery &gt; 80% were randomly assigned to undergo mammary bypass surgery (n = 70), balloon angioplasty (n = 72) or medical therapy alone (n = 72). Angioplasty had to be considered technically feasible in every case. The predefined primary study end point was the combined incidence of cardiac death, myocardial infarction or refractory angina requiring revascularization. RESULTS: At an average follow-up period of 3 years, a primary end point had occurred in only 2 patients (3%) assigned to bypass surgery compared with 17 assigned to angioplasty (24%) and 12 assigned to medical therapy (17%) (p = 0.0002, angioplasty vs. bypass surgery; p = 0.006, bypass surgery vs. medical treatment; p = 0.28, angioplasty vs. medical treatment, all by log-rank test). There was no difference in mortality or infarction rates among the groups. However, no patient allocated to bypass surgery needed revascularization, compared with eight and seven patients assigned, respectively, to coronary angioplasty and medical treatment (p = 0.019). Both revascularization techniques resulted in greater symptomatic relief and a lower incidence of ischemia on the treadmill test; however, all three strategies eventually resulted in the abolition of limiting angina. CONCLUSIONS: The more aggressive therapeutic approach with initial bypass surgery for patients with a single severe proximal stenosis of the left anterior descending coronary artery is associated with a lower incidence of medium-term adverse events than coronary angioplasty or medical treatment. However, all three strategies resulted in a similar incidence of death and infarction during an average follow-up period of 3 years. This information should be taken into consideration when physicians and patients make …","author":[{"dropping-particle":"","family":"Hueb","given":"W A","non-dropping-particle":"","parse-names":false,"suffix":""},{"dropping-particle":"","family":"Bellotti","given":"G","non-dropping-particle":"","parse-names":false,"suffix":""},{"dropping-particle":"","family":"Oliveira","given":"S A","non-dropping-particle":"de","parse-names":false,"suffix":""},{"dropping-particle":"","family":"Arie","given":"S","non-dropping-particle":"","parse-names":false,"suffix":""},{"dropping-particle":"","family":"Albuquerque","given":"C P","non-dropping-particle":"de","parse-names":false,"suffix":""},{"dropping-particle":"","family":"Jatene","given":"A D","non-dropping-particle":"","parse-names":false,"suffix":""},{"dropping-particle":"","family":"Pileggi","given":"F","non-dropping-particle":"","parse-names":false,"suffix":""}],"container-title":"Journal of the American College of Cardiology","id":"ITEM-1","issue":"7","issued":{"date-parts":[["1995","12"]]},"language":"eng","page":"1600-1605","publisher-place":"United States","title":"The Medicine, Angioplasty or Surgery Study (MASS): a prospective, randomized  trial of medical therapy, balloon angioplasty or bypass surgery for single proximal left anterior descending artery stenoses.","type":"article-journal","volume":"26"},"uris":["http://www.mendeley.com/documents/?uuid=61001186-5330-4fab-95b3-e6bb6db62833"]}],"mendeley":{"formattedCitation":"&lt;sup&gt;26&lt;/sup&gt;","plainTextFormattedCitation":"26","previouslyFormattedCitation":"&lt;sup&gt;24&lt;/sup&gt;"},"properties":{"noteIndex":0},"schema":"https://github.com/citation-style-language/schema/raw/master/csl-citation.json"}</w:instrText>
      </w:r>
      <w:r w:rsidR="00B62C5C">
        <w:fldChar w:fldCharType="separate"/>
      </w:r>
      <w:r w:rsidR="00BF577E" w:rsidRPr="00BF577E">
        <w:rPr>
          <w:noProof/>
          <w:vertAlign w:val="superscript"/>
        </w:rPr>
        <w:t>26</w:t>
      </w:r>
      <w:r w:rsidR="00B62C5C">
        <w:fldChar w:fldCharType="end"/>
      </w:r>
      <w:r w:rsidR="005F47BC">
        <w:t xml:space="preserve"> It is notable that</w:t>
      </w:r>
      <w:r w:rsidR="00E97424">
        <w:t xml:space="preserve"> </w:t>
      </w:r>
      <w:r w:rsidR="0078463A">
        <w:t xml:space="preserve">in </w:t>
      </w:r>
      <w:r w:rsidR="00D90933">
        <w:t xml:space="preserve">the </w:t>
      </w:r>
      <w:r w:rsidR="00E97424">
        <w:t>ISCHEMIA</w:t>
      </w:r>
      <w:r w:rsidR="00D90933">
        <w:t xml:space="preserve"> trial</w:t>
      </w:r>
      <w:r w:rsidR="005F47BC">
        <w:t>,</w:t>
      </w:r>
      <w:r w:rsidR="00E97424">
        <w:t xml:space="preserve"> </w:t>
      </w:r>
      <w:r w:rsidR="00D90933">
        <w:t>46.8</w:t>
      </w:r>
      <w:r w:rsidR="00E97424">
        <w:t>%</w:t>
      </w:r>
      <w:r w:rsidR="0078463A">
        <w:t xml:space="preserve"> of patients had</w:t>
      </w:r>
      <w:r w:rsidR="00E97424">
        <w:t xml:space="preserve"> </w:t>
      </w:r>
      <w:r w:rsidR="00D90933">
        <w:t xml:space="preserve">significant </w:t>
      </w:r>
      <w:r w:rsidR="00E97424">
        <w:t>proximal LAD disease</w:t>
      </w:r>
      <w:r w:rsidR="003C4B56">
        <w:t xml:space="preserve"> and</w:t>
      </w:r>
      <w:r w:rsidR="00B503BF">
        <w:t xml:space="preserve"> </w:t>
      </w:r>
      <w:r w:rsidR="005F47BC" w:rsidRPr="00D86C9C">
        <w:rPr>
          <w:i/>
          <w:iCs/>
        </w:rPr>
        <w:t>post hoc</w:t>
      </w:r>
      <w:r w:rsidR="00D86C9C">
        <w:rPr>
          <w:i/>
          <w:iCs/>
        </w:rPr>
        <w:t xml:space="preserve"> </w:t>
      </w:r>
      <w:r w:rsidR="00B503BF">
        <w:t>analysis</w:t>
      </w:r>
      <w:r w:rsidR="003C4B56">
        <w:t xml:space="preserve"> </w:t>
      </w:r>
      <w:r w:rsidR="005F47BC">
        <w:t xml:space="preserve">demonstrated </w:t>
      </w:r>
      <w:r w:rsidR="00991482">
        <w:t xml:space="preserve">no heterogeneity </w:t>
      </w:r>
      <w:r w:rsidR="00D90933">
        <w:t xml:space="preserve">of treatment </w:t>
      </w:r>
      <w:r w:rsidR="00991482">
        <w:t xml:space="preserve">effect </w:t>
      </w:r>
      <w:r w:rsidR="00D90933">
        <w:t>for the primary</w:t>
      </w:r>
      <w:r w:rsidR="00991482">
        <w:t xml:space="preserve"> outcome</w:t>
      </w:r>
      <w:r w:rsidR="00E97424">
        <w:t>.</w:t>
      </w:r>
      <w:r w:rsidR="003C4B56">
        <w:fldChar w:fldCharType="begin" w:fldLock="1"/>
      </w:r>
      <w:r w:rsidR="00BF577E">
        <w:instrText>ADDIN CSL_CITATION {"citationItems":[{"id":"ITEM-1","itemData":{"DOI":"10.1016/0735-1097(95)00384-3","ISSN":"0735-1097 (Print)","PMID":"7594092","abstract":"OBJECTIVES: This study sought to evaluate, in a prospective and randomized trial,  the relative efficacies of three possible therapeutic strategies for patients with a single severe proximal stenosis of the left anterior descending coronary artery and stable angina. BACKGROUND: Although percutaneous transluminal coronary angioplasty and coronary artery bypass surgery are often performed in patients with a single proximal stenosis of the left anterior descending coronary artery, it is unclear whether revascularization offers greater clinical benefit than medical therapy alone. METHODS: At a single center, 214 patients with stable angina, normal ventricular function and a proximal stenosis of the left anterior descending coronary artery &gt; 80% were randomly assigned to undergo mammary bypass surgery (n = 70), balloon angioplasty (n = 72) or medical therapy alone (n = 72). Angioplasty had to be considered technically feasible in every case. The predefined primary study end point was the combined incidence of cardiac death, myocardial infarction or refractory angina requiring revascularization. RESULTS: At an average follow-up period of 3 years, a primary end point had occurred in only 2 patients (3%) assigned to bypass surgery compared with 17 assigned to angioplasty (24%) and 12 assigned to medical therapy (17%) (p = 0.0002, angioplasty vs. bypass surgery; p = 0.006, bypass surgery vs. medical treatment; p = 0.28, angioplasty vs. medical treatment, all by log-rank test). There was no difference in mortality or infarction rates among the groups. However, no patient allocated to bypass surgery needed revascularization, compared with eight and seven patients assigned, respectively, to coronary angioplasty and medical treatment (p = 0.019). Both revascularization techniques resulted in greater symptomatic relief and a lower incidence of ischemia on the treadmill test; however, all three strategies eventually resulted in the abolition of limiting angina. CONCLUSIONS: The more aggressive therapeutic approach with initial bypass surgery for patients with a single severe proximal stenosis of the left anterior descending coronary artery is associated with a lower incidence of medium-term adverse events than coronary angioplasty or medical treatment. However, all three strategies resulted in a similar incidence of death and infarction during an average follow-up period of 3 years. This information should be taken into consideration when physicians and patients make …","author":[{"dropping-particle":"","family":"Hueb","given":"W A","non-dropping-particle":"","parse-names":false,"suffix":""},{"dropping-particle":"","family":"Bellotti","given":"G","non-dropping-particle":"","parse-names":false,"suffix":""},{"dropping-particle":"","family":"Oliveira","given":"S A","non-dropping-particle":"de","parse-names":false,"suffix":""},{"dropping-particle":"","family":"Arie","given":"S","non-dropping-particle":"","parse-names":false,"suffix":""},{"dropping-particle":"","family":"Albuquerque","given":"C P","non-dropping-particle":"de","parse-names":false,"suffix":""},{"dropping-particle":"","family":"Jatene","given":"A D","non-dropping-particle":"","parse-names":false,"suffix":""},{"dropping-particle":"","family":"Pileggi","given":"F","non-dropping-particle":"","parse-names":false,"suffix":""}],"container-title":"Journal of the American College of Cardiology","id":"ITEM-1","issue":"7","issued":{"date-parts":[["1995","12"]]},"language":"eng","page":"1600-1605","publisher-place":"United States","title":"The Medicine, Angioplasty or Surgery Study (MASS): a prospective, randomized  trial of medical therapy, balloon angioplasty or bypass surgery for single proximal left anterior descending artery stenoses.","type":"article-journal","volume":"26"},"uris":["http://www.mendeley.com/documents/?uuid=61001186-5330-4fab-95b3-e6bb6db62833"]},{"id":"ITEM-2","itemData":{"DOI":"10.1161/01.cir.100.suppl_2.ii-107","ISSN":"0009-7322 (Print)","PMID":"10567287","abstract":"BACKGROUND: Although coronary angioplasty and myocardial bypass surgery are  routinely used, there is no conclusive evidence that these interventional methods offer greater benefit than medical therapy alone. This study is intended to evaluate, in a prospective, randomized, and comparative analysis, the benefit of the 3 current therapeutic strategies for patients with stable angina and single proximal left anterior descending coronary artery stenosis. METHODS AND RESULTS: In a single institution, 214 patients with stable angina, normal ventricular function, and severe proximal stenosis (&gt;80%) on the left anterior descending artery were selected for the study. After random assignment, 70 patients were referred to surgical treatment, 72 to angioplasty, and 72 to medical treatment. The primary end points were the occurrence of acute myocardial infarction or death and presence of refractory angina. After a 5-year follow-up, these combined events were reported in only 6 patients referred to surgery as compared with 29 patients treated with angioplasty and 17 patients who only received medical treatment (P=0.001). However, no differences were noted in relation to the occurrence of cardiac-related death in the 3 treatment groups (P=0. 622). No patient assigned to surgery needed repeat operation, whereas 8 patients assigned to angioplasty and 8 patients assigned to medical treatment required surgical bypass after the initial random assignment. Surgery and angioplasty reduced anginal symptoms and stress-induced ischemia considerably. However, all 3 treatments effectively improved limiting angina. CONCLUSIONS: Bypass surgery for single-vessel coronary artery disease is associated with a lower incidence of medium-term and long-term events as well as fewer anginal symptoms than that found in the patients who underwent angioplasty or medical therapy. In this study, coronary angioplasty was only superior to medical strategies in relation to the anginal status. However, the 3 treatment regimens yielded a similar incidence of acute myocardial infarction and death. Such information should be useful when choosing the best therapeutic option for similar patients.","author":[{"dropping-particle":"","family":"Hueb","given":"W A","non-dropping-particle":"","parse-names":false,"suffix":""},{"dropping-particle":"","family":"Soares","given":"P R","non-dropping-particle":"","parse-names":false,"suffix":""},{"dropping-particle":"","family":"Almeida De Oliveira","given":"S","non-dropping-particle":"","parse-names":false,"suffix":""},{"dropping-particle":"","family":"Ariê","given":"S","non-dropping-particle":"","parse-names":false,"suffix":""},{"dropping-particle":"","family":"Cardoso","given":"R H","non-dropping-particle":"","parse-names":false,"suffix":""},{"dropping-particle":"","family":"Wajsbrot","given":"D B","non-dropping-particle":"","parse-names":false,"suffix":""},{"dropping-particle":"","family":"Cesar","given":"L A","non-dropping-particle":"","parse-names":false,"suffix":""},{"dropping-particle":"","family":"Jatene","given":"A D","non-dropping-particle":"","parse-names":false,"suffix":""},{"dropping-particle":"","family":"Ramires","given":"J A","non-dropping-particle":"","parse-names":false,"suffix":""}],"container-title":"Circulation","id":"ITEM-2","issue":"19 Suppl","issued":{"date-parts":[["1999","11"]]},"language":"eng","page":"II107-13","publisher-place":"United States","title":"Five-year follow-op of the medicine, angioplasty, or surgery study (MASS): A  prospective, randomized trial of medical therapy, balloon angioplasty, or bypass surgery for single proximal left anterior descending coronary artery stenosis.","type":"article-journal","volume":"100"},"uris":["http://www.mendeley.com/documents/?uuid=6909ccaf-eea0-4b5c-9687-ffce0c42fc26"]},{"id":"ITEM-3","itemData":{"DOI":"10.1161/CIRCULATIONAHA.120.048194","ISSN":"1524-4539 (Electronic)","PMID":"32794407","abstract":"BACKGROUND: Revascularization is often performed in patients with stable ischemic  heart disease. However, whether revascularization reduces death and other cardiovascular outcomes is uncertain. METHODS: We conducted PUBMED/EMBASE/Cochrane Central Register of Controlled Trials searches for randomized trials comparing routine revascularization versus an initial conservative strategy in patients with stable ischemic heart disease. The primary outcome was death. Secondary outcomes were cardiovascular death, myocardial infarction (MI), heart failure, stroke, unstable angina, and freedom from angina. Trials were stratified by percent stent use and by percent statin use to evaluate outcomes in contemporary trials. RESULTS: Fourteen randomized clinical trials that enrolled 14 877 patients followed up for a weighted mean of 4.5 years with 64 678 patient-years of follow-up fulfilled our inclusion criteria. Most trials enrolled patients with preserved left ventricular systolic function and low symptom burden, and excluded patients with left main disease. Revascularization compared with medical therapy alone was not associated with a reduced risk of death (relative risk [RR], 0.99 [95% CI, 0.90-1.09]). Trial sequential analysis showed that the cumulative z-curve crossed the futility boundary, indicating firm evidence for lack of a 10% or greater reduction in death. Revascularization was associated with a reduced nonprocedural MI (RR, 0.76 [95% CI, 0.67-0.85]) but also with increased procedural MI (RR, 2.48 [95% CI, 1.86-3.31]) with no difference in overall MI (RR, 0.93 [95% CI, 0.83-1.03]). A significant reduction in unstable angina (RR, 0.64 [95% CI, 0.45-0.92]) and increase in freedom from angina (RR, 1.10 [95% CI, 1.05-1.15]) was also observed with revascularization. There were no treatment-related differences in the risk of heart failure or stroke. CONCLUSIONS: In patients with stable ischemic heart disease, routine revascularization was not associated with improved survival but was associated with a lower risk of nonprocedural MI and unstable angina with greater freedom from angina at the expense of higher rates of procedural MI. Longer-term follow-up of trials is needed to assess whether reduction in these nonfatal spontaneous events improves long-term survival.","author":[{"dropping-particle":"","family":"Bangalore","given":"Sripal","non-dropping-particle":"","parse-names":false,"suffix":""},{"dropping-particle":"","family":"Maron","given":"David J","non-dropping-particle":"","parse-names":false,"suffix":""},{"dropping-particle":"","family":"Stone","given":"Gregg W","non-dropping-particle":"","parse-names":false,"suffix":""},{"dropping-particle":"","family":"Hochman","given":"Judith S","non-dropping-particle":"","parse-names":false,"suffix":""}],"container-title":"Circulation","id":"ITEM-3","issue":"9","issued":{"date-parts":[["2020","9"]]},"language":"eng","page":"841-857","publisher-place":"United States","title":"Routine Revascularization Versus Initial Medical Therapy for Stable Ischemic  Heart Disease: A Systematic Review and Meta-Analysis of Randomized Trials.","type":"article-journal","volume":"142"},"uris":["http://www.mendeley.com/documents/?uuid=16a24358-7ebd-48ad-b7b1-4325c8ccec71"]},{"id":"ITEM-4","itemData":{"DOI":"10.1016/j.jacc.2014.09.074","ISSN":"1558-3597 (Electronic)","PMID":"25541122","abstract":"BACKGROUND: Few recent studies have compared the outcomes of coronary artery  bypass graft (CABG) surgery with percutaneous coronary interventions (PCIs) in patients with isolated (single vessel) proximal left anterior descending (PLAD) coronary artery disease in the era of drug-eluting stents (DES). OBJECTIVES: The goal of this study was to compare outcomes in patients with PLAD who underwent CABG and PCI with DES. METHODS: New York's Percutaneous Coronary Interventions Reporting System was used to identify and track all patients who underwent CABG surgery and received DES for isolated PLAD disease between January 1, 2008 and December 31, 2010, and who were followed-up through December 31, 2011. A total of 5,340 of 6,064 (88%) patients received DES. Patients were matched to vital statistics data to obtain mortality after discharge and matched to New York's administrative data to obtain readmissions for myocardial infarction (MI) and stroke. To minimize selection bias, patients were propensity matched into 715 CABG and/or DES pairs, and 3 outcome measures were compared across the pairs. RESULTS: Kaplan-Meier estimates for CABG and DES did not significantly differ for mortality or mortality, MI, and/or stroke, but repeat revascularization rates were lower for CABG (7.09% vs. 12.98%; p = 0.0007). After further adjustment with Cox proportional hazards models, there were still no significant differences in 3-year mortality rates (CABG and/or DES adjusted hazard ratio (AHR): 1.14; 95% confidence interval [CI]: 0.70 to 1.85) or mortality, MI, and/or stroke rates (AHR: 1.15; 95% CI: 0.76 to 1.73), and the repeat revascularization rate remained significantly lower for CABG patients (AHR: 0.54; 95% CI: 0.36 to 0.81). CONCLUSIONS: Despite the higher rating in current guidelines of CABG (Class IIa vs. Class IIb) for patients with isolated PLAD disease, there were no differences in mortality or mortality, MI, and/or stroke, although CABG patients had significantly lower repeat revascularization rates.","author":[{"dropping-particle":"","family":"Hannan","given":"Edward L","non-dropping-particle":"","parse-names":false,"suffix":""},{"dropping-particle":"","family":"Zhong","given":"Ye","non-dropping-particle":"","parse-names":false,"suffix":""},{"dropping-particle":"","family":"Walford","given":"Gary","non-dropping-particle":"","parse-names":false,"suffix":""},{"dropping-particle":"","family":"Holmes","given":"David R Jr","non-dropping-particle":"","parse-names":false,"suffix":""},{"dropping-particle":"","family":"Venditti","given":"Ferdinand J","non-dropping-particle":"","parse-names":false,"suffix":""},{"dropping-particle":"","family":"Berger","given":"Peter B","non-dropping-particle":"","parse-names":false,"suffix":""},{"dropping-particle":"","family":"Jacobs","given":"Alice K","non-dropping-particle":"","parse-names":false,"suffix":""},{"dropping-particle":"","family":"Stamato","given":"Nicholas J","non-dropping-particle":"","parse-names":false,"suffix":""},{"dropping-particle":"","family":"Curtis","given":"Jeptha P","non-dropping-particle":"","parse-names":false,"suffix":""},{"dropping-particle":"","family":"Sharma","given":"Samin","non-dropping-particle":"","parse-names":false,"suffix":""},{"dropping-particle":"","family":"King","given":"Spencer B 3rd","non-dropping-particle":"","parse-names":false,"suffix":""}],"container-title":"Journal of the American College of Cardiology","id":"ITEM-4","issue":"25","issued":{"date-parts":[["2014","12"]]},"language":"eng","page":"2717-2726","publisher-place":"United States","title":"Coronary artery bypass graft surgery versus drug-eluting stents for patients with  isolated proximal left anterior descending disease.","type":"article-journal","volume":"64"},"uris":["http://www.mendeley.com/documents/?uuid=8168f510-37ce-47ac-8bfe-ebebcf068cde"]},{"id":"ITEM-5","itemData":{"DOI":"10.1136/bmj.39106.476215.BE","ISSN":"1756-1833 (Electronic)","PMID":"17337458","abstract":"OBJECTIVE: To compare outcomes between minimally invasive left internal thoracic  artery bypass and percutaneous coronary artery stenting as primary interventions for isolated lesions of the left anterior descending artery. DESIGN: Meta-analysis of randomised and non-randomised comparative peer reviewed publications. DATA SOURCES: Embase, Medline, Cochrane, Google Scholar, and Health Technology Assessment databases (1966-2005). REVIEW METHODS: Studies comparing the two procedures as the primary intervention for isolated left anterior descending artery stenosis were identified and the following extracted: study design, population characteristics, severity of coronary artery disease, cardiovascular risk factors, and outcomes of interest. RESULTS: 12 studies (1952 patients) reporting results from eight groups were included: one was a retrospective design, one prospective non-randomised, and six prospective randomised. Meta-analysis of randomised trials showed a higher rate of recurrence of angina (odds ratio 2.62, 95% confidence interval 1.32 to 5.21), incidence of major adverse coronary and cerebral events (2.86, 1.62 to 5.08), and need for repeat revascularisation (4.63, 2.52 to 8.51) with percutaneous stenting. No significant difference was found in myocardial infarction, stroke, or mortality at maximum follow-up between interventions. CONCLUSIONS: Minimally invasive left internal thoracic artery bypass for isolated lesions of the left anterior descending artery resulted in fewer complications in the mid-term compared with percutaneous transluminal coronary artery stenting.","author":[{"dropping-particle":"","family":"Aziz","given":"Omer","non-dropping-particle":"","parse-names":false,"suffix":""},{"dropping-particle":"","family":"Rao","given":"Christopher","non-dropping-particle":"","parse-names":false,"suffix":""},{"dropping-particle":"","family":"Panesar","given":"Sukhmeet Singh","non-dropping-particle":"","parse-names":false,"suffix":""},{"dropping-particle":"","family":"Jones","given":"Catherine","non-dropping-particle":"","parse-names":false,"suffix":""},{"dropping-particle":"","family":"Morris","given":"Stephen","non-dropping-particle":"","parse-names":false,"suffix":""},{"dropping-particle":"","family":"Darzi","given":"Ara","non-dropping-particle":"","parse-names":false,"suffix":""},{"dropping-particle":"","family":"Athanasiou","given":"Thanos","non-dropping-particle":"","parse-names":false,"suffix":""}],"container-title":"BMJ (Clinical research ed.)","id":"ITEM-5","issue":"7594","issued":{"date-parts":[["2007","3"]]},"language":"eng","page":"617","title":"Meta-analysis of minimally invasive internal thoracic artery bypass versus  percutaneous revascularisation for isolated lesions of the left anterior descending artery.","type":"article-journal","volume":"334"},"uris":["http://www.mendeley.com/documents/?uuid=7d900474-798e-42d6-a069-516a44c6b036"]},{"id":"ITEM-6","itemData":{"DOI":"10.1161/CIRCULATIONAHA.120.047904","author":[{"dropping-particle":"","family":"Querdel","given":"Eva","non-dropping-particle":"","parse-names":false,"suffix":""},{"dropping-particle":"","family":"Reinsch","given":"Marina","non-dropping-particle":"","parse-names":false,"suffix":""},{"dropping-particle":"","family":"Castro","given":"Liesa","non-dropping-particle":"","parse-names":false,"suffix":""},{"dropping-particle":"","family":"Köse","given":"Deniz","non-dropping-particle":"","parse-names":false,"suffix":""},{"dropping-particle":"","family":"Bähr","given":"Andrea","non-dropping-particle":"","parse-names":false,"suffix":""},{"dropping-particle":"","family":"Reich","given":"Svenja","non-dropping-particle":"","parse-names":false,"suffix":""},{"dropping-particle":"","family":"Geertz","given":"Birgit","non-dropping-particle":"","parse-names":false,"suffix":""},{"dropping-particle":"","family":"Ulmer","given":"Bärbel","non-dropping-particle":"","parse-names":false,"suffix":""},{"dropping-particle":"","family":"Schulze","given":"Mirja","non-dropping-particle":"","parse-names":false,"suffix":""},{"dropping-particle":"","family":"Lemoine","given":"Marc D","non-dropping-particle":"","parse-names":false,"suffix":""},{"dropping-particle":"","family":"Krause","given":"Tobias","non-dropping-particle":"","parse-names":false,"suffix":""},{"dropping-particle":"","family":"Lemme","given":"Marta","non-dropping-particle":"","parse-names":false,"suffix":""},{"dropping-particle":"","family":"Sani","given":"Jascha","non-dropping-particle":"","parse-names":false,"suffix":""},{"dropping-particle":"","family":"Shibamiya","given":"Aya","non-dropping-particle":"","parse-names":false,"suffix":""},{"dropping-particle":"","family":"Stüdemann","given":"Tim","non-dropping-particle":"","parse-names":false,"suffix":""},{"dropping-particle":"","family":"Köhne","given":"Maria","non-dropping-particle":"","parse-names":false,"suffix":""},{"dropping-particle":"V","family":"Bibra","given":"Constantin","non-dropping-particle":"von","parse-names":false,"suffix":""},{"dropping-particle":"","family":"Hornaschewitz","given":"Nadja","non-dropping-particle":"","parse-names":false,"suffix":""},{"dropping-particle":"","family":"Pecha","given":"Simon","non-dropping-particle":"","parse-names":false,"suffix":""},{"dropping-particle":"","family":"Nejahsie","given":"Yusuf","non-dropping-particle":"","parse-names":false,"suffix":""},{"dropping-particle":"","family":"Mannhardt","given":"Ingra","non-dropping-particle":"","parse-names":false,"suffix":""},{"dropping-particle":"","family":"Christ","given":"Torsten","non-dropping-particle":"","parse-names":false,"suffix":""},{"dropping-particle":"","family":"Reichenspurner","given":"Hermann","non-dropping-particle":"","parse-names":false,"suffix":""},{"dropping-particle":"","family":"Hansen","given":"Arne","non-dropping-particle":"","parse-names":false,"suffix":""},{"dropping-particle":"","family":"Klymiuk","given":"Nikolai","non-dropping-particle":"","parse-names":false,"suffix":""},{"dropping-particle":"","family":"Krane","given":"M","non-dropping-particle":"","parse-names":false,"suffix":""},{"dropping-particle":"","family":"Kupatt","given":"C","non-dropping-particle":"","parse-names":false,"suffix":""},{"dropping-particle":"","family":"Eschenhagen","given":"Thomas","non-dropping-particle":"","parse-names":false,"suffix":""},{"dropping-particle":"","family":"Weinberger","given":"Florian","non-dropping-particle":"","parse-names":false,"suffix":""}],"container-title":"Circulation","id":"ITEM-6","issue":"0","issued":{"date-parts":[["0"]]},"title":"Human Engineered Heart Tissue Patches Remuscularize the Injured Heart in a Dose-Dependent Manner","type":"article-journal","volume":"0"},"uris":["http://www.mendeley.com/documents/?uuid=b34a167e-2301-450f-8258-f9cfb9f3ba3b"]},{"id":"ITEM-7","itemData":{"DOI":"10.1016/s0140-6736(94)91963-1","ISSN":"0140-6736 (Print)","PMID":"7914958","abstract":"We carried out a systematic overview using individual patient data from the seven  randomised trials that have compared a strategy of initial coronary artery bypass graft (CABG) surgery with one of initial medical therapy to assess the effects on mortality in patients with stable coronary heart disease (stable angina not severe enough to necessitate surgery on grounds of symptoms alone, or myocardial infarction). 1324 patients were assigned CABG surgery and 1325 medical management between 1972 and 1984. The proportion of patients in the medical treatment group who had undergone CABG surgery was 25% at 5 years, 33% at 7 years, and 41% at 10 years: 93.7% of patients assigned to the surgery group underwent CABG surgery. The CABG group had significantly lower mortality than the medical treatment group at 5 years (10.2 vs 15.8%; odds ratio 0.61 [95% CI 0.48-0.77], p = 0.0001), 7 years (15.8 vs 21.7%; 0.68 [0.56-0.83], p &lt; 0.001), and 10 years (26.4 vs 30.5%; 0.83 [0.70-0.98]; p = 0.03). The risk reduction was greater in patients with left main artery disease than in those with disease in three vessels or one or two vessels (odds ratios at 5 years 0.32, 0.58, and 0.77, respectively). Although relative risk reductions in subgroups defined by other baseline characteristics were similar, the absolute benefits of CABG surgery were most pronounced in patients in the highest risk categories. This effect was most evident when several prognostically important clinical and angiographic risk factors were integrated to stratify patients by risk levels and the extension of survival at 10 years was examined (change in survival -1.1 [SE 3.1] months in low-risk group, 5.0 [4.2] months in moderate-risk group, and 8.8 [5.4] months in high-risk group; p for trend &lt; 0.003). A strategy of initial CABG surgery is associated with lower mortality than one of medical management with delayed surgery if necessary, especially in high-risk and medium-risk patients with stable coronary heart disease. In low-risk patients, the limited data show a non-significant trend towards greater mortality with CABG.","author":[{"dropping-particle":"","family":"Yusuf","given":"S","non-dropping-particle":"","parse-names":false,"suffix":""},{"dropping-particle":"","family":"Zucker","given":"D","non-dropping-particle":"","parse-names":false,"suffix":""},{"dropping-particle":"","family":"Peduzzi","given":"P","non-dropping-particle":"","parse-names":false,"suffix":""},{"dropping-particle":"","family":"Fisher","given":"L D","non-dropping-particle":"","parse-names":false,"suffix":""},{"dropping-particle":"","family":"Takaro","given":"T","non-dropping-particle":"","parse-names":false,"suffix":""},{"dropping-particle":"","family":"Kennedy","given":"J W","non-dropping-particle":"","parse-names":false,"suffix":""},{"dropping-particle":"","family":"Davis","given":"K","non-dropping-particle":"","parse-names":false,"suffix":""},{"dropping-particle":"","family":"Killip","given":"T","non-dropping-particle":"","parse-names":false,"suffix":""},{"dropping-particle":"","family":"Passamani","given":"E","non-dropping-particle":"","parse-names":false,"suffix":""},{"dropping-particle":"","family":"Norris","given":"R","non-dropping-particle":"","parse-names":false,"suffix":""}],"container-title":"Lancet (London, England)","id":"ITEM-7","issue":"8922","issued":{"date-parts":[["1994","8"]]},"language":"eng","page":"563-570","publisher-place":"England","title":"Effect of coronary artery bypass graft surgery on survival: overview of 10-year  results from randomised trials by the Coronary Artery Bypass Graft Surgery Trialists Collaboration.","type":"article-journal","volume":"344"},"uris":["http://www.mendeley.com/documents/?uuid=328f4fbf-7b70-4af2-8bf2-6c949f1b1d37"]}],"mendeley":{"formattedCitation":"&lt;sup&gt;3, 19,26–30&lt;/sup&gt;","plainTextFormattedCitation":"3, 19,26–30","previouslyFormattedCitation":"&lt;sup&gt;3, 19,24–28&lt;/sup&gt;"},"properties":{"noteIndex":0},"schema":"https://github.com/citation-style-language/schema/raw/master/csl-citation.json"}</w:instrText>
      </w:r>
      <w:r w:rsidR="003C4B56">
        <w:fldChar w:fldCharType="separate"/>
      </w:r>
      <w:r w:rsidR="00BF577E" w:rsidRPr="00BF577E">
        <w:rPr>
          <w:noProof/>
          <w:vertAlign w:val="superscript"/>
        </w:rPr>
        <w:t>3, 19,26–30</w:t>
      </w:r>
      <w:r w:rsidR="003C4B56">
        <w:fldChar w:fldCharType="end"/>
      </w:r>
      <w:r w:rsidR="00BC4EBA">
        <w:t xml:space="preserve">  A more recent, relevant, observation which has not yet influenced the guidelines are the </w:t>
      </w:r>
      <w:r w:rsidR="002761A2">
        <w:t>10-year</w:t>
      </w:r>
      <w:r w:rsidR="00BC4EBA">
        <w:t xml:space="preserve"> survival of the patients in the SYNTAX trial.</w:t>
      </w:r>
      <w:r w:rsidR="00B40095">
        <w:fldChar w:fldCharType="begin" w:fldLock="1"/>
      </w:r>
      <w:r w:rsidR="00BF577E">
        <w:instrText>ADDIN CSL_CITATION {"citationItems":[{"id":"ITEM-1","itemData":{"DOI":"10.1016/S0140-6736(19)31997-X","ISSN":"1474-547X (Electronic)","PMID":"31488373","abstract":"BACKGROUND: The Synergy between PCI with Taxus and Cardiac Surgery (SYNTAX) trial  was a non-inferiority trial that compared percutaneous coronary intervention (PCI) using first-generation paclitaxel-eluting stents with coronary artery bypass grafting (CABG) in patients with de-novo three-vessel and left main coronary artery disease, and reported results up to 5 years. We now report 10-year all-cause death results. METHODS: The SYNTAX Extended Survival (SYNTAXES) study is an investigator-driven extension of follow-up of a multicentre, randomised controlled trial done in 85 hospitals across 18 North American and European countries. Patients with de-novo three-vessel and left main coronary artery disease were randomly assigned (1:1) to the PCI group or CABG group. Patients with a history of PCI or CABG, acute myocardial infarction, or an indication for concomitant cardiac surgery were excluded. The primary endpoint of the SYNTAXES study was 10-year all-cause death, which was assessed according to the intention-to-treat principle. Prespecified subgroup analyses were performed according to the presence or absence of left main coronary artery disease and diabetes, and according to coronary complexity defined by core laboratory SYNTAX score tertiles. This study is registered with ClinicalTrials.gov, NCT03417050. FINDINGS: From March, 2005, to April, 2007, 1800 patients were randomly assigned to the PCI (n=903) or CABG (n=897) group. Vital status information at 10 years was complete for 841 (93%) patients in the PCI group and 848 (95%) patients in the CABG group. At 10 years, 248 (28%) patients had died after PCI and 212 (24%) after CABG (hazard ratio 1·19 [95% CI 0·99-1·43], p=0·066). Among patients with three-vessel disease, 153 (28%) of 546 had died after PCI versus 114 (21%) of 549 after CABG (hazard ratio 1·42 [95% CI 1·11-1·81]), and among patients with left main coronary artery disease, 95 (27%) of 357 had died after PCI versus 98 (28%) of 348 after CABG (0·92 [0·69-1·22], p(interaction)=0·023). There was no treatment-by-subgroup interaction with diabetes (p(interaction)=0·60) and no linear trend across SYNTAX score tertiles (p(trend)=0·20). INTERPRETATION: At 10 years, no significant difference existed in all-cause death between PCI using first-generation paclitaxel-eluting stents and CABG. However, CABG provided a significant survival benefit in patients with three-vessel disease, but not in patients with left main coronary artery disease. FUNDING: Ge…","author":[{"dropping-particle":"","family":"Thuijs","given":"Daniel J F M","non-dropping-particle":"","parse-names":false,"suffix":""},{"dropping-particle":"","family":"Kappetein","given":"A Pieter","non-dropping-particle":"","parse-names":false,"suffix":""},{"dropping-particle":"","family":"Serruys","given":"Patrick W","non-dropping-particle":"","parse-names":false,"suffix":""},{"dropping-particle":"","family":"Mohr","given":"Friedrich-Wilhelm","non-dropping-particle":"","parse-names":false,"suffix":""},{"dropping-particle":"","family":"Morice","given":"Marie-Claude","non-dropping-particle":"","parse-names":false,"suffix":""},{"dropping-particle":"","family":"Mack","given":"Michael J","non-dropping-particle":"","parse-names":false,"suffix":""},{"dropping-particle":"","family":"Holmes","given":"David R Jr","non-dropping-particle":"","parse-names":false,"suffix":""},{"dropping-particle":"","family":"Curzen","given":"Nick","non-dropping-particle":"","parse-names":false,"suffix":""},{"dropping-particle":"","family":"Davierwala","given":"Piroze","non-dropping-particle":"","parse-names":false,"suffix":""},{"dropping-particle":"","family":"Noack","given":"Thilo","non-dropping-particle":"","parse-names":false,"suffix":""},{"dropping-particle":"","family":"Milojevic","given":"Milan","non-dropping-particle":"","parse-names":false,"suffix":""},{"dropping-particle":"","family":"Dawkins","given":"Keith D","non-dropping-particle":"","parse-names":false,"suffix":""},{"dropping-particle":"","family":"Costa","given":"Bruno R","non-dropping-particle":"da","parse-names":false,"suffix":""},{"dropping-particle":"","family":"Jüni","given":"Peter","non-dropping-particle":"","parse-names":false,"suffix":""},{"dropping-particle":"","family":"Head","given":"Stuart J","non-dropping-particle":"","parse-names":false,"suffix":""}],"container-title":"Lancet (London, England)","id":"ITEM-1","issue":"10206","issued":{"date-parts":[["2019","10"]]},"language":"eng","page":"1325-1334","publisher-place":"England","title":"Percutaneous coronary intervention versus coronary artery bypass grafting in  patients with three-vessel or left main coronary artery disease: 10-year follow-up of the multicentre randomised controlled SYNTAX trial.","type":"article-journal","volume":"394"},"uris":["http://www.mendeley.com/documents/?uuid=23596c47-c85d-4f8b-b68f-a306417e4527"]}],"mendeley":{"formattedCitation":"&lt;sup&gt;24&lt;/sup&gt;","plainTextFormattedCitation":"24","previouslyFormattedCitation":"&lt;sup&gt;23&lt;/sup&gt;"},"properties":{"noteIndex":0},"schema":"https://github.com/citation-style-language/schema/raw/master/csl-citation.json"}</w:instrText>
      </w:r>
      <w:r w:rsidR="00B40095">
        <w:fldChar w:fldCharType="separate"/>
      </w:r>
      <w:r w:rsidR="00BF577E" w:rsidRPr="00BF577E">
        <w:rPr>
          <w:noProof/>
          <w:vertAlign w:val="superscript"/>
        </w:rPr>
        <w:t>24</w:t>
      </w:r>
      <w:r w:rsidR="00B40095">
        <w:fldChar w:fldCharType="end"/>
      </w:r>
      <w:r w:rsidR="00BC4EBA">
        <w:t xml:space="preserve"> In this SYNTAXES study, survival at 10 years was significantly better in the CABG group compared with PCI</w:t>
      </w:r>
      <w:r w:rsidR="006240D6">
        <w:t xml:space="preserve"> in those with </w:t>
      </w:r>
      <w:r w:rsidR="00C97068">
        <w:t>3</w:t>
      </w:r>
      <w:r w:rsidR="006240D6">
        <w:t>VD, but no difference was seen in LM patients</w:t>
      </w:r>
      <w:r w:rsidR="00BC4EBA">
        <w:t xml:space="preserve">.  </w:t>
      </w:r>
    </w:p>
    <w:p w14:paraId="075A0C01" w14:textId="77777777" w:rsidR="00F50640" w:rsidRDefault="00F50640" w:rsidP="00A00E81">
      <w:pPr>
        <w:spacing w:line="360" w:lineRule="auto"/>
        <w:rPr>
          <w:i/>
          <w:iCs/>
        </w:rPr>
      </w:pPr>
    </w:p>
    <w:p w14:paraId="248B243C" w14:textId="77777777" w:rsidR="00CC1FBA" w:rsidRDefault="00CC1FBA" w:rsidP="00A00E81">
      <w:pPr>
        <w:spacing w:line="360" w:lineRule="auto"/>
        <w:rPr>
          <w:i/>
          <w:iCs/>
        </w:rPr>
      </w:pPr>
      <w:r>
        <w:rPr>
          <w:i/>
          <w:iCs/>
        </w:rPr>
        <w:t>S</w:t>
      </w:r>
      <w:r w:rsidR="009B276E">
        <w:rPr>
          <w:i/>
          <w:iCs/>
        </w:rPr>
        <w:t>YNTAX</w:t>
      </w:r>
    </w:p>
    <w:p w14:paraId="08F9C92C" w14:textId="0821A041" w:rsidR="009431F3" w:rsidRDefault="00D44CE3" w:rsidP="00550BDE">
      <w:pPr>
        <w:spacing w:line="360" w:lineRule="auto"/>
      </w:pPr>
      <w:r>
        <w:t>One of our highlighted areas of</w:t>
      </w:r>
      <w:r w:rsidR="00157B21">
        <w:t xml:space="preserve"> </w:t>
      </w:r>
      <w:r w:rsidR="003B7BF7">
        <w:t xml:space="preserve">disparity between NICE and ESC </w:t>
      </w:r>
      <w:r w:rsidR="00793C1C">
        <w:t>is</w:t>
      </w:r>
      <w:r w:rsidR="007D00AF">
        <w:t xml:space="preserve"> the </w:t>
      </w:r>
      <w:r w:rsidR="008B1042">
        <w:t xml:space="preserve">recommended </w:t>
      </w:r>
      <w:r w:rsidR="007D00AF">
        <w:t>use</w:t>
      </w:r>
      <w:r w:rsidR="008B1042">
        <w:t xml:space="preserve"> of</w:t>
      </w:r>
      <w:r w:rsidR="007D00AF">
        <w:t xml:space="preserve"> anatomical scoring systems</w:t>
      </w:r>
      <w:r w:rsidR="008B1042">
        <w:t xml:space="preserve"> to guide decision making</w:t>
      </w:r>
      <w:r w:rsidR="003B7BF7">
        <w:t xml:space="preserve">. For example, </w:t>
      </w:r>
      <w:r w:rsidR="008B1042">
        <w:t xml:space="preserve">in the ESC guidelines, </w:t>
      </w:r>
      <w:r w:rsidR="00153D3A">
        <w:t xml:space="preserve">there is a stronger recommendation to use SYNTAX score to decide between PCI or CABG </w:t>
      </w:r>
      <w:r w:rsidR="00BA6092">
        <w:t xml:space="preserve">in patients with left main or </w:t>
      </w:r>
      <w:r w:rsidR="00C97068">
        <w:t>3VD</w:t>
      </w:r>
      <w:r w:rsidR="00153D3A">
        <w:t xml:space="preserve">. </w:t>
      </w:r>
      <w:r w:rsidR="00290287">
        <w:t xml:space="preserve">Although the 5 year data of the SYNTAX </w:t>
      </w:r>
      <w:r w:rsidR="00793C1C">
        <w:t xml:space="preserve">trial </w:t>
      </w:r>
      <w:r w:rsidR="00290287">
        <w:t>w</w:t>
      </w:r>
      <w:r w:rsidR="00793C1C">
        <w:t>ere</w:t>
      </w:r>
      <w:r w:rsidR="00290287">
        <w:t xml:space="preserve"> not available at </w:t>
      </w:r>
      <w:r w:rsidR="007D00AF">
        <w:t>t</w:t>
      </w:r>
      <w:r w:rsidR="00290287">
        <w:t>he time</w:t>
      </w:r>
      <w:r w:rsidR="007D00AF">
        <w:t xml:space="preserve"> of NICE publication</w:t>
      </w:r>
      <w:r w:rsidR="00290287">
        <w:t xml:space="preserve">, this was taken into account in the 2016 reappraisal </w:t>
      </w:r>
      <w:r w:rsidR="00290287">
        <w:lastRenderedPageBreak/>
        <w:t>a</w:t>
      </w:r>
      <w:r w:rsidR="00FA3FFC">
        <w:t>nd</w:t>
      </w:r>
      <w:r w:rsidR="00793C1C">
        <w:t>, even so,</w:t>
      </w:r>
      <w:r w:rsidR="00FA3FFC">
        <w:t xml:space="preserve"> no update to the original </w:t>
      </w:r>
      <w:r w:rsidR="00CC1FBA">
        <w:t xml:space="preserve">2011 </w:t>
      </w:r>
      <w:r w:rsidR="00FA3FFC">
        <w:t>guidance was made</w:t>
      </w:r>
      <w:r w:rsidR="00290287">
        <w:t>.</w:t>
      </w:r>
      <w:r w:rsidR="003C4B56">
        <w:fldChar w:fldCharType="begin" w:fldLock="1"/>
      </w:r>
      <w:r w:rsidR="00BF577E">
        <w:instrText>ADDIN CSL_CITATION {"citationItems":[{"id":"ITEM-1","itemData":{"DOI":"10.1161/CIRCULATIONAHA.113.006689","ISSN":"1524-4539 (Electronic)","PMID":"24700706","abstract":"BACKGROUND: Current guidelines recommend coronary artery bypass graft surgery  (CABG) when treating significant de novo left main coronary artery (LM) stenosis; however, percutaneous coronary intervention (PCI) has a class IIa indication for unprotected LM disease in selected patients. This analysis compares 5-year clinical outcomes in PCI- and CABG-treated LM patients in the Synergy Between PCI With Taxus and Cardiac Surgery (SYNTAX) trial, the largest trial in this group to date. METHODS AND RESULTS: The SYNTAX trial randomly assigned 1800 patients with LM or 3-vessel disease to receive either PCI (with TAXUS Express paclitaxel-eluting stents) or CABG. The unprotected LM cohort (N=705) was predefined and powered. Major adverse cardiac and cerebrovascular event rates at 5 years was 36.9% in PCI patients and 31.0% in CABG patients (hazard ratio, 1.23 [95% confidence interval, 0.95-1.59]; P=0.12). Mortality rate was 12.8% and 14.6% in PCI and CABG patients, respectively (hazard ratio, 0.88 [95% confidence interval, 0.58-1.32]; P=0.53). Stroke was significantly increased in the CABG group (PCI 1.5% versus CABG 4.3%; hazard ratio, 0.33 [95% confidence interval, 0.12-0.92]; P=0.03) and repeat revascularization in the PCI arm (26.7% versus 15.5%; hazard ratio, 1.82 [95% confidence interval, 1.28-2.57]; P&lt;0.01). Major adverse cardiac and cerebrovascular events were similar between arms in patients with low/intermediate SYNTAX scores but significantly increased in PCI patients with high scores (≥33). CONCLUSIONS: At 5 years, no difference in overall major adverse cardiac and cerebrovascular events was found between treatment groups. PCI-treated patients had a lower stroke but a higher revascularization rate versus CABG. These results suggest that both treatments are valid options for LM patients. The extent of disease should accounted for when choosing between surgery and PCI, because patients with high SYNTAX scores seem to benefit more from surgery compared with those in the lower tertiles. CLINICAL TRIAL REGISTRATION URL: http://www.clinicaltrials.gov. Unique identifier: NCT00114972.","author":[{"dropping-particle":"","family":"Morice","given":"Marie-Claude","non-dropping-particle":"","parse-names":false,"suffix":""},{"dropping-particle":"","family":"Serruys","given":"Patrick W","non-dropping-particle":"","parse-names":false,"suffix":""},{"dropping-particle":"","family":"Kappetein","given":"A Pieter","non-dropping-particle":"","parse-names":false,"suffix":""},{"dropping-particle":"","family":"Feldman","given":"Ted E","non-dropping-particle":"","parse-names":false,"suffix":""},{"dropping-particle":"","family":"Ståhle","given":"Elisabeth","non-dropping-particle":"","parse-names":false,"suffix":""},{"dropping-particle":"","family":"Colombo","given":"Antonio","non-dropping-particle":"","parse-names":false,"suffix":""},{"dropping-particle":"","family":"Mack","given":"Michael J","non-dropping-particle":"","parse-names":false,"suffix":""},{"dropping-particle":"","family":"Holmes","given":"David R","non-dropping-particle":"","parse-names":false,"suffix":""},{"dropping-particle":"","family":"Choi","given":"James W","non-dropping-particle":"","parse-names":false,"suffix":""},{"dropping-particle":"","family":"Ruzyllo","given":"Witold","non-dropping-particle":"","parse-names":false,"suffix":""},{"dropping-particle":"","family":"Religa","given":"Grzegorz","non-dropping-particle":"","parse-names":false,"suffix":""},{"dropping-particle":"","family":"Huang","given":"Jian","non-dropping-particle":"","parse-names":false,"suffix":""},{"dropping-particle":"","family":"Roy","given":"Kristine","non-dropping-particle":"","parse-names":false,"suffix":""},{"dropping-particle":"","family":"Dawkins","given":"Keith D","non-dropping-particle":"","parse-names":false,"suffix":""},{"dropping-particle":"","family":"Mohr","given":"Friedrich","non-dropping-particle":"","parse-names":false,"suffix":""}],"container-title":"Circulation","id":"ITEM-1","issue":"23","issued":{"date-parts":[["2014","6"]]},"language":"eng","page":"2388-2394","publisher-place":"United States","title":"Five-year outcomes in patients with left main disease treated with either  percutaneous coronary intervention or coronary artery bypass grafting in the synergy between percutaneous coronary intervention with taxus and cardiac surgery trial.","type":"article-journal","volume":"129"},"uris":["http://www.mendeley.com/documents/?uuid=8927c4b2-4125-40fb-8a3c-3b84894d9ed3"]},{"id":"ITEM-2","itemData":{"DOI":"10.1016/S0140-6736(19)31997-X","ISSN":"1474-547X (Electronic)","PMID":"31488373","abstract":"BACKGROUND: The Synergy between PCI with Taxus and Cardiac Surgery (SYNTAX) trial  was a non-inferiority trial that compared percutaneous coronary intervention (PCI) using first-generation paclitaxel-eluting stents with coronary artery bypass grafting (CABG) in patients with de-novo three-vessel and left main coronary artery disease, and reported results up to 5 years. We now report 10-year all-cause death results. METHODS: The SYNTAX Extended Survival (SYNTAXES) study is an investigator-driven extension of follow-up of a multicentre, randomised controlled trial done in 85 hospitals across 18 North American and European countries. Patients with de-novo three-vessel and left main coronary artery disease were randomly assigned (1:1) to the PCI group or CABG group. Patients with a history of PCI or CABG, acute myocardial infarction, or an indication for concomitant cardiac surgery were excluded. The primary endpoint of the SYNTAXES study was 10-year all-cause death, which was assessed according to the intention-to-treat principle. Prespecified subgroup analyses were performed according to the presence or absence of left main coronary artery disease and diabetes, and according to coronary complexity defined by core laboratory SYNTAX score tertiles. This study is registered with ClinicalTrials.gov, NCT03417050. FINDINGS: From March, 2005, to April, 2007, 1800 patients were randomly assigned to the PCI (n=903) or CABG (n=897) group. Vital status information at 10 years was complete for 841 (93%) patients in the PCI group and 848 (95%) patients in the CABG group. At 10 years, 248 (28%) patients had died after PCI and 212 (24%) after CABG (hazard ratio 1·19 [95% CI 0·99-1·43], p=0·066). Among patients with three-vessel disease, 153 (28%) of 546 had died after PCI versus 114 (21%) of 549 after CABG (hazard ratio 1·42 [95% CI 1·11-1·81]), and among patients with left main coronary artery disease, 95 (27%) of 357 had died after PCI versus 98 (28%) of 348 after CABG (0·92 [0·69-1·22], p(interaction)=0·023). There was no treatment-by-subgroup interaction with diabetes (p(interaction)=0·60) and no linear trend across SYNTAX score tertiles (p(trend)=0·20). INTERPRETATION: At 10 years, no significant difference existed in all-cause death between PCI using first-generation paclitaxel-eluting stents and CABG. However, CABG provided a significant survival benefit in patients with three-vessel disease, but not in patients with left main coronary artery disease. FUNDING: Ge…","author":[{"dropping-particle":"","family":"Thuijs","given":"Daniel J F M","non-dropping-particle":"","parse-names":false,"suffix":""},{"dropping-particle":"","family":"Kappetein","given":"A Pieter","non-dropping-particle":"","parse-names":false,"suffix":""},{"dropping-particle":"","family":"Serruys","given":"Patrick W","non-dropping-particle":"","parse-names":false,"suffix":""},{"dropping-particle":"","family":"Mohr","given":"Friedrich-Wilhelm","non-dropping-particle":"","parse-names":false,"suffix":""},{"dropping-particle":"","family":"Morice","given":"Marie-Claude","non-dropping-particle":"","parse-names":false,"suffix":""},{"dropping-particle":"","family":"Mack","given":"Michael J","non-dropping-particle":"","parse-names":false,"suffix":""},{"dropping-particle":"","family":"Holmes","given":"David R Jr","non-dropping-particle":"","parse-names":false,"suffix":""},{"dropping-particle":"","family":"Curzen","given":"Nick","non-dropping-particle":"","parse-names":false,"suffix":""},{"dropping-particle":"","family":"Davierwala","given":"Piroze","non-dropping-particle":"","parse-names":false,"suffix":""},{"dropping-particle":"","family":"Noack","given":"Thilo","non-dropping-particle":"","parse-names":false,"suffix":""},{"dropping-particle":"","family":"Milojevic","given":"Milan","non-dropping-particle":"","parse-names":false,"suffix":""},{"dropping-particle":"","family":"Dawkins","given":"Keith D","non-dropping-particle":"","parse-names":false,"suffix":""},{"dropping-particle":"","family":"Costa","given":"Bruno R","non-dropping-particle":"da","parse-names":false,"suffix":""},{"dropping-particle":"","family":"Jüni","given":"Peter","non-dropping-particle":"","parse-names":false,"suffix":""},{"dropping-particle":"","family":"Head","given":"Stuart J","non-dropping-particle":"","parse-names":false,"suffix":""}],"container-title":"Lancet (London, England)","id":"ITEM-2","issue":"10206","issued":{"date-parts":[["2019","10"]]},"language":"eng","page":"1325-1334","publisher-place":"England","title":"Percutaneous coronary intervention versus coronary artery bypass grafting in  patients with three-vessel or left main coronary artery disease: 10-year follow-up of the multicentre randomised controlled SYNTAX trial.","type":"article-journal","volume":"394"},"uris":["http://www.mendeley.com/documents/?uuid=23596c47-c85d-4f8b-b68f-a306417e4527"]}],"mendeley":{"formattedCitation":"&lt;sup&gt;24,31&lt;/sup&gt;","plainTextFormattedCitation":"24,31","previouslyFormattedCitation":"&lt;sup&gt;29,30&lt;/sup&gt;"},"properties":{"noteIndex":0},"schema":"https://github.com/citation-style-language/schema/raw/master/csl-citation.json"}</w:instrText>
      </w:r>
      <w:r w:rsidR="003C4B56">
        <w:fldChar w:fldCharType="separate"/>
      </w:r>
      <w:r w:rsidR="00BF577E" w:rsidRPr="00BF577E">
        <w:rPr>
          <w:noProof/>
          <w:vertAlign w:val="superscript"/>
        </w:rPr>
        <w:t>24,31</w:t>
      </w:r>
      <w:r w:rsidR="003C4B56">
        <w:fldChar w:fldCharType="end"/>
      </w:r>
      <w:r w:rsidR="00290287">
        <w:t xml:space="preserve"> </w:t>
      </w:r>
      <w:r w:rsidR="00716CB1">
        <w:t xml:space="preserve"> </w:t>
      </w:r>
      <w:r w:rsidR="00056F15">
        <w:t>T</w:t>
      </w:r>
      <w:r w:rsidR="00A4757F" w:rsidRPr="00A4757F">
        <w:t xml:space="preserve">he more recent </w:t>
      </w:r>
      <w:r w:rsidR="00AA68B9">
        <w:t>ACC/AHA/SCAI</w:t>
      </w:r>
      <w:r w:rsidR="00A4757F" w:rsidRPr="00A4757F">
        <w:t xml:space="preserve"> guidelines have a lower </w:t>
      </w:r>
      <w:r w:rsidR="00793C1C">
        <w:t xml:space="preserve">level of </w:t>
      </w:r>
      <w:r w:rsidR="00A4757F" w:rsidRPr="00A4757F">
        <w:t>recommendation for the use of SYNTAX</w:t>
      </w:r>
      <w:r w:rsidR="003C0763">
        <w:t xml:space="preserve">, which </w:t>
      </w:r>
      <w:r w:rsidR="00793C1C">
        <w:t>is</w:t>
      </w:r>
      <w:r w:rsidR="00157B21">
        <w:t xml:space="preserve"> </w:t>
      </w:r>
      <w:r w:rsidR="003C0763">
        <w:t>more in line with NICE</w:t>
      </w:r>
      <w:r w:rsidR="00793C1C">
        <w:t xml:space="preserve">, and is </w:t>
      </w:r>
      <w:r w:rsidR="00A4757F" w:rsidRPr="00A4757F">
        <w:t xml:space="preserve">due mainly to </w:t>
      </w:r>
      <w:r w:rsidR="00FA3FFC">
        <w:t xml:space="preserve">poor interobserver variability </w:t>
      </w:r>
      <w:r w:rsidR="00A4757F" w:rsidRPr="00A4757F">
        <w:t xml:space="preserve">and </w:t>
      </w:r>
      <w:r w:rsidR="00FA3FFC">
        <w:t>lack of clinical variables</w:t>
      </w:r>
      <w:r w:rsidR="00427C9E">
        <w:t xml:space="preserve"> included in the score</w:t>
      </w:r>
      <w:r w:rsidR="00FA3FFC">
        <w:t xml:space="preserve"> </w:t>
      </w:r>
      <w:r w:rsidR="00793C1C">
        <w:t xml:space="preserve">that are </w:t>
      </w:r>
      <w:r w:rsidR="00FA3FFC">
        <w:t>known to affect periprocedural outcome</w:t>
      </w:r>
      <w:r w:rsidR="0078463A">
        <w:t>.</w:t>
      </w:r>
      <w:r w:rsidR="003C4B56">
        <w:fldChar w:fldCharType="begin" w:fldLock="1"/>
      </w:r>
      <w:r w:rsidR="006C2117">
        <w:instrText>ADDIN CSL_CITATION {"citationItems":[{"id":"ITEM-1","itemData":{"DOI":"10.1161/CIR.0000000000001039","ISSN":"1524-4539 (Electronic)","PMID":"34882436","abstract":"AIM: The executive summary of the American College of Cardiology/American Heart  Association/Society for Cardiovascular Angiography and Interventions coronary artery revascularization guideline provides the top 10 items readers should know about the guideline. In the full guideline, the recommendations replace the 2011 coronary artery bypass graft surgery guideline and the 2011 and 2015 percutaneous coronary intervention guidelines. This summary offers a patient-centric approach to guide clinicians in the treatment of patients with significant coronary artery disease undergoing coronary revascularization, as well as the supporting documentation to encourage their use. METHODS: A comprehensive literature search was conducted from May 2019 to September 2019, encompassing studies, reviews, and other evidence conducted on human subjects that were published in English from PubMed, EMBASE, the Cochrane Collaboration, CINHL Complete, and other relevant databases. Additional relevant studies, published through May 2021, were also considered. Structure: Recommendations from the earlier percutaneous coronary intervention and coronary artery bypass graft surgery guidelines have been updated with new evidence to guide clinicians in caring for patients undergoing coronary revascularization. This summary includes recommendations, tables, and figures from the full guideline that relate to the top 10 take-home messages. The reader is referred to the full guideline for graphical flow charts, supportive text, and tables with additional details about the rationale for and implementation of each recommendation, and the evidence tables detailing the data considered in the development of this guideline.","author":[{"dropping-particle":"","family":"Lawton","given":"Jennifer S","non-dropping-particle":"","parse-names":false,"suffix":""},{"dropping-particle":"","family":"Tamis-Holland","given":"Jacqueline E","non-dropping-particle":"","parse-names":false,"suffix":""},{"dropping-particle":"","family":"Bangalore","given":"Sripal","non-dropping-particle":"","parse-names":false,"suffix":""},{"dropping-particle":"","family":"Bates","given":"Eric R","non-dropping-particle":"","parse-names":false,"suffix":""},{"dropping-particle":"","family":"Beckie","given":"Theresa M","non-dropping-particle":"","parse-names":false,"suffix":""},{"dropping-particle":"","family":"Bischoff","given":"James M","non-dropping-particle":"","parse-names":false,"suffix":""},{"dropping-particle":"","family":"Bittl","given":"John A","non-dropping-particle":"","parse-names":false,"suffix":""},{"dropping-particle":"","family":"Cohen","given":"Mauricio G","non-dropping-particle":"","parse-names":false,"suffix":""},{"dropping-particle":"","family":"DiMaio","given":"J Michael","non-dropping-particle":"","parse-names":false,"suffix":""},{"dropping-particle":"","family":"Don","given":"Creighton W","non-dropping-particle":"","parse-names":false,"suffix":""},{"dropping-particle":"","family":"Fremes","given":"Stephen E","non-dropping-particle":"","parse-names":false,"suffix":""},{"dropping-particle":"","family":"Gaudino","given":"Mario F","non-dropping-particle":"","parse-names":false,"suffix":""},{"dropping-particle":"","family":"Goldberger","given":"Zachary D","non-dropping-particle":"","parse-names":false,"suffix":""},{"dropping-particle":"","family":"Grant","given":"Michael C","non-dropping-particle":"","parse-names":false,"suffix":""},{"dropping-particle":"","family":"Jaswal","given":"Jang B","non-dropping-particle":"","parse-names":false,"suffix":""},{"dropping-particle":"","family":"Kurlansky","given":"Paul A","non-dropping-particle":"","parse-names":false,"suffix":""},{"dropping-particle":"","family":"Mehran","given":"Roxana","non-dropping-particle":"","parse-names":false,"suffix":""},{"dropping-particle":"","family":"Metkus","given":"Thomas S Jr","non-dropping-particle":"","parse-names":false,"suffix":""},{"dropping-particle":"","family":"Nnacheta","given":"Lorraine C","non-dropping-particle":"","parse-names":false,"suffix":""},{"dropping-particle":"V","family":"Rao","given":"Sunil","non-dropping-particle":"","parse-names":false,"suffix":""},{"dropping-particle":"","family":"Sellke","given":"Frank W","non-dropping-particle":"","parse-names":false,"suffix":""},{"dropping-particle":"","family":"Sharma","given":"Garima","non-dropping-particle":"","parse-names":false,"suffix":""},{"dropping-particle":"","family":"Yong","given":"Celina M","non-dropping-particle":"","parse-names":false,"suffix":""},{"dropping-particle":"","family":"Zwischenberger","given":"Brittany A","non-dropping-particle":"","parse-names":false,"suffix":""}],"container-title":"Circulation","id":"ITEM-1","issue":"3","issued":{"date-parts":[["2022","1"]]},"language":"eng","page":"e4-e17","publisher-place":"United States","title":"2021 ACC/AHA/SCAI Guideline for Coronary Artery Revascularization: Executive  Summary: A Report of the American College of Cardiology/American Heart Association Joint Committee on Clinical Practice Guidelines.","type":"article-journal","volume":"145"},"uris":["http://www.mendeley.com/documents/?uuid=fae58fe5-e3b9-440c-a6e3-d09897d44976"]}],"mendeley":{"formattedCitation":"&lt;sup&gt;5&lt;/sup&gt;","plainTextFormattedCitation":"5","previouslyFormattedCitation":"&lt;sup&gt;5&lt;/sup&gt;"},"properties":{"noteIndex":0},"schema":"https://github.com/citation-style-language/schema/raw/master/csl-citation.json"}</w:instrText>
      </w:r>
      <w:r w:rsidR="003C4B56">
        <w:fldChar w:fldCharType="separate"/>
      </w:r>
      <w:r w:rsidR="003C4B56" w:rsidRPr="003C4B56">
        <w:rPr>
          <w:noProof/>
          <w:vertAlign w:val="superscript"/>
        </w:rPr>
        <w:t>5</w:t>
      </w:r>
      <w:r w:rsidR="003C4B56">
        <w:fldChar w:fldCharType="end"/>
      </w:r>
      <w:r w:rsidR="00CC1FBA">
        <w:t xml:space="preserve"> </w:t>
      </w:r>
      <w:r w:rsidR="00D04AC3">
        <w:t>The guidelines may evolve with the development of more sophisticated scoring tools that take account of anatomy and key clinical variables.</w:t>
      </w:r>
    </w:p>
    <w:p w14:paraId="71A75960" w14:textId="77777777" w:rsidR="00E22657" w:rsidRDefault="00E22657" w:rsidP="002A5178">
      <w:pPr>
        <w:spacing w:line="360" w:lineRule="auto"/>
      </w:pPr>
    </w:p>
    <w:p w14:paraId="3C1CA126" w14:textId="77777777" w:rsidR="007C592B" w:rsidRPr="00407FC8" w:rsidRDefault="007C592B" w:rsidP="007C592B">
      <w:pPr>
        <w:spacing w:line="360" w:lineRule="auto"/>
        <w:rPr>
          <w:i/>
          <w:iCs/>
        </w:rPr>
      </w:pPr>
      <w:r w:rsidRPr="00407FC8">
        <w:rPr>
          <w:i/>
          <w:iCs/>
        </w:rPr>
        <w:t>NSTEMI</w:t>
      </w:r>
    </w:p>
    <w:p w14:paraId="315F1096" w14:textId="36A4478B" w:rsidR="00245999" w:rsidRPr="00407FC8" w:rsidRDefault="00056F15" w:rsidP="00407FC8">
      <w:pPr>
        <w:spacing w:line="360" w:lineRule="auto"/>
      </w:pPr>
      <w:r>
        <w:t>T</w:t>
      </w:r>
      <w:r w:rsidR="00702899">
        <w:t>here is a discrepancy between the speed with which patients are put forward for coronary angiography when they present with high risk NSTEMI</w:t>
      </w:r>
      <w:r w:rsidR="00A809D0">
        <w:t>.</w:t>
      </w:r>
      <w:r w:rsidR="005567E5">
        <w:t xml:space="preserve"> </w:t>
      </w:r>
      <w:r w:rsidR="009571F0">
        <w:t>In fact, despite the availability of numerous randomised trials, t</w:t>
      </w:r>
      <w:r w:rsidR="005567E5">
        <w:t xml:space="preserve">he </w:t>
      </w:r>
      <w:r w:rsidR="005567E5" w:rsidRPr="00407FC8">
        <w:t>e</w:t>
      </w:r>
      <w:r w:rsidR="00245999" w:rsidRPr="00407FC8">
        <w:t xml:space="preserve">vidence </w:t>
      </w:r>
      <w:r w:rsidR="009571F0">
        <w:t xml:space="preserve">base </w:t>
      </w:r>
      <w:r w:rsidR="00245999" w:rsidRPr="00407FC8">
        <w:t xml:space="preserve">for an early invasive </w:t>
      </w:r>
      <w:proofErr w:type="gramStart"/>
      <w:r w:rsidR="00245999" w:rsidRPr="00407FC8">
        <w:t>strategy</w:t>
      </w:r>
      <w:r w:rsidR="00CC1FBA">
        <w:t>(</w:t>
      </w:r>
      <w:proofErr w:type="gramEnd"/>
      <w:r w:rsidR="00245999" w:rsidRPr="00407FC8">
        <w:t>&lt; 24 h</w:t>
      </w:r>
      <w:r w:rsidR="00CC1FBA">
        <w:t>)</w:t>
      </w:r>
      <w:r w:rsidR="00245999" w:rsidRPr="00407FC8">
        <w:t xml:space="preserve"> in patients with NSTE-ACS is</w:t>
      </w:r>
      <w:r w:rsidR="009B183B">
        <w:t xml:space="preserve"> </w:t>
      </w:r>
      <w:r w:rsidR="009571F0">
        <w:t>relatively sparse.</w:t>
      </w:r>
      <w:r w:rsidR="00245999" w:rsidRPr="00407FC8">
        <w:t xml:space="preserve"> </w:t>
      </w:r>
      <w:r w:rsidR="00946093">
        <w:t>T</w:t>
      </w:r>
      <w:r w:rsidR="009571F0">
        <w:t xml:space="preserve">he </w:t>
      </w:r>
      <w:r w:rsidR="00245999" w:rsidRPr="00407FC8">
        <w:t>VERDICT and TIMACS trials</w:t>
      </w:r>
      <w:r w:rsidR="00407FC8" w:rsidRPr="00407FC8">
        <w:t xml:space="preserve"> did</w:t>
      </w:r>
      <w:r w:rsidR="009571F0">
        <w:t>,</w:t>
      </w:r>
      <w:r w:rsidR="00407FC8" w:rsidRPr="00407FC8">
        <w:t xml:space="preserve"> however</w:t>
      </w:r>
      <w:r w:rsidR="009571F0">
        <w:t>,</w:t>
      </w:r>
      <w:r w:rsidR="00245999" w:rsidRPr="00407FC8">
        <w:t xml:space="preserve"> demonstrate</w:t>
      </w:r>
      <w:r w:rsidR="00407FC8" w:rsidRPr="00407FC8">
        <w:t xml:space="preserve"> </w:t>
      </w:r>
      <w:r w:rsidR="009571F0">
        <w:t xml:space="preserve">benefit from the </w:t>
      </w:r>
      <w:r w:rsidR="00946093">
        <w:t>e</w:t>
      </w:r>
      <w:r w:rsidR="009571F0">
        <w:t>arly strategy</w:t>
      </w:r>
      <w:r w:rsidR="00946093">
        <w:t xml:space="preserve"> </w:t>
      </w:r>
      <w:r w:rsidR="00407FC8" w:rsidRPr="00407FC8">
        <w:t xml:space="preserve">in </w:t>
      </w:r>
      <w:r w:rsidR="006C2117">
        <w:t>the subgroups of</w:t>
      </w:r>
      <w:r w:rsidR="00245999" w:rsidRPr="00407FC8">
        <w:t xml:space="preserve"> patients with GRACE risk score </w:t>
      </w:r>
      <w:r w:rsidR="00FF4B04">
        <w:t>&gt;</w:t>
      </w:r>
      <w:r w:rsidR="00245999" w:rsidRPr="00407FC8">
        <w:t>140</w:t>
      </w:r>
      <w:r w:rsidR="00573A36">
        <w:t>,  but</w:t>
      </w:r>
      <w:r w:rsidR="009571F0">
        <w:t xml:space="preserve">, of course, this must be </w:t>
      </w:r>
      <w:r w:rsidR="00FD280E">
        <w:t xml:space="preserve">examined </w:t>
      </w:r>
      <w:r w:rsidR="009571F0">
        <w:t>with caution, given that it represents an unpowered secondary analysis.</w:t>
      </w:r>
      <w:r w:rsidR="006C2117">
        <w:fldChar w:fldCharType="begin" w:fldLock="1"/>
      </w:r>
      <w:r w:rsidR="00BF577E">
        <w:instrText>ADDIN CSL_CITATION {"citationItems":[{"id":"ITEM-1","itemData":{"DOI":"10.1161/CIRCULATIONAHA.118.037152","ISSN":"1524-4539 (Electronic)","PMID":"30565996","abstract":"BACKGROUND: The optimal timing of invasive coronary angiography (ICA) and  revascularization in patients with non-ST-segment elevation acute coronary syndrome is not well defined. We tested the hypothesis that a strategy of very early ICA and possible revascularization within 12 hours of diagnosis is superior to an invasive strategy performed within 48 to 72 hours in terms of clinical outcomes. METHODS: Patients admitted with clinical suspicion of non-ST-segment elevation acute coronary syndrome in the Capital Region of Copenhagen, Denmark, were screened for inclusion in the VERDICT trial (Very Early Versus Deferred Invasive Evaluation Using Computerized Tomography) ( ClinicalTrials.gov NCT02061891). Patients with ECG changes indicating new ischemia or elevated troponin, in whom ICA was clinically indicated and deemed logistically feasible within 12 hours, were randomized 1:1 to ICA within 12 hours or standard invasive care within 48 to 72 hours. The primary end point was a combination of all-cause death, nonfatal recurrent myocardial infarction, hospital admission for refractory myocardial ischemia, or hospital admission for heart failure. RESULTS: A total of 2147 patients were randomized; 1075 patients allocated to very early invasive evaluation had ICA performed at a median of 4.7 hours after randomization, whereas 1072 patients assigned to standard invasive care had ICA performed 61.6 hours after randomization. Among patients with significant coronary artery disease identified by ICA, coronary revascularization was performed in 88.4% (very early ICA) and 83.1% (standard invasive care). Within a median follow-up time of 4.3 (interquartile range, 4.1-4.4) years, the primary end point occurred in 296 (27.5%) of participants in the very early ICA group and 316 (29.5%) in the standard care group (hazard ratio, 0.92; 95% CI, 0.78-1.08). Among patients with a GRACE risk score (Global Registry of Acute Coronary Events) &gt;140, a very early invasive treatment strategy improved the primary outcome compared with the standard invasive treatment (hazard ratio, 0.81; 95% CI, 0.67-1.01; P value for interaction=0.023). CONCLUSIONS: A strategy of very early invasive coronary evaluation does not improve overall long-term clinical outcome compared with an invasive strategy conducted within 2 to 3 days in patients with non-ST-segment elevation acute coronary syndrome. However, in patients with the highest risk, very early invasive therapy improves long-term outcomes. CLI…","author":[{"dropping-particle":"","family":"Kofoed","given":"Klaus F","non-dropping-particle":"","parse-names":false,"suffix":""},{"dropping-particle":"","family":"Kelbæk","given":"Henning","non-dropping-particle":"","parse-names":false,"suffix":""},{"dropping-particle":"","family":"Hansen","given":"Peter Riis","non-dropping-particle":"","parse-names":false,"suffix":""},{"dropping-particle":"","family":"Torp-Pedersen","given":"Christian","non-dropping-particle":"","parse-names":false,"suffix":""},{"dropping-particle":"","family":"Høfsten","given":"Dan","non-dropping-particle":"","parse-names":false,"suffix":""},{"dropping-particle":"","family":"Kløvgaard","given":"Lene","non-dropping-particle":"","parse-names":false,"suffix":""},{"dropping-particle":"","family":"Holmvang","given":"Lene","non-dropping-particle":"","parse-names":false,"suffix":""},{"dropping-particle":"","family":"Helqvist","given":"Steffen","non-dropping-particle":"","parse-names":false,"suffix":""},{"dropping-particle":"","family":"Jørgensen","given":"Erik","non-dropping-particle":"","parse-names":false,"suffix":""},{"dropping-particle":"","family":"Galatius","given":"Søren","non-dropping-particle":"","parse-names":false,"suffix":""},{"dropping-particle":"","family":"Pedersen","given":"Frants","non-dropping-particle":"","parse-names":false,"suffix":""},{"dropping-particle":"","family":"Bang","given":"Lia","non-dropping-particle":"","parse-names":false,"suffix":""},{"dropping-particle":"","family":"Saunamaki","given":"Kari","non-dropping-particle":"","parse-names":false,"suffix":""},{"dropping-particle":"","family":"Clemmensen","given":"Peter","non-dropping-particle":"","parse-names":false,"suffix":""},{"dropping-particle":"","family":"Linde","given":"Jesper J","non-dropping-particle":"","parse-names":false,"suffix":""},{"dropping-particle":"","family":"Heitmann","given":"Merete","non-dropping-particle":"","parse-names":false,"suffix":""},{"dropping-particle":"","family":"Wendelboe Nielsen","given":"Olav","non-dropping-particle":"","parse-names":false,"suffix":""},{"dropping-particle":"","family":"Raymond","given":"Ilan E","non-dropping-particle":"","parse-names":false,"suffix":""},{"dropping-particle":"","family":"Kristiansen","given":"Ole Peter","non-dropping-particle":"","parse-names":false,"suffix":""},{"dropping-particle":"","family":"Svendsen","given":"Ida Hastrup","non-dropping-particle":"","parse-names":false,"suffix":""},{"dropping-particle":"","family":"Bech","given":"Jan","non-dropping-particle":"","parse-names":false,"suffix":""},{"dropping-particle":"","family":"Dominguez Vall-Lamora","given":"Maria Helena","non-dropping-particle":"","parse-names":false,"suffix":""},{"dropping-particle":"","family":"Kragelund","given":"Charlotte","non-dropping-particle":"","parse-names":false,"suffix":""},{"dropping-particle":"","family":"Hansen","given":"Thomas Fritz","non-dropping-particle":"","parse-names":false,"suffix":""},{"dropping-particle":"","family":"Dahlgaard Hove","given":"Jens","non-dropping-particle":"","parse-names":false,"suffix":""},{"dropping-particle":"","family":"Jørgensen","given":"Tem","non-dropping-particle":"","parse-names":false,"suffix":""},{"dropping-particle":"","family":"Fornitz","given":"Gitte G","non-dropping-particle":"","parse-names":false,"suffix":""},{"dropping-particle":"","family":"Steffensen","given":"Rolf","non-dropping-particle":"","parse-names":false,"suffix":""},{"dropping-particle":"","family":"Jurlander","given":"Birgit","non-dropping-particle":"","parse-names":false,"suffix":""},{"dropping-particle":"","family":"Abdulla","given":"Jawdat","non-dropping-particle":"","parse-names":false,"suffix":""},{"dropping-particle":"","family":"Lyngbæk","given":"Stig","non-dropping-particle":"","parse-names":false,"suffix":""},{"dropping-particle":"","family":"Elming","given":"Hanne","non-dropping-particle":"","parse-names":false,"suffix":""},{"dropping-particle":"","family":"Therkelsen","given":"Susette Krohn","non-dropping-particle":"","parse-names":false,"suffix":""},{"dropping-particle":"","family":"Abildgaard","given":"Ulrik","non-dropping-particle":"","parse-names":false,"suffix":""},{"dropping-particle":"","family":"Jensen","given":"Jan Skov","non-dropping-particle":"","parse-names":false,"suffix":""},{"dropping-particle":"","family":"Gislason","given":"Gunnar","non-dropping-particle":"","parse-names":false,"suffix":""},{"dropping-particle":"V","family":"Køber","given":"Lars","non-dropping-particle":"","parse-names":false,"suffix":""},{"dropping-particle":"","family":"Engstrøm","given":"Thomas","non-dropping-particle":"","parse-names":false,"suffix":""}],"container-title":"Circulation","id":"ITEM-1","issue":"24","issued":{"date-parts":[["2018","12"]]},"language":"eng","page":"2741-2750","publisher-place":"United States","title":"Early Versus Standard Care Invasive Examination and Treatment of Patients With  Non-ST-Segment Elevation Acute Coronary Syndrome.","type":"article-journal","volume":"138"},"uris":["http://www.mendeley.com/documents/?uuid=9faf1395-d721-4879-bae9-f6f7012f8a2f"]},{"id":"ITEM-2","itemData":{"DOI":"10.1056/NEJMoa0807986","ISSN":"1533-4406 (Electronic)","PMID":"19458363","abstract":"BACKGROUND: Earlier trials have shown that a routine invasive strategy improves  outcomes in patients with acute coronary syndromes without ST-segment elevation. However, the optimal timing of such intervention remains uncertain. METHODS: We randomly assigned 3031 patients with acute coronary syndromes to undergo either routine early intervention (coronary angiography &lt; or = 24 hours after randomization) or delayed intervention (coronary angiography &gt; or = 36 hours after randomization). The primary outcome was a composite of death, myocardial infarction, or stroke at 6 months. A prespecified secondary outcome was death, myocardial infarction, or refractory ischemia at 6 months. RESULTS: Coronary angiography was performed in 97.6% of patients in the early-intervention group (median time, 14 hours) and in 95.7% of patients in the delayed-intervention group (median time, 50 hours). At 6 months, the primary outcome occurred in 9.6% of patients in the early-intervention group, as compared with 11.3% in the delayed-intervention group (hazard ratio in the early-intervention group, 0.85; 95% confidence interval [CI], 0.68 to 1.06; P=0.15). There was a relative reduction of 28% in the secondary outcome of death, myocardial infarction, or refractory ischemia in the early-intervention group (9.5%), as compared with the delayed-intervention group (12.9%) (hazard ratio, 0.72; 95% CI, 0.58 to 0.89; P=0.003). Prespecified analyses showed that early intervention improved the primary outcome in the third of patients who were at highest risk (hazard ratio, 0.65; 95% CI, 0.48 to 0.89) but not in the two thirds at low-to-intermediate risk (hazard ratio, 1.12; 95% CI, 0.81 to 1.56; P=0.01 for heterogeneity). CONCLUSIONS: Early intervention did not differ greatly from delayed intervention in preventing the primary outcome, but it did reduce the rate of the composite secondary outcome of death, myocardial infarction, or refractory ischemia and was superior to delayed intervention in high-risk patients. (ClinicalTrials.gov number, NCT00552513.)","author":[{"dropping-particle":"","family":"Mehta","given":"Shamir R","non-dropping-particle":"","parse-names":false,"suffix":""},{"dropping-particle":"","family":"Granger","given":"Christopher B","non-dropping-particle":"","parse-names":false,"suffix":""},{"dropping-particle":"","family":"Boden","given":"William E","non-dropping-particle":"","parse-names":false,"suffix":""},{"dropping-particle":"","family":"Steg","given":"Philippe Gabriel","non-dropping-particle":"","parse-names":false,"suffix":""},{"dropping-particle":"","family":"Bassand","given":"Jean-Pierre","non-dropping-particle":"","parse-names":false,"suffix":""},{"dropping-particle":"","family":"Faxon","given":"David P","non-dropping-particle":"","parse-names":false,"suffix":""},{"dropping-particle":"","family":"Afzal","given":"Rizwan","non-dropping-particle":"","parse-names":false,"suffix":""},{"dropping-particle":"","family":"Chrolavicius","given":"Susan","non-dropping-particle":"","parse-names":false,"suffix":""},{"dropping-particle":"","family":"Jolly","given":"Sanjit S","non-dropping-particle":"","parse-names":false,"suffix":""},{"dropping-particle":"","family":"Widimsky","given":"Petr","non-dropping-particle":"","parse-names":false,"suffix":""},{"dropping-particle":"","family":"Avezum","given":"Alvaro","non-dropping-particle":"","parse-names":false,"suffix":""},{"dropping-particle":"","family":"Rupprecht","given":"Hans-Jurgen","non-dropping-particle":"","parse-names":false,"suffix":""},{"dropping-particle":"","family":"Zhu","given":"Jun","non-dropping-particle":"","parse-names":false,"suffix":""},{"dropping-particle":"","family":"Col","given":"Jacques","non-dropping-particle":"","parse-names":false,"suffix":""},{"dropping-particle":"","family":"Natarajan","given":"Madhu K","non-dropping-particle":"","parse-names":false,"suffix":""},{"dropping-particle":"","family":"Horsman","given":"Craig","non-dropping-particle":"","parse-names":false,"suffix":""},{"dropping-particle":"","family":"Fox","given":"Keith A A","non-dropping-particle":"","parse-names":false,"suffix":""},{"dropping-particle":"","family":"Yusuf","given":"Salim","non-dropping-particle":"","parse-names":false,"suffix":""}],"container-title":"The New England journal of medicine","id":"ITEM-2","issue":"21","issued":{"date-parts":[["2009","5"]]},"language":"eng","page":"2165-2175","publisher-place":"United States","title":"Early versus delayed invasive intervention in acute coronary syndromes.","type":"article-journal","volume":"360"},"uris":["http://www.mendeley.com/documents/?uuid=2fdfeb84-d6ba-4db5-8e0f-c0f5f7c85603"]}],"mendeley":{"formattedCitation":"&lt;sup&gt;32,33&lt;/sup&gt;","plainTextFormattedCitation":"32,33","previouslyFormattedCitation":"&lt;sup&gt;31,32&lt;/sup&gt;"},"properties":{"noteIndex":0},"schema":"https://github.com/citation-style-language/schema/raw/master/csl-citation.json"}</w:instrText>
      </w:r>
      <w:r w:rsidR="006C2117">
        <w:fldChar w:fldCharType="separate"/>
      </w:r>
      <w:r w:rsidR="00BF577E" w:rsidRPr="00BF577E">
        <w:rPr>
          <w:noProof/>
          <w:vertAlign w:val="superscript"/>
        </w:rPr>
        <w:t>32,33</w:t>
      </w:r>
      <w:r w:rsidR="006C2117">
        <w:fldChar w:fldCharType="end"/>
      </w:r>
      <w:r w:rsidR="00245999" w:rsidRPr="00407FC8">
        <w:t xml:space="preserve"> </w:t>
      </w:r>
      <w:r w:rsidR="00FD280E" w:rsidRPr="00384A50">
        <w:rPr>
          <w:color w:val="222122"/>
        </w:rPr>
        <w:t xml:space="preserve">In reality risk scores </w:t>
      </w:r>
      <w:r w:rsidR="00FD280E" w:rsidRPr="00E13428">
        <w:rPr>
          <w:color w:val="222122"/>
        </w:rPr>
        <w:t>such as GRACE are</w:t>
      </w:r>
      <w:r w:rsidR="00FD280E" w:rsidRPr="00384A50">
        <w:rPr>
          <w:color w:val="222122"/>
        </w:rPr>
        <w:t xml:space="preserve"> rarely used in the UK</w:t>
      </w:r>
      <w:r w:rsidR="00FD280E">
        <w:rPr>
          <w:color w:val="222122"/>
        </w:rPr>
        <w:t xml:space="preserve"> which may also complicate interpretation</w:t>
      </w:r>
      <w:r w:rsidR="00FD280E">
        <w:t>.</w:t>
      </w:r>
      <w:r w:rsidR="00FD280E">
        <w:fldChar w:fldCharType="begin" w:fldLock="1"/>
      </w:r>
      <w:r w:rsidR="00BF577E">
        <w:instrText>ADDIN CSL_CITATION {"citationItems":[{"id":"ITEM-1","itemData":{"DOI":"10.1016/j.ijcha.2015.06.009","ISSN":"2352-9067 (Print)","PMID":"26753174","abstract":"Undifferentiated chest pain is one of the most common reasons for emergency  department attendance and admission to hospitals. Non-ST elevation acute coronary syndrome (NSTE-ACS) is an important cause of chest pain, and accurate diagnosis and risk stratification in the emergency department must be a clinical priority. In the future, the incidence of NSTE-ACS will rise further as higher sensitivity troponin assays are implemented in clinical practice. In this article, we review contemporary approaches for the diagnosis and risk stratification of NSTE-ACS during emergency care. We consider the limitations of current practices and potential improvements. Clinical guidelines recommend an early invasive strategy in higher risk NSTE-ACS. The Global Registry of Acute Coronary Events (GRACE) risk score is a validated risk stratification tool which has incremental prognostic value for risk stratification compared with clinical assessment or troponin testing alone. In emergency medicine, there has been a limited adoption of the GRACE score in some countries (e.g. United Kingdom), in part related to a delay in obtaining timely blood biochemistry results. Age makes an exponential contribution to the GRACE score, and on an individual patient basis, the risk of younger patients with a flow-limiting culprit coronary artery lesion may be underestimated. The future incorporation of novel cardiac biomarkers into this diagnostic pathway may allow for earlier treatment stratification. The cost-effectiveness of the new diagnostic pathways based on high-sensitivity troponin and copeptin must also be established. Finally, diagnostic tests and risk scores may optimize patient care but they cannot replace patient-focused good clinical judgment.","author":[{"dropping-particle":"","family":"Corcoran","given":"David","non-dropping-particle":"","parse-names":false,"suffix":""},{"dropping-particle":"","family":"Grant","given":"Patrick","non-dropping-particle":"","parse-names":false,"suffix":""},{"dropping-particle":"","family":"Berry","given":"Colin","non-dropping-particle":"","parse-names":false,"suffix":""}],"container-title":"International journal of cardiology. Heart &amp; vasculature","id":"ITEM-1","issued":{"date-parts":[["2015","9"]]},"language":"eng","page":"131-137","title":"Risk stratification in non-ST elevation acute coronary syndromes: Risk scores,  biomarkers and clinical judgment.","type":"article-journal","volume":"8"},"uris":["http://www.mendeley.com/documents/?uuid=04967ab9-5fde-493f-918f-47a4fcce93a9"]}],"mendeley":{"formattedCitation":"&lt;sup&gt;34&lt;/sup&gt;","plainTextFormattedCitation":"34","previouslyFormattedCitation":"&lt;sup&gt;33&lt;/sup&gt;"},"properties":{"noteIndex":0},"schema":"https://github.com/citation-style-language/schema/raw/master/csl-citation.json"}</w:instrText>
      </w:r>
      <w:r w:rsidR="00FD280E">
        <w:fldChar w:fldCharType="separate"/>
      </w:r>
      <w:r w:rsidR="00BF577E" w:rsidRPr="00BF577E">
        <w:rPr>
          <w:noProof/>
          <w:vertAlign w:val="superscript"/>
        </w:rPr>
        <w:t>34</w:t>
      </w:r>
      <w:r w:rsidR="00FD280E">
        <w:fldChar w:fldCharType="end"/>
      </w:r>
      <w:r w:rsidR="00FD280E">
        <w:t xml:space="preserve"> </w:t>
      </w:r>
      <w:r w:rsidR="006A2C3E">
        <w:t xml:space="preserve">A recent meta-analysis suggests no clinical outcome advantage for very early </w:t>
      </w:r>
      <w:r w:rsidR="00A809D0">
        <w:t>angiography,</w:t>
      </w:r>
      <w:r w:rsidR="006A2C3E">
        <w:t xml:space="preserve"> but shorter hospital stay.</w:t>
      </w:r>
      <w:r w:rsidR="00D1510E">
        <w:fldChar w:fldCharType="begin" w:fldLock="1"/>
      </w:r>
      <w:r w:rsidR="00BF577E">
        <w:instrText>ADDIN CSL_CITATION {"citationItems":[{"id":"ITEM-1","itemData":{"DOI":"10.1093/eurheartj/ehac213","ISSN":"1522-9645 (Electronic)","PMID":"35514079","abstract":"AIMS: The optimal timing of an invasive strategy (IS) in non-ST-elevation acute  coronary syndrome (NSTE-ACS) is controversial. Recent randomized controlled trials (RCTs) and long-term follow-up data have yet to be included in a contemporary meta-analysis. METHODS AND RESULTS: A systematic review of RCTs that compared an early IS vs. delayed IS for NSTE-ACS was conducted by searching MEDLINE, Embase, and Cochrane Central Register of Controlled Trials. A meta-analysis was performed by pooling relative risks (RRs) using a random-effects model. The primary outcome was all-cause mortality. Secondary outcomes included myocardial infarction (MI), recurrent ischaemia, admission for heart failure (HF), repeat re-vascularization, major bleeding, stroke, and length of hospital stay. This study was registered with PROSPERO (CRD42021246131). Seventeen RCTs with outcome data from 10 209 patients were included. No significant differences in risk for all-cause mortality [RR: 0.90, 95% confidence interval (CI): 0.78-1.04], MI (RR: 0.86, 95% CI: 0.63-1.16), admission for HF (RR: 0.66, 95% CI: 0.43-1.03), repeat re-vascularization (RR: 1.04, 95% CI: 0.88-1.23), major bleeding (RR: 0.86, 95% CI: 0.68-1.09), or stroke (RR: 0.95, 95% CI: 0.59-1.54) were observed. Recurrent ischaemia (RR: 0.57, 95% CI: 0.40-0.81) and length of stay (median difference: -22 h, 95% CI: -36.7 to -7.5 h) were reduced with an early IS. CONCLUSION: In all-comers with NSTE-ACS, an early IS does not reduce all-cause mortality, MI, admission for HF, repeat re-vascularization, or increase major bleeding or stroke when compared with a delayed IS. Risk of recurrent ischaemia and length of stay are significantly reduced with an early IS.","author":[{"dropping-particle":"","family":"Kite","given":"Thomas A","non-dropping-particle":"","parse-names":false,"suffix":""},{"dropping-particle":"","family":"Kurmani","given":"Sameer A","non-dropping-particle":"","parse-names":false,"suffix":""},{"dropping-particle":"","family":"Bountziouka","given":"Vasiliki","non-dropping-particle":"","parse-names":false,"suffix":""},{"dropping-particle":"","family":"Cooper","given":"Nicola J","non-dropping-particle":"","parse-names":false,"suffix":""},{"dropping-particle":"","family":"Lock","given":"Selina T","non-dropping-particle":"","parse-names":false,"suffix":""},{"dropping-particle":"","family":"Gale","given":"Chris P","non-dropping-particle":"","parse-names":false,"suffix":""},{"dropping-particle":"","family":"Flather","given":"Marcus","non-dropping-particle":"","parse-names":false,"suffix":""},{"dropping-particle":"","family":"Curzen","given":"Nick","non-dropping-particle":"","parse-names":false,"suffix":""},{"dropping-particle":"","family":"Banning","given":"Adrian P","non-dropping-particle":"","parse-names":false,"suffix":""},{"dropping-particle":"","family":"McCann","given":"Gerry P","non-dropping-particle":"","parse-names":false,"suffix":""},{"dropping-particle":"","family":"Ladwiniec","given":"Andrew","non-dropping-particle":"","parse-names":false,"suffix":""}],"container-title":"European heart journal","id":"ITEM-1","issue":"33","issued":{"date-parts":[["2022","9"]]},"language":"eng","page":"3148-3161","title":"Timing of invasive strategy in non-ST-elevation acute coronary syndrome: a  meta-analysis of randomized controlled trials.","type":"article-journal","volume":"43"},"uris":["http://www.mendeley.com/documents/?uuid=5e9b1361-ffa3-4dc6-a23d-840da667f23b"]}],"mendeley":{"formattedCitation":"&lt;sup&gt;35&lt;/sup&gt;","plainTextFormattedCitation":"35","previouslyFormattedCitation":"&lt;sup&gt;34&lt;/sup&gt;"},"properties":{"noteIndex":0},"schema":"https://github.com/citation-style-language/schema/raw/master/csl-citation.json"}</w:instrText>
      </w:r>
      <w:r w:rsidR="00D1510E">
        <w:fldChar w:fldCharType="separate"/>
      </w:r>
      <w:r w:rsidR="00BF577E" w:rsidRPr="00BF577E">
        <w:rPr>
          <w:noProof/>
          <w:vertAlign w:val="superscript"/>
        </w:rPr>
        <w:t>35</w:t>
      </w:r>
      <w:r w:rsidR="00D1510E">
        <w:fldChar w:fldCharType="end"/>
      </w:r>
      <w:r w:rsidR="006A2C3E">
        <w:t xml:space="preserve"> </w:t>
      </w:r>
    </w:p>
    <w:p w14:paraId="270C25E8" w14:textId="77777777" w:rsidR="00A00E81" w:rsidRDefault="00A00E81" w:rsidP="00684A15"/>
    <w:p w14:paraId="1816FFD6" w14:textId="77777777" w:rsidR="00F50640" w:rsidRDefault="00F50640" w:rsidP="00684A15"/>
    <w:p w14:paraId="45618451" w14:textId="77777777" w:rsidR="00A00E81" w:rsidRPr="007C592B" w:rsidRDefault="00A00E81" w:rsidP="00684A15">
      <w:pPr>
        <w:rPr>
          <w:i/>
          <w:iCs/>
        </w:rPr>
      </w:pPr>
      <w:r w:rsidRPr="007C592B">
        <w:rPr>
          <w:i/>
          <w:iCs/>
        </w:rPr>
        <w:t xml:space="preserve">STEMI </w:t>
      </w:r>
    </w:p>
    <w:p w14:paraId="491DED85" w14:textId="77777777" w:rsidR="00A00E81" w:rsidRDefault="00A00E81" w:rsidP="00684A15"/>
    <w:p w14:paraId="257180BC" w14:textId="47BA0027" w:rsidR="00C56C9A" w:rsidRPr="002C0BFB" w:rsidRDefault="0050418A" w:rsidP="0063001E">
      <w:pPr>
        <w:spacing w:line="360" w:lineRule="auto"/>
      </w:pPr>
      <w:r>
        <w:t xml:space="preserve">There are now 7 randomised trials </w:t>
      </w:r>
      <w:r w:rsidR="00056F15">
        <w:t>reporting</w:t>
      </w:r>
      <w:r>
        <w:t xml:space="preserve"> clinical outcome benefit from </w:t>
      </w:r>
      <w:r w:rsidR="00056F15">
        <w:t xml:space="preserve">primary PCI to the infarct-related vessel and </w:t>
      </w:r>
      <w:r>
        <w:t xml:space="preserve">complete PCI revascularisation of bystander disease </w:t>
      </w:r>
      <w:r w:rsidR="00056F15">
        <w:t>in STEMI patients</w:t>
      </w:r>
      <w:r>
        <w:t xml:space="preserve">. </w:t>
      </w:r>
      <w:r w:rsidR="007372CB">
        <w:fldChar w:fldCharType="begin" w:fldLock="1"/>
      </w:r>
      <w:r w:rsidR="00BF577E">
        <w:instrText>ADDIN CSL_CITATION {"citationItems":[{"id":"ITEM-1","itemData":{"DOI":"10.1056/NEJMoa1305520","ISSN":"1533-4406 (Electronic)","PMID":"23991625","abstract":"BACKGROUND: In acute ST-segment elevation myocardial infarction (STEMI), the use  of percutaneous coronary intervention (PCI) to treat the artery responsible for the infarct (infarct, or culprit, artery) improves prognosis. The value of PCI in noninfarct coronary arteries with major stenoses (preventive PCI) is unknown. METHODS: From 2008 through 2013, at five centers in the United Kingdom, we enrolled 465 patients with acute STEMI (including 3 patients with left bundle-branch block) who were undergoing infarct-artery PCI and randomly assigned them to either preventive PCI (234 patients) or no preventive PCI (231 patients). Subsequent PCI for angina was recommended only for refractory angina with objective evidence of ischemia. The primary outcome was a composite of death from cardiac causes, nonfatal myocardial infarction, or refractory angina. An intention-to-treat analysis was used. RESULTS: By January 2013, the results were considered conclusive by the data and safety monitoring committee, which recommended that the trial be stopped early. During a mean follow-up of 23 months, the primary outcome occurred in 21 patients assigned to preventive PCI and in 53 patients assigned to no preventive PCI (infarct-artery-only PCI), which translated into rates of 9 events per 100 patients and 23 per 100, respectively (hazard ratio in the preventive-PCI group, 0.35; 95% confidence interval [CI], 0.21 to 0.58; P&lt;0.001). Hazard ratios for the three components of the primary outcome were 0.34 (95% CI, 0.11 to 1.08) for death from cardiac causes, 0.32 (95% CI, 0.13 to 0.75) for nonfatal myocardial infarction, and 0.35 (95% CI, 0.18 to 0.69) for refractory angina. CONCLUSIONS: In patients with STEMI and multivessel coronary artery disease undergoing infarct-artery PCI, preventive PCI in noninfarct coronary arteries with major stenoses significantly reduced the risk of adverse cardiovascular events, as compared with PCI limited to the infarct artery. (Funded by Barts and the London Charity; PRAMI Current Controlled Trials number, ISRCTN73028481.).","author":[{"dropping-particle":"","family":"Wald","given":"David S","non-dropping-particle":"","parse-names":false,"suffix":""},{"dropping-particle":"","family":"Morris","given":"Joan K","non-dropping-particle":"","parse-names":false,"suffix":""},{"dropping-particle":"","family":"Wald","given":"Nicholas J","non-dropping-particle":"","parse-names":false,"suffix":""},{"dropping-particle":"","family":"Chase","given":"Alexander J","non-dropping-particle":"","parse-names":false,"suffix":""},{"dropping-particle":"","family":"Edwards","given":"Richard J","non-dropping-particle":"","parse-names":false,"suffix":""},{"dropping-particle":"","family":"Hughes","given":"Liam O","non-dropping-particle":"","parse-names":false,"suffix":""},{"dropping-particle":"","family":"Berry","given":"Colin","non-dropping-particle":"","parse-names":false,"suffix":""},{"dropping-particle":"","family":"Oldroyd","given":"Keith G","non-dropping-particle":"","parse-names":false,"suffix":""}],"container-title":"The New England journal of medicine","id":"ITEM-1","issue":"12","issued":{"date-parts":[["2013","9"]]},"language":"eng","page":"1115-1123","publisher-place":"United States","title":"Randomized trial of preventive angioplasty in myocardial infarction.","type":"article-journal","volume":"369"},"uris":["http://www.mendeley.com/documents/?uuid=984f92d1-826c-45be-b05e-c55c2224eecf"]},{"id":"ITEM-2","itemData":{"DOI":"10.1056/NEJMoa1907775","ISSN":"1533-4406 (Electronic)","PMID":"31475795","abstract":"BACKGROUND: In patients with ST-segment elevation myocardial infarction (STEMI),  percutaneous coronary intervention (PCI) of the culprit lesion reduces the risk of cardiovascular death or myocardial infarction. Whether PCI of nonculprit lesions further reduces the risk of such events is unclear. METHODS: We randomly assigned patients with STEMI and multivessel coronary artery disease who had undergone successful culprit-lesion PCI to a strategy of either complete revascularization with PCI of angiographically significant nonculprit lesions or no further revascularization. Randomization was stratified according to the intended timing of nonculprit-lesion PCI (either during or after the index hospitalization). The first coprimary outcome was the composite of cardiovascular death or myocardial infarction; the second coprimary outcome was the composite of cardiovascular death, myocardial infarction, or ischemia-driven revascularization. RESULTS: At a median follow-up of 3 years, the first coprimary outcome had occurred in 158 of the 2016 patients (7.8%) in the complete-revascularization group as compared with 213 of the 2025 patients (10.5%) in the culprit-lesion-only PCI group (hazard ratio, 0.74; 95% confidence interval [CI], 0.60 to 0.91; P = 0.004). The second coprimary outcome had occurred in 179 patients (8.9%) in the complete-revascularization group as compared with 339 patients (16.7%) in the culprit-lesion-only PCI group (hazard ratio, 0.51; 95% CI, 0.43 to 0.61; P&lt;0.001). For both coprimary outcomes, the benefit of complete revascularization was consistently observed regardless of the intended timing of nonculprit-lesion PCI (P = 0.62 and P = 0.27 for interaction for the first and second coprimary outcomes, respectively). CONCLUSIONS: Among patients with STEMI and multivessel coronary artery disease, complete revascularization was superior to culprit-lesion-only PCI in reducing the risk of cardiovascular death or myocardial infarction, as well as the risk of cardiovascular death, myocardial infarction, or ischemia-driven revascularization. (Funded by the Canadian Institutes of Health Research and others; COMPLETE ClinicalTrials.gov number, NCT01740479.).","author":[{"dropping-particle":"","family":"Mehta","given":"Shamir R","non-dropping-particle":"","parse-names":false,"suffix":""},{"dropping-particle":"","family":"Wood","given":"David A","non-dropping-particle":"","parse-names":false,"suffix":""},{"dropping-particle":"","family":"Storey","given":"Robert F","non-dropping-particle":"","parse-names":false,"suffix":""},{"dropping-particle":"","family":"Mehran","given":"Roxana","non-dropping-particle":"","parse-names":false,"suffix":""},{"dropping-particle":"","family":"Bainey","given":"Kevin R","non-dropping-particle":"","parse-names":false,"suffix":""},{"dropping-particle":"","family":"Nguyen","given":"Helen","non-dropping-particle":"","parse-names":false,"suffix":""},{"dropping-particle":"","family":"Meeks","given":"Brandi","non-dropping-particle":"","parse-names":false,"suffix":""},{"dropping-particle":"","family":"Pasquale","given":"Giuseppe","non-dropping-particle":"Di","parse-names":false,"suffix":""},{"dropping-particle":"","family":"López-Sendón","given":"Jose","non-dropping-particle":"","parse-names":false,"suffix":""},{"dropping-particle":"","family":"Faxon","given":"David P","non-dropping-particle":"","parse-names":false,"suffix":""},{"dropping-particle":"","family":"Mauri","given":"Laura","non-dropping-particle":"","parse-names":false,"suffix":""},{"dropping-particle":"V","family":"Rao","given":"Sunil","non-dropping-particle":"","parse-names":false,"suffix":""},{"dropping-particle":"","family":"Feldman","given":"Laurent","non-dropping-particle":"","parse-names":false,"suffix":""},{"dropping-particle":"","family":"Steg","given":"P Gabriel","non-dropping-particle":"","parse-names":false,"suffix":""},{"dropping-particle":"","family":"Avezum","given":"Álvaro","non-dropping-particle":"","parse-names":false,"suffix":""},{"dropping-particle":"","family":"Sheth","given":"Tej","non-dropping-particle":"","parse-names":false,"suffix":""},{"dropping-particle":"","family":"Pinilla-Echeverri","given":"Natalia","non-dropping-particle":"","parse-names":false,"suffix":""},{"dropping-particle":"","family":"Moreno","given":"Raul","non-dropping-particle":"","parse-names":false,"suffix":""},{"dropping-particle":"","family":"Campo","given":"Gianluca","non-dropping-particle":"","parse-names":false,"suffix":""},{"dropping-particle":"","family":"Wrigley","given":"Benjamin","non-dropping-particle":"","parse-names":false,"suffix":""},{"dropping-particle":"","family":"Kedev","given":"Sasko","non-dropping-particle":"","parse-names":false,"suffix":""},{"dropping-particle":"","family":"Sutton","given":"Andrew","non-dropping-particle":"","parse-names":false,"suffix":""},{"dropping-particle":"","family":"Oliver","given":"Richard","non-dropping-particle":"","parse-names":false,"suffix":""},{"dropping-particle":"","family":"Rodés-Cabau","given":"Josep","non-dropping-particle":"","parse-names":false,"suffix":""},{"dropping-particle":"","family":"Stanković","given":"Goran","non-dropping-particle":"","parse-names":false,"suffix":""},{"dropping-particle":"","family":"Welsh","given":"Robert","non-dropping-particle":"","parse-names":false,"suffix":""},{"dropping-particle":"","family":"Lavi","given":"Shahar","non-dropping-particle":"","parse-names":false,"suffix":""},{"dropping-particle":"","family":"Cantor","given":"Warren J","non-dropping-particle":"","parse-names":false,"suffix":""},{"dropping-particle":"","family":"Wang","given":"Jia","non-dropping-particle":"","parse-names":false,"suffix":""},{"dropping-particle":"","family":"Nakamya","given":"Juliet","non-dropping-particle":"","parse-names":false,"suffix":""},{"dropping-particle":"","family":"Bangdiwala","given":"Shrikant I","non-dropping-particle":"","parse-names":false,"suffix":""},{"dropping-particle":"","family":"Cairns","given":"John A","non-dropping-particle":"","parse-names":false,"suffix":""}],"container-title":"The New England journal of medicine","id":"ITEM-2","issue":"15","issued":{"date-parts":[["2019","10"]]},"language":"eng","page":"1411-1421","publisher-place":"United States","title":"Complete Revascularization with Multivessel PCI for Myocardial Infarction.","type":"article-journal","volume":"381"},"uris":["http://www.mendeley.com/documents/?uuid=255bbc2f-af7a-4487-bddc-c0ed35014d30"]},{"id":"ITEM-3","itemData":{"DOI":"10.1016/j.jacc.2014.12.038","ISSN":"1558-3597 (Electronic)","PMID":"25766941","abstract":"BACKGROUND: The optimal management of patients found to have multivessel disease  while undergoing primary percutaneous coronary intervention (P-PCI) for ST-segment elevation myocardial infarction is uncertain. OBJECTIVES: CvLPRIT (Complete versus Lesion-only Primary PCI trial) is a U.K. open-label randomized study comparing complete revascularization at index admission with treatment of the infarct-related artery (IRA) only. METHODS: After they provided verbal assent and underwent coronary angiography, 296 patients in 7 U.K. centers were randomized through an interactive voice-response program to either in-hospital complete revascularization (n = 150) or IRA-only revascularization (n = 146). Complete revascularization was performed either at the time of P-PCI or before hospital discharge. Randomization was stratified by infarct location (anterior/nonanterior) and symptom onset (≤ 3 h or &gt;3 h). The primary endpoint was a composite of all-cause death, recurrent myocardial infarction (MI), heart failure, and ischemia-driven revascularization within 12 months. RESULTS: Patient groups were well matched for baseline clinical characteristics. The primary endpoint occurred in 10.0% of the complete revascularization group versus 21.2% in the IRA-only revascularization group (hazard ratio: 0.45; 95% confidence interval: 0.24 to 0.84; p = 0.009). A trend toward benefit was seen early after complete revascularization (p = 0.055 at 30 days). Although there was no significant reduction in death or MI, a nonsignificant reduction in all primary endpoint components was seen. There was no reduction in ischemic burden on myocardial perfusion scintigraphy or in the safety endpoints of major bleeding, contrast-induced nephropathy, or stroke between the groups. CONCLUSIONS: In patients presenting for P-PCI with multivessel disease, index admission complete revascularization significantly lowered the rate of the composite primary endpoint at 12 months compared with treating only the IRA. In such patients, inpatient total revascularization may be considered, but larger clinical trials are required to confirm this result and specifically address whether this strategy is associated with improved survival.","author":[{"dropping-particle":"","family":"Gershlick","given":"Anthony H","non-dropping-particle":"","parse-names":false,"suffix":""},{"dropping-particle":"","family":"Khan","given":"Jamal Nasir","non-dropping-particle":"","parse-names":false,"suffix":""},{"dropping-particle":"","family":"Kelly","given":"Damian J","non-dropping-particle":"","parse-names":false,"suffix":""},{"dropping-particle":"","family":"Greenwood","given":"John P","non-dropping-particle":"","parse-names":false,"suffix":""},{"dropping-particle":"","family":"Sasikaran","given":"Thiagarajah","non-dropping-particle":"","parse-names":false,"suffix":""},{"dropping-particle":"","family":"Curzen","given":"Nick","non-dropping-particle":"","parse-names":false,"suffix":""},{"dropping-particle":"","family":"Blackman","given":"Daniel J","non-dropping-particle":"","parse-names":false,"suffix":""},{"dropping-particle":"","family":"Dalby","given":"Miles","non-dropping-particle":"","parse-names":false,"suffix":""},{"dropping-particle":"","family":"Fairbrother","given":"Kathryn L","non-dropping-particle":"","parse-names":false,"suffix":""},{"dropping-particle":"","family":"Banya","given":"Winston","non-dropping-particle":"","parse-names":false,"suffix":""},{"dropping-particle":"","family":"Wang","given":"Duolao","non-dropping-particle":"","parse-names":false,"suffix":""},{"dropping-particle":"","family":"Flather","given":"Marcus","non-dropping-particle":"","parse-names":false,"suffix":""},{"dropping-particle":"","family":"Hetherington","given":"Simon L","non-dropping-particle":"","parse-names":false,"suffix":""},{"dropping-particle":"","family":"Kelion","given":"Andrew D","non-dropping-particle":"","parse-names":false,"suffix":""},{"dropping-particle":"","family":"Talwar","given":"Suneel","non-dropping-particle":"","parse-names":false,"suffix":""},{"dropping-particle":"","family":"Gunning","given":"Mark","non-dropping-particle":"","parse-names":false,"suffix":""},{"dropping-particle":"","family":"Hall","given":"Roger","non-dropping-particle":"","parse-names":false,"suffix":""},{"dropping-particle":"","family":"Swanton","given":"Howard","non-dropping-particle":"","parse-names":false,"suffix":""},{"dropping-particle":"","family":"McCann","given":"Gerry P","non-dropping-particle":"","parse-names":false,"suffix":""}],"container-title":"Journal of the American College of Cardiology","id":"ITEM-3","issue":"10","issued":{"date-parts":[["2015","3"]]},"language":"eng","page":"963-972","title":"Randomized trial of complete versus lesion-only revascularization in patients  undergoing primary percutaneous coronary intervention for STEMI and multivessel disease: the CvLPRIT trial.","type":"article-journal","volume":"65"},"uris":["http://www.mendeley.com/documents/?uuid=3f47965c-3849-4f4d-ae0a-fe9904e51b4c"]}],"mendeley":{"formattedCitation":"&lt;sup&gt;36–38&lt;/sup&gt;","plainTextFormattedCitation":"36–38","previouslyFormattedCitation":"&lt;sup&gt;35–37&lt;/sup&gt;"},"properties":{"noteIndex":0},"schema":"https://github.com/citation-style-language/schema/raw/master/csl-citation.json"}</w:instrText>
      </w:r>
      <w:r w:rsidR="007372CB">
        <w:fldChar w:fldCharType="separate"/>
      </w:r>
      <w:r w:rsidR="00BF577E" w:rsidRPr="00BF577E">
        <w:rPr>
          <w:noProof/>
          <w:vertAlign w:val="superscript"/>
        </w:rPr>
        <w:t>36–38</w:t>
      </w:r>
      <w:r w:rsidR="007372CB">
        <w:fldChar w:fldCharType="end"/>
      </w:r>
      <w:r w:rsidR="00154495">
        <w:t xml:space="preserve"> </w:t>
      </w:r>
      <w:r w:rsidR="00DC0AE3">
        <w:t>It is thought that this may</w:t>
      </w:r>
      <w:r w:rsidR="002C0BFB">
        <w:t xml:space="preserve"> </w:t>
      </w:r>
      <w:r w:rsidR="00DC0AE3">
        <w:t>be due</w:t>
      </w:r>
      <w:r w:rsidR="0019013C">
        <w:t xml:space="preserve"> to </w:t>
      </w:r>
      <w:r w:rsidR="00DC0AE3">
        <w:t xml:space="preserve"> enhanced plaque vulnerability</w:t>
      </w:r>
      <w:r w:rsidR="00154495">
        <w:t xml:space="preserve"> </w:t>
      </w:r>
      <w:r w:rsidR="002C12EC">
        <w:t>in non-culprit lesions</w:t>
      </w:r>
      <w:r>
        <w:t>, possibly as a consequence of pan-coronary inflammation</w:t>
      </w:r>
      <w:r w:rsidR="00154495">
        <w:t>.</w:t>
      </w:r>
      <w:r w:rsidR="002C12EC">
        <w:fldChar w:fldCharType="begin" w:fldLock="1"/>
      </w:r>
      <w:r w:rsidR="00BF577E">
        <w:instrText>ADDIN CSL_CITATION {"citationItems":[{"id":"ITEM-1","itemData":{"DOI":"10.1161/CIRCINTERVENTIONS.119.008768","ISSN":"1941-7632 (Electronic)","PMID":"32646305","abstract":"BACKGROUND: Complete revascularization with routine percutaneous coronary  intervention of nonculprit lesions after primary percutaneous coronary intervention improves outcomes in ST-segment-elevation myocardial infarction. Whether this benefit is associated with nonculprit lesion vulnerability is unknown. METHODS: In a prospective substudy of the COMPLETEs trial (Complete vs Culprit-Only Revascularization to Treat Multi-Vessel Disease After Early PCI for STEMI), we performed optical coherence tomography of at least 2 coronary arteries before nonculprit lesion percutaneous coronary intervention in 93 patients with ST-segment-elevation myocardial infarction and multivessel disease; and the ST-segment-elevation myocardial infarction culprit vessel if there was unstented segment amenable to imaging. Nonculprit lesions were categorized as obstructive (≥70% stenosis by visual angiographic assessment) or nonobstructive, and as thin-cap fibroatheroma (TCFA) or non-TCFA by optical coherence tomography criteria. TCFA was defined as a lesion with mean fibrous cap thickness &lt;65 μm overlying a lipid arc &gt;90°. RESULTS: On a patient level, at least one obstructive TCFA was observed in 44/93 (47%) of patients. On a lesion level, there were 58 TCFAs among 150 obstructive nonculprit lesions compared with 74 TCFAs among 275 nonculprit lesions (adjusted TCFA prevalence: 35.4% versus 23.2%, P=0.022). Compared with obstructive non-TCFAs, obstructive TCFAs had similar lesion length (23.1 versus 20.8 mm, P=0.16) but higher lipid quadrants (55.2 versus 19.2, P&lt;0.001), greater mean lipid arc (203.8° versus 84.5°, P&lt;0.001), and more macrophages (97.1% versus 54.4%, P&lt;0.001) and cholesterol crystals (85.8% versus 44.3%, P&lt;0.001). For nonobstructive lesions, TCFA lesions had similar lesion length (16.7 versus 14.6 mm, P=0.11), but more lipid quadrants (36.4 versus 13.5, P&lt;0.001), and greater mean lipid arc (191.8° versus 84.2°, P&lt;0.001) compared with non-TCFA. CONCLUSIONS: Among patients who underwent optical coherence tomography imaging in the COMPLETE trial, nearly 50% had at least one obstructive nonculprit lesion containing complex vulnerable plaque. Obstructive lesions more commonly harbored vulnerable plaque morphology than nonobstructive lesions. This may help explain the benefit of routine percutaneous coronary intervention of obstructive nonculprit lesions in patients with ST-segment-elevation myocardial infarction and multivessel disease. Registration: URL: https://www.c…","author":[{"dropping-particle":"","family":"Pinilla-Echeverri","given":"Natalia","non-dropping-particle":"","parse-names":false,"suffix":""},{"dropping-particle":"","family":"Mehta","given":"Shamir R","non-dropping-particle":"","parse-names":false,"suffix":""},{"dropping-particle":"","family":"Wang","given":"Jia","non-dropping-particle":"","parse-names":false,"suffix":""},{"dropping-particle":"","family":"Lavi","given":"Shahar","non-dropping-particle":"","parse-names":false,"suffix":""},{"dropping-particle":"","family":"Schampaert","given":"Erick","non-dropping-particle":"","parse-names":false,"suffix":""},{"dropping-particle":"","family":"Cantor","given":"Warren J","non-dropping-particle":"","parse-names":false,"suffix":""},{"dropping-particle":"","family":"Bainey","given":"Kevin R","non-dropping-particle":"","parse-names":false,"suffix":""},{"dropping-particle":"","family":"Welsh","given":"Robert C","non-dropping-particle":"","parse-names":false,"suffix":""},{"dropping-particle":"","family":"Kassam","given":"Saleem","non-dropping-particle":"","parse-names":false,"suffix":""},{"dropping-particle":"","family":"Mehran","given":"Roxana","non-dropping-particle":"","parse-names":false,"suffix":""},{"dropping-particle":"","family":"Storey","given":"Robert F","non-dropping-particle":"","parse-names":false,"suffix":""},{"dropping-particle":"","family":"Nguyen","given":"Helen","non-dropping-particle":"","parse-names":false,"suffix":""},{"dropping-particle":"","family":"Meeks","given":"Brandi","non-dropping-particle":"","parse-names":false,"suffix":""},{"dropping-particle":"","family":"Wood","given":"David A","non-dropping-particle":"","parse-names":false,"suffix":""},{"dropping-particle":"","family":"Cairns","given":"John A","non-dropping-particle":"","parse-names":false,"suffix":""},{"dropping-particle":"","family":"Sheth","given":"Tej","non-dropping-particle":"","parse-names":false,"suffix":""}],"container-title":"Circulation. Cardiovascular interventions","id":"ITEM-1","issue":"7","issued":{"date-parts":[["2020","7"]]},"language":"eng","page":"e008768","publisher-place":"United States","title":"Nonculprit Lesion Plaque Morphology in Patients With ST-Segment-Elevation  Myocardial Infarction: Results From the COMPLETE Trial Optical Coherence Tomography Substudys.","type":"article-journal","volume":"13"},"uris":["http://www.mendeley.com/documents/?uuid=67b21330-aa04-44ba-a5a4-9caf071812d1"]}],"mendeley":{"formattedCitation":"&lt;sup&gt;39&lt;/sup&gt;","plainTextFormattedCitation":"39","previouslyFormattedCitation":"&lt;sup&gt;38&lt;/sup&gt;"},"properties":{"noteIndex":0},"schema":"https://github.com/citation-style-language/schema/raw/master/csl-citation.json"}</w:instrText>
      </w:r>
      <w:r w:rsidR="002C12EC">
        <w:fldChar w:fldCharType="separate"/>
      </w:r>
      <w:r w:rsidR="00BF577E" w:rsidRPr="00BF577E">
        <w:rPr>
          <w:noProof/>
          <w:vertAlign w:val="superscript"/>
        </w:rPr>
        <w:t>39</w:t>
      </w:r>
      <w:r w:rsidR="002C12EC">
        <w:fldChar w:fldCharType="end"/>
      </w:r>
      <w:r w:rsidR="00154495">
        <w:t xml:space="preserve"> </w:t>
      </w:r>
      <w:r>
        <w:t>However, there are a number of issues that the trial</w:t>
      </w:r>
      <w:r w:rsidR="009B7705">
        <w:t>s</w:t>
      </w:r>
      <w:r>
        <w:t xml:space="preserve"> do not resolve. </w:t>
      </w:r>
      <w:r w:rsidR="00056F15" w:rsidRPr="00F9235F">
        <w:t>Optimal timing of non-culprit artery treatment is uncertain since studies have involved either PCI during the index procedure, PCI during the index admission, or PCI during a later, planned hospital admission.</w:t>
      </w:r>
      <w:r w:rsidR="00B66E23">
        <w:fldChar w:fldCharType="begin" w:fldLock="1"/>
      </w:r>
      <w:r w:rsidR="00BF577E">
        <w:instrText>ADDIN CSL_CITATION {"citationItems":[{"id":"ITEM-1","itemData":{"DOI":"10.1056/NEJMoa1305520","ISSN":"1533-4406 (Electronic)","PMID":"23991625","abstract":"BACKGROUND: In acute ST-segment elevation myocardial infarction (STEMI), the use  of percutaneous coronary intervention (PCI) to treat the artery responsible for the infarct (infarct, or culprit, artery) improves prognosis. The value of PCI in noninfarct coronary arteries with major stenoses (preventive PCI) is unknown. METHODS: From 2008 through 2013, at five centers in the United Kingdom, we enrolled 465 patients with acute STEMI (including 3 patients with left bundle-branch block) who were undergoing infarct-artery PCI and randomly assigned them to either preventive PCI (234 patients) or no preventive PCI (231 patients). Subsequent PCI for angina was recommended only for refractory angina with objective evidence of ischemia. The primary outcome was a composite of death from cardiac causes, nonfatal myocardial infarction, or refractory angina. An intention-to-treat analysis was used. RESULTS: By January 2013, the results were considered conclusive by the data and safety monitoring committee, which recommended that the trial be stopped early. During a mean follow-up of 23 months, the primary outcome occurred in 21 patients assigned to preventive PCI and in 53 patients assigned to no preventive PCI (infarct-artery-only PCI), which translated into rates of 9 events per 100 patients and 23 per 100, respectively (hazard ratio in the preventive-PCI group, 0.35; 95% confidence interval [CI], 0.21 to 0.58; P&lt;0.001). Hazard ratios for the three components of the primary outcome were 0.34 (95% CI, 0.11 to 1.08) for death from cardiac causes, 0.32 (95% CI, 0.13 to 0.75) for nonfatal myocardial infarction, and 0.35 (95% CI, 0.18 to 0.69) for refractory angina. CONCLUSIONS: In patients with STEMI and multivessel coronary artery disease undergoing infarct-artery PCI, preventive PCI in noninfarct coronary arteries with major stenoses significantly reduced the risk of adverse cardiovascular events, as compared with PCI limited to the infarct artery. (Funded by Barts and the London Charity; PRAMI Current Controlled Trials number, ISRCTN73028481.).","author":[{"dropping-particle":"","family":"Wald","given":"David S","non-dropping-particle":"","parse-names":false,"suffix":""},{"dropping-particle":"","family":"Morris","given":"Joan K","non-dropping-particle":"","parse-names":false,"suffix":""},{"dropping-particle":"","family":"Wald","given":"Nicholas J","non-dropping-particle":"","parse-names":false,"suffix":""},{"dropping-particle":"","family":"Chase","given":"Alexander J","non-dropping-particle":"","parse-names":false,"suffix":""},{"dropping-particle":"","family":"Edwards","given":"Richard J","non-dropping-particle":"","parse-names":false,"suffix":""},{"dropping-particle":"","family":"Hughes","given":"Liam O","non-dropping-particle":"","parse-names":false,"suffix":""},{"dropping-particle":"","family":"Berry","given":"Colin","non-dropping-particle":"","parse-names":false,"suffix":""},{"dropping-particle":"","family":"Oldroyd","given":"Keith G","non-dropping-particle":"","parse-names":false,"suffix":""}],"container-title":"The New England journal of medicine","id":"ITEM-1","issue":"12","issued":{"date-parts":[["2013","9"]]},"language":"eng","page":"1115-1123","publisher-place":"United States","title":"Randomized trial of preventive angioplasty in myocardial infarction.","type":"article-journal","volume":"369"},"uris":["http://www.mendeley.com/documents/?uuid=984f92d1-826c-45be-b05e-c55c2224eecf"]},{"id":"ITEM-2","itemData":{"DOI":"10.1016/j.jacc.2014.12.038","ISSN":"1558-3597 (Electronic)","PMID":"25766941","abstract":"BACKGROUND: The optimal management of patients found to have multivessel disease  while undergoing primary percutaneous coronary intervention (P-PCI) for ST-segment elevation myocardial infarction is uncertain. OBJECTIVES: CvLPRIT (Complete versus Lesion-only Primary PCI trial) is a U.K. open-label randomized study comparing complete revascularization at index admission with treatment of the infarct-related artery (IRA) only. METHODS: After they provided verbal assent and underwent coronary angiography, 296 patients in 7 U.K. centers were randomized through an interactive voice-response program to either in-hospital complete revascularization (n = 150) or IRA-only revascularization (n = 146). Complete revascularization was performed either at the time of P-PCI or before hospital discharge. Randomization was stratified by infarct location (anterior/nonanterior) and symptom onset (≤ 3 h or &gt;3 h). The primary endpoint was a composite of all-cause death, recurrent myocardial infarction (MI), heart failure, and ischemia-driven revascularization within 12 months. RESULTS: Patient groups were well matched for baseline clinical characteristics. The primary endpoint occurred in 10.0% of the complete revascularization group versus 21.2% in the IRA-only revascularization group (hazard ratio: 0.45; 95% confidence interval: 0.24 to 0.84; p = 0.009). A trend toward benefit was seen early after complete revascularization (p = 0.055 at 30 days). Although there was no significant reduction in death or MI, a nonsignificant reduction in all primary endpoint components was seen. There was no reduction in ischemic burden on myocardial perfusion scintigraphy or in the safety endpoints of major bleeding, contrast-induced nephropathy, or stroke between the groups. CONCLUSIONS: In patients presenting for P-PCI with multivessel disease, index admission complete revascularization significantly lowered the rate of the composite primary endpoint at 12 months compared with treating only the IRA. In such patients, inpatient total revascularization may be considered, but larger clinical trials are required to confirm this result and specifically address whether this strategy is associated with improved survival.","author":[{"dropping-particle":"","family":"Gershlick","given":"Anthony H","non-dropping-particle":"","parse-names":false,"suffix":""},{"dropping-particle":"","family":"Khan","given":"Jamal Nasir","non-dropping-particle":"","parse-names":false,"suffix":""},{"dropping-particle":"","family":"Kelly","given":"Damian J","non-dropping-particle":"","parse-names":false,"suffix":""},{"dropping-particle":"","family":"Greenwood","given":"John P","non-dropping-particle":"","parse-names":false,"suffix":""},{"dropping-particle":"","family":"Sasikaran","given":"Thiagarajah","non-dropping-particle":"","parse-names":false,"suffix":""},{"dropping-particle":"","family":"Curzen","given":"Nick","non-dropping-particle":"","parse-names":false,"suffix":""},{"dropping-particle":"","family":"Blackman","given":"Daniel J","non-dropping-particle":"","parse-names":false,"suffix":""},{"dropping-particle":"","family":"Dalby","given":"Miles","non-dropping-particle":"","parse-names":false,"suffix":""},{"dropping-particle":"","family":"Fairbrother","given":"Kathryn L","non-dropping-particle":"","parse-names":false,"suffix":""},{"dropping-particle":"","family":"Banya","given":"Winston","non-dropping-particle":"","parse-names":false,"suffix":""},{"dropping-particle":"","family":"Wang","given":"Duolao","non-dropping-particle":"","parse-names":false,"suffix":""},{"dropping-particle":"","family":"Flather","given":"Marcus","non-dropping-particle":"","parse-names":false,"suffix":""},{"dropping-particle":"","family":"Hetherington","given":"Simon L","non-dropping-particle":"","parse-names":false,"suffix":""},{"dropping-particle":"","family":"Kelion","given":"Andrew D","non-dropping-particle":"","parse-names":false,"suffix":""},{"dropping-particle":"","family":"Talwar","given":"Suneel","non-dropping-particle":"","parse-names":false,"suffix":""},{"dropping-particle":"","family":"Gunning","given":"Mark","non-dropping-particle":"","parse-names":false,"suffix":""},{"dropping-particle":"","family":"Hall","given":"Roger","non-dropping-particle":"","parse-names":false,"suffix":""},{"dropping-particle":"","family":"Swanton","given":"Howard","non-dropping-particle":"","parse-names":false,"suffix":""},{"dropping-particle":"","family":"McCann","given":"Gerry P","non-dropping-particle":"","parse-names":false,"suffix":""}],"container-title":"Journal of the American College of Cardiology","id":"ITEM-2","issue":"10","issued":{"date-parts":[["2015","3"]]},"language":"eng","page":"963-972","title":"Randomized trial of complete versus lesion-only revascularization in patients  undergoing primary percutaneous coronary intervention for STEMI and multivessel disease: the CvLPRIT trial.","type":"article-journal","volume":"65"},"uris":["http://www.mendeley.com/documents/?uuid=3f47965c-3849-4f4d-ae0a-fe9904e51b4c"]},{"id":"ITEM-3","itemData":{"DOI":"10.1056/NEJMoa1907775","ISSN":"1533-4406 (Electronic)","PMID":"31475795","abstract":"BACKGROUND: In patients with ST-segment elevation myocardial infarction (STEMI),  percutaneous coronary intervention (PCI) of the culprit lesion reduces the risk of cardiovascular death or myocardial infarction. Whether PCI of nonculprit lesions further reduces the risk of such events is unclear. METHODS: We randomly assigned patients with STEMI and multivessel coronary artery disease who had undergone successful culprit-lesion PCI to a strategy of either complete revascularization with PCI of angiographically significant nonculprit lesions or no further revascularization. Randomization was stratified according to the intended timing of nonculprit-lesion PCI (either during or after the index hospitalization). The first coprimary outcome was the composite of cardiovascular death or myocardial infarction; the second coprimary outcome was the composite of cardiovascular death, myocardial infarction, or ischemia-driven revascularization. RESULTS: At a median follow-up of 3 years, the first coprimary outcome had occurred in 158 of the 2016 patients (7.8%) in the complete-revascularization group as compared with 213 of the 2025 patients (10.5%) in the culprit-lesion-only PCI group (hazard ratio, 0.74; 95% confidence interval [CI], 0.60 to 0.91; P = 0.004). The second coprimary outcome had occurred in 179 patients (8.9%) in the complete-revascularization group as compared with 339 patients (16.7%) in the culprit-lesion-only PCI group (hazard ratio, 0.51; 95% CI, 0.43 to 0.61; P&lt;0.001). For both coprimary outcomes, the benefit of complete revascularization was consistently observed regardless of the intended timing of nonculprit-lesion PCI (P = 0.62 and P = 0.27 for interaction for the first and second coprimary outcomes, respectively). CONCLUSIONS: Among patients with STEMI and multivessel coronary artery disease, complete revascularization was superior to culprit-lesion-only PCI in reducing the risk of cardiovascular death or myocardial infarction, as well as the risk of cardiovascular death, myocardial infarction, or ischemia-driven revascularization. (Funded by the Canadian Institutes of Health Research and others; COMPLETE ClinicalTrials.gov number, NCT01740479.).","author":[{"dropping-particle":"","family":"Mehta","given":"Shamir R","non-dropping-particle":"","parse-names":false,"suffix":""},{"dropping-particle":"","family":"Wood","given":"David A","non-dropping-particle":"","parse-names":false,"suffix":""},{"dropping-particle":"","family":"Storey","given":"Robert F","non-dropping-particle":"","parse-names":false,"suffix":""},{"dropping-particle":"","family":"Mehran","given":"Roxana","non-dropping-particle":"","parse-names":false,"suffix":""},{"dropping-particle":"","family":"Bainey","given":"Kevin R","non-dropping-particle":"","parse-names":false,"suffix":""},{"dropping-particle":"","family":"Nguyen","given":"Helen","non-dropping-particle":"","parse-names":false,"suffix":""},{"dropping-particle":"","family":"Meeks","given":"Brandi","non-dropping-particle":"","parse-names":false,"suffix":""},{"dropping-particle":"","family":"Pasquale","given":"Giuseppe","non-dropping-particle":"Di","parse-names":false,"suffix":""},{"dropping-particle":"","family":"López-Sendón","given":"Jose","non-dropping-particle":"","parse-names":false,"suffix":""},{"dropping-particle":"","family":"Faxon","given":"David P","non-dropping-particle":"","parse-names":false,"suffix":""},{"dropping-particle":"","family":"Mauri","given":"Laura","non-dropping-particle":"","parse-names":false,"suffix":""},{"dropping-particle":"V","family":"Rao","given":"Sunil","non-dropping-particle":"","parse-names":false,"suffix":""},{"dropping-particle":"","family":"Feldman","given":"Laurent","non-dropping-particle":"","parse-names":false,"suffix":""},{"dropping-particle":"","family":"Steg","given":"P Gabriel","non-dropping-particle":"","parse-names":false,"suffix":""},{"dropping-particle":"","family":"Avezum","given":"Álvaro","non-dropping-particle":"","parse-names":false,"suffix":""},{"dropping-particle":"","family":"Sheth","given":"Tej","non-dropping-particle":"","parse-names":false,"suffix":""},{"dropping-particle":"","family":"Pinilla-Echeverri","given":"Natalia","non-dropping-particle":"","parse-names":false,"suffix":""},{"dropping-particle":"","family":"Moreno","given":"Raul","non-dropping-particle":"","parse-names":false,"suffix":""},{"dropping-particle":"","family":"Campo","given":"Gianluca","non-dropping-particle":"","parse-names":false,"suffix":""},{"dropping-particle":"","family":"Wrigley","given":"Benjamin","non-dropping-particle":"","parse-names":false,"suffix":""},{"dropping-particle":"","family":"Kedev","given":"Sasko","non-dropping-particle":"","parse-names":false,"suffix":""},{"dropping-particle":"","family":"Sutton","given":"Andrew","non-dropping-particle":"","parse-names":false,"suffix":""},{"dropping-particle":"","family":"Oliver","given":"Richard","non-dropping-particle":"","parse-names":false,"suffix":""},{"dropping-particle":"","family":"Rodés-Cabau","given":"Josep","non-dropping-particle":"","parse-names":false,"suffix":""},{"dropping-particle":"","family":"Stanković","given":"Goran","non-dropping-particle":"","parse-names":false,"suffix":""},{"dropping-particle":"","family":"Welsh","given":"Robert","non-dropping-particle":"","parse-names":false,"suffix":""},{"dropping-particle":"","family":"Lavi","given":"Shahar","non-dropping-particle":"","parse-names":false,"suffix":""},{"dropping-particle":"","family":"Cantor","given":"Warren J","non-dropping-particle":"","parse-names":false,"suffix":""},{"dropping-particle":"","family":"Wang","given":"Jia","non-dropping-particle":"","parse-names":false,"suffix":""},{"dropping-particle":"","family":"Nakamya","given":"Juliet","non-dropping-particle":"","parse-names":false,"suffix":""},{"dropping-particle":"","family":"Bangdiwala","given":"Shrikant I","non-dropping-particle":"","parse-names":false,"suffix":""},{"dropping-particle":"","family":"Cairns","given":"John A","non-dropping-particle":"","parse-names":false,"suffix":""}],"container-title":"The New England journal of medicine","id":"ITEM-3","issue":"15","issued":{"date-parts":[["2019","10"]]},"language":"eng","page":"1411-1421","publisher-place":"United States","title":"Complete Revascularization with Multivessel PCI for Myocardial Infarction.","type":"article-journal","volume":"381"},"uris":["http://www.mendeley.com/documents/?uuid=255bbc2f-af7a-4487-bddc-c0ed35014d30"]}],"mendeley":{"formattedCitation":"&lt;sup&gt;36–38&lt;/sup&gt;","plainTextFormattedCitation":"36–38","previouslyFormattedCitation":"&lt;sup&gt;35–37&lt;/sup&gt;"},"properties":{"noteIndex":0},"schema":"https://github.com/citation-style-language/schema/raw/master/csl-citation.json"}</w:instrText>
      </w:r>
      <w:r w:rsidR="00B66E23">
        <w:fldChar w:fldCharType="separate"/>
      </w:r>
      <w:r w:rsidR="00BF577E" w:rsidRPr="00BF577E">
        <w:rPr>
          <w:noProof/>
          <w:vertAlign w:val="superscript"/>
        </w:rPr>
        <w:t>36–38</w:t>
      </w:r>
      <w:r w:rsidR="00B66E23">
        <w:fldChar w:fldCharType="end"/>
      </w:r>
      <w:r w:rsidR="00247083">
        <w:t xml:space="preserve"> </w:t>
      </w:r>
      <w:r w:rsidR="00067609">
        <w:t xml:space="preserve">There are other uncertainties in relation to the strategy of universal complete </w:t>
      </w:r>
      <w:r w:rsidR="009B7705">
        <w:t>revascularisation</w:t>
      </w:r>
      <w:r w:rsidR="00067609">
        <w:t xml:space="preserve"> in real world practice, </w:t>
      </w:r>
      <w:r w:rsidR="00C8133B">
        <w:t xml:space="preserve">including </w:t>
      </w:r>
      <w:r w:rsidR="00F36FB3">
        <w:t xml:space="preserve">lack of mechanistic insight of benefit and variabilities in </w:t>
      </w:r>
      <w:r w:rsidR="00B3288C">
        <w:t>endpoint improvement (</w:t>
      </w:r>
      <w:r w:rsidR="00B3288C" w:rsidRPr="00F9235F">
        <w:t>reduction in MI versus revascularization)</w:t>
      </w:r>
      <w:r w:rsidR="00AB66B4">
        <w:fldChar w:fldCharType="begin" w:fldLock="1"/>
      </w:r>
      <w:r w:rsidR="00BF577E">
        <w:instrText>ADDIN CSL_CITATION {"citationItems":[{"id":"ITEM-1","itemData":{"DOI":"10.1016/j.carrev.2021.09.001","ISSN":"1878-0938 (Electronic)","PMID":"34531150","abstract":"Approximately 50% of patients presenting with an acute ST-segment elevation  myocardial infarction (STEMI) have multivessel coronary artery disease (CAD). A number of randomized studies (Table 1) have all shown that complete revascularization (CR), either at the time of primary percutaneous coronary revascularization (PPCI) or within 45 days of the index admission, is safe and reduces the risk of repeat coronary revascularization and myocardial infarction (MI), particularly in the non-infarct related artery (NIRA). Despite consistently showing clinical benefit for CR, the results from the trials show variations in what drives this effect. Specifically, no study to date has provided a mechanistic insight as to how complete revascularization of chronic bystander disease may lead to the observed clinical benefit. Indeed, the randomized studies, through the variable nature of their results (reduction in MI versus revascularization etc.), have suggested the possibility that there are differing mechanisms for the observed benefit. In this review, we summarize the evidence base, highlight the limitations, and make the case that we need to understand the mechanism(s) underpinning the advantage of revascularization of NIRA in order to establish which patients are most likely to benefit. Without this insight, the current \"one size fits all\" approach may lead us in the wrong direction.","author":[{"dropping-particle":"","family":"Mahmoudi","given":"Michael","non-dropping-particle":"","parse-names":false,"suffix":""},{"dropping-particle":"","family":"Curzen","given":"Nick","non-dropping-particle":"","parse-names":false,"suffix":""}],"container-title":"Cardiovascular revascularization medicine : including molecular interventions","id":"ITEM-1","issued":{"date-parts":[["2022","6"]]},"language":"eng","page":"114-116","publisher-place":"United States","title":"Treatment of Non-Culprit Lesions in STEMI: An Incomplete Journey.","type":"article-journal","volume":"39"},"uris":["http://www.mendeley.com/documents/?uuid=636c2120-1991-4981-9d07-29ebd6c368fc"]}],"mendeley":{"formattedCitation":"&lt;sup&gt;40&lt;/sup&gt;","plainTextFormattedCitation":"40","previouslyFormattedCitation":"&lt;sup&gt;39&lt;/sup&gt;"},"properties":{"noteIndex":0},"schema":"https://github.com/citation-style-language/schema/raw/master/csl-citation.json"}</w:instrText>
      </w:r>
      <w:r w:rsidR="00AB66B4">
        <w:fldChar w:fldCharType="separate"/>
      </w:r>
      <w:r w:rsidR="00BF577E" w:rsidRPr="00BF577E">
        <w:rPr>
          <w:noProof/>
          <w:vertAlign w:val="superscript"/>
        </w:rPr>
        <w:t>40</w:t>
      </w:r>
      <w:r w:rsidR="00AB66B4">
        <w:fldChar w:fldCharType="end"/>
      </w:r>
      <w:r w:rsidR="00AB66B4">
        <w:t>.</w:t>
      </w:r>
      <w:r w:rsidR="00F34916">
        <w:t xml:space="preserve"> </w:t>
      </w:r>
      <w:r w:rsidR="0063001E">
        <w:t>For</w:t>
      </w:r>
      <w:r w:rsidR="002C0BFB">
        <w:t xml:space="preserve"> STEMI</w:t>
      </w:r>
      <w:r w:rsidR="0063001E">
        <w:t xml:space="preserve"> patients with cardiogenic shock</w:t>
      </w:r>
      <w:r w:rsidR="00B818FB">
        <w:t xml:space="preserve">, </w:t>
      </w:r>
      <w:r w:rsidR="0063001E" w:rsidRPr="009717C5">
        <w:t xml:space="preserve">based on the </w:t>
      </w:r>
      <w:r w:rsidR="00B818FB">
        <w:t xml:space="preserve">results of the </w:t>
      </w:r>
      <w:r w:rsidR="00C56C9A" w:rsidRPr="009717C5">
        <w:t xml:space="preserve">CULPRIT-SHOCK trial, multivessel PCI during the index </w:t>
      </w:r>
      <w:r w:rsidR="00DC0AE3">
        <w:t>procedure</w:t>
      </w:r>
      <w:r w:rsidR="0063001E" w:rsidRPr="009717C5">
        <w:t xml:space="preserve"> is not recommended</w:t>
      </w:r>
      <w:r w:rsidR="00C56C9A" w:rsidRPr="00B818FB">
        <w:t>.</w:t>
      </w:r>
      <w:r w:rsidR="00B66E23">
        <w:fldChar w:fldCharType="begin" w:fldLock="1"/>
      </w:r>
      <w:r w:rsidR="00BF577E">
        <w:instrText>ADDIN CSL_CITATION {"citationItems":[{"id":"ITEM-1","itemData":{"DOI":"10.1056/NEJMoa1808788","ISSN":"1533-4406 (Electronic)","PMID":"30145971","abstract":"BACKGROUND: Among patients with acute myocardial infarction, cardiogenic shock,  and multivessel coronary artery disease, the risk of a composite of death from any cause or severe renal failure leading to renal-replacement therapy at 30 days was found to be lower with percutaneous coronary intervention (PCI) of the culprit lesion only than with immediate multivessel PCI. We evaluated clinical outcomes at 1 year. METHODS: We randomly assigned 706 patients to either culprit-lesion-only PCI or immediate multivessel PCI. The results for the primary end point of death or renal-replacement therapy at 30 days have been reported previously. Prespecified secondary end points at 1 year included death from any cause, recurrent myocardial infarction, repeat revascularization, rehospitalization for congestive heart failure, the composite of death or recurrent infarction, and the composite of death, recurrent infarction, or rehospitalization for heart failure. RESULTS: As reported previously, at 30 days, the primary end point had occurred in 45.9% of the patients in the culprit-lesion-only PCI group and in 55.4% in the multivessel PCI group (P=0.01). At 1 year, death had occurred in 172 of 344 patients (50.0%) in the culprit-lesion-only PCI group and in 194 of 341 patients (56.9%) in the multivessel PCI group (relative risk, 0.88; 95% confidence interval [CI], 0.76 to 1.01). The rate of recurrent infarction was 1.7% with culprit-lesion-only PCI and 2.1% with multivessel PCI (relative risk, 0.85; 95% CI, 0.29 to 2.50), and the rate of a composite of death or recurrent infarction was 50.9% and 58.4%, respectively (relative risk, 0.87; 95% CI, 0.76 to 1.00). Repeat revascularization occurred more frequently with culprit-lesion-only PCI than with multivessel PCI (in 32.3% of the patients vs. 9.4%; relative risk, 3.44; 95% CI, 2.39 to 4.95), as did rehospitalization for heart failure (5.2% vs. 1.2%; relative risk, 4.46; 95% CI, 1.53 to 13.04). CONCLUSIONS: Among patients with acute myocardial infarction and cardiogenic shock, the risk of death or renal-replacement therapy at 30 days was lower with culprit-lesion-only PCI than with immediate multivessel PCI, and mortality did not differ significantly between the two groups at 1 year of follow-up. (Funded by the European Union Seventh Framework Program and others; CULPRIT-SHOCK ClinicalTrials.gov number, NCT01927549 .).","author":[{"dropping-particle":"","family":"Thiele","given":"Holger","non-dropping-particle":"","parse-names":false,"suffix":""},{"dropping-particle":"","family":"Akin","given":"Ibrahim","non-dropping-particle":"","parse-names":false,"suffix":""},{"dropping-particle":"","family":"Sandri","given":"Marcus","non-dropping-particle":"","parse-names":false,"suffix":""},{"dropping-particle":"","family":"Waha-Thiele","given":"Suzanne","non-dropping-particle":"de","parse-names":false,"suffix":""},{"dropping-particle":"","family":"Meyer-Saraei","given":"Roza","non-dropping-particle":"","parse-names":false,"suffix":""},{"dropping-particle":"","family":"Fuernau","given":"Georg","non-dropping-particle":"","parse-names":false,"suffix":""},{"dropping-particle":"","family":"Eitel","given":"Ingo","non-dropping-particle":"","parse-names":false,"suffix":""},{"dropping-particle":"","family":"Nordbeck","given":"Peter","non-dropping-particle":"","parse-names":false,"suffix":""},{"dropping-particle":"","family":"Geisler","given":"Tobias","non-dropping-particle":"","parse-names":false,"suffix":""},{"dropping-particle":"","family":"Landmesser","given":"Ulf","non-dropping-particle":"","parse-names":false,"suffix":""},{"dropping-particle":"","family":"Skurk","given":"Carsten","non-dropping-particle":"","parse-names":false,"suffix":""},{"dropping-particle":"","family":"Fach","given":"Andreas","non-dropping-particle":"","parse-names":false,"suffix":""},{"dropping-particle":"","family":"Jobs","given":"Alexander","non-dropping-particle":"","parse-names":false,"suffix":""},{"dropping-particle":"","family":"Lapp","given":"Harald","non-dropping-particle":"","parse-names":false,"suffix":""},{"dropping-particle":"","family":"Piek","given":"Jan J","non-dropping-particle":"","parse-names":false,"suffix":""},{"dropping-particle":"","family":"Noc","given":"Marko","non-dropping-particle":"","parse-names":false,"suffix":""},{"dropping-particle":"","family":"Goslar","given":"Tomaž","non-dropping-particle":"","parse-names":false,"suffix":""},{"dropping-particle":"","family":"Felix","given":"Stephan B","non-dropping-particle":"","parse-names":false,"suffix":""},{"dropping-particle":"","family":"Maier","given":"Lars S","non-dropping-particle":"","parse-names":false,"suffix":""},{"dropping-particle":"","family":"Stepinska","given":"Janina","non-dropping-particle":"","parse-names":false,"suffix":""},{"dropping-particle":"","family":"Oldroyd","given":"Keith","non-dropping-particle":"","parse-names":false,"suffix":""},{"dropping-particle":"","family":"Serpytis","given":"Pranas","non-dropping-particle":"","parse-names":false,"suffix":""},{"dropping-particle":"","family":"Montalescot","given":"Gilles","non-dropping-particle":"","parse-names":false,"suffix":""},{"dropping-particle":"","family":"Barthelemy","given":"Olivier","non-dropping-particle":"","parse-names":false,"suffix":""},{"dropping-particle":"","family":"Huber","given":"Kurt","non-dropping-particle":"","parse-names":false,"suffix":""},{"dropping-particle":"","family":"Windecker","given":"Stephan","non-dropping-particle":"","parse-names":false,"suffix":""},{"dropping-particle":"","family":"Hunziker","given":"Lukas","non-dropping-particle":"","parse-names":false,"suffix":""},{"dropping-particle":"","family":"Savonitto","given":"Stefano","non-dropping-particle":"","parse-names":false,"suffix":""},{"dropping-particle":"","family":"Torremante","given":"Patrizia","non-dropping-particle":"","parse-names":false,"suffix":""},{"dropping-particle":"","family":"Vrints","given":"Christiaan","non-dropping-particle":"","parse-names":false,"suffix":""},{"dropping-particle":"","family":"Schneider","given":"Steffen","non-dropping-particle":"","parse-names":false,"suffix":""},{"dropping-particle":"","family":"Zeymer","given":"Uwe","non-dropping-particle":"","parse-names":false,"suffix":""},{"dropping-particle":"","family":"Desch","given":"Steffen","non-dropping-particle":"","parse-names":false,"suffix":""}],"container-title":"The New England journal of medicine","id":"ITEM-1","issue":"18","issued":{"date-parts":[["2018","11"]]},"language":"eng","page":"1699-1710","publisher-place":"United States","title":"One-Year Outcomes after PCI Strategies in Cardiogenic Shock.","type":"article-journal","volume":"379"},"uris":["http://www.mendeley.com/documents/?uuid=3a36c59d-3f3a-436b-a07a-6d6d247903b8"]}],"mendeley":{"formattedCitation":"&lt;sup&gt;41&lt;/sup&gt;","plainTextFormattedCitation":"41","previouslyFormattedCitation":"&lt;sup&gt;40&lt;/sup&gt;"},"properties":{"noteIndex":0},"schema":"https://github.com/citation-style-language/schema/raw/master/csl-citation.json"}</w:instrText>
      </w:r>
      <w:r w:rsidR="00B66E23">
        <w:fldChar w:fldCharType="separate"/>
      </w:r>
      <w:r w:rsidR="00BF577E" w:rsidRPr="00BF577E">
        <w:rPr>
          <w:noProof/>
          <w:vertAlign w:val="superscript"/>
        </w:rPr>
        <w:t>41</w:t>
      </w:r>
      <w:r w:rsidR="00B66E23">
        <w:fldChar w:fldCharType="end"/>
      </w:r>
      <w:r w:rsidR="00DC0AE3" w:rsidRPr="00B818FB">
        <w:t xml:space="preserve"> It is</w:t>
      </w:r>
      <w:r w:rsidR="00F34916">
        <w:t>,</w:t>
      </w:r>
      <w:r w:rsidR="00DC0AE3" w:rsidRPr="00B818FB">
        <w:t xml:space="preserve"> however</w:t>
      </w:r>
      <w:r w:rsidR="00F34916">
        <w:t>,</w:t>
      </w:r>
      <w:r w:rsidR="00DC0AE3" w:rsidRPr="00B818FB">
        <w:t xml:space="preserve"> noted that in the CULPRIT-SHOCK trial </w:t>
      </w:r>
      <w:r w:rsidR="00080490" w:rsidRPr="00B818FB">
        <w:t xml:space="preserve">staged </w:t>
      </w:r>
      <w:r w:rsidR="00080490">
        <w:t>PCI</w:t>
      </w:r>
      <w:r w:rsidR="003E17B4">
        <w:t xml:space="preserve"> of non-culprit lesions</w:t>
      </w:r>
      <w:r w:rsidR="00080490">
        <w:t xml:space="preserve"> was encouraged(</w:t>
      </w:r>
      <w:r w:rsidR="00960F0A" w:rsidRPr="00960F0A">
        <w:t xml:space="preserve">17.7% </w:t>
      </w:r>
      <w:r w:rsidR="00DC0AE3" w:rsidRPr="00B818FB">
        <w:t xml:space="preserve">underwent </w:t>
      </w:r>
      <w:r w:rsidR="00080490" w:rsidRPr="00B818FB">
        <w:t>PCI</w:t>
      </w:r>
      <w:r w:rsidR="00080490">
        <w:t xml:space="preserve"> </w:t>
      </w:r>
      <w:r w:rsidR="00960F0A">
        <w:t xml:space="preserve">in the </w:t>
      </w:r>
      <w:r w:rsidR="00960F0A">
        <w:lastRenderedPageBreak/>
        <w:t>culprit only group</w:t>
      </w:r>
      <w:r w:rsidR="00080490">
        <w:t>)</w:t>
      </w:r>
      <w:r w:rsidR="00960F0A">
        <w:t xml:space="preserve">, </w:t>
      </w:r>
      <w:r w:rsidR="00080490">
        <w:t>and therefore</w:t>
      </w:r>
      <w:r w:rsidR="003E17B4">
        <w:t xml:space="preserve"> the strategy</w:t>
      </w:r>
      <w:r w:rsidR="00CC1FBA">
        <w:t xml:space="preserve"> used</w:t>
      </w:r>
      <w:r w:rsidR="003E17B4">
        <w:t xml:space="preserve"> is</w:t>
      </w:r>
      <w:r w:rsidR="00080490">
        <w:t xml:space="preserve"> not too dissimilar from the </w:t>
      </w:r>
      <w:r w:rsidR="00CC1FBA">
        <w:t>“</w:t>
      </w:r>
      <w:r w:rsidR="003E17B4">
        <w:t xml:space="preserve">STEMI </w:t>
      </w:r>
      <w:r w:rsidR="00080490">
        <w:t xml:space="preserve">without </w:t>
      </w:r>
      <w:r w:rsidR="003E17B4">
        <w:t xml:space="preserve">cardiogenic </w:t>
      </w:r>
      <w:r w:rsidR="00080490">
        <w:t>shock</w:t>
      </w:r>
      <w:r w:rsidR="00CC1FBA">
        <w:t>”</w:t>
      </w:r>
      <w:r w:rsidR="00080490">
        <w:t xml:space="preserve"> guidance.</w:t>
      </w:r>
      <w:r w:rsidR="00DC0AE3" w:rsidRPr="00B818FB">
        <w:t xml:space="preserve"> </w:t>
      </w:r>
    </w:p>
    <w:p w14:paraId="0E6467CB" w14:textId="77777777" w:rsidR="00A00E81" w:rsidRDefault="00A00E81" w:rsidP="00684A15"/>
    <w:p w14:paraId="3CEE92C4" w14:textId="77777777" w:rsidR="00A00E81" w:rsidRDefault="00A00E81" w:rsidP="00684A15"/>
    <w:p w14:paraId="27812FA3" w14:textId="77777777" w:rsidR="00A00E81" w:rsidRPr="00B818FB" w:rsidRDefault="00A00E81" w:rsidP="00684A15">
      <w:pPr>
        <w:rPr>
          <w:i/>
          <w:iCs/>
        </w:rPr>
      </w:pPr>
      <w:r w:rsidRPr="00B818FB">
        <w:rPr>
          <w:i/>
          <w:iCs/>
        </w:rPr>
        <w:t>Antiplatelet therapy</w:t>
      </w:r>
      <w:r w:rsidR="00E22657" w:rsidRPr="00B818FB">
        <w:rPr>
          <w:i/>
          <w:iCs/>
        </w:rPr>
        <w:t xml:space="preserve"> – prasugrel or ticagrelor?</w:t>
      </w:r>
    </w:p>
    <w:p w14:paraId="220D502A" w14:textId="77777777" w:rsidR="00245999" w:rsidRDefault="00245999" w:rsidP="00684A15"/>
    <w:p w14:paraId="73C92DD3" w14:textId="062A0FF4" w:rsidR="00F9232C" w:rsidRDefault="00245999" w:rsidP="00D2499C">
      <w:pPr>
        <w:spacing w:line="360" w:lineRule="auto"/>
      </w:pPr>
      <w:r>
        <w:t xml:space="preserve">For STEMI, NICE recommended prasugrel </w:t>
      </w:r>
      <w:r w:rsidR="0077353B">
        <w:t>in preference to</w:t>
      </w:r>
      <w:r>
        <w:t xml:space="preserve"> ticagrelor.</w:t>
      </w:r>
      <w:r w:rsidR="00B66E23">
        <w:fldChar w:fldCharType="begin" w:fldLock="1"/>
      </w:r>
      <w:r w:rsidR="00914044">
        <w:instrText>ADDIN CSL_CITATION {"citationItems":[{"id":"ITEM-1","itemData":{"id":"ITEM-1","issued":{"date-parts":[["0"]]},"page":"https://www.nice.org.uk/guidance/ng185.","title":"National Institute for Health and Care Excellence. Acute coronary syndromes. 2020.","type":"webpage"},"uris":["http://www.mendeley.com/documents/?uuid=1fdcdae9-4953-4f7f-8600-3a495bf4a190"]}],"mendeley":{"formattedCitation":"&lt;sup&gt;1&lt;/sup&gt;","plainTextFormattedCitation":"1","previouslyFormattedCitation":"&lt;sup&gt;1&lt;/sup&gt;"},"properties":{"noteIndex":0},"schema":"https://github.com/citation-style-language/schema/raw/master/csl-citation.json"}</w:instrText>
      </w:r>
      <w:r w:rsidR="00B66E23">
        <w:fldChar w:fldCharType="separate"/>
      </w:r>
      <w:r w:rsidR="00B66E23" w:rsidRPr="00B66E23">
        <w:rPr>
          <w:noProof/>
          <w:vertAlign w:val="superscript"/>
        </w:rPr>
        <w:t>1</w:t>
      </w:r>
      <w:r w:rsidR="00B66E23">
        <w:fldChar w:fldCharType="end"/>
      </w:r>
      <w:r>
        <w:t xml:space="preserve"> </w:t>
      </w:r>
      <w:r w:rsidR="00813DA5">
        <w:t xml:space="preserve">This </w:t>
      </w:r>
      <w:r w:rsidR="00C8133B">
        <w:t xml:space="preserve">was </w:t>
      </w:r>
      <w:r w:rsidRPr="00245999">
        <w:t>driven by the ISAR</w:t>
      </w:r>
      <w:r w:rsidRPr="00245999">
        <w:noBreakHyphen/>
        <w:t xml:space="preserve">REACT 5 trial that directly compared ticagrelor and prasugrel </w:t>
      </w:r>
      <w:r w:rsidR="00A42F83">
        <w:t>in ACS patients</w:t>
      </w:r>
      <w:r w:rsidR="00C8133B">
        <w:t>.</w:t>
      </w:r>
      <w:r w:rsidR="00B66E23">
        <w:fldChar w:fldCharType="begin" w:fldLock="1"/>
      </w:r>
      <w:r w:rsidR="00BF577E">
        <w:instrText>ADDIN CSL_CITATION {"citationItems":[{"id":"ITEM-1","itemData":{"DOI":"10.1056/NEJMoa1908973","ISSN":"1533-4406 (Electronic)","PMID":"31475799","abstract":"BACKGROUND: The relative merits of ticagrelor as compared with prasugrel in  patients with acute coronary syndromes for whom invasive evaluation is planned are uncertain. METHODS: In this multicenter, randomized, open-label trial, we randomly assigned patients who presented with acute coronary syndromes and for whom invasive evaluation was planned to receive either ticagrelor or prasugrel. The primary end point was the composite of death, myocardial infarction, or stroke at 1 year. A major secondary end point (the safety end point) was bleeding. RESULTS: A total of 4018 patients underwent randomization. A primary end-point event occurred in 184 of 2012 patients (9.3%) in the ticagrelor group and in 137 of 2006 patients (6.9%) in the prasugrel group (hazard ratio, 1.36; 95% confidence interval [CI], 1.09 to 1.70; P = 0.006). The respective incidences of the individual components of the primary end point in the ticagrelor group and the prasugrel group were as follows: death, 4.5% and 3.7%; myocardial infarction, 4.8% and 3.0%; and stroke, 1.1% and 1.0%. Definite or probable stent thrombosis occurred in 1.3% of patients assigned to ticagrelor and 1.0% of patients assigned to prasugrel, and definite stent thrombosis occurred in 1.1% and 0.6%, respectively. Major bleeding (as defined by the Bleeding Academic Research Consortium scale) was observed in 5.4% of patients in the ticagrelor group and in 4.8% of patients in the prasugrel group (hazard ratio, 1.12; 95% CI, 0.83 to 1.51; P = 0.46). CONCLUSIONS: Among patients who presented with acute coronary syndromes with or without ST-segment elevation, the incidence of death, myocardial infarction, or stroke was significantly lower among those who received prasugrel than among those who received ticagrelor, and the incidence of major bleeding was not significantly different between the two groups. (Funded by the German Center for Cardiovascular Research and Deutsches Herzzentrum München; ISAR-REACT 5 ClinicalTrials.gov number, NCT01944800.).","author":[{"dropping-particle":"","family":"Schüpke","given":"Stefanie","non-dropping-particle":"","parse-names":false,"suffix":""},{"dropping-particle":"","family":"Neumann","given":"Franz-Josef","non-dropping-particle":"","parse-names":false,"suffix":""},{"dropping-particle":"","family":"Menichelli","given":"Maurizio","non-dropping-particle":"","parse-names":false,"suffix":""},{"dropping-particle":"","family":"Mayer","given":"Katharina","non-dropping-particle":"","parse-names":false,"suffix":""},{"dropping-particle":"","family":"Bernlochner","given":"Isabell","non-dropping-particle":"","parse-names":false,"suffix":""},{"dropping-particle":"","family":"Wöhrle","given":"Jochen","non-dropping-particle":"","parse-names":false,"suffix":""},{"dropping-particle":"","family":"Richardt","given":"Gert","non-dropping-particle":"","parse-names":false,"suffix":""},{"dropping-particle":"","family":"Liebetrau","given":"Christoph","non-dropping-particle":"","parse-names":false,"suffix":""},{"dropping-particle":"","family":"Witzenbichler","given":"Bernhard","non-dropping-particle":"","parse-names":false,"suffix":""},{"dropping-particle":"","family":"Antoniucci","given":"David","non-dropping-particle":"","parse-names":false,"suffix":""},{"dropping-particle":"","family":"Akin","given":"Ibrahim","non-dropping-particle":"","parse-names":false,"suffix":""},{"dropping-particle":"","family":"Bott-Flügel","given":"Lorenz","non-dropping-particle":"","parse-names":false,"suffix":""},{"dropping-particle":"","family":"Fischer","given":"Marcus","non-dropping-particle":"","parse-names":false,"suffix":""},{"dropping-particle":"","family":"Landmesser","given":"Ulf","non-dropping-particle":"","parse-names":false,"suffix":""},{"dropping-particle":"","family":"Katus","given":"Hugo A","non-dropping-particle":"","parse-names":false,"suffix":""},{"dropping-particle":"","family":"Sibbing","given":"Dirk","non-dropping-particle":"","parse-names":false,"suffix":""},{"dropping-particle":"","family":"Seyfarth","given":"Melchior","non-dropping-particle":"","parse-names":false,"suffix":""},{"dropping-particle":"","family":"Janisch","given":"Marion","non-dropping-particle":"","parse-names":false,"suffix":""},{"dropping-particle":"","family":"Boncompagni","given":"Duino","non-dropping-particle":"","parse-names":false,"suffix":""},{"dropping-particle":"","family":"Hilz","given":"Raphaela","non-dropping-particle":"","parse-names":false,"suffix":""},{"dropping-particle":"","family":"Rottbauer","given":"Wolfgang","non-dropping-particle":"","parse-names":false,"suffix":""},{"dropping-particle":"","family":"Okrojek","given":"Rainer","non-dropping-particle":"","parse-names":false,"suffix":""},{"dropping-particle":"","family":"Möllmann","given":"Helge","non-dropping-particle":"","parse-names":false,"suffix":""},{"dropping-particle":"","family":"Hochholzer","given":"Willibald","non-dropping-particle":"","parse-names":false,"suffix":""},{"dropping-particle":"","family":"Migliorini","given":"Angela","non-dropping-particle":"","parse-names":false,"suffix":""},{"dropping-particle":"","family":"Cassese","given":"Salvatore","non-dropping-particle":"","parse-names":false,"suffix":""},{"dropping-particle":"","family":"Mollo","given":"Pasquale","non-dropping-particle":"","parse-names":false,"suffix":""},{"dropping-particle":"","family":"Xhepa","given":"Erion","non-dropping-particle":"","parse-names":false,"suffix":""},{"dropping-particle":"","family":"Kufner","given":"Sebastian","non-dropping-particle":"","parse-names":false,"suffix":""},{"dropping-particle":"","family":"Strehle","given":"Axel","non-dropping-particle":"","parse-names":false,"suffix":""},{"dropping-particle":"","family":"Leggewie","given":"Stefan","non-dropping-particle":"","parse-names":false,"suffix":""},{"dropping-particle":"","family":"Allali","given":"Abdelhakim","non-dropping-particle":"","parse-names":false,"suffix":""},{"dropping-particle":"","family":"Ndrepepa","given":"Gjin","non-dropping-particle":"","parse-names":false,"suffix":""},{"dropping-particle":"","family":"Schühlen","given":"Helmut","non-dropping-particle":"","parse-names":false,"suffix":""},{"dropping-particle":"","family":"Angiolillo","given":"Dominick J","non-dropping-particle":"","parse-names":false,"suffix":""},{"dropping-particle":"","family":"Hamm","given":"Christian W","non-dropping-particle":"","parse-names":false,"suffix":""},{"dropping-particle":"","family":"Hapfelmeier","given":"Alexander","non-dropping-particle":"","parse-names":false,"suffix":""},{"dropping-particle":"","family":"Tölg","given":"Ralph","non-dropping-particle":"","parse-names":false,"suffix":""},{"dropping-particle":"","family":"Trenk","given":"Dietmar","non-dropping-particle":"","parse-names":false,"suffix":""},{"dropping-particle":"","family":"Schunkert","given":"Heribert","non-dropping-particle":"","parse-names":false,"suffix":""},{"dropping-particle":"","family":"Laugwitz","given":"Karl-Ludwig","non-dropping-particle":"","parse-names":false,"suffix":""},{"dropping-particle":"","family":"Kastrati","given":"Adnan","non-dropping-particle":"","parse-names":false,"suffix":""}],"container-title":"The New England journal of medicine","id":"ITEM-1","issue":"16","issued":{"date-parts":[["2019","10"]]},"language":"eng","page":"1524-1534","publisher-place":"United States","title":"Ticagrelor or Prasugrel in Patients with Acute Coronary Syndromes.","type":"article-journal","volume":"381"},"uris":["http://www.mendeley.com/documents/?uuid=e475edf8-e86d-4dba-82af-dbb112f16ef3"]}],"mendeley":{"formattedCitation":"&lt;sup&gt;42&lt;/sup&gt;","plainTextFormattedCitation":"42","previouslyFormattedCitation":"&lt;sup&gt;41&lt;/sup&gt;"},"properties":{"noteIndex":0},"schema":"https://github.com/citation-style-language/schema/raw/master/csl-citation.json"}</w:instrText>
      </w:r>
      <w:r w:rsidR="00B66E23">
        <w:fldChar w:fldCharType="separate"/>
      </w:r>
      <w:r w:rsidR="00BF577E" w:rsidRPr="00BF577E">
        <w:rPr>
          <w:noProof/>
          <w:vertAlign w:val="superscript"/>
        </w:rPr>
        <w:t>42</w:t>
      </w:r>
      <w:r w:rsidR="00B66E23">
        <w:fldChar w:fldCharType="end"/>
      </w:r>
      <w:r w:rsidR="0077353B">
        <w:t xml:space="preserve"> </w:t>
      </w:r>
      <w:r w:rsidR="00C8133B">
        <w:t xml:space="preserve">It </w:t>
      </w:r>
      <w:r w:rsidR="00813DA5">
        <w:t xml:space="preserve">is also </w:t>
      </w:r>
      <w:r w:rsidR="0077353B">
        <w:t>consistent with U</w:t>
      </w:r>
      <w:r w:rsidR="009B7705">
        <w:t>K</w:t>
      </w:r>
      <w:r w:rsidR="0077353B">
        <w:t xml:space="preserve"> observational data </w:t>
      </w:r>
      <w:r w:rsidR="00FD649C">
        <w:t xml:space="preserve">involving over 89000 primary </w:t>
      </w:r>
      <w:r w:rsidR="009B7705">
        <w:t>PCI</w:t>
      </w:r>
      <w:r w:rsidR="00FD649C">
        <w:t xml:space="preserve"> patients </w:t>
      </w:r>
      <w:r w:rsidR="0077353B">
        <w:t xml:space="preserve">that </w:t>
      </w:r>
      <w:r w:rsidR="00221919">
        <w:t xml:space="preserve">showed an </w:t>
      </w:r>
      <w:r w:rsidR="0077353B">
        <w:t>outcome advantage for prasugrel</w:t>
      </w:r>
      <w:r w:rsidR="00C8133B">
        <w:t xml:space="preserve"> over ticagrelor</w:t>
      </w:r>
      <w:r w:rsidR="0077353B">
        <w:t>.</w:t>
      </w:r>
      <w:r w:rsidR="00AB66B4">
        <w:fldChar w:fldCharType="begin" w:fldLock="1"/>
      </w:r>
      <w:r w:rsidR="00BF577E">
        <w:instrText>ADDIN CSL_CITATION {"citationItems":[{"id":"ITEM-1","itemData":{"DOI":"10.1136/heartjnl-2017-312366","ISSN":"1468-201X (Electronic)","PMID":"29437885","abstract":"OBJECTIVES: Prasugrel and ticagrelor both reduce ischaemic endpoints in high-risk  acute coronary syndromes, compared with clopidogrel. However, comparative outcomes of these two newer drugs in the context of primary percutaneous coronary intervention (PCI) for ST-elevation myocardial infarction (STEMI) remains unclear. We sought to examine this question using the British Cardiovascular Interventional Society national database in patients undergoing primary PCI for STEMI. METHODS: Data from January 2007 to December 2014 were used to compare use of P2Y12 antiplatelet drugs in primary PCI in &gt;89 000 patients. Statistical modelling, involving propensity matching, multivariate logistic regression (MLR) and proportional hazards modelling, was used to study the association of different antiplatelet drug use with all-cause mortality. RESULTS: In our main MLR analysis, prasugrel was associated with significantly lower mortality than clopidogrel at both 30 days (OR 0.87, 95% CI 0.78 to 0.97, P=0.014) and 1 year (OR 0.89, 95% CI 0.82 to 0.97, P=0.011) post PCI. Ticagrelor was not associated with any significant differences in mortality compared with clopidogrel at either 30 days (OR 1.07, 95% CI 0.95 to 1.21, P=0.237) or 1 year (OR 1.058, 95% CI 0.96 to 1.16, P=0.247). Finally, ticagrelor was associated with significantly higher mortality than prasugrel at both time points (30 days OR 1.22, 95% CI 1.03 to 1.44, P=0.020; 1 year OR 1.19 95% CI 1.04 to 1.35, P=0.01). CONCLUSIONS: In a cohort of over 89 000 patients undergoing primary PCI for STEMI in the UK, prasugrel is associated with a lower 30-day and 1-year mortality than clopidogrel and ticagrelor. Given that an adequately powered comparative randomised trial is unlikely to be performed, these data may have implications for routine care.","author":[{"dropping-particle":"","family":"Olier","given":"Ivan","non-dropping-particle":"","parse-names":false,"suffix":""},{"dropping-particle":"","family":"Sirker","given":"Alex","non-dropping-particle":"","parse-names":false,"suffix":""},{"dropping-particle":"","family":"Hildick-Smith","given":"David J R","non-dropping-particle":"","parse-names":false,"suffix":""},{"dropping-particle":"","family":"Kinnaird","given":"Tim","non-dropping-particle":"","parse-names":false,"suffix":""},{"dropping-particle":"","family":"Ludman","given":"Peter","non-dropping-particle":"","parse-names":false,"suffix":""},{"dropping-particle":"","family":"Belder","given":"Mark A","non-dropping-particle":"de","parse-names":false,"suffix":""},{"dropping-particle":"","family":"Baumbach","given":"Andreas","non-dropping-particle":"","parse-names":false,"suffix":""},{"dropping-particle":"","family":"Byrne","given":"Jonathan","non-dropping-particle":"","parse-names":false,"suffix":""},{"dropping-particle":"","family":"Rashid","given":"Muhammad","non-dropping-particle":"","parse-names":false,"suffix":""},{"dropping-particle":"","family":"Curzen","given":"Nick","non-dropping-particle":"","parse-names":false,"suffix":""},{"dropping-particle":"","family":"Mamas","given":"Mamas A","non-dropping-particle":"","parse-names":false,"suffix":""}],"container-title":"Heart (British Cardiac Society)","id":"ITEM-1","issue":"20","issued":{"date-parts":[["2018","10"]]},"language":"eng","page":"1683-1690","publisher-place":"England","title":"Association of different antiplatelet therapies with mortality after primary  percutaneous coronary intervention.","type":"article-journal","volume":"104"},"uris":["http://www.mendeley.com/documents/?uuid=e2abb511-c45b-439c-8128-35ee44140d93"]}],"mendeley":{"formattedCitation":"&lt;sup&gt;43&lt;/sup&gt;","plainTextFormattedCitation":"43","previouslyFormattedCitation":"&lt;sup&gt;42&lt;/sup&gt;"},"properties":{"noteIndex":0},"schema":"https://github.com/citation-style-language/schema/raw/master/csl-citation.json"}</w:instrText>
      </w:r>
      <w:r w:rsidR="00AB66B4">
        <w:fldChar w:fldCharType="separate"/>
      </w:r>
      <w:r w:rsidR="00BF577E" w:rsidRPr="00BF577E">
        <w:rPr>
          <w:noProof/>
          <w:vertAlign w:val="superscript"/>
        </w:rPr>
        <w:t>43</w:t>
      </w:r>
      <w:r w:rsidR="00AB66B4">
        <w:fldChar w:fldCharType="end"/>
      </w:r>
      <w:r w:rsidRPr="00245999">
        <w:t xml:space="preserve"> </w:t>
      </w:r>
      <w:r w:rsidR="00AB66B4">
        <w:t xml:space="preserve"> </w:t>
      </w:r>
      <w:r w:rsidR="00D2499C">
        <w:t xml:space="preserve">For NSTEMI, either prasugrel or ticagrelor is </w:t>
      </w:r>
      <w:r w:rsidR="00E22657">
        <w:t>recommended</w:t>
      </w:r>
      <w:r w:rsidR="002C0106">
        <w:t>. This is likely to be due to a variety of considerations including that</w:t>
      </w:r>
      <w:r w:rsidR="00D2499C">
        <w:t xml:space="preserve"> </w:t>
      </w:r>
      <w:r w:rsidR="002C0106">
        <w:t>neither was cost dominant</w:t>
      </w:r>
      <w:r w:rsidR="002761A2">
        <w:t xml:space="preserve"> and that</w:t>
      </w:r>
      <w:r w:rsidR="00CC1FBA">
        <w:t xml:space="preserve"> </w:t>
      </w:r>
      <w:r w:rsidR="00D2499C" w:rsidRPr="00D2499C">
        <w:t>practical difficult</w:t>
      </w:r>
      <w:r w:rsidR="00CC1FBA">
        <w:t>ies could arise</w:t>
      </w:r>
      <w:r w:rsidR="00D2499C" w:rsidRPr="00D2499C">
        <w:t xml:space="preserve"> in using prasugrel because its licence </w:t>
      </w:r>
      <w:r w:rsidR="00CA5ABC">
        <w:t xml:space="preserve">does not </w:t>
      </w:r>
      <w:r w:rsidR="002C0106">
        <w:t xml:space="preserve">support </w:t>
      </w:r>
      <w:r w:rsidR="00D2499C" w:rsidRPr="00D2499C">
        <w:t xml:space="preserve">its use before angiography, </w:t>
      </w:r>
      <w:r w:rsidR="002761A2">
        <w:t>which</w:t>
      </w:r>
      <w:r w:rsidR="00D2499C" w:rsidRPr="00D2499C">
        <w:t xml:space="preserve"> could leave people with unstable angina</w:t>
      </w:r>
      <w:r w:rsidR="00221919">
        <w:t>/</w:t>
      </w:r>
      <w:r w:rsidR="00D2499C" w:rsidRPr="00D2499C">
        <w:t>NSTEMI without dual antiplatelet therapy for several days. </w:t>
      </w:r>
      <w:r w:rsidRPr="00245999">
        <w:t>T</w:t>
      </w:r>
      <w:r w:rsidR="00BF3119" w:rsidRPr="00245999">
        <w:t xml:space="preserve">here have been some criticisms on the reliability of the findings from the ISAR-REACT 5 trial </w:t>
      </w:r>
      <w:r w:rsidR="00B818FB">
        <w:t xml:space="preserve">including </w:t>
      </w:r>
      <w:r w:rsidR="00BF3119" w:rsidRPr="00245999">
        <w:t>its open</w:t>
      </w:r>
      <w:r w:rsidR="00221919">
        <w:t>-</w:t>
      </w:r>
      <w:r w:rsidR="00BF3119" w:rsidRPr="00245999">
        <w:t>label design (compared with double-blind TRITON-TIMI 38 and PLATO</w:t>
      </w:r>
      <w:r w:rsidR="00A42F83">
        <w:t>)</w:t>
      </w:r>
      <w:r w:rsidR="00027BFB">
        <w:t>.</w:t>
      </w:r>
      <w:r w:rsidR="000E6CD6">
        <w:fldChar w:fldCharType="begin" w:fldLock="1"/>
      </w:r>
      <w:r w:rsidR="00BF577E">
        <w:instrText>ADDIN CSL_CITATION {"citationItems":[{"id":"ITEM-1","itemData":{"DOI":"10.1056/NEJMoa0706482","ISSN":"1533-4406 (Electronic)","PMID":"17982182","abstract":"BACKGROUND: Dual-antiplatelet therapy with aspirin and a thienopyridine is a  cornerstone of treatment to prevent thrombotic complications of acute coronary syndromes and percutaneous coronary intervention. METHODS: To compare prasugrel, a new thienopyridine, with clopidogrel, we randomly assigned 13,608 patients with moderate-to-high-risk acute coronary syndromes with scheduled percutaneous coronary intervention to receive prasugrel (a 60-mg loading dose and a 10-mg daily maintenance dose) or clopidogrel (a 300-mg loading dose and a 75-mg daily maintenance dose), for 6 to 15 months. The primary efficacy end point was death from cardiovascular causes, nonfatal myocardial infarction, or nonfatal stroke. The key safety end point was major bleeding. RESULTS: The primary efficacy end point occurred in 12.1% of patients receiving clopidogrel and 9.9% of patients receiving prasugrel (hazard ratio for prasugrel vs. clopidogrel, 0.81; 95% confidence interval [CI], 0.73 to 0.90; P&lt;0.001). We also found significant reductions in the prasugrel group in the rates of myocardial infarction (9.7% for clopidogrel vs. 7.4% for prasugrel; P&lt;0.001), urgent target-vessel revascularization (3.7% vs. 2.5%; P&lt;0.001), and stent thrombosis (2.4% vs. 1.1%; P&lt;0.001). Major bleeding was observed in 2.4% of patients receiving prasugrel and in 1.8% of patients receiving clopidogrel (hazard ratio, 1.32; 95% CI, 1.03 to 1.68; P=0.03). Also greater in the prasugrel group was the rate of life-threatening bleeding (1.4% vs. 0.9%; P=0.01), including nonfatal bleeding (1.1% vs. 0.9%; hazard ratio, 1.25; P=0.23) and fatal bleeding (0.4% vs. 0.1%; P=0.002). CONCLUSIONS: In patients with acute coronary syndromes with scheduled percutaneous coronary intervention, prasugrel therapy was associated with significantly reduced rates of ischemic events, including stent thrombosis, but with an increased risk of major bleeding, including fatal bleeding. Overall mortality did not differ significantly between treatment groups. (ClinicalTrials.gov number, NCT00097591 [ClinicalTrials.gov].)","author":[{"dropping-particle":"","family":"Wiviott","given":"Stephen D","non-dropping-particle":"","parse-names":false,"suffix":""},{"dropping-particle":"","family":"Braunwald","given":"Eugene","non-dropping-particle":"","parse-names":false,"suffix":""},{"dropping-particle":"","family":"McCabe","given":"Carolyn H","non-dropping-particle":"","parse-names":false,"suffix":""},{"dropping-particle":"","family":"Montalescot","given":"Gilles","non-dropping-particle":"","parse-names":false,"suffix":""},{"dropping-particle":"","family":"Ruzyllo","given":"Witold","non-dropping-particle":"","parse-names":false,"suffix":""},{"dropping-particle":"","family":"Gottlieb","given":"Shmuel","non-dropping-particle":"","parse-names":false,"suffix":""},{"dropping-particle":"","family":"Neumann","given":"Franz-Joseph","non-dropping-particle":"","parse-names":false,"suffix":""},{"dropping-particle":"","family":"Ardissino","given":"Diego","non-dropping-particle":"","parse-names":false,"suffix":""},{"dropping-particle":"","family":"Servi","given":"Stefano","non-dropping-particle":"De","parse-names":false,"suffix":""},{"dropping-particle":"","family":"Murphy","given":"Sabina A","non-dropping-particle":"","parse-names":false,"suffix":""},{"dropping-particle":"","family":"Riesmeyer","given":"Jeffrey","non-dropping-particle":"","parse-names":false,"suffix":""},{"dropping-particle":"","family":"Weerakkody","given":"Govinda","non-dropping-particle":"","parse-names":false,"suffix":""},{"dropping-particle":"","family":"Gibson","given":"C Michael","non-dropping-particle":"","parse-names":false,"suffix":""},{"dropping-particle":"","family":"Antman","given":"Elliott M","non-dropping-particle":"","parse-names":false,"suffix":""}],"container-title":"The New England journal of medicine","id":"ITEM-1","issue":"20","issued":{"date-parts":[["2007","11"]]},"language":"eng","page":"2001-2015","publisher-place":"United States","title":"Prasugrel versus clopidogrel in patients with acute coronary syndromes.","type":"article-journal","volume":"357"},"uris":["http://www.mendeley.com/documents/?uuid=be9dc444-d0f1-49e0-a5a9-bdd2460a8cd0"]},{"id":"ITEM-2","itemData":{"DOI":"10.1056/NEJMoa0904327","ISSN":"1533-4406 (Electronic)","PMID":"19717846","abstract":"BACKGROUND: Ticagrelor is an oral, reversible, direct-acting inhibitor of the  adenosine diphosphate receptor P2Y12 that has a more rapid onset and more pronounced platelet inhibition than clopidogrel. METHODS: In this multicenter, double-blind, randomized trial, we compared ticagrelor (180-mg loading dose, 90 mg twice daily thereafter) and clopidogrel (300-to-600-mg loading dose, 75 mg daily thereafter) for the prevention of cardiovascular events in 18,624 patients admitted to the hospital with an acute coronary syndrome, with or without ST-segment elevation. RESULTS: At 12 months, the primary end point--a composite of death from vascular causes, myocardial infarction, or stroke--had occurred in 9.8% of patients receiving ticagrelor as compared with 11.7% of those receiving clopidogrel (hazard ratio, 0.84; 95% confidence interval [CI], 0.77 to 0.92; P&lt;0.001). Predefined hierarchical testing of secondary end points showed significant differences in the rates of other composite end points, as well as myocardial infarction alone (5.8% in the ticagrelor group vs. 6.9% in the clopidogrel group, P=0.005) and death from vascular causes (4.0% vs. 5.1%, P=0.001) but not stroke alone (1.5% vs. 1.3%, P=0.22). The rate of death from any cause was also reduced with ticagrelor (4.5%, vs. 5.9% with clopidogrel; P&lt;0.001). No significant difference in the rates of major bleeding was found between the ticagrelor and clopidogrel groups (11.6% and 11.2%, respectively; P=0.43), but ticagrelor was associated with a higher rate of major bleeding not related to coronary-artery bypass grafting (4.5% vs. 3.8%, P=0.03), including more instances of fatal intracranial bleeding and fewer of fatal bleeding of other types. CONCLUSIONS: In patients who have an acute coronary syndrome with or without ST-segment elevation, treatment with ticagrelor as compared with clopidogrel significantly reduced the rate of death from vascular causes, myocardial infarction, or stroke without an increase in the rate of overall major bleeding but with an increase in the rate of non-procedure-related bleeding. (ClinicalTrials.gov number, NCT00391872.)","author":[{"dropping-particle":"","family":"Wallentin","given":"Lars","non-dropping-particle":"","parse-names":false,"suffix":""},{"dropping-particle":"","family":"Becker","given":"Richard C","non-dropping-particle":"","parse-names":false,"suffix":""},{"dropping-particle":"","family":"Budaj","given":"Andrzej","non-dropping-particle":"","parse-names":false,"suffix":""},{"dropping-particle":"","family":"Cannon","given":"Christopher P","non-dropping-particle":"","parse-names":false,"suffix":""},{"dropping-particle":"","family":"Emanuelsson","given":"Håkan","non-dropping-particle":"","parse-names":false,"suffix":""},{"dropping-particle":"","family":"Held","given":"Claes","non-dropping-particle":"","parse-names":false,"suffix":""},{"dropping-particle":"","family":"Horrow","given":"Jay","non-dropping-particle":"","parse-names":false,"suffix":""},{"dropping-particle":"","family":"Husted","given":"Steen","non-dropping-particle":"","parse-names":false,"suffix":""},{"dropping-particle":"","family":"James","given":"Stefan","non-dropping-particle":"","parse-names":false,"suffix":""},{"dropping-particle":"","family":"Katus","given":"Hugo","non-dropping-particle":"","parse-names":false,"suffix":""},{"dropping-particle":"","family":"Mahaffey","given":"Kenneth W","non-dropping-particle":"","parse-names":false,"suffix":""},{"dropping-particle":"","family":"Scirica","given":"Benjamin M","non-dropping-particle":"","parse-names":false,"suffix":""},{"dropping-particle":"","family":"Skene","given":"Allan","non-dropping-particle":"","parse-names":false,"suffix":""},{"dropping-particle":"","family":"Steg","given":"Philippe Gabriel","non-dropping-particle":"","parse-names":false,"suffix":""},{"dropping-particle":"","family":"Storey","given":"Robert F","non-dropping-particle":"","parse-names":false,"suffix":""},{"dropping-particle":"","family":"Harrington","given":"Robert A","non-dropping-particle":"","parse-names":false,"suffix":""},{"dropping-particle":"","family":"Freij","given":"Anneli","non-dropping-particle":"","parse-names":false,"suffix":""},{"dropping-particle":"","family":"Thorsén","given":"Mona","non-dropping-particle":"","parse-names":false,"suffix":""}],"container-title":"The New England journal of medicine","id":"ITEM-2","issue":"11","issued":{"date-parts":[["2009","9"]]},"language":"eng","page":"1045-1057","publisher-place":"United States","title":"Ticagrelor versus clopidogrel in patients with acute coronary syndromes.","type":"article-journal","volume":"361"},"uris":["http://www.mendeley.com/documents/?uuid=fb340295-04b8-49f8-938e-556e77cb06a9"]}],"mendeley":{"formattedCitation":"&lt;sup&gt;44,45&lt;/sup&gt;","plainTextFormattedCitation":"44,45","previouslyFormattedCitation":"&lt;sup&gt;43,44&lt;/sup&gt;"},"properties":{"noteIndex":0},"schema":"https://github.com/citation-style-language/schema/raw/master/csl-citation.json"}</w:instrText>
      </w:r>
      <w:r w:rsidR="000E6CD6">
        <w:fldChar w:fldCharType="separate"/>
      </w:r>
      <w:r w:rsidR="00BF577E" w:rsidRPr="00BF577E">
        <w:rPr>
          <w:noProof/>
          <w:vertAlign w:val="superscript"/>
        </w:rPr>
        <w:t>44,45</w:t>
      </w:r>
      <w:r w:rsidR="000E6CD6">
        <w:fldChar w:fldCharType="end"/>
      </w:r>
      <w:r w:rsidR="00027BFB">
        <w:t xml:space="preserve"> Furthermore,</w:t>
      </w:r>
      <w:r w:rsidR="00B818FB">
        <w:t xml:space="preserve"> </w:t>
      </w:r>
      <w:r w:rsidR="00B818FB" w:rsidRPr="00245999">
        <w:t xml:space="preserve">instead of a direct comparison between </w:t>
      </w:r>
      <w:r w:rsidR="00A42F83">
        <w:t>drugs</w:t>
      </w:r>
      <w:r w:rsidR="00B818FB" w:rsidRPr="00245999">
        <w:t xml:space="preserve">, the comparison </w:t>
      </w:r>
      <w:r w:rsidR="00A42F83">
        <w:t>was</w:t>
      </w:r>
      <w:r w:rsidR="00B818FB" w:rsidRPr="00245999">
        <w:t xml:space="preserve"> made between </w:t>
      </w:r>
      <w:r w:rsidR="00027BFB">
        <w:t xml:space="preserve">differing </w:t>
      </w:r>
      <w:r w:rsidR="00B818FB" w:rsidRPr="00245999">
        <w:t xml:space="preserve">treatment strategies including preloading with ticagrelor </w:t>
      </w:r>
      <w:r w:rsidR="00027BFB">
        <w:t>but</w:t>
      </w:r>
      <w:r w:rsidR="00B818FB" w:rsidRPr="00245999">
        <w:t xml:space="preserve"> no preloading with prasugrel</w:t>
      </w:r>
      <w:r w:rsidRPr="00245999">
        <w:t>.</w:t>
      </w:r>
      <w:r w:rsidR="00B66E23">
        <w:fldChar w:fldCharType="begin" w:fldLock="1"/>
      </w:r>
      <w:r w:rsidR="00BF577E">
        <w:instrText>ADDIN CSL_CITATION {"citationItems":[{"id":"ITEM-1","itemData":{"DOI":"10.1056/NEJMoa1908973","ISSN":"1533-4406 (Electronic)","PMID":"31475799","abstract":"BACKGROUND: The relative merits of ticagrelor as compared with prasugrel in  patients with acute coronary syndromes for whom invasive evaluation is planned are uncertain. METHODS: In this multicenter, randomized, open-label trial, we randomly assigned patients who presented with acute coronary syndromes and for whom invasive evaluation was planned to receive either ticagrelor or prasugrel. The primary end point was the composite of death, myocardial infarction, or stroke at 1 year. A major secondary end point (the safety end point) was bleeding. RESULTS: A total of 4018 patients underwent randomization. A primary end-point event occurred in 184 of 2012 patients (9.3%) in the ticagrelor group and in 137 of 2006 patients (6.9%) in the prasugrel group (hazard ratio, 1.36; 95% confidence interval [CI], 1.09 to 1.70; P = 0.006). The respective incidences of the individual components of the primary end point in the ticagrelor group and the prasugrel group were as follows: death, 4.5% and 3.7%; myocardial infarction, 4.8% and 3.0%; and stroke, 1.1% and 1.0%. Definite or probable stent thrombosis occurred in 1.3% of patients assigned to ticagrelor and 1.0% of patients assigned to prasugrel, and definite stent thrombosis occurred in 1.1% and 0.6%, respectively. Major bleeding (as defined by the Bleeding Academic Research Consortium scale) was observed in 5.4% of patients in the ticagrelor group and in 4.8% of patients in the prasugrel group (hazard ratio, 1.12; 95% CI, 0.83 to 1.51; P = 0.46). CONCLUSIONS: Among patients who presented with acute coronary syndromes with or without ST-segment elevation, the incidence of death, myocardial infarction, or stroke was significantly lower among those who received prasugrel than among those who received ticagrelor, and the incidence of major bleeding was not significantly different between the two groups. (Funded by the German Center for Cardiovascular Research and Deutsches Herzzentrum München; ISAR-REACT 5 ClinicalTrials.gov number, NCT01944800.).","author":[{"dropping-particle":"","family":"Schüpke","given":"Stefanie","non-dropping-particle":"","parse-names":false,"suffix":""},{"dropping-particle":"","family":"Neumann","given":"Franz-Josef","non-dropping-particle":"","parse-names":false,"suffix":""},{"dropping-particle":"","family":"Menichelli","given":"Maurizio","non-dropping-particle":"","parse-names":false,"suffix":""},{"dropping-particle":"","family":"Mayer","given":"Katharina","non-dropping-particle":"","parse-names":false,"suffix":""},{"dropping-particle":"","family":"Bernlochner","given":"Isabell","non-dropping-particle":"","parse-names":false,"suffix":""},{"dropping-particle":"","family":"Wöhrle","given":"Jochen","non-dropping-particle":"","parse-names":false,"suffix":""},{"dropping-particle":"","family":"Richardt","given":"Gert","non-dropping-particle":"","parse-names":false,"suffix":""},{"dropping-particle":"","family":"Liebetrau","given":"Christoph","non-dropping-particle":"","parse-names":false,"suffix":""},{"dropping-particle":"","family":"Witzenbichler","given":"Bernhard","non-dropping-particle":"","parse-names":false,"suffix":""},{"dropping-particle":"","family":"Antoniucci","given":"David","non-dropping-particle":"","parse-names":false,"suffix":""},{"dropping-particle":"","family":"Akin","given":"Ibrahim","non-dropping-particle":"","parse-names":false,"suffix":""},{"dropping-particle":"","family":"Bott-Flügel","given":"Lorenz","non-dropping-particle":"","parse-names":false,"suffix":""},{"dropping-particle":"","family":"Fischer","given":"Marcus","non-dropping-particle":"","parse-names":false,"suffix":""},{"dropping-particle":"","family":"Landmesser","given":"Ulf","non-dropping-particle":"","parse-names":false,"suffix":""},{"dropping-particle":"","family":"Katus","given":"Hugo A","non-dropping-particle":"","parse-names":false,"suffix":""},{"dropping-particle":"","family":"Sibbing","given":"Dirk","non-dropping-particle":"","parse-names":false,"suffix":""},{"dropping-particle":"","family":"Seyfarth","given":"Melchior","non-dropping-particle":"","parse-names":false,"suffix":""},{"dropping-particle":"","family":"Janisch","given":"Marion","non-dropping-particle":"","parse-names":false,"suffix":""},{"dropping-particle":"","family":"Boncompagni","given":"Duino","non-dropping-particle":"","parse-names":false,"suffix":""},{"dropping-particle":"","family":"Hilz","given":"Raphaela","non-dropping-particle":"","parse-names":false,"suffix":""},{"dropping-particle":"","family":"Rottbauer","given":"Wolfgang","non-dropping-particle":"","parse-names":false,"suffix":""},{"dropping-particle":"","family":"Okrojek","given":"Rainer","non-dropping-particle":"","parse-names":false,"suffix":""},{"dropping-particle":"","family":"Möllmann","given":"Helge","non-dropping-particle":"","parse-names":false,"suffix":""},{"dropping-particle":"","family":"Hochholzer","given":"Willibald","non-dropping-particle":"","parse-names":false,"suffix":""},{"dropping-particle":"","family":"Migliorini","given":"Angela","non-dropping-particle":"","parse-names":false,"suffix":""},{"dropping-particle":"","family":"Cassese","given":"Salvatore","non-dropping-particle":"","parse-names":false,"suffix":""},{"dropping-particle":"","family":"Mollo","given":"Pasquale","non-dropping-particle":"","parse-names":false,"suffix":""},{"dropping-particle":"","family":"Xhepa","given":"Erion","non-dropping-particle":"","parse-names":false,"suffix":""},{"dropping-particle":"","family":"Kufner","given":"Sebastian","non-dropping-particle":"","parse-names":false,"suffix":""},{"dropping-particle":"","family":"Strehle","given":"Axel","non-dropping-particle":"","parse-names":false,"suffix":""},{"dropping-particle":"","family":"Leggewie","given":"Stefan","non-dropping-particle":"","parse-names":false,"suffix":""},{"dropping-particle":"","family":"Allali","given":"Abdelhakim","non-dropping-particle":"","parse-names":false,"suffix":""},{"dropping-particle":"","family":"Ndrepepa","given":"Gjin","non-dropping-particle":"","parse-names":false,"suffix":""},{"dropping-particle":"","family":"Schühlen","given":"Helmut","non-dropping-particle":"","parse-names":false,"suffix":""},{"dropping-particle":"","family":"Angiolillo","given":"Dominick J","non-dropping-particle":"","parse-names":false,"suffix":""},{"dropping-particle":"","family":"Hamm","given":"Christian W","non-dropping-particle":"","parse-names":false,"suffix":""},{"dropping-particle":"","family":"Hapfelmeier","given":"Alexander","non-dropping-particle":"","parse-names":false,"suffix":""},{"dropping-particle":"","family":"Tölg","given":"Ralph","non-dropping-particle":"","parse-names":false,"suffix":""},{"dropping-particle":"","family":"Trenk","given":"Dietmar","non-dropping-particle":"","parse-names":false,"suffix":""},{"dropping-particle":"","family":"Schunkert","given":"Heribert","non-dropping-particle":"","parse-names":false,"suffix":""},{"dropping-particle":"","family":"Laugwitz","given":"Karl-Ludwig","non-dropping-particle":"","parse-names":false,"suffix":""},{"dropping-particle":"","family":"Kastrati","given":"Adnan","non-dropping-particle":"","parse-names":false,"suffix":""}],"container-title":"The New England journal of medicine","id":"ITEM-1","issue":"16","issued":{"date-parts":[["2019","10"]]},"language":"eng","page":"1524-1534","publisher-place":"United States","title":"Ticagrelor or Prasugrel in Patients with Acute Coronary Syndromes.","type":"article-journal","volume":"381"},"uris":["http://www.mendeley.com/documents/?uuid=e475edf8-e86d-4dba-82af-dbb112f16ef3"]},{"id":"ITEM-2","itemData":{"DOI":"10.1056/NEJMoa0706482","ISSN":"1533-4406 (Electronic)","PMID":"17982182","abstract":"BACKGROUND: Dual-antiplatelet therapy with aspirin and a thienopyridine is a  cornerstone of treatment to prevent thrombotic complications of acute coronary syndromes and percutaneous coronary intervention. METHODS: To compare prasugrel, a new thienopyridine, with clopidogrel, we randomly assigned 13,608 patients with moderate-to-high-risk acute coronary syndromes with scheduled percutaneous coronary intervention to receive prasugrel (a 60-mg loading dose and a 10-mg daily maintenance dose) or clopidogrel (a 300-mg loading dose and a 75-mg daily maintenance dose), for 6 to 15 months. The primary efficacy end point was death from cardiovascular causes, nonfatal myocardial infarction, or nonfatal stroke. The key safety end point was major bleeding. RESULTS: The primary efficacy end point occurred in 12.1% of patients receiving clopidogrel and 9.9% of patients receiving prasugrel (hazard ratio for prasugrel vs. clopidogrel, 0.81; 95% confidence interval [CI], 0.73 to 0.90; P&lt;0.001). We also found significant reductions in the prasugrel group in the rates of myocardial infarction (9.7% for clopidogrel vs. 7.4% for prasugrel; P&lt;0.001), urgent target-vessel revascularization (3.7% vs. 2.5%; P&lt;0.001), and stent thrombosis (2.4% vs. 1.1%; P&lt;0.001). Major bleeding was observed in 2.4% of patients receiving prasugrel and in 1.8% of patients receiving clopidogrel (hazard ratio, 1.32; 95% CI, 1.03 to 1.68; P=0.03). Also greater in the prasugrel group was the rate of life-threatening bleeding (1.4% vs. 0.9%; P=0.01), including nonfatal bleeding (1.1% vs. 0.9%; hazard ratio, 1.25; P=0.23) and fatal bleeding (0.4% vs. 0.1%; P=0.002). CONCLUSIONS: In patients with acute coronary syndromes with scheduled percutaneous coronary intervention, prasugrel therapy was associated with significantly reduced rates of ischemic events, including stent thrombosis, but with an increased risk of major bleeding, including fatal bleeding. Overall mortality did not differ significantly between treatment groups. (ClinicalTrials.gov number, NCT00097591 [ClinicalTrials.gov].)","author":[{"dropping-particle":"","family":"Wiviott","given":"Stephen D","non-dropping-particle":"","parse-names":false,"suffix":""},{"dropping-particle":"","family":"Braunwald","given":"Eugene","non-dropping-particle":"","parse-names":false,"suffix":""},{"dropping-particle":"","family":"McCabe","given":"Carolyn H","non-dropping-particle":"","parse-names":false,"suffix":""},{"dropping-particle":"","family":"Montalescot","given":"Gilles","non-dropping-particle":"","parse-names":false,"suffix":""},{"dropping-particle":"","family":"Ruzyllo","given":"Witold","non-dropping-particle":"","parse-names":false,"suffix":""},{"dropping-particle":"","family":"Gottlieb","given":"Shmuel","non-dropping-particle":"","parse-names":false,"suffix":""},{"dropping-particle":"","family":"Neumann","given":"Franz-Joseph","non-dropping-particle":"","parse-names":false,"suffix":""},{"dropping-particle":"","family":"Ardissino","given":"Diego","non-dropping-particle":"","parse-names":false,"suffix":""},{"dropping-particle":"","family":"Servi","given":"Stefano","non-dropping-particle":"De","parse-names":false,"suffix":""},{"dropping-particle":"","family":"Murphy","given":"Sabina A","non-dropping-particle":"","parse-names":false,"suffix":""},{"dropping-particle":"","family":"Riesmeyer","given":"Jeffrey","non-dropping-particle":"","parse-names":false,"suffix":""},{"dropping-particle":"","family":"Weerakkody","given":"Govinda","non-dropping-particle":"","parse-names":false,"suffix":""},{"dropping-particle":"","family":"Gibson","given":"C Michael","non-dropping-particle":"","parse-names":false,"suffix":""},{"dropping-particle":"","family":"Antman","given":"Elliott M","non-dropping-particle":"","parse-names":false,"suffix":""}],"container-title":"The New England journal of medicine","id":"ITEM-2","issue":"20","issued":{"date-parts":[["2007","11"]]},"language":"eng","page":"2001-2015","publisher-place":"United States","title":"Prasugrel versus clopidogrel in patients with acute coronary syndromes.","type":"article-journal","volume":"357"},"uris":["http://www.mendeley.com/documents/?uuid=be9dc444-d0f1-49e0-a5a9-bdd2460a8cd0"]},{"id":"ITEM-3","itemData":{"DOI":"10.1056/NEJMoa0904327","ISSN":"1533-4406 (Electronic)","PMID":"19717846","abstract":"BACKGROUND: Ticagrelor is an oral, reversible, direct-acting inhibitor of the  adenosine diphosphate receptor P2Y12 that has a more rapid onset and more pronounced platelet inhibition than clopidogrel. METHODS: In this multicenter, double-blind, randomized trial, we compared ticagrelor (180-mg loading dose, 90 mg twice daily thereafter) and clopidogrel (300-to-600-mg loading dose, 75 mg daily thereafter) for the prevention of cardiovascular events in 18,624 patients admitted to the hospital with an acute coronary syndrome, with or without ST-segment elevation. RESULTS: At 12 months, the primary end point--a composite of death from vascular causes, myocardial infarction, or stroke--had occurred in 9.8% of patients receiving ticagrelor as compared with 11.7% of those receiving clopidogrel (hazard ratio, 0.84; 95% confidence interval [CI], 0.77 to 0.92; P&lt;0.001). Predefined hierarchical testing of secondary end points showed significant differences in the rates of other composite end points, as well as myocardial infarction alone (5.8% in the ticagrelor group vs. 6.9% in the clopidogrel group, P=0.005) and death from vascular causes (4.0% vs. 5.1%, P=0.001) but not stroke alone (1.5% vs. 1.3%, P=0.22). The rate of death from any cause was also reduced with ticagrelor (4.5%, vs. 5.9% with clopidogrel; P&lt;0.001). No significant difference in the rates of major bleeding was found between the ticagrelor and clopidogrel groups (11.6% and 11.2%, respectively; P=0.43), but ticagrelor was associated with a higher rate of major bleeding not related to coronary-artery bypass grafting (4.5% vs. 3.8%, P=0.03), including more instances of fatal intracranial bleeding and fewer of fatal bleeding of other types. CONCLUSIONS: In patients who have an acute coronary syndrome with or without ST-segment elevation, treatment with ticagrelor as compared with clopidogrel significantly reduced the rate of death from vascular causes, myocardial infarction, or stroke without an increase in the rate of overall major bleeding but with an increase in the rate of non-procedure-related bleeding. (ClinicalTrials.gov number, NCT00391872.)","author":[{"dropping-particle":"","family":"Wallentin","given":"Lars","non-dropping-particle":"","parse-names":false,"suffix":""},{"dropping-particle":"","family":"Becker","given":"Richard C","non-dropping-particle":"","parse-names":false,"suffix":""},{"dropping-particle":"","family":"Budaj","given":"Andrzej","non-dropping-particle":"","parse-names":false,"suffix":""},{"dropping-particle":"","family":"Cannon","given":"Christopher P","non-dropping-particle":"","parse-names":false,"suffix":""},{"dropping-particle":"","family":"Emanuelsson","given":"Håkan","non-dropping-particle":"","parse-names":false,"suffix":""},{"dropping-particle":"","family":"Held","given":"Claes","non-dropping-particle":"","parse-names":false,"suffix":""},{"dropping-particle":"","family":"Horrow","given":"Jay","non-dropping-particle":"","parse-names":false,"suffix":""},{"dropping-particle":"","family":"Husted","given":"Steen","non-dropping-particle":"","parse-names":false,"suffix":""},{"dropping-particle":"","family":"James","given":"Stefan","non-dropping-particle":"","parse-names":false,"suffix":""},{"dropping-particle":"","family":"Katus","given":"Hugo","non-dropping-particle":"","parse-names":false,"suffix":""},{"dropping-particle":"","family":"Mahaffey","given":"Kenneth W","non-dropping-particle":"","parse-names":false,"suffix":""},{"dropping-particle":"","family":"Scirica","given":"Benjamin M","non-dropping-particle":"","parse-names":false,"suffix":""},{"dropping-particle":"","family":"Skene","given":"Allan","non-dropping-particle":"","parse-names":false,"suffix":""},{"dropping-particle":"","family":"Steg","given":"Philippe Gabriel","non-dropping-particle":"","parse-names":false,"suffix":""},{"dropping-particle":"","family":"Storey","given":"Robert F","non-dropping-particle":"","parse-names":false,"suffix":""},{"dropping-particle":"","family":"Harrington","given":"Robert A","non-dropping-particle":"","parse-names":false,"suffix":""},{"dropping-particle":"","family":"Freij","given":"Anneli","non-dropping-particle":"","parse-names":false,"suffix":""},{"dropping-particle":"","family":"Thorsén","given":"Mona","non-dropping-particle":"","parse-names":false,"suffix":""}],"container-title":"The New England journal of medicine","id":"ITEM-3","issue":"11","issued":{"date-parts":[["2009","9"]]},"language":"eng","page":"1045-1057","publisher-place":"United States","title":"Ticagrelor versus clopidogrel in patients with acute coronary syndromes.","type":"article-journal","volume":"361"},"uris":["http://www.mendeley.com/documents/?uuid=fb340295-04b8-49f8-938e-556e77cb06a9"]}],"mendeley":{"formattedCitation":"&lt;sup&gt;42,44,45&lt;/sup&gt;","plainTextFormattedCitation":"42,44,45","previouslyFormattedCitation":"&lt;sup&gt;41,43,44&lt;/sup&gt;"},"properties":{"noteIndex":0},"schema":"https://github.com/citation-style-language/schema/raw/master/csl-citation.json"}</w:instrText>
      </w:r>
      <w:r w:rsidR="00B66E23">
        <w:fldChar w:fldCharType="separate"/>
      </w:r>
      <w:r w:rsidR="00BF577E" w:rsidRPr="00BF577E">
        <w:rPr>
          <w:noProof/>
          <w:vertAlign w:val="superscript"/>
        </w:rPr>
        <w:t>42,44,45</w:t>
      </w:r>
      <w:r w:rsidR="00B66E23">
        <w:fldChar w:fldCharType="end"/>
      </w:r>
      <w:r w:rsidRPr="00245999">
        <w:t xml:space="preserve"> </w:t>
      </w:r>
    </w:p>
    <w:p w14:paraId="07EFFE4D" w14:textId="77777777" w:rsidR="00B818FB" w:rsidRDefault="00B818FB" w:rsidP="00D2499C">
      <w:pPr>
        <w:spacing w:line="360" w:lineRule="auto"/>
      </w:pPr>
    </w:p>
    <w:p w14:paraId="0EEA8636" w14:textId="77777777" w:rsidR="008F1D95" w:rsidRDefault="008F1D95" w:rsidP="00A923EA">
      <w:pPr>
        <w:spacing w:line="360" w:lineRule="auto"/>
      </w:pPr>
    </w:p>
    <w:p w14:paraId="562B6F80" w14:textId="77777777" w:rsidR="008F1D95" w:rsidRPr="008F1D95" w:rsidRDefault="008F1D95" w:rsidP="00A923EA">
      <w:pPr>
        <w:spacing w:line="360" w:lineRule="auto"/>
        <w:rPr>
          <w:b/>
          <w:bCs/>
        </w:rPr>
      </w:pPr>
      <w:r w:rsidRPr="008F1D95">
        <w:rPr>
          <w:b/>
          <w:bCs/>
        </w:rPr>
        <w:t>Summary</w:t>
      </w:r>
    </w:p>
    <w:p w14:paraId="441066B6" w14:textId="39B60556" w:rsidR="00B818FB" w:rsidRPr="00D86C9C" w:rsidRDefault="0019013C" w:rsidP="00D86C9C">
      <w:pPr>
        <w:spacing w:line="360" w:lineRule="auto"/>
      </w:pPr>
      <w:r>
        <w:t>The clinical guidelines on revascular</w:t>
      </w:r>
      <w:r w:rsidR="00B74195">
        <w:t>is</w:t>
      </w:r>
      <w:r>
        <w:t xml:space="preserve">ation described here offer a robust framework within which front line clinicians can plan the investigation and treatment of their patients. </w:t>
      </w:r>
      <w:r w:rsidR="00C8133B" w:rsidRPr="003716DF">
        <w:rPr>
          <w:rFonts w:ascii="Segoe UI" w:hAnsi="Segoe UI" w:cs="Segoe UI"/>
          <w:color w:val="C00000"/>
          <w:sz w:val="23"/>
          <w:szCs w:val="23"/>
          <w:bdr w:val="none" w:sz="0" w:space="0" w:color="auto" w:frame="1"/>
        </w:rPr>
        <w:t>I</w:t>
      </w:r>
      <w:r w:rsidR="00C8133B" w:rsidRPr="00F9235F">
        <w:t>nevitably, new evidence has the potential to render aspects of guidance obsolete</w:t>
      </w:r>
      <w:r>
        <w:t xml:space="preserve">. </w:t>
      </w:r>
      <w:r w:rsidR="00EB272F">
        <w:t xml:space="preserve">Table </w:t>
      </w:r>
      <w:r w:rsidR="003E5A16">
        <w:t>4 highlights</w:t>
      </w:r>
      <w:r w:rsidR="00EB272F">
        <w:t xml:space="preserve"> some of the recent landmark trials</w:t>
      </w:r>
      <w:r w:rsidR="003E5A16">
        <w:t xml:space="preserve"> in myocardial revascularisation</w:t>
      </w:r>
      <w:r w:rsidR="00EB272F">
        <w:t>.</w:t>
      </w:r>
      <w:r w:rsidR="003E5A16">
        <w:t xml:space="preserve"> </w:t>
      </w:r>
      <w:r>
        <w:t xml:space="preserve">Furthermore, there remains </w:t>
      </w:r>
      <w:r w:rsidR="00221919">
        <w:t xml:space="preserve">an </w:t>
      </w:r>
      <w:r>
        <w:t>important requirement for cardiologists to tailor their management strategy to each patient: especially because the majority of these would never have been suitable for incl</w:t>
      </w:r>
      <w:r w:rsidR="00B74195">
        <w:t>usion into a randomised trial. Some gaps in our knowledge base may never be filled: a randomised trial of PCI versus OMT in significant left main disease, for example. In other areas, ongoing innovative research is highly likely to refine our understanding of optimal practice</w:t>
      </w:r>
      <w:r w:rsidR="00C8133B">
        <w:t xml:space="preserve"> such as</w:t>
      </w:r>
      <w:r w:rsidR="00B74195">
        <w:t xml:space="preserve"> the identification of </w:t>
      </w:r>
      <w:r w:rsidR="00A809D0">
        <w:t>high-risk</w:t>
      </w:r>
      <w:r w:rsidR="00B74195">
        <w:t xml:space="preserve"> plaques in non-culprit STEMI disease</w:t>
      </w:r>
      <w:r w:rsidR="00C8133B">
        <w:t>.</w:t>
      </w:r>
    </w:p>
    <w:p w14:paraId="44413F1D" w14:textId="77777777" w:rsidR="003E308D" w:rsidRDefault="003E308D">
      <w:pPr>
        <w:rPr>
          <w:b/>
          <w:bCs/>
        </w:rPr>
      </w:pPr>
    </w:p>
    <w:p w14:paraId="161F2410" w14:textId="77777777" w:rsidR="003E308D" w:rsidRDefault="003E308D">
      <w:pPr>
        <w:rPr>
          <w:b/>
          <w:bCs/>
        </w:rPr>
      </w:pPr>
    </w:p>
    <w:p w14:paraId="43B73C33" w14:textId="77777777" w:rsidR="003E308D" w:rsidRDefault="003E308D">
      <w:pPr>
        <w:rPr>
          <w:b/>
          <w:bCs/>
        </w:rPr>
      </w:pPr>
    </w:p>
    <w:p w14:paraId="678D47D1" w14:textId="77777777" w:rsidR="007E2A9E" w:rsidRDefault="007E2A9E">
      <w:pPr>
        <w:rPr>
          <w:b/>
          <w:bCs/>
        </w:rPr>
      </w:pPr>
    </w:p>
    <w:p w14:paraId="32090E38" w14:textId="77777777" w:rsidR="00043D51" w:rsidRDefault="00043D51">
      <w:pPr>
        <w:rPr>
          <w:b/>
          <w:bCs/>
        </w:rPr>
      </w:pPr>
    </w:p>
    <w:p w14:paraId="0160788C" w14:textId="16F787B7" w:rsidR="00407FC8" w:rsidRDefault="003E308D" w:rsidP="00F9235F">
      <w:pPr>
        <w:rPr>
          <w:b/>
          <w:bCs/>
        </w:rPr>
      </w:pPr>
      <w:r>
        <w:rPr>
          <w:b/>
          <w:bCs/>
        </w:rPr>
        <w:t>References</w:t>
      </w:r>
    </w:p>
    <w:p w14:paraId="26653068" w14:textId="77777777" w:rsidR="000712CE" w:rsidRDefault="000712CE" w:rsidP="001D687D">
      <w:pPr>
        <w:widowControl w:val="0"/>
        <w:autoSpaceDE w:val="0"/>
        <w:autoSpaceDN w:val="0"/>
        <w:adjustRightInd w:val="0"/>
        <w:rPr>
          <w:noProof/>
        </w:rPr>
      </w:pPr>
    </w:p>
    <w:p w14:paraId="68E73B2C" w14:textId="0AB9A66C" w:rsidR="00BF577E" w:rsidRPr="00BF577E" w:rsidRDefault="009E0CBE" w:rsidP="00BF577E">
      <w:pPr>
        <w:widowControl w:val="0"/>
        <w:autoSpaceDE w:val="0"/>
        <w:autoSpaceDN w:val="0"/>
        <w:adjustRightInd w:val="0"/>
        <w:ind w:left="640" w:hanging="640"/>
        <w:rPr>
          <w:noProof/>
        </w:rPr>
      </w:pPr>
      <w:r>
        <w:rPr>
          <w:b/>
          <w:bCs/>
        </w:rPr>
        <w:fldChar w:fldCharType="begin" w:fldLock="1"/>
      </w:r>
      <w:r>
        <w:rPr>
          <w:b/>
          <w:bCs/>
        </w:rPr>
        <w:instrText xml:space="preserve">ADDIN Mendeley Bibliography CSL_BIBLIOGRAPHY </w:instrText>
      </w:r>
      <w:r>
        <w:rPr>
          <w:b/>
          <w:bCs/>
        </w:rPr>
        <w:fldChar w:fldCharType="separate"/>
      </w:r>
      <w:r w:rsidR="00BF577E" w:rsidRPr="00BF577E">
        <w:rPr>
          <w:noProof/>
        </w:rPr>
        <w:t>1.</w:t>
      </w:r>
      <w:r w:rsidR="00BF577E" w:rsidRPr="00BF577E">
        <w:rPr>
          <w:noProof/>
        </w:rPr>
        <w:tab/>
        <w:t>National Institute for Health and Care Excellence. Acute coronary syndromes. 2020. https://www.nice.org.uk/guidance/ng185.</w:t>
      </w:r>
    </w:p>
    <w:p w14:paraId="09D602EB" w14:textId="77777777" w:rsidR="00BF577E" w:rsidRPr="00BF577E" w:rsidRDefault="00BF577E" w:rsidP="00BF577E">
      <w:pPr>
        <w:widowControl w:val="0"/>
        <w:autoSpaceDE w:val="0"/>
        <w:autoSpaceDN w:val="0"/>
        <w:adjustRightInd w:val="0"/>
        <w:ind w:left="640" w:hanging="640"/>
        <w:rPr>
          <w:noProof/>
        </w:rPr>
      </w:pPr>
      <w:r w:rsidRPr="00BF577E">
        <w:rPr>
          <w:noProof/>
        </w:rPr>
        <w:t>2.</w:t>
      </w:r>
      <w:r w:rsidRPr="00BF577E">
        <w:rPr>
          <w:noProof/>
        </w:rPr>
        <w:tab/>
        <w:t>National Clinical Guidelines Centre. Stable angina: Full ( July 2011): methods, evidence &amp; guidance. http://www.nice.org.uk/ guidance/cg126/evidence/fu.</w:t>
      </w:r>
    </w:p>
    <w:p w14:paraId="723AB57A" w14:textId="77777777" w:rsidR="00BF577E" w:rsidRPr="00BF577E" w:rsidRDefault="00BF577E" w:rsidP="00BF577E">
      <w:pPr>
        <w:widowControl w:val="0"/>
        <w:autoSpaceDE w:val="0"/>
        <w:autoSpaceDN w:val="0"/>
        <w:adjustRightInd w:val="0"/>
        <w:ind w:left="640" w:hanging="640"/>
        <w:rPr>
          <w:noProof/>
        </w:rPr>
      </w:pPr>
      <w:r w:rsidRPr="00BF577E">
        <w:rPr>
          <w:noProof/>
        </w:rPr>
        <w:t>3.</w:t>
      </w:r>
      <w:r w:rsidRPr="00BF577E">
        <w:rPr>
          <w:noProof/>
        </w:rPr>
        <w:tab/>
        <w:t xml:space="preserve">Bangalore, S., Maron, D. J., Stone, G. W. &amp; Hochman, J. S. Routine Revascularization Versus Initial Medical Therapy for Stable Ischemic  Heart Disease: A Systematic Review and Meta-Analysis of Randomized Trials. </w:t>
      </w:r>
      <w:r w:rsidRPr="00BF577E">
        <w:rPr>
          <w:i/>
          <w:iCs/>
          <w:noProof/>
        </w:rPr>
        <w:t>Circulation</w:t>
      </w:r>
      <w:r w:rsidRPr="00BF577E">
        <w:rPr>
          <w:noProof/>
        </w:rPr>
        <w:t xml:space="preserve"> </w:t>
      </w:r>
      <w:r w:rsidRPr="00BF577E">
        <w:rPr>
          <w:b/>
          <w:bCs/>
          <w:noProof/>
        </w:rPr>
        <w:t>142</w:t>
      </w:r>
      <w:r w:rsidRPr="00BF577E">
        <w:rPr>
          <w:noProof/>
        </w:rPr>
        <w:t>, 841–857 (2020).</w:t>
      </w:r>
    </w:p>
    <w:p w14:paraId="51510DCB" w14:textId="77777777" w:rsidR="00BF577E" w:rsidRPr="00BF577E" w:rsidRDefault="00BF577E" w:rsidP="00BF577E">
      <w:pPr>
        <w:widowControl w:val="0"/>
        <w:autoSpaceDE w:val="0"/>
        <w:autoSpaceDN w:val="0"/>
        <w:adjustRightInd w:val="0"/>
        <w:ind w:left="640" w:hanging="640"/>
        <w:rPr>
          <w:noProof/>
        </w:rPr>
      </w:pPr>
      <w:r w:rsidRPr="00BF577E">
        <w:rPr>
          <w:noProof/>
        </w:rPr>
        <w:t>4.</w:t>
      </w:r>
      <w:r w:rsidRPr="00BF577E">
        <w:rPr>
          <w:noProof/>
        </w:rPr>
        <w:tab/>
        <w:t xml:space="preserve">Al-Lamee, R., Thompson, D., Dehbi, H.-M., Sen, S., Tang, K., Davies, J., Keeble, T., Mielewczik, M., Kaprielian, R., </w:t>
      </w:r>
      <w:r w:rsidRPr="00BF577E">
        <w:rPr>
          <w:i/>
          <w:iCs/>
          <w:noProof/>
        </w:rPr>
        <w:t>et al.</w:t>
      </w:r>
      <w:r w:rsidRPr="00BF577E">
        <w:rPr>
          <w:noProof/>
        </w:rPr>
        <w:t xml:space="preserve"> Percutaneous coronary intervention in stable angina (ORBITA): a double-blind,  randomised controlled trial. </w:t>
      </w:r>
      <w:r w:rsidRPr="00BF577E">
        <w:rPr>
          <w:i/>
          <w:iCs/>
          <w:noProof/>
        </w:rPr>
        <w:t>Lancet (London, England)</w:t>
      </w:r>
      <w:r w:rsidRPr="00BF577E">
        <w:rPr>
          <w:noProof/>
        </w:rPr>
        <w:t xml:space="preserve"> </w:t>
      </w:r>
      <w:r w:rsidRPr="00BF577E">
        <w:rPr>
          <w:b/>
          <w:bCs/>
          <w:noProof/>
        </w:rPr>
        <w:t>391</w:t>
      </w:r>
      <w:r w:rsidRPr="00BF577E">
        <w:rPr>
          <w:noProof/>
        </w:rPr>
        <w:t>, 31–40 (2018).</w:t>
      </w:r>
    </w:p>
    <w:p w14:paraId="2D8B03FB" w14:textId="77777777" w:rsidR="00BF577E" w:rsidRPr="00BF577E" w:rsidRDefault="00BF577E" w:rsidP="00BF577E">
      <w:pPr>
        <w:widowControl w:val="0"/>
        <w:autoSpaceDE w:val="0"/>
        <w:autoSpaceDN w:val="0"/>
        <w:adjustRightInd w:val="0"/>
        <w:ind w:left="640" w:hanging="640"/>
        <w:rPr>
          <w:noProof/>
        </w:rPr>
      </w:pPr>
      <w:r w:rsidRPr="00BF577E">
        <w:rPr>
          <w:noProof/>
        </w:rPr>
        <w:t>5.</w:t>
      </w:r>
      <w:r w:rsidRPr="00BF577E">
        <w:rPr>
          <w:noProof/>
        </w:rPr>
        <w:tab/>
        <w:t xml:space="preserve">Lawton, J. S., Tamis-Holland, J. E., Bangalore, S., Bates, E. R., Beckie, T. M., Bischoff, J. M., Bittl, J. A., Cohen, M. G., DiMaio, J. M., </w:t>
      </w:r>
      <w:r w:rsidRPr="00BF577E">
        <w:rPr>
          <w:i/>
          <w:iCs/>
          <w:noProof/>
        </w:rPr>
        <w:t>et al.</w:t>
      </w:r>
      <w:r w:rsidRPr="00BF577E">
        <w:rPr>
          <w:noProof/>
        </w:rPr>
        <w:t xml:space="preserve"> 2021 ACC/AHA/SCAI Guideline for Coronary Artery Revascularization: Executive  Summary: A Report of the American College of Cardiology/American Heart Association Joint Committee on Clinical Practice Guidelines. </w:t>
      </w:r>
      <w:r w:rsidRPr="00BF577E">
        <w:rPr>
          <w:i/>
          <w:iCs/>
          <w:noProof/>
        </w:rPr>
        <w:t>Circulation</w:t>
      </w:r>
      <w:r w:rsidRPr="00BF577E">
        <w:rPr>
          <w:noProof/>
        </w:rPr>
        <w:t xml:space="preserve"> </w:t>
      </w:r>
      <w:r w:rsidRPr="00BF577E">
        <w:rPr>
          <w:b/>
          <w:bCs/>
          <w:noProof/>
        </w:rPr>
        <w:t>145</w:t>
      </w:r>
      <w:r w:rsidRPr="00BF577E">
        <w:rPr>
          <w:noProof/>
        </w:rPr>
        <w:t>, e4–e17 (2022).</w:t>
      </w:r>
    </w:p>
    <w:p w14:paraId="492488DA" w14:textId="77777777" w:rsidR="00BF577E" w:rsidRPr="00BF577E" w:rsidRDefault="00BF577E" w:rsidP="00BF577E">
      <w:pPr>
        <w:widowControl w:val="0"/>
        <w:autoSpaceDE w:val="0"/>
        <w:autoSpaceDN w:val="0"/>
        <w:adjustRightInd w:val="0"/>
        <w:ind w:left="640" w:hanging="640"/>
        <w:rPr>
          <w:noProof/>
        </w:rPr>
      </w:pPr>
      <w:r w:rsidRPr="00BF577E">
        <w:rPr>
          <w:noProof/>
        </w:rPr>
        <w:t>6.</w:t>
      </w:r>
      <w:r w:rsidRPr="00BF577E">
        <w:rPr>
          <w:noProof/>
        </w:rPr>
        <w:tab/>
        <w:t xml:space="preserve">Neumann, F.-J., Sousa-Uva, M., Ahlsson, A., Alfonso, F., Banning, A. P., Benedetto, U., Byrne, R. A., Collet, J.-P., Falk, V., </w:t>
      </w:r>
      <w:r w:rsidRPr="00BF577E">
        <w:rPr>
          <w:i/>
          <w:iCs/>
          <w:noProof/>
        </w:rPr>
        <w:t>et al.</w:t>
      </w:r>
      <w:r w:rsidRPr="00BF577E">
        <w:rPr>
          <w:noProof/>
        </w:rPr>
        <w:t xml:space="preserve"> 2018 ESC/EACTS Guidelines on myocardial revascularization. </w:t>
      </w:r>
      <w:r w:rsidRPr="00BF577E">
        <w:rPr>
          <w:i/>
          <w:iCs/>
          <w:noProof/>
        </w:rPr>
        <w:t>Eur. Heart J.</w:t>
      </w:r>
      <w:r w:rsidRPr="00BF577E">
        <w:rPr>
          <w:noProof/>
        </w:rPr>
        <w:t xml:space="preserve"> </w:t>
      </w:r>
      <w:r w:rsidRPr="00BF577E">
        <w:rPr>
          <w:b/>
          <w:bCs/>
          <w:noProof/>
        </w:rPr>
        <w:t>40</w:t>
      </w:r>
      <w:r w:rsidRPr="00BF577E">
        <w:rPr>
          <w:noProof/>
        </w:rPr>
        <w:t>, 87–165 (2019).</w:t>
      </w:r>
    </w:p>
    <w:p w14:paraId="19A2F6C7" w14:textId="77777777" w:rsidR="00BF577E" w:rsidRPr="00BF577E" w:rsidRDefault="00BF577E" w:rsidP="00BF577E">
      <w:pPr>
        <w:widowControl w:val="0"/>
        <w:autoSpaceDE w:val="0"/>
        <w:autoSpaceDN w:val="0"/>
        <w:adjustRightInd w:val="0"/>
        <w:ind w:left="640" w:hanging="640"/>
        <w:rPr>
          <w:noProof/>
        </w:rPr>
      </w:pPr>
      <w:r w:rsidRPr="00BF577E">
        <w:rPr>
          <w:noProof/>
        </w:rPr>
        <w:t>7.</w:t>
      </w:r>
      <w:r w:rsidRPr="00BF577E">
        <w:rPr>
          <w:noProof/>
        </w:rPr>
        <w:tab/>
        <w:t>Chest pain of recent onset: assessment and diagnosis of recent onset chest pain or discomfort of suspected cardiac origin. Nice clinical guideline (2010). http://www. nice.org.uk/guidance/CG95.</w:t>
      </w:r>
    </w:p>
    <w:p w14:paraId="1BE1F322" w14:textId="77777777" w:rsidR="00BF577E" w:rsidRPr="00BF577E" w:rsidRDefault="00BF577E" w:rsidP="00BF577E">
      <w:pPr>
        <w:widowControl w:val="0"/>
        <w:autoSpaceDE w:val="0"/>
        <w:autoSpaceDN w:val="0"/>
        <w:adjustRightInd w:val="0"/>
        <w:ind w:left="640" w:hanging="640"/>
        <w:rPr>
          <w:noProof/>
        </w:rPr>
      </w:pPr>
      <w:r w:rsidRPr="00BF577E">
        <w:rPr>
          <w:noProof/>
        </w:rPr>
        <w:t>8.</w:t>
      </w:r>
      <w:r w:rsidRPr="00BF577E">
        <w:rPr>
          <w:noProof/>
        </w:rPr>
        <w:tab/>
        <w:t>HeartFlow FFRCT for estimating fractional flow reserve from coronary CT angiography. [MTG32]. https://www.nice.org.uk/guidance/mtg32.</w:t>
      </w:r>
    </w:p>
    <w:p w14:paraId="463913BA" w14:textId="77777777" w:rsidR="00BF577E" w:rsidRPr="00BF577E" w:rsidRDefault="00BF577E" w:rsidP="00BF577E">
      <w:pPr>
        <w:widowControl w:val="0"/>
        <w:autoSpaceDE w:val="0"/>
        <w:autoSpaceDN w:val="0"/>
        <w:adjustRightInd w:val="0"/>
        <w:ind w:left="640" w:hanging="640"/>
        <w:rPr>
          <w:noProof/>
        </w:rPr>
      </w:pPr>
      <w:r w:rsidRPr="00BF577E">
        <w:rPr>
          <w:noProof/>
        </w:rPr>
        <w:t>9.</w:t>
      </w:r>
      <w:r w:rsidRPr="00BF577E">
        <w:rPr>
          <w:noProof/>
        </w:rPr>
        <w:tab/>
        <w:t xml:space="preserve">Curzen, N., Nicholas, Z., Stuart, B., Wilding, S., Hill, K., Shambrook, J., Eminton, Z., Ball, D., Barrett, C., </w:t>
      </w:r>
      <w:r w:rsidRPr="00BF577E">
        <w:rPr>
          <w:i/>
          <w:iCs/>
          <w:noProof/>
        </w:rPr>
        <w:t>et al.</w:t>
      </w:r>
      <w:r w:rsidRPr="00BF577E">
        <w:rPr>
          <w:noProof/>
        </w:rPr>
        <w:t xml:space="preserve"> Fractional flow reserve derived from computed tomography coronary angiography in  the assessment and management of stable chest pain: the FORECAST randomized trial. </w:t>
      </w:r>
      <w:r w:rsidRPr="00BF577E">
        <w:rPr>
          <w:i/>
          <w:iCs/>
          <w:noProof/>
        </w:rPr>
        <w:t>Eur. Heart J.</w:t>
      </w:r>
      <w:r w:rsidRPr="00BF577E">
        <w:rPr>
          <w:noProof/>
        </w:rPr>
        <w:t xml:space="preserve"> </w:t>
      </w:r>
      <w:r w:rsidRPr="00BF577E">
        <w:rPr>
          <w:b/>
          <w:bCs/>
          <w:noProof/>
        </w:rPr>
        <w:t>42</w:t>
      </w:r>
      <w:r w:rsidRPr="00BF577E">
        <w:rPr>
          <w:noProof/>
        </w:rPr>
        <w:t>, 3844–3852 (2021).</w:t>
      </w:r>
    </w:p>
    <w:p w14:paraId="16B69F23" w14:textId="77777777" w:rsidR="00BF577E" w:rsidRPr="00BF577E" w:rsidRDefault="00BF577E" w:rsidP="00BF577E">
      <w:pPr>
        <w:widowControl w:val="0"/>
        <w:autoSpaceDE w:val="0"/>
        <w:autoSpaceDN w:val="0"/>
        <w:adjustRightInd w:val="0"/>
        <w:ind w:left="640" w:hanging="640"/>
        <w:rPr>
          <w:noProof/>
        </w:rPr>
      </w:pPr>
      <w:r w:rsidRPr="00BF577E">
        <w:rPr>
          <w:noProof/>
        </w:rPr>
        <w:t>10.</w:t>
      </w:r>
      <w:r w:rsidRPr="00BF577E">
        <w:rPr>
          <w:noProof/>
        </w:rPr>
        <w:tab/>
        <w:t xml:space="preserve">Douglas, P. S., Pontone, G., Hlatky, M. A., Patel, M. R., Norgaard, B. L., Byrne, R. A., Curzen, N., Purcell, I., Gutberlet, M., </w:t>
      </w:r>
      <w:r w:rsidRPr="00BF577E">
        <w:rPr>
          <w:i/>
          <w:iCs/>
          <w:noProof/>
        </w:rPr>
        <w:t>et al.</w:t>
      </w:r>
      <w:r w:rsidRPr="00BF577E">
        <w:rPr>
          <w:noProof/>
        </w:rPr>
        <w:t xml:space="preserve"> Clinical outcomes of fractional flow reserve by computed tomographic  angiography-guided diagnostic strategies vs. usual care in patients with suspected coronary artery disease: the prospective longitudinal trial of FFR(CT): outcome and resource impacts s. </w:t>
      </w:r>
      <w:r w:rsidRPr="00BF577E">
        <w:rPr>
          <w:i/>
          <w:iCs/>
          <w:noProof/>
        </w:rPr>
        <w:t>Eur. Heart J.</w:t>
      </w:r>
      <w:r w:rsidRPr="00BF577E">
        <w:rPr>
          <w:noProof/>
        </w:rPr>
        <w:t xml:space="preserve"> </w:t>
      </w:r>
      <w:r w:rsidRPr="00BF577E">
        <w:rPr>
          <w:b/>
          <w:bCs/>
          <w:noProof/>
        </w:rPr>
        <w:t>36</w:t>
      </w:r>
      <w:r w:rsidRPr="00BF577E">
        <w:rPr>
          <w:noProof/>
        </w:rPr>
        <w:t>, 3359–3367 (2015).</w:t>
      </w:r>
    </w:p>
    <w:p w14:paraId="7703D003" w14:textId="77777777" w:rsidR="00BF577E" w:rsidRPr="00BF577E" w:rsidRDefault="00BF577E" w:rsidP="00BF577E">
      <w:pPr>
        <w:widowControl w:val="0"/>
        <w:autoSpaceDE w:val="0"/>
        <w:autoSpaceDN w:val="0"/>
        <w:adjustRightInd w:val="0"/>
        <w:ind w:left="640" w:hanging="640"/>
        <w:rPr>
          <w:noProof/>
        </w:rPr>
      </w:pPr>
      <w:r w:rsidRPr="00BF577E">
        <w:rPr>
          <w:noProof/>
        </w:rPr>
        <w:t>11.</w:t>
      </w:r>
      <w:r w:rsidRPr="00BF577E">
        <w:rPr>
          <w:noProof/>
        </w:rPr>
        <w:tab/>
        <w:t xml:space="preserve">Knuuti, J., Wijns, W., Saraste, A., Capodanno, D., Barbato, E., Funck-Brentano, C., Prescott, E., Storey, R. F., Deaton, C., </w:t>
      </w:r>
      <w:r w:rsidRPr="00BF577E">
        <w:rPr>
          <w:i/>
          <w:iCs/>
          <w:noProof/>
        </w:rPr>
        <w:t>et al.</w:t>
      </w:r>
      <w:r w:rsidRPr="00BF577E">
        <w:rPr>
          <w:noProof/>
        </w:rPr>
        <w:t xml:space="preserve"> 2019 ESC Guidelines for the diagnosis and management of chronic coronary  syndromes. </w:t>
      </w:r>
      <w:r w:rsidRPr="00BF577E">
        <w:rPr>
          <w:i/>
          <w:iCs/>
          <w:noProof/>
        </w:rPr>
        <w:t>Eur. Heart J.</w:t>
      </w:r>
      <w:r w:rsidRPr="00BF577E">
        <w:rPr>
          <w:noProof/>
        </w:rPr>
        <w:t xml:space="preserve"> </w:t>
      </w:r>
      <w:r w:rsidRPr="00BF577E">
        <w:rPr>
          <w:b/>
          <w:bCs/>
          <w:noProof/>
        </w:rPr>
        <w:t>41</w:t>
      </w:r>
      <w:r w:rsidRPr="00BF577E">
        <w:rPr>
          <w:noProof/>
        </w:rPr>
        <w:t>, 407–477 (2020).</w:t>
      </w:r>
    </w:p>
    <w:p w14:paraId="684FFC2C" w14:textId="77777777" w:rsidR="00BF577E" w:rsidRPr="00BF577E" w:rsidRDefault="00BF577E" w:rsidP="00BF577E">
      <w:pPr>
        <w:widowControl w:val="0"/>
        <w:autoSpaceDE w:val="0"/>
        <w:autoSpaceDN w:val="0"/>
        <w:adjustRightInd w:val="0"/>
        <w:ind w:left="640" w:hanging="640"/>
        <w:rPr>
          <w:noProof/>
        </w:rPr>
      </w:pPr>
      <w:r w:rsidRPr="00BF577E">
        <w:rPr>
          <w:noProof/>
        </w:rPr>
        <w:t>12.</w:t>
      </w:r>
      <w:r w:rsidRPr="00BF577E">
        <w:rPr>
          <w:noProof/>
        </w:rPr>
        <w:tab/>
        <w:t xml:space="preserve">Perera, D., Clayton, T., Petrie, M. C., Greenwood, J. P., O’Kane, P. D., Evans, R., Sculpher, M., Mcdonagh, T., Gershlick, A., </w:t>
      </w:r>
      <w:r w:rsidRPr="00BF577E">
        <w:rPr>
          <w:i/>
          <w:iCs/>
          <w:noProof/>
        </w:rPr>
        <w:t>et al.</w:t>
      </w:r>
      <w:r w:rsidRPr="00BF577E">
        <w:rPr>
          <w:noProof/>
        </w:rPr>
        <w:t xml:space="preserve"> Percutaneous Revascularization for Ischemic Ventricular Dysfunction: Rationale  and Design of the REVIVED-BCIS2 Trial: Percutaneous Coronary Intervention for Ischemic Cardiomyopathy. </w:t>
      </w:r>
      <w:r w:rsidRPr="00BF577E">
        <w:rPr>
          <w:i/>
          <w:iCs/>
          <w:noProof/>
        </w:rPr>
        <w:t>JACC. Heart Fail.</w:t>
      </w:r>
      <w:r w:rsidRPr="00BF577E">
        <w:rPr>
          <w:noProof/>
        </w:rPr>
        <w:t xml:space="preserve"> </w:t>
      </w:r>
      <w:r w:rsidRPr="00BF577E">
        <w:rPr>
          <w:b/>
          <w:bCs/>
          <w:noProof/>
        </w:rPr>
        <w:t>6</w:t>
      </w:r>
      <w:r w:rsidRPr="00BF577E">
        <w:rPr>
          <w:noProof/>
        </w:rPr>
        <w:t>, 517–526 (2018).</w:t>
      </w:r>
    </w:p>
    <w:p w14:paraId="5F8A1234" w14:textId="77777777" w:rsidR="00BF577E" w:rsidRPr="00BF577E" w:rsidRDefault="00BF577E" w:rsidP="00BF577E">
      <w:pPr>
        <w:widowControl w:val="0"/>
        <w:autoSpaceDE w:val="0"/>
        <w:autoSpaceDN w:val="0"/>
        <w:adjustRightInd w:val="0"/>
        <w:ind w:left="640" w:hanging="640"/>
        <w:rPr>
          <w:noProof/>
        </w:rPr>
      </w:pPr>
      <w:r w:rsidRPr="00BF577E">
        <w:rPr>
          <w:noProof/>
        </w:rPr>
        <w:t>13.</w:t>
      </w:r>
      <w:r w:rsidRPr="00BF577E">
        <w:rPr>
          <w:noProof/>
        </w:rPr>
        <w:tab/>
        <w:t xml:space="preserve">Magnuson, E. A., Chinnakondepalli, K., Vilain, K., Serruys, P. W., Sabik, J. F., Kappetein, A. P., Stone, G. W. &amp; Cohen, D. J. Cost-Effectiveness of Percutaneous Coronary Intervention Versus Bypass Surgery  for Patients With Left Main Disease: Results From the EXCEL Trial. </w:t>
      </w:r>
      <w:r w:rsidRPr="00BF577E">
        <w:rPr>
          <w:i/>
          <w:iCs/>
          <w:noProof/>
        </w:rPr>
        <w:t>Circ. Cardiovasc. Interv.</w:t>
      </w:r>
      <w:r w:rsidRPr="00BF577E">
        <w:rPr>
          <w:noProof/>
        </w:rPr>
        <w:t xml:space="preserve"> </w:t>
      </w:r>
      <w:r w:rsidRPr="00BF577E">
        <w:rPr>
          <w:b/>
          <w:bCs/>
          <w:noProof/>
        </w:rPr>
        <w:t>15</w:t>
      </w:r>
      <w:r w:rsidRPr="00BF577E">
        <w:rPr>
          <w:noProof/>
        </w:rPr>
        <w:t>, e011981 (2022).</w:t>
      </w:r>
    </w:p>
    <w:p w14:paraId="4EE93626" w14:textId="77777777" w:rsidR="00BF577E" w:rsidRPr="00BF577E" w:rsidRDefault="00BF577E" w:rsidP="00BF577E">
      <w:pPr>
        <w:widowControl w:val="0"/>
        <w:autoSpaceDE w:val="0"/>
        <w:autoSpaceDN w:val="0"/>
        <w:adjustRightInd w:val="0"/>
        <w:ind w:left="640" w:hanging="640"/>
        <w:rPr>
          <w:noProof/>
        </w:rPr>
      </w:pPr>
      <w:r w:rsidRPr="00BF577E">
        <w:rPr>
          <w:noProof/>
        </w:rPr>
        <w:t>14.</w:t>
      </w:r>
      <w:r w:rsidRPr="00BF577E">
        <w:rPr>
          <w:noProof/>
        </w:rPr>
        <w:tab/>
        <w:t xml:space="preserve">Long-term results of prospective randomised study of coronary artery bypass  surgery </w:t>
      </w:r>
      <w:r w:rsidRPr="00BF577E">
        <w:rPr>
          <w:noProof/>
        </w:rPr>
        <w:lastRenderedPageBreak/>
        <w:t xml:space="preserve">in stable angina pectoris. European Coronary Surgery Study Group. </w:t>
      </w:r>
      <w:r w:rsidRPr="00BF577E">
        <w:rPr>
          <w:i/>
          <w:iCs/>
          <w:noProof/>
        </w:rPr>
        <w:t>Lancet (London, England)</w:t>
      </w:r>
      <w:r w:rsidRPr="00BF577E">
        <w:rPr>
          <w:noProof/>
        </w:rPr>
        <w:t xml:space="preserve"> </w:t>
      </w:r>
      <w:r w:rsidRPr="00BF577E">
        <w:rPr>
          <w:b/>
          <w:bCs/>
          <w:noProof/>
        </w:rPr>
        <w:t>2</w:t>
      </w:r>
      <w:r w:rsidRPr="00BF577E">
        <w:rPr>
          <w:noProof/>
        </w:rPr>
        <w:t>, 1173–1180 (1982).</w:t>
      </w:r>
    </w:p>
    <w:p w14:paraId="63CF20CD" w14:textId="77777777" w:rsidR="00BF577E" w:rsidRPr="00BF577E" w:rsidRDefault="00BF577E" w:rsidP="00BF577E">
      <w:pPr>
        <w:widowControl w:val="0"/>
        <w:autoSpaceDE w:val="0"/>
        <w:autoSpaceDN w:val="0"/>
        <w:adjustRightInd w:val="0"/>
        <w:ind w:left="640" w:hanging="640"/>
        <w:rPr>
          <w:noProof/>
        </w:rPr>
      </w:pPr>
      <w:r w:rsidRPr="00BF577E">
        <w:rPr>
          <w:noProof/>
        </w:rPr>
        <w:t>15.</w:t>
      </w:r>
      <w:r w:rsidRPr="00BF577E">
        <w:rPr>
          <w:noProof/>
        </w:rPr>
        <w:tab/>
        <w:t xml:space="preserve">Takaro, T., Peduzzi, P., Detre, K. M., Hultgren, H. N., Murphy, M. L., van der Bel-Kahn, J., Thomsen, J. &amp; Meadows, W. R. Survival in subgroups of patients with left main coronary artery disease.  Veterans Administration Cooperative Study of Surgery for Coronary Arterial Occlusive Disease. </w:t>
      </w:r>
      <w:r w:rsidRPr="00BF577E">
        <w:rPr>
          <w:i/>
          <w:iCs/>
          <w:noProof/>
        </w:rPr>
        <w:t>Circulation</w:t>
      </w:r>
      <w:r w:rsidRPr="00BF577E">
        <w:rPr>
          <w:noProof/>
        </w:rPr>
        <w:t xml:space="preserve"> </w:t>
      </w:r>
      <w:r w:rsidRPr="00BF577E">
        <w:rPr>
          <w:b/>
          <w:bCs/>
          <w:noProof/>
        </w:rPr>
        <w:t>66</w:t>
      </w:r>
      <w:r w:rsidRPr="00BF577E">
        <w:rPr>
          <w:noProof/>
        </w:rPr>
        <w:t>, 14–22 (1982).</w:t>
      </w:r>
    </w:p>
    <w:p w14:paraId="1C2A3FE0" w14:textId="77777777" w:rsidR="00BF577E" w:rsidRPr="00BF577E" w:rsidRDefault="00BF577E" w:rsidP="00BF577E">
      <w:pPr>
        <w:widowControl w:val="0"/>
        <w:autoSpaceDE w:val="0"/>
        <w:autoSpaceDN w:val="0"/>
        <w:adjustRightInd w:val="0"/>
        <w:ind w:left="640" w:hanging="640"/>
        <w:rPr>
          <w:noProof/>
        </w:rPr>
      </w:pPr>
      <w:r w:rsidRPr="00BF577E">
        <w:rPr>
          <w:noProof/>
        </w:rPr>
        <w:t>16.</w:t>
      </w:r>
      <w:r w:rsidRPr="00BF577E">
        <w:rPr>
          <w:noProof/>
        </w:rPr>
        <w:tab/>
        <w:t xml:space="preserve">Hueb, W., Lopes, N., Gersh, B. J., Soares, P. R., Ribeiro, E. E., Pereira, A. C., Favarato, D., Rocha, A. S. C., Hueb, A. C., </w:t>
      </w:r>
      <w:r w:rsidRPr="00BF577E">
        <w:rPr>
          <w:i/>
          <w:iCs/>
          <w:noProof/>
        </w:rPr>
        <w:t>et al.</w:t>
      </w:r>
      <w:r w:rsidRPr="00BF577E">
        <w:rPr>
          <w:noProof/>
        </w:rPr>
        <w:t xml:space="preserve"> Ten-year follow-up survival of the Medicine, Angioplasty, or Surgery Study (MASS  II): a randomized controlled clinical trial of 3 therapeutic strategies for multivessel coronary artery disease. </w:t>
      </w:r>
      <w:r w:rsidRPr="00BF577E">
        <w:rPr>
          <w:i/>
          <w:iCs/>
          <w:noProof/>
        </w:rPr>
        <w:t>Circulation</w:t>
      </w:r>
      <w:r w:rsidRPr="00BF577E">
        <w:rPr>
          <w:noProof/>
        </w:rPr>
        <w:t xml:space="preserve"> </w:t>
      </w:r>
      <w:r w:rsidRPr="00BF577E">
        <w:rPr>
          <w:b/>
          <w:bCs/>
          <w:noProof/>
        </w:rPr>
        <w:t>122</w:t>
      </w:r>
      <w:r w:rsidRPr="00BF577E">
        <w:rPr>
          <w:noProof/>
        </w:rPr>
        <w:t>, 949–957 (2010).</w:t>
      </w:r>
    </w:p>
    <w:p w14:paraId="1BE14154" w14:textId="77777777" w:rsidR="00BF577E" w:rsidRPr="00BF577E" w:rsidRDefault="00BF577E" w:rsidP="00BF577E">
      <w:pPr>
        <w:widowControl w:val="0"/>
        <w:autoSpaceDE w:val="0"/>
        <w:autoSpaceDN w:val="0"/>
        <w:adjustRightInd w:val="0"/>
        <w:ind w:left="640" w:hanging="640"/>
        <w:rPr>
          <w:noProof/>
        </w:rPr>
      </w:pPr>
      <w:r w:rsidRPr="00BF577E">
        <w:rPr>
          <w:noProof/>
        </w:rPr>
        <w:t>17.</w:t>
      </w:r>
      <w:r w:rsidRPr="00BF577E">
        <w:rPr>
          <w:noProof/>
        </w:rPr>
        <w:tab/>
        <w:t xml:space="preserve">Talano, J. V, Scanlon, P. J., Meadows, W. R., Kahn, M., Pifarre, R. &amp; Gunnar, R. M. Influence of surgery on survival in 145 patients with left main coronary artery  disease. </w:t>
      </w:r>
      <w:r w:rsidRPr="00BF577E">
        <w:rPr>
          <w:i/>
          <w:iCs/>
          <w:noProof/>
        </w:rPr>
        <w:t>Circulation</w:t>
      </w:r>
      <w:r w:rsidRPr="00BF577E">
        <w:rPr>
          <w:noProof/>
        </w:rPr>
        <w:t xml:space="preserve"> </w:t>
      </w:r>
      <w:r w:rsidRPr="00BF577E">
        <w:rPr>
          <w:b/>
          <w:bCs/>
          <w:noProof/>
        </w:rPr>
        <w:t>52</w:t>
      </w:r>
      <w:r w:rsidRPr="00BF577E">
        <w:rPr>
          <w:noProof/>
        </w:rPr>
        <w:t>, I105-11 (1975).</w:t>
      </w:r>
    </w:p>
    <w:p w14:paraId="2B93FBE6" w14:textId="77777777" w:rsidR="00BF577E" w:rsidRPr="00BF577E" w:rsidRDefault="00BF577E" w:rsidP="00BF577E">
      <w:pPr>
        <w:widowControl w:val="0"/>
        <w:autoSpaceDE w:val="0"/>
        <w:autoSpaceDN w:val="0"/>
        <w:adjustRightInd w:val="0"/>
        <w:ind w:left="640" w:hanging="640"/>
        <w:rPr>
          <w:noProof/>
        </w:rPr>
      </w:pPr>
      <w:r w:rsidRPr="00BF577E">
        <w:rPr>
          <w:noProof/>
        </w:rPr>
        <w:t>18.</w:t>
      </w:r>
      <w:r w:rsidRPr="00BF577E">
        <w:rPr>
          <w:noProof/>
        </w:rPr>
        <w:tab/>
        <w:t xml:space="preserve">Hueb, W., Soares, P. R., Gersh, B. J., César, L. A. M., Luz, P. L., Puig, L. B., Martinez, E. M., Oliveira, S. A. &amp; Ramires, J. A. F. The medicine, angioplasty, or surgery study (MASS-II): a randomized, controlled  clinical trial of three therapeutic strategies for multivessel coronary artery disease: one-year results. </w:t>
      </w:r>
      <w:r w:rsidRPr="00BF577E">
        <w:rPr>
          <w:i/>
          <w:iCs/>
          <w:noProof/>
        </w:rPr>
        <w:t>J. Am. Coll. Cardiol.</w:t>
      </w:r>
      <w:r w:rsidRPr="00BF577E">
        <w:rPr>
          <w:noProof/>
        </w:rPr>
        <w:t xml:space="preserve"> </w:t>
      </w:r>
      <w:r w:rsidRPr="00BF577E">
        <w:rPr>
          <w:b/>
          <w:bCs/>
          <w:noProof/>
        </w:rPr>
        <w:t>43</w:t>
      </w:r>
      <w:r w:rsidRPr="00BF577E">
        <w:rPr>
          <w:noProof/>
        </w:rPr>
        <w:t>, 1743–1751 (2004).</w:t>
      </w:r>
    </w:p>
    <w:p w14:paraId="67336BDC" w14:textId="77777777" w:rsidR="00BF577E" w:rsidRPr="00BF577E" w:rsidRDefault="00BF577E" w:rsidP="00BF577E">
      <w:pPr>
        <w:widowControl w:val="0"/>
        <w:autoSpaceDE w:val="0"/>
        <w:autoSpaceDN w:val="0"/>
        <w:adjustRightInd w:val="0"/>
        <w:ind w:left="640" w:hanging="640"/>
        <w:rPr>
          <w:noProof/>
        </w:rPr>
      </w:pPr>
      <w:r w:rsidRPr="00BF577E">
        <w:rPr>
          <w:noProof/>
        </w:rPr>
        <w:t>19.</w:t>
      </w:r>
      <w:r w:rsidRPr="00BF577E">
        <w:rPr>
          <w:noProof/>
        </w:rPr>
        <w:tab/>
        <w:t xml:space="preserve">Yusuf, S., Zucker, D., Peduzzi, P., Fisher, L. D., Takaro, T., Kennedy, J. W., Davis, K., Killip, T., Passamani, E., </w:t>
      </w:r>
      <w:r w:rsidRPr="00BF577E">
        <w:rPr>
          <w:i/>
          <w:iCs/>
          <w:noProof/>
        </w:rPr>
        <w:t>et al.</w:t>
      </w:r>
      <w:r w:rsidRPr="00BF577E">
        <w:rPr>
          <w:noProof/>
        </w:rPr>
        <w:t xml:space="preserve"> Effect of coronary artery bypass graft surgery on survival: overview of 10-year  results from randomised trials by the Coronary Artery Bypass Graft Surgery Trialists Collaboration. </w:t>
      </w:r>
      <w:r w:rsidRPr="00BF577E">
        <w:rPr>
          <w:i/>
          <w:iCs/>
          <w:noProof/>
        </w:rPr>
        <w:t>Lancet (London, England)</w:t>
      </w:r>
      <w:r w:rsidRPr="00BF577E">
        <w:rPr>
          <w:noProof/>
        </w:rPr>
        <w:t xml:space="preserve"> </w:t>
      </w:r>
      <w:r w:rsidRPr="00BF577E">
        <w:rPr>
          <w:b/>
          <w:bCs/>
          <w:noProof/>
        </w:rPr>
        <w:t>344</w:t>
      </w:r>
      <w:r w:rsidRPr="00BF577E">
        <w:rPr>
          <w:noProof/>
        </w:rPr>
        <w:t>, 563–570 (1994).</w:t>
      </w:r>
    </w:p>
    <w:p w14:paraId="3ABDD7CD" w14:textId="77777777" w:rsidR="00BF577E" w:rsidRPr="00BF577E" w:rsidRDefault="00BF577E" w:rsidP="00BF577E">
      <w:pPr>
        <w:widowControl w:val="0"/>
        <w:autoSpaceDE w:val="0"/>
        <w:autoSpaceDN w:val="0"/>
        <w:adjustRightInd w:val="0"/>
        <w:ind w:left="640" w:hanging="640"/>
        <w:rPr>
          <w:noProof/>
        </w:rPr>
      </w:pPr>
      <w:r w:rsidRPr="00BF577E">
        <w:rPr>
          <w:noProof/>
        </w:rPr>
        <w:t>20.</w:t>
      </w:r>
      <w:r w:rsidRPr="00BF577E">
        <w:rPr>
          <w:noProof/>
        </w:rPr>
        <w:tab/>
        <w:t xml:space="preserve">Bittl, J. A., He, Y., Jacobs, A. K., Yancy, C. W. &amp; Normand, S.-L. T. Bayesian methods affirm the use of percutaneous coronary intervention to improve  survival in patients with unprotected left main coronary artery disease. </w:t>
      </w:r>
      <w:r w:rsidRPr="00BF577E">
        <w:rPr>
          <w:i/>
          <w:iCs/>
          <w:noProof/>
        </w:rPr>
        <w:t>Circulation</w:t>
      </w:r>
      <w:r w:rsidRPr="00BF577E">
        <w:rPr>
          <w:noProof/>
        </w:rPr>
        <w:t xml:space="preserve"> </w:t>
      </w:r>
      <w:r w:rsidRPr="00BF577E">
        <w:rPr>
          <w:b/>
          <w:bCs/>
          <w:noProof/>
        </w:rPr>
        <w:t>127</w:t>
      </w:r>
      <w:r w:rsidRPr="00BF577E">
        <w:rPr>
          <w:noProof/>
        </w:rPr>
        <w:t>, 2177–2185 (2013).</w:t>
      </w:r>
    </w:p>
    <w:p w14:paraId="200C9723" w14:textId="77777777" w:rsidR="00BF577E" w:rsidRPr="00BF577E" w:rsidRDefault="00BF577E" w:rsidP="00BF577E">
      <w:pPr>
        <w:widowControl w:val="0"/>
        <w:autoSpaceDE w:val="0"/>
        <w:autoSpaceDN w:val="0"/>
        <w:adjustRightInd w:val="0"/>
        <w:ind w:left="640" w:hanging="640"/>
        <w:rPr>
          <w:noProof/>
        </w:rPr>
      </w:pPr>
      <w:r w:rsidRPr="00BF577E">
        <w:rPr>
          <w:noProof/>
        </w:rPr>
        <w:t>21.</w:t>
      </w:r>
      <w:r w:rsidRPr="00BF577E">
        <w:rPr>
          <w:noProof/>
        </w:rPr>
        <w:tab/>
        <w:t xml:space="preserve">Sabatine, M. S., Bergmark, B. A., Murphy, S. A., O’Gara, P. T., Smith, P. K., Serruys, P. W., Kappetein, A. P., Park, S.-J., Park, D.-W., </w:t>
      </w:r>
      <w:r w:rsidRPr="00BF577E">
        <w:rPr>
          <w:i/>
          <w:iCs/>
          <w:noProof/>
        </w:rPr>
        <w:t>et al.</w:t>
      </w:r>
      <w:r w:rsidRPr="00BF577E">
        <w:rPr>
          <w:noProof/>
        </w:rPr>
        <w:t xml:space="preserve"> Percutaneous coronary intervention with drug-eluting stents versus coronary  artery bypass grafting in left main coronary artery disease: an individual patient data meta-analysis. </w:t>
      </w:r>
      <w:r w:rsidRPr="00BF577E">
        <w:rPr>
          <w:i/>
          <w:iCs/>
          <w:noProof/>
        </w:rPr>
        <w:t>Lancet (London, England)</w:t>
      </w:r>
      <w:r w:rsidRPr="00BF577E">
        <w:rPr>
          <w:noProof/>
        </w:rPr>
        <w:t xml:space="preserve"> </w:t>
      </w:r>
      <w:r w:rsidRPr="00BF577E">
        <w:rPr>
          <w:b/>
          <w:bCs/>
          <w:noProof/>
        </w:rPr>
        <w:t>398</w:t>
      </w:r>
      <w:r w:rsidRPr="00BF577E">
        <w:rPr>
          <w:noProof/>
        </w:rPr>
        <w:t>, 2247–2257 (2021).</w:t>
      </w:r>
    </w:p>
    <w:p w14:paraId="1E0ECE04" w14:textId="77777777" w:rsidR="00BF577E" w:rsidRPr="00BF577E" w:rsidRDefault="00BF577E" w:rsidP="00BF577E">
      <w:pPr>
        <w:widowControl w:val="0"/>
        <w:autoSpaceDE w:val="0"/>
        <w:autoSpaceDN w:val="0"/>
        <w:adjustRightInd w:val="0"/>
        <w:ind w:left="640" w:hanging="640"/>
        <w:rPr>
          <w:noProof/>
        </w:rPr>
      </w:pPr>
      <w:r w:rsidRPr="00BF577E">
        <w:rPr>
          <w:noProof/>
        </w:rPr>
        <w:t>22.</w:t>
      </w:r>
      <w:r w:rsidRPr="00BF577E">
        <w:rPr>
          <w:noProof/>
        </w:rPr>
        <w:tab/>
        <w:t xml:space="preserve">Ahmad, Y., Howard, J. P., Arnold, A. D., Cook, C. M., Prasad, M., Ali, Z. A., Parikh, M. A., Kosmidou, I., Francis, D. P., </w:t>
      </w:r>
      <w:r w:rsidRPr="00BF577E">
        <w:rPr>
          <w:i/>
          <w:iCs/>
          <w:noProof/>
        </w:rPr>
        <w:t>et al.</w:t>
      </w:r>
      <w:r w:rsidRPr="00BF577E">
        <w:rPr>
          <w:noProof/>
        </w:rPr>
        <w:t xml:space="preserve"> Mortality after drug-eluting stents vs. coronary artery bypass grafting for left main coronary artery disease: a meta-analysis of randomized controlled trials. </w:t>
      </w:r>
      <w:r w:rsidRPr="00BF577E">
        <w:rPr>
          <w:i/>
          <w:iCs/>
          <w:noProof/>
        </w:rPr>
        <w:t>Eur. Heart J.</w:t>
      </w:r>
      <w:r w:rsidRPr="00BF577E">
        <w:rPr>
          <w:noProof/>
        </w:rPr>
        <w:t xml:space="preserve"> </w:t>
      </w:r>
      <w:r w:rsidRPr="00BF577E">
        <w:rPr>
          <w:b/>
          <w:bCs/>
          <w:noProof/>
        </w:rPr>
        <w:t>41</w:t>
      </w:r>
      <w:r w:rsidRPr="00BF577E">
        <w:rPr>
          <w:noProof/>
        </w:rPr>
        <w:t>, 3228–3235 (2020).</w:t>
      </w:r>
    </w:p>
    <w:p w14:paraId="3902410D" w14:textId="77777777" w:rsidR="00BF577E" w:rsidRPr="00BF577E" w:rsidRDefault="00BF577E" w:rsidP="00BF577E">
      <w:pPr>
        <w:widowControl w:val="0"/>
        <w:autoSpaceDE w:val="0"/>
        <w:autoSpaceDN w:val="0"/>
        <w:adjustRightInd w:val="0"/>
        <w:ind w:left="640" w:hanging="640"/>
        <w:rPr>
          <w:noProof/>
        </w:rPr>
      </w:pPr>
      <w:r w:rsidRPr="00BF577E">
        <w:rPr>
          <w:noProof/>
        </w:rPr>
        <w:t>23.</w:t>
      </w:r>
      <w:r w:rsidRPr="00BF577E">
        <w:rPr>
          <w:noProof/>
        </w:rPr>
        <w:tab/>
        <w:t xml:space="preserve">Bangalore, S., Guo, Y., Samadashvili, Z., Blecker, S., Xu, J. &amp; Hannan, E. L. Everolimus Eluting Stents Versus Coronary Artery Bypass Graft Surgery for  Patients With Diabetes Mellitus and Multivessel Disease. </w:t>
      </w:r>
      <w:r w:rsidRPr="00BF577E">
        <w:rPr>
          <w:i/>
          <w:iCs/>
          <w:noProof/>
        </w:rPr>
        <w:t>Circ. Cardiovasc. Interv.</w:t>
      </w:r>
      <w:r w:rsidRPr="00BF577E">
        <w:rPr>
          <w:noProof/>
        </w:rPr>
        <w:t xml:space="preserve"> </w:t>
      </w:r>
      <w:r w:rsidRPr="00BF577E">
        <w:rPr>
          <w:b/>
          <w:bCs/>
          <w:noProof/>
        </w:rPr>
        <w:t>8</w:t>
      </w:r>
      <w:r w:rsidRPr="00BF577E">
        <w:rPr>
          <w:noProof/>
        </w:rPr>
        <w:t>, e002626 (2015).</w:t>
      </w:r>
    </w:p>
    <w:p w14:paraId="26866225" w14:textId="77777777" w:rsidR="00BF577E" w:rsidRPr="00BF577E" w:rsidRDefault="00BF577E" w:rsidP="00BF577E">
      <w:pPr>
        <w:widowControl w:val="0"/>
        <w:autoSpaceDE w:val="0"/>
        <w:autoSpaceDN w:val="0"/>
        <w:adjustRightInd w:val="0"/>
        <w:ind w:left="640" w:hanging="640"/>
        <w:rPr>
          <w:noProof/>
        </w:rPr>
      </w:pPr>
      <w:r w:rsidRPr="00BF577E">
        <w:rPr>
          <w:noProof/>
        </w:rPr>
        <w:t>24.</w:t>
      </w:r>
      <w:r w:rsidRPr="00BF577E">
        <w:rPr>
          <w:noProof/>
        </w:rPr>
        <w:tab/>
        <w:t xml:space="preserve">Thuijs, D. J. F. M., Kappetein, A. P., Serruys, P. W., Mohr, F.-W., Morice, M.-C., Mack, M. J., Holmes, D. R. J., Curzen, N., Davierwala, P., </w:t>
      </w:r>
      <w:r w:rsidRPr="00BF577E">
        <w:rPr>
          <w:i/>
          <w:iCs/>
          <w:noProof/>
        </w:rPr>
        <w:t>et al.</w:t>
      </w:r>
      <w:r w:rsidRPr="00BF577E">
        <w:rPr>
          <w:noProof/>
        </w:rPr>
        <w:t xml:space="preserve"> Percutaneous coronary intervention versus coronary artery bypass grafting in  patients with three-vessel or left main coronary artery disease: 10-year follow-up of the multicentre randomised controlled SYNTAX trial. </w:t>
      </w:r>
      <w:r w:rsidRPr="00BF577E">
        <w:rPr>
          <w:i/>
          <w:iCs/>
          <w:noProof/>
        </w:rPr>
        <w:t>Lancet (London, England)</w:t>
      </w:r>
      <w:r w:rsidRPr="00BF577E">
        <w:rPr>
          <w:noProof/>
        </w:rPr>
        <w:t xml:space="preserve"> </w:t>
      </w:r>
      <w:r w:rsidRPr="00BF577E">
        <w:rPr>
          <w:b/>
          <w:bCs/>
          <w:noProof/>
        </w:rPr>
        <w:t>394</w:t>
      </w:r>
      <w:r w:rsidRPr="00BF577E">
        <w:rPr>
          <w:noProof/>
        </w:rPr>
        <w:t>, 1325–1334 (2019).</w:t>
      </w:r>
    </w:p>
    <w:p w14:paraId="0C6FF7CB" w14:textId="77777777" w:rsidR="00BF577E" w:rsidRPr="00BF577E" w:rsidRDefault="00BF577E" w:rsidP="00BF577E">
      <w:pPr>
        <w:widowControl w:val="0"/>
        <w:autoSpaceDE w:val="0"/>
        <w:autoSpaceDN w:val="0"/>
        <w:adjustRightInd w:val="0"/>
        <w:ind w:left="640" w:hanging="640"/>
        <w:rPr>
          <w:noProof/>
        </w:rPr>
      </w:pPr>
      <w:r w:rsidRPr="00BF577E">
        <w:rPr>
          <w:noProof/>
        </w:rPr>
        <w:t>25.</w:t>
      </w:r>
      <w:r w:rsidRPr="00BF577E">
        <w:rPr>
          <w:noProof/>
        </w:rPr>
        <w:tab/>
        <w:t xml:space="preserve">Head, S. J., Milojevic, M., Daemen, J., Ahn, J.-M., Boersma, E., Christiansen, E. H., Domanski, M. J., Farkouh, M. E., Flather, M., </w:t>
      </w:r>
      <w:r w:rsidRPr="00BF577E">
        <w:rPr>
          <w:i/>
          <w:iCs/>
          <w:noProof/>
        </w:rPr>
        <w:t>et al.</w:t>
      </w:r>
      <w:r w:rsidRPr="00BF577E">
        <w:rPr>
          <w:noProof/>
        </w:rPr>
        <w:t xml:space="preserve"> Mortality after coronary artery bypass grafting versus percutaneous coronary  intervention with stenting for coronary </w:t>
      </w:r>
      <w:r w:rsidRPr="00BF577E">
        <w:rPr>
          <w:noProof/>
        </w:rPr>
        <w:lastRenderedPageBreak/>
        <w:t xml:space="preserve">artery disease: a pooled analysis of individual patient data. </w:t>
      </w:r>
      <w:r w:rsidRPr="00BF577E">
        <w:rPr>
          <w:i/>
          <w:iCs/>
          <w:noProof/>
        </w:rPr>
        <w:t>Lancet (London, England)</w:t>
      </w:r>
      <w:r w:rsidRPr="00BF577E">
        <w:rPr>
          <w:noProof/>
        </w:rPr>
        <w:t xml:space="preserve"> </w:t>
      </w:r>
      <w:r w:rsidRPr="00BF577E">
        <w:rPr>
          <w:b/>
          <w:bCs/>
          <w:noProof/>
        </w:rPr>
        <w:t>391</w:t>
      </w:r>
      <w:r w:rsidRPr="00BF577E">
        <w:rPr>
          <w:noProof/>
        </w:rPr>
        <w:t>, 939–948 (2018).</w:t>
      </w:r>
    </w:p>
    <w:p w14:paraId="3E81CBC3" w14:textId="77777777" w:rsidR="00BF577E" w:rsidRPr="00BF577E" w:rsidRDefault="00BF577E" w:rsidP="00BF577E">
      <w:pPr>
        <w:widowControl w:val="0"/>
        <w:autoSpaceDE w:val="0"/>
        <w:autoSpaceDN w:val="0"/>
        <w:adjustRightInd w:val="0"/>
        <w:ind w:left="640" w:hanging="640"/>
        <w:rPr>
          <w:noProof/>
        </w:rPr>
      </w:pPr>
      <w:r w:rsidRPr="00BF577E">
        <w:rPr>
          <w:noProof/>
        </w:rPr>
        <w:t>26.</w:t>
      </w:r>
      <w:r w:rsidRPr="00BF577E">
        <w:rPr>
          <w:noProof/>
        </w:rPr>
        <w:tab/>
        <w:t xml:space="preserve">Hueb, W. A., Bellotti, G., de Oliveira, S. A., Arie, S., de Albuquerque, C. P., Jatene, A. D. &amp; Pileggi, F. The Medicine, Angioplasty or Surgery Study (MASS): a prospective, randomized  trial of medical therapy, balloon angioplasty or bypass surgery for single proximal left anterior descending artery stenoses. </w:t>
      </w:r>
      <w:r w:rsidRPr="00BF577E">
        <w:rPr>
          <w:i/>
          <w:iCs/>
          <w:noProof/>
        </w:rPr>
        <w:t>J. Am. Coll. Cardiol.</w:t>
      </w:r>
      <w:r w:rsidRPr="00BF577E">
        <w:rPr>
          <w:noProof/>
        </w:rPr>
        <w:t xml:space="preserve"> </w:t>
      </w:r>
      <w:r w:rsidRPr="00BF577E">
        <w:rPr>
          <w:b/>
          <w:bCs/>
          <w:noProof/>
        </w:rPr>
        <w:t>26</w:t>
      </w:r>
      <w:r w:rsidRPr="00BF577E">
        <w:rPr>
          <w:noProof/>
        </w:rPr>
        <w:t>, 1600–1605 (1995).</w:t>
      </w:r>
    </w:p>
    <w:p w14:paraId="1472C757" w14:textId="77777777" w:rsidR="00BF577E" w:rsidRPr="00BF577E" w:rsidRDefault="00BF577E" w:rsidP="00BF577E">
      <w:pPr>
        <w:widowControl w:val="0"/>
        <w:autoSpaceDE w:val="0"/>
        <w:autoSpaceDN w:val="0"/>
        <w:adjustRightInd w:val="0"/>
        <w:ind w:left="640" w:hanging="640"/>
        <w:rPr>
          <w:noProof/>
        </w:rPr>
      </w:pPr>
      <w:r w:rsidRPr="00BF577E">
        <w:rPr>
          <w:noProof/>
        </w:rPr>
        <w:t>27.</w:t>
      </w:r>
      <w:r w:rsidRPr="00BF577E">
        <w:rPr>
          <w:noProof/>
        </w:rPr>
        <w:tab/>
        <w:t xml:space="preserve">Hueb, W. A., Soares, P. R., Almeida De Oliveira, S., Ariê, S., Cardoso, R. H., Wajsbrot, D. B., Cesar, L. A., Jatene, A. D. &amp; Ramires, J. A. Five-year follow-op of the medicine, angioplasty, or surgery study (MASS): A  prospective, randomized trial of medical therapy, balloon angioplasty, or bypass surgery for single proximal left anterior descending coronary artery stenosis. </w:t>
      </w:r>
      <w:r w:rsidRPr="00BF577E">
        <w:rPr>
          <w:i/>
          <w:iCs/>
          <w:noProof/>
        </w:rPr>
        <w:t>Circulation</w:t>
      </w:r>
      <w:r w:rsidRPr="00BF577E">
        <w:rPr>
          <w:noProof/>
        </w:rPr>
        <w:t xml:space="preserve"> </w:t>
      </w:r>
      <w:r w:rsidRPr="00BF577E">
        <w:rPr>
          <w:b/>
          <w:bCs/>
          <w:noProof/>
        </w:rPr>
        <w:t>100</w:t>
      </w:r>
      <w:r w:rsidRPr="00BF577E">
        <w:rPr>
          <w:noProof/>
        </w:rPr>
        <w:t>, II107-13 (1999).</w:t>
      </w:r>
    </w:p>
    <w:p w14:paraId="125623BC" w14:textId="77777777" w:rsidR="00BF577E" w:rsidRPr="00BF577E" w:rsidRDefault="00BF577E" w:rsidP="00BF577E">
      <w:pPr>
        <w:widowControl w:val="0"/>
        <w:autoSpaceDE w:val="0"/>
        <w:autoSpaceDN w:val="0"/>
        <w:adjustRightInd w:val="0"/>
        <w:ind w:left="640" w:hanging="640"/>
        <w:rPr>
          <w:noProof/>
        </w:rPr>
      </w:pPr>
      <w:r w:rsidRPr="00BF577E">
        <w:rPr>
          <w:noProof/>
        </w:rPr>
        <w:t>28.</w:t>
      </w:r>
      <w:r w:rsidRPr="00BF577E">
        <w:rPr>
          <w:noProof/>
        </w:rPr>
        <w:tab/>
        <w:t xml:space="preserve">Hannan, E. L., Zhong, Y., Walford, G., Holmes, D. R. J., Venditti, F. J., Berger, P. B., Jacobs, A. K., Stamato, N. J., Curtis, J. P., </w:t>
      </w:r>
      <w:r w:rsidRPr="00BF577E">
        <w:rPr>
          <w:i/>
          <w:iCs/>
          <w:noProof/>
        </w:rPr>
        <w:t>et al.</w:t>
      </w:r>
      <w:r w:rsidRPr="00BF577E">
        <w:rPr>
          <w:noProof/>
        </w:rPr>
        <w:t xml:space="preserve"> Coronary artery bypass graft surgery versus drug-eluting stents for patients with  isolated proximal left anterior descending disease. </w:t>
      </w:r>
      <w:r w:rsidRPr="00BF577E">
        <w:rPr>
          <w:i/>
          <w:iCs/>
          <w:noProof/>
        </w:rPr>
        <w:t>J. Am. Coll. Cardiol.</w:t>
      </w:r>
      <w:r w:rsidRPr="00BF577E">
        <w:rPr>
          <w:noProof/>
        </w:rPr>
        <w:t xml:space="preserve"> </w:t>
      </w:r>
      <w:r w:rsidRPr="00BF577E">
        <w:rPr>
          <w:b/>
          <w:bCs/>
          <w:noProof/>
        </w:rPr>
        <w:t>64</w:t>
      </w:r>
      <w:r w:rsidRPr="00BF577E">
        <w:rPr>
          <w:noProof/>
        </w:rPr>
        <w:t>, 2717–2726 (2014).</w:t>
      </w:r>
    </w:p>
    <w:p w14:paraId="0DA58F95" w14:textId="77777777" w:rsidR="00BF577E" w:rsidRPr="00BF577E" w:rsidRDefault="00BF577E" w:rsidP="00BF577E">
      <w:pPr>
        <w:widowControl w:val="0"/>
        <w:autoSpaceDE w:val="0"/>
        <w:autoSpaceDN w:val="0"/>
        <w:adjustRightInd w:val="0"/>
        <w:ind w:left="640" w:hanging="640"/>
        <w:rPr>
          <w:noProof/>
        </w:rPr>
      </w:pPr>
      <w:r w:rsidRPr="00BF577E">
        <w:rPr>
          <w:noProof/>
        </w:rPr>
        <w:t>29.</w:t>
      </w:r>
      <w:r w:rsidRPr="00BF577E">
        <w:rPr>
          <w:noProof/>
        </w:rPr>
        <w:tab/>
        <w:t xml:space="preserve">Aziz, O., Rao, C., Panesar, S. S., Jones, C., Morris, S., Darzi, A. &amp; Athanasiou, T. Meta-analysis of minimally invasive internal thoracic artery bypass versus  percutaneous revascularisation for isolated lesions of the left anterior descending artery. </w:t>
      </w:r>
      <w:r w:rsidRPr="00BF577E">
        <w:rPr>
          <w:i/>
          <w:iCs/>
          <w:noProof/>
        </w:rPr>
        <w:t>BMJ</w:t>
      </w:r>
      <w:r w:rsidRPr="00BF577E">
        <w:rPr>
          <w:noProof/>
        </w:rPr>
        <w:t xml:space="preserve"> </w:t>
      </w:r>
      <w:r w:rsidRPr="00BF577E">
        <w:rPr>
          <w:b/>
          <w:bCs/>
          <w:noProof/>
        </w:rPr>
        <w:t>334</w:t>
      </w:r>
      <w:r w:rsidRPr="00BF577E">
        <w:rPr>
          <w:noProof/>
        </w:rPr>
        <w:t>, 617 (2007).</w:t>
      </w:r>
    </w:p>
    <w:p w14:paraId="23820805" w14:textId="77777777" w:rsidR="00BF577E" w:rsidRPr="00BF577E" w:rsidRDefault="00BF577E" w:rsidP="00BF577E">
      <w:pPr>
        <w:widowControl w:val="0"/>
        <w:autoSpaceDE w:val="0"/>
        <w:autoSpaceDN w:val="0"/>
        <w:adjustRightInd w:val="0"/>
        <w:ind w:left="640" w:hanging="640"/>
        <w:rPr>
          <w:noProof/>
        </w:rPr>
      </w:pPr>
      <w:r w:rsidRPr="00BF577E">
        <w:rPr>
          <w:noProof/>
        </w:rPr>
        <w:t>30.</w:t>
      </w:r>
      <w:r w:rsidRPr="00BF577E">
        <w:rPr>
          <w:noProof/>
        </w:rPr>
        <w:tab/>
        <w:t xml:space="preserve">Querdel, E., Reinsch, M., Castro, L., Köse, D., Bähr, A., Reich, S., Geertz, B., Ulmer, B., Schulze, M., </w:t>
      </w:r>
      <w:r w:rsidRPr="00BF577E">
        <w:rPr>
          <w:i/>
          <w:iCs/>
          <w:noProof/>
        </w:rPr>
        <w:t>et al.</w:t>
      </w:r>
      <w:r w:rsidRPr="00BF577E">
        <w:rPr>
          <w:noProof/>
        </w:rPr>
        <w:t xml:space="preserve"> Human Engineered Heart Tissue Patches Remuscularize the Injured Heart in a Dose-Dependent Manner. </w:t>
      </w:r>
      <w:r w:rsidRPr="00BF577E">
        <w:rPr>
          <w:i/>
          <w:iCs/>
          <w:noProof/>
        </w:rPr>
        <w:t>Circulation</w:t>
      </w:r>
      <w:r w:rsidRPr="00BF577E">
        <w:rPr>
          <w:noProof/>
        </w:rPr>
        <w:t xml:space="preserve"> </w:t>
      </w:r>
      <w:r w:rsidRPr="00BF577E">
        <w:rPr>
          <w:b/>
          <w:bCs/>
          <w:noProof/>
        </w:rPr>
        <w:t>0</w:t>
      </w:r>
      <w:r w:rsidRPr="00BF577E">
        <w:rPr>
          <w:noProof/>
        </w:rPr>
        <w:t>,.</w:t>
      </w:r>
    </w:p>
    <w:p w14:paraId="4E7A66D5" w14:textId="77777777" w:rsidR="00BF577E" w:rsidRPr="00BF577E" w:rsidRDefault="00BF577E" w:rsidP="00BF577E">
      <w:pPr>
        <w:widowControl w:val="0"/>
        <w:autoSpaceDE w:val="0"/>
        <w:autoSpaceDN w:val="0"/>
        <w:adjustRightInd w:val="0"/>
        <w:ind w:left="640" w:hanging="640"/>
        <w:rPr>
          <w:noProof/>
        </w:rPr>
      </w:pPr>
      <w:r w:rsidRPr="00BF577E">
        <w:rPr>
          <w:noProof/>
        </w:rPr>
        <w:t>31.</w:t>
      </w:r>
      <w:r w:rsidRPr="00BF577E">
        <w:rPr>
          <w:noProof/>
        </w:rPr>
        <w:tab/>
        <w:t xml:space="preserve">Morice, M.-C., Serruys, P. W., Kappetein, A. P., Feldman, T. E., Ståhle, E., Colombo, A., Mack, M. J., Holmes, D. R., Choi, J. W., </w:t>
      </w:r>
      <w:r w:rsidRPr="00BF577E">
        <w:rPr>
          <w:i/>
          <w:iCs/>
          <w:noProof/>
        </w:rPr>
        <w:t>et al.</w:t>
      </w:r>
      <w:r w:rsidRPr="00BF577E">
        <w:rPr>
          <w:noProof/>
        </w:rPr>
        <w:t xml:space="preserve"> Five-year outcomes in patients with left main disease treated with either  percutaneous coronary intervention or coronary artery bypass grafting in the synergy between percutaneous coronary intervention with taxus and cardiac surgery trial. </w:t>
      </w:r>
      <w:r w:rsidRPr="00BF577E">
        <w:rPr>
          <w:i/>
          <w:iCs/>
          <w:noProof/>
        </w:rPr>
        <w:t>Circulation</w:t>
      </w:r>
      <w:r w:rsidRPr="00BF577E">
        <w:rPr>
          <w:noProof/>
        </w:rPr>
        <w:t xml:space="preserve"> </w:t>
      </w:r>
      <w:r w:rsidRPr="00BF577E">
        <w:rPr>
          <w:b/>
          <w:bCs/>
          <w:noProof/>
        </w:rPr>
        <w:t>129</w:t>
      </w:r>
      <w:r w:rsidRPr="00BF577E">
        <w:rPr>
          <w:noProof/>
        </w:rPr>
        <w:t>, 2388–2394 (2014).</w:t>
      </w:r>
    </w:p>
    <w:p w14:paraId="48C7CA00" w14:textId="77777777" w:rsidR="00BF577E" w:rsidRPr="00BF577E" w:rsidRDefault="00BF577E" w:rsidP="00BF577E">
      <w:pPr>
        <w:widowControl w:val="0"/>
        <w:autoSpaceDE w:val="0"/>
        <w:autoSpaceDN w:val="0"/>
        <w:adjustRightInd w:val="0"/>
        <w:ind w:left="640" w:hanging="640"/>
        <w:rPr>
          <w:noProof/>
        </w:rPr>
      </w:pPr>
      <w:r w:rsidRPr="00BF577E">
        <w:rPr>
          <w:noProof/>
        </w:rPr>
        <w:t>32.</w:t>
      </w:r>
      <w:r w:rsidRPr="00BF577E">
        <w:rPr>
          <w:noProof/>
        </w:rPr>
        <w:tab/>
        <w:t xml:space="preserve">Kofoed, K. F., Kelbæk, H., Hansen, P. R., Torp-Pedersen, C., Høfsten, D., Kløvgaard, L., Holmvang, L., Helqvist, S., Jørgensen, E., </w:t>
      </w:r>
      <w:r w:rsidRPr="00BF577E">
        <w:rPr>
          <w:i/>
          <w:iCs/>
          <w:noProof/>
        </w:rPr>
        <w:t>et al.</w:t>
      </w:r>
      <w:r w:rsidRPr="00BF577E">
        <w:rPr>
          <w:noProof/>
        </w:rPr>
        <w:t xml:space="preserve"> Early Versus Standard Care Invasive Examination and Treatment of Patients With  Non-ST-Segment Elevation Acute Coronary Syndrome. </w:t>
      </w:r>
      <w:r w:rsidRPr="00BF577E">
        <w:rPr>
          <w:i/>
          <w:iCs/>
          <w:noProof/>
        </w:rPr>
        <w:t>Circulation</w:t>
      </w:r>
      <w:r w:rsidRPr="00BF577E">
        <w:rPr>
          <w:noProof/>
        </w:rPr>
        <w:t xml:space="preserve"> </w:t>
      </w:r>
      <w:r w:rsidRPr="00BF577E">
        <w:rPr>
          <w:b/>
          <w:bCs/>
          <w:noProof/>
        </w:rPr>
        <w:t>138</w:t>
      </w:r>
      <w:r w:rsidRPr="00BF577E">
        <w:rPr>
          <w:noProof/>
        </w:rPr>
        <w:t>, 2741–2750 (2018).</w:t>
      </w:r>
    </w:p>
    <w:p w14:paraId="339D4CEC" w14:textId="77777777" w:rsidR="00BF577E" w:rsidRPr="00BF577E" w:rsidRDefault="00BF577E" w:rsidP="00BF577E">
      <w:pPr>
        <w:widowControl w:val="0"/>
        <w:autoSpaceDE w:val="0"/>
        <w:autoSpaceDN w:val="0"/>
        <w:adjustRightInd w:val="0"/>
        <w:ind w:left="640" w:hanging="640"/>
        <w:rPr>
          <w:noProof/>
        </w:rPr>
      </w:pPr>
      <w:r w:rsidRPr="00BF577E">
        <w:rPr>
          <w:noProof/>
        </w:rPr>
        <w:t>33.</w:t>
      </w:r>
      <w:r w:rsidRPr="00BF577E">
        <w:rPr>
          <w:noProof/>
        </w:rPr>
        <w:tab/>
        <w:t xml:space="preserve">Mehta, S. R., Granger, C. B., Boden, W. E., Steg, P. G., Bassand, J.-P., Faxon, D. P., Afzal, R., Chrolavicius, S., Jolly, S. S., </w:t>
      </w:r>
      <w:r w:rsidRPr="00BF577E">
        <w:rPr>
          <w:i/>
          <w:iCs/>
          <w:noProof/>
        </w:rPr>
        <w:t>et al.</w:t>
      </w:r>
      <w:r w:rsidRPr="00BF577E">
        <w:rPr>
          <w:noProof/>
        </w:rPr>
        <w:t xml:space="preserve"> Early versus delayed invasive intervention in acute coronary syndromes. </w:t>
      </w:r>
      <w:r w:rsidRPr="00BF577E">
        <w:rPr>
          <w:i/>
          <w:iCs/>
          <w:noProof/>
        </w:rPr>
        <w:t>N. Engl. J. Med.</w:t>
      </w:r>
      <w:r w:rsidRPr="00BF577E">
        <w:rPr>
          <w:noProof/>
        </w:rPr>
        <w:t xml:space="preserve"> </w:t>
      </w:r>
      <w:r w:rsidRPr="00BF577E">
        <w:rPr>
          <w:b/>
          <w:bCs/>
          <w:noProof/>
        </w:rPr>
        <w:t>360</w:t>
      </w:r>
      <w:r w:rsidRPr="00BF577E">
        <w:rPr>
          <w:noProof/>
        </w:rPr>
        <w:t>, 2165–2175 (2009).</w:t>
      </w:r>
    </w:p>
    <w:p w14:paraId="349CDB4B" w14:textId="77777777" w:rsidR="00BF577E" w:rsidRPr="00BF577E" w:rsidRDefault="00BF577E" w:rsidP="00BF577E">
      <w:pPr>
        <w:widowControl w:val="0"/>
        <w:autoSpaceDE w:val="0"/>
        <w:autoSpaceDN w:val="0"/>
        <w:adjustRightInd w:val="0"/>
        <w:ind w:left="640" w:hanging="640"/>
        <w:rPr>
          <w:noProof/>
        </w:rPr>
      </w:pPr>
      <w:r w:rsidRPr="00BF577E">
        <w:rPr>
          <w:noProof/>
        </w:rPr>
        <w:t>34.</w:t>
      </w:r>
      <w:r w:rsidRPr="00BF577E">
        <w:rPr>
          <w:noProof/>
        </w:rPr>
        <w:tab/>
        <w:t xml:space="preserve">Corcoran, D., Grant, P. &amp; Berry, C. Risk stratification in non-ST elevation acute coronary syndromes: Risk scores,  biomarkers and clinical judgment. </w:t>
      </w:r>
      <w:r w:rsidRPr="00BF577E">
        <w:rPr>
          <w:i/>
          <w:iCs/>
          <w:noProof/>
        </w:rPr>
        <w:t>Int. J. Cardiol. Hear. Vasc.</w:t>
      </w:r>
      <w:r w:rsidRPr="00BF577E">
        <w:rPr>
          <w:noProof/>
        </w:rPr>
        <w:t xml:space="preserve"> </w:t>
      </w:r>
      <w:r w:rsidRPr="00BF577E">
        <w:rPr>
          <w:b/>
          <w:bCs/>
          <w:noProof/>
        </w:rPr>
        <w:t>8</w:t>
      </w:r>
      <w:r w:rsidRPr="00BF577E">
        <w:rPr>
          <w:noProof/>
        </w:rPr>
        <w:t>, 131–137 (2015).</w:t>
      </w:r>
    </w:p>
    <w:p w14:paraId="009592C2" w14:textId="77777777" w:rsidR="00BF577E" w:rsidRPr="00BF577E" w:rsidRDefault="00BF577E" w:rsidP="00BF577E">
      <w:pPr>
        <w:widowControl w:val="0"/>
        <w:autoSpaceDE w:val="0"/>
        <w:autoSpaceDN w:val="0"/>
        <w:adjustRightInd w:val="0"/>
        <w:ind w:left="640" w:hanging="640"/>
        <w:rPr>
          <w:noProof/>
        </w:rPr>
      </w:pPr>
      <w:r w:rsidRPr="00BF577E">
        <w:rPr>
          <w:noProof/>
        </w:rPr>
        <w:t>35.</w:t>
      </w:r>
      <w:r w:rsidRPr="00BF577E">
        <w:rPr>
          <w:noProof/>
        </w:rPr>
        <w:tab/>
        <w:t xml:space="preserve">Kite, T. A., Kurmani, S. A., Bountziouka, V., Cooper, N. J., Lock, S. T., Gale, C. P., Flather, M., Curzen, N., Banning, A. P., </w:t>
      </w:r>
      <w:r w:rsidRPr="00BF577E">
        <w:rPr>
          <w:i/>
          <w:iCs/>
          <w:noProof/>
        </w:rPr>
        <w:t>et al.</w:t>
      </w:r>
      <w:r w:rsidRPr="00BF577E">
        <w:rPr>
          <w:noProof/>
        </w:rPr>
        <w:t xml:space="preserve"> Timing of invasive strategy in non-ST-elevation acute coronary syndrome: a  meta-analysis of randomized controlled trials. </w:t>
      </w:r>
      <w:r w:rsidRPr="00BF577E">
        <w:rPr>
          <w:i/>
          <w:iCs/>
          <w:noProof/>
        </w:rPr>
        <w:t>Eur. Heart J.</w:t>
      </w:r>
      <w:r w:rsidRPr="00BF577E">
        <w:rPr>
          <w:noProof/>
        </w:rPr>
        <w:t xml:space="preserve"> </w:t>
      </w:r>
      <w:r w:rsidRPr="00BF577E">
        <w:rPr>
          <w:b/>
          <w:bCs/>
          <w:noProof/>
        </w:rPr>
        <w:t>43</w:t>
      </w:r>
      <w:r w:rsidRPr="00BF577E">
        <w:rPr>
          <w:noProof/>
        </w:rPr>
        <w:t>, 3148–3161 (2022).</w:t>
      </w:r>
    </w:p>
    <w:p w14:paraId="052BCD09" w14:textId="77777777" w:rsidR="00BF577E" w:rsidRPr="00BF577E" w:rsidRDefault="00BF577E" w:rsidP="00BF577E">
      <w:pPr>
        <w:widowControl w:val="0"/>
        <w:autoSpaceDE w:val="0"/>
        <w:autoSpaceDN w:val="0"/>
        <w:adjustRightInd w:val="0"/>
        <w:ind w:left="640" w:hanging="640"/>
        <w:rPr>
          <w:noProof/>
        </w:rPr>
      </w:pPr>
      <w:r w:rsidRPr="00BF577E">
        <w:rPr>
          <w:noProof/>
        </w:rPr>
        <w:t>36.</w:t>
      </w:r>
      <w:r w:rsidRPr="00BF577E">
        <w:rPr>
          <w:noProof/>
        </w:rPr>
        <w:tab/>
        <w:t xml:space="preserve">Wald, D. S., Morris, J. K., Wald, N. J., Chase, A. J., Edwards, R. J., Hughes, L. O., Berry, C. &amp; Oldroyd, K. G. Randomized trial of preventive angioplasty in myocardial infarction. </w:t>
      </w:r>
      <w:r w:rsidRPr="00BF577E">
        <w:rPr>
          <w:i/>
          <w:iCs/>
          <w:noProof/>
        </w:rPr>
        <w:t>N. Engl. J. Med.</w:t>
      </w:r>
      <w:r w:rsidRPr="00BF577E">
        <w:rPr>
          <w:noProof/>
        </w:rPr>
        <w:t xml:space="preserve"> </w:t>
      </w:r>
      <w:r w:rsidRPr="00BF577E">
        <w:rPr>
          <w:b/>
          <w:bCs/>
          <w:noProof/>
        </w:rPr>
        <w:t>369</w:t>
      </w:r>
      <w:r w:rsidRPr="00BF577E">
        <w:rPr>
          <w:noProof/>
        </w:rPr>
        <w:t>, 1115–1123 (2013).</w:t>
      </w:r>
    </w:p>
    <w:p w14:paraId="7C657A5B" w14:textId="77777777" w:rsidR="00BF577E" w:rsidRPr="00BF577E" w:rsidRDefault="00BF577E" w:rsidP="00BF577E">
      <w:pPr>
        <w:widowControl w:val="0"/>
        <w:autoSpaceDE w:val="0"/>
        <w:autoSpaceDN w:val="0"/>
        <w:adjustRightInd w:val="0"/>
        <w:ind w:left="640" w:hanging="640"/>
        <w:rPr>
          <w:noProof/>
        </w:rPr>
      </w:pPr>
      <w:r w:rsidRPr="00BF577E">
        <w:rPr>
          <w:noProof/>
        </w:rPr>
        <w:t>37.</w:t>
      </w:r>
      <w:r w:rsidRPr="00BF577E">
        <w:rPr>
          <w:noProof/>
        </w:rPr>
        <w:tab/>
        <w:t xml:space="preserve">Mehta, S. R., Wood, D. A., Storey, R. F., Mehran, R., Bainey, K. R., Nguyen, H., Meeks, B., Di Pasquale, G., López-Sendón, J., </w:t>
      </w:r>
      <w:r w:rsidRPr="00BF577E">
        <w:rPr>
          <w:i/>
          <w:iCs/>
          <w:noProof/>
        </w:rPr>
        <w:t>et al.</w:t>
      </w:r>
      <w:r w:rsidRPr="00BF577E">
        <w:rPr>
          <w:noProof/>
        </w:rPr>
        <w:t xml:space="preserve"> Complete Revascularization with Multivessel PCI for Myocardial Infarction. </w:t>
      </w:r>
      <w:r w:rsidRPr="00BF577E">
        <w:rPr>
          <w:i/>
          <w:iCs/>
          <w:noProof/>
        </w:rPr>
        <w:t>N. Engl. J. Med.</w:t>
      </w:r>
      <w:r w:rsidRPr="00BF577E">
        <w:rPr>
          <w:noProof/>
        </w:rPr>
        <w:t xml:space="preserve"> </w:t>
      </w:r>
      <w:r w:rsidRPr="00BF577E">
        <w:rPr>
          <w:b/>
          <w:bCs/>
          <w:noProof/>
        </w:rPr>
        <w:t>381</w:t>
      </w:r>
      <w:r w:rsidRPr="00BF577E">
        <w:rPr>
          <w:noProof/>
        </w:rPr>
        <w:t>, 1411–1421 (2019).</w:t>
      </w:r>
    </w:p>
    <w:p w14:paraId="5C13E136" w14:textId="77777777" w:rsidR="00BF577E" w:rsidRPr="00BF577E" w:rsidRDefault="00BF577E" w:rsidP="00BF577E">
      <w:pPr>
        <w:widowControl w:val="0"/>
        <w:autoSpaceDE w:val="0"/>
        <w:autoSpaceDN w:val="0"/>
        <w:adjustRightInd w:val="0"/>
        <w:ind w:left="640" w:hanging="640"/>
        <w:rPr>
          <w:noProof/>
        </w:rPr>
      </w:pPr>
      <w:r w:rsidRPr="00BF577E">
        <w:rPr>
          <w:noProof/>
        </w:rPr>
        <w:t>38.</w:t>
      </w:r>
      <w:r w:rsidRPr="00BF577E">
        <w:rPr>
          <w:noProof/>
        </w:rPr>
        <w:tab/>
        <w:t xml:space="preserve">Gershlick, A. H., Khan, J. N., Kelly, D. J., Greenwood, J. P., Sasikaran, T., Curzen, N., Blackman, D. J., Dalby, M., Fairbrother, K. L., </w:t>
      </w:r>
      <w:r w:rsidRPr="00BF577E">
        <w:rPr>
          <w:i/>
          <w:iCs/>
          <w:noProof/>
        </w:rPr>
        <w:t>et al.</w:t>
      </w:r>
      <w:r w:rsidRPr="00BF577E">
        <w:rPr>
          <w:noProof/>
        </w:rPr>
        <w:t xml:space="preserve"> Randomized trial of complete </w:t>
      </w:r>
      <w:r w:rsidRPr="00BF577E">
        <w:rPr>
          <w:noProof/>
        </w:rPr>
        <w:lastRenderedPageBreak/>
        <w:t xml:space="preserve">versus lesion-only revascularization in patients  undergoing primary percutaneous coronary intervention for STEMI and multivessel disease: the CvLPRIT trial. </w:t>
      </w:r>
      <w:r w:rsidRPr="00BF577E">
        <w:rPr>
          <w:i/>
          <w:iCs/>
          <w:noProof/>
        </w:rPr>
        <w:t>J. Am. Coll. Cardiol.</w:t>
      </w:r>
      <w:r w:rsidRPr="00BF577E">
        <w:rPr>
          <w:noProof/>
        </w:rPr>
        <w:t xml:space="preserve"> </w:t>
      </w:r>
      <w:r w:rsidRPr="00BF577E">
        <w:rPr>
          <w:b/>
          <w:bCs/>
          <w:noProof/>
        </w:rPr>
        <w:t>65</w:t>
      </w:r>
      <w:r w:rsidRPr="00BF577E">
        <w:rPr>
          <w:noProof/>
        </w:rPr>
        <w:t>, 963–972 (2015).</w:t>
      </w:r>
    </w:p>
    <w:p w14:paraId="01B3C1A4" w14:textId="77777777" w:rsidR="00BF577E" w:rsidRPr="00BF577E" w:rsidRDefault="00BF577E" w:rsidP="00BF577E">
      <w:pPr>
        <w:widowControl w:val="0"/>
        <w:autoSpaceDE w:val="0"/>
        <w:autoSpaceDN w:val="0"/>
        <w:adjustRightInd w:val="0"/>
        <w:ind w:left="640" w:hanging="640"/>
        <w:rPr>
          <w:noProof/>
        </w:rPr>
      </w:pPr>
      <w:r w:rsidRPr="00BF577E">
        <w:rPr>
          <w:noProof/>
        </w:rPr>
        <w:t>39.</w:t>
      </w:r>
      <w:r w:rsidRPr="00BF577E">
        <w:rPr>
          <w:noProof/>
        </w:rPr>
        <w:tab/>
        <w:t xml:space="preserve">Pinilla-Echeverri, N., Mehta, S. R., Wang, J., Lavi, S., Schampaert, E., Cantor, W. J., Bainey, K. R., Welsh, R. C., Kassam, S., </w:t>
      </w:r>
      <w:r w:rsidRPr="00BF577E">
        <w:rPr>
          <w:i/>
          <w:iCs/>
          <w:noProof/>
        </w:rPr>
        <w:t>et al.</w:t>
      </w:r>
      <w:r w:rsidRPr="00BF577E">
        <w:rPr>
          <w:noProof/>
        </w:rPr>
        <w:t xml:space="preserve"> Nonculprit Lesion Plaque Morphology in Patients With ST-Segment-Elevation  Myocardial Infarction: Results From the COMPLETE Trial Optical Coherence Tomography Substudys. </w:t>
      </w:r>
      <w:r w:rsidRPr="00BF577E">
        <w:rPr>
          <w:i/>
          <w:iCs/>
          <w:noProof/>
        </w:rPr>
        <w:t>Circ. Cardiovasc. Interv.</w:t>
      </w:r>
      <w:r w:rsidRPr="00BF577E">
        <w:rPr>
          <w:noProof/>
        </w:rPr>
        <w:t xml:space="preserve"> </w:t>
      </w:r>
      <w:r w:rsidRPr="00BF577E">
        <w:rPr>
          <w:b/>
          <w:bCs/>
          <w:noProof/>
        </w:rPr>
        <w:t>13</w:t>
      </w:r>
      <w:r w:rsidRPr="00BF577E">
        <w:rPr>
          <w:noProof/>
        </w:rPr>
        <w:t>, e008768 (2020).</w:t>
      </w:r>
    </w:p>
    <w:p w14:paraId="68186F11" w14:textId="77777777" w:rsidR="00BF577E" w:rsidRPr="00BF577E" w:rsidRDefault="00BF577E" w:rsidP="00BF577E">
      <w:pPr>
        <w:widowControl w:val="0"/>
        <w:autoSpaceDE w:val="0"/>
        <w:autoSpaceDN w:val="0"/>
        <w:adjustRightInd w:val="0"/>
        <w:ind w:left="640" w:hanging="640"/>
        <w:rPr>
          <w:noProof/>
        </w:rPr>
      </w:pPr>
      <w:r w:rsidRPr="00BF577E">
        <w:rPr>
          <w:noProof/>
        </w:rPr>
        <w:t>40.</w:t>
      </w:r>
      <w:r w:rsidRPr="00BF577E">
        <w:rPr>
          <w:noProof/>
        </w:rPr>
        <w:tab/>
        <w:t xml:space="preserve">Mahmoudi, M. &amp; Curzen, N. Treatment of Non-Culprit Lesions in STEMI: An Incomplete Journey. </w:t>
      </w:r>
      <w:r w:rsidRPr="00BF577E">
        <w:rPr>
          <w:i/>
          <w:iCs/>
          <w:noProof/>
        </w:rPr>
        <w:t>Cardiovasc. Revasc. Med.</w:t>
      </w:r>
      <w:r w:rsidRPr="00BF577E">
        <w:rPr>
          <w:noProof/>
        </w:rPr>
        <w:t xml:space="preserve"> </w:t>
      </w:r>
      <w:r w:rsidRPr="00BF577E">
        <w:rPr>
          <w:b/>
          <w:bCs/>
          <w:noProof/>
        </w:rPr>
        <w:t>39</w:t>
      </w:r>
      <w:r w:rsidRPr="00BF577E">
        <w:rPr>
          <w:noProof/>
        </w:rPr>
        <w:t>, 114–116 (2022).</w:t>
      </w:r>
    </w:p>
    <w:p w14:paraId="0C69CBC1" w14:textId="77777777" w:rsidR="00BF577E" w:rsidRPr="00BF577E" w:rsidRDefault="00BF577E" w:rsidP="00BF577E">
      <w:pPr>
        <w:widowControl w:val="0"/>
        <w:autoSpaceDE w:val="0"/>
        <w:autoSpaceDN w:val="0"/>
        <w:adjustRightInd w:val="0"/>
        <w:ind w:left="640" w:hanging="640"/>
        <w:rPr>
          <w:noProof/>
        </w:rPr>
      </w:pPr>
      <w:r w:rsidRPr="00BF577E">
        <w:rPr>
          <w:noProof/>
        </w:rPr>
        <w:t>41.</w:t>
      </w:r>
      <w:r w:rsidRPr="00BF577E">
        <w:rPr>
          <w:noProof/>
        </w:rPr>
        <w:tab/>
        <w:t xml:space="preserve">Thiele, H., Akin, I., Sandri, M., de Waha-Thiele, S., Meyer-Saraei, R., Fuernau, G., Eitel, I., Nordbeck, P., Geisler, T., </w:t>
      </w:r>
      <w:r w:rsidRPr="00BF577E">
        <w:rPr>
          <w:i/>
          <w:iCs/>
          <w:noProof/>
        </w:rPr>
        <w:t>et al.</w:t>
      </w:r>
      <w:r w:rsidRPr="00BF577E">
        <w:rPr>
          <w:noProof/>
        </w:rPr>
        <w:t xml:space="preserve"> One-Year Outcomes after PCI Strategies in Cardiogenic Shock. </w:t>
      </w:r>
      <w:r w:rsidRPr="00BF577E">
        <w:rPr>
          <w:i/>
          <w:iCs/>
          <w:noProof/>
        </w:rPr>
        <w:t>N. Engl. J. Med.</w:t>
      </w:r>
      <w:r w:rsidRPr="00BF577E">
        <w:rPr>
          <w:noProof/>
        </w:rPr>
        <w:t xml:space="preserve"> </w:t>
      </w:r>
      <w:r w:rsidRPr="00BF577E">
        <w:rPr>
          <w:b/>
          <w:bCs/>
          <w:noProof/>
        </w:rPr>
        <w:t>379</w:t>
      </w:r>
      <w:r w:rsidRPr="00BF577E">
        <w:rPr>
          <w:noProof/>
        </w:rPr>
        <w:t>, 1699–1710 (2018).</w:t>
      </w:r>
    </w:p>
    <w:p w14:paraId="51BA56CC" w14:textId="77777777" w:rsidR="00BF577E" w:rsidRPr="00BF577E" w:rsidRDefault="00BF577E" w:rsidP="00BF577E">
      <w:pPr>
        <w:widowControl w:val="0"/>
        <w:autoSpaceDE w:val="0"/>
        <w:autoSpaceDN w:val="0"/>
        <w:adjustRightInd w:val="0"/>
        <w:ind w:left="640" w:hanging="640"/>
        <w:rPr>
          <w:noProof/>
        </w:rPr>
      </w:pPr>
      <w:r w:rsidRPr="00BF577E">
        <w:rPr>
          <w:noProof/>
        </w:rPr>
        <w:t>42.</w:t>
      </w:r>
      <w:r w:rsidRPr="00BF577E">
        <w:rPr>
          <w:noProof/>
        </w:rPr>
        <w:tab/>
        <w:t xml:space="preserve">Schüpke, S., Neumann, F.-J., Menichelli, M., Mayer, K., Bernlochner, I., Wöhrle, J., Richardt, G., Liebetrau, C., Witzenbichler, B., </w:t>
      </w:r>
      <w:r w:rsidRPr="00BF577E">
        <w:rPr>
          <w:i/>
          <w:iCs/>
          <w:noProof/>
        </w:rPr>
        <w:t>et al.</w:t>
      </w:r>
      <w:r w:rsidRPr="00BF577E">
        <w:rPr>
          <w:noProof/>
        </w:rPr>
        <w:t xml:space="preserve"> Ticagrelor or Prasugrel in Patients with Acute Coronary Syndromes. </w:t>
      </w:r>
      <w:r w:rsidRPr="00BF577E">
        <w:rPr>
          <w:i/>
          <w:iCs/>
          <w:noProof/>
        </w:rPr>
        <w:t>N. Engl. J. Med.</w:t>
      </w:r>
      <w:r w:rsidRPr="00BF577E">
        <w:rPr>
          <w:noProof/>
        </w:rPr>
        <w:t xml:space="preserve"> </w:t>
      </w:r>
      <w:r w:rsidRPr="00BF577E">
        <w:rPr>
          <w:b/>
          <w:bCs/>
          <w:noProof/>
        </w:rPr>
        <w:t>381</w:t>
      </w:r>
      <w:r w:rsidRPr="00BF577E">
        <w:rPr>
          <w:noProof/>
        </w:rPr>
        <w:t>, 1524–1534 (2019).</w:t>
      </w:r>
    </w:p>
    <w:p w14:paraId="74A0A5F9" w14:textId="77777777" w:rsidR="00BF577E" w:rsidRPr="00BF577E" w:rsidRDefault="00BF577E" w:rsidP="00BF577E">
      <w:pPr>
        <w:widowControl w:val="0"/>
        <w:autoSpaceDE w:val="0"/>
        <w:autoSpaceDN w:val="0"/>
        <w:adjustRightInd w:val="0"/>
        <w:ind w:left="640" w:hanging="640"/>
        <w:rPr>
          <w:noProof/>
        </w:rPr>
      </w:pPr>
      <w:r w:rsidRPr="00BF577E">
        <w:rPr>
          <w:noProof/>
        </w:rPr>
        <w:t>43.</w:t>
      </w:r>
      <w:r w:rsidRPr="00BF577E">
        <w:rPr>
          <w:noProof/>
        </w:rPr>
        <w:tab/>
        <w:t xml:space="preserve">Olier, I., Sirker, A., Hildick-Smith, D. J. R., Kinnaird, T., Ludman, P., de Belder, M. A., Baumbach, A., Byrne, J., Rashid, M., </w:t>
      </w:r>
      <w:r w:rsidRPr="00BF577E">
        <w:rPr>
          <w:i/>
          <w:iCs/>
          <w:noProof/>
        </w:rPr>
        <w:t>et al.</w:t>
      </w:r>
      <w:r w:rsidRPr="00BF577E">
        <w:rPr>
          <w:noProof/>
        </w:rPr>
        <w:t xml:space="preserve"> Association of different antiplatelet therapies with mortality after primary  percutaneous coronary intervention. </w:t>
      </w:r>
      <w:r w:rsidRPr="00BF577E">
        <w:rPr>
          <w:i/>
          <w:iCs/>
          <w:noProof/>
        </w:rPr>
        <w:t>Heart</w:t>
      </w:r>
      <w:r w:rsidRPr="00BF577E">
        <w:rPr>
          <w:noProof/>
        </w:rPr>
        <w:t xml:space="preserve"> </w:t>
      </w:r>
      <w:r w:rsidRPr="00BF577E">
        <w:rPr>
          <w:b/>
          <w:bCs/>
          <w:noProof/>
        </w:rPr>
        <w:t>104</w:t>
      </w:r>
      <w:r w:rsidRPr="00BF577E">
        <w:rPr>
          <w:noProof/>
        </w:rPr>
        <w:t>, 1683–1690 (2018).</w:t>
      </w:r>
    </w:p>
    <w:p w14:paraId="520C47CD" w14:textId="77777777" w:rsidR="00BF577E" w:rsidRPr="00BF577E" w:rsidRDefault="00BF577E" w:rsidP="00BF577E">
      <w:pPr>
        <w:widowControl w:val="0"/>
        <w:autoSpaceDE w:val="0"/>
        <w:autoSpaceDN w:val="0"/>
        <w:adjustRightInd w:val="0"/>
        <w:ind w:left="640" w:hanging="640"/>
        <w:rPr>
          <w:noProof/>
        </w:rPr>
      </w:pPr>
      <w:r w:rsidRPr="00BF577E">
        <w:rPr>
          <w:noProof/>
        </w:rPr>
        <w:t>44.</w:t>
      </w:r>
      <w:r w:rsidRPr="00BF577E">
        <w:rPr>
          <w:noProof/>
        </w:rPr>
        <w:tab/>
        <w:t xml:space="preserve">Wiviott, S. D., Braunwald, E., McCabe, C. H., Montalescot, G., Ruzyllo, W., Gottlieb, S., Neumann, F.-J., Ardissino, D., De Servi, S., </w:t>
      </w:r>
      <w:r w:rsidRPr="00BF577E">
        <w:rPr>
          <w:i/>
          <w:iCs/>
          <w:noProof/>
        </w:rPr>
        <w:t>et al.</w:t>
      </w:r>
      <w:r w:rsidRPr="00BF577E">
        <w:rPr>
          <w:noProof/>
        </w:rPr>
        <w:t xml:space="preserve"> Prasugrel versus clopidogrel in patients with acute coronary syndromes. </w:t>
      </w:r>
      <w:r w:rsidRPr="00BF577E">
        <w:rPr>
          <w:i/>
          <w:iCs/>
          <w:noProof/>
        </w:rPr>
        <w:t>N. Engl. J. Med.</w:t>
      </w:r>
      <w:r w:rsidRPr="00BF577E">
        <w:rPr>
          <w:noProof/>
        </w:rPr>
        <w:t xml:space="preserve"> </w:t>
      </w:r>
      <w:r w:rsidRPr="00BF577E">
        <w:rPr>
          <w:b/>
          <w:bCs/>
          <w:noProof/>
        </w:rPr>
        <w:t>357</w:t>
      </w:r>
      <w:r w:rsidRPr="00BF577E">
        <w:rPr>
          <w:noProof/>
        </w:rPr>
        <w:t>, 2001–2015 (2007).</w:t>
      </w:r>
    </w:p>
    <w:p w14:paraId="3C2B778A" w14:textId="77777777" w:rsidR="00BF577E" w:rsidRPr="00BF577E" w:rsidRDefault="00BF577E" w:rsidP="00BF577E">
      <w:pPr>
        <w:widowControl w:val="0"/>
        <w:autoSpaceDE w:val="0"/>
        <w:autoSpaceDN w:val="0"/>
        <w:adjustRightInd w:val="0"/>
        <w:ind w:left="640" w:hanging="640"/>
        <w:rPr>
          <w:noProof/>
        </w:rPr>
      </w:pPr>
      <w:r w:rsidRPr="00BF577E">
        <w:rPr>
          <w:noProof/>
        </w:rPr>
        <w:t>45.</w:t>
      </w:r>
      <w:r w:rsidRPr="00BF577E">
        <w:rPr>
          <w:noProof/>
        </w:rPr>
        <w:tab/>
        <w:t xml:space="preserve">Wallentin, L., Becker, R. C., Budaj, A., Cannon, C. P., Emanuelsson, H., Held, C., Horrow, J., Husted, S., James, S., </w:t>
      </w:r>
      <w:r w:rsidRPr="00BF577E">
        <w:rPr>
          <w:i/>
          <w:iCs/>
          <w:noProof/>
        </w:rPr>
        <w:t>et al.</w:t>
      </w:r>
      <w:r w:rsidRPr="00BF577E">
        <w:rPr>
          <w:noProof/>
        </w:rPr>
        <w:t xml:space="preserve"> Ticagrelor versus clopidogrel in patients with acute coronary syndromes. </w:t>
      </w:r>
      <w:r w:rsidRPr="00BF577E">
        <w:rPr>
          <w:i/>
          <w:iCs/>
          <w:noProof/>
        </w:rPr>
        <w:t>N. Engl. J. Med.</w:t>
      </w:r>
      <w:r w:rsidRPr="00BF577E">
        <w:rPr>
          <w:noProof/>
        </w:rPr>
        <w:t xml:space="preserve"> </w:t>
      </w:r>
      <w:r w:rsidRPr="00BF577E">
        <w:rPr>
          <w:b/>
          <w:bCs/>
          <w:noProof/>
        </w:rPr>
        <w:t>361</w:t>
      </w:r>
      <w:r w:rsidRPr="00BF577E">
        <w:rPr>
          <w:noProof/>
        </w:rPr>
        <w:t>, 1045–1057 (2009).</w:t>
      </w:r>
    </w:p>
    <w:p w14:paraId="5AE7138A" w14:textId="6A95AA78" w:rsidR="000712CE" w:rsidRDefault="009E0CBE" w:rsidP="00BF577E">
      <w:pPr>
        <w:widowControl w:val="0"/>
        <w:autoSpaceDE w:val="0"/>
        <w:autoSpaceDN w:val="0"/>
        <w:adjustRightInd w:val="0"/>
        <w:ind w:left="640" w:hanging="640"/>
        <w:rPr>
          <w:b/>
          <w:bCs/>
        </w:rPr>
        <w:sectPr w:rsidR="000712CE" w:rsidSect="00DD7B75">
          <w:headerReference w:type="default" r:id="rId8"/>
          <w:footerReference w:type="default" r:id="rId9"/>
          <w:pgSz w:w="11900" w:h="16840"/>
          <w:pgMar w:top="1440" w:right="1440" w:bottom="1440" w:left="1440" w:header="708" w:footer="708" w:gutter="0"/>
          <w:cols w:space="708"/>
          <w:docGrid w:linePitch="360"/>
        </w:sectPr>
      </w:pPr>
      <w:r>
        <w:rPr>
          <w:b/>
          <w:bCs/>
        </w:rPr>
        <w:fldChar w:fldCharType="end"/>
      </w:r>
    </w:p>
    <w:p w14:paraId="6DE5878C" w14:textId="3F6969BF" w:rsidR="00DD7B75" w:rsidRDefault="0096567C" w:rsidP="005D0966">
      <w:pPr>
        <w:widowControl w:val="0"/>
        <w:autoSpaceDE w:val="0"/>
        <w:autoSpaceDN w:val="0"/>
        <w:adjustRightInd w:val="0"/>
        <w:ind w:left="640" w:hanging="640"/>
        <w:rPr>
          <w:b/>
          <w:bCs/>
        </w:rPr>
      </w:pPr>
      <w:r>
        <w:rPr>
          <w:b/>
          <w:bCs/>
        </w:rPr>
        <w:lastRenderedPageBreak/>
        <w:t>Figure 1 – Flowchart of NICE Stable Angina guidance</w:t>
      </w:r>
    </w:p>
    <w:p w14:paraId="28FD6E37" w14:textId="2AFF228B" w:rsidR="00F36FB3" w:rsidRDefault="00F36FB3" w:rsidP="005D0966">
      <w:pPr>
        <w:widowControl w:val="0"/>
        <w:autoSpaceDE w:val="0"/>
        <w:autoSpaceDN w:val="0"/>
        <w:adjustRightInd w:val="0"/>
        <w:ind w:left="640" w:hanging="640"/>
        <w:rPr>
          <w:b/>
          <w:bCs/>
        </w:rPr>
      </w:pPr>
      <w:r w:rsidRPr="00F36FB3">
        <w:rPr>
          <w:b/>
          <w:bCs/>
          <w:noProof/>
        </w:rPr>
        <w:drawing>
          <wp:inline distT="0" distB="0" distL="0" distR="0" wp14:anchorId="18DCEB1E" wp14:editId="516AC33A">
            <wp:extent cx="9497281" cy="534256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06090" cy="5347516"/>
                    </a:xfrm>
                    <a:prstGeom prst="rect">
                      <a:avLst/>
                    </a:prstGeom>
                  </pic:spPr>
                </pic:pic>
              </a:graphicData>
            </a:graphic>
          </wp:inline>
        </w:drawing>
      </w:r>
    </w:p>
    <w:p w14:paraId="198DEDB6" w14:textId="77777777" w:rsidR="00DD7B75" w:rsidRDefault="001D687D" w:rsidP="005D0966">
      <w:pPr>
        <w:widowControl w:val="0"/>
        <w:autoSpaceDE w:val="0"/>
        <w:autoSpaceDN w:val="0"/>
        <w:adjustRightInd w:val="0"/>
        <w:ind w:left="640" w:hanging="640"/>
        <w:rPr>
          <w:b/>
          <w:bCs/>
        </w:rPr>
      </w:pPr>
      <w:r w:rsidRPr="00DD7B75">
        <w:rPr>
          <w:b/>
          <w:bCs/>
          <w:noProof/>
        </w:rPr>
        <w:lastRenderedPageBreak/>
        <w:drawing>
          <wp:anchor distT="0" distB="0" distL="114300" distR="114300" simplePos="0" relativeHeight="251663360" behindDoc="0" locked="0" layoutInCell="1" allowOverlap="1" wp14:anchorId="1275940B" wp14:editId="43BD1A06">
            <wp:simplePos x="0" y="0"/>
            <wp:positionH relativeFrom="column">
              <wp:posOffset>-479706</wp:posOffset>
            </wp:positionH>
            <wp:positionV relativeFrom="paragraph">
              <wp:posOffset>325120</wp:posOffset>
            </wp:positionV>
            <wp:extent cx="9599430" cy="5399752"/>
            <wp:effectExtent l="0" t="0" r="1905" b="0"/>
            <wp:wrapThrough wrapText="bothSides">
              <wp:wrapPolygon edited="0">
                <wp:start x="0" y="0"/>
                <wp:lineTo x="0" y="21542"/>
                <wp:lineTo x="21576" y="21542"/>
                <wp:lineTo x="215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99430" cy="5399752"/>
                    </a:xfrm>
                    <a:prstGeom prst="rect">
                      <a:avLst/>
                    </a:prstGeom>
                  </pic:spPr>
                </pic:pic>
              </a:graphicData>
            </a:graphic>
            <wp14:sizeRelH relativeFrom="page">
              <wp14:pctWidth>0</wp14:pctWidth>
            </wp14:sizeRelH>
            <wp14:sizeRelV relativeFrom="page">
              <wp14:pctHeight>0</wp14:pctHeight>
            </wp14:sizeRelV>
          </wp:anchor>
        </w:drawing>
      </w:r>
      <w:r w:rsidR="0096567C">
        <w:rPr>
          <w:b/>
          <w:bCs/>
        </w:rPr>
        <w:t>Figure 2 – Flow chart of NICE STEMI guidance</w:t>
      </w:r>
      <w:r w:rsidR="00DD7B75">
        <w:rPr>
          <w:b/>
          <w:bCs/>
        </w:rPr>
        <w:br w:type="page"/>
      </w:r>
    </w:p>
    <w:p w14:paraId="74E52FAA" w14:textId="77777777" w:rsidR="001D687D" w:rsidRDefault="001D687D" w:rsidP="001D687D">
      <w:pPr>
        <w:widowControl w:val="0"/>
        <w:autoSpaceDE w:val="0"/>
        <w:autoSpaceDN w:val="0"/>
        <w:adjustRightInd w:val="0"/>
        <w:rPr>
          <w:b/>
          <w:bCs/>
        </w:rPr>
      </w:pPr>
      <w:r w:rsidRPr="00DD7B75">
        <w:rPr>
          <w:b/>
          <w:bCs/>
          <w:noProof/>
        </w:rPr>
        <w:lastRenderedPageBreak/>
        <w:drawing>
          <wp:anchor distT="0" distB="0" distL="114300" distR="114300" simplePos="0" relativeHeight="251661312" behindDoc="0" locked="0" layoutInCell="1" allowOverlap="1" wp14:anchorId="489C4294" wp14:editId="2DB2FEE9">
            <wp:simplePos x="0" y="0"/>
            <wp:positionH relativeFrom="column">
              <wp:posOffset>-390223</wp:posOffset>
            </wp:positionH>
            <wp:positionV relativeFrom="paragraph">
              <wp:posOffset>238302</wp:posOffset>
            </wp:positionV>
            <wp:extent cx="9743986" cy="5480843"/>
            <wp:effectExtent l="0" t="0" r="0" b="5715"/>
            <wp:wrapThrough wrapText="bothSides">
              <wp:wrapPolygon edited="0">
                <wp:start x="0" y="0"/>
                <wp:lineTo x="0" y="21572"/>
                <wp:lineTo x="21566" y="21572"/>
                <wp:lineTo x="2156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743986" cy="5480843"/>
                    </a:xfrm>
                    <a:prstGeom prst="rect">
                      <a:avLst/>
                    </a:prstGeom>
                  </pic:spPr>
                </pic:pic>
              </a:graphicData>
            </a:graphic>
            <wp14:sizeRelH relativeFrom="page">
              <wp14:pctWidth>0</wp14:pctWidth>
            </wp14:sizeRelH>
            <wp14:sizeRelV relativeFrom="page">
              <wp14:pctHeight>0</wp14:pctHeight>
            </wp14:sizeRelV>
          </wp:anchor>
        </w:drawing>
      </w:r>
      <w:r w:rsidR="0096567C">
        <w:rPr>
          <w:b/>
          <w:bCs/>
        </w:rPr>
        <w:t>Figure 3 – Flowchart of NICE NSTEMI / Unstable guidance</w:t>
      </w:r>
    </w:p>
    <w:p w14:paraId="176270B7" w14:textId="35A2A147" w:rsidR="00B403C5" w:rsidRDefault="00B403C5" w:rsidP="001D687D">
      <w:pPr>
        <w:widowControl w:val="0"/>
        <w:autoSpaceDE w:val="0"/>
        <w:autoSpaceDN w:val="0"/>
        <w:adjustRightInd w:val="0"/>
        <w:rPr>
          <w:b/>
          <w:bCs/>
        </w:rPr>
      </w:pPr>
      <w:r>
        <w:rPr>
          <w:b/>
          <w:bCs/>
        </w:rPr>
        <w:lastRenderedPageBreak/>
        <w:t>Table 1 – Stable angina guidelines</w:t>
      </w:r>
    </w:p>
    <w:tbl>
      <w:tblPr>
        <w:tblW w:w="15156" w:type="dxa"/>
        <w:tblCellMar>
          <w:top w:w="15" w:type="dxa"/>
        </w:tblCellMar>
        <w:tblLook w:val="04A0" w:firstRow="1" w:lastRow="0" w:firstColumn="1" w:lastColumn="0" w:noHBand="0" w:noVBand="1"/>
      </w:tblPr>
      <w:tblGrid>
        <w:gridCol w:w="5040"/>
        <w:gridCol w:w="5040"/>
        <w:gridCol w:w="5040"/>
        <w:gridCol w:w="222"/>
      </w:tblGrid>
      <w:tr w:rsidR="009A6451" w14:paraId="572D6F73" w14:textId="77777777" w:rsidTr="009A6451">
        <w:trPr>
          <w:gridAfter w:val="1"/>
          <w:wAfter w:w="36" w:type="dxa"/>
          <w:trHeight w:val="440"/>
        </w:trPr>
        <w:tc>
          <w:tcPr>
            <w:tcW w:w="5040" w:type="dxa"/>
            <w:tcBorders>
              <w:top w:val="single" w:sz="4" w:space="0" w:color="auto"/>
              <w:left w:val="nil"/>
              <w:bottom w:val="double" w:sz="6" w:space="0" w:color="auto"/>
              <w:right w:val="nil"/>
            </w:tcBorders>
            <w:shd w:val="clear" w:color="auto" w:fill="auto"/>
            <w:noWrap/>
            <w:vAlign w:val="center"/>
            <w:hideMark/>
          </w:tcPr>
          <w:p w14:paraId="0D394967"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NICE (2016)</w:t>
            </w:r>
          </w:p>
        </w:tc>
        <w:tc>
          <w:tcPr>
            <w:tcW w:w="5040" w:type="dxa"/>
            <w:tcBorders>
              <w:top w:val="single" w:sz="4" w:space="0" w:color="auto"/>
              <w:left w:val="nil"/>
              <w:bottom w:val="double" w:sz="6" w:space="0" w:color="auto"/>
              <w:right w:val="nil"/>
            </w:tcBorders>
            <w:shd w:val="clear" w:color="auto" w:fill="auto"/>
            <w:noWrap/>
            <w:vAlign w:val="center"/>
            <w:hideMark/>
          </w:tcPr>
          <w:p w14:paraId="69C1BA8C"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ESC (2018 + 2019)</w:t>
            </w:r>
          </w:p>
        </w:tc>
        <w:tc>
          <w:tcPr>
            <w:tcW w:w="5040" w:type="dxa"/>
            <w:tcBorders>
              <w:top w:val="single" w:sz="4" w:space="0" w:color="auto"/>
              <w:left w:val="nil"/>
              <w:bottom w:val="double" w:sz="6" w:space="0" w:color="auto"/>
              <w:right w:val="nil"/>
            </w:tcBorders>
            <w:shd w:val="clear" w:color="auto" w:fill="auto"/>
            <w:noWrap/>
            <w:vAlign w:val="center"/>
            <w:hideMark/>
          </w:tcPr>
          <w:p w14:paraId="481E8DA9"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ACC / AHA / SCAI (2021)</w:t>
            </w:r>
          </w:p>
        </w:tc>
      </w:tr>
      <w:tr w:rsidR="009A6451" w14:paraId="454E6412" w14:textId="77777777" w:rsidTr="009A6451">
        <w:trPr>
          <w:gridAfter w:val="1"/>
          <w:wAfter w:w="36" w:type="dxa"/>
          <w:trHeight w:val="240"/>
        </w:trPr>
        <w:tc>
          <w:tcPr>
            <w:tcW w:w="5040" w:type="dxa"/>
            <w:tcBorders>
              <w:top w:val="nil"/>
              <w:left w:val="nil"/>
              <w:bottom w:val="nil"/>
              <w:right w:val="nil"/>
            </w:tcBorders>
            <w:shd w:val="clear" w:color="auto" w:fill="auto"/>
            <w:noWrap/>
            <w:vAlign w:val="center"/>
            <w:hideMark/>
          </w:tcPr>
          <w:p w14:paraId="05196D91" w14:textId="77777777" w:rsidR="009A6451" w:rsidRDefault="009A6451">
            <w:pPr>
              <w:rPr>
                <w:rFonts w:ascii="Arial" w:hAnsi="Arial" w:cs="Arial"/>
                <w:b/>
                <w:bCs/>
                <w:color w:val="000000"/>
                <w:sz w:val="12"/>
                <w:szCs w:val="12"/>
              </w:rPr>
            </w:pPr>
            <w:r>
              <w:rPr>
                <w:rFonts w:ascii="Arial" w:hAnsi="Arial" w:cs="Arial"/>
                <w:b/>
                <w:bCs/>
                <w:color w:val="000000"/>
                <w:sz w:val="12"/>
                <w:szCs w:val="12"/>
              </w:rPr>
              <w:t>Investigation</w:t>
            </w:r>
          </w:p>
        </w:tc>
        <w:tc>
          <w:tcPr>
            <w:tcW w:w="5040" w:type="dxa"/>
            <w:tcBorders>
              <w:top w:val="nil"/>
              <w:left w:val="nil"/>
              <w:bottom w:val="nil"/>
              <w:right w:val="nil"/>
            </w:tcBorders>
            <w:shd w:val="clear" w:color="auto" w:fill="auto"/>
            <w:noWrap/>
            <w:vAlign w:val="center"/>
            <w:hideMark/>
          </w:tcPr>
          <w:p w14:paraId="3B8CFE89" w14:textId="77777777" w:rsidR="009A6451" w:rsidRDefault="009A6451">
            <w:pPr>
              <w:rPr>
                <w:rFonts w:ascii="Arial" w:hAnsi="Arial" w:cs="Arial"/>
                <w:b/>
                <w:bCs/>
                <w:color w:val="000000"/>
                <w:sz w:val="12"/>
                <w:szCs w:val="12"/>
              </w:rPr>
            </w:pPr>
          </w:p>
        </w:tc>
        <w:tc>
          <w:tcPr>
            <w:tcW w:w="5040" w:type="dxa"/>
            <w:tcBorders>
              <w:top w:val="nil"/>
              <w:left w:val="nil"/>
              <w:bottom w:val="nil"/>
              <w:right w:val="nil"/>
            </w:tcBorders>
            <w:shd w:val="clear" w:color="auto" w:fill="auto"/>
            <w:noWrap/>
            <w:vAlign w:val="center"/>
            <w:hideMark/>
          </w:tcPr>
          <w:p w14:paraId="2B0DA3B7" w14:textId="77777777" w:rsidR="009A6451" w:rsidRDefault="009A6451">
            <w:pPr>
              <w:jc w:val="center"/>
              <w:rPr>
                <w:sz w:val="20"/>
                <w:szCs w:val="20"/>
              </w:rPr>
            </w:pPr>
          </w:p>
        </w:tc>
      </w:tr>
      <w:tr w:rsidR="009A6451" w14:paraId="1359194B" w14:textId="77777777" w:rsidTr="009A6451">
        <w:trPr>
          <w:gridAfter w:val="1"/>
          <w:wAfter w:w="36" w:type="dxa"/>
          <w:trHeight w:val="560"/>
        </w:trPr>
        <w:tc>
          <w:tcPr>
            <w:tcW w:w="5040" w:type="dxa"/>
            <w:tcBorders>
              <w:top w:val="nil"/>
              <w:left w:val="nil"/>
              <w:bottom w:val="nil"/>
              <w:right w:val="nil"/>
            </w:tcBorders>
            <w:shd w:val="clear" w:color="auto" w:fill="auto"/>
            <w:hideMark/>
          </w:tcPr>
          <w:p w14:paraId="6B61D00B" w14:textId="77777777" w:rsidR="009A6451" w:rsidRDefault="009A6451">
            <w:pPr>
              <w:rPr>
                <w:rFonts w:ascii="Arial" w:hAnsi="Arial" w:cs="Arial"/>
                <w:color w:val="000000"/>
                <w:sz w:val="12"/>
                <w:szCs w:val="12"/>
              </w:rPr>
            </w:pPr>
            <w:r>
              <w:rPr>
                <w:rFonts w:ascii="Arial" w:hAnsi="Arial" w:cs="Arial"/>
                <w:color w:val="000000"/>
                <w:sz w:val="12"/>
                <w:szCs w:val="12"/>
              </w:rPr>
              <w:t>∙   CTCA if clinical assessment indicates typical or atypical angina, or if there are pathological ST segment or T-wave changes or Q waves on the resting ECG</w:t>
            </w:r>
          </w:p>
        </w:tc>
        <w:tc>
          <w:tcPr>
            <w:tcW w:w="5040" w:type="dxa"/>
            <w:tcBorders>
              <w:top w:val="nil"/>
              <w:left w:val="nil"/>
              <w:bottom w:val="nil"/>
              <w:right w:val="nil"/>
            </w:tcBorders>
            <w:shd w:val="clear" w:color="auto" w:fill="auto"/>
            <w:hideMark/>
          </w:tcPr>
          <w:p w14:paraId="2277171B" w14:textId="77777777" w:rsidR="009A6451" w:rsidRDefault="009A6451">
            <w:pPr>
              <w:rPr>
                <w:rFonts w:ascii="Arial" w:hAnsi="Arial" w:cs="Arial"/>
                <w:color w:val="000000"/>
                <w:sz w:val="12"/>
                <w:szCs w:val="12"/>
              </w:rPr>
            </w:pPr>
            <w:r>
              <w:rPr>
                <w:rFonts w:ascii="Arial" w:hAnsi="Arial" w:cs="Arial"/>
                <w:color w:val="000000"/>
                <w:sz w:val="12"/>
                <w:szCs w:val="12"/>
              </w:rPr>
              <w:t>∙   Use of either non-invasive functional imaging of ischaemia or anatomical imaging using coronary CTCA as the initial test for diagnosing CAD</w:t>
            </w:r>
          </w:p>
        </w:tc>
        <w:tc>
          <w:tcPr>
            <w:tcW w:w="5040" w:type="dxa"/>
            <w:tcBorders>
              <w:top w:val="nil"/>
              <w:left w:val="nil"/>
              <w:bottom w:val="nil"/>
              <w:right w:val="nil"/>
            </w:tcBorders>
            <w:shd w:val="clear" w:color="auto" w:fill="auto"/>
            <w:hideMark/>
          </w:tcPr>
          <w:p w14:paraId="4DBE29DE" w14:textId="77777777" w:rsidR="009A6451" w:rsidRDefault="009A6451">
            <w:pPr>
              <w:rPr>
                <w:rFonts w:ascii="Arial" w:hAnsi="Arial" w:cs="Arial"/>
                <w:color w:val="000000"/>
                <w:sz w:val="12"/>
                <w:szCs w:val="12"/>
              </w:rPr>
            </w:pPr>
            <w:r>
              <w:rPr>
                <w:rFonts w:ascii="Arial" w:hAnsi="Arial" w:cs="Arial"/>
                <w:color w:val="000000"/>
                <w:sz w:val="12"/>
                <w:szCs w:val="12"/>
              </w:rPr>
              <w:t>∙   Among patients at intermediate-high risk and no known CAD, CCTA is useful for the diagnosis of CAD and for risk stratification; and stress imaging useful for the diagnosis of ischemia and for estimating the risk of MACE</w:t>
            </w:r>
          </w:p>
        </w:tc>
      </w:tr>
      <w:tr w:rsidR="009A6451" w14:paraId="2B5C4321" w14:textId="77777777" w:rsidTr="009A6451">
        <w:trPr>
          <w:gridAfter w:val="1"/>
          <w:wAfter w:w="36" w:type="dxa"/>
          <w:trHeight w:val="620"/>
        </w:trPr>
        <w:tc>
          <w:tcPr>
            <w:tcW w:w="5040" w:type="dxa"/>
            <w:tcBorders>
              <w:top w:val="nil"/>
              <w:left w:val="nil"/>
              <w:bottom w:val="nil"/>
              <w:right w:val="nil"/>
            </w:tcBorders>
            <w:shd w:val="clear" w:color="auto" w:fill="auto"/>
            <w:hideMark/>
          </w:tcPr>
          <w:p w14:paraId="5C2C1E72" w14:textId="77777777" w:rsidR="009A6451" w:rsidRDefault="009A6451">
            <w:pPr>
              <w:rPr>
                <w:rFonts w:ascii="Arial" w:hAnsi="Arial" w:cs="Arial"/>
                <w:color w:val="000000"/>
                <w:sz w:val="12"/>
                <w:szCs w:val="12"/>
              </w:rPr>
            </w:pPr>
            <w:r>
              <w:rPr>
                <w:rFonts w:ascii="Arial" w:hAnsi="Arial" w:cs="Arial"/>
                <w:color w:val="000000"/>
                <w:sz w:val="12"/>
                <w:szCs w:val="12"/>
              </w:rPr>
              <w:t>∙   Offer coronary angiography to guide treatment strategy for people with stable angina whose symptoms are not satisfactorily controlled with optimal medical treatment. Additional non-invasive or invasive functional testing may be required to evaluate angiographic findings and guide treatment decisions. </w:t>
            </w:r>
          </w:p>
        </w:tc>
        <w:tc>
          <w:tcPr>
            <w:tcW w:w="5040" w:type="dxa"/>
            <w:tcBorders>
              <w:top w:val="nil"/>
              <w:left w:val="nil"/>
              <w:bottom w:val="nil"/>
              <w:right w:val="nil"/>
            </w:tcBorders>
            <w:shd w:val="clear" w:color="auto" w:fill="auto"/>
            <w:hideMark/>
          </w:tcPr>
          <w:p w14:paraId="2398F134" w14:textId="77777777" w:rsidR="009A6451" w:rsidRDefault="009A6451">
            <w:pPr>
              <w:rPr>
                <w:rFonts w:ascii="Arial" w:hAnsi="Arial" w:cs="Arial"/>
                <w:color w:val="000000"/>
                <w:sz w:val="12"/>
                <w:szCs w:val="12"/>
              </w:rPr>
            </w:pPr>
            <w:r>
              <w:rPr>
                <w:rFonts w:ascii="Arial" w:hAnsi="Arial" w:cs="Arial"/>
                <w:color w:val="000000"/>
                <w:sz w:val="12"/>
                <w:szCs w:val="12"/>
              </w:rPr>
              <w:t>∙   Invasive coronary angiography is recommended as an alternative test to diagnose CAD in patients with a high clinical likelihood, severe symptoms refractory to medical therapy or typical angina at a low level of exercise, and clinical evaluation that indicates high event risk. (I B)</w:t>
            </w:r>
          </w:p>
        </w:tc>
        <w:tc>
          <w:tcPr>
            <w:tcW w:w="5040" w:type="dxa"/>
            <w:tcBorders>
              <w:top w:val="nil"/>
              <w:left w:val="nil"/>
              <w:bottom w:val="nil"/>
              <w:right w:val="nil"/>
            </w:tcBorders>
            <w:shd w:val="clear" w:color="auto" w:fill="auto"/>
            <w:hideMark/>
          </w:tcPr>
          <w:p w14:paraId="3D6A200C" w14:textId="77777777" w:rsidR="009A6451" w:rsidRDefault="009A6451">
            <w:pPr>
              <w:rPr>
                <w:rFonts w:ascii="Arial" w:hAnsi="Arial" w:cs="Arial"/>
                <w:color w:val="000000"/>
                <w:sz w:val="12"/>
                <w:szCs w:val="12"/>
              </w:rPr>
            </w:pPr>
            <w:r>
              <w:rPr>
                <w:rFonts w:ascii="Arial" w:hAnsi="Arial" w:cs="Arial"/>
                <w:color w:val="000000"/>
                <w:sz w:val="12"/>
                <w:szCs w:val="12"/>
              </w:rPr>
              <w:t xml:space="preserve">∙   Coronary angiography is useful in patients with presumed SIHD who have unacceptable ischemic symptoms despite GDMT and who are amenable to, and candidates for, coronary revascularization. (I </w:t>
            </w:r>
            <w:proofErr w:type="gramStart"/>
            <w:r>
              <w:rPr>
                <w:rFonts w:ascii="Arial" w:hAnsi="Arial" w:cs="Arial"/>
                <w:color w:val="000000"/>
                <w:sz w:val="12"/>
                <w:szCs w:val="12"/>
              </w:rPr>
              <w:t>C)*</w:t>
            </w:r>
            <w:proofErr w:type="gramEnd"/>
          </w:p>
        </w:tc>
      </w:tr>
      <w:tr w:rsidR="009A6451" w14:paraId="3F05A535" w14:textId="77777777" w:rsidTr="009A6451">
        <w:trPr>
          <w:gridAfter w:val="1"/>
          <w:wAfter w:w="36" w:type="dxa"/>
          <w:trHeight w:val="220"/>
        </w:trPr>
        <w:tc>
          <w:tcPr>
            <w:tcW w:w="5040" w:type="dxa"/>
            <w:tcBorders>
              <w:top w:val="nil"/>
              <w:left w:val="nil"/>
              <w:bottom w:val="nil"/>
              <w:right w:val="nil"/>
            </w:tcBorders>
            <w:shd w:val="clear" w:color="auto" w:fill="auto"/>
            <w:noWrap/>
            <w:vAlign w:val="center"/>
            <w:hideMark/>
          </w:tcPr>
          <w:p w14:paraId="0D880981" w14:textId="77777777" w:rsidR="009A6451" w:rsidRDefault="009A6451">
            <w:pPr>
              <w:rPr>
                <w:rFonts w:ascii="Arial" w:hAnsi="Arial" w:cs="Arial"/>
                <w:b/>
                <w:bCs/>
                <w:color w:val="000000"/>
                <w:sz w:val="12"/>
                <w:szCs w:val="12"/>
              </w:rPr>
            </w:pPr>
            <w:r>
              <w:rPr>
                <w:rFonts w:ascii="Arial" w:hAnsi="Arial" w:cs="Arial"/>
                <w:b/>
                <w:bCs/>
                <w:color w:val="000000"/>
                <w:sz w:val="12"/>
                <w:szCs w:val="12"/>
              </w:rPr>
              <w:t>Revascularisation</w:t>
            </w:r>
          </w:p>
        </w:tc>
        <w:tc>
          <w:tcPr>
            <w:tcW w:w="5040" w:type="dxa"/>
            <w:tcBorders>
              <w:top w:val="nil"/>
              <w:left w:val="nil"/>
              <w:bottom w:val="nil"/>
              <w:right w:val="nil"/>
            </w:tcBorders>
            <w:shd w:val="clear" w:color="auto" w:fill="auto"/>
            <w:noWrap/>
            <w:vAlign w:val="center"/>
            <w:hideMark/>
          </w:tcPr>
          <w:p w14:paraId="36E15C67" w14:textId="77777777" w:rsidR="009A6451" w:rsidRDefault="009A6451">
            <w:pPr>
              <w:rPr>
                <w:rFonts w:ascii="Arial" w:hAnsi="Arial" w:cs="Arial"/>
                <w:b/>
                <w:bCs/>
                <w:color w:val="000000"/>
                <w:sz w:val="12"/>
                <w:szCs w:val="12"/>
              </w:rPr>
            </w:pPr>
          </w:p>
        </w:tc>
        <w:tc>
          <w:tcPr>
            <w:tcW w:w="5040" w:type="dxa"/>
            <w:tcBorders>
              <w:top w:val="nil"/>
              <w:left w:val="nil"/>
              <w:bottom w:val="nil"/>
              <w:right w:val="nil"/>
            </w:tcBorders>
            <w:shd w:val="clear" w:color="auto" w:fill="auto"/>
            <w:noWrap/>
            <w:vAlign w:val="center"/>
            <w:hideMark/>
          </w:tcPr>
          <w:p w14:paraId="7EA29A48" w14:textId="77777777" w:rsidR="009A6451" w:rsidRDefault="009A6451">
            <w:pPr>
              <w:jc w:val="center"/>
              <w:rPr>
                <w:sz w:val="20"/>
                <w:szCs w:val="20"/>
              </w:rPr>
            </w:pPr>
          </w:p>
        </w:tc>
      </w:tr>
      <w:tr w:rsidR="009A6451" w14:paraId="42C0C531" w14:textId="77777777" w:rsidTr="009A6451">
        <w:trPr>
          <w:gridAfter w:val="1"/>
          <w:wAfter w:w="36" w:type="dxa"/>
          <w:trHeight w:val="276"/>
        </w:trPr>
        <w:tc>
          <w:tcPr>
            <w:tcW w:w="5040" w:type="dxa"/>
            <w:vMerge w:val="restart"/>
            <w:tcBorders>
              <w:top w:val="nil"/>
              <w:left w:val="nil"/>
              <w:bottom w:val="nil"/>
              <w:right w:val="nil"/>
            </w:tcBorders>
            <w:shd w:val="clear" w:color="auto" w:fill="auto"/>
            <w:hideMark/>
          </w:tcPr>
          <w:p w14:paraId="569FAF34" w14:textId="77777777" w:rsidR="009A6451" w:rsidRDefault="009A6451">
            <w:pPr>
              <w:rPr>
                <w:rFonts w:ascii="Arial" w:hAnsi="Arial" w:cs="Arial"/>
                <w:color w:val="000000"/>
                <w:sz w:val="12"/>
                <w:szCs w:val="12"/>
              </w:rPr>
            </w:pPr>
            <w:r>
              <w:rPr>
                <w:rFonts w:ascii="Arial" w:hAnsi="Arial" w:cs="Arial"/>
                <w:color w:val="000000"/>
                <w:sz w:val="12"/>
                <w:szCs w:val="12"/>
              </w:rPr>
              <w:t>∙   Consider revascularisation (coronary artery bypass graft [CABG] or percutaneous coronary intervention [PCI]) for people with stable angina whose symptoms are not satisfactorily controlled with optimal medical treatment</w:t>
            </w:r>
          </w:p>
        </w:tc>
        <w:tc>
          <w:tcPr>
            <w:tcW w:w="5040" w:type="dxa"/>
            <w:vMerge w:val="restart"/>
            <w:tcBorders>
              <w:top w:val="nil"/>
              <w:left w:val="nil"/>
              <w:bottom w:val="nil"/>
              <w:right w:val="nil"/>
            </w:tcBorders>
            <w:shd w:val="clear" w:color="auto" w:fill="auto"/>
            <w:hideMark/>
          </w:tcPr>
          <w:p w14:paraId="47114CA2" w14:textId="77777777" w:rsidR="009A6451" w:rsidRDefault="009A6451">
            <w:pPr>
              <w:rPr>
                <w:rFonts w:ascii="Arial" w:hAnsi="Arial" w:cs="Arial"/>
                <w:color w:val="000000"/>
                <w:sz w:val="12"/>
                <w:szCs w:val="12"/>
              </w:rPr>
            </w:pPr>
            <w:r>
              <w:rPr>
                <w:rFonts w:ascii="Arial" w:hAnsi="Arial" w:cs="Arial"/>
                <w:color w:val="000000"/>
                <w:sz w:val="12"/>
                <w:szCs w:val="12"/>
              </w:rPr>
              <w:t>∙   Revascularisation for stable angina / silent ischaemia: Haemodynamically significant coronary stenosis in the presence of limiting angina or angina equivalent (I A)</w:t>
            </w:r>
            <w:r>
              <w:rPr>
                <w:rFonts w:ascii="Arial" w:hAnsi="Arial" w:cs="Arial"/>
                <w:color w:val="000000"/>
                <w:sz w:val="12"/>
                <w:szCs w:val="12"/>
              </w:rPr>
              <w:br/>
              <w:t>with insufficient response to optimized medical therapy</w:t>
            </w:r>
          </w:p>
        </w:tc>
        <w:tc>
          <w:tcPr>
            <w:tcW w:w="5040" w:type="dxa"/>
            <w:vMerge w:val="restart"/>
            <w:tcBorders>
              <w:top w:val="nil"/>
              <w:left w:val="nil"/>
              <w:bottom w:val="nil"/>
              <w:right w:val="nil"/>
            </w:tcBorders>
            <w:shd w:val="clear" w:color="auto" w:fill="auto"/>
            <w:hideMark/>
          </w:tcPr>
          <w:p w14:paraId="7DB5CE85" w14:textId="01878594" w:rsidR="009A6451" w:rsidRDefault="009A6451">
            <w:pPr>
              <w:rPr>
                <w:rFonts w:ascii="Arial" w:hAnsi="Arial" w:cs="Arial"/>
                <w:color w:val="000000"/>
                <w:sz w:val="12"/>
                <w:szCs w:val="12"/>
              </w:rPr>
            </w:pPr>
            <w:r>
              <w:rPr>
                <w:rFonts w:ascii="Arial" w:hAnsi="Arial" w:cs="Arial"/>
                <w:color w:val="000000"/>
                <w:sz w:val="12"/>
                <w:szCs w:val="12"/>
              </w:rPr>
              <w:t xml:space="preserve">∙   In </w:t>
            </w:r>
            <w:r w:rsidR="00F36FB3">
              <w:rPr>
                <w:rFonts w:ascii="Arial" w:hAnsi="Arial" w:cs="Arial"/>
                <w:color w:val="000000"/>
                <w:sz w:val="12"/>
                <w:szCs w:val="12"/>
              </w:rPr>
              <w:t>patients</w:t>
            </w:r>
            <w:r>
              <w:rPr>
                <w:rFonts w:ascii="Arial" w:hAnsi="Arial" w:cs="Arial"/>
                <w:color w:val="000000"/>
                <w:sz w:val="12"/>
                <w:szCs w:val="12"/>
              </w:rPr>
              <w:t xml:space="preserve"> with refractory angina despite medical therapy and with </w:t>
            </w:r>
            <w:r w:rsidR="00F36FB3">
              <w:rPr>
                <w:rFonts w:ascii="Arial" w:hAnsi="Arial" w:cs="Arial"/>
                <w:color w:val="000000"/>
                <w:sz w:val="12"/>
                <w:szCs w:val="12"/>
              </w:rPr>
              <w:t>significant</w:t>
            </w:r>
            <w:r>
              <w:rPr>
                <w:rFonts w:ascii="Arial" w:hAnsi="Arial" w:cs="Arial"/>
                <w:color w:val="000000"/>
                <w:sz w:val="12"/>
                <w:szCs w:val="12"/>
              </w:rPr>
              <w:t xml:space="preserve"> </w:t>
            </w:r>
            <w:r w:rsidR="00F36FB3">
              <w:rPr>
                <w:rFonts w:ascii="Arial" w:hAnsi="Arial" w:cs="Arial"/>
                <w:color w:val="000000"/>
                <w:sz w:val="12"/>
                <w:szCs w:val="12"/>
              </w:rPr>
              <w:t>coronary</w:t>
            </w:r>
            <w:r>
              <w:rPr>
                <w:rFonts w:ascii="Arial" w:hAnsi="Arial" w:cs="Arial"/>
                <w:color w:val="000000"/>
                <w:sz w:val="12"/>
                <w:szCs w:val="12"/>
              </w:rPr>
              <w:t xml:space="preserve"> artery stenoses amenable to revascularisation, revascularisation is recommended to improve symptoms. (1 A)</w:t>
            </w:r>
          </w:p>
        </w:tc>
      </w:tr>
      <w:tr w:rsidR="009A6451" w14:paraId="79AEBE12" w14:textId="77777777" w:rsidTr="009A6451">
        <w:trPr>
          <w:trHeight w:val="180"/>
        </w:trPr>
        <w:tc>
          <w:tcPr>
            <w:tcW w:w="5040" w:type="dxa"/>
            <w:vMerge/>
            <w:tcBorders>
              <w:top w:val="nil"/>
              <w:left w:val="nil"/>
              <w:bottom w:val="nil"/>
              <w:right w:val="nil"/>
            </w:tcBorders>
            <w:vAlign w:val="center"/>
            <w:hideMark/>
          </w:tcPr>
          <w:p w14:paraId="7859D2D2"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28F9C351"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10C6CC2D"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5939458" w14:textId="77777777" w:rsidR="009A6451" w:rsidRDefault="009A6451">
            <w:pPr>
              <w:rPr>
                <w:rFonts w:ascii="Arial" w:hAnsi="Arial" w:cs="Arial"/>
                <w:color w:val="000000"/>
                <w:sz w:val="12"/>
                <w:szCs w:val="12"/>
              </w:rPr>
            </w:pPr>
          </w:p>
        </w:tc>
      </w:tr>
      <w:tr w:rsidR="009A6451" w14:paraId="71239F49" w14:textId="77777777" w:rsidTr="009A6451">
        <w:trPr>
          <w:trHeight w:val="180"/>
        </w:trPr>
        <w:tc>
          <w:tcPr>
            <w:tcW w:w="5040" w:type="dxa"/>
            <w:vMerge/>
            <w:tcBorders>
              <w:top w:val="nil"/>
              <w:left w:val="nil"/>
              <w:bottom w:val="nil"/>
              <w:right w:val="nil"/>
            </w:tcBorders>
            <w:vAlign w:val="center"/>
            <w:hideMark/>
          </w:tcPr>
          <w:p w14:paraId="3FBEAB08"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10B41A5D"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68642E0F"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647F234" w14:textId="77777777" w:rsidR="009A6451" w:rsidRDefault="009A6451">
            <w:pPr>
              <w:rPr>
                <w:sz w:val="20"/>
                <w:szCs w:val="20"/>
              </w:rPr>
            </w:pPr>
          </w:p>
        </w:tc>
      </w:tr>
      <w:tr w:rsidR="009A6451" w14:paraId="280CE88B" w14:textId="77777777" w:rsidTr="009A6451">
        <w:trPr>
          <w:trHeight w:val="180"/>
        </w:trPr>
        <w:tc>
          <w:tcPr>
            <w:tcW w:w="5040" w:type="dxa"/>
            <w:vMerge w:val="restart"/>
            <w:tcBorders>
              <w:top w:val="nil"/>
              <w:left w:val="nil"/>
              <w:bottom w:val="nil"/>
              <w:right w:val="nil"/>
            </w:tcBorders>
            <w:shd w:val="clear" w:color="auto" w:fill="auto"/>
            <w:hideMark/>
          </w:tcPr>
          <w:p w14:paraId="7EA2B105" w14:textId="0A87AC24" w:rsidR="009A6451" w:rsidRDefault="009A6451">
            <w:pPr>
              <w:rPr>
                <w:rFonts w:ascii="Arial" w:hAnsi="Arial" w:cs="Arial"/>
                <w:color w:val="0E0E0E"/>
                <w:sz w:val="12"/>
                <w:szCs w:val="12"/>
              </w:rPr>
            </w:pPr>
            <w:r>
              <w:rPr>
                <w:rFonts w:ascii="Arial" w:hAnsi="Arial" w:cs="Arial"/>
                <w:color w:val="0E0E0E"/>
                <w:sz w:val="12"/>
                <w:szCs w:val="12"/>
              </w:rPr>
              <w:t xml:space="preserve">∙   Consider the relative risks and benefits of CABG and PCI for people with stable angina using a systematic approach to assess the severity and complexity of the patient's coronary disease, in addition to other relevant clinical factors and </w:t>
            </w:r>
            <w:r w:rsidR="00F36FB3">
              <w:rPr>
                <w:rFonts w:ascii="Arial" w:hAnsi="Arial" w:cs="Arial"/>
                <w:color w:val="0E0E0E"/>
                <w:sz w:val="12"/>
                <w:szCs w:val="12"/>
              </w:rPr>
              <w:t>comorbidities</w:t>
            </w:r>
          </w:p>
        </w:tc>
        <w:tc>
          <w:tcPr>
            <w:tcW w:w="5040" w:type="dxa"/>
            <w:vMerge w:val="restart"/>
            <w:tcBorders>
              <w:top w:val="nil"/>
              <w:left w:val="nil"/>
              <w:bottom w:val="nil"/>
              <w:right w:val="nil"/>
            </w:tcBorders>
            <w:shd w:val="clear" w:color="auto" w:fill="auto"/>
            <w:hideMark/>
          </w:tcPr>
          <w:p w14:paraId="426E169C" w14:textId="149746E6" w:rsidR="009A6451" w:rsidRDefault="009A6451">
            <w:pPr>
              <w:rPr>
                <w:rFonts w:ascii="Arial" w:hAnsi="Arial" w:cs="Arial"/>
                <w:color w:val="000000"/>
                <w:sz w:val="12"/>
                <w:szCs w:val="12"/>
              </w:rPr>
            </w:pPr>
            <w:r>
              <w:rPr>
                <w:rFonts w:ascii="Arial" w:hAnsi="Arial" w:cs="Arial"/>
                <w:color w:val="000000"/>
                <w:sz w:val="12"/>
                <w:szCs w:val="12"/>
              </w:rPr>
              <w:t xml:space="preserve">∙   In patients with LM or multivessel disease, it is recommended that the SYNTAX score is calculated to assess the </w:t>
            </w:r>
            <w:r w:rsidR="00F36FB3">
              <w:rPr>
                <w:rFonts w:ascii="Arial" w:hAnsi="Arial" w:cs="Arial"/>
                <w:color w:val="000000"/>
                <w:sz w:val="12"/>
                <w:szCs w:val="12"/>
              </w:rPr>
              <w:t>anatomical</w:t>
            </w:r>
            <w:r>
              <w:rPr>
                <w:rFonts w:ascii="Arial" w:hAnsi="Arial" w:cs="Arial"/>
                <w:color w:val="000000"/>
                <w:sz w:val="12"/>
                <w:szCs w:val="12"/>
              </w:rPr>
              <w:t xml:space="preserve"> complexity of CAD and long-term risk of mortality and morbidity after PCI (I B); STS score recommended for surgical risk (I B); </w:t>
            </w:r>
            <w:proofErr w:type="spellStart"/>
            <w:r>
              <w:rPr>
                <w:rFonts w:ascii="Arial" w:hAnsi="Arial" w:cs="Arial"/>
                <w:color w:val="000000"/>
                <w:sz w:val="12"/>
                <w:szCs w:val="12"/>
              </w:rPr>
              <w:t>Euroscore</w:t>
            </w:r>
            <w:proofErr w:type="spellEnd"/>
            <w:r>
              <w:rPr>
                <w:rFonts w:ascii="Arial" w:hAnsi="Arial" w:cs="Arial"/>
                <w:color w:val="000000"/>
                <w:sz w:val="12"/>
                <w:szCs w:val="12"/>
              </w:rPr>
              <w:t xml:space="preserve"> II may be considered for surgical risk (II B)</w:t>
            </w:r>
          </w:p>
        </w:tc>
        <w:tc>
          <w:tcPr>
            <w:tcW w:w="5040" w:type="dxa"/>
            <w:vMerge w:val="restart"/>
            <w:tcBorders>
              <w:top w:val="nil"/>
              <w:left w:val="nil"/>
              <w:bottom w:val="nil"/>
              <w:right w:val="nil"/>
            </w:tcBorders>
            <w:shd w:val="clear" w:color="auto" w:fill="auto"/>
            <w:hideMark/>
          </w:tcPr>
          <w:p w14:paraId="14663A03" w14:textId="77777777" w:rsidR="009A6451" w:rsidRDefault="009A6451">
            <w:pPr>
              <w:rPr>
                <w:rFonts w:ascii="Arial" w:hAnsi="Arial" w:cs="Arial"/>
                <w:color w:val="000000"/>
                <w:sz w:val="12"/>
                <w:szCs w:val="12"/>
              </w:rPr>
            </w:pPr>
            <w:r>
              <w:rPr>
                <w:rFonts w:ascii="Arial" w:hAnsi="Arial" w:cs="Arial"/>
                <w:color w:val="000000"/>
                <w:sz w:val="12"/>
                <w:szCs w:val="12"/>
              </w:rPr>
              <w:t>∙   If MVD, an assessment of CAD complexity, such as SYNTAX may be useful to guide revascularisation (2b B)</w:t>
            </w:r>
          </w:p>
        </w:tc>
        <w:tc>
          <w:tcPr>
            <w:tcW w:w="36" w:type="dxa"/>
            <w:vAlign w:val="center"/>
            <w:hideMark/>
          </w:tcPr>
          <w:p w14:paraId="30CC48AD" w14:textId="77777777" w:rsidR="009A6451" w:rsidRDefault="009A6451">
            <w:pPr>
              <w:rPr>
                <w:sz w:val="20"/>
                <w:szCs w:val="20"/>
              </w:rPr>
            </w:pPr>
          </w:p>
        </w:tc>
      </w:tr>
      <w:tr w:rsidR="009A6451" w14:paraId="2B7CBF9E" w14:textId="77777777" w:rsidTr="009A6451">
        <w:trPr>
          <w:trHeight w:val="180"/>
        </w:trPr>
        <w:tc>
          <w:tcPr>
            <w:tcW w:w="5040" w:type="dxa"/>
            <w:vMerge/>
            <w:tcBorders>
              <w:top w:val="nil"/>
              <w:left w:val="nil"/>
              <w:bottom w:val="nil"/>
              <w:right w:val="nil"/>
            </w:tcBorders>
            <w:vAlign w:val="center"/>
            <w:hideMark/>
          </w:tcPr>
          <w:p w14:paraId="1241F238"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06F5FA08"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2585B46A"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5670021" w14:textId="77777777" w:rsidR="009A6451" w:rsidRDefault="009A6451">
            <w:pPr>
              <w:rPr>
                <w:rFonts w:ascii="Arial" w:hAnsi="Arial" w:cs="Arial"/>
                <w:color w:val="000000"/>
                <w:sz w:val="12"/>
                <w:szCs w:val="12"/>
              </w:rPr>
            </w:pPr>
          </w:p>
        </w:tc>
      </w:tr>
      <w:tr w:rsidR="009A6451" w14:paraId="671C924D" w14:textId="77777777" w:rsidTr="009A6451">
        <w:trPr>
          <w:trHeight w:val="180"/>
        </w:trPr>
        <w:tc>
          <w:tcPr>
            <w:tcW w:w="5040" w:type="dxa"/>
            <w:vMerge/>
            <w:tcBorders>
              <w:top w:val="nil"/>
              <w:left w:val="nil"/>
              <w:bottom w:val="nil"/>
              <w:right w:val="nil"/>
            </w:tcBorders>
            <w:vAlign w:val="center"/>
            <w:hideMark/>
          </w:tcPr>
          <w:p w14:paraId="6BCFCAC4"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1DA2AE27"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04FFC5D8"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355A15F" w14:textId="77777777" w:rsidR="009A6451" w:rsidRDefault="009A6451">
            <w:pPr>
              <w:rPr>
                <w:sz w:val="20"/>
                <w:szCs w:val="20"/>
              </w:rPr>
            </w:pPr>
          </w:p>
        </w:tc>
      </w:tr>
      <w:tr w:rsidR="009A6451" w14:paraId="5A9ACEA2" w14:textId="77777777" w:rsidTr="009A6451">
        <w:trPr>
          <w:trHeight w:val="180"/>
        </w:trPr>
        <w:tc>
          <w:tcPr>
            <w:tcW w:w="5040" w:type="dxa"/>
            <w:vMerge w:val="restart"/>
            <w:tcBorders>
              <w:top w:val="nil"/>
              <w:left w:val="nil"/>
              <w:bottom w:val="nil"/>
              <w:right w:val="nil"/>
            </w:tcBorders>
            <w:shd w:val="clear" w:color="auto" w:fill="auto"/>
            <w:hideMark/>
          </w:tcPr>
          <w:p w14:paraId="4E25772D" w14:textId="77777777" w:rsidR="009A6451" w:rsidRDefault="009A6451">
            <w:pPr>
              <w:rPr>
                <w:rFonts w:ascii="Arial" w:hAnsi="Arial" w:cs="Arial"/>
                <w:color w:val="0E0E0E"/>
                <w:sz w:val="12"/>
                <w:szCs w:val="12"/>
              </w:rPr>
            </w:pPr>
            <w:r>
              <w:rPr>
                <w:rFonts w:ascii="Arial" w:hAnsi="Arial" w:cs="Arial"/>
                <w:color w:val="0E0E0E"/>
                <w:sz w:val="12"/>
                <w:szCs w:val="12"/>
              </w:rPr>
              <w:t>∙   Offer PCI to patients with stable angina and suitable coronary anatomy when their symptoms are not satisfactorily controlled with optimal medical treatment AND revascularisation is considered appropriate AND CABG is not appropriate</w:t>
            </w:r>
          </w:p>
        </w:tc>
        <w:tc>
          <w:tcPr>
            <w:tcW w:w="5040" w:type="dxa"/>
            <w:vMerge w:val="restart"/>
            <w:tcBorders>
              <w:top w:val="nil"/>
              <w:left w:val="nil"/>
              <w:bottom w:val="nil"/>
              <w:right w:val="nil"/>
            </w:tcBorders>
            <w:shd w:val="clear" w:color="auto" w:fill="auto"/>
            <w:hideMark/>
          </w:tcPr>
          <w:p w14:paraId="0E59E612" w14:textId="69D77671"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SYNTAX score for left main CAD, 3VD (with or without diabetes mellitus) Also recommendations for Two vessel CAD, One vessel CAD with and without involvement of proximal LAD</w:t>
            </w:r>
          </w:p>
        </w:tc>
        <w:tc>
          <w:tcPr>
            <w:tcW w:w="5040" w:type="dxa"/>
            <w:vMerge w:val="restart"/>
            <w:tcBorders>
              <w:top w:val="nil"/>
              <w:left w:val="nil"/>
              <w:bottom w:val="nil"/>
              <w:right w:val="nil"/>
            </w:tcBorders>
            <w:shd w:val="clear" w:color="auto" w:fill="auto"/>
            <w:noWrap/>
            <w:hideMark/>
          </w:tcPr>
          <w:p w14:paraId="29DC0985" w14:textId="31978ADD"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disease complexity, presence of diabetes, left main and 3VD</w:t>
            </w:r>
          </w:p>
        </w:tc>
        <w:tc>
          <w:tcPr>
            <w:tcW w:w="36" w:type="dxa"/>
            <w:vAlign w:val="center"/>
            <w:hideMark/>
          </w:tcPr>
          <w:p w14:paraId="79660A01" w14:textId="77777777" w:rsidR="009A6451" w:rsidRDefault="009A6451">
            <w:pPr>
              <w:rPr>
                <w:sz w:val="20"/>
                <w:szCs w:val="20"/>
              </w:rPr>
            </w:pPr>
          </w:p>
        </w:tc>
      </w:tr>
      <w:tr w:rsidR="009A6451" w14:paraId="52681E72" w14:textId="77777777" w:rsidTr="009A6451">
        <w:trPr>
          <w:trHeight w:val="180"/>
        </w:trPr>
        <w:tc>
          <w:tcPr>
            <w:tcW w:w="5040" w:type="dxa"/>
            <w:vMerge/>
            <w:tcBorders>
              <w:top w:val="nil"/>
              <w:left w:val="nil"/>
              <w:bottom w:val="nil"/>
              <w:right w:val="nil"/>
            </w:tcBorders>
            <w:vAlign w:val="center"/>
            <w:hideMark/>
          </w:tcPr>
          <w:p w14:paraId="7FF609DE"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1CE594DE"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2E8CCF02"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AEE48B4" w14:textId="77777777" w:rsidR="009A6451" w:rsidRDefault="009A6451">
            <w:pPr>
              <w:rPr>
                <w:rFonts w:ascii="Arial" w:hAnsi="Arial" w:cs="Arial"/>
                <w:color w:val="000000"/>
                <w:sz w:val="12"/>
                <w:szCs w:val="12"/>
              </w:rPr>
            </w:pPr>
          </w:p>
        </w:tc>
      </w:tr>
      <w:tr w:rsidR="009A6451" w14:paraId="33988C06" w14:textId="77777777" w:rsidTr="009A6451">
        <w:trPr>
          <w:trHeight w:val="180"/>
        </w:trPr>
        <w:tc>
          <w:tcPr>
            <w:tcW w:w="5040" w:type="dxa"/>
            <w:vMerge/>
            <w:tcBorders>
              <w:top w:val="nil"/>
              <w:left w:val="nil"/>
              <w:bottom w:val="nil"/>
              <w:right w:val="nil"/>
            </w:tcBorders>
            <w:vAlign w:val="center"/>
            <w:hideMark/>
          </w:tcPr>
          <w:p w14:paraId="7F64DB65"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5B41A5AE"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007DE4F3"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78C4DE7E" w14:textId="77777777" w:rsidR="009A6451" w:rsidRDefault="009A6451">
            <w:pPr>
              <w:rPr>
                <w:sz w:val="20"/>
                <w:szCs w:val="20"/>
              </w:rPr>
            </w:pPr>
          </w:p>
        </w:tc>
      </w:tr>
      <w:tr w:rsidR="009A6451" w14:paraId="30DAC660" w14:textId="77777777" w:rsidTr="009A6451">
        <w:trPr>
          <w:trHeight w:val="180"/>
        </w:trPr>
        <w:tc>
          <w:tcPr>
            <w:tcW w:w="5040" w:type="dxa"/>
            <w:vMerge w:val="restart"/>
            <w:tcBorders>
              <w:top w:val="nil"/>
              <w:left w:val="nil"/>
              <w:bottom w:val="nil"/>
              <w:right w:val="nil"/>
            </w:tcBorders>
            <w:shd w:val="clear" w:color="auto" w:fill="auto"/>
            <w:hideMark/>
          </w:tcPr>
          <w:p w14:paraId="7E40981E" w14:textId="77777777" w:rsidR="009A6451" w:rsidRDefault="009A6451">
            <w:pPr>
              <w:rPr>
                <w:rFonts w:ascii="Arial" w:hAnsi="Arial" w:cs="Arial"/>
                <w:color w:val="000000"/>
                <w:sz w:val="12"/>
                <w:szCs w:val="12"/>
              </w:rPr>
            </w:pPr>
            <w:r>
              <w:rPr>
                <w:rFonts w:ascii="Arial" w:hAnsi="Arial" w:cs="Arial"/>
                <w:color w:val="000000"/>
                <w:sz w:val="12"/>
                <w:szCs w:val="12"/>
              </w:rPr>
              <w:t>∙   Offer CABG to patients with stable angina and suitable coronary anatomy when symptoms not controlled AND revascularisation considered appropriate AND PCI is not appropriate</w:t>
            </w:r>
          </w:p>
        </w:tc>
        <w:tc>
          <w:tcPr>
            <w:tcW w:w="5040" w:type="dxa"/>
            <w:vMerge w:val="restart"/>
            <w:tcBorders>
              <w:top w:val="nil"/>
              <w:left w:val="nil"/>
              <w:bottom w:val="nil"/>
              <w:right w:val="nil"/>
            </w:tcBorders>
            <w:shd w:val="clear" w:color="auto" w:fill="auto"/>
            <w:hideMark/>
          </w:tcPr>
          <w:p w14:paraId="0F18C437" w14:textId="746EDB75"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SYNTAX score for left main CAD, 3VD (with or without diabetes mellitus) Also recommendations for Two vessel CAD, One vessel CAD with and without involvement of proximal LAD</w:t>
            </w:r>
          </w:p>
        </w:tc>
        <w:tc>
          <w:tcPr>
            <w:tcW w:w="5040" w:type="dxa"/>
            <w:vMerge w:val="restart"/>
            <w:tcBorders>
              <w:top w:val="nil"/>
              <w:left w:val="nil"/>
              <w:bottom w:val="nil"/>
              <w:right w:val="nil"/>
            </w:tcBorders>
            <w:shd w:val="clear" w:color="auto" w:fill="auto"/>
            <w:noWrap/>
            <w:hideMark/>
          </w:tcPr>
          <w:p w14:paraId="442C3BA3" w14:textId="7310FD39"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disease complexity, presence of diabetes, left main and 3VD</w:t>
            </w:r>
          </w:p>
        </w:tc>
        <w:tc>
          <w:tcPr>
            <w:tcW w:w="36" w:type="dxa"/>
            <w:vAlign w:val="center"/>
            <w:hideMark/>
          </w:tcPr>
          <w:p w14:paraId="6FF8A4E5" w14:textId="77777777" w:rsidR="009A6451" w:rsidRDefault="009A6451">
            <w:pPr>
              <w:rPr>
                <w:sz w:val="20"/>
                <w:szCs w:val="20"/>
              </w:rPr>
            </w:pPr>
          </w:p>
        </w:tc>
      </w:tr>
      <w:tr w:rsidR="009A6451" w14:paraId="595F239C" w14:textId="77777777" w:rsidTr="009A6451">
        <w:trPr>
          <w:trHeight w:val="180"/>
        </w:trPr>
        <w:tc>
          <w:tcPr>
            <w:tcW w:w="5040" w:type="dxa"/>
            <w:vMerge/>
            <w:tcBorders>
              <w:top w:val="nil"/>
              <w:left w:val="nil"/>
              <w:bottom w:val="nil"/>
              <w:right w:val="nil"/>
            </w:tcBorders>
            <w:vAlign w:val="center"/>
            <w:hideMark/>
          </w:tcPr>
          <w:p w14:paraId="53F91AFA"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168CDB50"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34C65485"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7A53E98" w14:textId="77777777" w:rsidR="009A6451" w:rsidRDefault="009A6451">
            <w:pPr>
              <w:rPr>
                <w:rFonts w:ascii="Arial" w:hAnsi="Arial" w:cs="Arial"/>
                <w:color w:val="000000"/>
                <w:sz w:val="12"/>
                <w:szCs w:val="12"/>
              </w:rPr>
            </w:pPr>
          </w:p>
        </w:tc>
      </w:tr>
      <w:tr w:rsidR="009A6451" w14:paraId="53F41C32" w14:textId="77777777" w:rsidTr="009A6451">
        <w:trPr>
          <w:trHeight w:val="180"/>
        </w:trPr>
        <w:tc>
          <w:tcPr>
            <w:tcW w:w="5040" w:type="dxa"/>
            <w:vMerge/>
            <w:tcBorders>
              <w:top w:val="nil"/>
              <w:left w:val="nil"/>
              <w:bottom w:val="nil"/>
              <w:right w:val="nil"/>
            </w:tcBorders>
            <w:vAlign w:val="center"/>
            <w:hideMark/>
          </w:tcPr>
          <w:p w14:paraId="31E60212"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5FEA43AE"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39334D91"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003387F9" w14:textId="77777777" w:rsidR="009A6451" w:rsidRDefault="009A6451">
            <w:pPr>
              <w:rPr>
                <w:sz w:val="20"/>
                <w:szCs w:val="20"/>
              </w:rPr>
            </w:pPr>
          </w:p>
        </w:tc>
      </w:tr>
      <w:tr w:rsidR="009A6451" w14:paraId="2EAA9596" w14:textId="77777777" w:rsidTr="009A6451">
        <w:trPr>
          <w:trHeight w:val="180"/>
        </w:trPr>
        <w:tc>
          <w:tcPr>
            <w:tcW w:w="5040" w:type="dxa"/>
            <w:vMerge w:val="restart"/>
            <w:tcBorders>
              <w:top w:val="nil"/>
              <w:left w:val="nil"/>
              <w:bottom w:val="nil"/>
              <w:right w:val="nil"/>
            </w:tcBorders>
            <w:shd w:val="clear" w:color="auto" w:fill="auto"/>
            <w:hideMark/>
          </w:tcPr>
          <w:p w14:paraId="56EA819B" w14:textId="77777777" w:rsidR="009A6451" w:rsidRDefault="009A6451">
            <w:pPr>
              <w:rPr>
                <w:rFonts w:ascii="Arial" w:hAnsi="Arial" w:cs="Arial"/>
                <w:color w:val="0E0E0E"/>
                <w:sz w:val="12"/>
                <w:szCs w:val="12"/>
              </w:rPr>
            </w:pPr>
            <w:r>
              <w:rPr>
                <w:rFonts w:ascii="Arial" w:hAnsi="Arial" w:cs="Arial"/>
                <w:color w:val="0E0E0E"/>
                <w:sz w:val="12"/>
                <w:szCs w:val="12"/>
              </w:rPr>
              <w:t>∙   Consider CABG for people with stable angina and suitable coronary anatomy whose symptoms are satisfactorily controlled with optimal medical treatment, but coronary angiography indicates left main stem disease or proximal three-vessel disease.</w:t>
            </w:r>
          </w:p>
        </w:tc>
        <w:tc>
          <w:tcPr>
            <w:tcW w:w="5040" w:type="dxa"/>
            <w:vMerge w:val="restart"/>
            <w:tcBorders>
              <w:top w:val="nil"/>
              <w:left w:val="nil"/>
              <w:bottom w:val="nil"/>
              <w:right w:val="nil"/>
            </w:tcBorders>
            <w:shd w:val="clear" w:color="auto" w:fill="auto"/>
            <w:hideMark/>
          </w:tcPr>
          <w:p w14:paraId="7D7AFE8E" w14:textId="0615F7E2"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SYNTAX score for left main CAD, 3VD (with or without diabetes mellitus) </w:t>
            </w:r>
          </w:p>
        </w:tc>
        <w:tc>
          <w:tcPr>
            <w:tcW w:w="5040" w:type="dxa"/>
            <w:vMerge w:val="restart"/>
            <w:tcBorders>
              <w:top w:val="nil"/>
              <w:left w:val="nil"/>
              <w:bottom w:val="nil"/>
              <w:right w:val="nil"/>
            </w:tcBorders>
            <w:shd w:val="clear" w:color="auto" w:fill="auto"/>
            <w:noWrap/>
            <w:hideMark/>
          </w:tcPr>
          <w:p w14:paraId="72849953" w14:textId="77777777" w:rsidR="009A6451" w:rsidRDefault="009A6451">
            <w:pPr>
              <w:rPr>
                <w:rFonts w:ascii="Arial" w:hAnsi="Arial" w:cs="Arial"/>
                <w:color w:val="000000"/>
                <w:sz w:val="12"/>
                <w:szCs w:val="12"/>
              </w:rPr>
            </w:pPr>
            <w:r>
              <w:rPr>
                <w:rFonts w:ascii="Arial" w:hAnsi="Arial" w:cs="Arial"/>
                <w:color w:val="000000"/>
                <w:sz w:val="12"/>
                <w:szCs w:val="12"/>
              </w:rPr>
              <w:t xml:space="preserve">∙   Left main stenosis, CABG recommended to improve survival (1 B). </w:t>
            </w:r>
          </w:p>
        </w:tc>
        <w:tc>
          <w:tcPr>
            <w:tcW w:w="36" w:type="dxa"/>
            <w:vAlign w:val="center"/>
            <w:hideMark/>
          </w:tcPr>
          <w:p w14:paraId="63FAFC36" w14:textId="77777777" w:rsidR="009A6451" w:rsidRDefault="009A6451">
            <w:pPr>
              <w:rPr>
                <w:sz w:val="20"/>
                <w:szCs w:val="20"/>
              </w:rPr>
            </w:pPr>
          </w:p>
        </w:tc>
      </w:tr>
      <w:tr w:rsidR="009A6451" w14:paraId="507FEE03" w14:textId="77777777" w:rsidTr="009A6451">
        <w:trPr>
          <w:trHeight w:val="180"/>
        </w:trPr>
        <w:tc>
          <w:tcPr>
            <w:tcW w:w="5040" w:type="dxa"/>
            <w:vMerge/>
            <w:tcBorders>
              <w:top w:val="nil"/>
              <w:left w:val="nil"/>
              <w:bottom w:val="nil"/>
              <w:right w:val="nil"/>
            </w:tcBorders>
            <w:vAlign w:val="center"/>
            <w:hideMark/>
          </w:tcPr>
          <w:p w14:paraId="61395988"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702C9F87"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7AF0F82C"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096DB330" w14:textId="77777777" w:rsidR="009A6451" w:rsidRDefault="009A6451">
            <w:pPr>
              <w:rPr>
                <w:rFonts w:ascii="Arial" w:hAnsi="Arial" w:cs="Arial"/>
                <w:color w:val="000000"/>
                <w:sz w:val="12"/>
                <w:szCs w:val="12"/>
              </w:rPr>
            </w:pPr>
          </w:p>
        </w:tc>
      </w:tr>
      <w:tr w:rsidR="009A6451" w14:paraId="03448606" w14:textId="77777777" w:rsidTr="009A6451">
        <w:trPr>
          <w:trHeight w:val="180"/>
        </w:trPr>
        <w:tc>
          <w:tcPr>
            <w:tcW w:w="5040" w:type="dxa"/>
            <w:vMerge/>
            <w:tcBorders>
              <w:top w:val="nil"/>
              <w:left w:val="nil"/>
              <w:bottom w:val="nil"/>
              <w:right w:val="nil"/>
            </w:tcBorders>
            <w:vAlign w:val="center"/>
            <w:hideMark/>
          </w:tcPr>
          <w:p w14:paraId="56DABE0F"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20BA1E8B"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1F326CDA"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C869D11" w14:textId="77777777" w:rsidR="009A6451" w:rsidRDefault="009A6451">
            <w:pPr>
              <w:rPr>
                <w:sz w:val="20"/>
                <w:szCs w:val="20"/>
              </w:rPr>
            </w:pPr>
          </w:p>
        </w:tc>
      </w:tr>
      <w:tr w:rsidR="009A6451" w14:paraId="2A90FD0D" w14:textId="77777777" w:rsidTr="009A6451">
        <w:trPr>
          <w:trHeight w:val="220"/>
        </w:trPr>
        <w:tc>
          <w:tcPr>
            <w:tcW w:w="5040" w:type="dxa"/>
            <w:tcBorders>
              <w:top w:val="nil"/>
              <w:left w:val="nil"/>
              <w:bottom w:val="nil"/>
              <w:right w:val="nil"/>
            </w:tcBorders>
            <w:shd w:val="clear" w:color="auto" w:fill="auto"/>
            <w:noWrap/>
            <w:vAlign w:val="center"/>
            <w:hideMark/>
          </w:tcPr>
          <w:p w14:paraId="76D63692" w14:textId="77777777" w:rsidR="009A6451" w:rsidRDefault="009A6451">
            <w:pPr>
              <w:rPr>
                <w:rFonts w:ascii="Arial" w:hAnsi="Arial" w:cs="Arial"/>
                <w:b/>
                <w:bCs/>
                <w:color w:val="000000"/>
                <w:sz w:val="12"/>
                <w:szCs w:val="12"/>
              </w:rPr>
            </w:pPr>
            <w:r>
              <w:rPr>
                <w:rFonts w:ascii="Arial" w:hAnsi="Arial" w:cs="Arial"/>
                <w:b/>
                <w:bCs/>
                <w:color w:val="000000"/>
                <w:sz w:val="12"/>
                <w:szCs w:val="12"/>
              </w:rPr>
              <w:t>Equipoise</w:t>
            </w:r>
          </w:p>
        </w:tc>
        <w:tc>
          <w:tcPr>
            <w:tcW w:w="5040" w:type="dxa"/>
            <w:tcBorders>
              <w:top w:val="nil"/>
              <w:left w:val="nil"/>
              <w:bottom w:val="nil"/>
              <w:right w:val="nil"/>
            </w:tcBorders>
            <w:shd w:val="clear" w:color="auto" w:fill="auto"/>
            <w:hideMark/>
          </w:tcPr>
          <w:p w14:paraId="12F86732" w14:textId="77777777" w:rsidR="009A6451" w:rsidRDefault="009A6451">
            <w:pPr>
              <w:rPr>
                <w:rFonts w:ascii="Arial" w:hAnsi="Arial" w:cs="Arial"/>
                <w:b/>
                <w:bCs/>
                <w:color w:val="000000"/>
                <w:sz w:val="12"/>
                <w:szCs w:val="12"/>
              </w:rPr>
            </w:pPr>
          </w:p>
        </w:tc>
        <w:tc>
          <w:tcPr>
            <w:tcW w:w="5040" w:type="dxa"/>
            <w:tcBorders>
              <w:top w:val="nil"/>
              <w:left w:val="nil"/>
              <w:bottom w:val="nil"/>
              <w:right w:val="nil"/>
            </w:tcBorders>
            <w:shd w:val="clear" w:color="auto" w:fill="auto"/>
            <w:noWrap/>
            <w:hideMark/>
          </w:tcPr>
          <w:p w14:paraId="5E9B9FC9" w14:textId="77777777" w:rsidR="009A6451" w:rsidRDefault="009A6451">
            <w:pPr>
              <w:rPr>
                <w:sz w:val="20"/>
                <w:szCs w:val="20"/>
              </w:rPr>
            </w:pPr>
          </w:p>
        </w:tc>
        <w:tc>
          <w:tcPr>
            <w:tcW w:w="36" w:type="dxa"/>
            <w:vAlign w:val="center"/>
            <w:hideMark/>
          </w:tcPr>
          <w:p w14:paraId="134DCBD2" w14:textId="77777777" w:rsidR="009A6451" w:rsidRDefault="009A6451">
            <w:pPr>
              <w:rPr>
                <w:sz w:val="20"/>
                <w:szCs w:val="20"/>
              </w:rPr>
            </w:pPr>
          </w:p>
        </w:tc>
      </w:tr>
      <w:tr w:rsidR="009A6451" w14:paraId="089D01A2" w14:textId="77777777" w:rsidTr="009A6451">
        <w:trPr>
          <w:trHeight w:val="180"/>
        </w:trPr>
        <w:tc>
          <w:tcPr>
            <w:tcW w:w="5040" w:type="dxa"/>
            <w:vMerge w:val="restart"/>
            <w:tcBorders>
              <w:top w:val="nil"/>
              <w:left w:val="nil"/>
              <w:bottom w:val="nil"/>
              <w:right w:val="nil"/>
            </w:tcBorders>
            <w:shd w:val="clear" w:color="auto" w:fill="auto"/>
            <w:hideMark/>
          </w:tcPr>
          <w:p w14:paraId="17489352" w14:textId="77777777" w:rsidR="009A6451" w:rsidRDefault="009A6451">
            <w:pPr>
              <w:rPr>
                <w:rFonts w:ascii="Arial" w:hAnsi="Arial" w:cs="Arial"/>
                <w:color w:val="0E0E0E"/>
                <w:sz w:val="12"/>
                <w:szCs w:val="12"/>
              </w:rPr>
            </w:pPr>
            <w:r>
              <w:rPr>
                <w:rFonts w:ascii="Arial" w:hAnsi="Arial" w:cs="Arial"/>
                <w:color w:val="0E0E0E"/>
                <w:sz w:val="12"/>
                <w:szCs w:val="12"/>
              </w:rPr>
              <w:t>∙   When either procedure would be appropriate, explain to the person the risks and benefits of PCI and CABG for people with anatomically less complex disease whose symptoms are not satisfactorily controlled with optimal medical treatment. If the person does not express a preference, take account of the evidence that suggests that PCI may be the more cost-effective procedure in selecting the course of treatment.</w:t>
            </w:r>
          </w:p>
        </w:tc>
        <w:tc>
          <w:tcPr>
            <w:tcW w:w="5040" w:type="dxa"/>
            <w:vMerge w:val="restart"/>
            <w:tcBorders>
              <w:top w:val="nil"/>
              <w:left w:val="nil"/>
              <w:bottom w:val="nil"/>
              <w:right w:val="nil"/>
            </w:tcBorders>
            <w:shd w:val="clear" w:color="auto" w:fill="auto"/>
            <w:noWrap/>
            <w:hideMark/>
          </w:tcPr>
          <w:p w14:paraId="56488216" w14:textId="77777777" w:rsidR="009A6451" w:rsidRDefault="009A6451">
            <w:pPr>
              <w:rPr>
                <w:rFonts w:ascii="Arial" w:hAnsi="Arial" w:cs="Arial"/>
                <w:color w:val="000000"/>
                <w:sz w:val="12"/>
                <w:szCs w:val="12"/>
              </w:rPr>
            </w:pPr>
            <w:r>
              <w:rPr>
                <w:rFonts w:ascii="Arial" w:hAnsi="Arial" w:cs="Arial"/>
                <w:color w:val="000000"/>
                <w:sz w:val="12"/>
                <w:szCs w:val="12"/>
              </w:rPr>
              <w:t>∙   Not clearly mentioned. Importance of Heart Team stressed. (I C)</w:t>
            </w:r>
          </w:p>
        </w:tc>
        <w:tc>
          <w:tcPr>
            <w:tcW w:w="5040" w:type="dxa"/>
            <w:vMerge w:val="restart"/>
            <w:tcBorders>
              <w:top w:val="nil"/>
              <w:left w:val="nil"/>
              <w:bottom w:val="nil"/>
              <w:right w:val="nil"/>
            </w:tcBorders>
            <w:shd w:val="clear" w:color="auto" w:fill="auto"/>
            <w:hideMark/>
          </w:tcPr>
          <w:p w14:paraId="36B362E7" w14:textId="77777777" w:rsidR="009A6451" w:rsidRDefault="009A6451">
            <w:pPr>
              <w:rPr>
                <w:rFonts w:ascii="Arial" w:hAnsi="Arial" w:cs="Arial"/>
                <w:color w:val="000000"/>
                <w:sz w:val="12"/>
                <w:szCs w:val="12"/>
              </w:rPr>
            </w:pPr>
            <w:r>
              <w:rPr>
                <w:rFonts w:ascii="Arial" w:hAnsi="Arial" w:cs="Arial"/>
                <w:color w:val="000000"/>
                <w:sz w:val="12"/>
                <w:szCs w:val="12"/>
              </w:rPr>
              <w:t>∙   Not clearly mentioned. If optimal strategy unclear, a Heart Team approach is recommended to improve patient outcomes (1 B)</w:t>
            </w:r>
          </w:p>
        </w:tc>
        <w:tc>
          <w:tcPr>
            <w:tcW w:w="36" w:type="dxa"/>
            <w:vAlign w:val="center"/>
            <w:hideMark/>
          </w:tcPr>
          <w:p w14:paraId="1AE61AC0" w14:textId="77777777" w:rsidR="009A6451" w:rsidRDefault="009A6451">
            <w:pPr>
              <w:rPr>
                <w:sz w:val="20"/>
                <w:szCs w:val="20"/>
              </w:rPr>
            </w:pPr>
          </w:p>
        </w:tc>
      </w:tr>
      <w:tr w:rsidR="009A6451" w14:paraId="3E3C76BA" w14:textId="77777777" w:rsidTr="009A6451">
        <w:trPr>
          <w:trHeight w:val="180"/>
        </w:trPr>
        <w:tc>
          <w:tcPr>
            <w:tcW w:w="5040" w:type="dxa"/>
            <w:vMerge/>
            <w:tcBorders>
              <w:top w:val="nil"/>
              <w:left w:val="nil"/>
              <w:bottom w:val="nil"/>
              <w:right w:val="nil"/>
            </w:tcBorders>
            <w:vAlign w:val="center"/>
            <w:hideMark/>
          </w:tcPr>
          <w:p w14:paraId="0A545B14"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6136BCB8"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0BF2D05D"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7D303A60" w14:textId="77777777" w:rsidR="009A6451" w:rsidRDefault="009A6451">
            <w:pPr>
              <w:rPr>
                <w:rFonts w:ascii="Arial" w:hAnsi="Arial" w:cs="Arial"/>
                <w:color w:val="000000"/>
                <w:sz w:val="12"/>
                <w:szCs w:val="12"/>
              </w:rPr>
            </w:pPr>
          </w:p>
        </w:tc>
      </w:tr>
      <w:tr w:rsidR="009A6451" w14:paraId="48519FFB" w14:textId="77777777" w:rsidTr="00F9235F">
        <w:trPr>
          <w:trHeight w:val="440"/>
        </w:trPr>
        <w:tc>
          <w:tcPr>
            <w:tcW w:w="5040" w:type="dxa"/>
            <w:vMerge/>
            <w:tcBorders>
              <w:top w:val="nil"/>
              <w:left w:val="nil"/>
              <w:bottom w:val="nil"/>
              <w:right w:val="nil"/>
            </w:tcBorders>
            <w:vAlign w:val="center"/>
            <w:hideMark/>
          </w:tcPr>
          <w:p w14:paraId="30A38F2B"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0DB8370C"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6F247357"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469C258" w14:textId="77777777" w:rsidR="009A6451" w:rsidRDefault="009A6451">
            <w:pPr>
              <w:rPr>
                <w:sz w:val="20"/>
                <w:szCs w:val="20"/>
              </w:rPr>
            </w:pPr>
          </w:p>
        </w:tc>
      </w:tr>
      <w:tr w:rsidR="009A6451" w14:paraId="17C9AE5B" w14:textId="77777777" w:rsidTr="009A6451">
        <w:trPr>
          <w:trHeight w:val="180"/>
        </w:trPr>
        <w:tc>
          <w:tcPr>
            <w:tcW w:w="5040" w:type="dxa"/>
            <w:vMerge w:val="restart"/>
            <w:tcBorders>
              <w:top w:val="nil"/>
              <w:left w:val="nil"/>
              <w:bottom w:val="nil"/>
              <w:right w:val="nil"/>
            </w:tcBorders>
            <w:shd w:val="clear" w:color="auto" w:fill="auto"/>
            <w:hideMark/>
          </w:tcPr>
          <w:p w14:paraId="7E733D3E" w14:textId="5DA9B839" w:rsidR="009A6451" w:rsidRDefault="009A6451">
            <w:pPr>
              <w:rPr>
                <w:rFonts w:ascii="Arial" w:hAnsi="Arial" w:cs="Arial"/>
                <w:color w:val="0E0E0E"/>
                <w:sz w:val="12"/>
                <w:szCs w:val="12"/>
              </w:rPr>
            </w:pPr>
            <w:r>
              <w:rPr>
                <w:rFonts w:ascii="Arial" w:hAnsi="Arial" w:cs="Arial"/>
                <w:color w:val="0E0E0E"/>
                <w:sz w:val="12"/>
                <w:szCs w:val="12"/>
              </w:rPr>
              <w:t xml:space="preserve">∙   When either procedure appropriate, </w:t>
            </w:r>
            <w:r w:rsidR="00F36FB3">
              <w:rPr>
                <w:rFonts w:ascii="Arial" w:hAnsi="Arial" w:cs="Arial"/>
                <w:color w:val="0E0E0E"/>
                <w:sz w:val="12"/>
                <w:szCs w:val="12"/>
              </w:rPr>
              <w:t>consider</w:t>
            </w:r>
            <w:r>
              <w:rPr>
                <w:rFonts w:ascii="Arial" w:hAnsi="Arial" w:cs="Arial"/>
                <w:color w:val="0E0E0E"/>
                <w:sz w:val="12"/>
                <w:szCs w:val="12"/>
              </w:rPr>
              <w:t xml:space="preserve"> potential survival advantage of CABG if MVD with symptoms not satisfactorily controlled with optimal medical therapy and have diabetes OR are over 65 years OR have anatomically complex 3VD. with or without involvement of the left main stem</w:t>
            </w:r>
          </w:p>
        </w:tc>
        <w:tc>
          <w:tcPr>
            <w:tcW w:w="5040" w:type="dxa"/>
            <w:vMerge w:val="restart"/>
            <w:tcBorders>
              <w:top w:val="nil"/>
              <w:left w:val="nil"/>
              <w:bottom w:val="nil"/>
              <w:right w:val="nil"/>
            </w:tcBorders>
            <w:shd w:val="clear" w:color="auto" w:fill="auto"/>
            <w:hideMark/>
          </w:tcPr>
          <w:p w14:paraId="2601644B" w14:textId="6DCF5B41" w:rsidR="009A6451" w:rsidRDefault="009A6451">
            <w:pPr>
              <w:rPr>
                <w:rFonts w:ascii="Arial" w:hAnsi="Arial" w:cs="Arial"/>
                <w:color w:val="000000"/>
                <w:sz w:val="12"/>
                <w:szCs w:val="12"/>
              </w:rPr>
            </w:pPr>
            <w:r>
              <w:rPr>
                <w:rFonts w:ascii="Arial" w:hAnsi="Arial" w:cs="Arial"/>
                <w:color w:val="000000"/>
                <w:sz w:val="12"/>
                <w:szCs w:val="12"/>
              </w:rPr>
              <w:t xml:space="preserve">∙   More </w:t>
            </w:r>
            <w:r w:rsidR="00F36FB3">
              <w:rPr>
                <w:rFonts w:ascii="Arial" w:hAnsi="Arial" w:cs="Arial"/>
                <w:color w:val="000000"/>
                <w:sz w:val="12"/>
                <w:szCs w:val="12"/>
              </w:rPr>
              <w:t>didactic</w:t>
            </w:r>
            <w:r>
              <w:rPr>
                <w:rFonts w:ascii="Arial" w:hAnsi="Arial" w:cs="Arial"/>
                <w:color w:val="000000"/>
                <w:sz w:val="12"/>
                <w:szCs w:val="12"/>
              </w:rPr>
              <w:t xml:space="preserve"> based on SYNTAX score for left main CAD, 3VD (with or without diabetes mellitus) </w:t>
            </w:r>
          </w:p>
        </w:tc>
        <w:tc>
          <w:tcPr>
            <w:tcW w:w="5040" w:type="dxa"/>
            <w:vMerge w:val="restart"/>
            <w:tcBorders>
              <w:top w:val="nil"/>
              <w:left w:val="nil"/>
              <w:bottom w:val="nil"/>
              <w:right w:val="nil"/>
            </w:tcBorders>
            <w:shd w:val="clear" w:color="auto" w:fill="auto"/>
            <w:hideMark/>
          </w:tcPr>
          <w:p w14:paraId="1E7152F6" w14:textId="77777777" w:rsidR="009A6451" w:rsidRDefault="009A6451">
            <w:pPr>
              <w:rPr>
                <w:rFonts w:ascii="Arial" w:hAnsi="Arial" w:cs="Arial"/>
                <w:color w:val="000000"/>
                <w:sz w:val="12"/>
                <w:szCs w:val="12"/>
              </w:rPr>
            </w:pPr>
            <w:r>
              <w:rPr>
                <w:rFonts w:ascii="Arial" w:hAnsi="Arial" w:cs="Arial"/>
                <w:color w:val="000000"/>
                <w:sz w:val="12"/>
                <w:szCs w:val="12"/>
              </w:rPr>
              <w:t>∙   CABG reasonable to improve survival if complex MVD disease (</w:t>
            </w:r>
            <w:proofErr w:type="gramStart"/>
            <w:r>
              <w:rPr>
                <w:rFonts w:ascii="Arial" w:hAnsi="Arial" w:cs="Arial"/>
                <w:color w:val="000000"/>
                <w:sz w:val="12"/>
                <w:szCs w:val="12"/>
              </w:rPr>
              <w:t>e.g.</w:t>
            </w:r>
            <w:proofErr w:type="gramEnd"/>
            <w:r>
              <w:rPr>
                <w:rFonts w:ascii="Arial" w:hAnsi="Arial" w:cs="Arial"/>
                <w:color w:val="000000"/>
                <w:sz w:val="12"/>
                <w:szCs w:val="12"/>
              </w:rPr>
              <w:t xml:space="preserve"> SYNTAX &gt;33) (2a B) and recommended if left main and complex disease to improve survival (1 B); If MVD and EF &lt;35% CABG recommended (1 B); diabetic and MVD CABG recommended over PCI (1 A) </w:t>
            </w:r>
          </w:p>
        </w:tc>
        <w:tc>
          <w:tcPr>
            <w:tcW w:w="36" w:type="dxa"/>
            <w:vAlign w:val="center"/>
            <w:hideMark/>
          </w:tcPr>
          <w:p w14:paraId="7C88664E" w14:textId="77777777" w:rsidR="009A6451" w:rsidRDefault="009A6451">
            <w:pPr>
              <w:rPr>
                <w:sz w:val="20"/>
                <w:szCs w:val="20"/>
              </w:rPr>
            </w:pPr>
          </w:p>
        </w:tc>
      </w:tr>
      <w:tr w:rsidR="009A6451" w14:paraId="07331658" w14:textId="77777777" w:rsidTr="009A6451">
        <w:trPr>
          <w:trHeight w:val="180"/>
        </w:trPr>
        <w:tc>
          <w:tcPr>
            <w:tcW w:w="5040" w:type="dxa"/>
            <w:vMerge/>
            <w:tcBorders>
              <w:top w:val="nil"/>
              <w:left w:val="nil"/>
              <w:bottom w:val="nil"/>
              <w:right w:val="nil"/>
            </w:tcBorders>
            <w:vAlign w:val="center"/>
            <w:hideMark/>
          </w:tcPr>
          <w:p w14:paraId="2F32A1D1"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447690B6"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139A8264"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2988FBDD" w14:textId="77777777" w:rsidR="009A6451" w:rsidRDefault="009A6451">
            <w:pPr>
              <w:rPr>
                <w:rFonts w:ascii="Arial" w:hAnsi="Arial" w:cs="Arial"/>
                <w:color w:val="000000"/>
                <w:sz w:val="12"/>
                <w:szCs w:val="12"/>
              </w:rPr>
            </w:pPr>
          </w:p>
        </w:tc>
      </w:tr>
      <w:tr w:rsidR="009A6451" w14:paraId="76B82295" w14:textId="77777777" w:rsidTr="009A6451">
        <w:trPr>
          <w:trHeight w:val="180"/>
        </w:trPr>
        <w:tc>
          <w:tcPr>
            <w:tcW w:w="5040" w:type="dxa"/>
            <w:vMerge/>
            <w:tcBorders>
              <w:top w:val="nil"/>
              <w:left w:val="nil"/>
              <w:bottom w:val="nil"/>
              <w:right w:val="nil"/>
            </w:tcBorders>
            <w:vAlign w:val="center"/>
            <w:hideMark/>
          </w:tcPr>
          <w:p w14:paraId="4DECE544" w14:textId="77777777" w:rsidR="009A6451" w:rsidRDefault="009A6451">
            <w:pPr>
              <w:rPr>
                <w:rFonts w:ascii="Arial" w:hAnsi="Arial" w:cs="Arial"/>
                <w:color w:val="0E0E0E"/>
                <w:sz w:val="12"/>
                <w:szCs w:val="12"/>
              </w:rPr>
            </w:pPr>
          </w:p>
        </w:tc>
        <w:tc>
          <w:tcPr>
            <w:tcW w:w="5040" w:type="dxa"/>
            <w:vMerge/>
            <w:tcBorders>
              <w:top w:val="nil"/>
              <w:left w:val="nil"/>
              <w:bottom w:val="nil"/>
              <w:right w:val="nil"/>
            </w:tcBorders>
            <w:vAlign w:val="center"/>
            <w:hideMark/>
          </w:tcPr>
          <w:p w14:paraId="14243D7E" w14:textId="77777777" w:rsidR="009A6451" w:rsidRDefault="009A6451">
            <w:pPr>
              <w:rPr>
                <w:rFonts w:ascii="Arial" w:hAnsi="Arial" w:cs="Arial"/>
                <w:color w:val="000000"/>
                <w:sz w:val="12"/>
                <w:szCs w:val="12"/>
              </w:rPr>
            </w:pPr>
          </w:p>
        </w:tc>
        <w:tc>
          <w:tcPr>
            <w:tcW w:w="5040" w:type="dxa"/>
            <w:vMerge/>
            <w:tcBorders>
              <w:top w:val="nil"/>
              <w:left w:val="nil"/>
              <w:bottom w:val="nil"/>
              <w:right w:val="nil"/>
            </w:tcBorders>
            <w:vAlign w:val="center"/>
            <w:hideMark/>
          </w:tcPr>
          <w:p w14:paraId="4D57D1CE"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D18AD2B" w14:textId="77777777" w:rsidR="009A6451" w:rsidRDefault="009A6451">
            <w:pPr>
              <w:rPr>
                <w:sz w:val="20"/>
                <w:szCs w:val="20"/>
              </w:rPr>
            </w:pPr>
          </w:p>
        </w:tc>
      </w:tr>
      <w:tr w:rsidR="009A6451" w14:paraId="302025CA" w14:textId="77777777" w:rsidTr="009A6451">
        <w:trPr>
          <w:trHeight w:val="280"/>
        </w:trPr>
        <w:tc>
          <w:tcPr>
            <w:tcW w:w="5040" w:type="dxa"/>
            <w:tcBorders>
              <w:top w:val="nil"/>
              <w:left w:val="nil"/>
              <w:bottom w:val="nil"/>
              <w:right w:val="nil"/>
            </w:tcBorders>
            <w:shd w:val="clear" w:color="auto" w:fill="auto"/>
            <w:hideMark/>
          </w:tcPr>
          <w:p w14:paraId="1113B7C6" w14:textId="77777777" w:rsidR="009A6451" w:rsidRDefault="009A6451">
            <w:pPr>
              <w:rPr>
                <w:rFonts w:ascii="Arial" w:hAnsi="Arial" w:cs="Arial"/>
                <w:b/>
                <w:bCs/>
                <w:color w:val="0E0E0E"/>
                <w:sz w:val="12"/>
                <w:szCs w:val="12"/>
              </w:rPr>
            </w:pPr>
            <w:r>
              <w:rPr>
                <w:rFonts w:ascii="Arial" w:hAnsi="Arial" w:cs="Arial"/>
                <w:b/>
                <w:bCs/>
                <w:color w:val="0E0E0E"/>
                <w:sz w:val="12"/>
                <w:szCs w:val="12"/>
              </w:rPr>
              <w:t>MDT</w:t>
            </w:r>
          </w:p>
        </w:tc>
        <w:tc>
          <w:tcPr>
            <w:tcW w:w="5040" w:type="dxa"/>
            <w:tcBorders>
              <w:top w:val="nil"/>
              <w:left w:val="nil"/>
              <w:bottom w:val="nil"/>
              <w:right w:val="nil"/>
            </w:tcBorders>
            <w:shd w:val="clear" w:color="auto" w:fill="auto"/>
            <w:hideMark/>
          </w:tcPr>
          <w:p w14:paraId="3C7DF455" w14:textId="77777777" w:rsidR="009A6451" w:rsidRDefault="009A6451">
            <w:pPr>
              <w:rPr>
                <w:rFonts w:ascii="Arial" w:hAnsi="Arial" w:cs="Arial"/>
                <w:b/>
                <w:bCs/>
                <w:color w:val="0E0E0E"/>
                <w:sz w:val="12"/>
                <w:szCs w:val="12"/>
              </w:rPr>
            </w:pPr>
          </w:p>
        </w:tc>
        <w:tc>
          <w:tcPr>
            <w:tcW w:w="5040" w:type="dxa"/>
            <w:tcBorders>
              <w:top w:val="nil"/>
              <w:left w:val="nil"/>
              <w:bottom w:val="nil"/>
              <w:right w:val="nil"/>
            </w:tcBorders>
            <w:shd w:val="clear" w:color="auto" w:fill="auto"/>
            <w:hideMark/>
          </w:tcPr>
          <w:p w14:paraId="47132CB5" w14:textId="77777777" w:rsidR="009A6451" w:rsidRDefault="009A6451">
            <w:pPr>
              <w:rPr>
                <w:sz w:val="20"/>
                <w:szCs w:val="20"/>
              </w:rPr>
            </w:pPr>
          </w:p>
        </w:tc>
        <w:tc>
          <w:tcPr>
            <w:tcW w:w="36" w:type="dxa"/>
            <w:vAlign w:val="center"/>
            <w:hideMark/>
          </w:tcPr>
          <w:p w14:paraId="45A6EEB3" w14:textId="77777777" w:rsidR="009A6451" w:rsidRDefault="009A6451">
            <w:pPr>
              <w:rPr>
                <w:sz w:val="20"/>
                <w:szCs w:val="20"/>
              </w:rPr>
            </w:pPr>
          </w:p>
        </w:tc>
      </w:tr>
      <w:tr w:rsidR="009A6451" w14:paraId="1D3255C1" w14:textId="77777777" w:rsidTr="009A6451">
        <w:trPr>
          <w:trHeight w:val="180"/>
        </w:trPr>
        <w:tc>
          <w:tcPr>
            <w:tcW w:w="5040" w:type="dxa"/>
            <w:vMerge w:val="restart"/>
            <w:tcBorders>
              <w:top w:val="nil"/>
              <w:left w:val="nil"/>
              <w:bottom w:val="single" w:sz="8" w:space="0" w:color="000000"/>
              <w:right w:val="nil"/>
            </w:tcBorders>
            <w:shd w:val="clear" w:color="auto" w:fill="auto"/>
            <w:hideMark/>
          </w:tcPr>
          <w:p w14:paraId="5C568B46" w14:textId="77777777" w:rsidR="009A6451" w:rsidRDefault="009A6451">
            <w:pPr>
              <w:rPr>
                <w:rFonts w:ascii="Arial" w:hAnsi="Arial" w:cs="Arial"/>
                <w:color w:val="0E0E0E"/>
                <w:sz w:val="12"/>
                <w:szCs w:val="12"/>
              </w:rPr>
            </w:pPr>
            <w:r>
              <w:rPr>
                <w:rFonts w:ascii="Arial" w:hAnsi="Arial" w:cs="Arial"/>
                <w:color w:val="0E0E0E"/>
                <w:sz w:val="12"/>
                <w:szCs w:val="12"/>
              </w:rPr>
              <w:t>∙   Ensure that there is a regular multidisciplinary team meeting to discuss the risks and benefits of continuing drug treatment or revascularisation strategy (CABG or PCI) for people with stable angina. </w:t>
            </w:r>
          </w:p>
        </w:tc>
        <w:tc>
          <w:tcPr>
            <w:tcW w:w="5040" w:type="dxa"/>
            <w:vMerge w:val="restart"/>
            <w:tcBorders>
              <w:top w:val="nil"/>
              <w:left w:val="nil"/>
              <w:bottom w:val="single" w:sz="8" w:space="0" w:color="000000"/>
              <w:right w:val="nil"/>
            </w:tcBorders>
            <w:shd w:val="clear" w:color="auto" w:fill="auto"/>
            <w:noWrap/>
            <w:hideMark/>
          </w:tcPr>
          <w:p w14:paraId="7F29F4E9" w14:textId="77777777" w:rsidR="009A6451" w:rsidRDefault="009A6451">
            <w:pPr>
              <w:rPr>
                <w:rFonts w:ascii="Arial" w:hAnsi="Arial" w:cs="Arial"/>
                <w:color w:val="000000"/>
                <w:sz w:val="12"/>
                <w:szCs w:val="12"/>
              </w:rPr>
            </w:pPr>
            <w:r>
              <w:rPr>
                <w:rFonts w:ascii="Arial" w:hAnsi="Arial" w:cs="Arial"/>
                <w:color w:val="000000"/>
                <w:sz w:val="12"/>
                <w:szCs w:val="12"/>
              </w:rPr>
              <w:t>∙   Heart Team (I C)</w:t>
            </w:r>
          </w:p>
        </w:tc>
        <w:tc>
          <w:tcPr>
            <w:tcW w:w="5040" w:type="dxa"/>
            <w:vMerge w:val="restart"/>
            <w:tcBorders>
              <w:top w:val="nil"/>
              <w:left w:val="nil"/>
              <w:bottom w:val="single" w:sz="8" w:space="0" w:color="000000"/>
              <w:right w:val="nil"/>
            </w:tcBorders>
            <w:shd w:val="clear" w:color="auto" w:fill="auto"/>
            <w:hideMark/>
          </w:tcPr>
          <w:p w14:paraId="07A591D9" w14:textId="77777777" w:rsidR="009A6451" w:rsidRDefault="009A6451">
            <w:pPr>
              <w:rPr>
                <w:rFonts w:ascii="Arial" w:hAnsi="Arial" w:cs="Arial"/>
                <w:color w:val="000000"/>
                <w:sz w:val="12"/>
                <w:szCs w:val="12"/>
              </w:rPr>
            </w:pPr>
            <w:r>
              <w:rPr>
                <w:rFonts w:ascii="Arial" w:hAnsi="Arial" w:cs="Arial"/>
                <w:color w:val="000000"/>
                <w:sz w:val="12"/>
                <w:szCs w:val="12"/>
              </w:rPr>
              <w:t>∙   If optimal strategy unclear, a Heart Team approach is recommended to improve patient outcomes (1 B)</w:t>
            </w:r>
          </w:p>
        </w:tc>
        <w:tc>
          <w:tcPr>
            <w:tcW w:w="36" w:type="dxa"/>
            <w:vAlign w:val="center"/>
            <w:hideMark/>
          </w:tcPr>
          <w:p w14:paraId="75D8E767" w14:textId="77777777" w:rsidR="009A6451" w:rsidRDefault="009A6451">
            <w:pPr>
              <w:rPr>
                <w:sz w:val="20"/>
                <w:szCs w:val="20"/>
              </w:rPr>
            </w:pPr>
          </w:p>
        </w:tc>
      </w:tr>
      <w:tr w:rsidR="009A6451" w14:paraId="01E35007" w14:textId="77777777" w:rsidTr="009A6451">
        <w:trPr>
          <w:trHeight w:val="180"/>
        </w:trPr>
        <w:tc>
          <w:tcPr>
            <w:tcW w:w="5040" w:type="dxa"/>
            <w:vMerge/>
            <w:tcBorders>
              <w:top w:val="nil"/>
              <w:left w:val="nil"/>
              <w:bottom w:val="single" w:sz="8" w:space="0" w:color="000000"/>
              <w:right w:val="nil"/>
            </w:tcBorders>
            <w:vAlign w:val="center"/>
            <w:hideMark/>
          </w:tcPr>
          <w:p w14:paraId="2F107FFE" w14:textId="77777777" w:rsidR="009A6451" w:rsidRDefault="009A6451">
            <w:pPr>
              <w:rPr>
                <w:rFonts w:ascii="Arial" w:hAnsi="Arial" w:cs="Arial"/>
                <w:color w:val="0E0E0E"/>
                <w:sz w:val="12"/>
                <w:szCs w:val="12"/>
              </w:rPr>
            </w:pPr>
          </w:p>
        </w:tc>
        <w:tc>
          <w:tcPr>
            <w:tcW w:w="5040" w:type="dxa"/>
            <w:vMerge/>
            <w:tcBorders>
              <w:top w:val="nil"/>
              <w:left w:val="nil"/>
              <w:bottom w:val="single" w:sz="8" w:space="0" w:color="000000"/>
              <w:right w:val="nil"/>
            </w:tcBorders>
            <w:vAlign w:val="center"/>
            <w:hideMark/>
          </w:tcPr>
          <w:p w14:paraId="270AF390" w14:textId="77777777" w:rsidR="009A6451" w:rsidRDefault="009A6451">
            <w:pPr>
              <w:rPr>
                <w:rFonts w:ascii="Arial" w:hAnsi="Arial" w:cs="Arial"/>
                <w:color w:val="000000"/>
                <w:sz w:val="12"/>
                <w:szCs w:val="12"/>
              </w:rPr>
            </w:pPr>
          </w:p>
        </w:tc>
        <w:tc>
          <w:tcPr>
            <w:tcW w:w="5040" w:type="dxa"/>
            <w:vMerge/>
            <w:tcBorders>
              <w:top w:val="nil"/>
              <w:left w:val="nil"/>
              <w:bottom w:val="single" w:sz="8" w:space="0" w:color="000000"/>
              <w:right w:val="nil"/>
            </w:tcBorders>
            <w:vAlign w:val="center"/>
            <w:hideMark/>
          </w:tcPr>
          <w:p w14:paraId="6A2EAF4E"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C0834EE" w14:textId="77777777" w:rsidR="009A6451" w:rsidRDefault="009A6451">
            <w:pPr>
              <w:rPr>
                <w:rFonts w:ascii="Arial" w:hAnsi="Arial" w:cs="Arial"/>
                <w:color w:val="000000"/>
                <w:sz w:val="12"/>
                <w:szCs w:val="12"/>
              </w:rPr>
            </w:pPr>
          </w:p>
        </w:tc>
      </w:tr>
      <w:tr w:rsidR="009A6451" w14:paraId="1E0F5DCC" w14:textId="77777777" w:rsidTr="009A6451">
        <w:trPr>
          <w:trHeight w:val="240"/>
        </w:trPr>
        <w:tc>
          <w:tcPr>
            <w:tcW w:w="5040" w:type="dxa"/>
            <w:vMerge/>
            <w:tcBorders>
              <w:top w:val="nil"/>
              <w:left w:val="nil"/>
              <w:bottom w:val="single" w:sz="8" w:space="0" w:color="000000"/>
              <w:right w:val="nil"/>
            </w:tcBorders>
            <w:vAlign w:val="center"/>
            <w:hideMark/>
          </w:tcPr>
          <w:p w14:paraId="0881CD8D" w14:textId="77777777" w:rsidR="009A6451" w:rsidRDefault="009A6451">
            <w:pPr>
              <w:rPr>
                <w:rFonts w:ascii="Arial" w:hAnsi="Arial" w:cs="Arial"/>
                <w:color w:val="0E0E0E"/>
                <w:sz w:val="12"/>
                <w:szCs w:val="12"/>
              </w:rPr>
            </w:pPr>
          </w:p>
        </w:tc>
        <w:tc>
          <w:tcPr>
            <w:tcW w:w="5040" w:type="dxa"/>
            <w:vMerge/>
            <w:tcBorders>
              <w:top w:val="nil"/>
              <w:left w:val="nil"/>
              <w:bottom w:val="single" w:sz="8" w:space="0" w:color="000000"/>
              <w:right w:val="nil"/>
            </w:tcBorders>
            <w:vAlign w:val="center"/>
            <w:hideMark/>
          </w:tcPr>
          <w:p w14:paraId="76B745C1" w14:textId="77777777" w:rsidR="009A6451" w:rsidRDefault="009A6451">
            <w:pPr>
              <w:rPr>
                <w:rFonts w:ascii="Arial" w:hAnsi="Arial" w:cs="Arial"/>
                <w:color w:val="000000"/>
                <w:sz w:val="12"/>
                <w:szCs w:val="12"/>
              </w:rPr>
            </w:pPr>
          </w:p>
        </w:tc>
        <w:tc>
          <w:tcPr>
            <w:tcW w:w="5040" w:type="dxa"/>
            <w:vMerge/>
            <w:tcBorders>
              <w:top w:val="nil"/>
              <w:left w:val="nil"/>
              <w:bottom w:val="single" w:sz="8" w:space="0" w:color="000000"/>
              <w:right w:val="nil"/>
            </w:tcBorders>
            <w:vAlign w:val="center"/>
            <w:hideMark/>
          </w:tcPr>
          <w:p w14:paraId="6FFC0266" w14:textId="77777777" w:rsidR="009A6451" w:rsidRDefault="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1F4F95E" w14:textId="77777777" w:rsidR="009A6451" w:rsidRDefault="009A6451">
            <w:pPr>
              <w:rPr>
                <w:sz w:val="20"/>
                <w:szCs w:val="20"/>
              </w:rPr>
            </w:pPr>
          </w:p>
        </w:tc>
      </w:tr>
    </w:tbl>
    <w:p w14:paraId="3B12007A" w14:textId="77777777" w:rsidR="009A6451" w:rsidRDefault="009A6451" w:rsidP="001D687D">
      <w:pPr>
        <w:widowControl w:val="0"/>
        <w:autoSpaceDE w:val="0"/>
        <w:autoSpaceDN w:val="0"/>
        <w:adjustRightInd w:val="0"/>
        <w:rPr>
          <w:b/>
          <w:bCs/>
        </w:rPr>
      </w:pPr>
    </w:p>
    <w:p w14:paraId="368ADBF2" w14:textId="77777777" w:rsidR="008E63DA" w:rsidRPr="008E63DA" w:rsidRDefault="008E63DA" w:rsidP="008E63DA">
      <w:pPr>
        <w:rPr>
          <w:rFonts w:ascii="Arial" w:hAnsi="Arial" w:cs="Arial"/>
          <w:color w:val="000000"/>
          <w:sz w:val="13"/>
          <w:szCs w:val="13"/>
        </w:rPr>
      </w:pPr>
    </w:p>
    <w:p w14:paraId="0824A6FD" w14:textId="77777777" w:rsidR="008E63DA" w:rsidRPr="008E63DA" w:rsidRDefault="008E63DA" w:rsidP="008E63DA">
      <w:pPr>
        <w:rPr>
          <w:rFonts w:ascii="Arial" w:hAnsi="Arial" w:cs="Arial"/>
          <w:color w:val="000000"/>
          <w:sz w:val="13"/>
          <w:szCs w:val="13"/>
        </w:rPr>
      </w:pPr>
      <w:r w:rsidRPr="008E63DA">
        <w:rPr>
          <w:rFonts w:ascii="Arial" w:hAnsi="Arial" w:cs="Arial"/>
          <w:color w:val="000000"/>
          <w:sz w:val="13"/>
          <w:szCs w:val="13"/>
        </w:rPr>
        <w:t xml:space="preserve">*2014 ACC/AHA/AATS/PCNA/SCAI/STS Focused Update of the Guideline for the Diagnosis and Management of Patients </w:t>
      </w:r>
      <w:proofErr w:type="gramStart"/>
      <w:r w:rsidRPr="008E63DA">
        <w:rPr>
          <w:rFonts w:ascii="Arial" w:hAnsi="Arial" w:cs="Arial"/>
          <w:color w:val="000000"/>
          <w:sz w:val="13"/>
          <w:szCs w:val="13"/>
        </w:rPr>
        <w:t>With</w:t>
      </w:r>
      <w:proofErr w:type="gramEnd"/>
      <w:r w:rsidRPr="008E63DA">
        <w:rPr>
          <w:rFonts w:ascii="Arial" w:hAnsi="Arial" w:cs="Arial"/>
          <w:color w:val="000000"/>
          <w:sz w:val="13"/>
          <w:szCs w:val="13"/>
        </w:rPr>
        <w:t xml:space="preserve"> Stable Ischemic Heart Disease</w:t>
      </w:r>
    </w:p>
    <w:p w14:paraId="0126E3BF" w14:textId="77777777" w:rsidR="00B403C5" w:rsidRDefault="00B403C5" w:rsidP="001D687D">
      <w:pPr>
        <w:widowControl w:val="0"/>
        <w:autoSpaceDE w:val="0"/>
        <w:autoSpaceDN w:val="0"/>
        <w:adjustRightInd w:val="0"/>
        <w:rPr>
          <w:b/>
          <w:bCs/>
        </w:rPr>
      </w:pPr>
    </w:p>
    <w:p w14:paraId="4074422C" w14:textId="77777777" w:rsidR="00E901D8" w:rsidRDefault="00B403C5" w:rsidP="001D687D">
      <w:pPr>
        <w:widowControl w:val="0"/>
        <w:autoSpaceDE w:val="0"/>
        <w:autoSpaceDN w:val="0"/>
        <w:adjustRightInd w:val="0"/>
        <w:rPr>
          <w:b/>
          <w:bCs/>
        </w:rPr>
      </w:pPr>
      <w:r>
        <w:rPr>
          <w:b/>
          <w:bCs/>
        </w:rPr>
        <w:lastRenderedPageBreak/>
        <w:t>Table 2 – STEMI guidelines</w:t>
      </w:r>
    </w:p>
    <w:p w14:paraId="471B5C2A" w14:textId="77777777" w:rsidR="00E901D8" w:rsidRDefault="00E901D8" w:rsidP="001D687D">
      <w:pPr>
        <w:widowControl w:val="0"/>
        <w:autoSpaceDE w:val="0"/>
        <w:autoSpaceDN w:val="0"/>
        <w:adjustRightInd w:val="0"/>
        <w:rPr>
          <w:b/>
          <w:bCs/>
        </w:rPr>
      </w:pPr>
    </w:p>
    <w:tbl>
      <w:tblPr>
        <w:tblW w:w="13956" w:type="dxa"/>
        <w:tblCellMar>
          <w:top w:w="15" w:type="dxa"/>
        </w:tblCellMar>
        <w:tblLook w:val="04A0" w:firstRow="1" w:lastRow="0" w:firstColumn="1" w:lastColumn="0" w:noHBand="0" w:noVBand="1"/>
      </w:tblPr>
      <w:tblGrid>
        <w:gridCol w:w="4125"/>
        <w:gridCol w:w="4126"/>
        <w:gridCol w:w="5487"/>
        <w:gridCol w:w="222"/>
      </w:tblGrid>
      <w:tr w:rsidR="009A6451" w:rsidRPr="009A6451" w14:paraId="55380F15" w14:textId="77777777" w:rsidTr="00F36FB3">
        <w:trPr>
          <w:gridAfter w:val="1"/>
          <w:wAfter w:w="36" w:type="dxa"/>
          <w:trHeight w:val="565"/>
        </w:trPr>
        <w:tc>
          <w:tcPr>
            <w:tcW w:w="4180" w:type="dxa"/>
            <w:tcBorders>
              <w:top w:val="single" w:sz="4" w:space="0" w:color="auto"/>
              <w:left w:val="nil"/>
              <w:bottom w:val="double" w:sz="6" w:space="0" w:color="auto"/>
              <w:right w:val="nil"/>
            </w:tcBorders>
            <w:shd w:val="clear" w:color="auto" w:fill="auto"/>
            <w:noWrap/>
            <w:vAlign w:val="center"/>
            <w:hideMark/>
          </w:tcPr>
          <w:p w14:paraId="077A9471" w14:textId="77777777" w:rsidR="009A6451" w:rsidRPr="009A6451" w:rsidRDefault="009A6451" w:rsidP="009A6451">
            <w:pPr>
              <w:jc w:val="center"/>
              <w:rPr>
                <w:rFonts w:ascii="Arial" w:hAnsi="Arial" w:cs="Arial"/>
                <w:b/>
                <w:bCs/>
                <w:color w:val="000000"/>
                <w:sz w:val="12"/>
                <w:szCs w:val="12"/>
              </w:rPr>
            </w:pPr>
            <w:r w:rsidRPr="009A6451">
              <w:rPr>
                <w:rFonts w:ascii="Arial" w:hAnsi="Arial" w:cs="Arial"/>
                <w:b/>
                <w:bCs/>
                <w:color w:val="000000"/>
                <w:sz w:val="12"/>
                <w:szCs w:val="12"/>
              </w:rPr>
              <w:t>NICE (2020)</w:t>
            </w:r>
          </w:p>
        </w:tc>
        <w:tc>
          <w:tcPr>
            <w:tcW w:w="4180" w:type="dxa"/>
            <w:tcBorders>
              <w:top w:val="single" w:sz="4" w:space="0" w:color="auto"/>
              <w:left w:val="nil"/>
              <w:bottom w:val="double" w:sz="6" w:space="0" w:color="auto"/>
              <w:right w:val="nil"/>
            </w:tcBorders>
            <w:shd w:val="clear" w:color="auto" w:fill="auto"/>
            <w:noWrap/>
            <w:vAlign w:val="center"/>
            <w:hideMark/>
          </w:tcPr>
          <w:p w14:paraId="049D78E3" w14:textId="77777777" w:rsidR="009A6451" w:rsidRPr="009A6451" w:rsidRDefault="009A6451" w:rsidP="009A6451">
            <w:pPr>
              <w:jc w:val="center"/>
              <w:rPr>
                <w:rFonts w:ascii="Arial" w:hAnsi="Arial" w:cs="Arial"/>
                <w:b/>
                <w:bCs/>
                <w:color w:val="000000"/>
                <w:sz w:val="12"/>
                <w:szCs w:val="12"/>
              </w:rPr>
            </w:pPr>
            <w:r w:rsidRPr="009A6451">
              <w:rPr>
                <w:rFonts w:ascii="Arial" w:hAnsi="Arial" w:cs="Arial"/>
                <w:b/>
                <w:bCs/>
                <w:color w:val="000000"/>
                <w:sz w:val="12"/>
                <w:szCs w:val="12"/>
              </w:rPr>
              <w:t>ESC (2018)</w:t>
            </w:r>
          </w:p>
        </w:tc>
        <w:tc>
          <w:tcPr>
            <w:tcW w:w="5560" w:type="dxa"/>
            <w:tcBorders>
              <w:top w:val="single" w:sz="4" w:space="0" w:color="auto"/>
              <w:left w:val="nil"/>
              <w:bottom w:val="double" w:sz="6" w:space="0" w:color="auto"/>
              <w:right w:val="nil"/>
            </w:tcBorders>
            <w:shd w:val="clear" w:color="auto" w:fill="auto"/>
            <w:noWrap/>
            <w:vAlign w:val="center"/>
            <w:hideMark/>
          </w:tcPr>
          <w:p w14:paraId="28335B08" w14:textId="77777777" w:rsidR="009A6451" w:rsidRPr="009A6451" w:rsidRDefault="009A6451" w:rsidP="009A6451">
            <w:pPr>
              <w:jc w:val="center"/>
              <w:rPr>
                <w:rFonts w:ascii="Arial" w:hAnsi="Arial" w:cs="Arial"/>
                <w:b/>
                <w:bCs/>
                <w:color w:val="000000"/>
                <w:sz w:val="12"/>
                <w:szCs w:val="12"/>
              </w:rPr>
            </w:pPr>
            <w:r w:rsidRPr="009A6451">
              <w:rPr>
                <w:rFonts w:ascii="Arial" w:hAnsi="Arial" w:cs="Arial"/>
                <w:b/>
                <w:bCs/>
                <w:color w:val="000000"/>
                <w:sz w:val="12"/>
                <w:szCs w:val="12"/>
              </w:rPr>
              <w:t>ACC / AHA / SCAI (2021)</w:t>
            </w:r>
          </w:p>
        </w:tc>
      </w:tr>
      <w:tr w:rsidR="009A6451" w:rsidRPr="009A6451" w14:paraId="257EA146" w14:textId="77777777" w:rsidTr="009A6451">
        <w:trPr>
          <w:gridAfter w:val="1"/>
          <w:wAfter w:w="36" w:type="dxa"/>
          <w:trHeight w:val="240"/>
        </w:trPr>
        <w:tc>
          <w:tcPr>
            <w:tcW w:w="4180" w:type="dxa"/>
            <w:tcBorders>
              <w:top w:val="nil"/>
              <w:left w:val="nil"/>
              <w:bottom w:val="nil"/>
              <w:right w:val="nil"/>
            </w:tcBorders>
            <w:shd w:val="clear" w:color="auto" w:fill="auto"/>
            <w:noWrap/>
            <w:vAlign w:val="center"/>
            <w:hideMark/>
          </w:tcPr>
          <w:p w14:paraId="62A775EA" w14:textId="77777777" w:rsidR="009A6451" w:rsidRPr="009A6451" w:rsidRDefault="009A6451" w:rsidP="009A6451">
            <w:pPr>
              <w:rPr>
                <w:rFonts w:ascii="Arial" w:hAnsi="Arial" w:cs="Arial"/>
                <w:b/>
                <w:bCs/>
                <w:i/>
                <w:iCs/>
                <w:color w:val="000000"/>
                <w:sz w:val="12"/>
                <w:szCs w:val="12"/>
              </w:rPr>
            </w:pPr>
            <w:r w:rsidRPr="009A6451">
              <w:rPr>
                <w:rFonts w:ascii="Arial" w:hAnsi="Arial" w:cs="Arial"/>
                <w:b/>
                <w:bCs/>
                <w:i/>
                <w:iCs/>
                <w:color w:val="000000"/>
                <w:sz w:val="12"/>
                <w:szCs w:val="12"/>
              </w:rPr>
              <w:t>Pharmacology</w:t>
            </w:r>
          </w:p>
        </w:tc>
        <w:tc>
          <w:tcPr>
            <w:tcW w:w="4180" w:type="dxa"/>
            <w:tcBorders>
              <w:top w:val="nil"/>
              <w:left w:val="nil"/>
              <w:bottom w:val="nil"/>
              <w:right w:val="nil"/>
            </w:tcBorders>
            <w:shd w:val="clear" w:color="auto" w:fill="auto"/>
            <w:noWrap/>
            <w:vAlign w:val="center"/>
            <w:hideMark/>
          </w:tcPr>
          <w:p w14:paraId="4D637151" w14:textId="77777777" w:rsidR="009A6451" w:rsidRPr="009A6451" w:rsidRDefault="009A6451" w:rsidP="009A6451">
            <w:pPr>
              <w:rPr>
                <w:rFonts w:ascii="Arial" w:hAnsi="Arial" w:cs="Arial"/>
                <w:b/>
                <w:bCs/>
                <w:i/>
                <w:iCs/>
                <w:color w:val="000000"/>
                <w:sz w:val="12"/>
                <w:szCs w:val="12"/>
              </w:rPr>
            </w:pPr>
          </w:p>
        </w:tc>
        <w:tc>
          <w:tcPr>
            <w:tcW w:w="5560" w:type="dxa"/>
            <w:tcBorders>
              <w:top w:val="nil"/>
              <w:left w:val="nil"/>
              <w:bottom w:val="nil"/>
              <w:right w:val="nil"/>
            </w:tcBorders>
            <w:shd w:val="clear" w:color="auto" w:fill="auto"/>
            <w:noWrap/>
            <w:vAlign w:val="center"/>
            <w:hideMark/>
          </w:tcPr>
          <w:p w14:paraId="7AFF0C0F" w14:textId="77777777" w:rsidR="009A6451" w:rsidRPr="009A6451" w:rsidRDefault="009A6451" w:rsidP="009A6451">
            <w:pPr>
              <w:jc w:val="center"/>
              <w:rPr>
                <w:sz w:val="20"/>
                <w:szCs w:val="20"/>
              </w:rPr>
            </w:pPr>
          </w:p>
        </w:tc>
      </w:tr>
      <w:tr w:rsidR="009A6451" w:rsidRPr="009A6451" w14:paraId="15694C32" w14:textId="77777777" w:rsidTr="009A6451">
        <w:trPr>
          <w:gridAfter w:val="1"/>
          <w:wAfter w:w="36" w:type="dxa"/>
          <w:trHeight w:val="276"/>
        </w:trPr>
        <w:tc>
          <w:tcPr>
            <w:tcW w:w="4180" w:type="dxa"/>
            <w:vMerge w:val="restart"/>
            <w:tcBorders>
              <w:top w:val="nil"/>
              <w:left w:val="nil"/>
              <w:bottom w:val="nil"/>
              <w:right w:val="nil"/>
            </w:tcBorders>
            <w:shd w:val="clear" w:color="auto" w:fill="auto"/>
            <w:hideMark/>
          </w:tcPr>
          <w:p w14:paraId="05FDBDCB" w14:textId="77777777" w:rsidR="009A6451" w:rsidRPr="009A6451" w:rsidRDefault="00000000" w:rsidP="009A6451">
            <w:pPr>
              <w:rPr>
                <w:rFonts w:ascii="Arial" w:hAnsi="Arial" w:cs="Arial"/>
                <w:color w:val="000000"/>
                <w:sz w:val="12"/>
                <w:szCs w:val="12"/>
              </w:rPr>
            </w:pPr>
            <w:hyperlink r:id="rId13" w:history="1">
              <w:r w:rsidR="009A6451" w:rsidRPr="009A6451">
                <w:rPr>
                  <w:rFonts w:ascii="Arial" w:hAnsi="Arial" w:cs="Arial"/>
                  <w:color w:val="000000"/>
                  <w:sz w:val="12"/>
                  <w:szCs w:val="12"/>
                </w:rPr>
                <w:t>∙   Prasugrel 1st line, as part of dual antiplatelet therapy with aspirin</w:t>
              </w:r>
            </w:hyperlink>
          </w:p>
        </w:tc>
        <w:tc>
          <w:tcPr>
            <w:tcW w:w="4180" w:type="dxa"/>
            <w:vMerge w:val="restart"/>
            <w:tcBorders>
              <w:top w:val="nil"/>
              <w:left w:val="nil"/>
              <w:bottom w:val="nil"/>
              <w:right w:val="nil"/>
            </w:tcBorders>
            <w:shd w:val="clear" w:color="auto" w:fill="auto"/>
            <w:noWrap/>
            <w:hideMark/>
          </w:tcPr>
          <w:p w14:paraId="7266D389"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Prasugrel or Ticagrelor (</w:t>
            </w:r>
            <w:proofErr w:type="spellStart"/>
            <w:r w:rsidRPr="009A6451">
              <w:rPr>
                <w:rFonts w:ascii="Arial" w:hAnsi="Arial" w:cs="Arial"/>
                <w:color w:val="000000"/>
                <w:sz w:val="12"/>
                <w:szCs w:val="12"/>
              </w:rPr>
              <w:t>Ia</w:t>
            </w:r>
            <w:proofErr w:type="spellEnd"/>
            <w:r w:rsidRPr="009A6451">
              <w:rPr>
                <w:rFonts w:ascii="Arial" w:hAnsi="Arial" w:cs="Arial"/>
                <w:color w:val="000000"/>
                <w:sz w:val="12"/>
                <w:szCs w:val="12"/>
              </w:rPr>
              <w:t>)</w:t>
            </w:r>
          </w:p>
        </w:tc>
        <w:tc>
          <w:tcPr>
            <w:tcW w:w="5560" w:type="dxa"/>
            <w:vMerge w:val="restart"/>
            <w:tcBorders>
              <w:top w:val="nil"/>
              <w:left w:val="nil"/>
              <w:bottom w:val="nil"/>
              <w:right w:val="nil"/>
            </w:tcBorders>
            <w:shd w:val="clear" w:color="auto" w:fill="auto"/>
            <w:hideMark/>
          </w:tcPr>
          <w:p w14:paraId="6DCE10D9"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Reasonable to use ticagrelor or prasugrel in preference to clopidogrel to reduce ischemic events, including stent thrombosis (2a B)</w:t>
            </w:r>
          </w:p>
        </w:tc>
      </w:tr>
      <w:tr w:rsidR="009A6451" w:rsidRPr="009A6451" w14:paraId="46EE4AE5" w14:textId="77777777" w:rsidTr="009A6451">
        <w:trPr>
          <w:trHeight w:val="140"/>
        </w:trPr>
        <w:tc>
          <w:tcPr>
            <w:tcW w:w="4180" w:type="dxa"/>
            <w:vMerge/>
            <w:tcBorders>
              <w:top w:val="nil"/>
              <w:left w:val="nil"/>
              <w:bottom w:val="nil"/>
              <w:right w:val="nil"/>
            </w:tcBorders>
            <w:vAlign w:val="center"/>
            <w:hideMark/>
          </w:tcPr>
          <w:p w14:paraId="039CDB48"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339506B7"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772F5EBD"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F5264B4" w14:textId="77777777" w:rsidR="009A6451" w:rsidRPr="009A6451" w:rsidRDefault="009A6451" w:rsidP="009A6451">
            <w:pPr>
              <w:rPr>
                <w:rFonts w:ascii="Arial" w:hAnsi="Arial" w:cs="Arial"/>
                <w:color w:val="000000"/>
                <w:sz w:val="12"/>
                <w:szCs w:val="12"/>
              </w:rPr>
            </w:pPr>
          </w:p>
        </w:tc>
      </w:tr>
      <w:tr w:rsidR="009A6451" w:rsidRPr="009A6451" w14:paraId="3684D976" w14:textId="77777777" w:rsidTr="009A6451">
        <w:trPr>
          <w:trHeight w:val="140"/>
        </w:trPr>
        <w:tc>
          <w:tcPr>
            <w:tcW w:w="4180" w:type="dxa"/>
            <w:vMerge/>
            <w:tcBorders>
              <w:top w:val="nil"/>
              <w:left w:val="nil"/>
              <w:bottom w:val="nil"/>
              <w:right w:val="nil"/>
            </w:tcBorders>
            <w:vAlign w:val="center"/>
            <w:hideMark/>
          </w:tcPr>
          <w:p w14:paraId="3EBC169F"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50BCAD06"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7146A228"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DC7D6B6" w14:textId="77777777" w:rsidR="009A6451" w:rsidRPr="009A6451" w:rsidRDefault="009A6451" w:rsidP="009A6451">
            <w:pPr>
              <w:rPr>
                <w:sz w:val="20"/>
                <w:szCs w:val="20"/>
              </w:rPr>
            </w:pPr>
          </w:p>
        </w:tc>
      </w:tr>
      <w:tr w:rsidR="009A6451" w:rsidRPr="009A6451" w14:paraId="02EBAE70" w14:textId="77777777" w:rsidTr="009A6451">
        <w:trPr>
          <w:trHeight w:val="140"/>
        </w:trPr>
        <w:tc>
          <w:tcPr>
            <w:tcW w:w="4180" w:type="dxa"/>
            <w:vMerge w:val="restart"/>
            <w:tcBorders>
              <w:top w:val="nil"/>
              <w:left w:val="nil"/>
              <w:bottom w:val="nil"/>
              <w:right w:val="nil"/>
            </w:tcBorders>
            <w:shd w:val="clear" w:color="auto" w:fill="auto"/>
            <w:hideMark/>
          </w:tcPr>
          <w:p w14:paraId="21975970"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Clopidogrel with </w:t>
            </w:r>
            <w:proofErr w:type="gramStart"/>
            <w:r w:rsidRPr="009A6451">
              <w:rPr>
                <w:rFonts w:ascii="Arial" w:hAnsi="Arial" w:cs="Arial"/>
                <w:color w:val="000000"/>
                <w:sz w:val="12"/>
                <w:szCs w:val="12"/>
              </w:rPr>
              <w:t>aspirin, if</w:t>
            </w:r>
            <w:proofErr w:type="gramEnd"/>
            <w:r w:rsidRPr="009A6451">
              <w:rPr>
                <w:rFonts w:ascii="Arial" w:hAnsi="Arial" w:cs="Arial"/>
                <w:color w:val="000000"/>
                <w:sz w:val="12"/>
                <w:szCs w:val="12"/>
              </w:rPr>
              <w:t xml:space="preserve"> they are already taking an oral anticoagulant</w:t>
            </w:r>
          </w:p>
        </w:tc>
        <w:tc>
          <w:tcPr>
            <w:tcW w:w="4180" w:type="dxa"/>
            <w:vMerge w:val="restart"/>
            <w:tcBorders>
              <w:top w:val="nil"/>
              <w:left w:val="nil"/>
              <w:bottom w:val="nil"/>
              <w:right w:val="nil"/>
            </w:tcBorders>
            <w:shd w:val="clear" w:color="auto" w:fill="auto"/>
            <w:noWrap/>
            <w:hideMark/>
          </w:tcPr>
          <w:p w14:paraId="464EE1CC" w14:textId="31BD0E76"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Clopi</w:t>
            </w:r>
            <w:r w:rsidR="00F36FB3">
              <w:rPr>
                <w:rFonts w:ascii="Arial" w:hAnsi="Arial" w:cs="Arial"/>
                <w:color w:val="000000"/>
                <w:sz w:val="12"/>
                <w:szCs w:val="12"/>
              </w:rPr>
              <w:t>d</w:t>
            </w:r>
            <w:r w:rsidRPr="009A6451">
              <w:rPr>
                <w:rFonts w:ascii="Arial" w:hAnsi="Arial" w:cs="Arial"/>
                <w:color w:val="000000"/>
                <w:sz w:val="12"/>
                <w:szCs w:val="12"/>
              </w:rPr>
              <w:t>ogrel with indication for anticoagulation (IC)</w:t>
            </w:r>
          </w:p>
        </w:tc>
        <w:tc>
          <w:tcPr>
            <w:tcW w:w="5560" w:type="dxa"/>
            <w:vMerge w:val="restart"/>
            <w:tcBorders>
              <w:top w:val="nil"/>
              <w:left w:val="nil"/>
              <w:bottom w:val="nil"/>
              <w:right w:val="nil"/>
            </w:tcBorders>
            <w:shd w:val="clear" w:color="auto" w:fill="auto"/>
            <w:noWrap/>
            <w:hideMark/>
          </w:tcPr>
          <w:p w14:paraId="5B392D38" w14:textId="46BFC5E5"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If triple therapy, </w:t>
            </w:r>
            <w:r w:rsidR="00F36FB3" w:rsidRPr="009A6451">
              <w:rPr>
                <w:rFonts w:ascii="Arial" w:hAnsi="Arial" w:cs="Arial"/>
                <w:color w:val="000000"/>
                <w:sz w:val="12"/>
                <w:szCs w:val="12"/>
              </w:rPr>
              <w:t>reasonable to</w:t>
            </w:r>
            <w:r w:rsidRPr="009A6451">
              <w:rPr>
                <w:rFonts w:ascii="Arial" w:hAnsi="Arial" w:cs="Arial"/>
                <w:color w:val="000000"/>
                <w:sz w:val="12"/>
                <w:szCs w:val="12"/>
              </w:rPr>
              <w:t xml:space="preserve"> choose clopidogrel in preference to prasugrel for triple therapy (</w:t>
            </w:r>
            <w:proofErr w:type="spellStart"/>
            <w:r w:rsidRPr="009A6451">
              <w:rPr>
                <w:rFonts w:ascii="Arial" w:hAnsi="Arial" w:cs="Arial"/>
                <w:color w:val="000000"/>
                <w:sz w:val="12"/>
                <w:szCs w:val="12"/>
              </w:rPr>
              <w:t>IIa</w:t>
            </w:r>
            <w:proofErr w:type="spellEnd"/>
            <w:r w:rsidRPr="009A6451">
              <w:rPr>
                <w:rFonts w:ascii="Arial" w:hAnsi="Arial" w:cs="Arial"/>
                <w:color w:val="000000"/>
                <w:sz w:val="12"/>
                <w:szCs w:val="12"/>
              </w:rPr>
              <w:t xml:space="preserve"> </w:t>
            </w:r>
            <w:proofErr w:type="gramStart"/>
            <w:r w:rsidRPr="009A6451">
              <w:rPr>
                <w:rFonts w:ascii="Arial" w:hAnsi="Arial" w:cs="Arial"/>
                <w:color w:val="000000"/>
                <w:sz w:val="12"/>
                <w:szCs w:val="12"/>
              </w:rPr>
              <w:t>B)*</w:t>
            </w:r>
            <w:proofErr w:type="gramEnd"/>
          </w:p>
        </w:tc>
        <w:tc>
          <w:tcPr>
            <w:tcW w:w="36" w:type="dxa"/>
            <w:vAlign w:val="center"/>
            <w:hideMark/>
          </w:tcPr>
          <w:p w14:paraId="3B889C94" w14:textId="77777777" w:rsidR="009A6451" w:rsidRPr="009A6451" w:rsidRDefault="009A6451" w:rsidP="009A6451">
            <w:pPr>
              <w:rPr>
                <w:sz w:val="20"/>
                <w:szCs w:val="20"/>
              </w:rPr>
            </w:pPr>
          </w:p>
        </w:tc>
      </w:tr>
      <w:tr w:rsidR="009A6451" w:rsidRPr="009A6451" w14:paraId="52B7C335" w14:textId="77777777" w:rsidTr="009A6451">
        <w:trPr>
          <w:trHeight w:val="140"/>
        </w:trPr>
        <w:tc>
          <w:tcPr>
            <w:tcW w:w="4180" w:type="dxa"/>
            <w:vMerge/>
            <w:tcBorders>
              <w:top w:val="nil"/>
              <w:left w:val="nil"/>
              <w:bottom w:val="nil"/>
              <w:right w:val="nil"/>
            </w:tcBorders>
            <w:vAlign w:val="center"/>
            <w:hideMark/>
          </w:tcPr>
          <w:p w14:paraId="268FBBE8"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7328761E"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72484EA3"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5AFDB93A" w14:textId="77777777" w:rsidR="009A6451" w:rsidRPr="009A6451" w:rsidRDefault="009A6451" w:rsidP="009A6451">
            <w:pPr>
              <w:rPr>
                <w:rFonts w:ascii="Arial" w:hAnsi="Arial" w:cs="Arial"/>
                <w:color w:val="000000"/>
                <w:sz w:val="12"/>
                <w:szCs w:val="12"/>
              </w:rPr>
            </w:pPr>
          </w:p>
        </w:tc>
      </w:tr>
      <w:tr w:rsidR="009A6451" w:rsidRPr="009A6451" w14:paraId="5B9FA57C" w14:textId="77777777" w:rsidTr="009A6451">
        <w:trPr>
          <w:trHeight w:val="140"/>
        </w:trPr>
        <w:tc>
          <w:tcPr>
            <w:tcW w:w="4180" w:type="dxa"/>
            <w:vMerge/>
            <w:tcBorders>
              <w:top w:val="nil"/>
              <w:left w:val="nil"/>
              <w:bottom w:val="nil"/>
              <w:right w:val="nil"/>
            </w:tcBorders>
            <w:vAlign w:val="center"/>
            <w:hideMark/>
          </w:tcPr>
          <w:p w14:paraId="6EC899A0"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20BA7302"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2BDACC26"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03D69F08" w14:textId="77777777" w:rsidR="009A6451" w:rsidRPr="009A6451" w:rsidRDefault="009A6451" w:rsidP="009A6451">
            <w:pPr>
              <w:rPr>
                <w:sz w:val="20"/>
                <w:szCs w:val="20"/>
              </w:rPr>
            </w:pPr>
          </w:p>
        </w:tc>
      </w:tr>
      <w:tr w:rsidR="009A6451" w:rsidRPr="009A6451" w14:paraId="3E662599" w14:textId="77777777" w:rsidTr="009A6451">
        <w:trPr>
          <w:trHeight w:val="140"/>
        </w:trPr>
        <w:tc>
          <w:tcPr>
            <w:tcW w:w="4180" w:type="dxa"/>
            <w:vMerge w:val="restart"/>
            <w:tcBorders>
              <w:top w:val="nil"/>
              <w:left w:val="nil"/>
              <w:bottom w:val="nil"/>
              <w:right w:val="nil"/>
            </w:tcBorders>
            <w:shd w:val="clear" w:color="auto" w:fill="auto"/>
            <w:hideMark/>
          </w:tcPr>
          <w:p w14:paraId="169C6D00"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Offer </w:t>
            </w:r>
            <w:proofErr w:type="gramStart"/>
            <w:r w:rsidRPr="009A6451">
              <w:rPr>
                <w:rFonts w:ascii="Arial" w:hAnsi="Arial" w:cs="Arial"/>
                <w:color w:val="000000"/>
                <w:sz w:val="12"/>
                <w:szCs w:val="12"/>
              </w:rPr>
              <w:t>angiography ?</w:t>
            </w:r>
            <w:proofErr w:type="gramEnd"/>
            <w:r w:rsidRPr="009A6451">
              <w:rPr>
                <w:rFonts w:ascii="Arial" w:hAnsi="Arial" w:cs="Arial"/>
                <w:color w:val="000000"/>
                <w:sz w:val="12"/>
                <w:szCs w:val="12"/>
              </w:rPr>
              <w:t xml:space="preserve"> PCI if presentation within 12 hours and PPCI delivered within 120minutes </w:t>
            </w:r>
          </w:p>
        </w:tc>
        <w:tc>
          <w:tcPr>
            <w:tcW w:w="4180" w:type="dxa"/>
            <w:vMerge w:val="restart"/>
            <w:tcBorders>
              <w:top w:val="nil"/>
              <w:left w:val="nil"/>
              <w:bottom w:val="nil"/>
              <w:right w:val="nil"/>
            </w:tcBorders>
            <w:shd w:val="clear" w:color="auto" w:fill="auto"/>
            <w:hideMark/>
          </w:tcPr>
          <w:p w14:paraId="0A0E6282"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PCI if &lt; 120mins from STEMI diagnosis to wire crossing (I A)</w:t>
            </w:r>
          </w:p>
        </w:tc>
        <w:tc>
          <w:tcPr>
            <w:tcW w:w="5560" w:type="dxa"/>
            <w:vMerge w:val="restart"/>
            <w:tcBorders>
              <w:top w:val="nil"/>
              <w:left w:val="nil"/>
              <w:bottom w:val="nil"/>
              <w:right w:val="nil"/>
            </w:tcBorders>
            <w:shd w:val="clear" w:color="auto" w:fill="auto"/>
            <w:hideMark/>
          </w:tcPr>
          <w:p w14:paraId="64E5CFF8" w14:textId="77777777" w:rsidR="009A6451" w:rsidRPr="009A6451" w:rsidRDefault="00000000" w:rsidP="009A6451">
            <w:pPr>
              <w:rPr>
                <w:rFonts w:ascii="Arial" w:hAnsi="Arial" w:cs="Arial"/>
                <w:color w:val="000000"/>
                <w:sz w:val="12"/>
                <w:szCs w:val="12"/>
              </w:rPr>
            </w:pPr>
            <w:hyperlink r:id="rId14" w:anchor="bib183%20bib184%20bib185%20bib186%20bib187" w:history="1">
              <w:r w:rsidR="009A6451" w:rsidRPr="009A6451">
                <w:rPr>
                  <w:rFonts w:ascii="Arial" w:hAnsi="Arial" w:cs="Arial"/>
                  <w:color w:val="000000"/>
                  <w:sz w:val="12"/>
                  <w:szCs w:val="12"/>
                </w:rPr>
                <w:t>∙   In patients with STEMI and ischemic symptoms for &lt;12 hours, PCI should be performed to improve survival. (1 A)</w:t>
              </w:r>
            </w:hyperlink>
          </w:p>
        </w:tc>
        <w:tc>
          <w:tcPr>
            <w:tcW w:w="36" w:type="dxa"/>
            <w:vAlign w:val="center"/>
            <w:hideMark/>
          </w:tcPr>
          <w:p w14:paraId="5F684684" w14:textId="77777777" w:rsidR="009A6451" w:rsidRPr="009A6451" w:rsidRDefault="009A6451" w:rsidP="009A6451">
            <w:pPr>
              <w:rPr>
                <w:sz w:val="20"/>
                <w:szCs w:val="20"/>
              </w:rPr>
            </w:pPr>
          </w:p>
        </w:tc>
      </w:tr>
      <w:tr w:rsidR="009A6451" w:rsidRPr="009A6451" w14:paraId="28A9B5B7" w14:textId="77777777" w:rsidTr="009A6451">
        <w:trPr>
          <w:trHeight w:val="140"/>
        </w:trPr>
        <w:tc>
          <w:tcPr>
            <w:tcW w:w="4180" w:type="dxa"/>
            <w:vMerge/>
            <w:tcBorders>
              <w:top w:val="nil"/>
              <w:left w:val="nil"/>
              <w:bottom w:val="nil"/>
              <w:right w:val="nil"/>
            </w:tcBorders>
            <w:vAlign w:val="center"/>
            <w:hideMark/>
          </w:tcPr>
          <w:p w14:paraId="6FBD2AC8"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471F3072"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12924D93"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1B6B0CF" w14:textId="77777777" w:rsidR="009A6451" w:rsidRPr="009A6451" w:rsidRDefault="009A6451" w:rsidP="009A6451">
            <w:pPr>
              <w:rPr>
                <w:rFonts w:ascii="Arial" w:hAnsi="Arial" w:cs="Arial"/>
                <w:color w:val="000000"/>
                <w:sz w:val="12"/>
                <w:szCs w:val="12"/>
              </w:rPr>
            </w:pPr>
          </w:p>
        </w:tc>
      </w:tr>
      <w:tr w:rsidR="009A6451" w:rsidRPr="009A6451" w14:paraId="6263A2E2" w14:textId="77777777" w:rsidTr="009A6451">
        <w:trPr>
          <w:trHeight w:val="140"/>
        </w:trPr>
        <w:tc>
          <w:tcPr>
            <w:tcW w:w="4180" w:type="dxa"/>
            <w:vMerge/>
            <w:tcBorders>
              <w:top w:val="nil"/>
              <w:left w:val="nil"/>
              <w:bottom w:val="nil"/>
              <w:right w:val="nil"/>
            </w:tcBorders>
            <w:vAlign w:val="center"/>
            <w:hideMark/>
          </w:tcPr>
          <w:p w14:paraId="11ACF005"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3280AEAF"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0DBA3244"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3B270124" w14:textId="77777777" w:rsidR="009A6451" w:rsidRPr="009A6451" w:rsidRDefault="009A6451" w:rsidP="009A6451">
            <w:pPr>
              <w:rPr>
                <w:sz w:val="20"/>
                <w:szCs w:val="20"/>
              </w:rPr>
            </w:pPr>
          </w:p>
        </w:tc>
      </w:tr>
      <w:tr w:rsidR="009A6451" w:rsidRPr="009A6451" w14:paraId="0BF42FDE" w14:textId="77777777" w:rsidTr="009A6451">
        <w:trPr>
          <w:trHeight w:val="140"/>
        </w:trPr>
        <w:tc>
          <w:tcPr>
            <w:tcW w:w="4180" w:type="dxa"/>
            <w:vMerge w:val="restart"/>
            <w:tcBorders>
              <w:top w:val="nil"/>
              <w:left w:val="nil"/>
              <w:bottom w:val="nil"/>
              <w:right w:val="nil"/>
            </w:tcBorders>
            <w:shd w:val="clear" w:color="auto" w:fill="auto"/>
            <w:hideMark/>
          </w:tcPr>
          <w:p w14:paraId="236CAC05" w14:textId="77777777" w:rsidR="009A6451" w:rsidRPr="009A6451" w:rsidRDefault="00000000" w:rsidP="009A6451">
            <w:pPr>
              <w:rPr>
                <w:rFonts w:ascii="Arial" w:hAnsi="Arial" w:cs="Arial"/>
                <w:color w:val="000000"/>
                <w:sz w:val="12"/>
                <w:szCs w:val="12"/>
              </w:rPr>
            </w:pPr>
            <w:hyperlink r:id="rId15" w:anchor="bailout-glycoprotein-iibiiia-inhibitor" w:history="1">
              <w:r w:rsidR="009A6451" w:rsidRPr="009A6451">
                <w:rPr>
                  <w:rFonts w:ascii="Arial" w:hAnsi="Arial" w:cs="Arial"/>
                  <w:color w:val="000000"/>
                  <w:sz w:val="12"/>
                  <w:szCs w:val="12"/>
                </w:rPr>
                <w:t>∙   Offer unfractionated heparin with bailout glycoprotein IIb/IIIa inhibitor in combination with dual antiplatelet therapy to people with acute STEMI undergoing primary PCI with radial access.</w:t>
              </w:r>
            </w:hyperlink>
          </w:p>
        </w:tc>
        <w:tc>
          <w:tcPr>
            <w:tcW w:w="4180" w:type="dxa"/>
            <w:vMerge w:val="restart"/>
            <w:tcBorders>
              <w:top w:val="nil"/>
              <w:left w:val="nil"/>
              <w:bottom w:val="nil"/>
              <w:right w:val="nil"/>
            </w:tcBorders>
            <w:shd w:val="clear" w:color="auto" w:fill="auto"/>
            <w:noWrap/>
            <w:hideMark/>
          </w:tcPr>
          <w:p w14:paraId="1B0FEF38"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UFH is recommended (IC)</w:t>
            </w:r>
          </w:p>
        </w:tc>
        <w:tc>
          <w:tcPr>
            <w:tcW w:w="5560" w:type="dxa"/>
            <w:vMerge w:val="restart"/>
            <w:tcBorders>
              <w:top w:val="nil"/>
              <w:left w:val="nil"/>
              <w:bottom w:val="nil"/>
              <w:right w:val="nil"/>
            </w:tcBorders>
            <w:shd w:val="clear" w:color="auto" w:fill="auto"/>
            <w:hideMark/>
          </w:tcPr>
          <w:p w14:paraId="4D59020C"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Glycoprotein </w:t>
            </w:r>
            <w:proofErr w:type="spellStart"/>
            <w:r w:rsidRPr="009A6451">
              <w:rPr>
                <w:rFonts w:ascii="Arial" w:hAnsi="Arial" w:cs="Arial"/>
                <w:color w:val="000000"/>
                <w:sz w:val="12"/>
                <w:szCs w:val="12"/>
              </w:rPr>
              <w:t>Iib</w:t>
            </w:r>
            <w:proofErr w:type="spellEnd"/>
            <w:r w:rsidRPr="009A6451">
              <w:rPr>
                <w:rFonts w:ascii="Arial" w:hAnsi="Arial" w:cs="Arial"/>
                <w:color w:val="000000"/>
                <w:sz w:val="12"/>
                <w:szCs w:val="12"/>
              </w:rPr>
              <w:t>/IIIa inhibitor agents are reasonable to improve procedural success in patients with large thrombus burden, no-reflow or slow flow (2a C)</w:t>
            </w:r>
          </w:p>
        </w:tc>
        <w:tc>
          <w:tcPr>
            <w:tcW w:w="36" w:type="dxa"/>
            <w:vAlign w:val="center"/>
            <w:hideMark/>
          </w:tcPr>
          <w:p w14:paraId="6AB063DE" w14:textId="77777777" w:rsidR="009A6451" w:rsidRPr="009A6451" w:rsidRDefault="009A6451" w:rsidP="009A6451">
            <w:pPr>
              <w:rPr>
                <w:sz w:val="20"/>
                <w:szCs w:val="20"/>
              </w:rPr>
            </w:pPr>
          </w:p>
        </w:tc>
      </w:tr>
      <w:tr w:rsidR="009A6451" w:rsidRPr="009A6451" w14:paraId="12ADA4CC" w14:textId="77777777" w:rsidTr="009A6451">
        <w:trPr>
          <w:trHeight w:val="140"/>
        </w:trPr>
        <w:tc>
          <w:tcPr>
            <w:tcW w:w="4180" w:type="dxa"/>
            <w:vMerge/>
            <w:tcBorders>
              <w:top w:val="nil"/>
              <w:left w:val="nil"/>
              <w:bottom w:val="nil"/>
              <w:right w:val="nil"/>
            </w:tcBorders>
            <w:vAlign w:val="center"/>
            <w:hideMark/>
          </w:tcPr>
          <w:p w14:paraId="31DD008F"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066B4E89"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5DB0966A"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5A8746A2" w14:textId="77777777" w:rsidR="009A6451" w:rsidRPr="009A6451" w:rsidRDefault="009A6451" w:rsidP="009A6451">
            <w:pPr>
              <w:rPr>
                <w:rFonts w:ascii="Arial" w:hAnsi="Arial" w:cs="Arial"/>
                <w:color w:val="000000"/>
                <w:sz w:val="12"/>
                <w:szCs w:val="12"/>
              </w:rPr>
            </w:pPr>
          </w:p>
        </w:tc>
      </w:tr>
      <w:tr w:rsidR="009A6451" w:rsidRPr="009A6451" w14:paraId="77F8246A" w14:textId="77777777" w:rsidTr="009A6451">
        <w:trPr>
          <w:trHeight w:val="140"/>
        </w:trPr>
        <w:tc>
          <w:tcPr>
            <w:tcW w:w="4180" w:type="dxa"/>
            <w:vMerge/>
            <w:tcBorders>
              <w:top w:val="nil"/>
              <w:left w:val="nil"/>
              <w:bottom w:val="nil"/>
              <w:right w:val="nil"/>
            </w:tcBorders>
            <w:vAlign w:val="center"/>
            <w:hideMark/>
          </w:tcPr>
          <w:p w14:paraId="2A97E7D3"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20A54898"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7FDEB8DF"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E67320F" w14:textId="77777777" w:rsidR="009A6451" w:rsidRPr="009A6451" w:rsidRDefault="009A6451" w:rsidP="009A6451">
            <w:pPr>
              <w:rPr>
                <w:sz w:val="20"/>
                <w:szCs w:val="20"/>
              </w:rPr>
            </w:pPr>
          </w:p>
        </w:tc>
      </w:tr>
      <w:tr w:rsidR="009A6451" w:rsidRPr="009A6451" w14:paraId="47F34B35" w14:textId="77777777" w:rsidTr="009A6451">
        <w:trPr>
          <w:trHeight w:val="140"/>
        </w:trPr>
        <w:tc>
          <w:tcPr>
            <w:tcW w:w="4180" w:type="dxa"/>
            <w:vMerge w:val="restart"/>
            <w:tcBorders>
              <w:top w:val="nil"/>
              <w:left w:val="nil"/>
              <w:bottom w:val="nil"/>
              <w:right w:val="nil"/>
            </w:tcBorders>
            <w:shd w:val="clear" w:color="auto" w:fill="auto"/>
            <w:hideMark/>
          </w:tcPr>
          <w:p w14:paraId="0599F4D7"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Consider bivalirudin with bailout glycoprotein IIb/IIIa inhibitor in combination with dual antiplatelet therapy for people with acute STEMI undergoing primary PCI when femoral access is needed.</w:t>
            </w:r>
          </w:p>
        </w:tc>
        <w:tc>
          <w:tcPr>
            <w:tcW w:w="4180" w:type="dxa"/>
            <w:vMerge w:val="restart"/>
            <w:tcBorders>
              <w:top w:val="nil"/>
              <w:left w:val="nil"/>
              <w:bottom w:val="nil"/>
              <w:right w:val="nil"/>
            </w:tcBorders>
            <w:shd w:val="clear" w:color="auto" w:fill="auto"/>
            <w:hideMark/>
          </w:tcPr>
          <w:p w14:paraId="7E52992B"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Bivalirudin may be considered as an alternative to UFH (IIB)</w:t>
            </w:r>
          </w:p>
        </w:tc>
        <w:tc>
          <w:tcPr>
            <w:tcW w:w="5560" w:type="dxa"/>
            <w:vMerge w:val="restart"/>
            <w:tcBorders>
              <w:top w:val="nil"/>
              <w:left w:val="nil"/>
              <w:bottom w:val="nil"/>
              <w:right w:val="nil"/>
            </w:tcBorders>
            <w:shd w:val="clear" w:color="auto" w:fill="auto"/>
            <w:hideMark/>
          </w:tcPr>
          <w:p w14:paraId="41CB083F"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In patients undergoing PCI, bivalirudin may be a reasonable alternative to UFH to reduce bleeding (2b A)</w:t>
            </w:r>
          </w:p>
        </w:tc>
        <w:tc>
          <w:tcPr>
            <w:tcW w:w="36" w:type="dxa"/>
            <w:vAlign w:val="center"/>
            <w:hideMark/>
          </w:tcPr>
          <w:p w14:paraId="25083C05" w14:textId="77777777" w:rsidR="009A6451" w:rsidRPr="009A6451" w:rsidRDefault="009A6451" w:rsidP="009A6451">
            <w:pPr>
              <w:rPr>
                <w:sz w:val="20"/>
                <w:szCs w:val="20"/>
              </w:rPr>
            </w:pPr>
          </w:p>
        </w:tc>
      </w:tr>
      <w:tr w:rsidR="009A6451" w:rsidRPr="009A6451" w14:paraId="23862F91" w14:textId="77777777" w:rsidTr="009A6451">
        <w:trPr>
          <w:trHeight w:val="140"/>
        </w:trPr>
        <w:tc>
          <w:tcPr>
            <w:tcW w:w="4180" w:type="dxa"/>
            <w:vMerge/>
            <w:tcBorders>
              <w:top w:val="nil"/>
              <w:left w:val="nil"/>
              <w:bottom w:val="nil"/>
              <w:right w:val="nil"/>
            </w:tcBorders>
            <w:vAlign w:val="center"/>
            <w:hideMark/>
          </w:tcPr>
          <w:p w14:paraId="5B98FD5B"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173C6261"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0296E04F"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7127EB99" w14:textId="77777777" w:rsidR="009A6451" w:rsidRPr="009A6451" w:rsidRDefault="009A6451" w:rsidP="009A6451">
            <w:pPr>
              <w:rPr>
                <w:rFonts w:ascii="Arial" w:hAnsi="Arial" w:cs="Arial"/>
                <w:color w:val="000000"/>
                <w:sz w:val="12"/>
                <w:szCs w:val="12"/>
              </w:rPr>
            </w:pPr>
          </w:p>
        </w:tc>
      </w:tr>
      <w:tr w:rsidR="009A6451" w:rsidRPr="009A6451" w14:paraId="1E57D3A4" w14:textId="77777777" w:rsidTr="009A6451">
        <w:trPr>
          <w:trHeight w:val="140"/>
        </w:trPr>
        <w:tc>
          <w:tcPr>
            <w:tcW w:w="4180" w:type="dxa"/>
            <w:vMerge/>
            <w:tcBorders>
              <w:top w:val="nil"/>
              <w:left w:val="nil"/>
              <w:bottom w:val="nil"/>
              <w:right w:val="nil"/>
            </w:tcBorders>
            <w:vAlign w:val="center"/>
            <w:hideMark/>
          </w:tcPr>
          <w:p w14:paraId="6DDB9621"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1C1B62A2"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61A39107"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5AFFB1E0" w14:textId="77777777" w:rsidR="009A6451" w:rsidRPr="009A6451" w:rsidRDefault="009A6451" w:rsidP="009A6451">
            <w:pPr>
              <w:rPr>
                <w:sz w:val="20"/>
                <w:szCs w:val="20"/>
              </w:rPr>
            </w:pPr>
          </w:p>
        </w:tc>
      </w:tr>
      <w:tr w:rsidR="009A6451" w:rsidRPr="009A6451" w14:paraId="0E6F8BAF" w14:textId="77777777" w:rsidTr="009A6451">
        <w:trPr>
          <w:trHeight w:val="220"/>
        </w:trPr>
        <w:tc>
          <w:tcPr>
            <w:tcW w:w="4180" w:type="dxa"/>
            <w:tcBorders>
              <w:top w:val="nil"/>
              <w:left w:val="nil"/>
              <w:bottom w:val="nil"/>
              <w:right w:val="nil"/>
            </w:tcBorders>
            <w:shd w:val="clear" w:color="auto" w:fill="auto"/>
            <w:noWrap/>
            <w:vAlign w:val="center"/>
            <w:hideMark/>
          </w:tcPr>
          <w:p w14:paraId="2A5EF852" w14:textId="77777777" w:rsidR="009A6451" w:rsidRPr="009A6451" w:rsidRDefault="009A6451" w:rsidP="009A6451">
            <w:pPr>
              <w:rPr>
                <w:rFonts w:ascii="Arial" w:hAnsi="Arial" w:cs="Arial"/>
                <w:b/>
                <w:bCs/>
                <w:i/>
                <w:iCs/>
                <w:color w:val="000000"/>
                <w:sz w:val="12"/>
                <w:szCs w:val="12"/>
              </w:rPr>
            </w:pPr>
            <w:r w:rsidRPr="009A6451">
              <w:rPr>
                <w:rFonts w:ascii="Arial" w:hAnsi="Arial" w:cs="Arial"/>
                <w:b/>
                <w:bCs/>
                <w:i/>
                <w:iCs/>
                <w:color w:val="000000"/>
                <w:sz w:val="12"/>
                <w:szCs w:val="12"/>
              </w:rPr>
              <w:t>Revascularisation</w:t>
            </w:r>
          </w:p>
        </w:tc>
        <w:tc>
          <w:tcPr>
            <w:tcW w:w="4180" w:type="dxa"/>
            <w:tcBorders>
              <w:top w:val="nil"/>
              <w:left w:val="nil"/>
              <w:bottom w:val="nil"/>
              <w:right w:val="nil"/>
            </w:tcBorders>
            <w:shd w:val="clear" w:color="auto" w:fill="auto"/>
            <w:hideMark/>
          </w:tcPr>
          <w:p w14:paraId="18692F0B" w14:textId="77777777" w:rsidR="009A6451" w:rsidRPr="009A6451" w:rsidRDefault="009A6451" w:rsidP="009A6451">
            <w:pPr>
              <w:rPr>
                <w:rFonts w:ascii="Arial" w:hAnsi="Arial" w:cs="Arial"/>
                <w:b/>
                <w:bCs/>
                <w:i/>
                <w:iCs/>
                <w:color w:val="000000"/>
                <w:sz w:val="12"/>
                <w:szCs w:val="12"/>
              </w:rPr>
            </w:pPr>
          </w:p>
        </w:tc>
        <w:tc>
          <w:tcPr>
            <w:tcW w:w="5560" w:type="dxa"/>
            <w:tcBorders>
              <w:top w:val="nil"/>
              <w:left w:val="nil"/>
              <w:bottom w:val="nil"/>
              <w:right w:val="nil"/>
            </w:tcBorders>
            <w:shd w:val="clear" w:color="auto" w:fill="auto"/>
            <w:hideMark/>
          </w:tcPr>
          <w:p w14:paraId="163E76E4" w14:textId="77777777" w:rsidR="009A6451" w:rsidRPr="009A6451" w:rsidRDefault="009A6451" w:rsidP="009A6451">
            <w:pPr>
              <w:rPr>
                <w:sz w:val="20"/>
                <w:szCs w:val="20"/>
              </w:rPr>
            </w:pPr>
          </w:p>
        </w:tc>
        <w:tc>
          <w:tcPr>
            <w:tcW w:w="36" w:type="dxa"/>
            <w:vAlign w:val="center"/>
            <w:hideMark/>
          </w:tcPr>
          <w:p w14:paraId="7563BDA6" w14:textId="77777777" w:rsidR="009A6451" w:rsidRPr="009A6451" w:rsidRDefault="009A6451" w:rsidP="009A6451">
            <w:pPr>
              <w:rPr>
                <w:sz w:val="20"/>
                <w:szCs w:val="20"/>
              </w:rPr>
            </w:pPr>
          </w:p>
        </w:tc>
      </w:tr>
      <w:tr w:rsidR="009A6451" w:rsidRPr="009A6451" w14:paraId="4F8B4EA4" w14:textId="77777777" w:rsidTr="009A6451">
        <w:trPr>
          <w:trHeight w:val="140"/>
        </w:trPr>
        <w:tc>
          <w:tcPr>
            <w:tcW w:w="4180" w:type="dxa"/>
            <w:vMerge w:val="restart"/>
            <w:tcBorders>
              <w:top w:val="nil"/>
              <w:left w:val="nil"/>
              <w:bottom w:val="nil"/>
              <w:right w:val="nil"/>
            </w:tcBorders>
            <w:shd w:val="clear" w:color="auto" w:fill="auto"/>
            <w:hideMark/>
          </w:tcPr>
          <w:p w14:paraId="684E6E25"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Consider coronary angiography, with follow</w:t>
            </w:r>
            <w:r w:rsidRPr="009A6451">
              <w:rPr>
                <w:rFonts w:ascii="Arial" w:hAnsi="Arial" w:cs="Arial"/>
                <w:color w:val="000000"/>
                <w:sz w:val="12"/>
                <w:szCs w:val="12"/>
              </w:rPr>
              <w:noBreakHyphen/>
              <w:t>on primary PCI if presenting &gt; 12 hours after the onset of symptoms if continuing myocardial ischaemia.</w:t>
            </w:r>
          </w:p>
        </w:tc>
        <w:tc>
          <w:tcPr>
            <w:tcW w:w="4180" w:type="dxa"/>
            <w:vMerge w:val="restart"/>
            <w:tcBorders>
              <w:top w:val="nil"/>
              <w:left w:val="nil"/>
              <w:bottom w:val="nil"/>
              <w:right w:val="nil"/>
            </w:tcBorders>
            <w:shd w:val="clear" w:color="auto" w:fill="auto"/>
            <w:hideMark/>
          </w:tcPr>
          <w:p w14:paraId="23E47CC7" w14:textId="6F7ED125"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If &gt; 12hours from symptoms, primary PCI indicated in presence of symptoms of ischaemia, haemodynamic </w:t>
            </w:r>
            <w:proofErr w:type="gramStart"/>
            <w:r w:rsidRPr="009A6451">
              <w:rPr>
                <w:rFonts w:ascii="Arial" w:hAnsi="Arial" w:cs="Arial"/>
                <w:color w:val="000000"/>
                <w:sz w:val="12"/>
                <w:szCs w:val="12"/>
              </w:rPr>
              <w:t>instability</w:t>
            </w:r>
            <w:proofErr w:type="gramEnd"/>
            <w:r w:rsidRPr="009A6451">
              <w:rPr>
                <w:rFonts w:ascii="Arial" w:hAnsi="Arial" w:cs="Arial"/>
                <w:color w:val="000000"/>
                <w:sz w:val="12"/>
                <w:szCs w:val="12"/>
              </w:rPr>
              <w:t xml:space="preserve"> or </w:t>
            </w:r>
            <w:r w:rsidR="00F36FB3" w:rsidRPr="009A6451">
              <w:rPr>
                <w:rFonts w:ascii="Arial" w:hAnsi="Arial" w:cs="Arial"/>
                <w:color w:val="000000"/>
                <w:sz w:val="12"/>
                <w:szCs w:val="12"/>
              </w:rPr>
              <w:t>life-threatening</w:t>
            </w:r>
            <w:r w:rsidRPr="009A6451">
              <w:rPr>
                <w:rFonts w:ascii="Arial" w:hAnsi="Arial" w:cs="Arial"/>
                <w:color w:val="000000"/>
                <w:sz w:val="12"/>
                <w:szCs w:val="12"/>
              </w:rPr>
              <w:t xml:space="preserve"> arrhythmia (I C)</w:t>
            </w:r>
          </w:p>
        </w:tc>
        <w:tc>
          <w:tcPr>
            <w:tcW w:w="5560" w:type="dxa"/>
            <w:vMerge w:val="restart"/>
            <w:tcBorders>
              <w:top w:val="nil"/>
              <w:left w:val="nil"/>
              <w:bottom w:val="nil"/>
              <w:right w:val="nil"/>
            </w:tcBorders>
            <w:shd w:val="clear" w:color="auto" w:fill="auto"/>
            <w:hideMark/>
          </w:tcPr>
          <w:p w14:paraId="0F939106" w14:textId="7B87F212"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In patients with STEMI who are stable and presenting 12 to 24 hours after symptom onset, PCI is reasonable to improve clinical </w:t>
            </w:r>
            <w:r w:rsidR="00F36FB3" w:rsidRPr="009A6451">
              <w:rPr>
                <w:rFonts w:ascii="Arial" w:hAnsi="Arial" w:cs="Arial"/>
                <w:color w:val="000000"/>
                <w:sz w:val="12"/>
                <w:szCs w:val="12"/>
              </w:rPr>
              <w:t>outcomes (</w:t>
            </w:r>
            <w:r w:rsidRPr="009A6451">
              <w:rPr>
                <w:rFonts w:ascii="Arial" w:hAnsi="Arial" w:cs="Arial"/>
                <w:color w:val="000000"/>
                <w:sz w:val="12"/>
                <w:szCs w:val="12"/>
              </w:rPr>
              <w:t>2a B)</w:t>
            </w:r>
          </w:p>
        </w:tc>
        <w:tc>
          <w:tcPr>
            <w:tcW w:w="36" w:type="dxa"/>
            <w:vAlign w:val="center"/>
            <w:hideMark/>
          </w:tcPr>
          <w:p w14:paraId="2B2F4588" w14:textId="77777777" w:rsidR="009A6451" w:rsidRPr="009A6451" w:rsidRDefault="009A6451" w:rsidP="009A6451">
            <w:pPr>
              <w:rPr>
                <w:sz w:val="20"/>
                <w:szCs w:val="20"/>
              </w:rPr>
            </w:pPr>
          </w:p>
        </w:tc>
      </w:tr>
      <w:tr w:rsidR="009A6451" w:rsidRPr="009A6451" w14:paraId="2BEA2C69" w14:textId="77777777" w:rsidTr="009A6451">
        <w:trPr>
          <w:trHeight w:val="140"/>
        </w:trPr>
        <w:tc>
          <w:tcPr>
            <w:tcW w:w="4180" w:type="dxa"/>
            <w:vMerge/>
            <w:tcBorders>
              <w:top w:val="nil"/>
              <w:left w:val="nil"/>
              <w:bottom w:val="nil"/>
              <w:right w:val="nil"/>
            </w:tcBorders>
            <w:vAlign w:val="center"/>
            <w:hideMark/>
          </w:tcPr>
          <w:p w14:paraId="2E54DA6C"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084C29D8"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6CEDF751"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0035D2F2" w14:textId="77777777" w:rsidR="009A6451" w:rsidRPr="009A6451" w:rsidRDefault="009A6451" w:rsidP="009A6451">
            <w:pPr>
              <w:rPr>
                <w:rFonts w:ascii="Arial" w:hAnsi="Arial" w:cs="Arial"/>
                <w:color w:val="000000"/>
                <w:sz w:val="12"/>
                <w:szCs w:val="12"/>
              </w:rPr>
            </w:pPr>
          </w:p>
        </w:tc>
      </w:tr>
      <w:tr w:rsidR="009A6451" w:rsidRPr="009A6451" w14:paraId="2C9AE7B6" w14:textId="77777777" w:rsidTr="00F9235F">
        <w:trPr>
          <w:trHeight w:val="274"/>
        </w:trPr>
        <w:tc>
          <w:tcPr>
            <w:tcW w:w="4180" w:type="dxa"/>
            <w:vMerge/>
            <w:tcBorders>
              <w:top w:val="nil"/>
              <w:left w:val="nil"/>
              <w:bottom w:val="nil"/>
              <w:right w:val="nil"/>
            </w:tcBorders>
            <w:vAlign w:val="center"/>
            <w:hideMark/>
          </w:tcPr>
          <w:p w14:paraId="51B68F36"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63A0F563"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30F2D0F3"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E46C906" w14:textId="77777777" w:rsidR="009A6451" w:rsidRPr="009A6451" w:rsidRDefault="009A6451" w:rsidP="009A6451">
            <w:pPr>
              <w:rPr>
                <w:sz w:val="20"/>
                <w:szCs w:val="20"/>
              </w:rPr>
            </w:pPr>
          </w:p>
        </w:tc>
      </w:tr>
      <w:tr w:rsidR="009A6451" w:rsidRPr="009A6451" w14:paraId="7DEEB70D" w14:textId="77777777" w:rsidTr="009A6451">
        <w:trPr>
          <w:trHeight w:val="140"/>
        </w:trPr>
        <w:tc>
          <w:tcPr>
            <w:tcW w:w="4180" w:type="dxa"/>
            <w:vMerge w:val="restart"/>
            <w:tcBorders>
              <w:top w:val="nil"/>
              <w:left w:val="nil"/>
              <w:bottom w:val="nil"/>
              <w:right w:val="nil"/>
            </w:tcBorders>
            <w:shd w:val="clear" w:color="auto" w:fill="auto"/>
            <w:hideMark/>
          </w:tcPr>
          <w:p w14:paraId="4DB806C2"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Consider radial arterial access </w:t>
            </w:r>
          </w:p>
        </w:tc>
        <w:tc>
          <w:tcPr>
            <w:tcW w:w="4180" w:type="dxa"/>
            <w:vMerge w:val="restart"/>
            <w:tcBorders>
              <w:top w:val="nil"/>
              <w:left w:val="nil"/>
              <w:bottom w:val="nil"/>
              <w:right w:val="nil"/>
            </w:tcBorders>
            <w:shd w:val="clear" w:color="auto" w:fill="auto"/>
            <w:noWrap/>
            <w:hideMark/>
          </w:tcPr>
          <w:p w14:paraId="27E831EB"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Radial over femoral if experience operator (IA)</w:t>
            </w:r>
          </w:p>
        </w:tc>
        <w:tc>
          <w:tcPr>
            <w:tcW w:w="5560" w:type="dxa"/>
            <w:vMerge w:val="restart"/>
            <w:tcBorders>
              <w:top w:val="nil"/>
              <w:left w:val="nil"/>
              <w:bottom w:val="nil"/>
              <w:right w:val="nil"/>
            </w:tcBorders>
            <w:shd w:val="clear" w:color="auto" w:fill="auto"/>
            <w:hideMark/>
          </w:tcPr>
          <w:p w14:paraId="11CFDE5D"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Radial approach is indicated in preference to a femoral approach to reduce risk of death, vascular complications, or bleeding (1 A)</w:t>
            </w:r>
          </w:p>
        </w:tc>
        <w:tc>
          <w:tcPr>
            <w:tcW w:w="36" w:type="dxa"/>
            <w:vAlign w:val="center"/>
            <w:hideMark/>
          </w:tcPr>
          <w:p w14:paraId="6E924F07" w14:textId="77777777" w:rsidR="009A6451" w:rsidRPr="009A6451" w:rsidRDefault="009A6451" w:rsidP="009A6451">
            <w:pPr>
              <w:rPr>
                <w:sz w:val="20"/>
                <w:szCs w:val="20"/>
              </w:rPr>
            </w:pPr>
          </w:p>
        </w:tc>
      </w:tr>
      <w:tr w:rsidR="009A6451" w:rsidRPr="009A6451" w14:paraId="569C9341" w14:textId="77777777" w:rsidTr="009A6451">
        <w:trPr>
          <w:trHeight w:val="140"/>
        </w:trPr>
        <w:tc>
          <w:tcPr>
            <w:tcW w:w="4180" w:type="dxa"/>
            <w:vMerge/>
            <w:tcBorders>
              <w:top w:val="nil"/>
              <w:left w:val="nil"/>
              <w:bottom w:val="nil"/>
              <w:right w:val="nil"/>
            </w:tcBorders>
            <w:vAlign w:val="center"/>
            <w:hideMark/>
          </w:tcPr>
          <w:p w14:paraId="49F16323"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4C750178"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3FC62492"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2F75D5EC" w14:textId="77777777" w:rsidR="009A6451" w:rsidRPr="009A6451" w:rsidRDefault="009A6451" w:rsidP="009A6451">
            <w:pPr>
              <w:rPr>
                <w:rFonts w:ascii="Arial" w:hAnsi="Arial" w:cs="Arial"/>
                <w:color w:val="000000"/>
                <w:sz w:val="12"/>
                <w:szCs w:val="12"/>
              </w:rPr>
            </w:pPr>
          </w:p>
        </w:tc>
      </w:tr>
      <w:tr w:rsidR="009A6451" w:rsidRPr="009A6451" w14:paraId="7EEE9ABC" w14:textId="77777777" w:rsidTr="009A6451">
        <w:trPr>
          <w:trHeight w:val="160"/>
        </w:trPr>
        <w:tc>
          <w:tcPr>
            <w:tcW w:w="4180" w:type="dxa"/>
            <w:vMerge/>
            <w:tcBorders>
              <w:top w:val="nil"/>
              <w:left w:val="nil"/>
              <w:bottom w:val="nil"/>
              <w:right w:val="nil"/>
            </w:tcBorders>
            <w:vAlign w:val="center"/>
            <w:hideMark/>
          </w:tcPr>
          <w:p w14:paraId="4FC9FA41"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1292810F"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196DD014"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24D44883" w14:textId="77777777" w:rsidR="009A6451" w:rsidRPr="009A6451" w:rsidRDefault="009A6451" w:rsidP="009A6451">
            <w:pPr>
              <w:rPr>
                <w:sz w:val="20"/>
                <w:szCs w:val="20"/>
              </w:rPr>
            </w:pPr>
          </w:p>
        </w:tc>
      </w:tr>
      <w:tr w:rsidR="009A6451" w:rsidRPr="009A6451" w14:paraId="5B545919" w14:textId="77777777" w:rsidTr="009A6451">
        <w:trPr>
          <w:trHeight w:val="120"/>
        </w:trPr>
        <w:tc>
          <w:tcPr>
            <w:tcW w:w="4180" w:type="dxa"/>
            <w:vMerge w:val="restart"/>
            <w:tcBorders>
              <w:top w:val="nil"/>
              <w:left w:val="nil"/>
              <w:bottom w:val="nil"/>
              <w:right w:val="nil"/>
            </w:tcBorders>
            <w:shd w:val="clear" w:color="auto" w:fill="auto"/>
            <w:hideMark/>
          </w:tcPr>
          <w:p w14:paraId="22B313A3"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Do not routinely use mechanical thrombus extraction during primary PCI for people with acute STEMI.</w:t>
            </w:r>
          </w:p>
        </w:tc>
        <w:tc>
          <w:tcPr>
            <w:tcW w:w="4180" w:type="dxa"/>
            <w:vMerge w:val="restart"/>
            <w:tcBorders>
              <w:top w:val="nil"/>
              <w:left w:val="nil"/>
              <w:bottom w:val="nil"/>
              <w:right w:val="nil"/>
            </w:tcBorders>
            <w:shd w:val="clear" w:color="auto" w:fill="auto"/>
            <w:noWrap/>
            <w:hideMark/>
          </w:tcPr>
          <w:p w14:paraId="4B051913"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Routine use of thrombus aspiration is not recommended (III A)</w:t>
            </w:r>
          </w:p>
        </w:tc>
        <w:tc>
          <w:tcPr>
            <w:tcW w:w="5560" w:type="dxa"/>
            <w:vMerge w:val="restart"/>
            <w:tcBorders>
              <w:top w:val="nil"/>
              <w:left w:val="nil"/>
              <w:bottom w:val="nil"/>
              <w:right w:val="nil"/>
            </w:tcBorders>
            <w:shd w:val="clear" w:color="auto" w:fill="auto"/>
            <w:noWrap/>
            <w:hideMark/>
          </w:tcPr>
          <w:p w14:paraId="1D9FC4F9"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Routine aspiration thrombectomy before primary PCI is not useful (3 A)</w:t>
            </w:r>
          </w:p>
        </w:tc>
        <w:tc>
          <w:tcPr>
            <w:tcW w:w="36" w:type="dxa"/>
            <w:vAlign w:val="center"/>
            <w:hideMark/>
          </w:tcPr>
          <w:p w14:paraId="15543A7C" w14:textId="77777777" w:rsidR="009A6451" w:rsidRPr="009A6451" w:rsidRDefault="009A6451" w:rsidP="009A6451">
            <w:pPr>
              <w:rPr>
                <w:sz w:val="20"/>
                <w:szCs w:val="20"/>
              </w:rPr>
            </w:pPr>
          </w:p>
        </w:tc>
      </w:tr>
      <w:tr w:rsidR="009A6451" w:rsidRPr="009A6451" w14:paraId="0A6B33D7" w14:textId="77777777" w:rsidTr="009A6451">
        <w:trPr>
          <w:trHeight w:val="140"/>
        </w:trPr>
        <w:tc>
          <w:tcPr>
            <w:tcW w:w="4180" w:type="dxa"/>
            <w:vMerge/>
            <w:tcBorders>
              <w:top w:val="nil"/>
              <w:left w:val="nil"/>
              <w:bottom w:val="nil"/>
              <w:right w:val="nil"/>
            </w:tcBorders>
            <w:vAlign w:val="center"/>
            <w:hideMark/>
          </w:tcPr>
          <w:p w14:paraId="4DEAFACF"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4AA4B229"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2B53BC5E"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466E2416" w14:textId="77777777" w:rsidR="009A6451" w:rsidRPr="009A6451" w:rsidRDefault="009A6451" w:rsidP="009A6451">
            <w:pPr>
              <w:rPr>
                <w:rFonts w:ascii="Arial" w:hAnsi="Arial" w:cs="Arial"/>
                <w:color w:val="000000"/>
                <w:sz w:val="12"/>
                <w:szCs w:val="12"/>
              </w:rPr>
            </w:pPr>
          </w:p>
        </w:tc>
      </w:tr>
      <w:tr w:rsidR="009A6451" w:rsidRPr="009A6451" w14:paraId="04EA02C2" w14:textId="77777777" w:rsidTr="009A6451">
        <w:trPr>
          <w:trHeight w:val="140"/>
        </w:trPr>
        <w:tc>
          <w:tcPr>
            <w:tcW w:w="4180" w:type="dxa"/>
            <w:vMerge/>
            <w:tcBorders>
              <w:top w:val="nil"/>
              <w:left w:val="nil"/>
              <w:bottom w:val="nil"/>
              <w:right w:val="nil"/>
            </w:tcBorders>
            <w:vAlign w:val="center"/>
            <w:hideMark/>
          </w:tcPr>
          <w:p w14:paraId="4DB07C65"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06A11EDD"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6E29B489"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50FFEB12" w14:textId="77777777" w:rsidR="009A6451" w:rsidRPr="009A6451" w:rsidRDefault="009A6451" w:rsidP="009A6451">
            <w:pPr>
              <w:rPr>
                <w:sz w:val="20"/>
                <w:szCs w:val="20"/>
              </w:rPr>
            </w:pPr>
          </w:p>
        </w:tc>
      </w:tr>
      <w:tr w:rsidR="009A6451" w:rsidRPr="009A6451" w14:paraId="0C55A49E" w14:textId="77777777" w:rsidTr="009A6451">
        <w:trPr>
          <w:trHeight w:val="140"/>
        </w:trPr>
        <w:tc>
          <w:tcPr>
            <w:tcW w:w="4180" w:type="dxa"/>
            <w:vMerge w:val="restart"/>
            <w:tcBorders>
              <w:top w:val="nil"/>
              <w:left w:val="nil"/>
              <w:bottom w:val="nil"/>
              <w:right w:val="nil"/>
            </w:tcBorders>
            <w:shd w:val="clear" w:color="auto" w:fill="auto"/>
            <w:hideMark/>
          </w:tcPr>
          <w:p w14:paraId="20789190"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Offer complete revascularisation without cardiogenic shock. Consider doing this during the index hospital admission.</w:t>
            </w:r>
          </w:p>
        </w:tc>
        <w:tc>
          <w:tcPr>
            <w:tcW w:w="4180" w:type="dxa"/>
            <w:vMerge w:val="restart"/>
            <w:tcBorders>
              <w:top w:val="nil"/>
              <w:left w:val="nil"/>
              <w:bottom w:val="nil"/>
              <w:right w:val="nil"/>
            </w:tcBorders>
            <w:shd w:val="clear" w:color="auto" w:fill="auto"/>
            <w:hideMark/>
          </w:tcPr>
          <w:p w14:paraId="4C7506EC"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Routine revascularisation of non-IRA lesions should be considered before hospital discharge (</w:t>
            </w:r>
            <w:proofErr w:type="spellStart"/>
            <w:r w:rsidRPr="009A6451">
              <w:rPr>
                <w:rFonts w:ascii="Arial" w:hAnsi="Arial" w:cs="Arial"/>
                <w:color w:val="000000"/>
                <w:sz w:val="12"/>
                <w:szCs w:val="12"/>
              </w:rPr>
              <w:t>IIa</w:t>
            </w:r>
            <w:proofErr w:type="spellEnd"/>
            <w:r w:rsidRPr="009A6451">
              <w:rPr>
                <w:rFonts w:ascii="Arial" w:hAnsi="Arial" w:cs="Arial"/>
                <w:color w:val="000000"/>
                <w:sz w:val="12"/>
                <w:szCs w:val="12"/>
              </w:rPr>
              <w:t xml:space="preserve"> </w:t>
            </w:r>
            <w:proofErr w:type="gramStart"/>
            <w:r w:rsidRPr="009A6451">
              <w:rPr>
                <w:rFonts w:ascii="Arial" w:hAnsi="Arial" w:cs="Arial"/>
                <w:color w:val="000000"/>
                <w:sz w:val="12"/>
                <w:szCs w:val="12"/>
              </w:rPr>
              <w:t>A )</w:t>
            </w:r>
            <w:proofErr w:type="gramEnd"/>
          </w:p>
        </w:tc>
        <w:tc>
          <w:tcPr>
            <w:tcW w:w="5560" w:type="dxa"/>
            <w:vMerge w:val="restart"/>
            <w:tcBorders>
              <w:top w:val="nil"/>
              <w:left w:val="nil"/>
              <w:bottom w:val="nil"/>
              <w:right w:val="nil"/>
            </w:tcBorders>
            <w:shd w:val="clear" w:color="auto" w:fill="auto"/>
            <w:hideMark/>
          </w:tcPr>
          <w:p w14:paraId="40975BC2"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In selected hemodynamically stable patients with STEMI and multivessel disease, after successful primary PCI, staged PCI of a significant non-infarct artery stenosis is recommended to reduce the risk of death or MI (1)</w:t>
            </w:r>
          </w:p>
        </w:tc>
        <w:tc>
          <w:tcPr>
            <w:tcW w:w="36" w:type="dxa"/>
            <w:vAlign w:val="center"/>
            <w:hideMark/>
          </w:tcPr>
          <w:p w14:paraId="09A7FB05" w14:textId="77777777" w:rsidR="009A6451" w:rsidRPr="009A6451" w:rsidRDefault="009A6451" w:rsidP="009A6451">
            <w:pPr>
              <w:rPr>
                <w:sz w:val="20"/>
                <w:szCs w:val="20"/>
              </w:rPr>
            </w:pPr>
          </w:p>
        </w:tc>
      </w:tr>
      <w:tr w:rsidR="009A6451" w:rsidRPr="009A6451" w14:paraId="4A2E628A" w14:textId="77777777" w:rsidTr="009A6451">
        <w:trPr>
          <w:trHeight w:val="140"/>
        </w:trPr>
        <w:tc>
          <w:tcPr>
            <w:tcW w:w="4180" w:type="dxa"/>
            <w:vMerge/>
            <w:tcBorders>
              <w:top w:val="nil"/>
              <w:left w:val="nil"/>
              <w:bottom w:val="nil"/>
              <w:right w:val="nil"/>
            </w:tcBorders>
            <w:vAlign w:val="center"/>
            <w:hideMark/>
          </w:tcPr>
          <w:p w14:paraId="4C9904E9"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255E2B60"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28B2B55A"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AE40F5D" w14:textId="77777777" w:rsidR="009A6451" w:rsidRPr="009A6451" w:rsidRDefault="009A6451" w:rsidP="009A6451">
            <w:pPr>
              <w:rPr>
                <w:rFonts w:ascii="Arial" w:hAnsi="Arial" w:cs="Arial"/>
                <w:color w:val="000000"/>
                <w:sz w:val="12"/>
                <w:szCs w:val="12"/>
              </w:rPr>
            </w:pPr>
          </w:p>
        </w:tc>
      </w:tr>
      <w:tr w:rsidR="009A6451" w:rsidRPr="009A6451" w14:paraId="7430AB28" w14:textId="77777777" w:rsidTr="009A6451">
        <w:trPr>
          <w:trHeight w:val="140"/>
        </w:trPr>
        <w:tc>
          <w:tcPr>
            <w:tcW w:w="4180" w:type="dxa"/>
            <w:vMerge/>
            <w:tcBorders>
              <w:top w:val="nil"/>
              <w:left w:val="nil"/>
              <w:bottom w:val="nil"/>
              <w:right w:val="nil"/>
            </w:tcBorders>
            <w:vAlign w:val="center"/>
            <w:hideMark/>
          </w:tcPr>
          <w:p w14:paraId="7087166E"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0974730C"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536E5B37"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4BAE2E3D" w14:textId="77777777" w:rsidR="009A6451" w:rsidRPr="009A6451" w:rsidRDefault="009A6451" w:rsidP="009A6451">
            <w:pPr>
              <w:rPr>
                <w:sz w:val="20"/>
                <w:szCs w:val="20"/>
              </w:rPr>
            </w:pPr>
          </w:p>
        </w:tc>
      </w:tr>
      <w:tr w:rsidR="009A6451" w:rsidRPr="009A6451" w14:paraId="2B8581DD" w14:textId="77777777" w:rsidTr="009A6451">
        <w:trPr>
          <w:trHeight w:val="140"/>
        </w:trPr>
        <w:tc>
          <w:tcPr>
            <w:tcW w:w="4180" w:type="dxa"/>
            <w:vMerge w:val="restart"/>
            <w:tcBorders>
              <w:top w:val="nil"/>
              <w:left w:val="nil"/>
              <w:bottom w:val="nil"/>
              <w:right w:val="nil"/>
            </w:tcBorders>
            <w:shd w:val="clear" w:color="auto" w:fill="auto"/>
            <w:hideMark/>
          </w:tcPr>
          <w:p w14:paraId="0A2304F0"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Consider culprit vessel only revascularisation during the index procedure if cardiogenic shock.</w:t>
            </w:r>
          </w:p>
        </w:tc>
        <w:tc>
          <w:tcPr>
            <w:tcW w:w="4180" w:type="dxa"/>
            <w:vMerge w:val="restart"/>
            <w:tcBorders>
              <w:top w:val="nil"/>
              <w:left w:val="nil"/>
              <w:bottom w:val="nil"/>
              <w:right w:val="nil"/>
            </w:tcBorders>
            <w:shd w:val="clear" w:color="auto" w:fill="auto"/>
            <w:hideMark/>
          </w:tcPr>
          <w:p w14:paraId="7C8111C6"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In cardiogenic shock, routine revascularization of non-IRA lesions is not recommended during primary PCI. (III B)</w:t>
            </w:r>
          </w:p>
        </w:tc>
        <w:tc>
          <w:tcPr>
            <w:tcW w:w="5560" w:type="dxa"/>
            <w:vMerge w:val="restart"/>
            <w:tcBorders>
              <w:top w:val="nil"/>
              <w:left w:val="nil"/>
              <w:bottom w:val="nil"/>
              <w:right w:val="nil"/>
            </w:tcBorders>
            <w:shd w:val="clear" w:color="auto" w:fill="auto"/>
            <w:hideMark/>
          </w:tcPr>
          <w:p w14:paraId="7E93C7AC"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In patients with STEMI complicated by cardiogenic shock, routine PCI of a non-infarct artery at the time of primary PCI should not be performed because of the higher risk of death or renal failure (3)</w:t>
            </w:r>
          </w:p>
        </w:tc>
        <w:tc>
          <w:tcPr>
            <w:tcW w:w="36" w:type="dxa"/>
            <w:vAlign w:val="center"/>
            <w:hideMark/>
          </w:tcPr>
          <w:p w14:paraId="065FFD4F" w14:textId="77777777" w:rsidR="009A6451" w:rsidRPr="009A6451" w:rsidRDefault="009A6451" w:rsidP="009A6451">
            <w:pPr>
              <w:rPr>
                <w:sz w:val="20"/>
                <w:szCs w:val="20"/>
              </w:rPr>
            </w:pPr>
          </w:p>
        </w:tc>
      </w:tr>
      <w:tr w:rsidR="009A6451" w:rsidRPr="009A6451" w14:paraId="4C5DDB54" w14:textId="77777777" w:rsidTr="009A6451">
        <w:trPr>
          <w:trHeight w:val="140"/>
        </w:trPr>
        <w:tc>
          <w:tcPr>
            <w:tcW w:w="4180" w:type="dxa"/>
            <w:vMerge/>
            <w:tcBorders>
              <w:top w:val="nil"/>
              <w:left w:val="nil"/>
              <w:bottom w:val="nil"/>
              <w:right w:val="nil"/>
            </w:tcBorders>
            <w:vAlign w:val="center"/>
            <w:hideMark/>
          </w:tcPr>
          <w:p w14:paraId="3BD3BDAC"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452046C7"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02480B3A"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20E355C3" w14:textId="77777777" w:rsidR="009A6451" w:rsidRPr="009A6451" w:rsidRDefault="009A6451" w:rsidP="009A6451">
            <w:pPr>
              <w:rPr>
                <w:rFonts w:ascii="Arial" w:hAnsi="Arial" w:cs="Arial"/>
                <w:color w:val="000000"/>
                <w:sz w:val="12"/>
                <w:szCs w:val="12"/>
              </w:rPr>
            </w:pPr>
          </w:p>
        </w:tc>
      </w:tr>
      <w:tr w:rsidR="009A6451" w:rsidRPr="009A6451" w14:paraId="669DAAC7" w14:textId="77777777" w:rsidTr="009A6451">
        <w:trPr>
          <w:trHeight w:val="140"/>
        </w:trPr>
        <w:tc>
          <w:tcPr>
            <w:tcW w:w="4180" w:type="dxa"/>
            <w:vMerge/>
            <w:tcBorders>
              <w:top w:val="nil"/>
              <w:left w:val="nil"/>
              <w:bottom w:val="nil"/>
              <w:right w:val="nil"/>
            </w:tcBorders>
            <w:vAlign w:val="center"/>
            <w:hideMark/>
          </w:tcPr>
          <w:p w14:paraId="47B40CEB"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61606052"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495C1888"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6D260513" w14:textId="77777777" w:rsidR="009A6451" w:rsidRPr="009A6451" w:rsidRDefault="009A6451" w:rsidP="009A6451">
            <w:pPr>
              <w:rPr>
                <w:sz w:val="20"/>
                <w:szCs w:val="20"/>
              </w:rPr>
            </w:pPr>
          </w:p>
        </w:tc>
      </w:tr>
      <w:tr w:rsidR="009A6451" w:rsidRPr="009A6451" w14:paraId="2B309E29" w14:textId="77777777" w:rsidTr="009A6451">
        <w:trPr>
          <w:trHeight w:val="140"/>
        </w:trPr>
        <w:tc>
          <w:tcPr>
            <w:tcW w:w="4180" w:type="dxa"/>
            <w:vMerge w:val="restart"/>
            <w:tcBorders>
              <w:top w:val="nil"/>
              <w:left w:val="nil"/>
              <w:bottom w:val="nil"/>
              <w:right w:val="nil"/>
            </w:tcBorders>
            <w:shd w:val="clear" w:color="auto" w:fill="auto"/>
            <w:hideMark/>
          </w:tcPr>
          <w:p w14:paraId="49AD7E51"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If stenting is indicated, offer a drug-eluting stent </w:t>
            </w:r>
          </w:p>
        </w:tc>
        <w:tc>
          <w:tcPr>
            <w:tcW w:w="4180" w:type="dxa"/>
            <w:vMerge w:val="restart"/>
            <w:tcBorders>
              <w:top w:val="nil"/>
              <w:left w:val="nil"/>
              <w:bottom w:val="nil"/>
              <w:right w:val="nil"/>
            </w:tcBorders>
            <w:shd w:val="clear" w:color="auto" w:fill="auto"/>
            <w:noWrap/>
            <w:hideMark/>
          </w:tcPr>
          <w:p w14:paraId="1FD3C417"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New generation DES recommended over BMS for primary PCI (IA)</w:t>
            </w:r>
          </w:p>
        </w:tc>
        <w:tc>
          <w:tcPr>
            <w:tcW w:w="5560" w:type="dxa"/>
            <w:vMerge w:val="restart"/>
            <w:tcBorders>
              <w:top w:val="nil"/>
              <w:left w:val="nil"/>
              <w:bottom w:val="nil"/>
              <w:right w:val="nil"/>
            </w:tcBorders>
            <w:shd w:val="clear" w:color="auto" w:fill="auto"/>
            <w:noWrap/>
            <w:hideMark/>
          </w:tcPr>
          <w:p w14:paraId="1A1677F4"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DES should be used in preference to BMS to prevent restenosis, </w:t>
            </w:r>
            <w:proofErr w:type="gramStart"/>
            <w:r w:rsidRPr="009A6451">
              <w:rPr>
                <w:rFonts w:ascii="Arial" w:hAnsi="Arial" w:cs="Arial"/>
                <w:color w:val="000000"/>
                <w:sz w:val="12"/>
                <w:szCs w:val="12"/>
              </w:rPr>
              <w:t>MI</w:t>
            </w:r>
            <w:proofErr w:type="gramEnd"/>
            <w:r w:rsidRPr="009A6451">
              <w:rPr>
                <w:rFonts w:ascii="Arial" w:hAnsi="Arial" w:cs="Arial"/>
                <w:color w:val="000000"/>
                <w:sz w:val="12"/>
                <w:szCs w:val="12"/>
              </w:rPr>
              <w:t xml:space="preserve"> or acute stent thrombosis (1 A)</w:t>
            </w:r>
          </w:p>
        </w:tc>
        <w:tc>
          <w:tcPr>
            <w:tcW w:w="36" w:type="dxa"/>
            <w:vAlign w:val="center"/>
            <w:hideMark/>
          </w:tcPr>
          <w:p w14:paraId="6B049E0F" w14:textId="77777777" w:rsidR="009A6451" w:rsidRPr="009A6451" w:rsidRDefault="009A6451" w:rsidP="009A6451">
            <w:pPr>
              <w:rPr>
                <w:sz w:val="20"/>
                <w:szCs w:val="20"/>
              </w:rPr>
            </w:pPr>
          </w:p>
        </w:tc>
      </w:tr>
      <w:tr w:rsidR="009A6451" w:rsidRPr="009A6451" w14:paraId="53AF21A2" w14:textId="77777777" w:rsidTr="009A6451">
        <w:trPr>
          <w:trHeight w:val="140"/>
        </w:trPr>
        <w:tc>
          <w:tcPr>
            <w:tcW w:w="4180" w:type="dxa"/>
            <w:vMerge/>
            <w:tcBorders>
              <w:top w:val="nil"/>
              <w:left w:val="nil"/>
              <w:bottom w:val="nil"/>
              <w:right w:val="nil"/>
            </w:tcBorders>
            <w:vAlign w:val="center"/>
            <w:hideMark/>
          </w:tcPr>
          <w:p w14:paraId="0330565A"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706D6ACC"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30A7057B"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28A0359" w14:textId="77777777" w:rsidR="009A6451" w:rsidRPr="009A6451" w:rsidRDefault="009A6451" w:rsidP="009A6451">
            <w:pPr>
              <w:rPr>
                <w:rFonts w:ascii="Arial" w:hAnsi="Arial" w:cs="Arial"/>
                <w:color w:val="000000"/>
                <w:sz w:val="12"/>
                <w:szCs w:val="12"/>
              </w:rPr>
            </w:pPr>
          </w:p>
        </w:tc>
      </w:tr>
      <w:tr w:rsidR="009A6451" w:rsidRPr="009A6451" w14:paraId="6C6574C2" w14:textId="77777777" w:rsidTr="009A6451">
        <w:trPr>
          <w:trHeight w:val="140"/>
        </w:trPr>
        <w:tc>
          <w:tcPr>
            <w:tcW w:w="4180" w:type="dxa"/>
            <w:vMerge/>
            <w:tcBorders>
              <w:top w:val="nil"/>
              <w:left w:val="nil"/>
              <w:bottom w:val="nil"/>
              <w:right w:val="nil"/>
            </w:tcBorders>
            <w:vAlign w:val="center"/>
            <w:hideMark/>
          </w:tcPr>
          <w:p w14:paraId="00AA1574"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1805AF34"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2D1F09E0"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1ACAAD42" w14:textId="77777777" w:rsidR="009A6451" w:rsidRPr="009A6451" w:rsidRDefault="009A6451" w:rsidP="009A6451">
            <w:pPr>
              <w:rPr>
                <w:sz w:val="20"/>
                <w:szCs w:val="20"/>
              </w:rPr>
            </w:pPr>
          </w:p>
        </w:tc>
      </w:tr>
      <w:tr w:rsidR="009A6451" w:rsidRPr="009A6451" w14:paraId="1D506F9F" w14:textId="77777777" w:rsidTr="009A6451">
        <w:trPr>
          <w:trHeight w:val="140"/>
        </w:trPr>
        <w:tc>
          <w:tcPr>
            <w:tcW w:w="4180" w:type="dxa"/>
            <w:vMerge w:val="restart"/>
            <w:tcBorders>
              <w:top w:val="nil"/>
              <w:left w:val="nil"/>
              <w:bottom w:val="nil"/>
              <w:right w:val="nil"/>
            </w:tcBorders>
            <w:shd w:val="clear" w:color="auto" w:fill="auto"/>
            <w:hideMark/>
          </w:tcPr>
          <w:p w14:paraId="0B3D2C61"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Offer fibrinolysis to people with acute STEMI presenting within 12 hours of onset of symptoms if primary PCI cannot be delivered within 120 minutes </w:t>
            </w:r>
          </w:p>
        </w:tc>
        <w:tc>
          <w:tcPr>
            <w:tcW w:w="4180" w:type="dxa"/>
            <w:vMerge w:val="restart"/>
            <w:tcBorders>
              <w:top w:val="nil"/>
              <w:left w:val="nil"/>
              <w:bottom w:val="nil"/>
              <w:right w:val="nil"/>
            </w:tcBorders>
            <w:shd w:val="clear" w:color="auto" w:fill="auto"/>
            <w:noWrap/>
            <w:hideMark/>
          </w:tcPr>
          <w:p w14:paraId="44DC44B4"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If time to PCI &gt;120mins offer fibrinolysis strategy</w:t>
            </w:r>
          </w:p>
        </w:tc>
        <w:tc>
          <w:tcPr>
            <w:tcW w:w="5560" w:type="dxa"/>
            <w:vMerge w:val="restart"/>
            <w:tcBorders>
              <w:top w:val="nil"/>
              <w:left w:val="nil"/>
              <w:bottom w:val="nil"/>
              <w:right w:val="nil"/>
            </w:tcBorders>
            <w:shd w:val="clear" w:color="auto" w:fill="auto"/>
            <w:hideMark/>
          </w:tcPr>
          <w:p w14:paraId="51448176" w14:textId="77777777"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Fibrinolytic therapy is recommended only in cases in which primary PCI is not immediately available and the delay from hospital presentation to PCI is anticipated to be &gt;120minutes</w:t>
            </w:r>
          </w:p>
        </w:tc>
        <w:tc>
          <w:tcPr>
            <w:tcW w:w="36" w:type="dxa"/>
            <w:vAlign w:val="center"/>
            <w:hideMark/>
          </w:tcPr>
          <w:p w14:paraId="4C275E10" w14:textId="77777777" w:rsidR="009A6451" w:rsidRPr="009A6451" w:rsidRDefault="009A6451" w:rsidP="009A6451">
            <w:pPr>
              <w:rPr>
                <w:sz w:val="20"/>
                <w:szCs w:val="20"/>
              </w:rPr>
            </w:pPr>
          </w:p>
        </w:tc>
      </w:tr>
      <w:tr w:rsidR="009A6451" w:rsidRPr="009A6451" w14:paraId="2713772B" w14:textId="77777777" w:rsidTr="009A6451">
        <w:trPr>
          <w:trHeight w:val="140"/>
        </w:trPr>
        <w:tc>
          <w:tcPr>
            <w:tcW w:w="4180" w:type="dxa"/>
            <w:vMerge/>
            <w:tcBorders>
              <w:top w:val="nil"/>
              <w:left w:val="nil"/>
              <w:bottom w:val="nil"/>
              <w:right w:val="nil"/>
            </w:tcBorders>
            <w:vAlign w:val="center"/>
            <w:hideMark/>
          </w:tcPr>
          <w:p w14:paraId="31D6D824"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1A2EAB75"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0B745AD5"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09CD611E" w14:textId="77777777" w:rsidR="009A6451" w:rsidRPr="009A6451" w:rsidRDefault="009A6451" w:rsidP="009A6451">
            <w:pPr>
              <w:rPr>
                <w:rFonts w:ascii="Arial" w:hAnsi="Arial" w:cs="Arial"/>
                <w:color w:val="000000"/>
                <w:sz w:val="12"/>
                <w:szCs w:val="12"/>
              </w:rPr>
            </w:pPr>
          </w:p>
        </w:tc>
      </w:tr>
      <w:tr w:rsidR="009A6451" w:rsidRPr="009A6451" w14:paraId="4CEFBF39" w14:textId="77777777" w:rsidTr="009A6451">
        <w:trPr>
          <w:trHeight w:val="140"/>
        </w:trPr>
        <w:tc>
          <w:tcPr>
            <w:tcW w:w="4180" w:type="dxa"/>
            <w:vMerge/>
            <w:tcBorders>
              <w:top w:val="nil"/>
              <w:left w:val="nil"/>
              <w:bottom w:val="nil"/>
              <w:right w:val="nil"/>
            </w:tcBorders>
            <w:vAlign w:val="center"/>
            <w:hideMark/>
          </w:tcPr>
          <w:p w14:paraId="30CF7A19" w14:textId="77777777" w:rsidR="009A6451" w:rsidRPr="009A6451" w:rsidRDefault="009A6451" w:rsidP="009A6451">
            <w:pPr>
              <w:rPr>
                <w:rFonts w:ascii="Arial" w:hAnsi="Arial" w:cs="Arial"/>
                <w:color w:val="000000"/>
                <w:sz w:val="12"/>
                <w:szCs w:val="12"/>
              </w:rPr>
            </w:pPr>
          </w:p>
        </w:tc>
        <w:tc>
          <w:tcPr>
            <w:tcW w:w="4180" w:type="dxa"/>
            <w:vMerge/>
            <w:tcBorders>
              <w:top w:val="nil"/>
              <w:left w:val="nil"/>
              <w:bottom w:val="nil"/>
              <w:right w:val="nil"/>
            </w:tcBorders>
            <w:vAlign w:val="center"/>
            <w:hideMark/>
          </w:tcPr>
          <w:p w14:paraId="228BE3E1"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nil"/>
              <w:right w:val="nil"/>
            </w:tcBorders>
            <w:vAlign w:val="center"/>
            <w:hideMark/>
          </w:tcPr>
          <w:p w14:paraId="6BB1FD8F" w14:textId="77777777" w:rsidR="009A6451" w:rsidRPr="009A6451" w:rsidRDefault="009A6451" w:rsidP="009A6451">
            <w:pPr>
              <w:rPr>
                <w:rFonts w:ascii="Arial" w:hAnsi="Arial" w:cs="Arial"/>
                <w:color w:val="000000"/>
                <w:sz w:val="12"/>
                <w:szCs w:val="12"/>
              </w:rPr>
            </w:pPr>
          </w:p>
        </w:tc>
        <w:tc>
          <w:tcPr>
            <w:tcW w:w="36" w:type="dxa"/>
            <w:tcBorders>
              <w:top w:val="nil"/>
              <w:left w:val="nil"/>
              <w:bottom w:val="nil"/>
              <w:right w:val="nil"/>
            </w:tcBorders>
            <w:shd w:val="clear" w:color="auto" w:fill="auto"/>
            <w:noWrap/>
            <w:vAlign w:val="bottom"/>
            <w:hideMark/>
          </w:tcPr>
          <w:p w14:paraId="26595A73" w14:textId="77777777" w:rsidR="009A6451" w:rsidRPr="009A6451" w:rsidRDefault="009A6451" w:rsidP="009A6451">
            <w:pPr>
              <w:rPr>
                <w:sz w:val="20"/>
                <w:szCs w:val="20"/>
              </w:rPr>
            </w:pPr>
          </w:p>
        </w:tc>
      </w:tr>
      <w:tr w:rsidR="009A6451" w:rsidRPr="009A6451" w14:paraId="4C9684C2" w14:textId="77777777" w:rsidTr="009A6451">
        <w:trPr>
          <w:trHeight w:val="200"/>
        </w:trPr>
        <w:tc>
          <w:tcPr>
            <w:tcW w:w="4180" w:type="dxa"/>
            <w:vMerge w:val="restart"/>
            <w:tcBorders>
              <w:top w:val="nil"/>
              <w:left w:val="nil"/>
              <w:bottom w:val="single" w:sz="4" w:space="0" w:color="000000"/>
              <w:right w:val="nil"/>
            </w:tcBorders>
            <w:shd w:val="clear" w:color="auto" w:fill="auto"/>
            <w:hideMark/>
          </w:tcPr>
          <w:p w14:paraId="2487D88F" w14:textId="77777777" w:rsidR="009A6451" w:rsidRPr="009A6451" w:rsidRDefault="009A6451" w:rsidP="009A6451">
            <w:pPr>
              <w:rPr>
                <w:rFonts w:ascii="Arial" w:hAnsi="Arial" w:cs="Arial"/>
                <w:color w:val="0E0E0E"/>
                <w:sz w:val="12"/>
                <w:szCs w:val="12"/>
              </w:rPr>
            </w:pPr>
            <w:r w:rsidRPr="009A6451">
              <w:rPr>
                <w:rFonts w:ascii="Arial" w:hAnsi="Arial" w:cs="Arial"/>
                <w:color w:val="0E0E0E"/>
                <w:sz w:val="12"/>
                <w:szCs w:val="12"/>
              </w:rPr>
              <w:t>∙   Bailout angiogram if persistent ST elevation</w:t>
            </w:r>
          </w:p>
        </w:tc>
        <w:tc>
          <w:tcPr>
            <w:tcW w:w="4180" w:type="dxa"/>
            <w:vMerge w:val="restart"/>
            <w:tcBorders>
              <w:top w:val="nil"/>
              <w:left w:val="nil"/>
              <w:bottom w:val="single" w:sz="4" w:space="0" w:color="000000"/>
              <w:right w:val="nil"/>
            </w:tcBorders>
            <w:shd w:val="clear" w:color="auto" w:fill="auto"/>
            <w:hideMark/>
          </w:tcPr>
          <w:p w14:paraId="0A8B9A2E" w14:textId="34D20629" w:rsidR="009A6451" w:rsidRPr="009A6451" w:rsidRDefault="009A6451" w:rsidP="009A6451">
            <w:pPr>
              <w:rPr>
                <w:rFonts w:ascii="Arial" w:hAnsi="Arial" w:cs="Arial"/>
                <w:color w:val="000000"/>
                <w:sz w:val="12"/>
                <w:szCs w:val="12"/>
              </w:rPr>
            </w:pPr>
            <w:r w:rsidRPr="009A6451">
              <w:rPr>
                <w:rFonts w:ascii="Arial" w:hAnsi="Arial" w:cs="Arial"/>
                <w:color w:val="000000"/>
                <w:sz w:val="12"/>
                <w:szCs w:val="12"/>
              </w:rPr>
              <w:t xml:space="preserve">∙   Rescue PCI should be </w:t>
            </w:r>
            <w:r w:rsidR="00F36FB3" w:rsidRPr="009A6451">
              <w:rPr>
                <w:rFonts w:ascii="Arial" w:hAnsi="Arial" w:cs="Arial"/>
                <w:color w:val="000000"/>
                <w:sz w:val="12"/>
                <w:szCs w:val="12"/>
              </w:rPr>
              <w:t>performed</w:t>
            </w:r>
            <w:r w:rsidRPr="009A6451">
              <w:rPr>
                <w:rFonts w:ascii="Arial" w:hAnsi="Arial" w:cs="Arial"/>
                <w:color w:val="000000"/>
                <w:sz w:val="12"/>
                <w:szCs w:val="12"/>
              </w:rPr>
              <w:t xml:space="preserve"> without delay in the case of </w:t>
            </w:r>
            <w:r w:rsidR="00F36FB3" w:rsidRPr="009A6451">
              <w:rPr>
                <w:rFonts w:ascii="Arial" w:hAnsi="Arial" w:cs="Arial"/>
                <w:color w:val="000000"/>
                <w:sz w:val="12"/>
                <w:szCs w:val="12"/>
              </w:rPr>
              <w:t>unsuccessful</w:t>
            </w:r>
            <w:r w:rsidRPr="009A6451">
              <w:rPr>
                <w:rFonts w:ascii="Arial" w:hAnsi="Arial" w:cs="Arial"/>
                <w:color w:val="000000"/>
                <w:sz w:val="12"/>
                <w:szCs w:val="12"/>
              </w:rPr>
              <w:t xml:space="preserve"> fibrinolysis or within 2-24hours after bolus </w:t>
            </w:r>
            <w:r w:rsidR="00F36FB3" w:rsidRPr="009A6451">
              <w:rPr>
                <w:rFonts w:ascii="Arial" w:hAnsi="Arial" w:cs="Arial"/>
                <w:color w:val="000000"/>
                <w:sz w:val="12"/>
                <w:szCs w:val="12"/>
              </w:rPr>
              <w:t>administration</w:t>
            </w:r>
          </w:p>
        </w:tc>
        <w:tc>
          <w:tcPr>
            <w:tcW w:w="5560" w:type="dxa"/>
            <w:vMerge w:val="restart"/>
            <w:tcBorders>
              <w:top w:val="nil"/>
              <w:left w:val="nil"/>
              <w:bottom w:val="single" w:sz="4" w:space="0" w:color="000000"/>
              <w:right w:val="nil"/>
            </w:tcBorders>
            <w:shd w:val="clear" w:color="auto" w:fill="auto"/>
            <w:hideMark/>
          </w:tcPr>
          <w:p w14:paraId="28A67AFA" w14:textId="77777777" w:rsidR="009A6451" w:rsidRPr="009A6451" w:rsidRDefault="00000000" w:rsidP="009A6451">
            <w:pPr>
              <w:rPr>
                <w:rFonts w:ascii="Arial" w:hAnsi="Arial" w:cs="Arial"/>
                <w:color w:val="0E0E0E"/>
                <w:sz w:val="12"/>
                <w:szCs w:val="12"/>
              </w:rPr>
            </w:pPr>
            <w:hyperlink r:id="rId16" w:anchor="bib192%20bib193%20bib194%20bib195" w:history="1">
              <w:r w:rsidR="009A6451" w:rsidRPr="009A6451">
                <w:rPr>
                  <w:rFonts w:ascii="Arial" w:hAnsi="Arial" w:cs="Arial"/>
                  <w:color w:val="0E0E0E"/>
                  <w:sz w:val="12"/>
                  <w:szCs w:val="12"/>
                </w:rPr>
                <w:t>∙   In patients with STEMI and evidence of failed reperfusion after fibrinolytic therapy, rescue PCI of the infarct artery should be performed to improve clinical outcomes. (1 C)</w:t>
              </w:r>
            </w:hyperlink>
          </w:p>
        </w:tc>
        <w:tc>
          <w:tcPr>
            <w:tcW w:w="36" w:type="dxa"/>
            <w:vAlign w:val="center"/>
            <w:hideMark/>
          </w:tcPr>
          <w:p w14:paraId="15C89F5E" w14:textId="77777777" w:rsidR="009A6451" w:rsidRPr="009A6451" w:rsidRDefault="009A6451" w:rsidP="009A6451">
            <w:pPr>
              <w:rPr>
                <w:sz w:val="20"/>
                <w:szCs w:val="20"/>
              </w:rPr>
            </w:pPr>
          </w:p>
        </w:tc>
      </w:tr>
      <w:tr w:rsidR="009A6451" w:rsidRPr="009A6451" w14:paraId="56D313D3" w14:textId="77777777" w:rsidTr="009A6451">
        <w:trPr>
          <w:trHeight w:val="200"/>
        </w:trPr>
        <w:tc>
          <w:tcPr>
            <w:tcW w:w="4180" w:type="dxa"/>
            <w:vMerge/>
            <w:tcBorders>
              <w:top w:val="nil"/>
              <w:left w:val="nil"/>
              <w:bottom w:val="single" w:sz="4" w:space="0" w:color="000000"/>
              <w:right w:val="nil"/>
            </w:tcBorders>
            <w:vAlign w:val="center"/>
            <w:hideMark/>
          </w:tcPr>
          <w:p w14:paraId="456FD560" w14:textId="77777777" w:rsidR="009A6451" w:rsidRPr="009A6451" w:rsidRDefault="009A6451" w:rsidP="009A6451">
            <w:pPr>
              <w:rPr>
                <w:rFonts w:ascii="Arial" w:hAnsi="Arial" w:cs="Arial"/>
                <w:color w:val="0E0E0E"/>
                <w:sz w:val="12"/>
                <w:szCs w:val="12"/>
              </w:rPr>
            </w:pPr>
          </w:p>
        </w:tc>
        <w:tc>
          <w:tcPr>
            <w:tcW w:w="4180" w:type="dxa"/>
            <w:vMerge/>
            <w:tcBorders>
              <w:top w:val="nil"/>
              <w:left w:val="nil"/>
              <w:bottom w:val="single" w:sz="4" w:space="0" w:color="000000"/>
              <w:right w:val="nil"/>
            </w:tcBorders>
            <w:vAlign w:val="center"/>
            <w:hideMark/>
          </w:tcPr>
          <w:p w14:paraId="6E59A7FA" w14:textId="77777777" w:rsidR="009A6451" w:rsidRPr="009A6451" w:rsidRDefault="009A6451" w:rsidP="009A6451">
            <w:pPr>
              <w:rPr>
                <w:rFonts w:ascii="Arial" w:hAnsi="Arial" w:cs="Arial"/>
                <w:color w:val="000000"/>
                <w:sz w:val="12"/>
                <w:szCs w:val="12"/>
              </w:rPr>
            </w:pPr>
          </w:p>
        </w:tc>
        <w:tc>
          <w:tcPr>
            <w:tcW w:w="5560" w:type="dxa"/>
            <w:vMerge/>
            <w:tcBorders>
              <w:top w:val="nil"/>
              <w:left w:val="nil"/>
              <w:bottom w:val="single" w:sz="4" w:space="0" w:color="000000"/>
              <w:right w:val="nil"/>
            </w:tcBorders>
            <w:vAlign w:val="center"/>
            <w:hideMark/>
          </w:tcPr>
          <w:p w14:paraId="008E1570" w14:textId="77777777" w:rsidR="009A6451" w:rsidRPr="009A6451" w:rsidRDefault="009A6451" w:rsidP="009A6451">
            <w:pPr>
              <w:rPr>
                <w:rFonts w:ascii="Arial" w:hAnsi="Arial" w:cs="Arial"/>
                <w:color w:val="0E0E0E"/>
                <w:sz w:val="12"/>
                <w:szCs w:val="12"/>
              </w:rPr>
            </w:pPr>
          </w:p>
        </w:tc>
        <w:tc>
          <w:tcPr>
            <w:tcW w:w="36" w:type="dxa"/>
            <w:tcBorders>
              <w:top w:val="nil"/>
              <w:left w:val="nil"/>
              <w:bottom w:val="nil"/>
              <w:right w:val="nil"/>
            </w:tcBorders>
            <w:shd w:val="clear" w:color="auto" w:fill="auto"/>
            <w:noWrap/>
            <w:vAlign w:val="bottom"/>
            <w:hideMark/>
          </w:tcPr>
          <w:p w14:paraId="65D927A7" w14:textId="77777777" w:rsidR="009A6451" w:rsidRPr="009A6451" w:rsidRDefault="009A6451" w:rsidP="009A6451">
            <w:pPr>
              <w:rPr>
                <w:rFonts w:ascii="Arial" w:hAnsi="Arial" w:cs="Arial"/>
                <w:color w:val="0E0E0E"/>
                <w:sz w:val="12"/>
                <w:szCs w:val="12"/>
              </w:rPr>
            </w:pPr>
          </w:p>
        </w:tc>
      </w:tr>
    </w:tbl>
    <w:p w14:paraId="7FAB8A5A" w14:textId="77777777" w:rsidR="00E901D8" w:rsidRDefault="00E901D8" w:rsidP="001D687D">
      <w:pPr>
        <w:widowControl w:val="0"/>
        <w:autoSpaceDE w:val="0"/>
        <w:autoSpaceDN w:val="0"/>
        <w:adjustRightInd w:val="0"/>
        <w:rPr>
          <w:b/>
          <w:bCs/>
        </w:rPr>
      </w:pPr>
    </w:p>
    <w:p w14:paraId="7C80F976" w14:textId="77777777" w:rsidR="00D05F5A" w:rsidRDefault="00D05F5A" w:rsidP="009B0DEF">
      <w:pPr>
        <w:widowControl w:val="0"/>
        <w:autoSpaceDE w:val="0"/>
        <w:autoSpaceDN w:val="0"/>
        <w:adjustRightInd w:val="0"/>
        <w:rPr>
          <w:b/>
          <w:bCs/>
        </w:rPr>
      </w:pPr>
    </w:p>
    <w:p w14:paraId="69AC570F" w14:textId="7F1DDD77" w:rsidR="009A6451" w:rsidRDefault="009A6451" w:rsidP="009B0DEF">
      <w:pPr>
        <w:widowControl w:val="0"/>
        <w:autoSpaceDE w:val="0"/>
        <w:autoSpaceDN w:val="0"/>
        <w:adjustRightInd w:val="0"/>
        <w:rPr>
          <w:b/>
          <w:bCs/>
        </w:rPr>
      </w:pPr>
    </w:p>
    <w:p w14:paraId="3D557615" w14:textId="77777777" w:rsidR="009A6451" w:rsidRDefault="009A6451" w:rsidP="009A6451">
      <w:pPr>
        <w:widowControl w:val="0"/>
        <w:autoSpaceDE w:val="0"/>
        <w:autoSpaceDN w:val="0"/>
        <w:adjustRightInd w:val="0"/>
        <w:rPr>
          <w:b/>
          <w:bCs/>
        </w:rPr>
      </w:pPr>
    </w:p>
    <w:p w14:paraId="5EFF088C" w14:textId="7D7FD4FF" w:rsidR="009A6451" w:rsidRDefault="009A6451" w:rsidP="009A6451">
      <w:pPr>
        <w:widowControl w:val="0"/>
        <w:autoSpaceDE w:val="0"/>
        <w:autoSpaceDN w:val="0"/>
        <w:adjustRightInd w:val="0"/>
        <w:rPr>
          <w:b/>
          <w:bCs/>
        </w:rPr>
      </w:pPr>
      <w:r>
        <w:rPr>
          <w:b/>
          <w:bCs/>
        </w:rPr>
        <w:t>Table 3 – NSTEMI guidelines</w:t>
      </w:r>
    </w:p>
    <w:p w14:paraId="6BD3E047" w14:textId="3A4FE25A" w:rsidR="009A6451" w:rsidRDefault="009A6451" w:rsidP="009B0DEF">
      <w:pPr>
        <w:widowControl w:val="0"/>
        <w:autoSpaceDE w:val="0"/>
        <w:autoSpaceDN w:val="0"/>
        <w:adjustRightInd w:val="0"/>
        <w:rPr>
          <w:b/>
          <w:bCs/>
        </w:rPr>
      </w:pPr>
    </w:p>
    <w:tbl>
      <w:tblPr>
        <w:tblW w:w="14640" w:type="dxa"/>
        <w:tblLook w:val="04A0" w:firstRow="1" w:lastRow="0" w:firstColumn="1" w:lastColumn="0" w:noHBand="0" w:noVBand="1"/>
      </w:tblPr>
      <w:tblGrid>
        <w:gridCol w:w="4880"/>
        <w:gridCol w:w="4880"/>
        <w:gridCol w:w="4880"/>
      </w:tblGrid>
      <w:tr w:rsidR="009A6451" w14:paraId="055E46FE" w14:textId="77777777" w:rsidTr="009A6451">
        <w:trPr>
          <w:trHeight w:val="740"/>
        </w:trPr>
        <w:tc>
          <w:tcPr>
            <w:tcW w:w="4880" w:type="dxa"/>
            <w:tcBorders>
              <w:top w:val="single" w:sz="4" w:space="0" w:color="auto"/>
              <w:left w:val="nil"/>
              <w:bottom w:val="double" w:sz="6" w:space="0" w:color="auto"/>
              <w:right w:val="nil"/>
            </w:tcBorders>
            <w:shd w:val="clear" w:color="auto" w:fill="auto"/>
            <w:noWrap/>
            <w:vAlign w:val="center"/>
            <w:hideMark/>
          </w:tcPr>
          <w:p w14:paraId="7BB9BB60"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NICE (2020)</w:t>
            </w:r>
          </w:p>
        </w:tc>
        <w:tc>
          <w:tcPr>
            <w:tcW w:w="4880" w:type="dxa"/>
            <w:tcBorders>
              <w:top w:val="single" w:sz="4" w:space="0" w:color="auto"/>
              <w:left w:val="nil"/>
              <w:bottom w:val="double" w:sz="6" w:space="0" w:color="auto"/>
              <w:right w:val="nil"/>
            </w:tcBorders>
            <w:shd w:val="clear" w:color="auto" w:fill="auto"/>
            <w:noWrap/>
            <w:vAlign w:val="center"/>
            <w:hideMark/>
          </w:tcPr>
          <w:p w14:paraId="1F564D82"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ESC (2020)</w:t>
            </w:r>
          </w:p>
        </w:tc>
        <w:tc>
          <w:tcPr>
            <w:tcW w:w="4880" w:type="dxa"/>
            <w:tcBorders>
              <w:top w:val="single" w:sz="4" w:space="0" w:color="auto"/>
              <w:left w:val="nil"/>
              <w:bottom w:val="double" w:sz="6" w:space="0" w:color="auto"/>
              <w:right w:val="nil"/>
            </w:tcBorders>
            <w:shd w:val="clear" w:color="auto" w:fill="auto"/>
            <w:noWrap/>
            <w:vAlign w:val="center"/>
            <w:hideMark/>
          </w:tcPr>
          <w:p w14:paraId="4CE842FA" w14:textId="77777777" w:rsidR="009A6451" w:rsidRDefault="009A6451">
            <w:pPr>
              <w:jc w:val="center"/>
              <w:rPr>
                <w:rFonts w:ascii="Arial" w:hAnsi="Arial" w:cs="Arial"/>
                <w:b/>
                <w:bCs/>
                <w:color w:val="000000"/>
                <w:sz w:val="12"/>
                <w:szCs w:val="12"/>
              </w:rPr>
            </w:pPr>
            <w:r>
              <w:rPr>
                <w:rFonts w:ascii="Arial" w:hAnsi="Arial" w:cs="Arial"/>
                <w:b/>
                <w:bCs/>
                <w:color w:val="000000"/>
                <w:sz w:val="12"/>
                <w:szCs w:val="12"/>
              </w:rPr>
              <w:t>ACC / AHA / SCAI (2021)</w:t>
            </w:r>
          </w:p>
        </w:tc>
      </w:tr>
      <w:tr w:rsidR="009A6451" w14:paraId="2F300897" w14:textId="77777777" w:rsidTr="009A6451">
        <w:trPr>
          <w:trHeight w:val="320"/>
        </w:trPr>
        <w:tc>
          <w:tcPr>
            <w:tcW w:w="4880" w:type="dxa"/>
            <w:tcBorders>
              <w:top w:val="nil"/>
              <w:left w:val="nil"/>
              <w:bottom w:val="nil"/>
              <w:right w:val="nil"/>
            </w:tcBorders>
            <w:shd w:val="clear" w:color="auto" w:fill="auto"/>
            <w:noWrap/>
            <w:vAlign w:val="center"/>
            <w:hideMark/>
          </w:tcPr>
          <w:p w14:paraId="0CD62D68" w14:textId="77777777" w:rsidR="009A6451" w:rsidRDefault="009A6451">
            <w:pPr>
              <w:rPr>
                <w:rFonts w:ascii="Arial" w:hAnsi="Arial" w:cs="Arial"/>
                <w:b/>
                <w:bCs/>
                <w:color w:val="000000"/>
                <w:sz w:val="12"/>
                <w:szCs w:val="12"/>
              </w:rPr>
            </w:pPr>
            <w:r>
              <w:rPr>
                <w:rFonts w:ascii="Arial" w:hAnsi="Arial" w:cs="Arial"/>
                <w:b/>
                <w:bCs/>
                <w:color w:val="000000"/>
                <w:sz w:val="12"/>
                <w:szCs w:val="12"/>
              </w:rPr>
              <w:t>Risk stratification</w:t>
            </w:r>
          </w:p>
        </w:tc>
        <w:tc>
          <w:tcPr>
            <w:tcW w:w="4880" w:type="dxa"/>
            <w:tcBorders>
              <w:top w:val="nil"/>
              <w:left w:val="nil"/>
              <w:bottom w:val="nil"/>
              <w:right w:val="nil"/>
            </w:tcBorders>
            <w:shd w:val="clear" w:color="auto" w:fill="auto"/>
            <w:noWrap/>
            <w:vAlign w:val="center"/>
            <w:hideMark/>
          </w:tcPr>
          <w:p w14:paraId="0F98ABED" w14:textId="77777777" w:rsidR="009A6451" w:rsidRDefault="009A6451">
            <w:pPr>
              <w:rPr>
                <w:rFonts w:ascii="Arial" w:hAnsi="Arial" w:cs="Arial"/>
                <w:b/>
                <w:bCs/>
                <w:color w:val="000000"/>
                <w:sz w:val="12"/>
                <w:szCs w:val="12"/>
              </w:rPr>
            </w:pPr>
          </w:p>
        </w:tc>
        <w:tc>
          <w:tcPr>
            <w:tcW w:w="4880" w:type="dxa"/>
            <w:tcBorders>
              <w:top w:val="nil"/>
              <w:left w:val="nil"/>
              <w:bottom w:val="nil"/>
              <w:right w:val="nil"/>
            </w:tcBorders>
            <w:shd w:val="clear" w:color="auto" w:fill="auto"/>
            <w:noWrap/>
            <w:vAlign w:val="center"/>
            <w:hideMark/>
          </w:tcPr>
          <w:p w14:paraId="6F085EF6" w14:textId="77777777" w:rsidR="009A6451" w:rsidRDefault="009A6451">
            <w:pPr>
              <w:jc w:val="center"/>
              <w:rPr>
                <w:sz w:val="20"/>
                <w:szCs w:val="20"/>
              </w:rPr>
            </w:pPr>
          </w:p>
        </w:tc>
      </w:tr>
      <w:tr w:rsidR="009A6451" w14:paraId="25E7F506" w14:textId="77777777" w:rsidTr="009A6451">
        <w:trPr>
          <w:trHeight w:val="560"/>
        </w:trPr>
        <w:tc>
          <w:tcPr>
            <w:tcW w:w="4880" w:type="dxa"/>
            <w:tcBorders>
              <w:top w:val="nil"/>
              <w:left w:val="nil"/>
              <w:bottom w:val="nil"/>
              <w:right w:val="nil"/>
            </w:tcBorders>
            <w:shd w:val="clear" w:color="auto" w:fill="auto"/>
            <w:hideMark/>
          </w:tcPr>
          <w:p w14:paraId="60C66132" w14:textId="77777777" w:rsidR="009A6451" w:rsidRDefault="009A6451">
            <w:pPr>
              <w:rPr>
                <w:rFonts w:ascii="Arial" w:hAnsi="Arial" w:cs="Arial"/>
                <w:color w:val="0E0E0E"/>
                <w:sz w:val="12"/>
                <w:szCs w:val="12"/>
              </w:rPr>
            </w:pPr>
            <w:r>
              <w:rPr>
                <w:rFonts w:ascii="Arial" w:hAnsi="Arial" w:cs="Arial"/>
                <w:color w:val="0E0E0E"/>
                <w:sz w:val="12"/>
                <w:szCs w:val="12"/>
              </w:rPr>
              <w:t xml:space="preserve"> ∙   Assess individual risk of future adverse cardiovascular events using an established risk scoring system that predicts 6</w:t>
            </w:r>
            <w:r>
              <w:rPr>
                <w:rFonts w:ascii="Arial" w:hAnsi="Arial" w:cs="Arial"/>
                <w:color w:val="0E0E0E"/>
                <w:sz w:val="12"/>
                <w:szCs w:val="12"/>
              </w:rPr>
              <w:noBreakHyphen/>
              <w:t>month mortality (for example, GRACE)</w:t>
            </w:r>
          </w:p>
        </w:tc>
        <w:tc>
          <w:tcPr>
            <w:tcW w:w="4880" w:type="dxa"/>
            <w:tcBorders>
              <w:top w:val="nil"/>
              <w:left w:val="nil"/>
              <w:bottom w:val="nil"/>
              <w:right w:val="nil"/>
            </w:tcBorders>
            <w:shd w:val="clear" w:color="auto" w:fill="auto"/>
            <w:hideMark/>
          </w:tcPr>
          <w:p w14:paraId="358B9AEC" w14:textId="77777777" w:rsidR="009A6451" w:rsidRDefault="009A6451">
            <w:pPr>
              <w:rPr>
                <w:rFonts w:ascii="Arial" w:hAnsi="Arial" w:cs="Arial"/>
                <w:color w:val="000000"/>
                <w:sz w:val="12"/>
                <w:szCs w:val="12"/>
              </w:rPr>
            </w:pPr>
            <w:r>
              <w:rPr>
                <w:rFonts w:ascii="Arial" w:hAnsi="Arial" w:cs="Arial"/>
                <w:color w:val="000000"/>
                <w:sz w:val="12"/>
                <w:szCs w:val="12"/>
              </w:rPr>
              <w:t>∙   GRACE risk score models should be considered for estimating prognosis (</w:t>
            </w:r>
            <w:proofErr w:type="spellStart"/>
            <w:r>
              <w:rPr>
                <w:rFonts w:ascii="Arial" w:hAnsi="Arial" w:cs="Arial"/>
                <w:color w:val="000000"/>
                <w:sz w:val="12"/>
                <w:szCs w:val="12"/>
              </w:rPr>
              <w:t>Iia</w:t>
            </w:r>
            <w:proofErr w:type="spellEnd"/>
            <w:r>
              <w:rPr>
                <w:rFonts w:ascii="Arial" w:hAnsi="Arial" w:cs="Arial"/>
                <w:color w:val="000000"/>
                <w:sz w:val="12"/>
                <w:szCs w:val="12"/>
              </w:rPr>
              <w:t xml:space="preserve"> B)</w:t>
            </w:r>
          </w:p>
        </w:tc>
        <w:tc>
          <w:tcPr>
            <w:tcW w:w="4880" w:type="dxa"/>
            <w:tcBorders>
              <w:top w:val="nil"/>
              <w:left w:val="nil"/>
              <w:bottom w:val="nil"/>
              <w:right w:val="nil"/>
            </w:tcBorders>
            <w:shd w:val="clear" w:color="auto" w:fill="auto"/>
            <w:hideMark/>
          </w:tcPr>
          <w:p w14:paraId="47C32ED1" w14:textId="77777777" w:rsidR="009A6451" w:rsidRDefault="009A6451">
            <w:pPr>
              <w:rPr>
                <w:rFonts w:ascii="Arial" w:hAnsi="Arial" w:cs="Arial"/>
                <w:color w:val="000000"/>
                <w:sz w:val="12"/>
                <w:szCs w:val="12"/>
              </w:rPr>
            </w:pPr>
            <w:r>
              <w:rPr>
                <w:rFonts w:ascii="Arial" w:hAnsi="Arial" w:cs="Arial"/>
                <w:color w:val="000000"/>
                <w:sz w:val="12"/>
                <w:szCs w:val="12"/>
              </w:rPr>
              <w:t>∙   GRACE score &gt; 140 viewed as high risk and recommend an early invasive strategy within 24hours (2a B)</w:t>
            </w:r>
          </w:p>
        </w:tc>
      </w:tr>
      <w:tr w:rsidR="009A6451" w14:paraId="0071B18D" w14:textId="77777777" w:rsidTr="009A6451">
        <w:trPr>
          <w:trHeight w:val="560"/>
        </w:trPr>
        <w:tc>
          <w:tcPr>
            <w:tcW w:w="4880" w:type="dxa"/>
            <w:tcBorders>
              <w:top w:val="nil"/>
              <w:left w:val="nil"/>
              <w:bottom w:val="nil"/>
              <w:right w:val="nil"/>
            </w:tcBorders>
            <w:shd w:val="clear" w:color="auto" w:fill="auto"/>
            <w:hideMark/>
          </w:tcPr>
          <w:p w14:paraId="4EAFACA3" w14:textId="77777777" w:rsidR="009A6451" w:rsidRDefault="009A6451">
            <w:pPr>
              <w:rPr>
                <w:rFonts w:ascii="Arial" w:hAnsi="Arial" w:cs="Arial"/>
                <w:color w:val="0E0E0E"/>
                <w:sz w:val="12"/>
                <w:szCs w:val="12"/>
              </w:rPr>
            </w:pPr>
            <w:r>
              <w:rPr>
                <w:rFonts w:ascii="Arial" w:hAnsi="Arial" w:cs="Arial"/>
                <w:color w:val="0E0E0E"/>
                <w:sz w:val="12"/>
                <w:szCs w:val="12"/>
              </w:rPr>
              <w:t>∙   Consider conservative management without early coronary angiography for people with unstable angina or NSTEMI who have a low risk of adverse cardiovascular events (predicted 6</w:t>
            </w:r>
            <w:r>
              <w:rPr>
                <w:rFonts w:ascii="Arial" w:hAnsi="Arial" w:cs="Arial"/>
                <w:color w:val="0E0E0E"/>
                <w:sz w:val="12"/>
                <w:szCs w:val="12"/>
              </w:rPr>
              <w:noBreakHyphen/>
              <w:t>month mortality 3.0% or less).</w:t>
            </w:r>
          </w:p>
        </w:tc>
        <w:tc>
          <w:tcPr>
            <w:tcW w:w="4880" w:type="dxa"/>
            <w:tcBorders>
              <w:top w:val="nil"/>
              <w:left w:val="nil"/>
              <w:bottom w:val="nil"/>
              <w:right w:val="nil"/>
            </w:tcBorders>
            <w:shd w:val="clear" w:color="auto" w:fill="auto"/>
            <w:hideMark/>
          </w:tcPr>
          <w:p w14:paraId="447ED1AA" w14:textId="77777777" w:rsidR="009A6451" w:rsidRDefault="009A6451">
            <w:pPr>
              <w:rPr>
                <w:rFonts w:ascii="Arial" w:hAnsi="Arial" w:cs="Arial"/>
                <w:color w:val="000000"/>
                <w:sz w:val="12"/>
                <w:szCs w:val="12"/>
              </w:rPr>
            </w:pPr>
            <w:r>
              <w:rPr>
                <w:rFonts w:ascii="Arial" w:hAnsi="Arial" w:cs="Arial"/>
                <w:color w:val="000000"/>
                <w:sz w:val="12"/>
                <w:szCs w:val="12"/>
              </w:rPr>
              <w:t xml:space="preserve">∙   Selective invasive after appropriate ischaemia testing or detection of obstructive CAD by CTCA is recommended in low risk </w:t>
            </w:r>
            <w:proofErr w:type="gramStart"/>
            <w:r>
              <w:rPr>
                <w:rFonts w:ascii="Arial" w:hAnsi="Arial" w:cs="Arial"/>
                <w:color w:val="000000"/>
                <w:sz w:val="12"/>
                <w:szCs w:val="12"/>
              </w:rPr>
              <w:t>patients  (</w:t>
            </w:r>
            <w:proofErr w:type="gramEnd"/>
            <w:r>
              <w:rPr>
                <w:rFonts w:ascii="Arial" w:hAnsi="Arial" w:cs="Arial"/>
                <w:color w:val="000000"/>
                <w:sz w:val="12"/>
                <w:szCs w:val="12"/>
              </w:rPr>
              <w:t>I A)</w:t>
            </w:r>
          </w:p>
        </w:tc>
        <w:tc>
          <w:tcPr>
            <w:tcW w:w="4880" w:type="dxa"/>
            <w:tcBorders>
              <w:top w:val="nil"/>
              <w:left w:val="nil"/>
              <w:bottom w:val="nil"/>
              <w:right w:val="nil"/>
            </w:tcBorders>
            <w:shd w:val="clear" w:color="auto" w:fill="auto"/>
            <w:hideMark/>
          </w:tcPr>
          <w:p w14:paraId="503E488A" w14:textId="35C504A0" w:rsidR="009A6451" w:rsidRDefault="009A6451">
            <w:pPr>
              <w:rPr>
                <w:rFonts w:ascii="Arial" w:hAnsi="Arial" w:cs="Arial"/>
                <w:color w:val="000000"/>
                <w:sz w:val="12"/>
                <w:szCs w:val="12"/>
              </w:rPr>
            </w:pPr>
            <w:r>
              <w:rPr>
                <w:rFonts w:ascii="Arial" w:hAnsi="Arial" w:cs="Arial"/>
                <w:color w:val="000000"/>
                <w:sz w:val="12"/>
                <w:szCs w:val="12"/>
              </w:rPr>
              <w:t xml:space="preserve">∙   In patients with NSTE-ACS who are </w:t>
            </w:r>
            <w:r w:rsidR="00F36FB3">
              <w:rPr>
                <w:rFonts w:ascii="Arial" w:hAnsi="Arial" w:cs="Arial"/>
                <w:color w:val="000000"/>
                <w:sz w:val="12"/>
                <w:szCs w:val="12"/>
              </w:rPr>
              <w:t>initially</w:t>
            </w:r>
            <w:r>
              <w:rPr>
                <w:rFonts w:ascii="Arial" w:hAnsi="Arial" w:cs="Arial"/>
                <w:color w:val="000000"/>
                <w:sz w:val="12"/>
                <w:szCs w:val="12"/>
              </w:rPr>
              <w:t xml:space="preserve"> stabilised and are at intermediate or low risk of clinical events, an invasive </w:t>
            </w:r>
            <w:r w:rsidR="00F36FB3">
              <w:rPr>
                <w:rFonts w:ascii="Arial" w:hAnsi="Arial" w:cs="Arial"/>
                <w:color w:val="000000"/>
                <w:sz w:val="12"/>
                <w:szCs w:val="12"/>
              </w:rPr>
              <w:t>strategy with</w:t>
            </w:r>
            <w:r>
              <w:rPr>
                <w:rFonts w:ascii="Arial" w:hAnsi="Arial" w:cs="Arial"/>
                <w:color w:val="000000"/>
                <w:sz w:val="12"/>
                <w:szCs w:val="12"/>
              </w:rPr>
              <w:t xml:space="preserve"> intent to perform revascularisation is reasonable before discharge to improve outcomes (2a B)</w:t>
            </w:r>
          </w:p>
        </w:tc>
      </w:tr>
      <w:tr w:rsidR="009A6451" w14:paraId="1B7D0EEC" w14:textId="77777777" w:rsidTr="009A6451">
        <w:trPr>
          <w:trHeight w:val="560"/>
        </w:trPr>
        <w:tc>
          <w:tcPr>
            <w:tcW w:w="4880" w:type="dxa"/>
            <w:tcBorders>
              <w:top w:val="nil"/>
              <w:left w:val="nil"/>
              <w:bottom w:val="nil"/>
              <w:right w:val="nil"/>
            </w:tcBorders>
            <w:shd w:val="clear" w:color="auto" w:fill="auto"/>
            <w:hideMark/>
          </w:tcPr>
          <w:p w14:paraId="24B5126A" w14:textId="77777777" w:rsidR="009A6451" w:rsidRDefault="009A6451">
            <w:pPr>
              <w:rPr>
                <w:rFonts w:ascii="Arial" w:hAnsi="Arial" w:cs="Arial"/>
                <w:color w:val="0E0E0E"/>
                <w:sz w:val="12"/>
                <w:szCs w:val="12"/>
              </w:rPr>
            </w:pPr>
            <w:r>
              <w:rPr>
                <w:rFonts w:ascii="Arial" w:hAnsi="Arial" w:cs="Arial"/>
                <w:color w:val="0E0E0E"/>
                <w:sz w:val="12"/>
                <w:szCs w:val="12"/>
              </w:rPr>
              <w:t>∙   Consider coronary angiography (with follow</w:t>
            </w:r>
            <w:r>
              <w:rPr>
                <w:rFonts w:ascii="Arial" w:hAnsi="Arial" w:cs="Arial"/>
                <w:color w:val="0E0E0E"/>
                <w:sz w:val="12"/>
                <w:szCs w:val="12"/>
              </w:rPr>
              <w:noBreakHyphen/>
              <w:t>on PCI if indicated) within 72 hours of first admission for people with unstable angina or NSTEMI who have an intermediate or higher risk of adverse cardiovascular events (predicted 6</w:t>
            </w:r>
            <w:r>
              <w:rPr>
                <w:rFonts w:ascii="Arial" w:hAnsi="Arial" w:cs="Arial"/>
                <w:color w:val="0E0E0E"/>
                <w:sz w:val="12"/>
                <w:szCs w:val="12"/>
              </w:rPr>
              <w:noBreakHyphen/>
              <w:t xml:space="preserve">month mortality above 3.0%) </w:t>
            </w:r>
          </w:p>
        </w:tc>
        <w:tc>
          <w:tcPr>
            <w:tcW w:w="4880" w:type="dxa"/>
            <w:tcBorders>
              <w:top w:val="nil"/>
              <w:left w:val="nil"/>
              <w:bottom w:val="nil"/>
              <w:right w:val="nil"/>
            </w:tcBorders>
            <w:shd w:val="clear" w:color="auto" w:fill="auto"/>
            <w:hideMark/>
          </w:tcPr>
          <w:p w14:paraId="51903C15" w14:textId="77777777" w:rsidR="009A6451" w:rsidRDefault="009A6451">
            <w:pPr>
              <w:rPr>
                <w:rFonts w:ascii="Arial" w:hAnsi="Arial" w:cs="Arial"/>
                <w:color w:val="000000"/>
                <w:sz w:val="12"/>
                <w:szCs w:val="12"/>
              </w:rPr>
            </w:pPr>
            <w:r>
              <w:rPr>
                <w:rFonts w:ascii="Arial" w:hAnsi="Arial" w:cs="Arial"/>
                <w:color w:val="000000"/>
                <w:sz w:val="12"/>
                <w:szCs w:val="12"/>
              </w:rPr>
              <w:t xml:space="preserve">∙   An early invasive strategy within 24 hours is recommended if any </w:t>
            </w:r>
            <w:proofErr w:type="gramStart"/>
            <w:r>
              <w:rPr>
                <w:rFonts w:ascii="Arial" w:hAnsi="Arial" w:cs="Arial"/>
                <w:color w:val="000000"/>
                <w:sz w:val="12"/>
                <w:szCs w:val="12"/>
              </w:rPr>
              <w:t>high risk</w:t>
            </w:r>
            <w:proofErr w:type="gramEnd"/>
            <w:r>
              <w:rPr>
                <w:rFonts w:ascii="Arial" w:hAnsi="Arial" w:cs="Arial"/>
                <w:color w:val="000000"/>
                <w:sz w:val="12"/>
                <w:szCs w:val="12"/>
              </w:rPr>
              <w:t xml:space="preserve"> criteria (I A)</w:t>
            </w:r>
          </w:p>
        </w:tc>
        <w:tc>
          <w:tcPr>
            <w:tcW w:w="4880" w:type="dxa"/>
            <w:tcBorders>
              <w:top w:val="nil"/>
              <w:left w:val="nil"/>
              <w:bottom w:val="nil"/>
              <w:right w:val="nil"/>
            </w:tcBorders>
            <w:shd w:val="clear" w:color="auto" w:fill="auto"/>
            <w:hideMark/>
          </w:tcPr>
          <w:p w14:paraId="255DD33A" w14:textId="35E3E28A" w:rsidR="009A6451" w:rsidRDefault="009A6451">
            <w:pPr>
              <w:rPr>
                <w:rFonts w:ascii="Arial" w:hAnsi="Arial" w:cs="Arial"/>
                <w:color w:val="000000"/>
                <w:sz w:val="12"/>
                <w:szCs w:val="12"/>
              </w:rPr>
            </w:pPr>
            <w:r>
              <w:rPr>
                <w:rFonts w:ascii="Arial" w:hAnsi="Arial" w:cs="Arial"/>
                <w:color w:val="000000"/>
                <w:sz w:val="12"/>
                <w:szCs w:val="12"/>
              </w:rPr>
              <w:t xml:space="preserve">∙   In patients with NSTE-ACS who are </w:t>
            </w:r>
            <w:r w:rsidR="00F36FB3">
              <w:rPr>
                <w:rFonts w:ascii="Arial" w:hAnsi="Arial" w:cs="Arial"/>
                <w:color w:val="000000"/>
                <w:sz w:val="12"/>
                <w:szCs w:val="12"/>
              </w:rPr>
              <w:t>initially</w:t>
            </w:r>
            <w:r>
              <w:rPr>
                <w:rFonts w:ascii="Arial" w:hAnsi="Arial" w:cs="Arial"/>
                <w:color w:val="000000"/>
                <w:sz w:val="12"/>
                <w:szCs w:val="12"/>
              </w:rPr>
              <w:t xml:space="preserve"> stabilized and are at high risk of clinical events, it is reasonable to choose an early invasive strategy (within 24hours) over a delayed invasive strategy to improve outcomes (2a B)</w:t>
            </w:r>
          </w:p>
        </w:tc>
      </w:tr>
      <w:tr w:rsidR="009A6451" w14:paraId="62D5EBAC" w14:textId="77777777" w:rsidTr="00F9235F">
        <w:trPr>
          <w:trHeight w:val="640"/>
        </w:trPr>
        <w:tc>
          <w:tcPr>
            <w:tcW w:w="4880" w:type="dxa"/>
            <w:tcBorders>
              <w:top w:val="nil"/>
              <w:left w:val="nil"/>
              <w:bottom w:val="nil"/>
              <w:right w:val="nil"/>
            </w:tcBorders>
            <w:shd w:val="clear" w:color="auto" w:fill="auto"/>
            <w:hideMark/>
          </w:tcPr>
          <w:p w14:paraId="27B225B7" w14:textId="77777777" w:rsidR="009A6451" w:rsidRDefault="009A6451">
            <w:pPr>
              <w:rPr>
                <w:rFonts w:ascii="Arial" w:hAnsi="Arial" w:cs="Arial"/>
                <w:color w:val="0E0E0E"/>
                <w:sz w:val="12"/>
                <w:szCs w:val="12"/>
              </w:rPr>
            </w:pPr>
            <w:r>
              <w:rPr>
                <w:rFonts w:ascii="Arial" w:hAnsi="Arial" w:cs="Arial"/>
                <w:color w:val="0E0E0E"/>
                <w:sz w:val="12"/>
                <w:szCs w:val="12"/>
              </w:rPr>
              <w:t>∙   Consider coronary angiography (with follow</w:t>
            </w:r>
            <w:r>
              <w:rPr>
                <w:rFonts w:ascii="Arial" w:hAnsi="Arial" w:cs="Arial"/>
                <w:color w:val="0E0E0E"/>
                <w:sz w:val="12"/>
                <w:szCs w:val="12"/>
              </w:rPr>
              <w:noBreakHyphen/>
              <w:t>on PCI if indicated) for people with unstable angina or NSTEMI who are initially assessed to be at low risk of adverse cardiovascular events (predicted 6</w:t>
            </w:r>
            <w:r>
              <w:rPr>
                <w:rFonts w:ascii="Arial" w:hAnsi="Arial" w:cs="Arial"/>
                <w:color w:val="0E0E0E"/>
                <w:sz w:val="12"/>
                <w:szCs w:val="12"/>
              </w:rPr>
              <w:noBreakHyphen/>
              <w:t>month mortality 3.0% or less) if ischaemia is subsequently experienced or is demonstrated by ischaemia testing.</w:t>
            </w:r>
          </w:p>
        </w:tc>
        <w:tc>
          <w:tcPr>
            <w:tcW w:w="4880" w:type="dxa"/>
            <w:tcBorders>
              <w:top w:val="nil"/>
              <w:left w:val="nil"/>
              <w:bottom w:val="nil"/>
              <w:right w:val="nil"/>
            </w:tcBorders>
            <w:shd w:val="clear" w:color="auto" w:fill="auto"/>
            <w:hideMark/>
          </w:tcPr>
          <w:p w14:paraId="785D96DF" w14:textId="77777777" w:rsidR="009A6451" w:rsidRDefault="009A6451">
            <w:pPr>
              <w:rPr>
                <w:rFonts w:ascii="Arial" w:hAnsi="Arial" w:cs="Arial"/>
                <w:color w:val="000000"/>
                <w:sz w:val="12"/>
                <w:szCs w:val="12"/>
              </w:rPr>
            </w:pPr>
            <w:r>
              <w:rPr>
                <w:rFonts w:ascii="Arial" w:hAnsi="Arial" w:cs="Arial"/>
                <w:color w:val="000000"/>
                <w:sz w:val="12"/>
                <w:szCs w:val="12"/>
              </w:rPr>
              <w:t xml:space="preserve">∙   Selective invasive after appropriate ischaemia testing or detection of obstructive CAD by CTCA is recommended in low risk </w:t>
            </w:r>
            <w:proofErr w:type="gramStart"/>
            <w:r>
              <w:rPr>
                <w:rFonts w:ascii="Arial" w:hAnsi="Arial" w:cs="Arial"/>
                <w:color w:val="000000"/>
                <w:sz w:val="12"/>
                <w:szCs w:val="12"/>
              </w:rPr>
              <w:t>patients  (</w:t>
            </w:r>
            <w:proofErr w:type="gramEnd"/>
            <w:r>
              <w:rPr>
                <w:rFonts w:ascii="Arial" w:hAnsi="Arial" w:cs="Arial"/>
                <w:color w:val="000000"/>
                <w:sz w:val="12"/>
                <w:szCs w:val="12"/>
              </w:rPr>
              <w:t>I A)</w:t>
            </w:r>
          </w:p>
        </w:tc>
        <w:tc>
          <w:tcPr>
            <w:tcW w:w="4880" w:type="dxa"/>
            <w:tcBorders>
              <w:top w:val="nil"/>
              <w:left w:val="nil"/>
              <w:bottom w:val="nil"/>
              <w:right w:val="nil"/>
            </w:tcBorders>
            <w:shd w:val="clear" w:color="auto" w:fill="auto"/>
            <w:hideMark/>
          </w:tcPr>
          <w:p w14:paraId="3971EE76" w14:textId="27FDA7A5" w:rsidR="009A6451" w:rsidRDefault="009A6451">
            <w:pPr>
              <w:rPr>
                <w:rFonts w:ascii="Arial" w:hAnsi="Arial" w:cs="Arial"/>
                <w:color w:val="000000"/>
                <w:sz w:val="12"/>
                <w:szCs w:val="12"/>
              </w:rPr>
            </w:pPr>
            <w:r>
              <w:rPr>
                <w:rFonts w:ascii="Arial" w:hAnsi="Arial" w:cs="Arial"/>
                <w:color w:val="000000"/>
                <w:sz w:val="12"/>
                <w:szCs w:val="12"/>
              </w:rPr>
              <w:t xml:space="preserve">∙   In patients with NSTE-ACS who are </w:t>
            </w:r>
            <w:r w:rsidR="00F36FB3">
              <w:rPr>
                <w:rFonts w:ascii="Arial" w:hAnsi="Arial" w:cs="Arial"/>
                <w:color w:val="000000"/>
                <w:sz w:val="12"/>
                <w:szCs w:val="12"/>
              </w:rPr>
              <w:t>initially</w:t>
            </w:r>
            <w:r>
              <w:rPr>
                <w:rFonts w:ascii="Arial" w:hAnsi="Arial" w:cs="Arial"/>
                <w:color w:val="000000"/>
                <w:sz w:val="12"/>
                <w:szCs w:val="12"/>
              </w:rPr>
              <w:t xml:space="preserve"> stabilised and are at intermediate or low risk of clinical events, an invasive </w:t>
            </w:r>
            <w:r w:rsidR="00F36FB3">
              <w:rPr>
                <w:rFonts w:ascii="Arial" w:hAnsi="Arial" w:cs="Arial"/>
                <w:color w:val="000000"/>
                <w:sz w:val="12"/>
                <w:szCs w:val="12"/>
              </w:rPr>
              <w:t>strategy with</w:t>
            </w:r>
            <w:r>
              <w:rPr>
                <w:rFonts w:ascii="Arial" w:hAnsi="Arial" w:cs="Arial"/>
                <w:color w:val="000000"/>
                <w:sz w:val="12"/>
                <w:szCs w:val="12"/>
              </w:rPr>
              <w:t xml:space="preserve"> intent to perform revascularisation is reasonable before discharge to improve outcomes (2a B)</w:t>
            </w:r>
          </w:p>
        </w:tc>
      </w:tr>
      <w:tr w:rsidR="009A6451" w14:paraId="000E63BF" w14:textId="77777777" w:rsidTr="009A6451">
        <w:trPr>
          <w:trHeight w:val="560"/>
        </w:trPr>
        <w:tc>
          <w:tcPr>
            <w:tcW w:w="4880" w:type="dxa"/>
            <w:tcBorders>
              <w:top w:val="nil"/>
              <w:left w:val="nil"/>
              <w:bottom w:val="nil"/>
              <w:right w:val="nil"/>
            </w:tcBorders>
            <w:shd w:val="clear" w:color="auto" w:fill="auto"/>
            <w:hideMark/>
          </w:tcPr>
          <w:p w14:paraId="43BF1846" w14:textId="77777777" w:rsidR="009A6451" w:rsidRDefault="009A6451">
            <w:pPr>
              <w:rPr>
                <w:rFonts w:ascii="Arial" w:hAnsi="Arial" w:cs="Arial"/>
                <w:color w:val="0E0E0E"/>
                <w:sz w:val="12"/>
                <w:szCs w:val="12"/>
              </w:rPr>
            </w:pPr>
            <w:r>
              <w:rPr>
                <w:rFonts w:ascii="Arial" w:hAnsi="Arial" w:cs="Arial"/>
                <w:color w:val="0E0E0E"/>
                <w:sz w:val="12"/>
                <w:szCs w:val="12"/>
              </w:rPr>
              <w:t>∙   Offer immediate coronary angiography to people with unstable angina or NSTEMI if their clinical condition is unstable. </w:t>
            </w:r>
          </w:p>
        </w:tc>
        <w:tc>
          <w:tcPr>
            <w:tcW w:w="4880" w:type="dxa"/>
            <w:tcBorders>
              <w:top w:val="nil"/>
              <w:left w:val="nil"/>
              <w:bottom w:val="nil"/>
              <w:right w:val="nil"/>
            </w:tcBorders>
            <w:shd w:val="clear" w:color="auto" w:fill="auto"/>
            <w:hideMark/>
          </w:tcPr>
          <w:p w14:paraId="151319C3" w14:textId="77777777" w:rsidR="009A6451" w:rsidRDefault="009A6451">
            <w:pPr>
              <w:rPr>
                <w:rFonts w:ascii="Arial" w:hAnsi="Arial" w:cs="Arial"/>
                <w:color w:val="000000"/>
                <w:sz w:val="12"/>
                <w:szCs w:val="12"/>
              </w:rPr>
            </w:pPr>
            <w:r>
              <w:rPr>
                <w:rFonts w:ascii="Arial" w:hAnsi="Arial" w:cs="Arial"/>
                <w:color w:val="000000"/>
                <w:sz w:val="12"/>
                <w:szCs w:val="12"/>
              </w:rPr>
              <w:t xml:space="preserve">∙   An immediate strategy (&lt;2hours) is recommended in patients with at least one of the very </w:t>
            </w:r>
            <w:proofErr w:type="gramStart"/>
            <w:r>
              <w:rPr>
                <w:rFonts w:ascii="Arial" w:hAnsi="Arial" w:cs="Arial"/>
                <w:color w:val="000000"/>
                <w:sz w:val="12"/>
                <w:szCs w:val="12"/>
              </w:rPr>
              <w:t>high risk</w:t>
            </w:r>
            <w:proofErr w:type="gramEnd"/>
            <w:r>
              <w:rPr>
                <w:rFonts w:ascii="Arial" w:hAnsi="Arial" w:cs="Arial"/>
                <w:color w:val="000000"/>
                <w:sz w:val="12"/>
                <w:szCs w:val="12"/>
              </w:rPr>
              <w:t xml:space="preserve"> criteria (I C)</w:t>
            </w:r>
          </w:p>
        </w:tc>
        <w:tc>
          <w:tcPr>
            <w:tcW w:w="4880" w:type="dxa"/>
            <w:tcBorders>
              <w:top w:val="nil"/>
              <w:left w:val="nil"/>
              <w:bottom w:val="nil"/>
              <w:right w:val="nil"/>
            </w:tcBorders>
            <w:shd w:val="clear" w:color="auto" w:fill="auto"/>
            <w:hideMark/>
          </w:tcPr>
          <w:p w14:paraId="18D009A3" w14:textId="36EB65EA" w:rsidR="009A6451" w:rsidRDefault="009A6451">
            <w:pPr>
              <w:rPr>
                <w:rFonts w:ascii="Arial" w:hAnsi="Arial" w:cs="Arial"/>
                <w:color w:val="000000"/>
                <w:sz w:val="12"/>
                <w:szCs w:val="12"/>
              </w:rPr>
            </w:pPr>
            <w:r>
              <w:rPr>
                <w:rFonts w:ascii="Arial" w:hAnsi="Arial" w:cs="Arial"/>
                <w:color w:val="000000"/>
                <w:sz w:val="12"/>
                <w:szCs w:val="12"/>
              </w:rPr>
              <w:t>∙   In patients with NSTE-ACS and cardiogenic shock who are appropriate candidates for revascularisation, emergency revascularisation is recommended to reduce risk of death (1 B)</w:t>
            </w:r>
          </w:p>
        </w:tc>
      </w:tr>
      <w:tr w:rsidR="009A6451" w14:paraId="7354D411" w14:textId="77777777" w:rsidTr="009A6451">
        <w:trPr>
          <w:trHeight w:val="240"/>
        </w:trPr>
        <w:tc>
          <w:tcPr>
            <w:tcW w:w="4880" w:type="dxa"/>
            <w:tcBorders>
              <w:top w:val="nil"/>
              <w:left w:val="nil"/>
              <w:bottom w:val="nil"/>
              <w:right w:val="nil"/>
            </w:tcBorders>
            <w:shd w:val="clear" w:color="auto" w:fill="auto"/>
            <w:noWrap/>
            <w:vAlign w:val="center"/>
            <w:hideMark/>
          </w:tcPr>
          <w:p w14:paraId="43154C56" w14:textId="77777777" w:rsidR="009A6451" w:rsidRDefault="009A6451">
            <w:pPr>
              <w:rPr>
                <w:rFonts w:ascii="Arial" w:hAnsi="Arial" w:cs="Arial"/>
                <w:b/>
                <w:bCs/>
                <w:color w:val="000000"/>
                <w:sz w:val="12"/>
                <w:szCs w:val="12"/>
              </w:rPr>
            </w:pPr>
            <w:r>
              <w:rPr>
                <w:rFonts w:ascii="Arial" w:hAnsi="Arial" w:cs="Arial"/>
                <w:b/>
                <w:bCs/>
                <w:color w:val="000000"/>
                <w:sz w:val="12"/>
                <w:szCs w:val="12"/>
              </w:rPr>
              <w:t>Pharmacology</w:t>
            </w:r>
          </w:p>
        </w:tc>
        <w:tc>
          <w:tcPr>
            <w:tcW w:w="4880" w:type="dxa"/>
            <w:tcBorders>
              <w:top w:val="nil"/>
              <w:left w:val="nil"/>
              <w:bottom w:val="nil"/>
              <w:right w:val="nil"/>
            </w:tcBorders>
            <w:shd w:val="clear" w:color="auto" w:fill="auto"/>
            <w:hideMark/>
          </w:tcPr>
          <w:p w14:paraId="231E50B1" w14:textId="77777777" w:rsidR="009A6451" w:rsidRDefault="009A6451">
            <w:pPr>
              <w:rPr>
                <w:rFonts w:ascii="Arial" w:hAnsi="Arial" w:cs="Arial"/>
                <w:b/>
                <w:bCs/>
                <w:color w:val="000000"/>
                <w:sz w:val="12"/>
                <w:szCs w:val="12"/>
              </w:rPr>
            </w:pPr>
          </w:p>
        </w:tc>
        <w:tc>
          <w:tcPr>
            <w:tcW w:w="4880" w:type="dxa"/>
            <w:tcBorders>
              <w:top w:val="nil"/>
              <w:left w:val="nil"/>
              <w:bottom w:val="nil"/>
              <w:right w:val="nil"/>
            </w:tcBorders>
            <w:shd w:val="clear" w:color="auto" w:fill="auto"/>
            <w:hideMark/>
          </w:tcPr>
          <w:p w14:paraId="5D0A686C" w14:textId="77777777" w:rsidR="009A6451" w:rsidRDefault="009A6451">
            <w:pPr>
              <w:rPr>
                <w:sz w:val="20"/>
                <w:szCs w:val="20"/>
              </w:rPr>
            </w:pPr>
          </w:p>
        </w:tc>
      </w:tr>
      <w:tr w:rsidR="009A6451" w14:paraId="42401EC0" w14:textId="77777777" w:rsidTr="009A6451">
        <w:trPr>
          <w:trHeight w:val="560"/>
        </w:trPr>
        <w:tc>
          <w:tcPr>
            <w:tcW w:w="4880" w:type="dxa"/>
            <w:tcBorders>
              <w:top w:val="nil"/>
              <w:left w:val="nil"/>
              <w:bottom w:val="nil"/>
              <w:right w:val="nil"/>
            </w:tcBorders>
            <w:shd w:val="clear" w:color="auto" w:fill="auto"/>
            <w:hideMark/>
          </w:tcPr>
          <w:p w14:paraId="18589267" w14:textId="3C3BF23F" w:rsidR="009A6451" w:rsidRDefault="009A6451">
            <w:pPr>
              <w:rPr>
                <w:rFonts w:ascii="Arial" w:hAnsi="Arial" w:cs="Arial"/>
                <w:color w:val="0E0E0E"/>
                <w:sz w:val="12"/>
                <w:szCs w:val="12"/>
              </w:rPr>
            </w:pPr>
            <w:r>
              <w:rPr>
                <w:rFonts w:ascii="Arial" w:hAnsi="Arial" w:cs="Arial"/>
                <w:color w:val="0E0E0E"/>
                <w:sz w:val="12"/>
                <w:szCs w:val="12"/>
              </w:rPr>
              <w:t xml:space="preserve">∙   Offer fondaparinux to people with unstable angina or NSTEMI who do not have a high bleeding </w:t>
            </w:r>
            <w:r w:rsidR="00F36FB3">
              <w:rPr>
                <w:rFonts w:ascii="Arial" w:hAnsi="Arial" w:cs="Arial"/>
                <w:color w:val="0E0E0E"/>
                <w:sz w:val="12"/>
                <w:szCs w:val="12"/>
              </w:rPr>
              <w:t>risk unless</w:t>
            </w:r>
            <w:r>
              <w:rPr>
                <w:rFonts w:ascii="Arial" w:hAnsi="Arial" w:cs="Arial"/>
                <w:color w:val="0E0E0E"/>
                <w:sz w:val="12"/>
                <w:szCs w:val="12"/>
              </w:rPr>
              <w:t xml:space="preserve"> they are undergoing immediate coronary angiography. </w:t>
            </w:r>
          </w:p>
        </w:tc>
        <w:tc>
          <w:tcPr>
            <w:tcW w:w="4880" w:type="dxa"/>
            <w:tcBorders>
              <w:top w:val="nil"/>
              <w:left w:val="nil"/>
              <w:bottom w:val="nil"/>
              <w:right w:val="nil"/>
            </w:tcBorders>
            <w:shd w:val="clear" w:color="auto" w:fill="auto"/>
            <w:hideMark/>
          </w:tcPr>
          <w:p w14:paraId="18F54792" w14:textId="5D069414" w:rsidR="009A6451" w:rsidRDefault="009A6451">
            <w:pPr>
              <w:rPr>
                <w:rFonts w:ascii="Arial" w:hAnsi="Arial" w:cs="Arial"/>
                <w:color w:val="000000"/>
                <w:sz w:val="12"/>
                <w:szCs w:val="12"/>
              </w:rPr>
            </w:pPr>
            <w:r>
              <w:rPr>
                <w:rFonts w:ascii="Arial" w:hAnsi="Arial" w:cs="Arial"/>
                <w:color w:val="000000"/>
                <w:sz w:val="12"/>
                <w:szCs w:val="12"/>
              </w:rPr>
              <w:t xml:space="preserve">∙   In case of medical treatment or logistical </w:t>
            </w:r>
            <w:r w:rsidR="00F36FB3">
              <w:rPr>
                <w:rFonts w:ascii="Arial" w:hAnsi="Arial" w:cs="Arial"/>
                <w:color w:val="000000"/>
                <w:sz w:val="12"/>
                <w:szCs w:val="12"/>
              </w:rPr>
              <w:t>constraints</w:t>
            </w:r>
            <w:r>
              <w:rPr>
                <w:rFonts w:ascii="Arial" w:hAnsi="Arial" w:cs="Arial"/>
                <w:color w:val="000000"/>
                <w:sz w:val="12"/>
                <w:szCs w:val="12"/>
              </w:rPr>
              <w:t xml:space="preserve"> for transferring the patient to PCI within the required time frame, </w:t>
            </w:r>
            <w:proofErr w:type="spellStart"/>
            <w:r>
              <w:rPr>
                <w:rFonts w:ascii="Arial" w:hAnsi="Arial" w:cs="Arial"/>
                <w:color w:val="000000"/>
                <w:sz w:val="12"/>
                <w:szCs w:val="12"/>
              </w:rPr>
              <w:t>fondaparinox</w:t>
            </w:r>
            <w:proofErr w:type="spellEnd"/>
            <w:r>
              <w:rPr>
                <w:rFonts w:ascii="Arial" w:hAnsi="Arial" w:cs="Arial"/>
                <w:color w:val="000000"/>
                <w:sz w:val="12"/>
                <w:szCs w:val="12"/>
              </w:rPr>
              <w:t xml:space="preserve"> is recommended and in such cases, a single bolus of UFH is recommended at the time of PCI (I B)</w:t>
            </w:r>
          </w:p>
        </w:tc>
        <w:tc>
          <w:tcPr>
            <w:tcW w:w="4880" w:type="dxa"/>
            <w:tcBorders>
              <w:top w:val="nil"/>
              <w:left w:val="nil"/>
              <w:bottom w:val="nil"/>
              <w:right w:val="nil"/>
            </w:tcBorders>
            <w:shd w:val="clear" w:color="auto" w:fill="auto"/>
            <w:hideMark/>
          </w:tcPr>
          <w:p w14:paraId="14C770D4" w14:textId="77777777" w:rsidR="009A6451" w:rsidRDefault="009A6451">
            <w:pPr>
              <w:rPr>
                <w:rFonts w:ascii="Arial" w:hAnsi="Arial" w:cs="Arial"/>
                <w:color w:val="0E0E0E"/>
                <w:sz w:val="12"/>
                <w:szCs w:val="12"/>
              </w:rPr>
            </w:pPr>
            <w:r>
              <w:rPr>
                <w:rFonts w:ascii="Arial" w:hAnsi="Arial" w:cs="Arial"/>
                <w:color w:val="0E0E0E"/>
                <w:sz w:val="12"/>
                <w:szCs w:val="12"/>
              </w:rPr>
              <w:t xml:space="preserve">∙   Fondaparinux: 2.5 mg SC daily, continued for the duration of hospitalization or until PCI is performed (I </w:t>
            </w:r>
            <w:proofErr w:type="gramStart"/>
            <w:r>
              <w:rPr>
                <w:rFonts w:ascii="Arial" w:hAnsi="Arial" w:cs="Arial"/>
                <w:color w:val="0E0E0E"/>
                <w:sz w:val="12"/>
                <w:szCs w:val="12"/>
              </w:rPr>
              <w:t>B)*</w:t>
            </w:r>
            <w:proofErr w:type="gramEnd"/>
            <w:r>
              <w:rPr>
                <w:rFonts w:ascii="Arial" w:hAnsi="Arial" w:cs="Arial"/>
                <w:color w:val="0E0E0E"/>
                <w:sz w:val="12"/>
                <w:szCs w:val="12"/>
              </w:rPr>
              <w:t>*</w:t>
            </w:r>
          </w:p>
        </w:tc>
      </w:tr>
      <w:tr w:rsidR="009A6451" w14:paraId="4812B198" w14:textId="77777777" w:rsidTr="009A6451">
        <w:trPr>
          <w:trHeight w:val="560"/>
        </w:trPr>
        <w:tc>
          <w:tcPr>
            <w:tcW w:w="4880" w:type="dxa"/>
            <w:tcBorders>
              <w:top w:val="nil"/>
              <w:left w:val="nil"/>
              <w:bottom w:val="nil"/>
              <w:right w:val="nil"/>
            </w:tcBorders>
            <w:shd w:val="clear" w:color="auto" w:fill="auto"/>
            <w:hideMark/>
          </w:tcPr>
          <w:p w14:paraId="30E88C42" w14:textId="77777777" w:rsidR="009A6451" w:rsidRDefault="009A6451">
            <w:pPr>
              <w:rPr>
                <w:rFonts w:ascii="Arial" w:hAnsi="Arial" w:cs="Arial"/>
                <w:color w:val="0E0E0E"/>
                <w:sz w:val="12"/>
                <w:szCs w:val="12"/>
              </w:rPr>
            </w:pPr>
            <w:r>
              <w:rPr>
                <w:rFonts w:ascii="Arial" w:hAnsi="Arial" w:cs="Arial"/>
                <w:color w:val="0E0E0E"/>
                <w:sz w:val="12"/>
                <w:szCs w:val="12"/>
              </w:rPr>
              <w:t xml:space="preserve">∙   For people with unstable angina or NSTEMI who are having coronary angiography, offer prasugrel or ticagrelor, as part of dual antiplatelet therapy with aspirin, if they have no separate indication for ongoing oral anticoagulation </w:t>
            </w:r>
          </w:p>
        </w:tc>
        <w:tc>
          <w:tcPr>
            <w:tcW w:w="4880" w:type="dxa"/>
            <w:tcBorders>
              <w:top w:val="nil"/>
              <w:left w:val="nil"/>
              <w:bottom w:val="nil"/>
              <w:right w:val="nil"/>
            </w:tcBorders>
            <w:shd w:val="clear" w:color="auto" w:fill="auto"/>
            <w:hideMark/>
          </w:tcPr>
          <w:p w14:paraId="64599804" w14:textId="77777777" w:rsidR="009A6451" w:rsidRDefault="009A6451">
            <w:pPr>
              <w:rPr>
                <w:rFonts w:ascii="Arial" w:hAnsi="Arial" w:cs="Arial"/>
                <w:color w:val="000000"/>
                <w:sz w:val="12"/>
                <w:szCs w:val="12"/>
              </w:rPr>
            </w:pPr>
            <w:r>
              <w:rPr>
                <w:rFonts w:ascii="Arial" w:hAnsi="Arial" w:cs="Arial"/>
                <w:color w:val="000000"/>
                <w:sz w:val="12"/>
                <w:szCs w:val="12"/>
              </w:rPr>
              <w:t>∙   Prasugrel should be considered in preference to ticagrelor for NSTE-ACS patients who proceed to PCI (</w:t>
            </w:r>
            <w:proofErr w:type="spellStart"/>
            <w:r>
              <w:rPr>
                <w:rFonts w:ascii="Arial" w:hAnsi="Arial" w:cs="Arial"/>
                <w:color w:val="000000"/>
                <w:sz w:val="12"/>
                <w:szCs w:val="12"/>
              </w:rPr>
              <w:t>Iia</w:t>
            </w:r>
            <w:proofErr w:type="spellEnd"/>
            <w:r>
              <w:rPr>
                <w:rFonts w:ascii="Arial" w:hAnsi="Arial" w:cs="Arial"/>
                <w:color w:val="000000"/>
                <w:sz w:val="12"/>
                <w:szCs w:val="12"/>
              </w:rPr>
              <w:t xml:space="preserve"> B)</w:t>
            </w:r>
          </w:p>
        </w:tc>
        <w:tc>
          <w:tcPr>
            <w:tcW w:w="4880" w:type="dxa"/>
            <w:tcBorders>
              <w:top w:val="nil"/>
              <w:left w:val="nil"/>
              <w:bottom w:val="nil"/>
              <w:right w:val="nil"/>
            </w:tcBorders>
            <w:shd w:val="clear" w:color="auto" w:fill="auto"/>
            <w:hideMark/>
          </w:tcPr>
          <w:p w14:paraId="5C29BBB3" w14:textId="77777777" w:rsidR="009A6451" w:rsidRDefault="009A6451">
            <w:pPr>
              <w:rPr>
                <w:rFonts w:ascii="Arial" w:hAnsi="Arial" w:cs="Arial"/>
                <w:color w:val="000000"/>
                <w:sz w:val="12"/>
                <w:szCs w:val="12"/>
              </w:rPr>
            </w:pPr>
            <w:r>
              <w:rPr>
                <w:rFonts w:ascii="Arial" w:hAnsi="Arial" w:cs="Arial"/>
                <w:color w:val="000000"/>
                <w:sz w:val="12"/>
                <w:szCs w:val="12"/>
              </w:rPr>
              <w:t>∙   Reasonable to use ticagrelor or prasugrel in preference to clopidogrel to reduce ischemic events, including stent thrombosis (2a B)</w:t>
            </w:r>
          </w:p>
        </w:tc>
      </w:tr>
      <w:tr w:rsidR="009A6451" w14:paraId="312FD9F3" w14:textId="77777777" w:rsidTr="009A6451">
        <w:trPr>
          <w:trHeight w:val="560"/>
        </w:trPr>
        <w:tc>
          <w:tcPr>
            <w:tcW w:w="4880" w:type="dxa"/>
            <w:tcBorders>
              <w:top w:val="nil"/>
              <w:left w:val="nil"/>
              <w:bottom w:val="nil"/>
              <w:right w:val="nil"/>
            </w:tcBorders>
            <w:shd w:val="clear" w:color="auto" w:fill="auto"/>
            <w:hideMark/>
          </w:tcPr>
          <w:p w14:paraId="1033FFD2" w14:textId="77777777" w:rsidR="009A6451" w:rsidRDefault="009A6451">
            <w:pPr>
              <w:rPr>
                <w:rFonts w:ascii="Arial" w:hAnsi="Arial" w:cs="Arial"/>
                <w:color w:val="0E0E0E"/>
                <w:sz w:val="12"/>
                <w:szCs w:val="12"/>
              </w:rPr>
            </w:pPr>
            <w:r>
              <w:rPr>
                <w:rFonts w:ascii="Arial" w:hAnsi="Arial" w:cs="Arial"/>
                <w:color w:val="0E0E0E"/>
                <w:sz w:val="12"/>
                <w:szCs w:val="12"/>
              </w:rPr>
              <w:t>∙   Clopidogrel, as part of dual antiplatelet therapy with aspirin, if they have a separate indication for ongoing oral anticoagulation.</w:t>
            </w:r>
          </w:p>
        </w:tc>
        <w:tc>
          <w:tcPr>
            <w:tcW w:w="4880" w:type="dxa"/>
            <w:tcBorders>
              <w:top w:val="nil"/>
              <w:left w:val="nil"/>
              <w:bottom w:val="nil"/>
              <w:right w:val="nil"/>
            </w:tcBorders>
            <w:shd w:val="clear" w:color="auto" w:fill="auto"/>
            <w:noWrap/>
            <w:hideMark/>
          </w:tcPr>
          <w:p w14:paraId="35E9C879" w14:textId="77777777" w:rsidR="009A6451" w:rsidRDefault="009A6451">
            <w:pPr>
              <w:rPr>
                <w:rFonts w:ascii="Arial" w:hAnsi="Arial" w:cs="Arial"/>
                <w:color w:val="000000"/>
                <w:sz w:val="12"/>
                <w:szCs w:val="12"/>
              </w:rPr>
            </w:pPr>
            <w:r>
              <w:rPr>
                <w:rFonts w:ascii="Arial" w:hAnsi="Arial" w:cs="Arial"/>
                <w:color w:val="000000"/>
                <w:sz w:val="12"/>
                <w:szCs w:val="12"/>
              </w:rPr>
              <w:t xml:space="preserve"> ∙   Aspirin and clopidogrel preferred in patients who require anticoagulation (I C)</w:t>
            </w:r>
          </w:p>
        </w:tc>
        <w:tc>
          <w:tcPr>
            <w:tcW w:w="4880" w:type="dxa"/>
            <w:tcBorders>
              <w:top w:val="nil"/>
              <w:left w:val="nil"/>
              <w:bottom w:val="nil"/>
              <w:right w:val="nil"/>
            </w:tcBorders>
            <w:shd w:val="clear" w:color="auto" w:fill="auto"/>
            <w:hideMark/>
          </w:tcPr>
          <w:p w14:paraId="64BC91BD" w14:textId="39CC6D4B" w:rsidR="009A6451" w:rsidRDefault="009A6451">
            <w:pPr>
              <w:rPr>
                <w:rFonts w:ascii="Arial" w:hAnsi="Arial" w:cs="Arial"/>
                <w:color w:val="000000"/>
                <w:sz w:val="12"/>
                <w:szCs w:val="12"/>
              </w:rPr>
            </w:pPr>
            <w:r>
              <w:rPr>
                <w:rFonts w:ascii="Arial" w:hAnsi="Arial" w:cs="Arial"/>
                <w:color w:val="000000"/>
                <w:sz w:val="12"/>
                <w:szCs w:val="12"/>
              </w:rPr>
              <w:t xml:space="preserve">∙   If triple therapy, </w:t>
            </w:r>
            <w:r w:rsidR="00F36FB3">
              <w:rPr>
                <w:rFonts w:ascii="Arial" w:hAnsi="Arial" w:cs="Arial"/>
                <w:color w:val="000000"/>
                <w:sz w:val="12"/>
                <w:szCs w:val="12"/>
              </w:rPr>
              <w:t>reasonable to</w:t>
            </w:r>
            <w:r>
              <w:rPr>
                <w:rFonts w:ascii="Arial" w:hAnsi="Arial" w:cs="Arial"/>
                <w:color w:val="000000"/>
                <w:sz w:val="12"/>
                <w:szCs w:val="12"/>
              </w:rPr>
              <w:t xml:space="preserve"> choose clopidogrel in preference to prasugrel for triple therapy (</w:t>
            </w:r>
            <w:proofErr w:type="spellStart"/>
            <w:r>
              <w:rPr>
                <w:rFonts w:ascii="Arial" w:hAnsi="Arial" w:cs="Arial"/>
                <w:color w:val="000000"/>
                <w:sz w:val="12"/>
                <w:szCs w:val="12"/>
              </w:rPr>
              <w:t>IIa</w:t>
            </w:r>
            <w:proofErr w:type="spellEnd"/>
            <w:r>
              <w:rPr>
                <w:rFonts w:ascii="Arial" w:hAnsi="Arial" w:cs="Arial"/>
                <w:color w:val="000000"/>
                <w:sz w:val="12"/>
                <w:szCs w:val="12"/>
              </w:rPr>
              <w:t xml:space="preserve"> </w:t>
            </w:r>
            <w:proofErr w:type="gramStart"/>
            <w:r>
              <w:rPr>
                <w:rFonts w:ascii="Arial" w:hAnsi="Arial" w:cs="Arial"/>
                <w:color w:val="000000"/>
                <w:sz w:val="12"/>
                <w:szCs w:val="12"/>
              </w:rPr>
              <w:t>B)*</w:t>
            </w:r>
            <w:proofErr w:type="gramEnd"/>
          </w:p>
        </w:tc>
      </w:tr>
      <w:tr w:rsidR="009A6451" w14:paraId="20AC6C6A" w14:textId="77777777" w:rsidTr="00F9235F">
        <w:trPr>
          <w:trHeight w:val="301"/>
        </w:trPr>
        <w:tc>
          <w:tcPr>
            <w:tcW w:w="4880" w:type="dxa"/>
            <w:tcBorders>
              <w:top w:val="nil"/>
              <w:left w:val="nil"/>
              <w:bottom w:val="nil"/>
              <w:right w:val="nil"/>
            </w:tcBorders>
            <w:shd w:val="clear" w:color="auto" w:fill="auto"/>
            <w:noWrap/>
            <w:vAlign w:val="bottom"/>
            <w:hideMark/>
          </w:tcPr>
          <w:p w14:paraId="13C91466" w14:textId="77777777" w:rsidR="009A6451" w:rsidRDefault="009A6451">
            <w:pPr>
              <w:rPr>
                <w:rFonts w:ascii="Arial" w:hAnsi="Arial" w:cs="Arial"/>
                <w:b/>
                <w:bCs/>
                <w:color w:val="000000"/>
                <w:sz w:val="12"/>
                <w:szCs w:val="12"/>
              </w:rPr>
            </w:pPr>
            <w:r>
              <w:rPr>
                <w:rFonts w:ascii="Arial" w:hAnsi="Arial" w:cs="Arial"/>
                <w:b/>
                <w:bCs/>
                <w:color w:val="000000"/>
                <w:sz w:val="12"/>
                <w:szCs w:val="12"/>
              </w:rPr>
              <w:t>Revascularisation</w:t>
            </w:r>
          </w:p>
        </w:tc>
        <w:tc>
          <w:tcPr>
            <w:tcW w:w="4880" w:type="dxa"/>
            <w:tcBorders>
              <w:top w:val="nil"/>
              <w:left w:val="nil"/>
              <w:bottom w:val="nil"/>
              <w:right w:val="nil"/>
            </w:tcBorders>
            <w:shd w:val="clear" w:color="auto" w:fill="auto"/>
            <w:noWrap/>
            <w:vAlign w:val="bottom"/>
            <w:hideMark/>
          </w:tcPr>
          <w:p w14:paraId="24204DB8" w14:textId="77777777" w:rsidR="009A6451" w:rsidRDefault="009A6451">
            <w:pPr>
              <w:rPr>
                <w:rFonts w:ascii="Arial" w:hAnsi="Arial" w:cs="Arial"/>
                <w:b/>
                <w:bCs/>
                <w:color w:val="000000"/>
                <w:sz w:val="12"/>
                <w:szCs w:val="12"/>
              </w:rPr>
            </w:pPr>
          </w:p>
        </w:tc>
        <w:tc>
          <w:tcPr>
            <w:tcW w:w="4880" w:type="dxa"/>
            <w:tcBorders>
              <w:top w:val="nil"/>
              <w:left w:val="nil"/>
              <w:bottom w:val="nil"/>
              <w:right w:val="nil"/>
            </w:tcBorders>
            <w:shd w:val="clear" w:color="auto" w:fill="auto"/>
            <w:noWrap/>
            <w:vAlign w:val="bottom"/>
            <w:hideMark/>
          </w:tcPr>
          <w:p w14:paraId="06525C52" w14:textId="77777777" w:rsidR="009A6451" w:rsidRDefault="009A6451">
            <w:pPr>
              <w:rPr>
                <w:sz w:val="20"/>
                <w:szCs w:val="20"/>
              </w:rPr>
            </w:pPr>
          </w:p>
        </w:tc>
      </w:tr>
      <w:tr w:rsidR="009A6451" w14:paraId="6C53F0B5" w14:textId="77777777" w:rsidTr="009A6451">
        <w:trPr>
          <w:trHeight w:val="560"/>
        </w:trPr>
        <w:tc>
          <w:tcPr>
            <w:tcW w:w="4880" w:type="dxa"/>
            <w:tcBorders>
              <w:top w:val="nil"/>
              <w:left w:val="nil"/>
              <w:bottom w:val="nil"/>
              <w:right w:val="nil"/>
            </w:tcBorders>
            <w:shd w:val="clear" w:color="auto" w:fill="auto"/>
            <w:hideMark/>
          </w:tcPr>
          <w:p w14:paraId="11C7E1F2" w14:textId="77777777" w:rsidR="009A6451" w:rsidRDefault="009A6451">
            <w:pPr>
              <w:rPr>
                <w:rFonts w:ascii="Arial" w:hAnsi="Arial" w:cs="Arial"/>
                <w:color w:val="0E0E0E"/>
                <w:sz w:val="12"/>
                <w:szCs w:val="12"/>
              </w:rPr>
            </w:pPr>
            <w:r>
              <w:rPr>
                <w:rFonts w:ascii="Arial" w:hAnsi="Arial" w:cs="Arial"/>
                <w:color w:val="0E0E0E"/>
                <w:sz w:val="12"/>
                <w:szCs w:val="12"/>
              </w:rPr>
              <w:t xml:space="preserve">∙   If stenting is indicated, offer a drug-eluting stent </w:t>
            </w:r>
          </w:p>
        </w:tc>
        <w:tc>
          <w:tcPr>
            <w:tcW w:w="4880" w:type="dxa"/>
            <w:tcBorders>
              <w:top w:val="nil"/>
              <w:left w:val="nil"/>
              <w:bottom w:val="nil"/>
              <w:right w:val="nil"/>
            </w:tcBorders>
            <w:shd w:val="clear" w:color="auto" w:fill="auto"/>
            <w:noWrap/>
            <w:hideMark/>
          </w:tcPr>
          <w:p w14:paraId="3C33C6AC" w14:textId="77777777" w:rsidR="009A6451" w:rsidRDefault="009A6451">
            <w:pPr>
              <w:rPr>
                <w:rFonts w:ascii="Arial" w:hAnsi="Arial" w:cs="Arial"/>
                <w:color w:val="000000"/>
                <w:sz w:val="12"/>
                <w:szCs w:val="12"/>
              </w:rPr>
            </w:pPr>
            <w:r>
              <w:rPr>
                <w:rFonts w:ascii="Arial" w:hAnsi="Arial" w:cs="Arial"/>
                <w:color w:val="000000"/>
                <w:sz w:val="12"/>
                <w:szCs w:val="12"/>
              </w:rPr>
              <w:t>∙   DES recommended over BMS for any PCI (I A)</w:t>
            </w:r>
          </w:p>
        </w:tc>
        <w:tc>
          <w:tcPr>
            <w:tcW w:w="4880" w:type="dxa"/>
            <w:tcBorders>
              <w:top w:val="nil"/>
              <w:left w:val="nil"/>
              <w:bottom w:val="nil"/>
              <w:right w:val="nil"/>
            </w:tcBorders>
            <w:shd w:val="clear" w:color="auto" w:fill="auto"/>
            <w:hideMark/>
          </w:tcPr>
          <w:p w14:paraId="29599272" w14:textId="77777777" w:rsidR="009A6451" w:rsidRDefault="009A6451">
            <w:pPr>
              <w:rPr>
                <w:rFonts w:ascii="Arial" w:hAnsi="Arial" w:cs="Arial"/>
                <w:color w:val="000000"/>
                <w:sz w:val="12"/>
                <w:szCs w:val="12"/>
              </w:rPr>
            </w:pPr>
            <w:r>
              <w:rPr>
                <w:rFonts w:ascii="Arial" w:hAnsi="Arial" w:cs="Arial"/>
                <w:color w:val="000000"/>
                <w:sz w:val="12"/>
                <w:szCs w:val="12"/>
              </w:rPr>
              <w:t>∙   In patients undergoing PCI, DES should be used in preference to BMS to prevent restenosis, MI, or acute stent thrombosis (1 A)</w:t>
            </w:r>
          </w:p>
        </w:tc>
      </w:tr>
      <w:tr w:rsidR="009A6451" w14:paraId="472EEB92" w14:textId="77777777" w:rsidTr="009A6451">
        <w:trPr>
          <w:trHeight w:val="560"/>
        </w:trPr>
        <w:tc>
          <w:tcPr>
            <w:tcW w:w="4880" w:type="dxa"/>
            <w:tcBorders>
              <w:top w:val="nil"/>
              <w:left w:val="nil"/>
              <w:bottom w:val="single" w:sz="8" w:space="0" w:color="auto"/>
              <w:right w:val="nil"/>
            </w:tcBorders>
            <w:shd w:val="clear" w:color="auto" w:fill="auto"/>
            <w:hideMark/>
          </w:tcPr>
          <w:p w14:paraId="6B465307" w14:textId="77777777" w:rsidR="009A6451" w:rsidRDefault="009A6451">
            <w:pPr>
              <w:rPr>
                <w:rFonts w:ascii="Arial" w:hAnsi="Arial" w:cs="Arial"/>
                <w:color w:val="0E0E0E"/>
                <w:sz w:val="12"/>
                <w:szCs w:val="12"/>
              </w:rPr>
            </w:pPr>
            <w:r>
              <w:rPr>
                <w:rFonts w:ascii="Arial" w:hAnsi="Arial" w:cs="Arial"/>
                <w:color w:val="0E0E0E"/>
                <w:sz w:val="12"/>
                <w:szCs w:val="12"/>
              </w:rPr>
              <w:t>∙   When advising people with unstable angina or NSTEMI about the choice of revascularisation strategy (PCI or CABG), take account of coronary angiographic findings, comorbidities, and the benefits and risks of each intervention</w:t>
            </w:r>
          </w:p>
        </w:tc>
        <w:tc>
          <w:tcPr>
            <w:tcW w:w="4880" w:type="dxa"/>
            <w:tcBorders>
              <w:top w:val="nil"/>
              <w:left w:val="nil"/>
              <w:bottom w:val="single" w:sz="8" w:space="0" w:color="auto"/>
              <w:right w:val="nil"/>
            </w:tcBorders>
            <w:shd w:val="clear" w:color="auto" w:fill="auto"/>
            <w:hideMark/>
          </w:tcPr>
          <w:p w14:paraId="03EC1661" w14:textId="05289162" w:rsidR="009A6451" w:rsidRDefault="009A6451">
            <w:pPr>
              <w:rPr>
                <w:rFonts w:ascii="Arial" w:hAnsi="Arial" w:cs="Arial"/>
                <w:color w:val="0E0E0E"/>
                <w:sz w:val="12"/>
                <w:szCs w:val="12"/>
              </w:rPr>
            </w:pPr>
            <w:r>
              <w:rPr>
                <w:rFonts w:ascii="Arial" w:hAnsi="Arial" w:cs="Arial"/>
                <w:color w:val="0E0E0E"/>
                <w:sz w:val="12"/>
                <w:szCs w:val="12"/>
              </w:rPr>
              <w:t xml:space="preserve">∙   Base </w:t>
            </w:r>
            <w:proofErr w:type="spellStart"/>
            <w:r>
              <w:rPr>
                <w:rFonts w:ascii="Arial" w:hAnsi="Arial" w:cs="Arial"/>
                <w:color w:val="0E0E0E"/>
                <w:sz w:val="12"/>
                <w:szCs w:val="12"/>
              </w:rPr>
              <w:t>revasc</w:t>
            </w:r>
            <w:proofErr w:type="spellEnd"/>
            <w:r>
              <w:rPr>
                <w:rFonts w:ascii="Arial" w:hAnsi="Arial" w:cs="Arial"/>
                <w:color w:val="0E0E0E"/>
                <w:sz w:val="12"/>
                <w:szCs w:val="12"/>
              </w:rPr>
              <w:t xml:space="preserve"> strategy on patient's clinical status and comorbi</w:t>
            </w:r>
            <w:r w:rsidR="00F36FB3">
              <w:rPr>
                <w:rFonts w:ascii="Arial" w:hAnsi="Arial" w:cs="Arial"/>
                <w:color w:val="0E0E0E"/>
                <w:sz w:val="12"/>
                <w:szCs w:val="12"/>
              </w:rPr>
              <w:t>di</w:t>
            </w:r>
            <w:r>
              <w:rPr>
                <w:rFonts w:ascii="Arial" w:hAnsi="Arial" w:cs="Arial"/>
                <w:color w:val="0E0E0E"/>
                <w:sz w:val="12"/>
                <w:szCs w:val="12"/>
              </w:rPr>
              <w:t>ties, as well as their disease severity according to principles for stable CAD. However, decision on immediate PCI of the culprit stenosis does not require Heart Team consultation (I B)</w:t>
            </w:r>
          </w:p>
        </w:tc>
        <w:tc>
          <w:tcPr>
            <w:tcW w:w="4880" w:type="dxa"/>
            <w:tcBorders>
              <w:top w:val="nil"/>
              <w:left w:val="nil"/>
              <w:bottom w:val="single" w:sz="8" w:space="0" w:color="auto"/>
              <w:right w:val="nil"/>
            </w:tcBorders>
            <w:shd w:val="clear" w:color="auto" w:fill="auto"/>
            <w:noWrap/>
            <w:hideMark/>
          </w:tcPr>
          <w:p w14:paraId="13232AD5" w14:textId="7289AE95" w:rsidR="009A6451" w:rsidRDefault="009A6451">
            <w:pPr>
              <w:rPr>
                <w:rFonts w:ascii="Arial" w:hAnsi="Arial" w:cs="Arial"/>
                <w:color w:val="000000"/>
                <w:sz w:val="12"/>
                <w:szCs w:val="12"/>
              </w:rPr>
            </w:pPr>
            <w:r>
              <w:rPr>
                <w:rFonts w:ascii="Arial" w:hAnsi="Arial" w:cs="Arial"/>
                <w:color w:val="000000"/>
                <w:sz w:val="12"/>
                <w:szCs w:val="12"/>
              </w:rPr>
              <w:t xml:space="preserve">∙   Heart Team </w:t>
            </w:r>
            <w:r w:rsidR="00F36FB3">
              <w:rPr>
                <w:rFonts w:ascii="Arial" w:hAnsi="Arial" w:cs="Arial"/>
                <w:color w:val="000000"/>
                <w:sz w:val="12"/>
                <w:szCs w:val="12"/>
              </w:rPr>
              <w:t>recommended (</w:t>
            </w:r>
            <w:r>
              <w:rPr>
                <w:rFonts w:ascii="Arial" w:hAnsi="Arial" w:cs="Arial"/>
                <w:color w:val="000000"/>
                <w:sz w:val="12"/>
                <w:szCs w:val="12"/>
              </w:rPr>
              <w:t>I B)</w:t>
            </w:r>
          </w:p>
        </w:tc>
      </w:tr>
    </w:tbl>
    <w:p w14:paraId="0B409347" w14:textId="77777777" w:rsidR="009A6451" w:rsidRDefault="009A6451" w:rsidP="009B0DEF">
      <w:pPr>
        <w:widowControl w:val="0"/>
        <w:autoSpaceDE w:val="0"/>
        <w:autoSpaceDN w:val="0"/>
        <w:adjustRightInd w:val="0"/>
        <w:rPr>
          <w:b/>
          <w:bCs/>
        </w:rPr>
      </w:pPr>
    </w:p>
    <w:p w14:paraId="3F531845" w14:textId="77777777" w:rsidR="008E63DA" w:rsidRPr="008E63DA" w:rsidRDefault="008E63DA" w:rsidP="008E63DA">
      <w:pPr>
        <w:rPr>
          <w:rFonts w:ascii="Arial" w:hAnsi="Arial" w:cs="Arial"/>
          <w:color w:val="000000"/>
          <w:sz w:val="12"/>
          <w:szCs w:val="12"/>
        </w:rPr>
      </w:pPr>
      <w:r w:rsidRPr="008E63DA">
        <w:rPr>
          <w:rFonts w:ascii="Arial" w:hAnsi="Arial" w:cs="Arial"/>
          <w:color w:val="000000"/>
          <w:sz w:val="12"/>
          <w:szCs w:val="12"/>
        </w:rPr>
        <w:t xml:space="preserve">**2014 AHA/ACC NSTE-ACS </w:t>
      </w:r>
      <w:r>
        <w:rPr>
          <w:rFonts w:ascii="Arial" w:hAnsi="Arial" w:cs="Arial"/>
          <w:color w:val="000000"/>
          <w:sz w:val="12"/>
          <w:szCs w:val="12"/>
        </w:rPr>
        <w:t xml:space="preserve">   </w:t>
      </w:r>
      <w:r w:rsidRPr="008E63DA">
        <w:rPr>
          <w:rFonts w:ascii="Arial" w:hAnsi="Arial" w:cs="Arial"/>
          <w:color w:val="000000"/>
          <w:sz w:val="12"/>
          <w:szCs w:val="12"/>
        </w:rPr>
        <w:t>*2019 AHA/ACC/HRS focused update guideline for management of patients with atrial fibrillatio</w:t>
      </w:r>
      <w:r>
        <w:rPr>
          <w:rFonts w:ascii="Arial" w:hAnsi="Arial" w:cs="Arial"/>
          <w:color w:val="000000"/>
          <w:sz w:val="12"/>
          <w:szCs w:val="12"/>
        </w:rPr>
        <w:t>n</w:t>
      </w:r>
    </w:p>
    <w:p w14:paraId="71D6ED66" w14:textId="62FD1397" w:rsidR="00B403C5" w:rsidRDefault="00B403C5" w:rsidP="00255198">
      <w:pPr>
        <w:widowControl w:val="0"/>
        <w:autoSpaceDE w:val="0"/>
        <w:autoSpaceDN w:val="0"/>
        <w:adjustRightInd w:val="0"/>
        <w:rPr>
          <w:b/>
          <w:bCs/>
        </w:rPr>
      </w:pPr>
    </w:p>
    <w:p w14:paraId="21E57E78" w14:textId="0D42153D" w:rsidR="000509FD" w:rsidRDefault="000509FD" w:rsidP="00255198">
      <w:pPr>
        <w:widowControl w:val="0"/>
        <w:autoSpaceDE w:val="0"/>
        <w:autoSpaceDN w:val="0"/>
        <w:adjustRightInd w:val="0"/>
        <w:rPr>
          <w:b/>
          <w:bCs/>
        </w:rPr>
      </w:pPr>
    </w:p>
    <w:p w14:paraId="2E27F837" w14:textId="74CD76D0" w:rsidR="000509FD" w:rsidRDefault="000509FD" w:rsidP="00255198">
      <w:pPr>
        <w:widowControl w:val="0"/>
        <w:autoSpaceDE w:val="0"/>
        <w:autoSpaceDN w:val="0"/>
        <w:adjustRightInd w:val="0"/>
        <w:rPr>
          <w:b/>
          <w:bCs/>
        </w:rPr>
      </w:pPr>
      <w:r>
        <w:rPr>
          <w:b/>
          <w:bCs/>
        </w:rPr>
        <w:t>Table 4: Summary of Recent Revascularisation Trials</w:t>
      </w:r>
    </w:p>
    <w:p w14:paraId="095407AC" w14:textId="16064FEA" w:rsidR="000509FD" w:rsidRDefault="000509FD" w:rsidP="00255198">
      <w:pPr>
        <w:widowControl w:val="0"/>
        <w:autoSpaceDE w:val="0"/>
        <w:autoSpaceDN w:val="0"/>
        <w:adjustRightInd w:val="0"/>
        <w:rPr>
          <w:b/>
          <w:bCs/>
        </w:rPr>
      </w:pPr>
    </w:p>
    <w:p w14:paraId="0B347B62" w14:textId="776E1AFE" w:rsidR="000509FD" w:rsidRDefault="000509FD" w:rsidP="00255198">
      <w:pPr>
        <w:widowControl w:val="0"/>
        <w:autoSpaceDE w:val="0"/>
        <w:autoSpaceDN w:val="0"/>
        <w:adjustRightInd w:val="0"/>
        <w:rPr>
          <w:b/>
          <w:bCs/>
        </w:rPr>
      </w:pPr>
    </w:p>
    <w:p w14:paraId="560E6B8C" w14:textId="0240BBA5" w:rsidR="000509FD" w:rsidRDefault="000509FD" w:rsidP="00255198">
      <w:pPr>
        <w:widowControl w:val="0"/>
        <w:autoSpaceDE w:val="0"/>
        <w:autoSpaceDN w:val="0"/>
        <w:adjustRightInd w:val="0"/>
        <w:rPr>
          <w:b/>
          <w:bCs/>
        </w:rPr>
      </w:pPr>
    </w:p>
    <w:tbl>
      <w:tblPr>
        <w:tblW w:w="15163" w:type="dxa"/>
        <w:tblLook w:val="04A0" w:firstRow="1" w:lastRow="0" w:firstColumn="1" w:lastColumn="0" w:noHBand="0" w:noVBand="1"/>
      </w:tblPr>
      <w:tblGrid>
        <w:gridCol w:w="1480"/>
        <w:gridCol w:w="700"/>
        <w:gridCol w:w="761"/>
        <w:gridCol w:w="4100"/>
        <w:gridCol w:w="1960"/>
        <w:gridCol w:w="3480"/>
        <w:gridCol w:w="2682"/>
      </w:tblGrid>
      <w:tr w:rsidR="000509FD" w14:paraId="29425020" w14:textId="77777777" w:rsidTr="00F36FB3">
        <w:trPr>
          <w:trHeight w:val="620"/>
        </w:trPr>
        <w:tc>
          <w:tcPr>
            <w:tcW w:w="1480" w:type="dxa"/>
            <w:tcBorders>
              <w:top w:val="single" w:sz="4" w:space="0" w:color="auto"/>
              <w:left w:val="single" w:sz="4" w:space="0" w:color="auto"/>
              <w:bottom w:val="double" w:sz="6" w:space="0" w:color="auto"/>
              <w:right w:val="nil"/>
            </w:tcBorders>
            <w:shd w:val="clear" w:color="auto" w:fill="auto"/>
            <w:vAlign w:val="center"/>
            <w:hideMark/>
          </w:tcPr>
          <w:p w14:paraId="1E3D02CE"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Trial</w:t>
            </w:r>
          </w:p>
        </w:tc>
        <w:tc>
          <w:tcPr>
            <w:tcW w:w="700" w:type="dxa"/>
            <w:tcBorders>
              <w:top w:val="single" w:sz="4" w:space="0" w:color="auto"/>
              <w:left w:val="nil"/>
              <w:bottom w:val="double" w:sz="6" w:space="0" w:color="auto"/>
              <w:right w:val="nil"/>
            </w:tcBorders>
            <w:shd w:val="clear" w:color="auto" w:fill="auto"/>
            <w:vAlign w:val="center"/>
            <w:hideMark/>
          </w:tcPr>
          <w:p w14:paraId="25A157DB"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 xml:space="preserve">Date </w:t>
            </w:r>
          </w:p>
        </w:tc>
        <w:tc>
          <w:tcPr>
            <w:tcW w:w="761" w:type="dxa"/>
            <w:tcBorders>
              <w:top w:val="single" w:sz="4" w:space="0" w:color="auto"/>
              <w:left w:val="nil"/>
              <w:bottom w:val="double" w:sz="6" w:space="0" w:color="auto"/>
              <w:right w:val="nil"/>
            </w:tcBorders>
            <w:shd w:val="clear" w:color="auto" w:fill="auto"/>
            <w:vAlign w:val="center"/>
            <w:hideMark/>
          </w:tcPr>
          <w:p w14:paraId="39B42DD2"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Patients</w:t>
            </w:r>
          </w:p>
        </w:tc>
        <w:tc>
          <w:tcPr>
            <w:tcW w:w="4100" w:type="dxa"/>
            <w:tcBorders>
              <w:top w:val="single" w:sz="4" w:space="0" w:color="auto"/>
              <w:left w:val="nil"/>
              <w:bottom w:val="double" w:sz="6" w:space="0" w:color="auto"/>
              <w:right w:val="nil"/>
            </w:tcBorders>
            <w:shd w:val="clear" w:color="auto" w:fill="auto"/>
            <w:vAlign w:val="center"/>
            <w:hideMark/>
          </w:tcPr>
          <w:p w14:paraId="504EB325"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Patient group</w:t>
            </w:r>
          </w:p>
        </w:tc>
        <w:tc>
          <w:tcPr>
            <w:tcW w:w="1960" w:type="dxa"/>
            <w:tcBorders>
              <w:top w:val="single" w:sz="4" w:space="0" w:color="auto"/>
              <w:left w:val="nil"/>
              <w:bottom w:val="double" w:sz="6" w:space="0" w:color="auto"/>
              <w:right w:val="nil"/>
            </w:tcBorders>
            <w:shd w:val="clear" w:color="auto" w:fill="auto"/>
            <w:vAlign w:val="center"/>
            <w:hideMark/>
          </w:tcPr>
          <w:p w14:paraId="763B74D2"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Design</w:t>
            </w:r>
          </w:p>
        </w:tc>
        <w:tc>
          <w:tcPr>
            <w:tcW w:w="3480" w:type="dxa"/>
            <w:tcBorders>
              <w:top w:val="single" w:sz="4" w:space="0" w:color="auto"/>
              <w:left w:val="nil"/>
              <w:bottom w:val="double" w:sz="6" w:space="0" w:color="auto"/>
              <w:right w:val="nil"/>
            </w:tcBorders>
            <w:shd w:val="clear" w:color="auto" w:fill="auto"/>
            <w:vAlign w:val="center"/>
            <w:hideMark/>
          </w:tcPr>
          <w:p w14:paraId="61FD8915"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Primary endpoint</w:t>
            </w:r>
          </w:p>
        </w:tc>
        <w:tc>
          <w:tcPr>
            <w:tcW w:w="2682" w:type="dxa"/>
            <w:tcBorders>
              <w:top w:val="single" w:sz="4" w:space="0" w:color="auto"/>
              <w:left w:val="nil"/>
              <w:bottom w:val="double" w:sz="6" w:space="0" w:color="auto"/>
              <w:right w:val="single" w:sz="4" w:space="0" w:color="auto"/>
            </w:tcBorders>
            <w:shd w:val="clear" w:color="auto" w:fill="auto"/>
            <w:vAlign w:val="center"/>
            <w:hideMark/>
          </w:tcPr>
          <w:p w14:paraId="5680E0F1"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Outcome</w:t>
            </w:r>
          </w:p>
        </w:tc>
      </w:tr>
      <w:tr w:rsidR="000509FD" w14:paraId="11F0123A" w14:textId="77777777" w:rsidTr="00F36FB3">
        <w:trPr>
          <w:trHeight w:val="620"/>
        </w:trPr>
        <w:tc>
          <w:tcPr>
            <w:tcW w:w="1480" w:type="dxa"/>
            <w:tcBorders>
              <w:top w:val="nil"/>
              <w:left w:val="single" w:sz="4" w:space="0" w:color="auto"/>
              <w:bottom w:val="nil"/>
              <w:right w:val="nil"/>
            </w:tcBorders>
            <w:shd w:val="clear" w:color="auto" w:fill="auto"/>
            <w:vAlign w:val="center"/>
            <w:hideMark/>
          </w:tcPr>
          <w:p w14:paraId="7008958B"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Stable Disease</w:t>
            </w:r>
          </w:p>
        </w:tc>
        <w:tc>
          <w:tcPr>
            <w:tcW w:w="700" w:type="dxa"/>
            <w:tcBorders>
              <w:top w:val="nil"/>
              <w:left w:val="nil"/>
              <w:bottom w:val="nil"/>
              <w:right w:val="nil"/>
            </w:tcBorders>
            <w:shd w:val="clear" w:color="auto" w:fill="auto"/>
            <w:vAlign w:val="center"/>
            <w:hideMark/>
          </w:tcPr>
          <w:p w14:paraId="145DDF00" w14:textId="77777777" w:rsidR="000509FD" w:rsidRDefault="000509FD">
            <w:pPr>
              <w:jc w:val="center"/>
              <w:rPr>
                <w:rFonts w:ascii="Calibri" w:hAnsi="Calibri" w:cs="Calibri"/>
                <w:b/>
                <w:bCs/>
                <w:color w:val="000000"/>
                <w:sz w:val="16"/>
                <w:szCs w:val="16"/>
              </w:rPr>
            </w:pPr>
          </w:p>
        </w:tc>
        <w:tc>
          <w:tcPr>
            <w:tcW w:w="761" w:type="dxa"/>
            <w:tcBorders>
              <w:top w:val="nil"/>
              <w:left w:val="nil"/>
              <w:bottom w:val="nil"/>
              <w:right w:val="nil"/>
            </w:tcBorders>
            <w:shd w:val="clear" w:color="auto" w:fill="auto"/>
            <w:vAlign w:val="center"/>
            <w:hideMark/>
          </w:tcPr>
          <w:p w14:paraId="7040ACE2" w14:textId="77777777" w:rsidR="000509FD" w:rsidRDefault="000509FD">
            <w:pPr>
              <w:jc w:val="center"/>
              <w:rPr>
                <w:sz w:val="20"/>
                <w:szCs w:val="20"/>
              </w:rPr>
            </w:pPr>
          </w:p>
        </w:tc>
        <w:tc>
          <w:tcPr>
            <w:tcW w:w="4100" w:type="dxa"/>
            <w:tcBorders>
              <w:top w:val="nil"/>
              <w:left w:val="nil"/>
              <w:bottom w:val="nil"/>
              <w:right w:val="nil"/>
            </w:tcBorders>
            <w:shd w:val="clear" w:color="auto" w:fill="auto"/>
            <w:vAlign w:val="center"/>
            <w:hideMark/>
          </w:tcPr>
          <w:p w14:paraId="7C35488B" w14:textId="77777777" w:rsidR="000509FD" w:rsidRDefault="000509FD">
            <w:pPr>
              <w:jc w:val="center"/>
              <w:rPr>
                <w:sz w:val="20"/>
                <w:szCs w:val="20"/>
              </w:rPr>
            </w:pPr>
          </w:p>
        </w:tc>
        <w:tc>
          <w:tcPr>
            <w:tcW w:w="1960" w:type="dxa"/>
            <w:tcBorders>
              <w:top w:val="nil"/>
              <w:left w:val="nil"/>
              <w:bottom w:val="nil"/>
              <w:right w:val="nil"/>
            </w:tcBorders>
            <w:shd w:val="clear" w:color="auto" w:fill="auto"/>
            <w:vAlign w:val="center"/>
            <w:hideMark/>
          </w:tcPr>
          <w:p w14:paraId="232CF2CF" w14:textId="77777777" w:rsidR="000509FD" w:rsidRDefault="000509FD">
            <w:pPr>
              <w:jc w:val="center"/>
              <w:rPr>
                <w:sz w:val="20"/>
                <w:szCs w:val="20"/>
              </w:rPr>
            </w:pPr>
          </w:p>
        </w:tc>
        <w:tc>
          <w:tcPr>
            <w:tcW w:w="3480" w:type="dxa"/>
            <w:tcBorders>
              <w:top w:val="nil"/>
              <w:left w:val="nil"/>
              <w:bottom w:val="nil"/>
              <w:right w:val="nil"/>
            </w:tcBorders>
            <w:shd w:val="clear" w:color="auto" w:fill="auto"/>
            <w:vAlign w:val="center"/>
            <w:hideMark/>
          </w:tcPr>
          <w:p w14:paraId="0E6BC1D9" w14:textId="77777777" w:rsidR="000509FD" w:rsidRDefault="000509FD">
            <w:pPr>
              <w:jc w:val="center"/>
              <w:rPr>
                <w:sz w:val="20"/>
                <w:szCs w:val="20"/>
              </w:rPr>
            </w:pPr>
          </w:p>
        </w:tc>
        <w:tc>
          <w:tcPr>
            <w:tcW w:w="2682" w:type="dxa"/>
            <w:tcBorders>
              <w:top w:val="nil"/>
              <w:left w:val="nil"/>
              <w:bottom w:val="nil"/>
              <w:right w:val="single" w:sz="4" w:space="0" w:color="auto"/>
            </w:tcBorders>
            <w:shd w:val="clear" w:color="auto" w:fill="auto"/>
            <w:vAlign w:val="center"/>
            <w:hideMark/>
          </w:tcPr>
          <w:p w14:paraId="56F862B8"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 </w:t>
            </w:r>
          </w:p>
        </w:tc>
      </w:tr>
      <w:tr w:rsidR="000509FD" w14:paraId="675BDD59"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41F7E555"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REVIVED-BCIS2</w:t>
            </w:r>
          </w:p>
        </w:tc>
        <w:tc>
          <w:tcPr>
            <w:tcW w:w="700" w:type="dxa"/>
            <w:tcBorders>
              <w:top w:val="nil"/>
              <w:left w:val="nil"/>
              <w:bottom w:val="nil"/>
              <w:right w:val="nil"/>
            </w:tcBorders>
            <w:shd w:val="clear" w:color="auto" w:fill="auto"/>
            <w:noWrap/>
            <w:vAlign w:val="center"/>
            <w:hideMark/>
          </w:tcPr>
          <w:p w14:paraId="5E25B27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2022</w:t>
            </w:r>
          </w:p>
        </w:tc>
        <w:tc>
          <w:tcPr>
            <w:tcW w:w="761" w:type="dxa"/>
            <w:tcBorders>
              <w:top w:val="nil"/>
              <w:left w:val="nil"/>
              <w:bottom w:val="nil"/>
              <w:right w:val="nil"/>
            </w:tcBorders>
            <w:shd w:val="clear" w:color="auto" w:fill="auto"/>
            <w:noWrap/>
            <w:vAlign w:val="center"/>
            <w:hideMark/>
          </w:tcPr>
          <w:p w14:paraId="673B543E"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700</w:t>
            </w:r>
          </w:p>
        </w:tc>
        <w:tc>
          <w:tcPr>
            <w:tcW w:w="4100" w:type="dxa"/>
            <w:tcBorders>
              <w:top w:val="nil"/>
              <w:left w:val="nil"/>
              <w:bottom w:val="nil"/>
              <w:right w:val="nil"/>
            </w:tcBorders>
            <w:shd w:val="clear" w:color="auto" w:fill="auto"/>
            <w:vAlign w:val="center"/>
            <w:hideMark/>
          </w:tcPr>
          <w:p w14:paraId="6A1BBB64"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Stable patients with severe ischemic cardiomyopathy</w:t>
            </w:r>
          </w:p>
        </w:tc>
        <w:tc>
          <w:tcPr>
            <w:tcW w:w="1960" w:type="dxa"/>
            <w:tcBorders>
              <w:top w:val="nil"/>
              <w:left w:val="nil"/>
              <w:bottom w:val="nil"/>
              <w:right w:val="nil"/>
            </w:tcBorders>
            <w:shd w:val="clear" w:color="auto" w:fill="auto"/>
            <w:noWrap/>
            <w:vAlign w:val="center"/>
            <w:hideMark/>
          </w:tcPr>
          <w:p w14:paraId="44F0E89C"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PCI + OMT vs OMT</w:t>
            </w:r>
          </w:p>
        </w:tc>
        <w:tc>
          <w:tcPr>
            <w:tcW w:w="3480" w:type="dxa"/>
            <w:tcBorders>
              <w:top w:val="nil"/>
              <w:left w:val="nil"/>
              <w:bottom w:val="nil"/>
              <w:right w:val="nil"/>
            </w:tcBorders>
            <w:shd w:val="clear" w:color="auto" w:fill="auto"/>
            <w:vAlign w:val="center"/>
            <w:hideMark/>
          </w:tcPr>
          <w:p w14:paraId="6918771F"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Primary composite outcome: death from any cause or hospitalization for heart failure</w:t>
            </w:r>
          </w:p>
        </w:tc>
        <w:tc>
          <w:tcPr>
            <w:tcW w:w="2682" w:type="dxa"/>
            <w:tcBorders>
              <w:top w:val="nil"/>
              <w:left w:val="nil"/>
              <w:bottom w:val="nil"/>
              <w:right w:val="single" w:sz="4" w:space="0" w:color="auto"/>
            </w:tcBorders>
            <w:shd w:val="clear" w:color="auto" w:fill="auto"/>
            <w:vAlign w:val="center"/>
            <w:hideMark/>
          </w:tcPr>
          <w:p w14:paraId="6A9EC0EB"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37.2% PCI vs 38.0% OMT (p = 0.96).</w:t>
            </w:r>
          </w:p>
        </w:tc>
      </w:tr>
      <w:tr w:rsidR="000509FD" w14:paraId="17DE52C9"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4A478157"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ISCHEMIA</w:t>
            </w:r>
          </w:p>
        </w:tc>
        <w:tc>
          <w:tcPr>
            <w:tcW w:w="700" w:type="dxa"/>
            <w:tcBorders>
              <w:top w:val="nil"/>
              <w:left w:val="nil"/>
              <w:bottom w:val="nil"/>
              <w:right w:val="nil"/>
            </w:tcBorders>
            <w:shd w:val="clear" w:color="auto" w:fill="auto"/>
            <w:noWrap/>
            <w:vAlign w:val="center"/>
            <w:hideMark/>
          </w:tcPr>
          <w:p w14:paraId="3439B09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2020</w:t>
            </w:r>
          </w:p>
        </w:tc>
        <w:tc>
          <w:tcPr>
            <w:tcW w:w="761" w:type="dxa"/>
            <w:tcBorders>
              <w:top w:val="nil"/>
              <w:left w:val="nil"/>
              <w:bottom w:val="nil"/>
              <w:right w:val="nil"/>
            </w:tcBorders>
            <w:shd w:val="clear" w:color="auto" w:fill="auto"/>
            <w:noWrap/>
            <w:vAlign w:val="center"/>
            <w:hideMark/>
          </w:tcPr>
          <w:p w14:paraId="24374281"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5179</w:t>
            </w:r>
          </w:p>
        </w:tc>
        <w:tc>
          <w:tcPr>
            <w:tcW w:w="4100" w:type="dxa"/>
            <w:tcBorders>
              <w:top w:val="nil"/>
              <w:left w:val="nil"/>
              <w:bottom w:val="nil"/>
              <w:right w:val="nil"/>
            </w:tcBorders>
            <w:shd w:val="clear" w:color="auto" w:fill="auto"/>
            <w:vAlign w:val="center"/>
            <w:hideMark/>
          </w:tcPr>
          <w:p w14:paraId="76FF1F8F"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Stable coronary disease and moderate or severe ischemia</w:t>
            </w:r>
          </w:p>
        </w:tc>
        <w:tc>
          <w:tcPr>
            <w:tcW w:w="1960" w:type="dxa"/>
            <w:tcBorders>
              <w:top w:val="nil"/>
              <w:left w:val="nil"/>
              <w:bottom w:val="nil"/>
              <w:right w:val="nil"/>
            </w:tcBorders>
            <w:shd w:val="clear" w:color="auto" w:fill="auto"/>
            <w:vAlign w:val="center"/>
            <w:hideMark/>
          </w:tcPr>
          <w:p w14:paraId="346AA2D7"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 xml:space="preserve">Initial invasive strategy + OMT vs OMT </w:t>
            </w:r>
          </w:p>
        </w:tc>
        <w:tc>
          <w:tcPr>
            <w:tcW w:w="3480" w:type="dxa"/>
            <w:tcBorders>
              <w:top w:val="nil"/>
              <w:left w:val="nil"/>
              <w:bottom w:val="nil"/>
              <w:right w:val="nil"/>
            </w:tcBorders>
            <w:shd w:val="clear" w:color="auto" w:fill="auto"/>
            <w:vAlign w:val="center"/>
            <w:hideMark/>
          </w:tcPr>
          <w:p w14:paraId="79F5EF8A"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Composite of CV death, MI, or hospitalization for unstable angina, heart failure, or cardiac arrest</w:t>
            </w:r>
          </w:p>
        </w:tc>
        <w:tc>
          <w:tcPr>
            <w:tcW w:w="2682" w:type="dxa"/>
            <w:tcBorders>
              <w:top w:val="nil"/>
              <w:left w:val="nil"/>
              <w:bottom w:val="nil"/>
              <w:right w:val="single" w:sz="4" w:space="0" w:color="auto"/>
            </w:tcBorders>
            <w:shd w:val="clear" w:color="auto" w:fill="auto"/>
            <w:vAlign w:val="center"/>
            <w:hideMark/>
          </w:tcPr>
          <w:p w14:paraId="6AF36E6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16.4% invasive and 18.2% conservative (p=NS)</w:t>
            </w:r>
          </w:p>
        </w:tc>
      </w:tr>
      <w:tr w:rsidR="000509FD" w14:paraId="2AD859CD"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471AB0E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ORBITA</w:t>
            </w:r>
          </w:p>
        </w:tc>
        <w:tc>
          <w:tcPr>
            <w:tcW w:w="700" w:type="dxa"/>
            <w:tcBorders>
              <w:top w:val="nil"/>
              <w:left w:val="nil"/>
              <w:bottom w:val="nil"/>
              <w:right w:val="nil"/>
            </w:tcBorders>
            <w:shd w:val="clear" w:color="auto" w:fill="auto"/>
            <w:noWrap/>
            <w:vAlign w:val="center"/>
            <w:hideMark/>
          </w:tcPr>
          <w:p w14:paraId="660062A1"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2018</w:t>
            </w:r>
          </w:p>
        </w:tc>
        <w:tc>
          <w:tcPr>
            <w:tcW w:w="761" w:type="dxa"/>
            <w:tcBorders>
              <w:top w:val="nil"/>
              <w:left w:val="nil"/>
              <w:bottom w:val="nil"/>
              <w:right w:val="nil"/>
            </w:tcBorders>
            <w:shd w:val="clear" w:color="auto" w:fill="auto"/>
            <w:noWrap/>
            <w:vAlign w:val="center"/>
            <w:hideMark/>
          </w:tcPr>
          <w:p w14:paraId="37D4B1DA"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230</w:t>
            </w:r>
          </w:p>
        </w:tc>
        <w:tc>
          <w:tcPr>
            <w:tcW w:w="4100" w:type="dxa"/>
            <w:tcBorders>
              <w:top w:val="nil"/>
              <w:left w:val="nil"/>
              <w:bottom w:val="nil"/>
              <w:right w:val="nil"/>
            </w:tcBorders>
            <w:shd w:val="clear" w:color="auto" w:fill="auto"/>
            <w:vAlign w:val="center"/>
            <w:hideMark/>
          </w:tcPr>
          <w:p w14:paraId="75B7B93B"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 xml:space="preserve">Stable angina with ischaemic symptoms </w:t>
            </w:r>
          </w:p>
        </w:tc>
        <w:tc>
          <w:tcPr>
            <w:tcW w:w="1960" w:type="dxa"/>
            <w:tcBorders>
              <w:top w:val="nil"/>
              <w:left w:val="nil"/>
              <w:bottom w:val="nil"/>
              <w:right w:val="nil"/>
            </w:tcBorders>
            <w:shd w:val="clear" w:color="auto" w:fill="auto"/>
            <w:noWrap/>
            <w:vAlign w:val="center"/>
            <w:hideMark/>
          </w:tcPr>
          <w:p w14:paraId="2449FFC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PCI + OMT vs Placebo + OMT</w:t>
            </w:r>
          </w:p>
        </w:tc>
        <w:tc>
          <w:tcPr>
            <w:tcW w:w="3480" w:type="dxa"/>
            <w:tcBorders>
              <w:top w:val="nil"/>
              <w:left w:val="nil"/>
              <w:bottom w:val="nil"/>
              <w:right w:val="nil"/>
            </w:tcBorders>
            <w:shd w:val="clear" w:color="auto" w:fill="auto"/>
            <w:vAlign w:val="center"/>
            <w:hideMark/>
          </w:tcPr>
          <w:p w14:paraId="45E53135"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Difference in exercise time increment </w:t>
            </w:r>
          </w:p>
        </w:tc>
        <w:tc>
          <w:tcPr>
            <w:tcW w:w="2682" w:type="dxa"/>
            <w:tcBorders>
              <w:top w:val="nil"/>
              <w:left w:val="nil"/>
              <w:bottom w:val="nil"/>
              <w:right w:val="single" w:sz="4" w:space="0" w:color="auto"/>
            </w:tcBorders>
            <w:shd w:val="clear" w:color="auto" w:fill="auto"/>
            <w:vAlign w:val="center"/>
            <w:hideMark/>
          </w:tcPr>
          <w:p w14:paraId="049D8A89"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PCI minus placebo: 16.6 s, 95% CI -8·9 to 42·0, p=0.200</w:t>
            </w:r>
          </w:p>
        </w:tc>
      </w:tr>
      <w:tr w:rsidR="000509FD" w14:paraId="1D4C968D"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48F9D182"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SYNTAXES</w:t>
            </w:r>
          </w:p>
        </w:tc>
        <w:tc>
          <w:tcPr>
            <w:tcW w:w="700" w:type="dxa"/>
            <w:tcBorders>
              <w:top w:val="nil"/>
              <w:left w:val="nil"/>
              <w:bottom w:val="nil"/>
              <w:right w:val="nil"/>
            </w:tcBorders>
            <w:shd w:val="clear" w:color="auto" w:fill="auto"/>
            <w:noWrap/>
            <w:vAlign w:val="center"/>
            <w:hideMark/>
          </w:tcPr>
          <w:p w14:paraId="32E73F5F"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2019</w:t>
            </w:r>
          </w:p>
        </w:tc>
        <w:tc>
          <w:tcPr>
            <w:tcW w:w="761" w:type="dxa"/>
            <w:tcBorders>
              <w:top w:val="nil"/>
              <w:left w:val="nil"/>
              <w:bottom w:val="nil"/>
              <w:right w:val="nil"/>
            </w:tcBorders>
            <w:shd w:val="clear" w:color="auto" w:fill="auto"/>
            <w:noWrap/>
            <w:vAlign w:val="center"/>
            <w:hideMark/>
          </w:tcPr>
          <w:p w14:paraId="6C76DC8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1800</w:t>
            </w:r>
          </w:p>
        </w:tc>
        <w:tc>
          <w:tcPr>
            <w:tcW w:w="4100" w:type="dxa"/>
            <w:tcBorders>
              <w:top w:val="nil"/>
              <w:left w:val="nil"/>
              <w:bottom w:val="nil"/>
              <w:right w:val="nil"/>
            </w:tcBorders>
            <w:shd w:val="clear" w:color="auto" w:fill="auto"/>
            <w:vAlign w:val="center"/>
            <w:hideMark/>
          </w:tcPr>
          <w:p w14:paraId="26F61529"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De-novo three-vessel and left main coronary artery disease (Angina or Asymptomatic myocardial ischaemia)</w:t>
            </w:r>
          </w:p>
        </w:tc>
        <w:tc>
          <w:tcPr>
            <w:tcW w:w="1960" w:type="dxa"/>
            <w:tcBorders>
              <w:top w:val="nil"/>
              <w:left w:val="nil"/>
              <w:bottom w:val="nil"/>
              <w:right w:val="nil"/>
            </w:tcBorders>
            <w:shd w:val="clear" w:color="auto" w:fill="auto"/>
            <w:noWrap/>
            <w:vAlign w:val="center"/>
            <w:hideMark/>
          </w:tcPr>
          <w:p w14:paraId="499686B5"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PCI vs CABG</w:t>
            </w:r>
          </w:p>
        </w:tc>
        <w:tc>
          <w:tcPr>
            <w:tcW w:w="3480" w:type="dxa"/>
            <w:tcBorders>
              <w:top w:val="nil"/>
              <w:left w:val="nil"/>
              <w:bottom w:val="nil"/>
              <w:right w:val="nil"/>
            </w:tcBorders>
            <w:shd w:val="clear" w:color="auto" w:fill="auto"/>
            <w:noWrap/>
            <w:vAlign w:val="center"/>
            <w:hideMark/>
          </w:tcPr>
          <w:p w14:paraId="2EBAAC2A" w14:textId="77777777" w:rsidR="000509FD" w:rsidRDefault="000509FD">
            <w:pPr>
              <w:jc w:val="center"/>
              <w:rPr>
                <w:rFonts w:ascii="Calibri" w:hAnsi="Calibri" w:cs="Calibri"/>
                <w:color w:val="000000"/>
                <w:sz w:val="16"/>
                <w:szCs w:val="16"/>
              </w:rPr>
            </w:pPr>
            <w:proofErr w:type="gramStart"/>
            <w:r>
              <w:rPr>
                <w:rFonts w:ascii="Calibri" w:hAnsi="Calibri" w:cs="Calibri"/>
                <w:color w:val="000000"/>
                <w:sz w:val="16"/>
                <w:szCs w:val="16"/>
              </w:rPr>
              <w:t>10 year</w:t>
            </w:r>
            <w:proofErr w:type="gramEnd"/>
            <w:r>
              <w:rPr>
                <w:rFonts w:ascii="Calibri" w:hAnsi="Calibri" w:cs="Calibri"/>
                <w:color w:val="000000"/>
                <w:sz w:val="16"/>
                <w:szCs w:val="16"/>
              </w:rPr>
              <w:t xml:space="preserve"> all-cause death</w:t>
            </w:r>
          </w:p>
        </w:tc>
        <w:tc>
          <w:tcPr>
            <w:tcW w:w="2682" w:type="dxa"/>
            <w:tcBorders>
              <w:top w:val="nil"/>
              <w:left w:val="nil"/>
              <w:bottom w:val="nil"/>
              <w:right w:val="single" w:sz="4" w:space="0" w:color="auto"/>
            </w:tcBorders>
            <w:shd w:val="clear" w:color="auto" w:fill="auto"/>
            <w:vAlign w:val="center"/>
            <w:hideMark/>
          </w:tcPr>
          <w:p w14:paraId="4A6B9C0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10 year all cause death: 28% PCI vs 24% CABG (p=0.066)</w:t>
            </w:r>
          </w:p>
        </w:tc>
      </w:tr>
      <w:tr w:rsidR="000509FD" w14:paraId="3FB0AD21"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1E385DF1"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ACS</w:t>
            </w:r>
          </w:p>
        </w:tc>
        <w:tc>
          <w:tcPr>
            <w:tcW w:w="700" w:type="dxa"/>
            <w:tcBorders>
              <w:top w:val="nil"/>
              <w:left w:val="nil"/>
              <w:bottom w:val="nil"/>
              <w:right w:val="nil"/>
            </w:tcBorders>
            <w:shd w:val="clear" w:color="auto" w:fill="auto"/>
            <w:noWrap/>
            <w:vAlign w:val="center"/>
            <w:hideMark/>
          </w:tcPr>
          <w:p w14:paraId="73789B4C" w14:textId="77777777" w:rsidR="000509FD" w:rsidRDefault="000509FD">
            <w:pPr>
              <w:jc w:val="center"/>
              <w:rPr>
                <w:rFonts w:ascii="Calibri" w:hAnsi="Calibri" w:cs="Calibri"/>
                <w:b/>
                <w:bCs/>
                <w:color w:val="000000"/>
                <w:sz w:val="16"/>
                <w:szCs w:val="16"/>
              </w:rPr>
            </w:pPr>
          </w:p>
        </w:tc>
        <w:tc>
          <w:tcPr>
            <w:tcW w:w="761" w:type="dxa"/>
            <w:tcBorders>
              <w:top w:val="nil"/>
              <w:left w:val="nil"/>
              <w:bottom w:val="nil"/>
              <w:right w:val="nil"/>
            </w:tcBorders>
            <w:shd w:val="clear" w:color="auto" w:fill="auto"/>
            <w:noWrap/>
            <w:vAlign w:val="center"/>
            <w:hideMark/>
          </w:tcPr>
          <w:p w14:paraId="74EAAE03" w14:textId="77777777" w:rsidR="000509FD" w:rsidRDefault="000509FD">
            <w:pPr>
              <w:jc w:val="center"/>
              <w:rPr>
                <w:sz w:val="20"/>
                <w:szCs w:val="20"/>
              </w:rPr>
            </w:pPr>
          </w:p>
        </w:tc>
        <w:tc>
          <w:tcPr>
            <w:tcW w:w="4100" w:type="dxa"/>
            <w:tcBorders>
              <w:top w:val="nil"/>
              <w:left w:val="nil"/>
              <w:bottom w:val="nil"/>
              <w:right w:val="nil"/>
            </w:tcBorders>
            <w:shd w:val="clear" w:color="auto" w:fill="auto"/>
            <w:noWrap/>
            <w:vAlign w:val="center"/>
            <w:hideMark/>
          </w:tcPr>
          <w:p w14:paraId="6A22AF95" w14:textId="77777777" w:rsidR="000509FD" w:rsidRDefault="000509FD">
            <w:pPr>
              <w:jc w:val="center"/>
              <w:rPr>
                <w:sz w:val="20"/>
                <w:szCs w:val="20"/>
              </w:rPr>
            </w:pPr>
          </w:p>
        </w:tc>
        <w:tc>
          <w:tcPr>
            <w:tcW w:w="1960" w:type="dxa"/>
            <w:tcBorders>
              <w:top w:val="nil"/>
              <w:left w:val="nil"/>
              <w:bottom w:val="nil"/>
              <w:right w:val="nil"/>
            </w:tcBorders>
            <w:shd w:val="clear" w:color="auto" w:fill="auto"/>
            <w:noWrap/>
            <w:vAlign w:val="center"/>
            <w:hideMark/>
          </w:tcPr>
          <w:p w14:paraId="4FB6E921" w14:textId="77777777" w:rsidR="000509FD" w:rsidRDefault="000509FD">
            <w:pPr>
              <w:jc w:val="center"/>
              <w:rPr>
                <w:sz w:val="20"/>
                <w:szCs w:val="20"/>
              </w:rPr>
            </w:pPr>
          </w:p>
        </w:tc>
        <w:tc>
          <w:tcPr>
            <w:tcW w:w="3480" w:type="dxa"/>
            <w:tcBorders>
              <w:top w:val="nil"/>
              <w:left w:val="nil"/>
              <w:bottom w:val="nil"/>
              <w:right w:val="nil"/>
            </w:tcBorders>
            <w:shd w:val="clear" w:color="auto" w:fill="auto"/>
            <w:noWrap/>
            <w:vAlign w:val="center"/>
            <w:hideMark/>
          </w:tcPr>
          <w:p w14:paraId="371A7673" w14:textId="77777777" w:rsidR="000509FD" w:rsidRDefault="000509FD">
            <w:pPr>
              <w:jc w:val="center"/>
              <w:rPr>
                <w:sz w:val="20"/>
                <w:szCs w:val="20"/>
              </w:rPr>
            </w:pPr>
          </w:p>
        </w:tc>
        <w:tc>
          <w:tcPr>
            <w:tcW w:w="2682" w:type="dxa"/>
            <w:tcBorders>
              <w:top w:val="nil"/>
              <w:left w:val="nil"/>
              <w:bottom w:val="nil"/>
              <w:right w:val="single" w:sz="4" w:space="0" w:color="auto"/>
            </w:tcBorders>
            <w:shd w:val="clear" w:color="auto" w:fill="auto"/>
            <w:noWrap/>
            <w:vAlign w:val="center"/>
            <w:hideMark/>
          </w:tcPr>
          <w:p w14:paraId="0D3EDCFE"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 </w:t>
            </w:r>
          </w:p>
        </w:tc>
      </w:tr>
      <w:tr w:rsidR="000509FD" w14:paraId="264C6724"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77EE8EF2"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COMPLETE</w:t>
            </w:r>
          </w:p>
        </w:tc>
        <w:tc>
          <w:tcPr>
            <w:tcW w:w="700" w:type="dxa"/>
            <w:tcBorders>
              <w:top w:val="nil"/>
              <w:left w:val="nil"/>
              <w:bottom w:val="nil"/>
              <w:right w:val="nil"/>
            </w:tcBorders>
            <w:shd w:val="clear" w:color="auto" w:fill="auto"/>
            <w:noWrap/>
            <w:vAlign w:val="center"/>
            <w:hideMark/>
          </w:tcPr>
          <w:p w14:paraId="15EED074"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2019</w:t>
            </w:r>
          </w:p>
        </w:tc>
        <w:tc>
          <w:tcPr>
            <w:tcW w:w="761" w:type="dxa"/>
            <w:tcBorders>
              <w:top w:val="nil"/>
              <w:left w:val="nil"/>
              <w:bottom w:val="nil"/>
              <w:right w:val="nil"/>
            </w:tcBorders>
            <w:shd w:val="clear" w:color="auto" w:fill="auto"/>
            <w:noWrap/>
            <w:vAlign w:val="center"/>
            <w:hideMark/>
          </w:tcPr>
          <w:p w14:paraId="05BFB368"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4041</w:t>
            </w:r>
          </w:p>
        </w:tc>
        <w:tc>
          <w:tcPr>
            <w:tcW w:w="4100" w:type="dxa"/>
            <w:tcBorders>
              <w:top w:val="nil"/>
              <w:left w:val="nil"/>
              <w:bottom w:val="nil"/>
              <w:right w:val="nil"/>
            </w:tcBorders>
            <w:shd w:val="clear" w:color="auto" w:fill="auto"/>
            <w:noWrap/>
            <w:vAlign w:val="center"/>
            <w:hideMark/>
          </w:tcPr>
          <w:p w14:paraId="26525847"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STEMI and MVD</w:t>
            </w:r>
          </w:p>
        </w:tc>
        <w:tc>
          <w:tcPr>
            <w:tcW w:w="1960" w:type="dxa"/>
            <w:tcBorders>
              <w:top w:val="nil"/>
              <w:left w:val="nil"/>
              <w:bottom w:val="nil"/>
              <w:right w:val="nil"/>
            </w:tcBorders>
            <w:shd w:val="clear" w:color="auto" w:fill="auto"/>
            <w:noWrap/>
            <w:vAlign w:val="center"/>
            <w:hideMark/>
          </w:tcPr>
          <w:p w14:paraId="401157D0"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Culprit vs Complete Revasc</w:t>
            </w:r>
          </w:p>
        </w:tc>
        <w:tc>
          <w:tcPr>
            <w:tcW w:w="3480" w:type="dxa"/>
            <w:tcBorders>
              <w:top w:val="nil"/>
              <w:left w:val="nil"/>
              <w:bottom w:val="nil"/>
              <w:right w:val="nil"/>
            </w:tcBorders>
            <w:shd w:val="clear" w:color="auto" w:fill="auto"/>
            <w:vAlign w:val="center"/>
            <w:hideMark/>
          </w:tcPr>
          <w:p w14:paraId="74628CFE"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Cardiovascular death or myocardial infarction</w:t>
            </w:r>
          </w:p>
        </w:tc>
        <w:tc>
          <w:tcPr>
            <w:tcW w:w="2682" w:type="dxa"/>
            <w:tcBorders>
              <w:top w:val="nil"/>
              <w:left w:val="nil"/>
              <w:bottom w:val="nil"/>
              <w:right w:val="single" w:sz="4" w:space="0" w:color="auto"/>
            </w:tcBorders>
            <w:shd w:val="clear" w:color="auto" w:fill="auto"/>
            <w:vAlign w:val="center"/>
            <w:hideMark/>
          </w:tcPr>
          <w:p w14:paraId="03C7E297"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7.8% Complete vs 10.5% Culprit (p=0.004)</w:t>
            </w:r>
          </w:p>
        </w:tc>
      </w:tr>
      <w:tr w:rsidR="000509FD" w14:paraId="0837037F" w14:textId="77777777" w:rsidTr="00F36FB3">
        <w:trPr>
          <w:trHeight w:val="620"/>
        </w:trPr>
        <w:tc>
          <w:tcPr>
            <w:tcW w:w="1480" w:type="dxa"/>
            <w:tcBorders>
              <w:top w:val="nil"/>
              <w:left w:val="single" w:sz="4" w:space="0" w:color="auto"/>
              <w:bottom w:val="nil"/>
              <w:right w:val="nil"/>
            </w:tcBorders>
            <w:shd w:val="clear" w:color="auto" w:fill="auto"/>
            <w:noWrap/>
            <w:vAlign w:val="center"/>
            <w:hideMark/>
          </w:tcPr>
          <w:p w14:paraId="5C1D90F7" w14:textId="77777777" w:rsidR="000509FD" w:rsidRDefault="000509FD">
            <w:pPr>
              <w:jc w:val="center"/>
              <w:rPr>
                <w:rFonts w:ascii="Calibri" w:hAnsi="Calibri" w:cs="Calibri"/>
                <w:b/>
                <w:bCs/>
                <w:color w:val="000000"/>
                <w:sz w:val="16"/>
                <w:szCs w:val="16"/>
              </w:rPr>
            </w:pPr>
            <w:r>
              <w:rPr>
                <w:rFonts w:ascii="Calibri" w:hAnsi="Calibri" w:cs="Calibri"/>
                <w:b/>
                <w:bCs/>
                <w:color w:val="000000"/>
                <w:sz w:val="16"/>
                <w:szCs w:val="16"/>
              </w:rPr>
              <w:t xml:space="preserve">Antiplatelet </w:t>
            </w:r>
          </w:p>
        </w:tc>
        <w:tc>
          <w:tcPr>
            <w:tcW w:w="700" w:type="dxa"/>
            <w:tcBorders>
              <w:top w:val="nil"/>
              <w:left w:val="nil"/>
              <w:bottom w:val="nil"/>
              <w:right w:val="nil"/>
            </w:tcBorders>
            <w:shd w:val="clear" w:color="auto" w:fill="auto"/>
            <w:noWrap/>
            <w:vAlign w:val="center"/>
            <w:hideMark/>
          </w:tcPr>
          <w:p w14:paraId="754F391B" w14:textId="77777777" w:rsidR="000509FD" w:rsidRDefault="000509FD">
            <w:pPr>
              <w:jc w:val="center"/>
              <w:rPr>
                <w:rFonts w:ascii="Calibri" w:hAnsi="Calibri" w:cs="Calibri"/>
                <w:b/>
                <w:bCs/>
                <w:color w:val="000000"/>
                <w:sz w:val="16"/>
                <w:szCs w:val="16"/>
              </w:rPr>
            </w:pPr>
          </w:p>
        </w:tc>
        <w:tc>
          <w:tcPr>
            <w:tcW w:w="761" w:type="dxa"/>
            <w:tcBorders>
              <w:top w:val="nil"/>
              <w:left w:val="nil"/>
              <w:bottom w:val="nil"/>
              <w:right w:val="nil"/>
            </w:tcBorders>
            <w:shd w:val="clear" w:color="auto" w:fill="auto"/>
            <w:noWrap/>
            <w:vAlign w:val="center"/>
            <w:hideMark/>
          </w:tcPr>
          <w:p w14:paraId="7B4EB7CB" w14:textId="77777777" w:rsidR="000509FD" w:rsidRDefault="000509FD">
            <w:pPr>
              <w:jc w:val="center"/>
              <w:rPr>
                <w:sz w:val="20"/>
                <w:szCs w:val="20"/>
              </w:rPr>
            </w:pPr>
          </w:p>
        </w:tc>
        <w:tc>
          <w:tcPr>
            <w:tcW w:w="4100" w:type="dxa"/>
            <w:tcBorders>
              <w:top w:val="nil"/>
              <w:left w:val="nil"/>
              <w:bottom w:val="nil"/>
              <w:right w:val="nil"/>
            </w:tcBorders>
            <w:shd w:val="clear" w:color="auto" w:fill="auto"/>
            <w:noWrap/>
            <w:vAlign w:val="center"/>
            <w:hideMark/>
          </w:tcPr>
          <w:p w14:paraId="15EDD1AC" w14:textId="77777777" w:rsidR="000509FD" w:rsidRDefault="000509FD">
            <w:pPr>
              <w:jc w:val="center"/>
              <w:rPr>
                <w:sz w:val="20"/>
                <w:szCs w:val="20"/>
              </w:rPr>
            </w:pPr>
          </w:p>
        </w:tc>
        <w:tc>
          <w:tcPr>
            <w:tcW w:w="1960" w:type="dxa"/>
            <w:tcBorders>
              <w:top w:val="nil"/>
              <w:left w:val="nil"/>
              <w:bottom w:val="nil"/>
              <w:right w:val="nil"/>
            </w:tcBorders>
            <w:shd w:val="clear" w:color="auto" w:fill="auto"/>
            <w:vAlign w:val="center"/>
            <w:hideMark/>
          </w:tcPr>
          <w:p w14:paraId="5F916EC0" w14:textId="77777777" w:rsidR="000509FD" w:rsidRDefault="000509FD">
            <w:pPr>
              <w:jc w:val="center"/>
              <w:rPr>
                <w:sz w:val="20"/>
                <w:szCs w:val="20"/>
              </w:rPr>
            </w:pPr>
          </w:p>
        </w:tc>
        <w:tc>
          <w:tcPr>
            <w:tcW w:w="3480" w:type="dxa"/>
            <w:tcBorders>
              <w:top w:val="nil"/>
              <w:left w:val="nil"/>
              <w:bottom w:val="nil"/>
              <w:right w:val="nil"/>
            </w:tcBorders>
            <w:shd w:val="clear" w:color="auto" w:fill="auto"/>
            <w:noWrap/>
            <w:vAlign w:val="center"/>
            <w:hideMark/>
          </w:tcPr>
          <w:p w14:paraId="6952AF96" w14:textId="77777777" w:rsidR="000509FD" w:rsidRDefault="000509FD">
            <w:pPr>
              <w:jc w:val="center"/>
              <w:rPr>
                <w:sz w:val="20"/>
                <w:szCs w:val="20"/>
              </w:rPr>
            </w:pPr>
          </w:p>
        </w:tc>
        <w:tc>
          <w:tcPr>
            <w:tcW w:w="2682" w:type="dxa"/>
            <w:tcBorders>
              <w:top w:val="nil"/>
              <w:left w:val="nil"/>
              <w:bottom w:val="nil"/>
              <w:right w:val="single" w:sz="4" w:space="0" w:color="auto"/>
            </w:tcBorders>
            <w:shd w:val="clear" w:color="auto" w:fill="auto"/>
            <w:noWrap/>
            <w:vAlign w:val="center"/>
            <w:hideMark/>
          </w:tcPr>
          <w:p w14:paraId="242706A7"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 </w:t>
            </w:r>
          </w:p>
        </w:tc>
      </w:tr>
      <w:tr w:rsidR="000509FD" w14:paraId="5F637745" w14:textId="77777777" w:rsidTr="00F36FB3">
        <w:trPr>
          <w:trHeight w:val="620"/>
        </w:trPr>
        <w:tc>
          <w:tcPr>
            <w:tcW w:w="1480" w:type="dxa"/>
            <w:tcBorders>
              <w:top w:val="nil"/>
              <w:left w:val="single" w:sz="4" w:space="0" w:color="auto"/>
              <w:bottom w:val="single" w:sz="4" w:space="0" w:color="auto"/>
              <w:right w:val="nil"/>
            </w:tcBorders>
            <w:shd w:val="clear" w:color="auto" w:fill="auto"/>
            <w:noWrap/>
            <w:vAlign w:val="center"/>
            <w:hideMark/>
          </w:tcPr>
          <w:p w14:paraId="418DD5E9"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ISAR-REACT 5</w:t>
            </w:r>
          </w:p>
        </w:tc>
        <w:tc>
          <w:tcPr>
            <w:tcW w:w="700" w:type="dxa"/>
            <w:tcBorders>
              <w:top w:val="nil"/>
              <w:left w:val="nil"/>
              <w:bottom w:val="single" w:sz="4" w:space="0" w:color="auto"/>
              <w:right w:val="nil"/>
            </w:tcBorders>
            <w:shd w:val="clear" w:color="auto" w:fill="auto"/>
            <w:noWrap/>
            <w:vAlign w:val="center"/>
            <w:hideMark/>
          </w:tcPr>
          <w:p w14:paraId="79541D03"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2019</w:t>
            </w:r>
          </w:p>
        </w:tc>
        <w:tc>
          <w:tcPr>
            <w:tcW w:w="761" w:type="dxa"/>
            <w:tcBorders>
              <w:top w:val="nil"/>
              <w:left w:val="nil"/>
              <w:bottom w:val="single" w:sz="4" w:space="0" w:color="auto"/>
              <w:right w:val="nil"/>
            </w:tcBorders>
            <w:shd w:val="clear" w:color="auto" w:fill="auto"/>
            <w:noWrap/>
            <w:vAlign w:val="center"/>
            <w:hideMark/>
          </w:tcPr>
          <w:p w14:paraId="2AEA0656"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4018</w:t>
            </w:r>
          </w:p>
        </w:tc>
        <w:tc>
          <w:tcPr>
            <w:tcW w:w="4100" w:type="dxa"/>
            <w:tcBorders>
              <w:top w:val="nil"/>
              <w:left w:val="nil"/>
              <w:bottom w:val="single" w:sz="4" w:space="0" w:color="auto"/>
              <w:right w:val="nil"/>
            </w:tcBorders>
            <w:shd w:val="clear" w:color="auto" w:fill="auto"/>
            <w:noWrap/>
            <w:vAlign w:val="center"/>
            <w:hideMark/>
          </w:tcPr>
          <w:p w14:paraId="6F01C9A9"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Acute Coronary Syndrome</w:t>
            </w:r>
          </w:p>
        </w:tc>
        <w:tc>
          <w:tcPr>
            <w:tcW w:w="1960" w:type="dxa"/>
            <w:tcBorders>
              <w:top w:val="nil"/>
              <w:left w:val="nil"/>
              <w:bottom w:val="single" w:sz="4" w:space="0" w:color="auto"/>
              <w:right w:val="nil"/>
            </w:tcBorders>
            <w:shd w:val="clear" w:color="auto" w:fill="auto"/>
            <w:noWrap/>
            <w:vAlign w:val="center"/>
            <w:hideMark/>
          </w:tcPr>
          <w:p w14:paraId="32A24FFB"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Ticagrelor vs Prasugrel</w:t>
            </w:r>
          </w:p>
        </w:tc>
        <w:tc>
          <w:tcPr>
            <w:tcW w:w="3480" w:type="dxa"/>
            <w:tcBorders>
              <w:top w:val="nil"/>
              <w:left w:val="nil"/>
              <w:bottom w:val="single" w:sz="4" w:space="0" w:color="auto"/>
              <w:right w:val="nil"/>
            </w:tcBorders>
            <w:shd w:val="clear" w:color="auto" w:fill="auto"/>
            <w:noWrap/>
            <w:vAlign w:val="center"/>
            <w:hideMark/>
          </w:tcPr>
          <w:p w14:paraId="17E32621"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Death, myocardial infarction, or stroke</w:t>
            </w:r>
          </w:p>
        </w:tc>
        <w:tc>
          <w:tcPr>
            <w:tcW w:w="2682" w:type="dxa"/>
            <w:tcBorders>
              <w:top w:val="nil"/>
              <w:left w:val="nil"/>
              <w:bottom w:val="single" w:sz="4" w:space="0" w:color="auto"/>
              <w:right w:val="single" w:sz="4" w:space="0" w:color="auto"/>
            </w:tcBorders>
            <w:shd w:val="clear" w:color="auto" w:fill="auto"/>
            <w:vAlign w:val="center"/>
            <w:hideMark/>
          </w:tcPr>
          <w:p w14:paraId="003A8095" w14:textId="77777777" w:rsidR="000509FD" w:rsidRDefault="000509FD">
            <w:pPr>
              <w:jc w:val="center"/>
              <w:rPr>
                <w:rFonts w:ascii="Calibri" w:hAnsi="Calibri" w:cs="Calibri"/>
                <w:color w:val="000000"/>
                <w:sz w:val="16"/>
                <w:szCs w:val="16"/>
              </w:rPr>
            </w:pPr>
            <w:r>
              <w:rPr>
                <w:rFonts w:ascii="Calibri" w:hAnsi="Calibri" w:cs="Calibri"/>
                <w:color w:val="000000"/>
                <w:sz w:val="16"/>
                <w:szCs w:val="16"/>
              </w:rPr>
              <w:t>9.3% Ticagrelor vs 6.9% Prasugrel (p=0.006)</w:t>
            </w:r>
          </w:p>
        </w:tc>
      </w:tr>
    </w:tbl>
    <w:p w14:paraId="086B5DFF" w14:textId="0BBD05F7" w:rsidR="000509FD" w:rsidRDefault="000509FD" w:rsidP="00255198">
      <w:pPr>
        <w:widowControl w:val="0"/>
        <w:autoSpaceDE w:val="0"/>
        <w:autoSpaceDN w:val="0"/>
        <w:adjustRightInd w:val="0"/>
        <w:rPr>
          <w:b/>
          <w:bCs/>
        </w:rPr>
      </w:pPr>
    </w:p>
    <w:p w14:paraId="6D9A83B5" w14:textId="29616512" w:rsidR="000509FD" w:rsidRDefault="000509FD" w:rsidP="00255198">
      <w:pPr>
        <w:widowControl w:val="0"/>
        <w:autoSpaceDE w:val="0"/>
        <w:autoSpaceDN w:val="0"/>
        <w:adjustRightInd w:val="0"/>
        <w:rPr>
          <w:b/>
          <w:bCs/>
        </w:rPr>
      </w:pPr>
    </w:p>
    <w:p w14:paraId="29C4F340" w14:textId="77777777" w:rsidR="000509FD" w:rsidRPr="00B2138D" w:rsidRDefault="000509FD" w:rsidP="00255198">
      <w:pPr>
        <w:widowControl w:val="0"/>
        <w:autoSpaceDE w:val="0"/>
        <w:autoSpaceDN w:val="0"/>
        <w:adjustRightInd w:val="0"/>
        <w:rPr>
          <w:b/>
          <w:bCs/>
        </w:rPr>
      </w:pPr>
    </w:p>
    <w:sectPr w:rsidR="000509FD" w:rsidRPr="00B2138D" w:rsidSect="00DD7B75">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4E543" w14:textId="77777777" w:rsidR="008034FC" w:rsidRDefault="008034FC" w:rsidP="001D687D">
      <w:r>
        <w:separator/>
      </w:r>
    </w:p>
  </w:endnote>
  <w:endnote w:type="continuationSeparator" w:id="0">
    <w:p w14:paraId="46A9AC64" w14:textId="77777777" w:rsidR="008034FC" w:rsidRDefault="008034FC" w:rsidP="001D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095793"/>
      <w:docPartObj>
        <w:docPartGallery w:val="Page Numbers (Bottom of Page)"/>
        <w:docPartUnique/>
      </w:docPartObj>
    </w:sdtPr>
    <w:sdtContent>
      <w:sdt>
        <w:sdtPr>
          <w:id w:val="-1769616900"/>
          <w:docPartObj>
            <w:docPartGallery w:val="Page Numbers (Top of Page)"/>
            <w:docPartUnique/>
          </w:docPartObj>
        </w:sdtPr>
        <w:sdtContent>
          <w:p w14:paraId="5F38ECD3" w14:textId="77777777" w:rsidR="00E87862" w:rsidRDefault="00E8786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5E2358B" w14:textId="77777777" w:rsidR="0096567C" w:rsidRDefault="00965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B007E" w14:textId="77777777" w:rsidR="008034FC" w:rsidRDefault="008034FC" w:rsidP="001D687D">
      <w:r>
        <w:separator/>
      </w:r>
    </w:p>
  </w:footnote>
  <w:footnote w:type="continuationSeparator" w:id="0">
    <w:p w14:paraId="781DB8B4" w14:textId="77777777" w:rsidR="008034FC" w:rsidRDefault="008034FC" w:rsidP="001D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D2C3" w14:textId="77777777" w:rsidR="00B3627D" w:rsidRPr="00E854A9" w:rsidRDefault="00B3627D" w:rsidP="00E854A9">
    <w:pPr>
      <w:pStyle w:val="Header"/>
      <w:jc w:val="right"/>
      <w:rPr>
        <w:sz w:val="16"/>
        <w:szCs w:val="16"/>
      </w:rPr>
    </w:pPr>
    <w:r w:rsidRPr="00E854A9">
      <w:rPr>
        <w:sz w:val="16"/>
        <w:szCs w:val="16"/>
      </w:rPr>
      <w:t xml:space="preserve">Jabbour &amp; </w:t>
    </w:r>
    <w:proofErr w:type="spellStart"/>
    <w:r w:rsidRPr="00E854A9">
      <w:rPr>
        <w:sz w:val="16"/>
        <w:szCs w:val="16"/>
      </w:rPr>
      <w:t>Curzen</w:t>
    </w:r>
    <w:proofErr w:type="spellEnd"/>
  </w:p>
  <w:p w14:paraId="389B3BA3" w14:textId="77777777" w:rsidR="00B3627D" w:rsidRPr="00E854A9" w:rsidRDefault="00B3627D" w:rsidP="00E854A9">
    <w:pPr>
      <w:pStyle w:val="Header"/>
      <w:jc w:val="right"/>
      <w:rPr>
        <w:sz w:val="16"/>
        <w:szCs w:val="16"/>
      </w:rPr>
    </w:pPr>
    <w:r w:rsidRPr="00E854A9">
      <w:rPr>
        <w:sz w:val="16"/>
        <w:szCs w:val="16"/>
      </w:rPr>
      <w:t>Revasc guidelines analysis</w:t>
    </w:r>
  </w:p>
  <w:p w14:paraId="364BC0E9" w14:textId="43D50AA6" w:rsidR="00B3627D" w:rsidRPr="00E854A9" w:rsidRDefault="002D0756" w:rsidP="00E854A9">
    <w:pPr>
      <w:pStyle w:val="Header"/>
      <w:jc w:val="right"/>
      <w:rPr>
        <w:sz w:val="16"/>
        <w:szCs w:val="16"/>
      </w:rPr>
    </w:pPr>
    <w:r>
      <w:rPr>
        <w:sz w:val="16"/>
        <w:szCs w:val="16"/>
      </w:rPr>
      <w:t>September</w:t>
    </w:r>
    <w:r w:rsidR="00B3627D" w:rsidRPr="00E854A9">
      <w:rPr>
        <w:sz w:val="16"/>
        <w:szCs w:val="16"/>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DFE"/>
    <w:multiLevelType w:val="multilevel"/>
    <w:tmpl w:val="D538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C7E1E"/>
    <w:multiLevelType w:val="multilevel"/>
    <w:tmpl w:val="4F3E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C6C52"/>
    <w:multiLevelType w:val="multilevel"/>
    <w:tmpl w:val="CA8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801E2C"/>
    <w:multiLevelType w:val="multilevel"/>
    <w:tmpl w:val="4436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754047">
    <w:abstractNumId w:val="2"/>
  </w:num>
  <w:num w:numId="2" w16cid:durableId="260071253">
    <w:abstractNumId w:val="0"/>
  </w:num>
  <w:num w:numId="3" w16cid:durableId="1301575057">
    <w:abstractNumId w:val="1"/>
  </w:num>
  <w:num w:numId="4" w16cid:durableId="693727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2F"/>
    <w:rsid w:val="00010AB3"/>
    <w:rsid w:val="00016C4F"/>
    <w:rsid w:val="00026654"/>
    <w:rsid w:val="00027BFB"/>
    <w:rsid w:val="00032167"/>
    <w:rsid w:val="00035AFE"/>
    <w:rsid w:val="00037705"/>
    <w:rsid w:val="00040604"/>
    <w:rsid w:val="000414C4"/>
    <w:rsid w:val="00043D51"/>
    <w:rsid w:val="000445B6"/>
    <w:rsid w:val="00046466"/>
    <w:rsid w:val="00050579"/>
    <w:rsid w:val="000509FD"/>
    <w:rsid w:val="00050DE8"/>
    <w:rsid w:val="00056F15"/>
    <w:rsid w:val="00067609"/>
    <w:rsid w:val="000712CE"/>
    <w:rsid w:val="0007430E"/>
    <w:rsid w:val="00080490"/>
    <w:rsid w:val="00084B55"/>
    <w:rsid w:val="00086EBC"/>
    <w:rsid w:val="000A481C"/>
    <w:rsid w:val="000A5F91"/>
    <w:rsid w:val="000A7B94"/>
    <w:rsid w:val="000C2129"/>
    <w:rsid w:val="000D0C0E"/>
    <w:rsid w:val="000E12AE"/>
    <w:rsid w:val="000E2D5D"/>
    <w:rsid w:val="000E54FC"/>
    <w:rsid w:val="000E6CD6"/>
    <w:rsid w:val="00100372"/>
    <w:rsid w:val="00112C35"/>
    <w:rsid w:val="001213F5"/>
    <w:rsid w:val="00122C39"/>
    <w:rsid w:val="00132562"/>
    <w:rsid w:val="001369E3"/>
    <w:rsid w:val="00144232"/>
    <w:rsid w:val="00153D3A"/>
    <w:rsid w:val="00154495"/>
    <w:rsid w:val="00157B21"/>
    <w:rsid w:val="00161090"/>
    <w:rsid w:val="0016218F"/>
    <w:rsid w:val="00162C80"/>
    <w:rsid w:val="00177859"/>
    <w:rsid w:val="00186815"/>
    <w:rsid w:val="0019013C"/>
    <w:rsid w:val="001A0EED"/>
    <w:rsid w:val="001A424C"/>
    <w:rsid w:val="001B41CF"/>
    <w:rsid w:val="001B4771"/>
    <w:rsid w:val="001C2405"/>
    <w:rsid w:val="001C46AB"/>
    <w:rsid w:val="001D5CE5"/>
    <w:rsid w:val="001D687D"/>
    <w:rsid w:val="001E31CE"/>
    <w:rsid w:val="001E3531"/>
    <w:rsid w:val="001E7377"/>
    <w:rsid w:val="001F52ED"/>
    <w:rsid w:val="00201848"/>
    <w:rsid w:val="0020246F"/>
    <w:rsid w:val="00202E56"/>
    <w:rsid w:val="00204298"/>
    <w:rsid w:val="00205458"/>
    <w:rsid w:val="0021628F"/>
    <w:rsid w:val="00221919"/>
    <w:rsid w:val="00222F9D"/>
    <w:rsid w:val="00230C86"/>
    <w:rsid w:val="00245999"/>
    <w:rsid w:val="00246534"/>
    <w:rsid w:val="00247083"/>
    <w:rsid w:val="00250173"/>
    <w:rsid w:val="00252891"/>
    <w:rsid w:val="00254B1A"/>
    <w:rsid w:val="00255198"/>
    <w:rsid w:val="00255492"/>
    <w:rsid w:val="00256D86"/>
    <w:rsid w:val="00260620"/>
    <w:rsid w:val="002621BC"/>
    <w:rsid w:val="00266B81"/>
    <w:rsid w:val="00274208"/>
    <w:rsid w:val="002761A2"/>
    <w:rsid w:val="00277B63"/>
    <w:rsid w:val="00283122"/>
    <w:rsid w:val="00290287"/>
    <w:rsid w:val="00296FDA"/>
    <w:rsid w:val="002A5178"/>
    <w:rsid w:val="002A5E6B"/>
    <w:rsid w:val="002B1E21"/>
    <w:rsid w:val="002B773B"/>
    <w:rsid w:val="002C0106"/>
    <w:rsid w:val="002C0BFB"/>
    <w:rsid w:val="002C12EC"/>
    <w:rsid w:val="002C261C"/>
    <w:rsid w:val="002C74D5"/>
    <w:rsid w:val="002D0756"/>
    <w:rsid w:val="002D17A5"/>
    <w:rsid w:val="002D5387"/>
    <w:rsid w:val="002D564E"/>
    <w:rsid w:val="002D5E0B"/>
    <w:rsid w:val="002D6E85"/>
    <w:rsid w:val="002D74A4"/>
    <w:rsid w:val="002E24DC"/>
    <w:rsid w:val="002E3149"/>
    <w:rsid w:val="002F085C"/>
    <w:rsid w:val="0030048E"/>
    <w:rsid w:val="00313548"/>
    <w:rsid w:val="00317CCF"/>
    <w:rsid w:val="003255DD"/>
    <w:rsid w:val="003365DC"/>
    <w:rsid w:val="00337B22"/>
    <w:rsid w:val="00342418"/>
    <w:rsid w:val="00345802"/>
    <w:rsid w:val="00356B47"/>
    <w:rsid w:val="00361E1C"/>
    <w:rsid w:val="00372E47"/>
    <w:rsid w:val="0037564E"/>
    <w:rsid w:val="00376C83"/>
    <w:rsid w:val="00386439"/>
    <w:rsid w:val="00390C5D"/>
    <w:rsid w:val="00391CC0"/>
    <w:rsid w:val="0039592D"/>
    <w:rsid w:val="003A57AD"/>
    <w:rsid w:val="003A7895"/>
    <w:rsid w:val="003B6CFB"/>
    <w:rsid w:val="003B7BF7"/>
    <w:rsid w:val="003C0763"/>
    <w:rsid w:val="003C4B56"/>
    <w:rsid w:val="003D67FB"/>
    <w:rsid w:val="003D78BB"/>
    <w:rsid w:val="003E17B4"/>
    <w:rsid w:val="003E1F2F"/>
    <w:rsid w:val="003E308D"/>
    <w:rsid w:val="003E5A16"/>
    <w:rsid w:val="003F0D66"/>
    <w:rsid w:val="003F1776"/>
    <w:rsid w:val="003F410A"/>
    <w:rsid w:val="003F4C9F"/>
    <w:rsid w:val="003F590E"/>
    <w:rsid w:val="00404145"/>
    <w:rsid w:val="00407FC8"/>
    <w:rsid w:val="00427C9E"/>
    <w:rsid w:val="00433216"/>
    <w:rsid w:val="004628E4"/>
    <w:rsid w:val="00466F5B"/>
    <w:rsid w:val="004876AE"/>
    <w:rsid w:val="00490DD8"/>
    <w:rsid w:val="00491F8B"/>
    <w:rsid w:val="00493133"/>
    <w:rsid w:val="004949EC"/>
    <w:rsid w:val="00497D4F"/>
    <w:rsid w:val="004A53A6"/>
    <w:rsid w:val="004A6E0B"/>
    <w:rsid w:val="004B42B7"/>
    <w:rsid w:val="004C7AC4"/>
    <w:rsid w:val="004D10DB"/>
    <w:rsid w:val="004D1279"/>
    <w:rsid w:val="004D3837"/>
    <w:rsid w:val="004D5D6C"/>
    <w:rsid w:val="004D66A1"/>
    <w:rsid w:val="004E119A"/>
    <w:rsid w:val="004E4686"/>
    <w:rsid w:val="004F3FB7"/>
    <w:rsid w:val="005008C1"/>
    <w:rsid w:val="00503616"/>
    <w:rsid w:val="0050418A"/>
    <w:rsid w:val="00505AC4"/>
    <w:rsid w:val="00506887"/>
    <w:rsid w:val="0051664A"/>
    <w:rsid w:val="0053116F"/>
    <w:rsid w:val="00535A61"/>
    <w:rsid w:val="00550BDE"/>
    <w:rsid w:val="005567E5"/>
    <w:rsid w:val="00573A36"/>
    <w:rsid w:val="005769B9"/>
    <w:rsid w:val="00584E73"/>
    <w:rsid w:val="00585BDB"/>
    <w:rsid w:val="005958CA"/>
    <w:rsid w:val="005A393E"/>
    <w:rsid w:val="005A5C7D"/>
    <w:rsid w:val="005A7985"/>
    <w:rsid w:val="005C3299"/>
    <w:rsid w:val="005C55C2"/>
    <w:rsid w:val="005C5DE5"/>
    <w:rsid w:val="005D0966"/>
    <w:rsid w:val="005D4DE8"/>
    <w:rsid w:val="005D57E1"/>
    <w:rsid w:val="005E5F22"/>
    <w:rsid w:val="005F47BC"/>
    <w:rsid w:val="00605A62"/>
    <w:rsid w:val="00610347"/>
    <w:rsid w:val="00612F63"/>
    <w:rsid w:val="00620972"/>
    <w:rsid w:val="00621EA8"/>
    <w:rsid w:val="006240D6"/>
    <w:rsid w:val="00625CCF"/>
    <w:rsid w:val="0063001B"/>
    <w:rsid w:val="0063001E"/>
    <w:rsid w:val="006548FB"/>
    <w:rsid w:val="00656CDC"/>
    <w:rsid w:val="00657C48"/>
    <w:rsid w:val="00666907"/>
    <w:rsid w:val="0066750B"/>
    <w:rsid w:val="00671B20"/>
    <w:rsid w:val="00675DD0"/>
    <w:rsid w:val="00677EDC"/>
    <w:rsid w:val="00684A15"/>
    <w:rsid w:val="00685E1E"/>
    <w:rsid w:val="00694B5B"/>
    <w:rsid w:val="006A2C3E"/>
    <w:rsid w:val="006B0A13"/>
    <w:rsid w:val="006B12AA"/>
    <w:rsid w:val="006C096D"/>
    <w:rsid w:val="006C209D"/>
    <w:rsid w:val="006C2117"/>
    <w:rsid w:val="006C249F"/>
    <w:rsid w:val="006C6E04"/>
    <w:rsid w:val="006D3936"/>
    <w:rsid w:val="006D44E4"/>
    <w:rsid w:val="006E391C"/>
    <w:rsid w:val="006E48C7"/>
    <w:rsid w:val="006F6BD0"/>
    <w:rsid w:val="00700062"/>
    <w:rsid w:val="00700406"/>
    <w:rsid w:val="007014E9"/>
    <w:rsid w:val="00702899"/>
    <w:rsid w:val="00704815"/>
    <w:rsid w:val="00712C79"/>
    <w:rsid w:val="00716CB1"/>
    <w:rsid w:val="0073252D"/>
    <w:rsid w:val="007327B3"/>
    <w:rsid w:val="007372CB"/>
    <w:rsid w:val="00746847"/>
    <w:rsid w:val="0074755E"/>
    <w:rsid w:val="00766840"/>
    <w:rsid w:val="00771CA2"/>
    <w:rsid w:val="00771E8F"/>
    <w:rsid w:val="0077353B"/>
    <w:rsid w:val="007752FA"/>
    <w:rsid w:val="00775B8E"/>
    <w:rsid w:val="0078463A"/>
    <w:rsid w:val="0079197C"/>
    <w:rsid w:val="00793C1C"/>
    <w:rsid w:val="007A13E1"/>
    <w:rsid w:val="007A37E2"/>
    <w:rsid w:val="007A415E"/>
    <w:rsid w:val="007A5847"/>
    <w:rsid w:val="007C1F40"/>
    <w:rsid w:val="007C4F11"/>
    <w:rsid w:val="007C592B"/>
    <w:rsid w:val="007C7ACE"/>
    <w:rsid w:val="007D00AF"/>
    <w:rsid w:val="007D0381"/>
    <w:rsid w:val="007D183A"/>
    <w:rsid w:val="007D1BF5"/>
    <w:rsid w:val="007D2196"/>
    <w:rsid w:val="007D4265"/>
    <w:rsid w:val="007E058F"/>
    <w:rsid w:val="007E1B09"/>
    <w:rsid w:val="007E2A9E"/>
    <w:rsid w:val="007E307F"/>
    <w:rsid w:val="007E68A6"/>
    <w:rsid w:val="007F058F"/>
    <w:rsid w:val="007F6B39"/>
    <w:rsid w:val="008034FC"/>
    <w:rsid w:val="00813DA5"/>
    <w:rsid w:val="00821D59"/>
    <w:rsid w:val="008247C2"/>
    <w:rsid w:val="0082636E"/>
    <w:rsid w:val="00831031"/>
    <w:rsid w:val="00837A4F"/>
    <w:rsid w:val="008402CD"/>
    <w:rsid w:val="008419CB"/>
    <w:rsid w:val="008427C7"/>
    <w:rsid w:val="00845C98"/>
    <w:rsid w:val="00846CC6"/>
    <w:rsid w:val="008640E3"/>
    <w:rsid w:val="00864776"/>
    <w:rsid w:val="00864BA8"/>
    <w:rsid w:val="00871006"/>
    <w:rsid w:val="008801FC"/>
    <w:rsid w:val="00890078"/>
    <w:rsid w:val="00893540"/>
    <w:rsid w:val="008956F6"/>
    <w:rsid w:val="008A12C5"/>
    <w:rsid w:val="008B1042"/>
    <w:rsid w:val="008B5D14"/>
    <w:rsid w:val="008C0EA7"/>
    <w:rsid w:val="008C1E82"/>
    <w:rsid w:val="008C5C58"/>
    <w:rsid w:val="008D3141"/>
    <w:rsid w:val="008E63DA"/>
    <w:rsid w:val="008F1281"/>
    <w:rsid w:val="008F1D95"/>
    <w:rsid w:val="008F32D4"/>
    <w:rsid w:val="008F37C7"/>
    <w:rsid w:val="008F74A3"/>
    <w:rsid w:val="00912FC7"/>
    <w:rsid w:val="00914044"/>
    <w:rsid w:val="00925675"/>
    <w:rsid w:val="00926AC0"/>
    <w:rsid w:val="00942DDA"/>
    <w:rsid w:val="009431F3"/>
    <w:rsid w:val="00946093"/>
    <w:rsid w:val="00946196"/>
    <w:rsid w:val="009571F0"/>
    <w:rsid w:val="00960F0A"/>
    <w:rsid w:val="0096567C"/>
    <w:rsid w:val="009717C5"/>
    <w:rsid w:val="00974124"/>
    <w:rsid w:val="00975963"/>
    <w:rsid w:val="00981F58"/>
    <w:rsid w:val="009823F0"/>
    <w:rsid w:val="00984739"/>
    <w:rsid w:val="0099063E"/>
    <w:rsid w:val="00991482"/>
    <w:rsid w:val="00991664"/>
    <w:rsid w:val="00991F52"/>
    <w:rsid w:val="00997A52"/>
    <w:rsid w:val="009A23FF"/>
    <w:rsid w:val="009A6451"/>
    <w:rsid w:val="009B01A9"/>
    <w:rsid w:val="009B0DEF"/>
    <w:rsid w:val="009B1730"/>
    <w:rsid w:val="009B183B"/>
    <w:rsid w:val="009B276E"/>
    <w:rsid w:val="009B34B8"/>
    <w:rsid w:val="009B7705"/>
    <w:rsid w:val="009D32CE"/>
    <w:rsid w:val="009D766F"/>
    <w:rsid w:val="009E0CBE"/>
    <w:rsid w:val="009E3099"/>
    <w:rsid w:val="009F374E"/>
    <w:rsid w:val="00A0023E"/>
    <w:rsid w:val="00A00E81"/>
    <w:rsid w:val="00A04785"/>
    <w:rsid w:val="00A15099"/>
    <w:rsid w:val="00A2077A"/>
    <w:rsid w:val="00A22675"/>
    <w:rsid w:val="00A22C92"/>
    <w:rsid w:val="00A357DE"/>
    <w:rsid w:val="00A35F3B"/>
    <w:rsid w:val="00A42F83"/>
    <w:rsid w:val="00A46552"/>
    <w:rsid w:val="00A4757F"/>
    <w:rsid w:val="00A540D1"/>
    <w:rsid w:val="00A5565B"/>
    <w:rsid w:val="00A6141A"/>
    <w:rsid w:val="00A645AC"/>
    <w:rsid w:val="00A70F68"/>
    <w:rsid w:val="00A7689D"/>
    <w:rsid w:val="00A809D0"/>
    <w:rsid w:val="00A832E0"/>
    <w:rsid w:val="00A91B78"/>
    <w:rsid w:val="00A923EA"/>
    <w:rsid w:val="00A945A0"/>
    <w:rsid w:val="00A97711"/>
    <w:rsid w:val="00AA20FE"/>
    <w:rsid w:val="00AA3BD5"/>
    <w:rsid w:val="00AA68B9"/>
    <w:rsid w:val="00AB66B4"/>
    <w:rsid w:val="00AB7AD7"/>
    <w:rsid w:val="00AD04B7"/>
    <w:rsid w:val="00AE1225"/>
    <w:rsid w:val="00AE288A"/>
    <w:rsid w:val="00AE2914"/>
    <w:rsid w:val="00AE5E5C"/>
    <w:rsid w:val="00AF606B"/>
    <w:rsid w:val="00AF6550"/>
    <w:rsid w:val="00B01C5D"/>
    <w:rsid w:val="00B03BF4"/>
    <w:rsid w:val="00B15617"/>
    <w:rsid w:val="00B165EB"/>
    <w:rsid w:val="00B2138D"/>
    <w:rsid w:val="00B2210E"/>
    <w:rsid w:val="00B3288C"/>
    <w:rsid w:val="00B3627D"/>
    <w:rsid w:val="00B40095"/>
    <w:rsid w:val="00B403C5"/>
    <w:rsid w:val="00B46DCE"/>
    <w:rsid w:val="00B503BF"/>
    <w:rsid w:val="00B53149"/>
    <w:rsid w:val="00B53602"/>
    <w:rsid w:val="00B53A5F"/>
    <w:rsid w:val="00B55AC5"/>
    <w:rsid w:val="00B62C5C"/>
    <w:rsid w:val="00B62FB7"/>
    <w:rsid w:val="00B66E23"/>
    <w:rsid w:val="00B735DE"/>
    <w:rsid w:val="00B74195"/>
    <w:rsid w:val="00B74A4D"/>
    <w:rsid w:val="00B804BA"/>
    <w:rsid w:val="00B818FB"/>
    <w:rsid w:val="00B845DB"/>
    <w:rsid w:val="00B85F50"/>
    <w:rsid w:val="00B9157A"/>
    <w:rsid w:val="00B935AA"/>
    <w:rsid w:val="00B9395D"/>
    <w:rsid w:val="00B95808"/>
    <w:rsid w:val="00B97D19"/>
    <w:rsid w:val="00BA6092"/>
    <w:rsid w:val="00BB76CA"/>
    <w:rsid w:val="00BC1531"/>
    <w:rsid w:val="00BC4EBA"/>
    <w:rsid w:val="00BC72C4"/>
    <w:rsid w:val="00BD24A7"/>
    <w:rsid w:val="00BD5555"/>
    <w:rsid w:val="00BE20B4"/>
    <w:rsid w:val="00BF0999"/>
    <w:rsid w:val="00BF3119"/>
    <w:rsid w:val="00BF577E"/>
    <w:rsid w:val="00BF7120"/>
    <w:rsid w:val="00C02645"/>
    <w:rsid w:val="00C06845"/>
    <w:rsid w:val="00C11F37"/>
    <w:rsid w:val="00C161B1"/>
    <w:rsid w:val="00C219A1"/>
    <w:rsid w:val="00C27411"/>
    <w:rsid w:val="00C45BFC"/>
    <w:rsid w:val="00C56C9A"/>
    <w:rsid w:val="00C6535B"/>
    <w:rsid w:val="00C66E49"/>
    <w:rsid w:val="00C81117"/>
    <w:rsid w:val="00C81204"/>
    <w:rsid w:val="00C8133B"/>
    <w:rsid w:val="00C92B2A"/>
    <w:rsid w:val="00C92E81"/>
    <w:rsid w:val="00C97068"/>
    <w:rsid w:val="00CA2000"/>
    <w:rsid w:val="00CA5412"/>
    <w:rsid w:val="00CA5ABC"/>
    <w:rsid w:val="00CB327A"/>
    <w:rsid w:val="00CC1FBA"/>
    <w:rsid w:val="00CC5C7B"/>
    <w:rsid w:val="00CC5E5F"/>
    <w:rsid w:val="00CD1912"/>
    <w:rsid w:val="00CD2109"/>
    <w:rsid w:val="00CF09A4"/>
    <w:rsid w:val="00CF4CDD"/>
    <w:rsid w:val="00CF5232"/>
    <w:rsid w:val="00CF54F3"/>
    <w:rsid w:val="00CF5664"/>
    <w:rsid w:val="00D04AC3"/>
    <w:rsid w:val="00D05F5A"/>
    <w:rsid w:val="00D061CE"/>
    <w:rsid w:val="00D0751C"/>
    <w:rsid w:val="00D1510E"/>
    <w:rsid w:val="00D20BA3"/>
    <w:rsid w:val="00D2499C"/>
    <w:rsid w:val="00D27EE8"/>
    <w:rsid w:val="00D3419F"/>
    <w:rsid w:val="00D36BDE"/>
    <w:rsid w:val="00D4457E"/>
    <w:rsid w:val="00D44CE3"/>
    <w:rsid w:val="00D50C4A"/>
    <w:rsid w:val="00D517AB"/>
    <w:rsid w:val="00D53542"/>
    <w:rsid w:val="00D66BF1"/>
    <w:rsid w:val="00D8012B"/>
    <w:rsid w:val="00D8396F"/>
    <w:rsid w:val="00D865A6"/>
    <w:rsid w:val="00D86C9C"/>
    <w:rsid w:val="00D90933"/>
    <w:rsid w:val="00D928A5"/>
    <w:rsid w:val="00D92964"/>
    <w:rsid w:val="00DA281F"/>
    <w:rsid w:val="00DA3C64"/>
    <w:rsid w:val="00DB5DA1"/>
    <w:rsid w:val="00DC0206"/>
    <w:rsid w:val="00DC0AE3"/>
    <w:rsid w:val="00DC1E2F"/>
    <w:rsid w:val="00DC46E3"/>
    <w:rsid w:val="00DC5617"/>
    <w:rsid w:val="00DD3D64"/>
    <w:rsid w:val="00DD7B75"/>
    <w:rsid w:val="00DE08E8"/>
    <w:rsid w:val="00E13428"/>
    <w:rsid w:val="00E15652"/>
    <w:rsid w:val="00E22657"/>
    <w:rsid w:val="00E334B6"/>
    <w:rsid w:val="00E3706E"/>
    <w:rsid w:val="00E44AD5"/>
    <w:rsid w:val="00E54319"/>
    <w:rsid w:val="00E605B0"/>
    <w:rsid w:val="00E60DF2"/>
    <w:rsid w:val="00E648F5"/>
    <w:rsid w:val="00E64A79"/>
    <w:rsid w:val="00E824A1"/>
    <w:rsid w:val="00E854A9"/>
    <w:rsid w:val="00E87862"/>
    <w:rsid w:val="00E901D8"/>
    <w:rsid w:val="00E92D95"/>
    <w:rsid w:val="00E97424"/>
    <w:rsid w:val="00EA431C"/>
    <w:rsid w:val="00EA673D"/>
    <w:rsid w:val="00EA7928"/>
    <w:rsid w:val="00EB1250"/>
    <w:rsid w:val="00EB272F"/>
    <w:rsid w:val="00EB39C4"/>
    <w:rsid w:val="00EB7722"/>
    <w:rsid w:val="00EC17B9"/>
    <w:rsid w:val="00ED1599"/>
    <w:rsid w:val="00ED3F6B"/>
    <w:rsid w:val="00ED5206"/>
    <w:rsid w:val="00EE1113"/>
    <w:rsid w:val="00EE6139"/>
    <w:rsid w:val="00EF1380"/>
    <w:rsid w:val="00EF6ECD"/>
    <w:rsid w:val="00F016B5"/>
    <w:rsid w:val="00F03D43"/>
    <w:rsid w:val="00F06BA0"/>
    <w:rsid w:val="00F22023"/>
    <w:rsid w:val="00F2596F"/>
    <w:rsid w:val="00F27A39"/>
    <w:rsid w:val="00F3085F"/>
    <w:rsid w:val="00F31366"/>
    <w:rsid w:val="00F34916"/>
    <w:rsid w:val="00F35B97"/>
    <w:rsid w:val="00F36FB3"/>
    <w:rsid w:val="00F50640"/>
    <w:rsid w:val="00F5202F"/>
    <w:rsid w:val="00F707CB"/>
    <w:rsid w:val="00F74B2C"/>
    <w:rsid w:val="00F867CF"/>
    <w:rsid w:val="00F9232C"/>
    <w:rsid w:val="00F9235F"/>
    <w:rsid w:val="00F92E81"/>
    <w:rsid w:val="00F95AF4"/>
    <w:rsid w:val="00FA3FFC"/>
    <w:rsid w:val="00FC2F3E"/>
    <w:rsid w:val="00FD0314"/>
    <w:rsid w:val="00FD280E"/>
    <w:rsid w:val="00FD3641"/>
    <w:rsid w:val="00FD4D40"/>
    <w:rsid w:val="00FD649C"/>
    <w:rsid w:val="00FD680F"/>
    <w:rsid w:val="00FE3E4D"/>
    <w:rsid w:val="00FE4CAB"/>
    <w:rsid w:val="00FE71AD"/>
    <w:rsid w:val="00FE71EB"/>
    <w:rsid w:val="00FF4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829B"/>
  <w15:chartTrackingRefBased/>
  <w15:docId w15:val="{9A4AF05F-B259-4E33-BF4C-F2915576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45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D57E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24A1"/>
    <w:pPr>
      <w:spacing w:before="100" w:beforeAutospacing="1" w:after="100" w:afterAutospacing="1"/>
    </w:pPr>
  </w:style>
  <w:style w:type="character" w:customStyle="1" w:styleId="apple-converted-space">
    <w:name w:val="apple-converted-space"/>
    <w:basedOn w:val="DefaultParagraphFont"/>
    <w:rsid w:val="00E824A1"/>
  </w:style>
  <w:style w:type="character" w:styleId="Hyperlink">
    <w:name w:val="Hyperlink"/>
    <w:basedOn w:val="DefaultParagraphFont"/>
    <w:uiPriority w:val="99"/>
    <w:semiHidden/>
    <w:unhideWhenUsed/>
    <w:rsid w:val="00E824A1"/>
    <w:rPr>
      <w:color w:val="0000FF"/>
      <w:u w:val="single"/>
    </w:rPr>
  </w:style>
  <w:style w:type="paragraph" w:customStyle="1" w:styleId="numbered-paragraph">
    <w:name w:val="numbered-paragraph"/>
    <w:basedOn w:val="Normal"/>
    <w:rsid w:val="00010AB3"/>
    <w:pPr>
      <w:spacing w:before="100" w:beforeAutospacing="1" w:after="100" w:afterAutospacing="1"/>
    </w:pPr>
  </w:style>
  <w:style w:type="character" w:styleId="Strong">
    <w:name w:val="Strong"/>
    <w:basedOn w:val="DefaultParagraphFont"/>
    <w:uiPriority w:val="22"/>
    <w:qFormat/>
    <w:rsid w:val="00010AB3"/>
    <w:rPr>
      <w:b/>
      <w:bCs/>
    </w:rPr>
  </w:style>
  <w:style w:type="character" w:customStyle="1" w:styleId="paragraph-number">
    <w:name w:val="paragraph-number"/>
    <w:basedOn w:val="DefaultParagraphFont"/>
    <w:rsid w:val="00010AB3"/>
  </w:style>
  <w:style w:type="character" w:styleId="Emphasis">
    <w:name w:val="Emphasis"/>
    <w:basedOn w:val="DefaultParagraphFont"/>
    <w:uiPriority w:val="20"/>
    <w:qFormat/>
    <w:rsid w:val="00991F52"/>
    <w:rPr>
      <w:i/>
      <w:iCs/>
    </w:rPr>
  </w:style>
  <w:style w:type="paragraph" w:customStyle="1" w:styleId="p">
    <w:name w:val="p"/>
    <w:basedOn w:val="Normal"/>
    <w:rsid w:val="00F9232C"/>
    <w:pPr>
      <w:spacing w:before="100" w:beforeAutospacing="1" w:after="100" w:afterAutospacing="1"/>
    </w:pPr>
  </w:style>
  <w:style w:type="table" w:styleId="TableGrid">
    <w:name w:val="Table Grid"/>
    <w:basedOn w:val="TableNormal"/>
    <w:uiPriority w:val="39"/>
    <w:rsid w:val="00B46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87D"/>
    <w:pPr>
      <w:tabs>
        <w:tab w:val="center" w:pos="4513"/>
        <w:tab w:val="right" w:pos="9026"/>
      </w:tabs>
    </w:pPr>
  </w:style>
  <w:style w:type="character" w:customStyle="1" w:styleId="HeaderChar">
    <w:name w:val="Header Char"/>
    <w:basedOn w:val="DefaultParagraphFont"/>
    <w:link w:val="Header"/>
    <w:uiPriority w:val="99"/>
    <w:rsid w:val="001D687D"/>
    <w:rPr>
      <w:rFonts w:ascii="Times New Roman" w:eastAsia="Times New Roman" w:hAnsi="Times New Roman" w:cs="Times New Roman"/>
      <w:lang w:eastAsia="en-GB"/>
    </w:rPr>
  </w:style>
  <w:style w:type="paragraph" w:styleId="Footer">
    <w:name w:val="footer"/>
    <w:basedOn w:val="Normal"/>
    <w:link w:val="FooterChar"/>
    <w:uiPriority w:val="99"/>
    <w:unhideWhenUsed/>
    <w:rsid w:val="001D687D"/>
    <w:pPr>
      <w:tabs>
        <w:tab w:val="center" w:pos="4513"/>
        <w:tab w:val="right" w:pos="9026"/>
      </w:tabs>
    </w:pPr>
  </w:style>
  <w:style w:type="character" w:customStyle="1" w:styleId="FooterChar">
    <w:name w:val="Footer Char"/>
    <w:basedOn w:val="DefaultParagraphFont"/>
    <w:link w:val="Footer"/>
    <w:uiPriority w:val="99"/>
    <w:rsid w:val="001D687D"/>
    <w:rPr>
      <w:rFonts w:ascii="Times New Roman" w:eastAsia="Times New Roman" w:hAnsi="Times New Roman" w:cs="Times New Roman"/>
      <w:lang w:eastAsia="en-GB"/>
    </w:rPr>
  </w:style>
  <w:style w:type="paragraph" w:styleId="NoSpacing">
    <w:name w:val="No Spacing"/>
    <w:link w:val="NoSpacingChar"/>
    <w:uiPriority w:val="1"/>
    <w:qFormat/>
    <w:rsid w:val="00F50640"/>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20246F"/>
    <w:rPr>
      <w:sz w:val="16"/>
      <w:szCs w:val="16"/>
    </w:rPr>
  </w:style>
  <w:style w:type="paragraph" w:styleId="CommentText">
    <w:name w:val="annotation text"/>
    <w:basedOn w:val="Normal"/>
    <w:link w:val="CommentTextChar"/>
    <w:uiPriority w:val="99"/>
    <w:semiHidden/>
    <w:unhideWhenUsed/>
    <w:rsid w:val="0020246F"/>
    <w:rPr>
      <w:sz w:val="20"/>
      <w:szCs w:val="20"/>
    </w:rPr>
  </w:style>
  <w:style w:type="character" w:customStyle="1" w:styleId="CommentTextChar">
    <w:name w:val="Comment Text Char"/>
    <w:basedOn w:val="DefaultParagraphFont"/>
    <w:link w:val="CommentText"/>
    <w:uiPriority w:val="99"/>
    <w:semiHidden/>
    <w:rsid w:val="0020246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0246F"/>
    <w:rPr>
      <w:b/>
      <w:bCs/>
    </w:rPr>
  </w:style>
  <w:style w:type="character" w:customStyle="1" w:styleId="CommentSubjectChar">
    <w:name w:val="Comment Subject Char"/>
    <w:basedOn w:val="CommentTextChar"/>
    <w:link w:val="CommentSubject"/>
    <w:uiPriority w:val="99"/>
    <w:semiHidden/>
    <w:rsid w:val="0020246F"/>
    <w:rPr>
      <w:rFonts w:ascii="Times New Roman" w:eastAsia="Times New Roman" w:hAnsi="Times New Roman" w:cs="Times New Roman"/>
      <w:b/>
      <w:bCs/>
      <w:sz w:val="20"/>
      <w:szCs w:val="20"/>
      <w:lang w:eastAsia="en-GB"/>
    </w:rPr>
  </w:style>
  <w:style w:type="paragraph" w:styleId="Revision">
    <w:name w:val="Revision"/>
    <w:hidden/>
    <w:uiPriority w:val="99"/>
    <w:semiHidden/>
    <w:rsid w:val="00E854A9"/>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5D57E1"/>
    <w:rPr>
      <w:rFonts w:asciiTheme="majorHAnsi" w:eastAsiaTheme="majorEastAsia" w:hAnsiTheme="majorHAnsi" w:cstheme="majorBidi"/>
      <w:color w:val="2F5496" w:themeColor="accent1" w:themeShade="BF"/>
      <w:sz w:val="32"/>
      <w:szCs w:val="32"/>
      <w:lang w:eastAsia="en-GB"/>
    </w:rPr>
  </w:style>
  <w:style w:type="character" w:customStyle="1" w:styleId="NoSpacingChar">
    <w:name w:val="No Spacing Char"/>
    <w:basedOn w:val="DefaultParagraphFont"/>
    <w:link w:val="NoSpacing"/>
    <w:uiPriority w:val="1"/>
    <w:rsid w:val="007752F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754">
      <w:bodyDiv w:val="1"/>
      <w:marLeft w:val="0"/>
      <w:marRight w:val="0"/>
      <w:marTop w:val="0"/>
      <w:marBottom w:val="0"/>
      <w:divBdr>
        <w:top w:val="none" w:sz="0" w:space="0" w:color="auto"/>
        <w:left w:val="none" w:sz="0" w:space="0" w:color="auto"/>
        <w:bottom w:val="none" w:sz="0" w:space="0" w:color="auto"/>
        <w:right w:val="none" w:sz="0" w:space="0" w:color="auto"/>
      </w:divBdr>
    </w:div>
    <w:div w:id="12077218">
      <w:bodyDiv w:val="1"/>
      <w:marLeft w:val="0"/>
      <w:marRight w:val="0"/>
      <w:marTop w:val="0"/>
      <w:marBottom w:val="0"/>
      <w:divBdr>
        <w:top w:val="none" w:sz="0" w:space="0" w:color="auto"/>
        <w:left w:val="none" w:sz="0" w:space="0" w:color="auto"/>
        <w:bottom w:val="none" w:sz="0" w:space="0" w:color="auto"/>
        <w:right w:val="none" w:sz="0" w:space="0" w:color="auto"/>
      </w:divBdr>
    </w:div>
    <w:div w:id="15038093">
      <w:bodyDiv w:val="1"/>
      <w:marLeft w:val="0"/>
      <w:marRight w:val="0"/>
      <w:marTop w:val="0"/>
      <w:marBottom w:val="0"/>
      <w:divBdr>
        <w:top w:val="none" w:sz="0" w:space="0" w:color="auto"/>
        <w:left w:val="none" w:sz="0" w:space="0" w:color="auto"/>
        <w:bottom w:val="none" w:sz="0" w:space="0" w:color="auto"/>
        <w:right w:val="none" w:sz="0" w:space="0" w:color="auto"/>
      </w:divBdr>
    </w:div>
    <w:div w:id="25034809">
      <w:bodyDiv w:val="1"/>
      <w:marLeft w:val="0"/>
      <w:marRight w:val="0"/>
      <w:marTop w:val="0"/>
      <w:marBottom w:val="0"/>
      <w:divBdr>
        <w:top w:val="none" w:sz="0" w:space="0" w:color="auto"/>
        <w:left w:val="none" w:sz="0" w:space="0" w:color="auto"/>
        <w:bottom w:val="none" w:sz="0" w:space="0" w:color="auto"/>
        <w:right w:val="none" w:sz="0" w:space="0" w:color="auto"/>
      </w:divBdr>
      <w:divsChild>
        <w:div w:id="673151261">
          <w:marLeft w:val="0"/>
          <w:marRight w:val="0"/>
          <w:marTop w:val="0"/>
          <w:marBottom w:val="0"/>
          <w:divBdr>
            <w:top w:val="none" w:sz="0" w:space="0" w:color="auto"/>
            <w:left w:val="none" w:sz="0" w:space="0" w:color="auto"/>
            <w:bottom w:val="none" w:sz="0" w:space="0" w:color="auto"/>
            <w:right w:val="none" w:sz="0" w:space="0" w:color="auto"/>
          </w:divBdr>
        </w:div>
        <w:div w:id="1923485096">
          <w:marLeft w:val="0"/>
          <w:marRight w:val="0"/>
          <w:marTop w:val="0"/>
          <w:marBottom w:val="0"/>
          <w:divBdr>
            <w:top w:val="none" w:sz="0" w:space="0" w:color="auto"/>
            <w:left w:val="none" w:sz="0" w:space="0" w:color="auto"/>
            <w:bottom w:val="none" w:sz="0" w:space="0" w:color="auto"/>
            <w:right w:val="none" w:sz="0" w:space="0" w:color="auto"/>
          </w:divBdr>
        </w:div>
      </w:divsChild>
    </w:div>
    <w:div w:id="100927529">
      <w:bodyDiv w:val="1"/>
      <w:marLeft w:val="0"/>
      <w:marRight w:val="0"/>
      <w:marTop w:val="0"/>
      <w:marBottom w:val="0"/>
      <w:divBdr>
        <w:top w:val="none" w:sz="0" w:space="0" w:color="auto"/>
        <w:left w:val="none" w:sz="0" w:space="0" w:color="auto"/>
        <w:bottom w:val="none" w:sz="0" w:space="0" w:color="auto"/>
        <w:right w:val="none" w:sz="0" w:space="0" w:color="auto"/>
      </w:divBdr>
    </w:div>
    <w:div w:id="105849690">
      <w:bodyDiv w:val="1"/>
      <w:marLeft w:val="0"/>
      <w:marRight w:val="0"/>
      <w:marTop w:val="0"/>
      <w:marBottom w:val="0"/>
      <w:divBdr>
        <w:top w:val="none" w:sz="0" w:space="0" w:color="auto"/>
        <w:left w:val="none" w:sz="0" w:space="0" w:color="auto"/>
        <w:bottom w:val="none" w:sz="0" w:space="0" w:color="auto"/>
        <w:right w:val="none" w:sz="0" w:space="0" w:color="auto"/>
      </w:divBdr>
    </w:div>
    <w:div w:id="131532410">
      <w:bodyDiv w:val="1"/>
      <w:marLeft w:val="0"/>
      <w:marRight w:val="0"/>
      <w:marTop w:val="0"/>
      <w:marBottom w:val="0"/>
      <w:divBdr>
        <w:top w:val="none" w:sz="0" w:space="0" w:color="auto"/>
        <w:left w:val="none" w:sz="0" w:space="0" w:color="auto"/>
        <w:bottom w:val="none" w:sz="0" w:space="0" w:color="auto"/>
        <w:right w:val="none" w:sz="0" w:space="0" w:color="auto"/>
      </w:divBdr>
    </w:div>
    <w:div w:id="167602010">
      <w:bodyDiv w:val="1"/>
      <w:marLeft w:val="0"/>
      <w:marRight w:val="0"/>
      <w:marTop w:val="0"/>
      <w:marBottom w:val="0"/>
      <w:divBdr>
        <w:top w:val="none" w:sz="0" w:space="0" w:color="auto"/>
        <w:left w:val="none" w:sz="0" w:space="0" w:color="auto"/>
        <w:bottom w:val="none" w:sz="0" w:space="0" w:color="auto"/>
        <w:right w:val="none" w:sz="0" w:space="0" w:color="auto"/>
      </w:divBdr>
    </w:div>
    <w:div w:id="180048982">
      <w:bodyDiv w:val="1"/>
      <w:marLeft w:val="0"/>
      <w:marRight w:val="0"/>
      <w:marTop w:val="0"/>
      <w:marBottom w:val="0"/>
      <w:divBdr>
        <w:top w:val="none" w:sz="0" w:space="0" w:color="auto"/>
        <w:left w:val="none" w:sz="0" w:space="0" w:color="auto"/>
        <w:bottom w:val="none" w:sz="0" w:space="0" w:color="auto"/>
        <w:right w:val="none" w:sz="0" w:space="0" w:color="auto"/>
      </w:divBdr>
    </w:div>
    <w:div w:id="192574850">
      <w:bodyDiv w:val="1"/>
      <w:marLeft w:val="0"/>
      <w:marRight w:val="0"/>
      <w:marTop w:val="0"/>
      <w:marBottom w:val="0"/>
      <w:divBdr>
        <w:top w:val="none" w:sz="0" w:space="0" w:color="auto"/>
        <w:left w:val="none" w:sz="0" w:space="0" w:color="auto"/>
        <w:bottom w:val="none" w:sz="0" w:space="0" w:color="auto"/>
        <w:right w:val="none" w:sz="0" w:space="0" w:color="auto"/>
      </w:divBdr>
    </w:div>
    <w:div w:id="192695246">
      <w:bodyDiv w:val="1"/>
      <w:marLeft w:val="0"/>
      <w:marRight w:val="0"/>
      <w:marTop w:val="0"/>
      <w:marBottom w:val="0"/>
      <w:divBdr>
        <w:top w:val="none" w:sz="0" w:space="0" w:color="auto"/>
        <w:left w:val="none" w:sz="0" w:space="0" w:color="auto"/>
        <w:bottom w:val="none" w:sz="0" w:space="0" w:color="auto"/>
        <w:right w:val="none" w:sz="0" w:space="0" w:color="auto"/>
      </w:divBdr>
    </w:div>
    <w:div w:id="208149758">
      <w:bodyDiv w:val="1"/>
      <w:marLeft w:val="0"/>
      <w:marRight w:val="0"/>
      <w:marTop w:val="0"/>
      <w:marBottom w:val="0"/>
      <w:divBdr>
        <w:top w:val="none" w:sz="0" w:space="0" w:color="auto"/>
        <w:left w:val="none" w:sz="0" w:space="0" w:color="auto"/>
        <w:bottom w:val="none" w:sz="0" w:space="0" w:color="auto"/>
        <w:right w:val="none" w:sz="0" w:space="0" w:color="auto"/>
      </w:divBdr>
    </w:div>
    <w:div w:id="221257265">
      <w:bodyDiv w:val="1"/>
      <w:marLeft w:val="0"/>
      <w:marRight w:val="0"/>
      <w:marTop w:val="0"/>
      <w:marBottom w:val="0"/>
      <w:divBdr>
        <w:top w:val="none" w:sz="0" w:space="0" w:color="auto"/>
        <w:left w:val="none" w:sz="0" w:space="0" w:color="auto"/>
        <w:bottom w:val="none" w:sz="0" w:space="0" w:color="auto"/>
        <w:right w:val="none" w:sz="0" w:space="0" w:color="auto"/>
      </w:divBdr>
    </w:div>
    <w:div w:id="234899806">
      <w:bodyDiv w:val="1"/>
      <w:marLeft w:val="0"/>
      <w:marRight w:val="0"/>
      <w:marTop w:val="0"/>
      <w:marBottom w:val="0"/>
      <w:divBdr>
        <w:top w:val="none" w:sz="0" w:space="0" w:color="auto"/>
        <w:left w:val="none" w:sz="0" w:space="0" w:color="auto"/>
        <w:bottom w:val="none" w:sz="0" w:space="0" w:color="auto"/>
        <w:right w:val="none" w:sz="0" w:space="0" w:color="auto"/>
      </w:divBdr>
    </w:div>
    <w:div w:id="245113450">
      <w:bodyDiv w:val="1"/>
      <w:marLeft w:val="0"/>
      <w:marRight w:val="0"/>
      <w:marTop w:val="0"/>
      <w:marBottom w:val="0"/>
      <w:divBdr>
        <w:top w:val="none" w:sz="0" w:space="0" w:color="auto"/>
        <w:left w:val="none" w:sz="0" w:space="0" w:color="auto"/>
        <w:bottom w:val="none" w:sz="0" w:space="0" w:color="auto"/>
        <w:right w:val="none" w:sz="0" w:space="0" w:color="auto"/>
      </w:divBdr>
    </w:div>
    <w:div w:id="273556130">
      <w:bodyDiv w:val="1"/>
      <w:marLeft w:val="0"/>
      <w:marRight w:val="0"/>
      <w:marTop w:val="0"/>
      <w:marBottom w:val="0"/>
      <w:divBdr>
        <w:top w:val="none" w:sz="0" w:space="0" w:color="auto"/>
        <w:left w:val="none" w:sz="0" w:space="0" w:color="auto"/>
        <w:bottom w:val="none" w:sz="0" w:space="0" w:color="auto"/>
        <w:right w:val="none" w:sz="0" w:space="0" w:color="auto"/>
      </w:divBdr>
    </w:div>
    <w:div w:id="301614723">
      <w:bodyDiv w:val="1"/>
      <w:marLeft w:val="0"/>
      <w:marRight w:val="0"/>
      <w:marTop w:val="0"/>
      <w:marBottom w:val="0"/>
      <w:divBdr>
        <w:top w:val="none" w:sz="0" w:space="0" w:color="auto"/>
        <w:left w:val="none" w:sz="0" w:space="0" w:color="auto"/>
        <w:bottom w:val="none" w:sz="0" w:space="0" w:color="auto"/>
        <w:right w:val="none" w:sz="0" w:space="0" w:color="auto"/>
      </w:divBdr>
    </w:div>
    <w:div w:id="308168759">
      <w:bodyDiv w:val="1"/>
      <w:marLeft w:val="0"/>
      <w:marRight w:val="0"/>
      <w:marTop w:val="0"/>
      <w:marBottom w:val="0"/>
      <w:divBdr>
        <w:top w:val="none" w:sz="0" w:space="0" w:color="auto"/>
        <w:left w:val="none" w:sz="0" w:space="0" w:color="auto"/>
        <w:bottom w:val="none" w:sz="0" w:space="0" w:color="auto"/>
        <w:right w:val="none" w:sz="0" w:space="0" w:color="auto"/>
      </w:divBdr>
      <w:divsChild>
        <w:div w:id="2130389722">
          <w:marLeft w:val="960"/>
          <w:marRight w:val="0"/>
          <w:marTop w:val="0"/>
          <w:marBottom w:val="0"/>
          <w:divBdr>
            <w:top w:val="none" w:sz="0" w:space="0" w:color="auto"/>
            <w:left w:val="none" w:sz="0" w:space="0" w:color="auto"/>
            <w:bottom w:val="none" w:sz="0" w:space="0" w:color="auto"/>
            <w:right w:val="none" w:sz="0" w:space="0" w:color="auto"/>
          </w:divBdr>
        </w:div>
      </w:divsChild>
    </w:div>
    <w:div w:id="325285274">
      <w:bodyDiv w:val="1"/>
      <w:marLeft w:val="0"/>
      <w:marRight w:val="0"/>
      <w:marTop w:val="0"/>
      <w:marBottom w:val="0"/>
      <w:divBdr>
        <w:top w:val="none" w:sz="0" w:space="0" w:color="auto"/>
        <w:left w:val="none" w:sz="0" w:space="0" w:color="auto"/>
        <w:bottom w:val="none" w:sz="0" w:space="0" w:color="auto"/>
        <w:right w:val="none" w:sz="0" w:space="0" w:color="auto"/>
      </w:divBdr>
    </w:div>
    <w:div w:id="356469414">
      <w:bodyDiv w:val="1"/>
      <w:marLeft w:val="0"/>
      <w:marRight w:val="0"/>
      <w:marTop w:val="0"/>
      <w:marBottom w:val="0"/>
      <w:divBdr>
        <w:top w:val="none" w:sz="0" w:space="0" w:color="auto"/>
        <w:left w:val="none" w:sz="0" w:space="0" w:color="auto"/>
        <w:bottom w:val="none" w:sz="0" w:space="0" w:color="auto"/>
        <w:right w:val="none" w:sz="0" w:space="0" w:color="auto"/>
      </w:divBdr>
    </w:div>
    <w:div w:id="411314105">
      <w:bodyDiv w:val="1"/>
      <w:marLeft w:val="0"/>
      <w:marRight w:val="0"/>
      <w:marTop w:val="0"/>
      <w:marBottom w:val="0"/>
      <w:divBdr>
        <w:top w:val="none" w:sz="0" w:space="0" w:color="auto"/>
        <w:left w:val="none" w:sz="0" w:space="0" w:color="auto"/>
        <w:bottom w:val="none" w:sz="0" w:space="0" w:color="auto"/>
        <w:right w:val="none" w:sz="0" w:space="0" w:color="auto"/>
      </w:divBdr>
    </w:div>
    <w:div w:id="485588943">
      <w:bodyDiv w:val="1"/>
      <w:marLeft w:val="0"/>
      <w:marRight w:val="0"/>
      <w:marTop w:val="0"/>
      <w:marBottom w:val="0"/>
      <w:divBdr>
        <w:top w:val="none" w:sz="0" w:space="0" w:color="auto"/>
        <w:left w:val="none" w:sz="0" w:space="0" w:color="auto"/>
        <w:bottom w:val="none" w:sz="0" w:space="0" w:color="auto"/>
        <w:right w:val="none" w:sz="0" w:space="0" w:color="auto"/>
      </w:divBdr>
    </w:div>
    <w:div w:id="486747513">
      <w:bodyDiv w:val="1"/>
      <w:marLeft w:val="0"/>
      <w:marRight w:val="0"/>
      <w:marTop w:val="0"/>
      <w:marBottom w:val="0"/>
      <w:divBdr>
        <w:top w:val="none" w:sz="0" w:space="0" w:color="auto"/>
        <w:left w:val="none" w:sz="0" w:space="0" w:color="auto"/>
        <w:bottom w:val="none" w:sz="0" w:space="0" w:color="auto"/>
        <w:right w:val="none" w:sz="0" w:space="0" w:color="auto"/>
      </w:divBdr>
      <w:divsChild>
        <w:div w:id="1619068995">
          <w:marLeft w:val="0"/>
          <w:marRight w:val="0"/>
          <w:marTop w:val="0"/>
          <w:marBottom w:val="0"/>
          <w:divBdr>
            <w:top w:val="none" w:sz="0" w:space="0" w:color="auto"/>
            <w:left w:val="none" w:sz="0" w:space="0" w:color="auto"/>
            <w:bottom w:val="none" w:sz="0" w:space="0" w:color="auto"/>
            <w:right w:val="none" w:sz="0" w:space="0" w:color="auto"/>
          </w:divBdr>
          <w:divsChild>
            <w:div w:id="918833570">
              <w:marLeft w:val="0"/>
              <w:marRight w:val="0"/>
              <w:marTop w:val="0"/>
              <w:marBottom w:val="0"/>
              <w:divBdr>
                <w:top w:val="none" w:sz="0" w:space="0" w:color="auto"/>
                <w:left w:val="none" w:sz="0" w:space="0" w:color="auto"/>
                <w:bottom w:val="none" w:sz="0" w:space="0" w:color="auto"/>
                <w:right w:val="none" w:sz="0" w:space="0" w:color="auto"/>
              </w:divBdr>
              <w:divsChild>
                <w:div w:id="1992173502">
                  <w:marLeft w:val="0"/>
                  <w:marRight w:val="0"/>
                  <w:marTop w:val="0"/>
                  <w:marBottom w:val="0"/>
                  <w:divBdr>
                    <w:top w:val="none" w:sz="0" w:space="0" w:color="auto"/>
                    <w:left w:val="none" w:sz="0" w:space="0" w:color="auto"/>
                    <w:bottom w:val="none" w:sz="0" w:space="0" w:color="auto"/>
                    <w:right w:val="none" w:sz="0" w:space="0" w:color="auto"/>
                  </w:divBdr>
                  <w:divsChild>
                    <w:div w:id="17670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5552">
          <w:marLeft w:val="0"/>
          <w:marRight w:val="0"/>
          <w:marTop w:val="0"/>
          <w:marBottom w:val="0"/>
          <w:divBdr>
            <w:top w:val="none" w:sz="0" w:space="0" w:color="auto"/>
            <w:left w:val="none" w:sz="0" w:space="0" w:color="auto"/>
            <w:bottom w:val="none" w:sz="0" w:space="0" w:color="auto"/>
            <w:right w:val="none" w:sz="0" w:space="0" w:color="auto"/>
          </w:divBdr>
          <w:divsChild>
            <w:div w:id="465201801">
              <w:marLeft w:val="0"/>
              <w:marRight w:val="0"/>
              <w:marTop w:val="0"/>
              <w:marBottom w:val="0"/>
              <w:divBdr>
                <w:top w:val="none" w:sz="0" w:space="0" w:color="auto"/>
                <w:left w:val="none" w:sz="0" w:space="0" w:color="auto"/>
                <w:bottom w:val="none" w:sz="0" w:space="0" w:color="auto"/>
                <w:right w:val="none" w:sz="0" w:space="0" w:color="auto"/>
              </w:divBdr>
              <w:divsChild>
                <w:div w:id="1894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2520">
      <w:bodyDiv w:val="1"/>
      <w:marLeft w:val="0"/>
      <w:marRight w:val="0"/>
      <w:marTop w:val="0"/>
      <w:marBottom w:val="0"/>
      <w:divBdr>
        <w:top w:val="none" w:sz="0" w:space="0" w:color="auto"/>
        <w:left w:val="none" w:sz="0" w:space="0" w:color="auto"/>
        <w:bottom w:val="none" w:sz="0" w:space="0" w:color="auto"/>
        <w:right w:val="none" w:sz="0" w:space="0" w:color="auto"/>
      </w:divBdr>
    </w:div>
    <w:div w:id="496917737">
      <w:bodyDiv w:val="1"/>
      <w:marLeft w:val="0"/>
      <w:marRight w:val="0"/>
      <w:marTop w:val="0"/>
      <w:marBottom w:val="0"/>
      <w:divBdr>
        <w:top w:val="none" w:sz="0" w:space="0" w:color="auto"/>
        <w:left w:val="none" w:sz="0" w:space="0" w:color="auto"/>
        <w:bottom w:val="none" w:sz="0" w:space="0" w:color="auto"/>
        <w:right w:val="none" w:sz="0" w:space="0" w:color="auto"/>
      </w:divBdr>
    </w:div>
    <w:div w:id="516768824">
      <w:bodyDiv w:val="1"/>
      <w:marLeft w:val="0"/>
      <w:marRight w:val="0"/>
      <w:marTop w:val="0"/>
      <w:marBottom w:val="0"/>
      <w:divBdr>
        <w:top w:val="none" w:sz="0" w:space="0" w:color="auto"/>
        <w:left w:val="none" w:sz="0" w:space="0" w:color="auto"/>
        <w:bottom w:val="none" w:sz="0" w:space="0" w:color="auto"/>
        <w:right w:val="none" w:sz="0" w:space="0" w:color="auto"/>
      </w:divBdr>
    </w:div>
    <w:div w:id="550922204">
      <w:bodyDiv w:val="1"/>
      <w:marLeft w:val="0"/>
      <w:marRight w:val="0"/>
      <w:marTop w:val="0"/>
      <w:marBottom w:val="0"/>
      <w:divBdr>
        <w:top w:val="none" w:sz="0" w:space="0" w:color="auto"/>
        <w:left w:val="none" w:sz="0" w:space="0" w:color="auto"/>
        <w:bottom w:val="none" w:sz="0" w:space="0" w:color="auto"/>
        <w:right w:val="none" w:sz="0" w:space="0" w:color="auto"/>
      </w:divBdr>
    </w:div>
    <w:div w:id="585892221">
      <w:bodyDiv w:val="1"/>
      <w:marLeft w:val="0"/>
      <w:marRight w:val="0"/>
      <w:marTop w:val="0"/>
      <w:marBottom w:val="0"/>
      <w:divBdr>
        <w:top w:val="none" w:sz="0" w:space="0" w:color="auto"/>
        <w:left w:val="none" w:sz="0" w:space="0" w:color="auto"/>
        <w:bottom w:val="none" w:sz="0" w:space="0" w:color="auto"/>
        <w:right w:val="none" w:sz="0" w:space="0" w:color="auto"/>
      </w:divBdr>
    </w:div>
    <w:div w:id="598296899">
      <w:bodyDiv w:val="1"/>
      <w:marLeft w:val="0"/>
      <w:marRight w:val="0"/>
      <w:marTop w:val="0"/>
      <w:marBottom w:val="0"/>
      <w:divBdr>
        <w:top w:val="none" w:sz="0" w:space="0" w:color="auto"/>
        <w:left w:val="none" w:sz="0" w:space="0" w:color="auto"/>
        <w:bottom w:val="none" w:sz="0" w:space="0" w:color="auto"/>
        <w:right w:val="none" w:sz="0" w:space="0" w:color="auto"/>
      </w:divBdr>
    </w:div>
    <w:div w:id="675153320">
      <w:bodyDiv w:val="1"/>
      <w:marLeft w:val="0"/>
      <w:marRight w:val="0"/>
      <w:marTop w:val="0"/>
      <w:marBottom w:val="0"/>
      <w:divBdr>
        <w:top w:val="none" w:sz="0" w:space="0" w:color="auto"/>
        <w:left w:val="none" w:sz="0" w:space="0" w:color="auto"/>
        <w:bottom w:val="none" w:sz="0" w:space="0" w:color="auto"/>
        <w:right w:val="none" w:sz="0" w:space="0" w:color="auto"/>
      </w:divBdr>
    </w:div>
    <w:div w:id="676200837">
      <w:bodyDiv w:val="1"/>
      <w:marLeft w:val="0"/>
      <w:marRight w:val="0"/>
      <w:marTop w:val="0"/>
      <w:marBottom w:val="0"/>
      <w:divBdr>
        <w:top w:val="none" w:sz="0" w:space="0" w:color="auto"/>
        <w:left w:val="none" w:sz="0" w:space="0" w:color="auto"/>
        <w:bottom w:val="none" w:sz="0" w:space="0" w:color="auto"/>
        <w:right w:val="none" w:sz="0" w:space="0" w:color="auto"/>
      </w:divBdr>
    </w:div>
    <w:div w:id="687633889">
      <w:bodyDiv w:val="1"/>
      <w:marLeft w:val="0"/>
      <w:marRight w:val="0"/>
      <w:marTop w:val="0"/>
      <w:marBottom w:val="0"/>
      <w:divBdr>
        <w:top w:val="none" w:sz="0" w:space="0" w:color="auto"/>
        <w:left w:val="none" w:sz="0" w:space="0" w:color="auto"/>
        <w:bottom w:val="none" w:sz="0" w:space="0" w:color="auto"/>
        <w:right w:val="none" w:sz="0" w:space="0" w:color="auto"/>
      </w:divBdr>
    </w:div>
    <w:div w:id="692804272">
      <w:bodyDiv w:val="1"/>
      <w:marLeft w:val="0"/>
      <w:marRight w:val="0"/>
      <w:marTop w:val="0"/>
      <w:marBottom w:val="0"/>
      <w:divBdr>
        <w:top w:val="none" w:sz="0" w:space="0" w:color="auto"/>
        <w:left w:val="none" w:sz="0" w:space="0" w:color="auto"/>
        <w:bottom w:val="none" w:sz="0" w:space="0" w:color="auto"/>
        <w:right w:val="none" w:sz="0" w:space="0" w:color="auto"/>
      </w:divBdr>
    </w:div>
    <w:div w:id="699747390">
      <w:bodyDiv w:val="1"/>
      <w:marLeft w:val="0"/>
      <w:marRight w:val="0"/>
      <w:marTop w:val="0"/>
      <w:marBottom w:val="0"/>
      <w:divBdr>
        <w:top w:val="none" w:sz="0" w:space="0" w:color="auto"/>
        <w:left w:val="none" w:sz="0" w:space="0" w:color="auto"/>
        <w:bottom w:val="none" w:sz="0" w:space="0" w:color="auto"/>
        <w:right w:val="none" w:sz="0" w:space="0" w:color="auto"/>
      </w:divBdr>
    </w:div>
    <w:div w:id="715812711">
      <w:bodyDiv w:val="1"/>
      <w:marLeft w:val="0"/>
      <w:marRight w:val="0"/>
      <w:marTop w:val="0"/>
      <w:marBottom w:val="0"/>
      <w:divBdr>
        <w:top w:val="none" w:sz="0" w:space="0" w:color="auto"/>
        <w:left w:val="none" w:sz="0" w:space="0" w:color="auto"/>
        <w:bottom w:val="none" w:sz="0" w:space="0" w:color="auto"/>
        <w:right w:val="none" w:sz="0" w:space="0" w:color="auto"/>
      </w:divBdr>
    </w:div>
    <w:div w:id="765345733">
      <w:bodyDiv w:val="1"/>
      <w:marLeft w:val="0"/>
      <w:marRight w:val="0"/>
      <w:marTop w:val="0"/>
      <w:marBottom w:val="0"/>
      <w:divBdr>
        <w:top w:val="none" w:sz="0" w:space="0" w:color="auto"/>
        <w:left w:val="none" w:sz="0" w:space="0" w:color="auto"/>
        <w:bottom w:val="none" w:sz="0" w:space="0" w:color="auto"/>
        <w:right w:val="none" w:sz="0" w:space="0" w:color="auto"/>
      </w:divBdr>
    </w:div>
    <w:div w:id="838542738">
      <w:bodyDiv w:val="1"/>
      <w:marLeft w:val="0"/>
      <w:marRight w:val="0"/>
      <w:marTop w:val="0"/>
      <w:marBottom w:val="0"/>
      <w:divBdr>
        <w:top w:val="none" w:sz="0" w:space="0" w:color="auto"/>
        <w:left w:val="none" w:sz="0" w:space="0" w:color="auto"/>
        <w:bottom w:val="none" w:sz="0" w:space="0" w:color="auto"/>
        <w:right w:val="none" w:sz="0" w:space="0" w:color="auto"/>
      </w:divBdr>
    </w:div>
    <w:div w:id="853032113">
      <w:bodyDiv w:val="1"/>
      <w:marLeft w:val="0"/>
      <w:marRight w:val="0"/>
      <w:marTop w:val="0"/>
      <w:marBottom w:val="0"/>
      <w:divBdr>
        <w:top w:val="none" w:sz="0" w:space="0" w:color="auto"/>
        <w:left w:val="none" w:sz="0" w:space="0" w:color="auto"/>
        <w:bottom w:val="none" w:sz="0" w:space="0" w:color="auto"/>
        <w:right w:val="none" w:sz="0" w:space="0" w:color="auto"/>
      </w:divBdr>
    </w:div>
    <w:div w:id="859704033">
      <w:bodyDiv w:val="1"/>
      <w:marLeft w:val="0"/>
      <w:marRight w:val="0"/>
      <w:marTop w:val="0"/>
      <w:marBottom w:val="0"/>
      <w:divBdr>
        <w:top w:val="none" w:sz="0" w:space="0" w:color="auto"/>
        <w:left w:val="none" w:sz="0" w:space="0" w:color="auto"/>
        <w:bottom w:val="none" w:sz="0" w:space="0" w:color="auto"/>
        <w:right w:val="none" w:sz="0" w:space="0" w:color="auto"/>
      </w:divBdr>
    </w:div>
    <w:div w:id="883251843">
      <w:bodyDiv w:val="1"/>
      <w:marLeft w:val="0"/>
      <w:marRight w:val="0"/>
      <w:marTop w:val="0"/>
      <w:marBottom w:val="0"/>
      <w:divBdr>
        <w:top w:val="none" w:sz="0" w:space="0" w:color="auto"/>
        <w:left w:val="none" w:sz="0" w:space="0" w:color="auto"/>
        <w:bottom w:val="none" w:sz="0" w:space="0" w:color="auto"/>
        <w:right w:val="none" w:sz="0" w:space="0" w:color="auto"/>
      </w:divBdr>
    </w:div>
    <w:div w:id="893351236">
      <w:bodyDiv w:val="1"/>
      <w:marLeft w:val="0"/>
      <w:marRight w:val="0"/>
      <w:marTop w:val="0"/>
      <w:marBottom w:val="0"/>
      <w:divBdr>
        <w:top w:val="none" w:sz="0" w:space="0" w:color="auto"/>
        <w:left w:val="none" w:sz="0" w:space="0" w:color="auto"/>
        <w:bottom w:val="none" w:sz="0" w:space="0" w:color="auto"/>
        <w:right w:val="none" w:sz="0" w:space="0" w:color="auto"/>
      </w:divBdr>
    </w:div>
    <w:div w:id="922497611">
      <w:bodyDiv w:val="1"/>
      <w:marLeft w:val="0"/>
      <w:marRight w:val="0"/>
      <w:marTop w:val="0"/>
      <w:marBottom w:val="0"/>
      <w:divBdr>
        <w:top w:val="none" w:sz="0" w:space="0" w:color="auto"/>
        <w:left w:val="none" w:sz="0" w:space="0" w:color="auto"/>
        <w:bottom w:val="none" w:sz="0" w:space="0" w:color="auto"/>
        <w:right w:val="none" w:sz="0" w:space="0" w:color="auto"/>
      </w:divBdr>
    </w:div>
    <w:div w:id="932973640">
      <w:bodyDiv w:val="1"/>
      <w:marLeft w:val="0"/>
      <w:marRight w:val="0"/>
      <w:marTop w:val="0"/>
      <w:marBottom w:val="0"/>
      <w:divBdr>
        <w:top w:val="none" w:sz="0" w:space="0" w:color="auto"/>
        <w:left w:val="none" w:sz="0" w:space="0" w:color="auto"/>
        <w:bottom w:val="none" w:sz="0" w:space="0" w:color="auto"/>
        <w:right w:val="none" w:sz="0" w:space="0" w:color="auto"/>
      </w:divBdr>
    </w:div>
    <w:div w:id="1007944352">
      <w:bodyDiv w:val="1"/>
      <w:marLeft w:val="0"/>
      <w:marRight w:val="0"/>
      <w:marTop w:val="0"/>
      <w:marBottom w:val="0"/>
      <w:divBdr>
        <w:top w:val="none" w:sz="0" w:space="0" w:color="auto"/>
        <w:left w:val="none" w:sz="0" w:space="0" w:color="auto"/>
        <w:bottom w:val="none" w:sz="0" w:space="0" w:color="auto"/>
        <w:right w:val="none" w:sz="0" w:space="0" w:color="auto"/>
      </w:divBdr>
    </w:div>
    <w:div w:id="1027675466">
      <w:bodyDiv w:val="1"/>
      <w:marLeft w:val="0"/>
      <w:marRight w:val="0"/>
      <w:marTop w:val="0"/>
      <w:marBottom w:val="0"/>
      <w:divBdr>
        <w:top w:val="none" w:sz="0" w:space="0" w:color="auto"/>
        <w:left w:val="none" w:sz="0" w:space="0" w:color="auto"/>
        <w:bottom w:val="none" w:sz="0" w:space="0" w:color="auto"/>
        <w:right w:val="none" w:sz="0" w:space="0" w:color="auto"/>
      </w:divBdr>
    </w:div>
    <w:div w:id="1078483256">
      <w:bodyDiv w:val="1"/>
      <w:marLeft w:val="0"/>
      <w:marRight w:val="0"/>
      <w:marTop w:val="0"/>
      <w:marBottom w:val="0"/>
      <w:divBdr>
        <w:top w:val="none" w:sz="0" w:space="0" w:color="auto"/>
        <w:left w:val="none" w:sz="0" w:space="0" w:color="auto"/>
        <w:bottom w:val="none" w:sz="0" w:space="0" w:color="auto"/>
        <w:right w:val="none" w:sz="0" w:space="0" w:color="auto"/>
      </w:divBdr>
    </w:div>
    <w:div w:id="1079248714">
      <w:bodyDiv w:val="1"/>
      <w:marLeft w:val="0"/>
      <w:marRight w:val="0"/>
      <w:marTop w:val="0"/>
      <w:marBottom w:val="0"/>
      <w:divBdr>
        <w:top w:val="none" w:sz="0" w:space="0" w:color="auto"/>
        <w:left w:val="none" w:sz="0" w:space="0" w:color="auto"/>
        <w:bottom w:val="none" w:sz="0" w:space="0" w:color="auto"/>
        <w:right w:val="none" w:sz="0" w:space="0" w:color="auto"/>
      </w:divBdr>
    </w:div>
    <w:div w:id="1080754646">
      <w:bodyDiv w:val="1"/>
      <w:marLeft w:val="0"/>
      <w:marRight w:val="0"/>
      <w:marTop w:val="0"/>
      <w:marBottom w:val="0"/>
      <w:divBdr>
        <w:top w:val="none" w:sz="0" w:space="0" w:color="auto"/>
        <w:left w:val="none" w:sz="0" w:space="0" w:color="auto"/>
        <w:bottom w:val="none" w:sz="0" w:space="0" w:color="auto"/>
        <w:right w:val="none" w:sz="0" w:space="0" w:color="auto"/>
      </w:divBdr>
    </w:div>
    <w:div w:id="1118448796">
      <w:bodyDiv w:val="1"/>
      <w:marLeft w:val="0"/>
      <w:marRight w:val="0"/>
      <w:marTop w:val="0"/>
      <w:marBottom w:val="0"/>
      <w:divBdr>
        <w:top w:val="none" w:sz="0" w:space="0" w:color="auto"/>
        <w:left w:val="none" w:sz="0" w:space="0" w:color="auto"/>
        <w:bottom w:val="none" w:sz="0" w:space="0" w:color="auto"/>
        <w:right w:val="none" w:sz="0" w:space="0" w:color="auto"/>
      </w:divBdr>
    </w:div>
    <w:div w:id="1200701720">
      <w:bodyDiv w:val="1"/>
      <w:marLeft w:val="0"/>
      <w:marRight w:val="0"/>
      <w:marTop w:val="0"/>
      <w:marBottom w:val="0"/>
      <w:divBdr>
        <w:top w:val="none" w:sz="0" w:space="0" w:color="auto"/>
        <w:left w:val="none" w:sz="0" w:space="0" w:color="auto"/>
        <w:bottom w:val="none" w:sz="0" w:space="0" w:color="auto"/>
        <w:right w:val="none" w:sz="0" w:space="0" w:color="auto"/>
      </w:divBdr>
    </w:div>
    <w:div w:id="1200894530">
      <w:bodyDiv w:val="1"/>
      <w:marLeft w:val="0"/>
      <w:marRight w:val="0"/>
      <w:marTop w:val="0"/>
      <w:marBottom w:val="0"/>
      <w:divBdr>
        <w:top w:val="none" w:sz="0" w:space="0" w:color="auto"/>
        <w:left w:val="none" w:sz="0" w:space="0" w:color="auto"/>
        <w:bottom w:val="none" w:sz="0" w:space="0" w:color="auto"/>
        <w:right w:val="none" w:sz="0" w:space="0" w:color="auto"/>
      </w:divBdr>
    </w:div>
    <w:div w:id="1201747498">
      <w:bodyDiv w:val="1"/>
      <w:marLeft w:val="0"/>
      <w:marRight w:val="0"/>
      <w:marTop w:val="0"/>
      <w:marBottom w:val="0"/>
      <w:divBdr>
        <w:top w:val="none" w:sz="0" w:space="0" w:color="auto"/>
        <w:left w:val="none" w:sz="0" w:space="0" w:color="auto"/>
        <w:bottom w:val="none" w:sz="0" w:space="0" w:color="auto"/>
        <w:right w:val="none" w:sz="0" w:space="0" w:color="auto"/>
      </w:divBdr>
    </w:div>
    <w:div w:id="1205872234">
      <w:bodyDiv w:val="1"/>
      <w:marLeft w:val="0"/>
      <w:marRight w:val="0"/>
      <w:marTop w:val="0"/>
      <w:marBottom w:val="0"/>
      <w:divBdr>
        <w:top w:val="none" w:sz="0" w:space="0" w:color="auto"/>
        <w:left w:val="none" w:sz="0" w:space="0" w:color="auto"/>
        <w:bottom w:val="none" w:sz="0" w:space="0" w:color="auto"/>
        <w:right w:val="none" w:sz="0" w:space="0" w:color="auto"/>
      </w:divBdr>
    </w:div>
    <w:div w:id="1225288584">
      <w:bodyDiv w:val="1"/>
      <w:marLeft w:val="0"/>
      <w:marRight w:val="0"/>
      <w:marTop w:val="0"/>
      <w:marBottom w:val="0"/>
      <w:divBdr>
        <w:top w:val="none" w:sz="0" w:space="0" w:color="auto"/>
        <w:left w:val="none" w:sz="0" w:space="0" w:color="auto"/>
        <w:bottom w:val="none" w:sz="0" w:space="0" w:color="auto"/>
        <w:right w:val="none" w:sz="0" w:space="0" w:color="auto"/>
      </w:divBdr>
    </w:div>
    <w:div w:id="1227952498">
      <w:bodyDiv w:val="1"/>
      <w:marLeft w:val="0"/>
      <w:marRight w:val="0"/>
      <w:marTop w:val="0"/>
      <w:marBottom w:val="0"/>
      <w:divBdr>
        <w:top w:val="none" w:sz="0" w:space="0" w:color="auto"/>
        <w:left w:val="none" w:sz="0" w:space="0" w:color="auto"/>
        <w:bottom w:val="none" w:sz="0" w:space="0" w:color="auto"/>
        <w:right w:val="none" w:sz="0" w:space="0" w:color="auto"/>
      </w:divBdr>
    </w:div>
    <w:div w:id="1260288987">
      <w:bodyDiv w:val="1"/>
      <w:marLeft w:val="0"/>
      <w:marRight w:val="0"/>
      <w:marTop w:val="0"/>
      <w:marBottom w:val="0"/>
      <w:divBdr>
        <w:top w:val="none" w:sz="0" w:space="0" w:color="auto"/>
        <w:left w:val="none" w:sz="0" w:space="0" w:color="auto"/>
        <w:bottom w:val="none" w:sz="0" w:space="0" w:color="auto"/>
        <w:right w:val="none" w:sz="0" w:space="0" w:color="auto"/>
      </w:divBdr>
      <w:divsChild>
        <w:div w:id="2018733279">
          <w:marLeft w:val="0"/>
          <w:marRight w:val="0"/>
          <w:marTop w:val="0"/>
          <w:marBottom w:val="0"/>
          <w:divBdr>
            <w:top w:val="none" w:sz="0" w:space="0" w:color="auto"/>
            <w:left w:val="none" w:sz="0" w:space="0" w:color="auto"/>
            <w:bottom w:val="none" w:sz="0" w:space="0" w:color="auto"/>
            <w:right w:val="none" w:sz="0" w:space="0" w:color="auto"/>
          </w:divBdr>
        </w:div>
      </w:divsChild>
    </w:div>
    <w:div w:id="1306198113">
      <w:bodyDiv w:val="1"/>
      <w:marLeft w:val="0"/>
      <w:marRight w:val="0"/>
      <w:marTop w:val="0"/>
      <w:marBottom w:val="0"/>
      <w:divBdr>
        <w:top w:val="none" w:sz="0" w:space="0" w:color="auto"/>
        <w:left w:val="none" w:sz="0" w:space="0" w:color="auto"/>
        <w:bottom w:val="none" w:sz="0" w:space="0" w:color="auto"/>
        <w:right w:val="none" w:sz="0" w:space="0" w:color="auto"/>
      </w:divBdr>
    </w:div>
    <w:div w:id="1315985996">
      <w:bodyDiv w:val="1"/>
      <w:marLeft w:val="0"/>
      <w:marRight w:val="0"/>
      <w:marTop w:val="0"/>
      <w:marBottom w:val="0"/>
      <w:divBdr>
        <w:top w:val="none" w:sz="0" w:space="0" w:color="auto"/>
        <w:left w:val="none" w:sz="0" w:space="0" w:color="auto"/>
        <w:bottom w:val="none" w:sz="0" w:space="0" w:color="auto"/>
        <w:right w:val="none" w:sz="0" w:space="0" w:color="auto"/>
      </w:divBdr>
    </w:div>
    <w:div w:id="1336416023">
      <w:bodyDiv w:val="1"/>
      <w:marLeft w:val="0"/>
      <w:marRight w:val="0"/>
      <w:marTop w:val="0"/>
      <w:marBottom w:val="0"/>
      <w:divBdr>
        <w:top w:val="none" w:sz="0" w:space="0" w:color="auto"/>
        <w:left w:val="none" w:sz="0" w:space="0" w:color="auto"/>
        <w:bottom w:val="none" w:sz="0" w:space="0" w:color="auto"/>
        <w:right w:val="none" w:sz="0" w:space="0" w:color="auto"/>
      </w:divBdr>
    </w:div>
    <w:div w:id="1342001578">
      <w:bodyDiv w:val="1"/>
      <w:marLeft w:val="0"/>
      <w:marRight w:val="0"/>
      <w:marTop w:val="0"/>
      <w:marBottom w:val="0"/>
      <w:divBdr>
        <w:top w:val="none" w:sz="0" w:space="0" w:color="auto"/>
        <w:left w:val="none" w:sz="0" w:space="0" w:color="auto"/>
        <w:bottom w:val="none" w:sz="0" w:space="0" w:color="auto"/>
        <w:right w:val="none" w:sz="0" w:space="0" w:color="auto"/>
      </w:divBdr>
      <w:divsChild>
        <w:div w:id="936450122">
          <w:marLeft w:val="0"/>
          <w:marRight w:val="0"/>
          <w:marTop w:val="0"/>
          <w:marBottom w:val="0"/>
          <w:divBdr>
            <w:top w:val="none" w:sz="0" w:space="0" w:color="auto"/>
            <w:left w:val="none" w:sz="0" w:space="0" w:color="auto"/>
            <w:bottom w:val="none" w:sz="0" w:space="0" w:color="auto"/>
            <w:right w:val="none" w:sz="0" w:space="0" w:color="auto"/>
          </w:divBdr>
        </w:div>
      </w:divsChild>
    </w:div>
    <w:div w:id="1357151396">
      <w:bodyDiv w:val="1"/>
      <w:marLeft w:val="0"/>
      <w:marRight w:val="0"/>
      <w:marTop w:val="0"/>
      <w:marBottom w:val="0"/>
      <w:divBdr>
        <w:top w:val="none" w:sz="0" w:space="0" w:color="auto"/>
        <w:left w:val="none" w:sz="0" w:space="0" w:color="auto"/>
        <w:bottom w:val="none" w:sz="0" w:space="0" w:color="auto"/>
        <w:right w:val="none" w:sz="0" w:space="0" w:color="auto"/>
      </w:divBdr>
    </w:div>
    <w:div w:id="1363432508">
      <w:bodyDiv w:val="1"/>
      <w:marLeft w:val="0"/>
      <w:marRight w:val="0"/>
      <w:marTop w:val="0"/>
      <w:marBottom w:val="0"/>
      <w:divBdr>
        <w:top w:val="none" w:sz="0" w:space="0" w:color="auto"/>
        <w:left w:val="none" w:sz="0" w:space="0" w:color="auto"/>
        <w:bottom w:val="none" w:sz="0" w:space="0" w:color="auto"/>
        <w:right w:val="none" w:sz="0" w:space="0" w:color="auto"/>
      </w:divBdr>
    </w:div>
    <w:div w:id="1364937833">
      <w:bodyDiv w:val="1"/>
      <w:marLeft w:val="0"/>
      <w:marRight w:val="0"/>
      <w:marTop w:val="0"/>
      <w:marBottom w:val="0"/>
      <w:divBdr>
        <w:top w:val="none" w:sz="0" w:space="0" w:color="auto"/>
        <w:left w:val="none" w:sz="0" w:space="0" w:color="auto"/>
        <w:bottom w:val="none" w:sz="0" w:space="0" w:color="auto"/>
        <w:right w:val="none" w:sz="0" w:space="0" w:color="auto"/>
      </w:divBdr>
    </w:div>
    <w:div w:id="1374185393">
      <w:bodyDiv w:val="1"/>
      <w:marLeft w:val="0"/>
      <w:marRight w:val="0"/>
      <w:marTop w:val="0"/>
      <w:marBottom w:val="0"/>
      <w:divBdr>
        <w:top w:val="none" w:sz="0" w:space="0" w:color="auto"/>
        <w:left w:val="none" w:sz="0" w:space="0" w:color="auto"/>
        <w:bottom w:val="none" w:sz="0" w:space="0" w:color="auto"/>
        <w:right w:val="none" w:sz="0" w:space="0" w:color="auto"/>
      </w:divBdr>
    </w:div>
    <w:div w:id="1376200293">
      <w:bodyDiv w:val="1"/>
      <w:marLeft w:val="0"/>
      <w:marRight w:val="0"/>
      <w:marTop w:val="0"/>
      <w:marBottom w:val="0"/>
      <w:divBdr>
        <w:top w:val="none" w:sz="0" w:space="0" w:color="auto"/>
        <w:left w:val="none" w:sz="0" w:space="0" w:color="auto"/>
        <w:bottom w:val="none" w:sz="0" w:space="0" w:color="auto"/>
        <w:right w:val="none" w:sz="0" w:space="0" w:color="auto"/>
      </w:divBdr>
    </w:div>
    <w:div w:id="1382482891">
      <w:bodyDiv w:val="1"/>
      <w:marLeft w:val="0"/>
      <w:marRight w:val="0"/>
      <w:marTop w:val="0"/>
      <w:marBottom w:val="0"/>
      <w:divBdr>
        <w:top w:val="none" w:sz="0" w:space="0" w:color="auto"/>
        <w:left w:val="none" w:sz="0" w:space="0" w:color="auto"/>
        <w:bottom w:val="none" w:sz="0" w:space="0" w:color="auto"/>
        <w:right w:val="none" w:sz="0" w:space="0" w:color="auto"/>
      </w:divBdr>
    </w:div>
    <w:div w:id="1392731854">
      <w:bodyDiv w:val="1"/>
      <w:marLeft w:val="0"/>
      <w:marRight w:val="0"/>
      <w:marTop w:val="0"/>
      <w:marBottom w:val="0"/>
      <w:divBdr>
        <w:top w:val="none" w:sz="0" w:space="0" w:color="auto"/>
        <w:left w:val="none" w:sz="0" w:space="0" w:color="auto"/>
        <w:bottom w:val="none" w:sz="0" w:space="0" w:color="auto"/>
        <w:right w:val="none" w:sz="0" w:space="0" w:color="auto"/>
      </w:divBdr>
    </w:div>
    <w:div w:id="1413431099">
      <w:bodyDiv w:val="1"/>
      <w:marLeft w:val="0"/>
      <w:marRight w:val="0"/>
      <w:marTop w:val="0"/>
      <w:marBottom w:val="0"/>
      <w:divBdr>
        <w:top w:val="none" w:sz="0" w:space="0" w:color="auto"/>
        <w:left w:val="none" w:sz="0" w:space="0" w:color="auto"/>
        <w:bottom w:val="none" w:sz="0" w:space="0" w:color="auto"/>
        <w:right w:val="none" w:sz="0" w:space="0" w:color="auto"/>
      </w:divBdr>
    </w:div>
    <w:div w:id="1447772173">
      <w:bodyDiv w:val="1"/>
      <w:marLeft w:val="0"/>
      <w:marRight w:val="0"/>
      <w:marTop w:val="0"/>
      <w:marBottom w:val="0"/>
      <w:divBdr>
        <w:top w:val="none" w:sz="0" w:space="0" w:color="auto"/>
        <w:left w:val="none" w:sz="0" w:space="0" w:color="auto"/>
        <w:bottom w:val="none" w:sz="0" w:space="0" w:color="auto"/>
        <w:right w:val="none" w:sz="0" w:space="0" w:color="auto"/>
      </w:divBdr>
    </w:div>
    <w:div w:id="1448357277">
      <w:bodyDiv w:val="1"/>
      <w:marLeft w:val="0"/>
      <w:marRight w:val="0"/>
      <w:marTop w:val="0"/>
      <w:marBottom w:val="0"/>
      <w:divBdr>
        <w:top w:val="none" w:sz="0" w:space="0" w:color="auto"/>
        <w:left w:val="none" w:sz="0" w:space="0" w:color="auto"/>
        <w:bottom w:val="none" w:sz="0" w:space="0" w:color="auto"/>
        <w:right w:val="none" w:sz="0" w:space="0" w:color="auto"/>
      </w:divBdr>
    </w:div>
    <w:div w:id="1454248526">
      <w:bodyDiv w:val="1"/>
      <w:marLeft w:val="0"/>
      <w:marRight w:val="0"/>
      <w:marTop w:val="0"/>
      <w:marBottom w:val="0"/>
      <w:divBdr>
        <w:top w:val="none" w:sz="0" w:space="0" w:color="auto"/>
        <w:left w:val="none" w:sz="0" w:space="0" w:color="auto"/>
        <w:bottom w:val="none" w:sz="0" w:space="0" w:color="auto"/>
        <w:right w:val="none" w:sz="0" w:space="0" w:color="auto"/>
      </w:divBdr>
    </w:div>
    <w:div w:id="1460801641">
      <w:bodyDiv w:val="1"/>
      <w:marLeft w:val="0"/>
      <w:marRight w:val="0"/>
      <w:marTop w:val="0"/>
      <w:marBottom w:val="0"/>
      <w:divBdr>
        <w:top w:val="none" w:sz="0" w:space="0" w:color="auto"/>
        <w:left w:val="none" w:sz="0" w:space="0" w:color="auto"/>
        <w:bottom w:val="none" w:sz="0" w:space="0" w:color="auto"/>
        <w:right w:val="none" w:sz="0" w:space="0" w:color="auto"/>
      </w:divBdr>
    </w:div>
    <w:div w:id="1486580450">
      <w:bodyDiv w:val="1"/>
      <w:marLeft w:val="0"/>
      <w:marRight w:val="0"/>
      <w:marTop w:val="0"/>
      <w:marBottom w:val="0"/>
      <w:divBdr>
        <w:top w:val="none" w:sz="0" w:space="0" w:color="auto"/>
        <w:left w:val="none" w:sz="0" w:space="0" w:color="auto"/>
        <w:bottom w:val="none" w:sz="0" w:space="0" w:color="auto"/>
        <w:right w:val="none" w:sz="0" w:space="0" w:color="auto"/>
      </w:divBdr>
    </w:div>
    <w:div w:id="1492024771">
      <w:bodyDiv w:val="1"/>
      <w:marLeft w:val="0"/>
      <w:marRight w:val="0"/>
      <w:marTop w:val="0"/>
      <w:marBottom w:val="0"/>
      <w:divBdr>
        <w:top w:val="none" w:sz="0" w:space="0" w:color="auto"/>
        <w:left w:val="none" w:sz="0" w:space="0" w:color="auto"/>
        <w:bottom w:val="none" w:sz="0" w:space="0" w:color="auto"/>
        <w:right w:val="none" w:sz="0" w:space="0" w:color="auto"/>
      </w:divBdr>
    </w:div>
    <w:div w:id="1547915029">
      <w:bodyDiv w:val="1"/>
      <w:marLeft w:val="0"/>
      <w:marRight w:val="0"/>
      <w:marTop w:val="0"/>
      <w:marBottom w:val="0"/>
      <w:divBdr>
        <w:top w:val="none" w:sz="0" w:space="0" w:color="auto"/>
        <w:left w:val="none" w:sz="0" w:space="0" w:color="auto"/>
        <w:bottom w:val="none" w:sz="0" w:space="0" w:color="auto"/>
        <w:right w:val="none" w:sz="0" w:space="0" w:color="auto"/>
      </w:divBdr>
    </w:div>
    <w:div w:id="1577669039">
      <w:bodyDiv w:val="1"/>
      <w:marLeft w:val="0"/>
      <w:marRight w:val="0"/>
      <w:marTop w:val="0"/>
      <w:marBottom w:val="0"/>
      <w:divBdr>
        <w:top w:val="none" w:sz="0" w:space="0" w:color="auto"/>
        <w:left w:val="none" w:sz="0" w:space="0" w:color="auto"/>
        <w:bottom w:val="none" w:sz="0" w:space="0" w:color="auto"/>
        <w:right w:val="none" w:sz="0" w:space="0" w:color="auto"/>
      </w:divBdr>
    </w:div>
    <w:div w:id="1632519292">
      <w:bodyDiv w:val="1"/>
      <w:marLeft w:val="0"/>
      <w:marRight w:val="0"/>
      <w:marTop w:val="0"/>
      <w:marBottom w:val="0"/>
      <w:divBdr>
        <w:top w:val="none" w:sz="0" w:space="0" w:color="auto"/>
        <w:left w:val="none" w:sz="0" w:space="0" w:color="auto"/>
        <w:bottom w:val="none" w:sz="0" w:space="0" w:color="auto"/>
        <w:right w:val="none" w:sz="0" w:space="0" w:color="auto"/>
      </w:divBdr>
    </w:div>
    <w:div w:id="1695494487">
      <w:bodyDiv w:val="1"/>
      <w:marLeft w:val="0"/>
      <w:marRight w:val="0"/>
      <w:marTop w:val="0"/>
      <w:marBottom w:val="0"/>
      <w:divBdr>
        <w:top w:val="none" w:sz="0" w:space="0" w:color="auto"/>
        <w:left w:val="none" w:sz="0" w:space="0" w:color="auto"/>
        <w:bottom w:val="none" w:sz="0" w:space="0" w:color="auto"/>
        <w:right w:val="none" w:sz="0" w:space="0" w:color="auto"/>
      </w:divBdr>
    </w:div>
    <w:div w:id="1703748037">
      <w:bodyDiv w:val="1"/>
      <w:marLeft w:val="0"/>
      <w:marRight w:val="0"/>
      <w:marTop w:val="0"/>
      <w:marBottom w:val="0"/>
      <w:divBdr>
        <w:top w:val="none" w:sz="0" w:space="0" w:color="auto"/>
        <w:left w:val="none" w:sz="0" w:space="0" w:color="auto"/>
        <w:bottom w:val="none" w:sz="0" w:space="0" w:color="auto"/>
        <w:right w:val="none" w:sz="0" w:space="0" w:color="auto"/>
      </w:divBdr>
    </w:div>
    <w:div w:id="1715082773">
      <w:bodyDiv w:val="1"/>
      <w:marLeft w:val="0"/>
      <w:marRight w:val="0"/>
      <w:marTop w:val="0"/>
      <w:marBottom w:val="0"/>
      <w:divBdr>
        <w:top w:val="none" w:sz="0" w:space="0" w:color="auto"/>
        <w:left w:val="none" w:sz="0" w:space="0" w:color="auto"/>
        <w:bottom w:val="none" w:sz="0" w:space="0" w:color="auto"/>
        <w:right w:val="none" w:sz="0" w:space="0" w:color="auto"/>
      </w:divBdr>
      <w:divsChild>
        <w:div w:id="227614535">
          <w:marLeft w:val="0"/>
          <w:marRight w:val="0"/>
          <w:marTop w:val="0"/>
          <w:marBottom w:val="0"/>
          <w:divBdr>
            <w:top w:val="none" w:sz="0" w:space="0" w:color="auto"/>
            <w:left w:val="none" w:sz="0" w:space="0" w:color="auto"/>
            <w:bottom w:val="none" w:sz="0" w:space="0" w:color="auto"/>
            <w:right w:val="none" w:sz="0" w:space="0" w:color="auto"/>
          </w:divBdr>
        </w:div>
      </w:divsChild>
    </w:div>
    <w:div w:id="1855683317">
      <w:bodyDiv w:val="1"/>
      <w:marLeft w:val="0"/>
      <w:marRight w:val="0"/>
      <w:marTop w:val="0"/>
      <w:marBottom w:val="0"/>
      <w:divBdr>
        <w:top w:val="none" w:sz="0" w:space="0" w:color="auto"/>
        <w:left w:val="none" w:sz="0" w:space="0" w:color="auto"/>
        <w:bottom w:val="none" w:sz="0" w:space="0" w:color="auto"/>
        <w:right w:val="none" w:sz="0" w:space="0" w:color="auto"/>
      </w:divBdr>
    </w:div>
    <w:div w:id="1949777834">
      <w:bodyDiv w:val="1"/>
      <w:marLeft w:val="0"/>
      <w:marRight w:val="0"/>
      <w:marTop w:val="0"/>
      <w:marBottom w:val="0"/>
      <w:divBdr>
        <w:top w:val="none" w:sz="0" w:space="0" w:color="auto"/>
        <w:left w:val="none" w:sz="0" w:space="0" w:color="auto"/>
        <w:bottom w:val="none" w:sz="0" w:space="0" w:color="auto"/>
        <w:right w:val="none" w:sz="0" w:space="0" w:color="auto"/>
      </w:divBdr>
    </w:div>
    <w:div w:id="1967999646">
      <w:bodyDiv w:val="1"/>
      <w:marLeft w:val="0"/>
      <w:marRight w:val="0"/>
      <w:marTop w:val="0"/>
      <w:marBottom w:val="0"/>
      <w:divBdr>
        <w:top w:val="none" w:sz="0" w:space="0" w:color="auto"/>
        <w:left w:val="none" w:sz="0" w:space="0" w:color="auto"/>
        <w:bottom w:val="none" w:sz="0" w:space="0" w:color="auto"/>
        <w:right w:val="none" w:sz="0" w:space="0" w:color="auto"/>
      </w:divBdr>
    </w:div>
    <w:div w:id="2015834824">
      <w:bodyDiv w:val="1"/>
      <w:marLeft w:val="0"/>
      <w:marRight w:val="0"/>
      <w:marTop w:val="0"/>
      <w:marBottom w:val="0"/>
      <w:divBdr>
        <w:top w:val="none" w:sz="0" w:space="0" w:color="auto"/>
        <w:left w:val="none" w:sz="0" w:space="0" w:color="auto"/>
        <w:bottom w:val="none" w:sz="0" w:space="0" w:color="auto"/>
        <w:right w:val="none" w:sz="0" w:space="0" w:color="auto"/>
      </w:divBdr>
    </w:div>
    <w:div w:id="2048069459">
      <w:bodyDiv w:val="1"/>
      <w:marLeft w:val="0"/>
      <w:marRight w:val="0"/>
      <w:marTop w:val="0"/>
      <w:marBottom w:val="0"/>
      <w:divBdr>
        <w:top w:val="none" w:sz="0" w:space="0" w:color="auto"/>
        <w:left w:val="none" w:sz="0" w:space="0" w:color="auto"/>
        <w:bottom w:val="none" w:sz="0" w:space="0" w:color="auto"/>
        <w:right w:val="none" w:sz="0" w:space="0" w:color="auto"/>
      </w:divBdr>
    </w:div>
    <w:div w:id="2090078418">
      <w:bodyDiv w:val="1"/>
      <w:marLeft w:val="0"/>
      <w:marRight w:val="0"/>
      <w:marTop w:val="0"/>
      <w:marBottom w:val="0"/>
      <w:divBdr>
        <w:top w:val="none" w:sz="0" w:space="0" w:color="auto"/>
        <w:left w:val="none" w:sz="0" w:space="0" w:color="auto"/>
        <w:bottom w:val="none" w:sz="0" w:space="0" w:color="auto"/>
        <w:right w:val="none" w:sz="0" w:space="0" w:color="auto"/>
      </w:divBdr>
    </w:div>
    <w:div w:id="2097482247">
      <w:bodyDiv w:val="1"/>
      <w:marLeft w:val="0"/>
      <w:marRight w:val="0"/>
      <w:marTop w:val="0"/>
      <w:marBottom w:val="0"/>
      <w:divBdr>
        <w:top w:val="none" w:sz="0" w:space="0" w:color="auto"/>
        <w:left w:val="none" w:sz="0" w:space="0" w:color="auto"/>
        <w:bottom w:val="none" w:sz="0" w:space="0" w:color="auto"/>
        <w:right w:val="none" w:sz="0" w:space="0" w:color="auto"/>
      </w:divBdr>
    </w:div>
    <w:div w:id="2117749377">
      <w:bodyDiv w:val="1"/>
      <w:marLeft w:val="0"/>
      <w:marRight w:val="0"/>
      <w:marTop w:val="0"/>
      <w:marBottom w:val="0"/>
      <w:divBdr>
        <w:top w:val="none" w:sz="0" w:space="0" w:color="auto"/>
        <w:left w:val="none" w:sz="0" w:space="0" w:color="auto"/>
        <w:bottom w:val="none" w:sz="0" w:space="0" w:color="auto"/>
        <w:right w:val="none" w:sz="0" w:space="0" w:color="auto"/>
      </w:divBdr>
    </w:div>
    <w:div w:id="212252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edicines.org.uk/emc/product/6466/smp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acc.org/doi/10.1016/j.jacc.2021.09.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nice.org.uk/guidance/ng185/chapter/recommendation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acc.org/doi/10.1016/j.jacc.2021.09.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zen\AppData\Local\Microsoft\Windows\INetCache\Content.Outlook\S5Q20745\NICE%20guidelines%20on%20myocardial%20revascularization%20npc%205%208%2022%20(1)%20RJ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1EF73-85C3-7C49-9D05-3B4FDA57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C:\Users\curzen\AppData\Local\Microsoft\Windows\INetCache\Content.Outlook\S5Q20745\NICE guidelines on myocardial revascularization npc 5 8 22 (1) RJJ.dotx</Template>
  <TotalTime>5</TotalTime>
  <Pages>24</Pages>
  <Words>74125</Words>
  <Characters>422515</Characters>
  <Application>Microsoft Office Word</Application>
  <DocSecurity>0</DocSecurity>
  <Lines>3520</Lines>
  <Paragraphs>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Curzen, Nick</dc:creator>
  <cp:keywords/>
  <dc:description/>
  <cp:lastModifiedBy>Richard Jabbour</cp:lastModifiedBy>
  <cp:revision>7</cp:revision>
  <dcterms:created xsi:type="dcterms:W3CDTF">2022-11-11T12:05:00Z</dcterms:created>
  <dcterms:modified xsi:type="dcterms:W3CDTF">2022-11-17T16:57:00Z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http://csl.mendeley.com/styles/11242701/harvard-cite-them-right</vt:lpwstr>
  </property>
  <property fmtid="{D5CDD505-2E9C-101B-9397-08002B2CF9AE}" pid="9" name="Mendeley Recent Style Name 3_1">
    <vt:lpwstr>Cite Them Right 10th edition - Harvard - Richard Jabbour</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http://csl.mendeley.com/styles/11242701/nature</vt:lpwstr>
  </property>
  <property fmtid="{D5CDD505-2E9C-101B-9397-08002B2CF9AE}" pid="19" name="Mendeley Recent Style Name 8_1">
    <vt:lpwstr>Nature - Richard Jabbour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03d233d8-0a40-38eb-b35c-fa7ae30142ff</vt:lpwstr>
  </property>
  <property fmtid="{D5CDD505-2E9C-101B-9397-08002B2CF9AE}" pid="24" name="Mendeley Citation Style_1">
    <vt:lpwstr>http://csl.mendeley.com/styles/11242701/nature</vt:lpwstr>
  </property>
</Properties>
</file>