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DDBF" w14:textId="3F157AAA" w:rsidR="00D003A8" w:rsidRPr="00A7167E" w:rsidRDefault="00D003A8" w:rsidP="00D003A8">
      <w:pPr>
        <w:tabs>
          <w:tab w:val="left" w:pos="4108"/>
        </w:tabs>
        <w:rPr>
          <w:b/>
          <w:color w:val="000000" w:themeColor="text1"/>
        </w:rPr>
      </w:pPr>
      <w:bookmarkStart w:id="0" w:name="_Hlk121904640"/>
      <w:r w:rsidRPr="00A7167E">
        <w:rPr>
          <w:b/>
          <w:color w:val="000000" w:themeColor="text1"/>
        </w:rPr>
        <w:t>Table 1</w:t>
      </w:r>
      <w:r w:rsidRPr="00A7167E">
        <w:rPr>
          <w:rStyle w:val="FootnoteReference"/>
          <w:b/>
          <w:color w:val="000000" w:themeColor="text1"/>
        </w:rPr>
        <w:footnoteReference w:id="1"/>
      </w:r>
      <w:r w:rsidRPr="00A7167E">
        <w:rPr>
          <w:b/>
          <w:color w:val="000000" w:themeColor="text1"/>
        </w:rPr>
        <w:t>:</w:t>
      </w:r>
      <w:r w:rsidRPr="00A7167E">
        <w:rPr>
          <w:color w:val="000000" w:themeColor="text1"/>
        </w:rPr>
        <w:t xml:space="preserve"> </w:t>
      </w:r>
      <w:r w:rsidRPr="00A7167E">
        <w:rPr>
          <w:bCs/>
          <w:color w:val="000000" w:themeColor="text1"/>
        </w:rPr>
        <w:t xml:space="preserve">Overview of select key areas needing to be </w:t>
      </w:r>
      <w:r w:rsidRPr="00A7167E">
        <w:rPr>
          <w:bCs/>
          <w:color w:val="000000" w:themeColor="text1"/>
        </w:rPr>
        <w:t>researched.</w:t>
      </w:r>
    </w:p>
    <w:tbl>
      <w:tblPr>
        <w:tblStyle w:val="TableGrid"/>
        <w:tblW w:w="0" w:type="auto"/>
        <w:tblLook w:val="04A0" w:firstRow="1" w:lastRow="0" w:firstColumn="1" w:lastColumn="0" w:noHBand="0" w:noVBand="1"/>
      </w:tblPr>
      <w:tblGrid>
        <w:gridCol w:w="2096"/>
        <w:gridCol w:w="3569"/>
        <w:gridCol w:w="3685"/>
      </w:tblGrid>
      <w:tr w:rsidR="00D003A8" w:rsidRPr="00A7167E" w14:paraId="103B62B1" w14:textId="77777777" w:rsidTr="00125380">
        <w:tc>
          <w:tcPr>
            <w:tcW w:w="2096" w:type="dxa"/>
          </w:tcPr>
          <w:p w14:paraId="38D4CED1" w14:textId="77777777" w:rsidR="00D003A8" w:rsidRPr="00A7167E" w:rsidRDefault="00D003A8" w:rsidP="00125380">
            <w:pPr>
              <w:tabs>
                <w:tab w:val="left" w:pos="4108"/>
              </w:tabs>
              <w:rPr>
                <w:b/>
                <w:color w:val="000000" w:themeColor="text1"/>
                <w:sz w:val="20"/>
                <w:szCs w:val="20"/>
                <w:lang w:val="en-US"/>
              </w:rPr>
            </w:pPr>
            <w:r w:rsidRPr="00A7167E">
              <w:rPr>
                <w:b/>
                <w:color w:val="000000" w:themeColor="text1"/>
                <w:sz w:val="20"/>
                <w:szCs w:val="20"/>
                <w:lang w:val="en-US"/>
              </w:rPr>
              <w:t>Topic</w:t>
            </w:r>
          </w:p>
        </w:tc>
        <w:tc>
          <w:tcPr>
            <w:tcW w:w="3569" w:type="dxa"/>
          </w:tcPr>
          <w:p w14:paraId="570EE717" w14:textId="77777777" w:rsidR="00D003A8" w:rsidRPr="00A7167E" w:rsidRDefault="00D003A8" w:rsidP="00125380">
            <w:pPr>
              <w:tabs>
                <w:tab w:val="left" w:pos="4108"/>
              </w:tabs>
              <w:rPr>
                <w:b/>
                <w:color w:val="000000" w:themeColor="text1"/>
                <w:sz w:val="20"/>
                <w:szCs w:val="20"/>
              </w:rPr>
            </w:pPr>
            <w:r w:rsidRPr="00A7167E">
              <w:rPr>
                <w:b/>
                <w:color w:val="000000" w:themeColor="text1"/>
                <w:sz w:val="20"/>
                <w:szCs w:val="20"/>
              </w:rPr>
              <w:t>Key Research Areas</w:t>
            </w:r>
          </w:p>
        </w:tc>
        <w:tc>
          <w:tcPr>
            <w:tcW w:w="3685" w:type="dxa"/>
          </w:tcPr>
          <w:p w14:paraId="71C43BEA" w14:textId="77777777" w:rsidR="00D003A8" w:rsidRPr="00A7167E" w:rsidRDefault="00D003A8" w:rsidP="00125380">
            <w:pPr>
              <w:tabs>
                <w:tab w:val="left" w:pos="4108"/>
              </w:tabs>
              <w:rPr>
                <w:b/>
                <w:color w:val="000000" w:themeColor="text1"/>
                <w:sz w:val="20"/>
                <w:szCs w:val="20"/>
              </w:rPr>
            </w:pPr>
            <w:r w:rsidRPr="00A7167E">
              <w:rPr>
                <w:b/>
                <w:color w:val="000000" w:themeColor="text1"/>
                <w:sz w:val="20"/>
                <w:szCs w:val="20"/>
              </w:rPr>
              <w:t>Proposed Actions and Next Steps</w:t>
            </w:r>
          </w:p>
        </w:tc>
      </w:tr>
      <w:tr w:rsidR="00D003A8" w:rsidRPr="00A7167E" w14:paraId="70CE2D54" w14:textId="77777777" w:rsidTr="00125380">
        <w:trPr>
          <w:trHeight w:val="2300"/>
        </w:trPr>
        <w:tc>
          <w:tcPr>
            <w:tcW w:w="2096" w:type="dxa"/>
          </w:tcPr>
          <w:p w14:paraId="5145DC51" w14:textId="77777777" w:rsidR="00D003A8" w:rsidRPr="00A7167E" w:rsidRDefault="00D003A8" w:rsidP="00125380">
            <w:pPr>
              <w:tabs>
                <w:tab w:val="left" w:pos="4108"/>
              </w:tabs>
              <w:rPr>
                <w:b/>
                <w:color w:val="000000" w:themeColor="text1"/>
                <w:sz w:val="20"/>
                <w:szCs w:val="20"/>
              </w:rPr>
            </w:pPr>
            <w:r w:rsidRPr="00A7167E">
              <w:rPr>
                <w:b/>
                <w:color w:val="000000" w:themeColor="text1"/>
                <w:sz w:val="20"/>
                <w:szCs w:val="20"/>
                <w:lang w:val="en-US"/>
              </w:rPr>
              <w:t>Aging and Chronic Inflammation</w:t>
            </w:r>
          </w:p>
        </w:tc>
        <w:tc>
          <w:tcPr>
            <w:tcW w:w="3569" w:type="dxa"/>
          </w:tcPr>
          <w:p w14:paraId="0021FC3A"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 xml:space="preserve">-Clarify the influence of relevant biomarkers, like CXCL9, on chronic disease and aging </w:t>
            </w:r>
          </w:p>
          <w:p w14:paraId="32D5E6A8"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 xml:space="preserve">-Understand how current anti-aging interventions, like metformin, exert their influence on immune cells in the context of aging. </w:t>
            </w:r>
          </w:p>
        </w:tc>
        <w:tc>
          <w:tcPr>
            <w:tcW w:w="3685" w:type="dxa"/>
            <w:vMerge w:val="restart"/>
          </w:tcPr>
          <w:p w14:paraId="52FE8D9A" w14:textId="77777777" w:rsidR="00D003A8" w:rsidRPr="00A7167E" w:rsidRDefault="00D003A8" w:rsidP="00125380">
            <w:pPr>
              <w:rPr>
                <w:bCs/>
                <w:color w:val="000000" w:themeColor="text1"/>
                <w:sz w:val="20"/>
                <w:szCs w:val="20"/>
              </w:rPr>
            </w:pPr>
            <w:r w:rsidRPr="00A7167E">
              <w:rPr>
                <w:bCs/>
                <w:color w:val="000000" w:themeColor="text1"/>
                <w:sz w:val="20"/>
                <w:szCs w:val="20"/>
              </w:rPr>
              <w:t>-Involve better understanding of the impact of anti-aging therapies in large human cohorts, and to better understand mechanisms of immune system aging using naturally aged in vivo models assessed through multiple modern techniques, including multi-</w:t>
            </w:r>
            <w:proofErr w:type="spellStart"/>
            <w:r w:rsidRPr="00A7167E">
              <w:rPr>
                <w:bCs/>
                <w:color w:val="000000" w:themeColor="text1"/>
                <w:sz w:val="20"/>
                <w:szCs w:val="20"/>
              </w:rPr>
              <w:t>omic</w:t>
            </w:r>
            <w:proofErr w:type="spellEnd"/>
            <w:r w:rsidRPr="00A7167E">
              <w:rPr>
                <w:bCs/>
                <w:color w:val="000000" w:themeColor="text1"/>
                <w:sz w:val="20"/>
                <w:szCs w:val="20"/>
              </w:rPr>
              <w:t xml:space="preserve"> approaches such as single cell sequencing, metabolomics, and spatial genomic methods.</w:t>
            </w:r>
          </w:p>
          <w:p w14:paraId="0A8B3B9E" w14:textId="77777777" w:rsidR="00D003A8" w:rsidRPr="00A7167E" w:rsidRDefault="00D003A8" w:rsidP="00125380">
            <w:pPr>
              <w:rPr>
                <w:bCs/>
                <w:color w:val="000000" w:themeColor="text1"/>
                <w:sz w:val="20"/>
                <w:szCs w:val="20"/>
              </w:rPr>
            </w:pPr>
          </w:p>
          <w:p w14:paraId="1A7ADABE" w14:textId="77777777" w:rsidR="00D003A8" w:rsidRPr="00A7167E" w:rsidRDefault="00D003A8" w:rsidP="00125380">
            <w:pPr>
              <w:rPr>
                <w:bCs/>
                <w:color w:val="000000" w:themeColor="text1"/>
                <w:sz w:val="20"/>
                <w:szCs w:val="20"/>
              </w:rPr>
            </w:pPr>
            <w:r w:rsidRPr="00A7167E">
              <w:rPr>
                <w:bCs/>
                <w:color w:val="000000" w:themeColor="text1"/>
                <w:sz w:val="20"/>
                <w:szCs w:val="20"/>
              </w:rPr>
              <w:t>-Quantify the impact of obesity and obese asthma on immune dysregulation via high dimensional immune profiling, transcriptional and epigenetic evaluations.</w:t>
            </w:r>
          </w:p>
          <w:p w14:paraId="7626634B" w14:textId="77777777" w:rsidR="00D003A8" w:rsidRPr="00A7167E" w:rsidRDefault="00D003A8" w:rsidP="00125380">
            <w:pPr>
              <w:rPr>
                <w:bCs/>
                <w:color w:val="000000" w:themeColor="text1"/>
                <w:sz w:val="20"/>
                <w:szCs w:val="20"/>
              </w:rPr>
            </w:pPr>
          </w:p>
          <w:p w14:paraId="39BC1DE5" w14:textId="77777777" w:rsidR="00D003A8" w:rsidRPr="00A7167E" w:rsidRDefault="00D003A8" w:rsidP="00125380">
            <w:pPr>
              <w:rPr>
                <w:bCs/>
                <w:color w:val="000000" w:themeColor="text1"/>
                <w:sz w:val="20"/>
                <w:szCs w:val="20"/>
              </w:rPr>
            </w:pPr>
            <w:r w:rsidRPr="00A7167E">
              <w:rPr>
                <w:bCs/>
                <w:color w:val="000000" w:themeColor="text1"/>
                <w:sz w:val="20"/>
                <w:szCs w:val="20"/>
              </w:rPr>
              <w:t>-Focus on identifying key mechanisms of immune dysregulation to assess potentially targetable mechanisms.</w:t>
            </w:r>
          </w:p>
          <w:p w14:paraId="00D3B888" w14:textId="77777777" w:rsidR="00D003A8" w:rsidRPr="00A7167E" w:rsidRDefault="00D003A8" w:rsidP="00125380">
            <w:pPr>
              <w:rPr>
                <w:bCs/>
                <w:color w:val="000000" w:themeColor="text1"/>
                <w:sz w:val="20"/>
                <w:szCs w:val="20"/>
              </w:rPr>
            </w:pPr>
          </w:p>
          <w:p w14:paraId="555AE0D1" w14:textId="77777777" w:rsidR="00D003A8" w:rsidRPr="00A7167E" w:rsidRDefault="00D003A8" w:rsidP="00125380">
            <w:pPr>
              <w:rPr>
                <w:bCs/>
                <w:color w:val="000000" w:themeColor="text1"/>
                <w:sz w:val="20"/>
                <w:szCs w:val="20"/>
              </w:rPr>
            </w:pPr>
            <w:r w:rsidRPr="00A7167E">
              <w:rPr>
                <w:bCs/>
                <w:color w:val="000000" w:themeColor="text1"/>
                <w:sz w:val="20"/>
                <w:szCs w:val="20"/>
              </w:rPr>
              <w:t>-Evaluate links between metabolic function and immune dysregulation.</w:t>
            </w:r>
          </w:p>
          <w:p w14:paraId="1A6FA099" w14:textId="77777777" w:rsidR="00D003A8" w:rsidRPr="00A7167E" w:rsidRDefault="00D003A8" w:rsidP="00125380">
            <w:pPr>
              <w:rPr>
                <w:bCs/>
                <w:color w:val="000000" w:themeColor="text1"/>
                <w:sz w:val="20"/>
                <w:szCs w:val="20"/>
              </w:rPr>
            </w:pPr>
          </w:p>
          <w:p w14:paraId="4770D763" w14:textId="77777777" w:rsidR="00D003A8" w:rsidRPr="00A7167E" w:rsidRDefault="00D003A8" w:rsidP="00125380">
            <w:pPr>
              <w:rPr>
                <w:bCs/>
                <w:color w:val="000000" w:themeColor="text1"/>
                <w:sz w:val="20"/>
                <w:szCs w:val="20"/>
              </w:rPr>
            </w:pPr>
            <w:r w:rsidRPr="00A7167E">
              <w:rPr>
                <w:bCs/>
                <w:color w:val="000000" w:themeColor="text1"/>
                <w:sz w:val="20"/>
                <w:szCs w:val="20"/>
              </w:rPr>
              <w:t xml:space="preserve">-Within food allergen immunotherapy, factors for durable oral tolerance in infancy and young childhood can include that the lowest age introduction is protective along with the minimum frequency and amount of ingestion. Methodological improvements to consider would be dose, </w:t>
            </w:r>
            <w:proofErr w:type="gramStart"/>
            <w:r w:rsidRPr="00A7167E">
              <w:rPr>
                <w:bCs/>
                <w:color w:val="000000" w:themeColor="text1"/>
                <w:sz w:val="20"/>
                <w:szCs w:val="20"/>
              </w:rPr>
              <w:t>route</w:t>
            </w:r>
            <w:proofErr w:type="gramEnd"/>
            <w:r w:rsidRPr="00A7167E">
              <w:rPr>
                <w:bCs/>
                <w:color w:val="000000" w:themeColor="text1"/>
                <w:sz w:val="20"/>
                <w:szCs w:val="20"/>
              </w:rPr>
              <w:t xml:space="preserve"> and format of food. While patient centered outcomes would include quality of life and psychosocial aspects, changes in severity, ability to eat the food freely vs accidental exposure protection. </w:t>
            </w:r>
          </w:p>
          <w:p w14:paraId="4F03C795" w14:textId="77777777" w:rsidR="00D003A8" w:rsidRPr="00A7167E" w:rsidRDefault="00D003A8" w:rsidP="00125380">
            <w:pPr>
              <w:rPr>
                <w:bCs/>
                <w:color w:val="000000" w:themeColor="text1"/>
                <w:sz w:val="20"/>
                <w:szCs w:val="20"/>
              </w:rPr>
            </w:pPr>
          </w:p>
          <w:p w14:paraId="5F0C7811" w14:textId="77777777" w:rsidR="00D003A8" w:rsidRPr="00A7167E" w:rsidRDefault="00D003A8" w:rsidP="00125380">
            <w:pPr>
              <w:rPr>
                <w:bCs/>
                <w:color w:val="000000" w:themeColor="text1"/>
                <w:sz w:val="20"/>
                <w:szCs w:val="20"/>
              </w:rPr>
            </w:pPr>
            <w:r w:rsidRPr="00A7167E">
              <w:rPr>
                <w:bCs/>
                <w:color w:val="000000" w:themeColor="text1"/>
                <w:sz w:val="20"/>
                <w:szCs w:val="20"/>
              </w:rPr>
              <w:t>-Team science approach bringing together perspectives of basic scientists, clinicians, and public health experts to move research into concrete interventions and recommendations.</w:t>
            </w:r>
          </w:p>
          <w:p w14:paraId="7C671550" w14:textId="77777777" w:rsidR="00D003A8" w:rsidRPr="00A7167E" w:rsidRDefault="00D003A8" w:rsidP="00125380">
            <w:pPr>
              <w:rPr>
                <w:bCs/>
                <w:color w:val="000000" w:themeColor="text1"/>
                <w:sz w:val="20"/>
                <w:szCs w:val="20"/>
              </w:rPr>
            </w:pPr>
          </w:p>
          <w:p w14:paraId="19A9A8E8" w14:textId="77777777" w:rsidR="00D003A8" w:rsidRPr="00A7167E" w:rsidRDefault="00D003A8" w:rsidP="00125380">
            <w:pPr>
              <w:rPr>
                <w:bCs/>
                <w:color w:val="000000" w:themeColor="text1"/>
                <w:sz w:val="20"/>
                <w:szCs w:val="20"/>
              </w:rPr>
            </w:pPr>
            <w:r w:rsidRPr="00A7167E">
              <w:rPr>
                <w:bCs/>
                <w:color w:val="000000" w:themeColor="text1"/>
                <w:sz w:val="20"/>
                <w:szCs w:val="20"/>
              </w:rPr>
              <w:t>-Systematic analyses of clinical materials from high-quality randomized control trials.</w:t>
            </w:r>
          </w:p>
          <w:p w14:paraId="1CC19617" w14:textId="77777777" w:rsidR="00D003A8" w:rsidRPr="00A7167E" w:rsidRDefault="00D003A8" w:rsidP="00125380">
            <w:pPr>
              <w:rPr>
                <w:bCs/>
                <w:color w:val="000000" w:themeColor="text1"/>
                <w:sz w:val="20"/>
                <w:szCs w:val="20"/>
              </w:rPr>
            </w:pPr>
          </w:p>
          <w:p w14:paraId="49A7A09C" w14:textId="77777777" w:rsidR="00D003A8" w:rsidRPr="00A7167E" w:rsidRDefault="00D003A8" w:rsidP="00125380">
            <w:pPr>
              <w:rPr>
                <w:bCs/>
                <w:color w:val="000000" w:themeColor="text1"/>
                <w:sz w:val="20"/>
                <w:szCs w:val="20"/>
              </w:rPr>
            </w:pPr>
            <w:r w:rsidRPr="00A7167E">
              <w:rPr>
                <w:bCs/>
                <w:color w:val="000000" w:themeColor="text1"/>
                <w:sz w:val="20"/>
                <w:szCs w:val="20"/>
              </w:rPr>
              <w:t xml:space="preserve">-Biobanking of clinical samples from individuals with immune-related disorders. Such as collection of plasma/serum </w:t>
            </w:r>
            <w:r w:rsidRPr="00A7167E">
              <w:rPr>
                <w:bCs/>
                <w:color w:val="000000" w:themeColor="text1"/>
                <w:sz w:val="20"/>
                <w:szCs w:val="20"/>
              </w:rPr>
              <w:lastRenderedPageBreak/>
              <w:t xml:space="preserve">samples from all studies so these can be analyzed in future </w:t>
            </w:r>
            <w:proofErr w:type="gramStart"/>
            <w:r w:rsidRPr="00A7167E">
              <w:rPr>
                <w:bCs/>
                <w:color w:val="000000" w:themeColor="text1"/>
                <w:sz w:val="20"/>
                <w:szCs w:val="20"/>
              </w:rPr>
              <w:t>studies</w:t>
            </w:r>
            <w:proofErr w:type="gramEnd"/>
          </w:p>
          <w:p w14:paraId="3EC9599D" w14:textId="77777777" w:rsidR="00D003A8" w:rsidRPr="00A7167E" w:rsidRDefault="00D003A8" w:rsidP="00125380">
            <w:pPr>
              <w:rPr>
                <w:bCs/>
                <w:color w:val="000000" w:themeColor="text1"/>
                <w:sz w:val="20"/>
                <w:szCs w:val="20"/>
              </w:rPr>
            </w:pPr>
          </w:p>
          <w:p w14:paraId="4D7FA6D0" w14:textId="77777777" w:rsidR="00D003A8" w:rsidRPr="00A7167E" w:rsidRDefault="00D003A8" w:rsidP="00125380">
            <w:pPr>
              <w:rPr>
                <w:bCs/>
                <w:color w:val="000000" w:themeColor="text1"/>
                <w:sz w:val="20"/>
                <w:szCs w:val="20"/>
              </w:rPr>
            </w:pPr>
            <w:r w:rsidRPr="00A7167E">
              <w:rPr>
                <w:bCs/>
                <w:color w:val="000000" w:themeColor="text1"/>
                <w:sz w:val="20"/>
                <w:szCs w:val="20"/>
              </w:rPr>
              <w:t>-Open science initiatives (e.g., global data sharing)</w:t>
            </w:r>
          </w:p>
          <w:p w14:paraId="352F5E0B" w14:textId="77777777" w:rsidR="00D003A8" w:rsidRPr="00A7167E" w:rsidRDefault="00D003A8" w:rsidP="00125380">
            <w:pPr>
              <w:rPr>
                <w:bCs/>
                <w:color w:val="000000" w:themeColor="text1"/>
                <w:sz w:val="20"/>
                <w:szCs w:val="20"/>
              </w:rPr>
            </w:pPr>
          </w:p>
          <w:p w14:paraId="753795B9" w14:textId="77777777" w:rsidR="00D003A8" w:rsidRPr="00A7167E" w:rsidRDefault="00D003A8" w:rsidP="00125380">
            <w:pPr>
              <w:rPr>
                <w:bCs/>
                <w:color w:val="000000" w:themeColor="text1"/>
                <w:sz w:val="20"/>
                <w:szCs w:val="20"/>
              </w:rPr>
            </w:pPr>
            <w:r w:rsidRPr="00A7167E">
              <w:rPr>
                <w:bCs/>
                <w:color w:val="000000" w:themeColor="text1"/>
                <w:sz w:val="20"/>
                <w:szCs w:val="20"/>
              </w:rPr>
              <w:t>-Clinical trial interventions considering dietary patterns or combinations of nutrients, such as dietary fiber and fat, with regards to immune responses along with development and progression of chronic diseases (like IBD, obesity, cancer).</w:t>
            </w:r>
          </w:p>
          <w:p w14:paraId="7077D037" w14:textId="77777777" w:rsidR="00D003A8" w:rsidRPr="00A7167E" w:rsidRDefault="00D003A8" w:rsidP="00125380">
            <w:pPr>
              <w:rPr>
                <w:bCs/>
                <w:color w:val="000000" w:themeColor="text1"/>
                <w:sz w:val="20"/>
                <w:szCs w:val="20"/>
              </w:rPr>
            </w:pPr>
          </w:p>
          <w:p w14:paraId="3F7BD17B" w14:textId="77777777" w:rsidR="00D003A8" w:rsidRPr="00A7167E" w:rsidRDefault="00D003A8" w:rsidP="00125380">
            <w:pPr>
              <w:rPr>
                <w:bCs/>
                <w:color w:val="000000" w:themeColor="text1"/>
                <w:sz w:val="20"/>
                <w:szCs w:val="20"/>
              </w:rPr>
            </w:pPr>
            <w:r w:rsidRPr="00A7167E">
              <w:rPr>
                <w:bCs/>
                <w:color w:val="000000" w:themeColor="text1"/>
                <w:sz w:val="20"/>
                <w:szCs w:val="20"/>
              </w:rPr>
              <w:t xml:space="preserve">-Analysis of the gut microbiota in dietary pattern or multi-nutrient study designs via use of microbe compositional techniques, metagenomics, </w:t>
            </w:r>
            <w:proofErr w:type="spellStart"/>
            <w:r w:rsidRPr="00A7167E">
              <w:rPr>
                <w:bCs/>
                <w:color w:val="000000" w:themeColor="text1"/>
                <w:sz w:val="20"/>
                <w:szCs w:val="20"/>
              </w:rPr>
              <w:t>metatranscriptomics</w:t>
            </w:r>
            <w:proofErr w:type="spellEnd"/>
            <w:r w:rsidRPr="00A7167E">
              <w:rPr>
                <w:bCs/>
                <w:color w:val="000000" w:themeColor="text1"/>
                <w:sz w:val="20"/>
                <w:szCs w:val="20"/>
              </w:rPr>
              <w:t xml:space="preserve"> and metabolomics to clarify chronic disease susceptibility and treatment outcomes.</w:t>
            </w:r>
          </w:p>
          <w:p w14:paraId="0C202D22" w14:textId="77777777" w:rsidR="00D003A8" w:rsidRPr="00A7167E" w:rsidRDefault="00D003A8" w:rsidP="00125380">
            <w:pPr>
              <w:rPr>
                <w:bCs/>
                <w:color w:val="000000" w:themeColor="text1"/>
                <w:sz w:val="20"/>
                <w:szCs w:val="20"/>
              </w:rPr>
            </w:pPr>
          </w:p>
          <w:p w14:paraId="497035D6" w14:textId="77777777" w:rsidR="00D003A8" w:rsidRPr="00A7167E" w:rsidRDefault="00D003A8" w:rsidP="00125380">
            <w:pPr>
              <w:rPr>
                <w:bCs/>
                <w:color w:val="000000" w:themeColor="text1"/>
                <w:sz w:val="20"/>
                <w:szCs w:val="20"/>
              </w:rPr>
            </w:pPr>
            <w:r w:rsidRPr="00A7167E">
              <w:rPr>
                <w:bCs/>
                <w:color w:val="000000" w:themeColor="text1"/>
                <w:sz w:val="20"/>
                <w:szCs w:val="20"/>
              </w:rPr>
              <w:t>-There is a need to increased availability of standards to help identify and quantify novel oxylipins. As well as dietary interventions examining effects during the inflammatory response and resolution.</w:t>
            </w:r>
          </w:p>
        </w:tc>
      </w:tr>
      <w:tr w:rsidR="00D003A8" w:rsidRPr="00A7167E" w14:paraId="43FF1108" w14:textId="77777777" w:rsidTr="00125380">
        <w:trPr>
          <w:trHeight w:val="2300"/>
        </w:trPr>
        <w:tc>
          <w:tcPr>
            <w:tcW w:w="2096" w:type="dxa"/>
          </w:tcPr>
          <w:p w14:paraId="30ADE082" w14:textId="77777777" w:rsidR="00D003A8" w:rsidRPr="00A7167E" w:rsidRDefault="00D003A8" w:rsidP="00125380">
            <w:pPr>
              <w:tabs>
                <w:tab w:val="left" w:pos="4108"/>
              </w:tabs>
              <w:rPr>
                <w:b/>
                <w:color w:val="000000" w:themeColor="text1"/>
                <w:sz w:val="20"/>
                <w:szCs w:val="20"/>
              </w:rPr>
            </w:pPr>
            <w:proofErr w:type="spellStart"/>
            <w:r w:rsidRPr="00A7167E">
              <w:rPr>
                <w:b/>
                <w:color w:val="000000" w:themeColor="text1"/>
                <w:sz w:val="20"/>
                <w:szCs w:val="20"/>
              </w:rPr>
              <w:t>Immunometabolic</w:t>
            </w:r>
            <w:proofErr w:type="spellEnd"/>
            <w:r w:rsidRPr="00A7167E">
              <w:rPr>
                <w:b/>
                <w:color w:val="000000" w:themeColor="text1"/>
                <w:sz w:val="20"/>
                <w:szCs w:val="20"/>
              </w:rPr>
              <w:t xml:space="preserve"> status in obesity and obese asthma</w:t>
            </w:r>
          </w:p>
        </w:tc>
        <w:tc>
          <w:tcPr>
            <w:tcW w:w="3569" w:type="dxa"/>
          </w:tcPr>
          <w:p w14:paraId="198AB1C5"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 xml:space="preserve">-Quantify the impact of obesity and obese asthma on immune dysregulation and identify potentially targetable mechanisms </w:t>
            </w:r>
          </w:p>
        </w:tc>
        <w:tc>
          <w:tcPr>
            <w:tcW w:w="3685" w:type="dxa"/>
            <w:vMerge/>
          </w:tcPr>
          <w:p w14:paraId="78D2A489" w14:textId="77777777" w:rsidR="00D003A8" w:rsidRPr="00A7167E" w:rsidRDefault="00D003A8" w:rsidP="00125380">
            <w:pPr>
              <w:rPr>
                <w:bCs/>
                <w:color w:val="000000" w:themeColor="text1"/>
                <w:sz w:val="20"/>
                <w:szCs w:val="20"/>
              </w:rPr>
            </w:pPr>
          </w:p>
        </w:tc>
      </w:tr>
      <w:tr w:rsidR="00D003A8" w:rsidRPr="00A7167E" w14:paraId="2164BFEB" w14:textId="77777777" w:rsidTr="00125380">
        <w:trPr>
          <w:trHeight w:val="2300"/>
        </w:trPr>
        <w:tc>
          <w:tcPr>
            <w:tcW w:w="2096" w:type="dxa"/>
          </w:tcPr>
          <w:p w14:paraId="2B3D4416" w14:textId="77777777" w:rsidR="00D003A8" w:rsidRPr="00A7167E" w:rsidRDefault="00D003A8" w:rsidP="00125380">
            <w:pPr>
              <w:tabs>
                <w:tab w:val="left" w:pos="4108"/>
              </w:tabs>
              <w:rPr>
                <w:b/>
                <w:color w:val="000000" w:themeColor="text1"/>
                <w:sz w:val="20"/>
                <w:szCs w:val="20"/>
              </w:rPr>
            </w:pPr>
            <w:r w:rsidRPr="00A7167E">
              <w:rPr>
                <w:b/>
                <w:color w:val="000000" w:themeColor="text1"/>
                <w:sz w:val="20"/>
                <w:szCs w:val="20"/>
              </w:rPr>
              <w:t>How to induce immunotolerance: Lessons from food allergen immunotherapy</w:t>
            </w:r>
          </w:p>
        </w:tc>
        <w:tc>
          <w:tcPr>
            <w:tcW w:w="3569" w:type="dxa"/>
          </w:tcPr>
          <w:p w14:paraId="6869D436"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-Understand the factors in infancy and young childhood which drive durable oral tolerance to food</w:t>
            </w:r>
          </w:p>
          <w:p w14:paraId="3EFEFBC0"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-Methodological improvements to food allergen immunotherapy to balance risk and benefit</w:t>
            </w:r>
          </w:p>
          <w:p w14:paraId="570CD050"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-Increased attention to the patient centered outcomes of reduction of severity of allergic reactions</w:t>
            </w:r>
          </w:p>
        </w:tc>
        <w:tc>
          <w:tcPr>
            <w:tcW w:w="3685" w:type="dxa"/>
            <w:vMerge/>
          </w:tcPr>
          <w:p w14:paraId="21A0658E" w14:textId="77777777" w:rsidR="00D003A8" w:rsidRPr="00A7167E" w:rsidRDefault="00D003A8" w:rsidP="00125380">
            <w:pPr>
              <w:rPr>
                <w:bCs/>
                <w:color w:val="000000" w:themeColor="text1"/>
                <w:sz w:val="20"/>
                <w:szCs w:val="20"/>
              </w:rPr>
            </w:pPr>
          </w:p>
        </w:tc>
      </w:tr>
      <w:tr w:rsidR="00D003A8" w:rsidRPr="00A7167E" w14:paraId="4B3E288B" w14:textId="77777777" w:rsidTr="00125380">
        <w:trPr>
          <w:trHeight w:val="2300"/>
        </w:trPr>
        <w:tc>
          <w:tcPr>
            <w:tcW w:w="2096" w:type="dxa"/>
          </w:tcPr>
          <w:p w14:paraId="31237137" w14:textId="77777777" w:rsidR="00D003A8" w:rsidRPr="00A7167E" w:rsidRDefault="00D003A8" w:rsidP="00125380">
            <w:pPr>
              <w:tabs>
                <w:tab w:val="left" w:pos="4108"/>
              </w:tabs>
              <w:rPr>
                <w:b/>
                <w:color w:val="000000" w:themeColor="text1"/>
                <w:sz w:val="20"/>
                <w:szCs w:val="20"/>
              </w:rPr>
            </w:pPr>
            <w:r w:rsidRPr="00A7167E">
              <w:rPr>
                <w:b/>
                <w:color w:val="000000" w:themeColor="text1"/>
                <w:sz w:val="20"/>
                <w:szCs w:val="20"/>
              </w:rPr>
              <w:t>The implications of nutritional state for COVID-19</w:t>
            </w:r>
          </w:p>
        </w:tc>
        <w:tc>
          <w:tcPr>
            <w:tcW w:w="3569" w:type="dxa"/>
          </w:tcPr>
          <w:p w14:paraId="37BB1277"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-Characterize the relationship of frailty and obesity with micronutrient status and the combined effects on infection risk and vaccine response</w:t>
            </w:r>
          </w:p>
        </w:tc>
        <w:tc>
          <w:tcPr>
            <w:tcW w:w="3685" w:type="dxa"/>
            <w:vMerge/>
          </w:tcPr>
          <w:p w14:paraId="1EC01DA6" w14:textId="77777777" w:rsidR="00D003A8" w:rsidRPr="00A7167E" w:rsidRDefault="00D003A8" w:rsidP="00125380">
            <w:pPr>
              <w:rPr>
                <w:bCs/>
                <w:color w:val="000000" w:themeColor="text1"/>
                <w:sz w:val="20"/>
                <w:szCs w:val="20"/>
              </w:rPr>
            </w:pPr>
          </w:p>
        </w:tc>
      </w:tr>
      <w:tr w:rsidR="00D003A8" w:rsidRPr="00A7167E" w14:paraId="4BE83007" w14:textId="77777777" w:rsidTr="00125380">
        <w:trPr>
          <w:trHeight w:val="2300"/>
        </w:trPr>
        <w:tc>
          <w:tcPr>
            <w:tcW w:w="2096" w:type="dxa"/>
          </w:tcPr>
          <w:p w14:paraId="2AA64207" w14:textId="77777777" w:rsidR="00D003A8" w:rsidRPr="00A7167E" w:rsidRDefault="00D003A8" w:rsidP="00125380">
            <w:pPr>
              <w:tabs>
                <w:tab w:val="left" w:pos="4108"/>
              </w:tabs>
              <w:rPr>
                <w:b/>
                <w:color w:val="000000" w:themeColor="text1"/>
                <w:sz w:val="20"/>
                <w:szCs w:val="20"/>
              </w:rPr>
            </w:pPr>
            <w:r w:rsidRPr="00A7167E">
              <w:rPr>
                <w:b/>
                <w:color w:val="000000" w:themeColor="text1"/>
                <w:sz w:val="20"/>
                <w:szCs w:val="20"/>
              </w:rPr>
              <w:t>Vitamin D and Immune Health</w:t>
            </w:r>
          </w:p>
        </w:tc>
        <w:tc>
          <w:tcPr>
            <w:tcW w:w="3569" w:type="dxa"/>
          </w:tcPr>
          <w:p w14:paraId="473FBEBD"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 xml:space="preserve">-Improve knowledge of the in vivo responses of immune cells to vitamin D </w:t>
            </w:r>
          </w:p>
          <w:p w14:paraId="73853B57"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 xml:space="preserve">-Clarify the impact of immune-related disorders on vitamin D metabolism </w:t>
            </w:r>
          </w:p>
          <w:p w14:paraId="59425AE9"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-Establish personalized vitamin D interventions for immune health</w:t>
            </w:r>
          </w:p>
        </w:tc>
        <w:tc>
          <w:tcPr>
            <w:tcW w:w="3685" w:type="dxa"/>
            <w:vMerge/>
          </w:tcPr>
          <w:p w14:paraId="61A68278" w14:textId="77777777" w:rsidR="00D003A8" w:rsidRPr="00A7167E" w:rsidRDefault="00D003A8" w:rsidP="00125380">
            <w:pPr>
              <w:rPr>
                <w:bCs/>
                <w:color w:val="000000" w:themeColor="text1"/>
                <w:sz w:val="20"/>
                <w:szCs w:val="20"/>
              </w:rPr>
            </w:pPr>
          </w:p>
        </w:tc>
      </w:tr>
      <w:tr w:rsidR="00D003A8" w:rsidRPr="00A7167E" w14:paraId="40BD7311" w14:textId="77777777" w:rsidTr="00125380">
        <w:trPr>
          <w:trHeight w:val="2300"/>
        </w:trPr>
        <w:tc>
          <w:tcPr>
            <w:tcW w:w="2096" w:type="dxa"/>
          </w:tcPr>
          <w:p w14:paraId="25874EBE" w14:textId="77777777" w:rsidR="00D003A8" w:rsidRPr="00A7167E" w:rsidRDefault="00D003A8" w:rsidP="00125380">
            <w:pPr>
              <w:tabs>
                <w:tab w:val="left" w:pos="4108"/>
              </w:tabs>
              <w:rPr>
                <w:b/>
                <w:color w:val="000000" w:themeColor="text1"/>
                <w:sz w:val="20"/>
                <w:szCs w:val="20"/>
              </w:rPr>
            </w:pPr>
            <w:r w:rsidRPr="00A7167E">
              <w:rPr>
                <w:b/>
                <w:color w:val="000000" w:themeColor="text1"/>
                <w:sz w:val="20"/>
                <w:szCs w:val="20"/>
              </w:rPr>
              <w:lastRenderedPageBreak/>
              <w:t>Dietary-related Inflammation and Cancer Risk</w:t>
            </w:r>
          </w:p>
        </w:tc>
        <w:tc>
          <w:tcPr>
            <w:tcW w:w="3569" w:type="dxa"/>
          </w:tcPr>
          <w:p w14:paraId="52E48C77"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-Reduce the translational gap between research and practice, by designing and implementing dietary pattern clinical trial interventions to reduce the inflammatory potential of the diet, for chronic disease prevention and improved survival.</w:t>
            </w:r>
          </w:p>
          <w:p w14:paraId="24ED88F9"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-In addition to inflammation and immune modulation, identify other potential biological mechanisms underlying the role of the dietary pattern in human health.</w:t>
            </w:r>
          </w:p>
        </w:tc>
        <w:tc>
          <w:tcPr>
            <w:tcW w:w="3685" w:type="dxa"/>
            <w:vMerge/>
          </w:tcPr>
          <w:p w14:paraId="47AC86D5" w14:textId="77777777" w:rsidR="00D003A8" w:rsidRPr="00A7167E" w:rsidRDefault="00D003A8" w:rsidP="00125380">
            <w:pPr>
              <w:rPr>
                <w:bCs/>
                <w:color w:val="000000" w:themeColor="text1"/>
                <w:sz w:val="20"/>
                <w:szCs w:val="20"/>
              </w:rPr>
            </w:pPr>
          </w:p>
        </w:tc>
      </w:tr>
      <w:tr w:rsidR="00D003A8" w:rsidRPr="00A7167E" w14:paraId="71DF4867" w14:textId="77777777" w:rsidTr="00125380">
        <w:trPr>
          <w:trHeight w:val="2300"/>
        </w:trPr>
        <w:tc>
          <w:tcPr>
            <w:tcW w:w="2096" w:type="dxa"/>
          </w:tcPr>
          <w:p w14:paraId="3EF43D46" w14:textId="77777777" w:rsidR="00D003A8" w:rsidRPr="00A7167E" w:rsidRDefault="00D003A8" w:rsidP="00125380">
            <w:pPr>
              <w:tabs>
                <w:tab w:val="left" w:pos="4108"/>
              </w:tabs>
              <w:rPr>
                <w:b/>
                <w:color w:val="000000" w:themeColor="text1"/>
                <w:sz w:val="20"/>
                <w:szCs w:val="20"/>
              </w:rPr>
            </w:pPr>
            <w:r w:rsidRPr="00A7167E">
              <w:rPr>
                <w:b/>
                <w:color w:val="000000" w:themeColor="text1"/>
                <w:sz w:val="20"/>
                <w:szCs w:val="20"/>
              </w:rPr>
              <w:t>Dietary patterns and Inflammatory Bowel Disease</w:t>
            </w:r>
          </w:p>
        </w:tc>
        <w:tc>
          <w:tcPr>
            <w:tcW w:w="3569" w:type="dxa"/>
          </w:tcPr>
          <w:p w14:paraId="3ADF8810" w14:textId="77777777" w:rsidR="00D003A8" w:rsidRPr="00A7167E" w:rsidRDefault="00D003A8" w:rsidP="00125380">
            <w:pPr>
              <w:rPr>
                <w:color w:val="000000" w:themeColor="text1"/>
                <w:sz w:val="20"/>
                <w:szCs w:val="20"/>
              </w:rPr>
            </w:pPr>
            <w:r w:rsidRPr="00A7167E">
              <w:rPr>
                <w:color w:val="000000" w:themeColor="text1"/>
                <w:sz w:val="20"/>
                <w:szCs w:val="20"/>
              </w:rPr>
              <w:t>-Identify the synergistic effect of healthy fats and fibers on gut and metabolic health</w:t>
            </w:r>
          </w:p>
          <w:p w14:paraId="2C739B4A" w14:textId="77777777" w:rsidR="00D003A8" w:rsidRPr="00A7167E" w:rsidRDefault="00D003A8" w:rsidP="00125380">
            <w:pPr>
              <w:rPr>
                <w:color w:val="000000" w:themeColor="text1"/>
                <w:sz w:val="20"/>
                <w:szCs w:val="20"/>
              </w:rPr>
            </w:pPr>
            <w:r w:rsidRPr="00A7167E">
              <w:rPr>
                <w:color w:val="000000" w:themeColor="text1"/>
                <w:sz w:val="20"/>
                <w:szCs w:val="20"/>
              </w:rPr>
              <w:t>-Explore the role of the Mediterranean dietary pattern on the gut-brain axis</w:t>
            </w:r>
          </w:p>
          <w:p w14:paraId="6A1938AD" w14:textId="77777777" w:rsidR="00D003A8" w:rsidRPr="00A7167E" w:rsidRDefault="00D003A8" w:rsidP="00125380">
            <w:pPr>
              <w:rPr>
                <w:color w:val="000000" w:themeColor="text1"/>
                <w:sz w:val="20"/>
                <w:szCs w:val="20"/>
              </w:rPr>
            </w:pPr>
            <w:r w:rsidRPr="00A7167E">
              <w:rPr>
                <w:color w:val="000000" w:themeColor="text1"/>
                <w:sz w:val="20"/>
                <w:szCs w:val="20"/>
              </w:rPr>
              <w:t>-Understand the causal role of the gut microbiome on gut immunity and metabolic responses</w:t>
            </w:r>
          </w:p>
        </w:tc>
        <w:tc>
          <w:tcPr>
            <w:tcW w:w="3685" w:type="dxa"/>
            <w:vMerge/>
          </w:tcPr>
          <w:p w14:paraId="64A03A09" w14:textId="77777777" w:rsidR="00D003A8" w:rsidRPr="00A7167E" w:rsidRDefault="00D003A8" w:rsidP="00125380">
            <w:pPr>
              <w:rPr>
                <w:color w:val="000000" w:themeColor="text1"/>
                <w:sz w:val="20"/>
                <w:szCs w:val="20"/>
              </w:rPr>
            </w:pPr>
          </w:p>
        </w:tc>
      </w:tr>
      <w:tr w:rsidR="00D003A8" w:rsidRPr="00A7167E" w14:paraId="4D03A037" w14:textId="77777777" w:rsidTr="00125380">
        <w:trPr>
          <w:trHeight w:val="2300"/>
        </w:trPr>
        <w:tc>
          <w:tcPr>
            <w:tcW w:w="2096" w:type="dxa"/>
          </w:tcPr>
          <w:p w14:paraId="1DE98F28" w14:textId="77777777" w:rsidR="00D003A8" w:rsidRPr="00A7167E" w:rsidRDefault="00D003A8" w:rsidP="00125380">
            <w:pPr>
              <w:tabs>
                <w:tab w:val="left" w:pos="4108"/>
              </w:tabs>
              <w:rPr>
                <w:b/>
                <w:color w:val="000000" w:themeColor="text1"/>
                <w:sz w:val="20"/>
                <w:szCs w:val="20"/>
              </w:rPr>
            </w:pPr>
            <w:r w:rsidRPr="00A7167E">
              <w:rPr>
                <w:b/>
                <w:color w:val="000000" w:themeColor="text1"/>
                <w:sz w:val="20"/>
                <w:szCs w:val="20"/>
              </w:rPr>
              <w:t>Diet, oxylipins, and inflammation</w:t>
            </w:r>
          </w:p>
        </w:tc>
        <w:tc>
          <w:tcPr>
            <w:tcW w:w="3569" w:type="dxa"/>
          </w:tcPr>
          <w:p w14:paraId="2425AF33"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-Clarify the relationships between dietary intake of polyunsaturated fatty acids and oxylipin profiles in immune responses</w:t>
            </w:r>
          </w:p>
          <w:p w14:paraId="54BEFDCF" w14:textId="77777777" w:rsidR="00D003A8" w:rsidRPr="00A7167E" w:rsidRDefault="00D003A8" w:rsidP="00125380">
            <w:pPr>
              <w:tabs>
                <w:tab w:val="left" w:pos="4108"/>
              </w:tabs>
              <w:rPr>
                <w:bCs/>
                <w:color w:val="000000" w:themeColor="text1"/>
                <w:sz w:val="20"/>
                <w:szCs w:val="20"/>
              </w:rPr>
            </w:pPr>
            <w:r w:rsidRPr="00A7167E">
              <w:rPr>
                <w:bCs/>
                <w:color w:val="000000" w:themeColor="text1"/>
                <w:sz w:val="20"/>
                <w:szCs w:val="20"/>
              </w:rPr>
              <w:t>-Identify novel oxylipins and temporal effects during the inflammatory response and resolution</w:t>
            </w:r>
          </w:p>
        </w:tc>
        <w:tc>
          <w:tcPr>
            <w:tcW w:w="3685" w:type="dxa"/>
            <w:vMerge/>
          </w:tcPr>
          <w:p w14:paraId="3E1BD693" w14:textId="77777777" w:rsidR="00D003A8" w:rsidRPr="00A7167E" w:rsidRDefault="00D003A8" w:rsidP="00125380">
            <w:pPr>
              <w:tabs>
                <w:tab w:val="left" w:pos="4108"/>
              </w:tabs>
              <w:rPr>
                <w:bCs/>
                <w:color w:val="000000" w:themeColor="text1"/>
                <w:sz w:val="20"/>
                <w:szCs w:val="20"/>
              </w:rPr>
            </w:pPr>
          </w:p>
        </w:tc>
      </w:tr>
      <w:bookmarkEnd w:id="0"/>
    </w:tbl>
    <w:p w14:paraId="71F7E259" w14:textId="77777777" w:rsidR="00290B90" w:rsidRDefault="00D003A8"/>
    <w:sectPr w:rsidR="00290B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7B17" w14:textId="77777777" w:rsidR="00D003A8" w:rsidRDefault="00D003A8" w:rsidP="00D003A8">
      <w:r>
        <w:separator/>
      </w:r>
    </w:p>
  </w:endnote>
  <w:endnote w:type="continuationSeparator" w:id="0">
    <w:p w14:paraId="52D5B79D" w14:textId="77777777" w:rsidR="00D003A8" w:rsidRDefault="00D003A8" w:rsidP="00D0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857A" w14:textId="77777777" w:rsidR="00D003A8" w:rsidRDefault="00D003A8" w:rsidP="00D003A8">
      <w:r>
        <w:separator/>
      </w:r>
    </w:p>
  </w:footnote>
  <w:footnote w:type="continuationSeparator" w:id="0">
    <w:p w14:paraId="425AF41F" w14:textId="77777777" w:rsidR="00D003A8" w:rsidRDefault="00D003A8" w:rsidP="00D003A8">
      <w:r>
        <w:continuationSeparator/>
      </w:r>
    </w:p>
  </w:footnote>
  <w:footnote w:id="1">
    <w:p w14:paraId="1912BB23" w14:textId="77777777" w:rsidR="00D003A8" w:rsidRDefault="00D003A8" w:rsidP="00D003A8">
      <w:pPr>
        <w:pStyle w:val="FootnoteText"/>
      </w:pPr>
      <w:r w:rsidRPr="00A7167E">
        <w:rPr>
          <w:rStyle w:val="FootnoteReference"/>
          <w:color w:val="000000" w:themeColor="text1"/>
        </w:rPr>
        <w:footnoteRef/>
      </w:r>
      <w:r w:rsidRPr="00A7167E">
        <w:rPr>
          <w:color w:val="000000" w:themeColor="text1"/>
        </w:rPr>
        <w:t xml:space="preserve"> Section written by the following authors (in order of appearance): Dan Winer &amp; Saad Khan; Sarah Henrickson; Julia Upton; Philip Calder; Geneviève Mailhot; Fred </w:t>
      </w:r>
      <w:proofErr w:type="spellStart"/>
      <w:r w:rsidRPr="00A7167E">
        <w:rPr>
          <w:color w:val="000000" w:themeColor="text1"/>
        </w:rPr>
        <w:t>Tabung</w:t>
      </w:r>
      <w:proofErr w:type="spellEnd"/>
      <w:r w:rsidRPr="00A7167E">
        <w:rPr>
          <w:color w:val="000000" w:themeColor="text1"/>
        </w:rPr>
        <w:t>; Deanna Gibson; Harold Aukema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A8"/>
    <w:rsid w:val="00162DEB"/>
    <w:rsid w:val="00A55246"/>
    <w:rsid w:val="00D00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A809"/>
  <w15:chartTrackingRefBased/>
  <w15:docId w15:val="{8CA1B4D2-87FC-4B04-AA12-6B9D0F9C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3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3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3A8"/>
    <w:rPr>
      <w:sz w:val="20"/>
      <w:szCs w:val="20"/>
    </w:rPr>
  </w:style>
  <w:style w:type="character" w:customStyle="1" w:styleId="FootnoteTextChar">
    <w:name w:val="Footnote Text Char"/>
    <w:basedOn w:val="DefaultParagraphFont"/>
    <w:link w:val="FootnoteText"/>
    <w:uiPriority w:val="99"/>
    <w:semiHidden/>
    <w:rsid w:val="00D003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0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Dunbar</dc:creator>
  <cp:keywords/>
  <dc:description/>
  <cp:lastModifiedBy>Carolyn Dunbar</cp:lastModifiedBy>
  <cp:revision>1</cp:revision>
  <dcterms:created xsi:type="dcterms:W3CDTF">2023-01-24T19:24:00Z</dcterms:created>
  <dcterms:modified xsi:type="dcterms:W3CDTF">2023-01-24T19:32:00Z</dcterms:modified>
</cp:coreProperties>
</file>