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07D6D" w14:textId="6744F23B" w:rsidR="009B3034" w:rsidRPr="001272D0" w:rsidRDefault="002225C0" w:rsidP="00A74EBE">
      <w:pPr>
        <w:spacing w:line="240" w:lineRule="auto"/>
        <w:jc w:val="both"/>
        <w:rPr>
          <w:rFonts w:ascii="Arial" w:eastAsia="Arial" w:hAnsi="Arial" w:cs="Arial"/>
          <w:b/>
          <w:bCs/>
          <w:color w:val="000000"/>
          <w:sz w:val="24"/>
          <w:szCs w:val="24"/>
          <w:lang w:val="en-US"/>
        </w:rPr>
      </w:pPr>
      <w:r w:rsidRPr="001272D0">
        <w:rPr>
          <w:rFonts w:ascii="Arial" w:eastAsia="Arial" w:hAnsi="Arial" w:cs="Arial"/>
          <w:b/>
          <w:bCs/>
          <w:color w:val="000000"/>
          <w:sz w:val="24"/>
          <w:szCs w:val="24"/>
          <w:lang w:val="en-US"/>
        </w:rPr>
        <w:t>Introduction</w:t>
      </w:r>
    </w:p>
    <w:p w14:paraId="2985F5B2" w14:textId="75DB3AD0" w:rsidR="00141B61" w:rsidRPr="001272D0" w:rsidRDefault="00305D27" w:rsidP="00A74EBE">
      <w:pPr>
        <w:spacing w:line="240" w:lineRule="auto"/>
        <w:jc w:val="both"/>
        <w:rPr>
          <w:rFonts w:ascii="Arial" w:hAnsi="Arial" w:cs="Arial"/>
          <w:noProof/>
          <w:sz w:val="24"/>
          <w:szCs w:val="24"/>
        </w:rPr>
      </w:pPr>
      <w:r w:rsidRPr="001272D0">
        <w:rPr>
          <w:rFonts w:ascii="Arial" w:eastAsia="Times New Roman" w:hAnsi="Arial" w:cs="Arial"/>
          <w:sz w:val="24"/>
          <w:szCs w:val="24"/>
        </w:rPr>
        <w:t xml:space="preserve">Widening access and participation to </w:t>
      </w:r>
      <w:r w:rsidR="008B3F8C" w:rsidRPr="001272D0">
        <w:rPr>
          <w:rFonts w:ascii="Arial" w:eastAsia="Times New Roman" w:hAnsi="Arial" w:cs="Arial"/>
          <w:sz w:val="24"/>
          <w:szCs w:val="24"/>
        </w:rPr>
        <w:t>H</w:t>
      </w:r>
      <w:r w:rsidR="00713628" w:rsidRPr="001272D0">
        <w:rPr>
          <w:rFonts w:ascii="Arial" w:eastAsia="Times New Roman" w:hAnsi="Arial" w:cs="Arial"/>
          <w:sz w:val="24"/>
          <w:szCs w:val="24"/>
        </w:rPr>
        <w:t xml:space="preserve">igher </w:t>
      </w:r>
      <w:r w:rsidR="008B3F8C" w:rsidRPr="001272D0">
        <w:rPr>
          <w:rFonts w:ascii="Arial" w:eastAsia="Times New Roman" w:hAnsi="Arial" w:cs="Arial"/>
          <w:sz w:val="24"/>
          <w:szCs w:val="24"/>
        </w:rPr>
        <w:t>E</w:t>
      </w:r>
      <w:r w:rsidR="00713628" w:rsidRPr="001272D0">
        <w:rPr>
          <w:rFonts w:ascii="Arial" w:eastAsia="Times New Roman" w:hAnsi="Arial" w:cs="Arial"/>
          <w:sz w:val="24"/>
          <w:szCs w:val="24"/>
        </w:rPr>
        <w:t>ducation</w:t>
      </w:r>
      <w:r w:rsidR="008B3F8C" w:rsidRPr="001272D0">
        <w:rPr>
          <w:rFonts w:ascii="Arial" w:eastAsia="Times New Roman" w:hAnsi="Arial" w:cs="Arial"/>
          <w:sz w:val="24"/>
          <w:szCs w:val="24"/>
        </w:rPr>
        <w:t xml:space="preserve"> (HE)</w:t>
      </w:r>
      <w:r w:rsidRPr="001272D0">
        <w:rPr>
          <w:rFonts w:ascii="Arial" w:eastAsia="Times New Roman" w:hAnsi="Arial" w:cs="Arial"/>
          <w:sz w:val="24"/>
          <w:szCs w:val="24"/>
        </w:rPr>
        <w:t xml:space="preserve"> in the United Kingdom (UK) became a key</w:t>
      </w:r>
      <w:r w:rsidR="00713628" w:rsidRPr="001272D0">
        <w:rPr>
          <w:rFonts w:ascii="Arial" w:eastAsia="Times New Roman" w:hAnsi="Arial" w:cs="Arial"/>
          <w:sz w:val="24"/>
          <w:szCs w:val="24"/>
        </w:rPr>
        <w:t xml:space="preserve"> </w:t>
      </w:r>
      <w:r w:rsidR="0028309F" w:rsidRPr="001272D0">
        <w:rPr>
          <w:rFonts w:ascii="Arial" w:eastAsia="Times New Roman" w:hAnsi="Arial" w:cs="Arial"/>
          <w:sz w:val="24"/>
          <w:szCs w:val="24"/>
        </w:rPr>
        <w:t>g</w:t>
      </w:r>
      <w:r w:rsidR="00713628" w:rsidRPr="001272D0">
        <w:rPr>
          <w:rFonts w:ascii="Arial" w:eastAsia="Times New Roman" w:hAnsi="Arial" w:cs="Arial"/>
          <w:sz w:val="24"/>
          <w:szCs w:val="24"/>
        </w:rPr>
        <w:t>overnment</w:t>
      </w:r>
      <w:r w:rsidRPr="001272D0">
        <w:rPr>
          <w:rFonts w:ascii="Arial" w:eastAsia="Times New Roman" w:hAnsi="Arial" w:cs="Arial"/>
          <w:sz w:val="24"/>
          <w:szCs w:val="24"/>
        </w:rPr>
        <w:t>al</w:t>
      </w:r>
      <w:r w:rsidR="00713628" w:rsidRPr="001272D0">
        <w:rPr>
          <w:rFonts w:ascii="Arial" w:eastAsia="Times New Roman" w:hAnsi="Arial" w:cs="Arial"/>
          <w:sz w:val="24"/>
          <w:szCs w:val="24"/>
        </w:rPr>
        <w:t xml:space="preserve"> </w:t>
      </w:r>
      <w:r w:rsidR="00C71247" w:rsidRPr="001272D0">
        <w:rPr>
          <w:rFonts w:ascii="Arial" w:eastAsia="Times New Roman" w:hAnsi="Arial" w:cs="Arial"/>
          <w:sz w:val="24"/>
          <w:szCs w:val="24"/>
        </w:rPr>
        <w:t>priority</w:t>
      </w:r>
      <w:r w:rsidR="001402AB" w:rsidRPr="001272D0">
        <w:rPr>
          <w:rFonts w:ascii="Arial" w:hAnsi="Arial" w:cs="Arial"/>
          <w:noProof/>
          <w:sz w:val="24"/>
          <w:szCs w:val="24"/>
        </w:rPr>
        <w:t xml:space="preserve"> in the 1990’s, coinciding with</w:t>
      </w:r>
      <w:r w:rsidR="006620DF" w:rsidRPr="001272D0">
        <w:rPr>
          <w:rFonts w:ascii="Arial" w:hAnsi="Arial" w:cs="Arial"/>
          <w:noProof/>
          <w:sz w:val="24"/>
          <w:szCs w:val="24"/>
        </w:rPr>
        <w:t xml:space="preserve"> the exponential growth of UK Universities and</w:t>
      </w:r>
      <w:r w:rsidR="001402AB" w:rsidRPr="001272D0">
        <w:rPr>
          <w:rFonts w:ascii="Arial" w:hAnsi="Arial" w:cs="Arial"/>
          <w:noProof/>
          <w:sz w:val="24"/>
          <w:szCs w:val="24"/>
        </w:rPr>
        <w:t xml:space="preserve"> </w:t>
      </w:r>
      <w:r w:rsidR="00F810CC" w:rsidRPr="001272D0">
        <w:rPr>
          <w:rFonts w:ascii="Arial" w:hAnsi="Arial" w:cs="Arial"/>
          <w:noProof/>
          <w:sz w:val="24"/>
          <w:szCs w:val="24"/>
        </w:rPr>
        <w:t xml:space="preserve">pre-registration </w:t>
      </w:r>
      <w:r w:rsidR="00D606DD" w:rsidRPr="001272D0">
        <w:rPr>
          <w:rFonts w:ascii="Arial" w:hAnsi="Arial" w:cs="Arial"/>
          <w:noProof/>
          <w:sz w:val="24"/>
          <w:szCs w:val="24"/>
        </w:rPr>
        <w:t>occupational therapy (OT)</w:t>
      </w:r>
      <w:r w:rsidR="00944F6C" w:rsidRPr="001272D0">
        <w:rPr>
          <w:rFonts w:ascii="Arial" w:hAnsi="Arial" w:cs="Arial"/>
          <w:noProof/>
          <w:sz w:val="24"/>
          <w:szCs w:val="24"/>
        </w:rPr>
        <w:t xml:space="preserve"> education’s</w:t>
      </w:r>
      <w:r w:rsidR="001402AB" w:rsidRPr="001272D0">
        <w:rPr>
          <w:rFonts w:ascii="Arial" w:hAnsi="Arial" w:cs="Arial"/>
          <w:noProof/>
          <w:sz w:val="24"/>
          <w:szCs w:val="24"/>
        </w:rPr>
        <w:t xml:space="preserve"> transition from Diploma to Bachelor of Science (BSc</w:t>
      </w:r>
      <w:r w:rsidR="00CF0839" w:rsidRPr="001272D0">
        <w:rPr>
          <w:rFonts w:ascii="Arial" w:hAnsi="Arial" w:cs="Arial"/>
          <w:noProof/>
          <w:sz w:val="24"/>
          <w:szCs w:val="24"/>
        </w:rPr>
        <w:t xml:space="preserve"> Hons</w:t>
      </w:r>
      <w:r w:rsidR="001402AB" w:rsidRPr="001272D0">
        <w:rPr>
          <w:rFonts w:ascii="Arial" w:hAnsi="Arial" w:cs="Arial"/>
          <w:noProof/>
          <w:sz w:val="24"/>
          <w:szCs w:val="24"/>
        </w:rPr>
        <w:t>) degree entry-level qualification</w:t>
      </w:r>
      <w:r w:rsidR="00533086" w:rsidRPr="001272D0">
        <w:rPr>
          <w:rFonts w:ascii="Arial" w:hAnsi="Arial" w:cs="Arial"/>
          <w:noProof/>
          <w:sz w:val="24"/>
          <w:szCs w:val="24"/>
        </w:rPr>
        <w:t xml:space="preserve"> </w:t>
      </w:r>
      <w:r w:rsidR="001402AB" w:rsidRPr="001272D0">
        <w:rPr>
          <w:rFonts w:ascii="Arial" w:hAnsi="Arial" w:cs="Arial"/>
          <w:noProof/>
          <w:sz w:val="24"/>
          <w:szCs w:val="24"/>
        </w:rPr>
        <w:fldChar w:fldCharType="begin" w:fldLock="1"/>
      </w:r>
      <w:r w:rsidR="00BA497B" w:rsidRPr="001272D0">
        <w:rPr>
          <w:rFonts w:ascii="Arial" w:hAnsi="Arial" w:cs="Arial"/>
          <w:noProof/>
          <w:sz w:val="24"/>
          <w:szCs w:val="24"/>
        </w:rPr>
        <w:instrText>ADDIN CSL_CITATION {"citationItems":[{"id":"ITEM-1","itemData":{"DOI":"10.1177/030802260106401103","ISSN":"14776006","abstract":"Widening university access became a priority in the 1990s. Arguments in favour of this proposition have included: increasing the percentage of the population in the higher education sector; extending university opportunities to those not normally deemed eligible; and providing avenues for those wishing to change careers. Many falling into these categories were mature-aged people from varied backgrounds. Few studies have addressed the actual experiences of those mature-aged students as they have entered the higher education sector for the first time in access courses and then, subsequently, their eventual qualifying route. This qualitative study listened to the voices of these newly qualified therapists. In telling their educational and practice stories in a multiple layer methodology, their varied experiences provided critical incidents. These gave insights into the way that they felt, the way that they perceived they were treated, some actual experiences with staff and colleagues and, finally, the way that they felt on successfully completing their chosen programme. Their reflections were both analysed and interpreted by the method of analysis of narratives (Polkinghorne 1995). The powerful stories and incidents that arose convey lessons for all those working in the higher education sector, whether they be vocational counsellors, access staff or lecturers in professional qualifying programmes.","author":[{"dropping-particle":"","family":"Ryan","given":"S.","non-dropping-particle":"","parse-names":false,"suffix":""}],"container-title":"British Journal of Occupational Therapy","id":"ITEM-1","issue":"11","issued":{"date-parts":[["2001"]]},"page":"534-540","title":"Perspectives on widening university access: Critical voices of newly qualified therapists","type":"article-journal","volume":"64"},"uris":["http://www.mendeley.com/documents/?uuid=8a076db1-04c0-4098-9b96-bec7ef59843e"]},{"id":"ITEM-2","itemData":{"URL":"https://www.rcot.co.uk/about-us/our-history/rcot-diploma","accessed":{"date-parts":[["2020","1","2"]]},"author":[{"dropping-particle":"","family":"Royal College of Occupational Therapists","given":"","non-dropping-particle":"","parse-names":false,"suffix":""}],"id":"ITEM-2","issued":{"date-parts":[["2019"]]},"title":"College of Occupational Therapists Diploma: The degree-equivalent value of the Diploma of the College of Occupational Therapists (DipCOT) is recognised by universities and higher education institutions.","type":"webpage"},"uris":["http://www.mendeley.com/documents/?uuid=3dcc1e0f-1a81-4d7b-8e60-946fba659571"]}],"mendeley":{"formattedCitation":"(Ryan, 2001; Royal College of Occupational Therapists, 2019a)","plainTextFormattedCitation":"(Ryan, 2001; Royal College of Occupational Therapists, 2019a)","previouslyFormattedCitation":"(Ryan, 2001; Royal College of Occupational Therapists, 2019a)"},"properties":{"noteIndex":0},"schema":"https://github.com/citation-style-language/schema/raw/master/csl-citation.json"}</w:instrText>
      </w:r>
      <w:r w:rsidR="001402AB" w:rsidRPr="001272D0">
        <w:rPr>
          <w:rFonts w:ascii="Arial" w:hAnsi="Arial" w:cs="Arial"/>
          <w:noProof/>
          <w:sz w:val="24"/>
          <w:szCs w:val="24"/>
        </w:rPr>
        <w:fldChar w:fldCharType="separate"/>
      </w:r>
      <w:r w:rsidR="006719AD" w:rsidRPr="001272D0">
        <w:rPr>
          <w:rFonts w:ascii="Arial" w:hAnsi="Arial" w:cs="Arial"/>
          <w:noProof/>
          <w:sz w:val="24"/>
          <w:szCs w:val="24"/>
        </w:rPr>
        <w:t>(Ryan, 2001; Royal College of Occupational Therapists</w:t>
      </w:r>
      <w:r w:rsidR="008D34B1" w:rsidRPr="001272D0">
        <w:rPr>
          <w:rFonts w:ascii="Arial" w:hAnsi="Arial" w:cs="Arial"/>
          <w:noProof/>
          <w:sz w:val="24"/>
          <w:szCs w:val="24"/>
        </w:rPr>
        <w:t>,</w:t>
      </w:r>
      <w:r w:rsidR="006719AD" w:rsidRPr="001272D0">
        <w:rPr>
          <w:rFonts w:ascii="Arial" w:hAnsi="Arial" w:cs="Arial"/>
          <w:noProof/>
          <w:sz w:val="24"/>
          <w:szCs w:val="24"/>
        </w:rPr>
        <w:t xml:space="preserve"> 2019a)</w:t>
      </w:r>
      <w:r w:rsidR="001402AB" w:rsidRPr="001272D0">
        <w:rPr>
          <w:rFonts w:ascii="Arial" w:hAnsi="Arial" w:cs="Arial"/>
          <w:noProof/>
          <w:sz w:val="24"/>
          <w:szCs w:val="24"/>
        </w:rPr>
        <w:fldChar w:fldCharType="end"/>
      </w:r>
      <w:r w:rsidR="001402AB" w:rsidRPr="001272D0">
        <w:rPr>
          <w:rFonts w:ascii="Arial" w:hAnsi="Arial" w:cs="Arial"/>
          <w:noProof/>
          <w:sz w:val="24"/>
          <w:szCs w:val="24"/>
        </w:rPr>
        <w:t xml:space="preserve">. These educational reforms challenged selection and recruitment processes that had historically seen low income families, males and mature married females excluded from </w:t>
      </w:r>
      <w:r w:rsidR="00E43A8A" w:rsidRPr="001272D0">
        <w:rPr>
          <w:rFonts w:ascii="Arial" w:hAnsi="Arial" w:cs="Arial"/>
          <w:noProof/>
          <w:sz w:val="24"/>
          <w:szCs w:val="24"/>
        </w:rPr>
        <w:t>OT</w:t>
      </w:r>
      <w:r w:rsidR="001402AB" w:rsidRPr="001272D0">
        <w:rPr>
          <w:rFonts w:ascii="Arial" w:hAnsi="Arial" w:cs="Arial"/>
          <w:noProof/>
          <w:sz w:val="24"/>
          <w:szCs w:val="24"/>
        </w:rPr>
        <w:t xml:space="preserve">; reinforcing the image it </w:t>
      </w:r>
      <w:r w:rsidR="00AB6FCB" w:rsidRPr="001272D0">
        <w:rPr>
          <w:rFonts w:ascii="Arial" w:hAnsi="Arial" w:cs="Arial"/>
          <w:noProof/>
          <w:sz w:val="24"/>
          <w:szCs w:val="24"/>
        </w:rPr>
        <w:t>was</w:t>
      </w:r>
      <w:r w:rsidR="001402AB" w:rsidRPr="001272D0">
        <w:rPr>
          <w:rFonts w:ascii="Arial" w:hAnsi="Arial" w:cs="Arial"/>
          <w:noProof/>
          <w:sz w:val="24"/>
          <w:szCs w:val="24"/>
        </w:rPr>
        <w:t xml:space="preserve"> for white, middle-class females </w:t>
      </w:r>
      <w:r w:rsidR="001402AB" w:rsidRPr="001272D0">
        <w:rPr>
          <w:rFonts w:ascii="Arial" w:hAnsi="Arial" w:cs="Arial"/>
          <w:noProof/>
          <w:sz w:val="24"/>
          <w:szCs w:val="24"/>
        </w:rPr>
        <w:fldChar w:fldCharType="begin" w:fldLock="1"/>
      </w:r>
      <w:r w:rsidR="001402AB" w:rsidRPr="001272D0">
        <w:rPr>
          <w:rFonts w:ascii="Arial" w:hAnsi="Arial" w:cs="Arial"/>
          <w:noProof/>
          <w:sz w:val="24"/>
          <w:szCs w:val="24"/>
        </w:rPr>
        <w:instrText>ADDIN CSL_CITATION {"citationItems":[{"id":"ITEM-1","itemData":{"DOI":"10.1177/030802269605900802","ISSN":"0308-0226","abstract":"The Casson Memorial Lecture 1996, given on 19 July at the 20th Annual Conference of the College of Occupational Therapists, held at the University of Leeds.","author":[{"dropping-particle":"","family":"Yates","given":"J Elizabeth","non-dropping-particle":"","parse-names":false,"suffix":""}],"container-title":"British Journal of Occupational Therapy","id":"ITEM-1","issue":"8","issued":{"date-parts":[["1996"]]},"page":"352-356","title":"The Casson Memorial Lecture 1996: Equalising Opportunities","type":"article-journal","volume":"59"},"uris":["http://www.mendeley.com/documents/?uuid=ea0ca3bb-8d77-47f8-97d3-06d424af8f69"]}],"mendeley":{"formattedCitation":"(Yates, 1996)","manualFormatting":"(Yates, 1996)","plainTextFormattedCitation":"(Yates, 1996)","previouslyFormattedCitation":"(Yates, 1996)"},"properties":{"noteIndex":0},"schema":"https://github.com/citation-style-language/schema/raw/master/csl-citation.json"}</w:instrText>
      </w:r>
      <w:r w:rsidR="001402AB" w:rsidRPr="001272D0">
        <w:rPr>
          <w:rFonts w:ascii="Arial" w:hAnsi="Arial" w:cs="Arial"/>
          <w:noProof/>
          <w:sz w:val="24"/>
          <w:szCs w:val="24"/>
        </w:rPr>
        <w:fldChar w:fldCharType="separate"/>
      </w:r>
      <w:r w:rsidR="001402AB" w:rsidRPr="001272D0">
        <w:rPr>
          <w:rFonts w:ascii="Arial" w:hAnsi="Arial" w:cs="Arial"/>
          <w:noProof/>
          <w:sz w:val="24"/>
          <w:szCs w:val="24"/>
        </w:rPr>
        <w:t>(Yates, 1996)</w:t>
      </w:r>
      <w:r w:rsidR="001402AB" w:rsidRPr="001272D0">
        <w:rPr>
          <w:rFonts w:ascii="Arial" w:hAnsi="Arial" w:cs="Arial"/>
          <w:noProof/>
          <w:sz w:val="24"/>
          <w:szCs w:val="24"/>
        </w:rPr>
        <w:fldChar w:fldCharType="end"/>
      </w:r>
      <w:r w:rsidR="001402AB" w:rsidRPr="001272D0">
        <w:rPr>
          <w:rFonts w:ascii="Arial" w:hAnsi="Arial" w:cs="Arial"/>
          <w:noProof/>
          <w:sz w:val="24"/>
          <w:szCs w:val="24"/>
        </w:rPr>
        <w:t xml:space="preserve">. </w:t>
      </w:r>
      <w:r w:rsidR="00456E30" w:rsidRPr="001272D0">
        <w:rPr>
          <w:rFonts w:ascii="Arial" w:hAnsi="Arial" w:cs="Arial"/>
          <w:noProof/>
          <w:sz w:val="24"/>
          <w:szCs w:val="24"/>
        </w:rPr>
        <w:t>D</w:t>
      </w:r>
      <w:r w:rsidR="00315187" w:rsidRPr="001272D0">
        <w:rPr>
          <w:rFonts w:ascii="Arial" w:hAnsi="Arial" w:cs="Arial"/>
          <w:noProof/>
          <w:sz w:val="24"/>
          <w:szCs w:val="24"/>
        </w:rPr>
        <w:t>espite</w:t>
      </w:r>
      <w:r w:rsidR="0049073B" w:rsidRPr="001272D0">
        <w:rPr>
          <w:rFonts w:ascii="Arial" w:eastAsia="Arial" w:hAnsi="Arial" w:cs="Arial"/>
          <w:bCs/>
          <w:color w:val="000000"/>
          <w:sz w:val="24"/>
          <w:szCs w:val="24"/>
        </w:rPr>
        <w:t xml:space="preserve"> a long and clear history of debate, calls for improvement and </w:t>
      </w:r>
      <w:r w:rsidR="007808EE" w:rsidRPr="001272D0">
        <w:rPr>
          <w:rFonts w:ascii="Arial" w:eastAsia="Arial" w:hAnsi="Arial" w:cs="Arial"/>
          <w:bCs/>
          <w:color w:val="000000"/>
          <w:sz w:val="24"/>
          <w:szCs w:val="24"/>
        </w:rPr>
        <w:t xml:space="preserve">UK </w:t>
      </w:r>
      <w:r w:rsidR="0049073B" w:rsidRPr="001272D0">
        <w:rPr>
          <w:rFonts w:ascii="Arial" w:eastAsia="Arial" w:hAnsi="Arial" w:cs="Arial"/>
          <w:bCs/>
          <w:color w:val="000000"/>
          <w:sz w:val="24"/>
          <w:szCs w:val="24"/>
        </w:rPr>
        <w:t xml:space="preserve">governmental plans to improve access and attainment gaps, certain student groups </w:t>
      </w:r>
      <w:r w:rsidR="000A2B4B" w:rsidRPr="001272D0">
        <w:rPr>
          <w:rFonts w:ascii="Arial" w:eastAsia="Arial" w:hAnsi="Arial" w:cs="Arial"/>
          <w:bCs/>
          <w:color w:val="000000"/>
          <w:sz w:val="24"/>
          <w:szCs w:val="24"/>
        </w:rPr>
        <w:t>across</w:t>
      </w:r>
      <w:r w:rsidR="0049073B" w:rsidRPr="001272D0">
        <w:rPr>
          <w:rFonts w:ascii="Arial" w:eastAsia="Arial" w:hAnsi="Arial" w:cs="Arial"/>
          <w:bCs/>
          <w:color w:val="000000"/>
          <w:sz w:val="24"/>
          <w:szCs w:val="24"/>
        </w:rPr>
        <w:t xml:space="preserve"> socioeconomics, geography, disability and ethnicity, continue to be underrepresented in</w:t>
      </w:r>
      <w:r w:rsidR="008B3F8C" w:rsidRPr="001272D0">
        <w:rPr>
          <w:rFonts w:ascii="Arial" w:eastAsia="Arial" w:hAnsi="Arial" w:cs="Arial"/>
          <w:bCs/>
          <w:color w:val="000000"/>
          <w:sz w:val="24"/>
          <w:szCs w:val="24"/>
        </w:rPr>
        <w:t xml:space="preserve"> </w:t>
      </w:r>
      <w:r w:rsidR="000C6922" w:rsidRPr="001272D0">
        <w:rPr>
          <w:rFonts w:ascii="Arial" w:eastAsia="Arial" w:hAnsi="Arial" w:cs="Arial"/>
          <w:bCs/>
          <w:color w:val="000000"/>
          <w:sz w:val="24"/>
          <w:szCs w:val="24"/>
        </w:rPr>
        <w:t>HE</w:t>
      </w:r>
      <w:r w:rsidR="0049073B" w:rsidRPr="001272D0">
        <w:rPr>
          <w:rFonts w:ascii="Arial" w:eastAsia="Arial" w:hAnsi="Arial" w:cs="Arial"/>
          <w:bCs/>
          <w:color w:val="000000"/>
          <w:sz w:val="24"/>
          <w:szCs w:val="24"/>
        </w:rPr>
        <w:t xml:space="preserve"> </w:t>
      </w:r>
      <w:r w:rsidR="0049073B" w:rsidRPr="001272D0">
        <w:rPr>
          <w:rFonts w:ascii="Arial" w:eastAsia="Arial" w:hAnsi="Arial" w:cs="Arial"/>
          <w:bCs/>
          <w:color w:val="000000"/>
          <w:sz w:val="24"/>
          <w:szCs w:val="24"/>
        </w:rPr>
        <w:fldChar w:fldCharType="begin" w:fldLock="1"/>
      </w:r>
      <w:r w:rsidR="002077AE" w:rsidRPr="001272D0">
        <w:rPr>
          <w:rFonts w:ascii="Arial" w:eastAsia="Arial" w:hAnsi="Arial" w:cs="Arial"/>
          <w:bCs/>
          <w:color w:val="000000"/>
          <w:sz w:val="24"/>
          <w:szCs w:val="24"/>
        </w:rPr>
        <w:instrText>ADDIN CSL_CITATION {"citationItems":[{"id":"ITEM-1","itemData":{"DOI":"10.1177/1757743815624117","ISSN":"17577438","abstract":"This article analyses and critiques the discourse around widening participation in elite universities in the UK. One response, from both university administrators and academics, has been to see this as an ‘intractable’ problem which can at best be ameliorated through outreach or marginal work in admissions policy. Another has been to reject the institution of the university completely, and seek to set up alternative models of autonomous higher education. The article presents a different analysis, in which the university is still seen as central and participation is seen as an aspect of pedagogy rather than as an administrative process. This is illustrated through a description of how a Foundation Year in Arts and Humanities was conceived, designed and implemented at the University of Bristol. This model is used to consider the problems, risks and successes in challenging received notions of how (and whether) widening participation can be achieved, and whether it can reach those who are currently most excluded from elite universities, such as those without qualifications. The article suggests how academics can utilise their expertise to solve key challenges faced by universities and reclaim autonomy in central aspects of university administration. At the same time, it demonstrates how change to the current model of student recruitment can also bring welcome – and transformative – change to the nature of elite higher education institutions in the UK and elsewhere.","author":[{"dropping-particle":"","family":"McLellan","given":"Josie","non-dropping-particle":"","parse-names":false,"suffix":""},{"dropping-particle":"","family":"Pettigrew","given":"Richard","non-dropping-particle":"","parse-names":false,"suffix":""},{"dropping-particle":"","family":"Sperlinger","given":"Tom","non-dropping-particle":"","parse-names":false,"suffix":""}],"container-title":"Power and Education","id":"ITEM-1","issue":"1","issued":{"date-parts":[["2016"]]},"page":"54-72","title":"Remaking the elite university: An experiment in widening participation in the UK","type":"article-journal","volume":"8"},"uris":["http://www.mendeley.com/documents/?uuid=09c9cc30-e642-4ed4-9aad-1fac2ce6449c"]},{"id":"ITEM-2","itemData":{"author":[{"dropping-particle":"","family":"Students","given":"Office for","non-dropping-particle":"","parse-names":false,"suffix":""}],"id":"ITEM-2","issued":{"date-parts":[["2019"]]},"number-of-pages":"72","title":"English Higher Education 2019: The office for students annual review","type":"report"},"uris":["http://www.mendeley.com/documents/?uuid=6818b6d0-be08-4ece-9584-d9951ad1c3e3"]}],"mendeley":{"formattedCitation":"(McLellan, Pettigrew and Sperlinger, 2016; Students, 2019)","manualFormatting":"(McLellan, Pettigrew and Sperlinger, 2016; Office for Students, 2019)","plainTextFormattedCitation":"(McLellan, Pettigrew and Sperlinger, 2016; Students, 2019)","previouslyFormattedCitation":"(McLellan, Pettigrew and Sperlinger, 2016; Students, 2019)"},"properties":{"noteIndex":0},"schema":"https://github.com/citation-style-language/schema/raw/master/csl-citation.json"}</w:instrText>
      </w:r>
      <w:r w:rsidR="0049073B" w:rsidRPr="001272D0">
        <w:rPr>
          <w:rFonts w:ascii="Arial" w:eastAsia="Arial" w:hAnsi="Arial" w:cs="Arial"/>
          <w:bCs/>
          <w:color w:val="000000"/>
          <w:sz w:val="24"/>
          <w:szCs w:val="24"/>
        </w:rPr>
        <w:fldChar w:fldCharType="separate"/>
      </w:r>
      <w:r w:rsidR="007706C5" w:rsidRPr="001272D0">
        <w:rPr>
          <w:rFonts w:ascii="Arial" w:eastAsia="Arial" w:hAnsi="Arial" w:cs="Arial"/>
          <w:bCs/>
          <w:noProof/>
          <w:color w:val="000000"/>
          <w:sz w:val="24"/>
          <w:szCs w:val="24"/>
        </w:rPr>
        <w:t xml:space="preserve">(McLellan, Pettigrew and Sperlinger, 2016; </w:t>
      </w:r>
      <w:r w:rsidR="00863EE6" w:rsidRPr="001272D0">
        <w:rPr>
          <w:rFonts w:ascii="Arial" w:eastAsia="Arial" w:hAnsi="Arial" w:cs="Arial"/>
          <w:bCs/>
          <w:noProof/>
          <w:color w:val="000000"/>
          <w:sz w:val="24"/>
          <w:szCs w:val="24"/>
        </w:rPr>
        <w:t xml:space="preserve">Office for </w:t>
      </w:r>
      <w:r w:rsidR="007706C5" w:rsidRPr="001272D0">
        <w:rPr>
          <w:rFonts w:ascii="Arial" w:eastAsia="Arial" w:hAnsi="Arial" w:cs="Arial"/>
          <w:bCs/>
          <w:noProof/>
          <w:color w:val="000000"/>
          <w:sz w:val="24"/>
          <w:szCs w:val="24"/>
        </w:rPr>
        <w:t>Students, 2019)</w:t>
      </w:r>
      <w:r w:rsidR="0049073B" w:rsidRPr="001272D0">
        <w:rPr>
          <w:rFonts w:ascii="Arial" w:eastAsia="Arial" w:hAnsi="Arial" w:cs="Arial"/>
          <w:bCs/>
          <w:color w:val="000000"/>
          <w:sz w:val="24"/>
          <w:szCs w:val="24"/>
        </w:rPr>
        <w:fldChar w:fldCharType="end"/>
      </w:r>
      <w:r w:rsidR="0049073B" w:rsidRPr="001272D0">
        <w:rPr>
          <w:rFonts w:ascii="Arial" w:eastAsia="Arial" w:hAnsi="Arial" w:cs="Arial"/>
          <w:bCs/>
          <w:color w:val="000000"/>
          <w:sz w:val="24"/>
          <w:szCs w:val="24"/>
        </w:rPr>
        <w:t>.</w:t>
      </w:r>
      <w:r w:rsidR="00E24DA7" w:rsidRPr="001272D0">
        <w:rPr>
          <w:rFonts w:ascii="Arial" w:eastAsia="Arial" w:hAnsi="Arial" w:cs="Arial"/>
          <w:bCs/>
          <w:color w:val="000000"/>
          <w:sz w:val="24"/>
          <w:szCs w:val="24"/>
        </w:rPr>
        <w:t xml:space="preserve"> </w:t>
      </w:r>
      <w:r w:rsidR="00A13218" w:rsidRPr="001272D0">
        <w:rPr>
          <w:rFonts w:ascii="Arial" w:eastAsia="Arial" w:hAnsi="Arial" w:cs="Arial"/>
          <w:bCs/>
          <w:color w:val="000000"/>
          <w:sz w:val="24"/>
          <w:szCs w:val="24"/>
        </w:rPr>
        <w:t xml:space="preserve">Similarly, </w:t>
      </w:r>
      <w:r w:rsidR="00603551" w:rsidRPr="001272D0">
        <w:rPr>
          <w:rFonts w:ascii="Arial" w:eastAsia="Arial" w:hAnsi="Arial" w:cs="Arial"/>
          <w:bCs/>
          <w:color w:val="000000"/>
          <w:sz w:val="24"/>
          <w:szCs w:val="24"/>
        </w:rPr>
        <w:t xml:space="preserve">over several decades, </w:t>
      </w:r>
      <w:r w:rsidR="00A13218" w:rsidRPr="001272D0">
        <w:rPr>
          <w:rFonts w:ascii="Arial" w:eastAsia="Arial" w:hAnsi="Arial" w:cs="Arial"/>
          <w:bCs/>
          <w:color w:val="000000"/>
          <w:sz w:val="24"/>
          <w:szCs w:val="24"/>
        </w:rPr>
        <w:t>the</w:t>
      </w:r>
      <w:r w:rsidR="00E24DA7" w:rsidRPr="001272D0">
        <w:rPr>
          <w:rFonts w:ascii="Arial" w:eastAsia="Arial" w:hAnsi="Arial" w:cs="Arial"/>
          <w:bCs/>
          <w:color w:val="000000"/>
          <w:sz w:val="24"/>
          <w:szCs w:val="24"/>
        </w:rPr>
        <w:t xml:space="preserve"> OT community</w:t>
      </w:r>
      <w:r w:rsidR="00B25148" w:rsidRPr="001272D0">
        <w:rPr>
          <w:rFonts w:ascii="Arial" w:eastAsia="Arial" w:hAnsi="Arial" w:cs="Arial"/>
          <w:bCs/>
          <w:color w:val="000000"/>
          <w:sz w:val="24"/>
          <w:szCs w:val="24"/>
        </w:rPr>
        <w:t xml:space="preserve"> </w:t>
      </w:r>
      <w:r w:rsidR="00E24DA7" w:rsidRPr="001272D0">
        <w:rPr>
          <w:rFonts w:ascii="Arial" w:eastAsia="Arial" w:hAnsi="Arial" w:cs="Arial"/>
          <w:bCs/>
          <w:color w:val="000000"/>
          <w:sz w:val="24"/>
          <w:szCs w:val="24"/>
        </w:rPr>
        <w:t>has</w:t>
      </w:r>
      <w:r w:rsidR="00EE74F3" w:rsidRPr="001272D0">
        <w:rPr>
          <w:rFonts w:ascii="Arial" w:eastAsia="Arial" w:hAnsi="Arial" w:cs="Arial"/>
          <w:bCs/>
          <w:color w:val="000000"/>
          <w:sz w:val="24"/>
          <w:szCs w:val="24"/>
        </w:rPr>
        <w:t xml:space="preserve"> </w:t>
      </w:r>
      <w:r w:rsidR="00CB0082" w:rsidRPr="001272D0">
        <w:rPr>
          <w:rFonts w:ascii="Arial" w:eastAsia="Arial" w:hAnsi="Arial" w:cs="Arial"/>
          <w:bCs/>
          <w:color w:val="000000"/>
          <w:sz w:val="24"/>
          <w:szCs w:val="24"/>
        </w:rPr>
        <w:t>called for</w:t>
      </w:r>
      <w:r w:rsidR="00E24DA7" w:rsidRPr="001272D0">
        <w:rPr>
          <w:rFonts w:ascii="Arial" w:eastAsia="Arial" w:hAnsi="Arial" w:cs="Arial"/>
          <w:bCs/>
          <w:color w:val="000000"/>
          <w:sz w:val="24"/>
          <w:szCs w:val="24"/>
        </w:rPr>
        <w:t xml:space="preserve"> action</w:t>
      </w:r>
      <w:r w:rsidR="00304122" w:rsidRPr="001272D0">
        <w:rPr>
          <w:rFonts w:ascii="Arial" w:eastAsia="Arial" w:hAnsi="Arial" w:cs="Arial"/>
          <w:bCs/>
          <w:color w:val="000000"/>
          <w:sz w:val="24"/>
          <w:szCs w:val="24"/>
        </w:rPr>
        <w:t>, to diversify student and workforce populations</w:t>
      </w:r>
      <w:r w:rsidR="007376A5" w:rsidRPr="001272D0">
        <w:rPr>
          <w:rFonts w:ascii="Arial" w:eastAsia="Arial" w:hAnsi="Arial" w:cs="Arial"/>
          <w:bCs/>
          <w:color w:val="000000"/>
          <w:sz w:val="24"/>
          <w:szCs w:val="24"/>
        </w:rPr>
        <w:t xml:space="preserve"> </w:t>
      </w:r>
      <w:r w:rsidR="00B36E83" w:rsidRPr="001272D0">
        <w:rPr>
          <w:rFonts w:ascii="Arial" w:eastAsia="Arial" w:hAnsi="Arial" w:cs="Arial"/>
          <w:bCs/>
          <w:color w:val="000000"/>
          <w:sz w:val="24"/>
          <w:szCs w:val="24"/>
        </w:rPr>
        <w:t xml:space="preserve">that mirror </w:t>
      </w:r>
      <w:r w:rsidR="00B526C2" w:rsidRPr="001272D0">
        <w:rPr>
          <w:rFonts w:ascii="Arial" w:eastAsia="Arial" w:hAnsi="Arial" w:cs="Arial"/>
          <w:bCs/>
          <w:color w:val="000000"/>
          <w:sz w:val="24"/>
          <w:szCs w:val="24"/>
        </w:rPr>
        <w:t xml:space="preserve">the </w:t>
      </w:r>
      <w:r w:rsidR="005C59AF" w:rsidRPr="001272D0">
        <w:rPr>
          <w:rFonts w:ascii="Arial" w:eastAsia="Arial" w:hAnsi="Arial" w:cs="Arial"/>
          <w:bCs/>
          <w:color w:val="000000"/>
          <w:sz w:val="24"/>
          <w:szCs w:val="24"/>
        </w:rPr>
        <w:t>profession</w:t>
      </w:r>
      <w:r w:rsidR="004274DC" w:rsidRPr="001272D0">
        <w:rPr>
          <w:rFonts w:ascii="Arial" w:eastAsia="Arial" w:hAnsi="Arial" w:cs="Arial"/>
          <w:bCs/>
          <w:color w:val="000000"/>
          <w:sz w:val="24"/>
          <w:szCs w:val="24"/>
        </w:rPr>
        <w:t>’</w:t>
      </w:r>
      <w:r w:rsidR="005C59AF" w:rsidRPr="001272D0">
        <w:rPr>
          <w:rFonts w:ascii="Arial" w:eastAsia="Arial" w:hAnsi="Arial" w:cs="Arial"/>
          <w:bCs/>
          <w:color w:val="000000"/>
          <w:sz w:val="24"/>
          <w:szCs w:val="24"/>
        </w:rPr>
        <w:t xml:space="preserve">s </w:t>
      </w:r>
      <w:r w:rsidR="00B526C2" w:rsidRPr="001272D0">
        <w:rPr>
          <w:rFonts w:ascii="Arial" w:eastAsia="Arial" w:hAnsi="Arial" w:cs="Arial"/>
          <w:bCs/>
          <w:color w:val="000000"/>
          <w:sz w:val="24"/>
          <w:szCs w:val="24"/>
        </w:rPr>
        <w:t>increasingly diverse service user populations</w:t>
      </w:r>
      <w:r w:rsidR="00A13218" w:rsidRPr="001272D0">
        <w:rPr>
          <w:rFonts w:ascii="Arial" w:eastAsia="Arial" w:hAnsi="Arial" w:cs="Arial"/>
          <w:bCs/>
          <w:color w:val="000000"/>
          <w:sz w:val="24"/>
          <w:szCs w:val="24"/>
        </w:rPr>
        <w:t xml:space="preserve"> </w:t>
      </w:r>
      <w:r w:rsidR="00A13218" w:rsidRPr="001272D0">
        <w:rPr>
          <w:rFonts w:ascii="Arial" w:eastAsia="Arial" w:hAnsi="Arial" w:cs="Arial"/>
          <w:bCs/>
          <w:color w:val="000000"/>
          <w:sz w:val="24"/>
          <w:szCs w:val="24"/>
        </w:rPr>
        <w:fldChar w:fldCharType="begin" w:fldLock="1"/>
      </w:r>
      <w:r w:rsidR="00210871" w:rsidRPr="001272D0">
        <w:rPr>
          <w:rFonts w:ascii="Arial" w:eastAsia="Arial" w:hAnsi="Arial" w:cs="Arial"/>
          <w:bCs/>
          <w:color w:val="000000"/>
          <w:sz w:val="24"/>
          <w:szCs w:val="24"/>
        </w:rPr>
        <w:instrText>ADDIN CSL_CITATION {"citationItems":[{"id":"ITEM-1","itemData":{"DOI":"10.5014/ajot.2020.039446","ISSN":"19437676","PMID":"33399063","abstract":"Importance: Matching the demographics of health professionals and patient populations increases access to quality care. However, a consensus has not been reached regarding the most effective strategies for recruitment and retention of diverse practitioners. Objective: To answer the question “What are the perceived challenges to and facilitators of the recruitment and retention of occupational therapy practitioners (OTPs) and students of color?” Design: A qualitative interpretive, constructionist design was used. Purposive recruitment that used convenience sampling was conducted at the 2017 American Occupational Therapy Association Annual Conference &amp; Expo and via the National Black Occupational Therapy Caucus Facebook group. Data were collected online from three focus groups and four interviews. Setting: Online through social media. Participants: The total sample included 5 OTPs and 7 students; 91.7% identified as African-American or Black. Outcomes and Measures: Inductive analysis was used to interpret the open-ended questions. After transcription, each interview or focus group transcript was reviewed with Colaizzi’s seven-step method of data analysis. Results: Five themes were identified: (1) lack of representation in and knowledge about occupational therapy, (2) feeling like an outsider, (3) need for financial support, (4) individualized mentor–mentee relationships, and (5) connections with national organizations specifically for people of color. Conclusions and Relevance: This study identified experiences of OTPs and students of color and how identified barriers can be addressed. Implications for the profession include purposive recruitment, professional development for faculty, provision of mentoring, and financial support. Future research should focus on creation and evaluation of evidence-based strategies for the recruitment and retention of students of color in occupational therapy. What This Article Adds: This study provided voices of OTPs and students of color regarding challenges and facilitators experienced in the profession. With an accurate understanding of experiences of people of color, effective strategies can be developed to foster their successful transition into the occupational therapy workforce.","author":[{"dropping-particle":"","family":"Ford","given":"Alesia R.","non-dropping-particle":"","parse-names":false,"suffix":""},{"dropping-particle":"","family":"Smith","given":"Diane L.","non-dropping-particle":"","parse-names":false,"suffix":""},{"dropping-particle":"","family":"Banister","given":"Gaurdia E.","non-dropping-particle":"","parse-names":false,"suffix":""}],"container-title":"American Journal of Occupational Therapy","id":"ITEM-1","issue":"1","issued":{"date-parts":[["2021"]]},"page":"1-8","title":"Recruitment and retention of occupational therapy practitioners and students of color: A qualitative study","type":"article-journal","volume":"75"},"uris":["http://www.mendeley.com/documents/?uuid=1b96a183-acf0-4804-bf1a-8970e0d1ca33"]},{"id":"ITEM-2","itemData":{"DOI":"10.26681/jote.2022.060102","author":[{"dropping-particle":"","family":"Colaianni","given":"Donna","non-dropping-particle":"","parse-names":false,"suffix":""},{"dropping-particle":"","family":"Tovar","given":"Grace","non-dropping-particle":"","parse-names":false,"suffix":""},{"dropping-particle":"","family":"Wilson","given":"Dominique","non-dropping-particle":"","parse-names":false,"suffix":""},{"dropping-particle":"","family":"Zapanta","given":"Heidi","non-dropping-particle":"","parse-names":false,"suffix":""}],"container-title":"Journal of Occupational Therapy Education","id":"ITEM-2","issue":"1","issued":{"date-parts":[["2022"]]},"title":"Factors Influencing the Diversity of Occupational Therapy Students","type":"article-journal","volume":"6"},"uris":["http://www.mendeley.com/documents/?uuid=30a5794f-8bab-4b09-90a7-ef5a3a4cc05b"]},{"id":"ITEM-3","itemData":{"DOI":"10.1177/030802260707000702","ISSN":"14776006","author":[{"dropping-particle":"","family":"Taylor","given":"M. Clare","non-dropping-particle":"","parse-names":false,"suffix":""}],"container-title":"British Journal of Occupational Therapy","id":"ITEM-3","issue":"7","issued":{"date-parts":[["2007"]]},"page":"276-283","title":"The Casson Memorial Lecture 2007: Diversity amongst occupational therapists - Rhetoric or reality?","type":"article-journal","volume":"70"},"uris":["http://www.mendeley.com/documents/?uuid=acb547c3-9ada-47e4-9a6c-81ec8ebf0f4d"]},{"id":"ITEM-4","itemData":{"author":[{"dropping-particle":"","family":"Atwal","given":"Anita","non-dropping-particle":"","parse-names":false,"suffix":""}],"container-title":"2021 Elizabeth Casson Memorial Lecture","id":"ITEM-4","issued":{"date-parts":[["2021"]]},"publisher":"Royal College of Occupational Therapists","title":"No barriers to brilliance: Social and creative courage to innovate and disrupt occupational therapy practice","type":"paper-conference"},"uris":["http://www.mendeley.com/documents/?uuid=6fc94a81-821f-4f12-b988-96a43c0daa40"]}],"mendeley":{"formattedCitation":"(Taylor, 2007; Atwal, 2021; Ford, Smith and Banister, 2021; Colaianni &lt;i&gt;et al.&lt;/i&gt;, 2022)","plainTextFormattedCitation":"(Taylor, 2007; Atwal, 2021; Ford, Smith and Banister, 2021; Colaianni et al., 2022)","previouslyFormattedCitation":"(Taylor, 2007; Atwal, 2021; Ford, Smith and Banister, 2021; Colaianni &lt;i&gt;et al.&lt;/i&gt;, 2022)"},"properties":{"noteIndex":0},"schema":"https://github.com/citation-style-language/schema/raw/master/csl-citation.json"}</w:instrText>
      </w:r>
      <w:r w:rsidR="00A13218" w:rsidRPr="001272D0">
        <w:rPr>
          <w:rFonts w:ascii="Arial" w:eastAsia="Arial" w:hAnsi="Arial" w:cs="Arial"/>
          <w:bCs/>
          <w:color w:val="000000"/>
          <w:sz w:val="24"/>
          <w:szCs w:val="24"/>
        </w:rPr>
        <w:fldChar w:fldCharType="separate"/>
      </w:r>
      <w:r w:rsidR="00A13218" w:rsidRPr="001272D0">
        <w:rPr>
          <w:rFonts w:ascii="Arial" w:eastAsia="Arial" w:hAnsi="Arial" w:cs="Arial"/>
          <w:bCs/>
          <w:noProof/>
          <w:color w:val="000000"/>
          <w:sz w:val="24"/>
          <w:szCs w:val="24"/>
        </w:rPr>
        <w:t xml:space="preserve">(Taylor, 2007; Atwal, 2021; Ford, Smith and Banister, 2021; Colaianni </w:t>
      </w:r>
      <w:r w:rsidR="00A13218" w:rsidRPr="001272D0">
        <w:rPr>
          <w:rFonts w:ascii="Arial" w:eastAsia="Arial" w:hAnsi="Arial" w:cs="Arial"/>
          <w:bCs/>
          <w:i/>
          <w:noProof/>
          <w:color w:val="000000"/>
          <w:sz w:val="24"/>
          <w:szCs w:val="24"/>
        </w:rPr>
        <w:t>et al.</w:t>
      </w:r>
      <w:r w:rsidR="00A13218" w:rsidRPr="001272D0">
        <w:rPr>
          <w:rFonts w:ascii="Arial" w:eastAsia="Arial" w:hAnsi="Arial" w:cs="Arial"/>
          <w:bCs/>
          <w:noProof/>
          <w:color w:val="000000"/>
          <w:sz w:val="24"/>
          <w:szCs w:val="24"/>
        </w:rPr>
        <w:t>, 2022)</w:t>
      </w:r>
      <w:r w:rsidR="00A13218" w:rsidRPr="001272D0">
        <w:rPr>
          <w:rFonts w:ascii="Arial" w:eastAsia="Arial" w:hAnsi="Arial" w:cs="Arial"/>
          <w:bCs/>
          <w:color w:val="000000"/>
          <w:sz w:val="24"/>
          <w:szCs w:val="24"/>
        </w:rPr>
        <w:fldChar w:fldCharType="end"/>
      </w:r>
      <w:r w:rsidR="00C37868" w:rsidRPr="001272D0">
        <w:rPr>
          <w:rFonts w:ascii="Arial" w:eastAsia="Arial" w:hAnsi="Arial" w:cs="Arial"/>
          <w:bCs/>
          <w:color w:val="000000"/>
          <w:sz w:val="24"/>
          <w:szCs w:val="24"/>
        </w:rPr>
        <w:t>.</w:t>
      </w:r>
      <w:r w:rsidR="00EE74F3" w:rsidRPr="001272D0">
        <w:rPr>
          <w:rFonts w:ascii="Arial" w:eastAsia="Arial" w:hAnsi="Arial" w:cs="Arial"/>
          <w:bCs/>
          <w:color w:val="000000"/>
          <w:sz w:val="24"/>
          <w:szCs w:val="24"/>
        </w:rPr>
        <w:t xml:space="preserve"> </w:t>
      </w:r>
      <w:r w:rsidR="00393BBB" w:rsidRPr="001272D0">
        <w:rPr>
          <w:rFonts w:ascii="Arial" w:hAnsi="Arial" w:cs="Arial"/>
          <w:noProof/>
          <w:sz w:val="24"/>
          <w:szCs w:val="24"/>
        </w:rPr>
        <w:t>Yet</w:t>
      </w:r>
      <w:r w:rsidR="00790525" w:rsidRPr="001272D0">
        <w:rPr>
          <w:rFonts w:ascii="Arial" w:hAnsi="Arial" w:cs="Arial"/>
          <w:noProof/>
          <w:sz w:val="24"/>
          <w:szCs w:val="24"/>
        </w:rPr>
        <w:t xml:space="preserve"> contemporary data suggests a continued lack of diversity within </w:t>
      </w:r>
      <w:r w:rsidR="00623D89" w:rsidRPr="001272D0">
        <w:rPr>
          <w:rFonts w:ascii="Arial" w:hAnsi="Arial" w:cs="Arial"/>
          <w:noProof/>
          <w:sz w:val="24"/>
          <w:szCs w:val="24"/>
        </w:rPr>
        <w:t>OT</w:t>
      </w:r>
      <w:r w:rsidR="00790525" w:rsidRPr="001272D0">
        <w:rPr>
          <w:rFonts w:ascii="Arial" w:hAnsi="Arial" w:cs="Arial"/>
          <w:noProof/>
          <w:sz w:val="24"/>
          <w:szCs w:val="24"/>
        </w:rPr>
        <w:t>. While just 17.5% (</w:t>
      </w:r>
      <w:r w:rsidR="00790525" w:rsidRPr="001272D0">
        <w:rPr>
          <w:rFonts w:ascii="Arial" w:hAnsi="Arial" w:cs="Arial"/>
          <w:i/>
          <w:iCs/>
          <w:noProof/>
          <w:sz w:val="24"/>
          <w:szCs w:val="24"/>
        </w:rPr>
        <w:t>n</w:t>
      </w:r>
      <w:r w:rsidR="00790525" w:rsidRPr="001272D0">
        <w:rPr>
          <w:rFonts w:ascii="Arial" w:hAnsi="Arial" w:cs="Arial"/>
          <w:noProof/>
          <w:sz w:val="24"/>
          <w:szCs w:val="24"/>
        </w:rPr>
        <w:t xml:space="preserve">=7,175) of a possible 41,000 registered occupational therapists offered demographic details, the workforce appears to </w:t>
      </w:r>
      <w:r w:rsidR="00AE440A" w:rsidRPr="001272D0">
        <w:rPr>
          <w:rFonts w:ascii="Arial" w:hAnsi="Arial" w:cs="Arial"/>
          <w:noProof/>
          <w:sz w:val="24"/>
          <w:szCs w:val="24"/>
        </w:rPr>
        <w:t>be</w:t>
      </w:r>
      <w:r w:rsidR="00790525" w:rsidRPr="001272D0">
        <w:rPr>
          <w:rFonts w:ascii="Arial" w:hAnsi="Arial" w:cs="Arial"/>
          <w:noProof/>
          <w:sz w:val="24"/>
          <w:szCs w:val="24"/>
        </w:rPr>
        <w:t xml:space="preserve"> dominated by those who identify as white (87%), heterosexual (90%), able-bodied (88%) </w:t>
      </w:r>
      <w:r w:rsidR="00785D15" w:rsidRPr="001272D0">
        <w:rPr>
          <w:rFonts w:ascii="Arial" w:hAnsi="Arial" w:cs="Arial"/>
          <w:noProof/>
          <w:sz w:val="24"/>
          <w:szCs w:val="24"/>
        </w:rPr>
        <w:t>women</w:t>
      </w:r>
      <w:r w:rsidR="00790525" w:rsidRPr="001272D0">
        <w:rPr>
          <w:rFonts w:ascii="Arial" w:hAnsi="Arial" w:cs="Arial"/>
          <w:noProof/>
          <w:sz w:val="24"/>
          <w:szCs w:val="24"/>
        </w:rPr>
        <w:t xml:space="preserve"> (92%) </w:t>
      </w:r>
      <w:r w:rsidR="00790525" w:rsidRPr="001272D0">
        <w:rPr>
          <w:rFonts w:ascii="Arial" w:hAnsi="Arial" w:cs="Arial"/>
          <w:noProof/>
          <w:sz w:val="24"/>
          <w:szCs w:val="24"/>
        </w:rPr>
        <w:fldChar w:fldCharType="begin" w:fldLock="1"/>
      </w:r>
      <w:r w:rsidR="006719AD" w:rsidRPr="001272D0">
        <w:rPr>
          <w:rFonts w:ascii="Arial" w:hAnsi="Arial" w:cs="Arial"/>
          <w:noProof/>
          <w:sz w:val="24"/>
          <w:szCs w:val="24"/>
        </w:rPr>
        <w:instrText>ADDIN CSL_CITATION {"citationItems":[{"id":"ITEM-1","itemData":{"author":[{"dropping-particle":"","family":"Health and Care Professions Council","given":"","non-dropping-particle":"","parse-names":false,"suffix":""}],"id":"ITEM-1","issued":{"date-parts":[["2021"]]},"publisher-place":"London","title":"HCPC Diversity Data Report 2021","type":"report"},"uris":["http://www.mendeley.com/documents/?uuid=ea114d7d-dac1-49e9-9553-4541d451b2d7"]}],"mendeley":{"formattedCitation":"(Health and Care Professions Council, 2021)","manualFormatting":"(Health and Care Professions Council (HCPC), 2021)","plainTextFormattedCitation":"(Health and Care Professions Council, 2021)","previouslyFormattedCitation":"(Health and Care Professions Council, 2021)"},"properties":{"noteIndex":0},"schema":"https://github.com/citation-style-language/schema/raw/master/csl-citation.json"}</w:instrText>
      </w:r>
      <w:r w:rsidR="00790525" w:rsidRPr="001272D0">
        <w:rPr>
          <w:rFonts w:ascii="Arial" w:hAnsi="Arial" w:cs="Arial"/>
          <w:noProof/>
          <w:sz w:val="24"/>
          <w:szCs w:val="24"/>
        </w:rPr>
        <w:fldChar w:fldCharType="separate"/>
      </w:r>
      <w:r w:rsidR="00790525" w:rsidRPr="001272D0">
        <w:rPr>
          <w:rFonts w:ascii="Arial" w:hAnsi="Arial" w:cs="Arial"/>
          <w:noProof/>
          <w:sz w:val="24"/>
          <w:szCs w:val="24"/>
        </w:rPr>
        <w:t>(Health and Care Professions Council (HCPC), 2021)</w:t>
      </w:r>
      <w:r w:rsidR="00790525" w:rsidRPr="001272D0">
        <w:rPr>
          <w:rFonts w:ascii="Arial" w:hAnsi="Arial" w:cs="Arial"/>
          <w:noProof/>
          <w:sz w:val="24"/>
          <w:szCs w:val="24"/>
        </w:rPr>
        <w:fldChar w:fldCharType="end"/>
      </w:r>
      <w:r w:rsidR="00790525" w:rsidRPr="001272D0">
        <w:rPr>
          <w:rFonts w:ascii="Arial" w:hAnsi="Arial" w:cs="Arial"/>
          <w:noProof/>
          <w:sz w:val="24"/>
          <w:szCs w:val="24"/>
        </w:rPr>
        <w:t>.</w:t>
      </w:r>
    </w:p>
    <w:p w14:paraId="4034A0B2" w14:textId="0207F1CD" w:rsidR="0016789A" w:rsidRPr="001272D0" w:rsidRDefault="0016789A" w:rsidP="00A74EBE">
      <w:pPr>
        <w:spacing w:line="240" w:lineRule="auto"/>
        <w:jc w:val="both"/>
        <w:rPr>
          <w:rFonts w:ascii="Arial" w:hAnsi="Arial" w:cs="Arial"/>
          <w:noProof/>
          <w:sz w:val="24"/>
          <w:szCs w:val="24"/>
        </w:rPr>
      </w:pPr>
    </w:p>
    <w:p w14:paraId="534307AF" w14:textId="76FC11F9" w:rsidR="00CD38BA" w:rsidRPr="001272D0" w:rsidRDefault="00E26A39" w:rsidP="00A74EBE">
      <w:pPr>
        <w:spacing w:line="240" w:lineRule="auto"/>
        <w:jc w:val="both"/>
        <w:rPr>
          <w:rFonts w:ascii="Arial" w:eastAsia="Times New Roman" w:hAnsi="Arial" w:cs="Arial"/>
          <w:sz w:val="24"/>
          <w:szCs w:val="24"/>
          <w:lang w:val="en-US"/>
        </w:rPr>
      </w:pPr>
      <w:r w:rsidRPr="001272D0">
        <w:rPr>
          <w:rFonts w:ascii="Arial" w:eastAsia="Arial" w:hAnsi="Arial" w:cs="Arial"/>
          <w:bCs/>
          <w:color w:val="000000"/>
          <w:sz w:val="24"/>
          <w:szCs w:val="24"/>
        </w:rPr>
        <w:t xml:space="preserve">Students </w:t>
      </w:r>
      <w:r w:rsidR="009A165A" w:rsidRPr="001272D0">
        <w:rPr>
          <w:rFonts w:ascii="Arial" w:eastAsia="Arial" w:hAnsi="Arial" w:cs="Arial"/>
          <w:bCs/>
          <w:color w:val="000000"/>
          <w:sz w:val="24"/>
          <w:szCs w:val="24"/>
        </w:rPr>
        <w:t>undertaking</w:t>
      </w:r>
      <w:r w:rsidRPr="001272D0">
        <w:rPr>
          <w:rFonts w:ascii="Arial" w:eastAsia="Arial" w:hAnsi="Arial" w:cs="Arial"/>
          <w:bCs/>
          <w:color w:val="000000"/>
          <w:sz w:val="24"/>
          <w:szCs w:val="24"/>
        </w:rPr>
        <w:t xml:space="preserve"> UK pre-registration </w:t>
      </w:r>
      <w:r w:rsidR="0091506E" w:rsidRPr="001272D0">
        <w:rPr>
          <w:rFonts w:ascii="Arial" w:eastAsia="Arial" w:hAnsi="Arial" w:cs="Arial"/>
          <w:bCs/>
          <w:color w:val="000000"/>
          <w:sz w:val="24"/>
          <w:szCs w:val="24"/>
        </w:rPr>
        <w:t>OT</w:t>
      </w:r>
      <w:r w:rsidRPr="001272D0">
        <w:rPr>
          <w:rFonts w:ascii="Arial" w:eastAsia="Arial" w:hAnsi="Arial" w:cs="Arial"/>
          <w:bCs/>
          <w:color w:val="000000"/>
          <w:sz w:val="24"/>
          <w:szCs w:val="24"/>
        </w:rPr>
        <w:t xml:space="preserve"> training enter via</w:t>
      </w:r>
      <w:r w:rsidR="00B714A6" w:rsidRPr="001272D0">
        <w:rPr>
          <w:rFonts w:ascii="Arial" w:eastAsia="Arial" w:hAnsi="Arial" w:cs="Arial"/>
          <w:bCs/>
          <w:color w:val="000000"/>
          <w:sz w:val="24"/>
          <w:szCs w:val="24"/>
        </w:rPr>
        <w:t xml:space="preserve"> </w:t>
      </w:r>
      <w:r w:rsidRPr="001272D0">
        <w:rPr>
          <w:rFonts w:ascii="Arial" w:eastAsia="Arial" w:hAnsi="Arial" w:cs="Arial"/>
          <w:bCs/>
          <w:color w:val="000000"/>
          <w:sz w:val="24"/>
          <w:szCs w:val="24"/>
        </w:rPr>
        <w:t>undergraduate</w:t>
      </w:r>
      <w:r w:rsidR="00B714A6" w:rsidRPr="001272D0">
        <w:rPr>
          <w:rFonts w:ascii="Arial" w:eastAsia="Arial" w:hAnsi="Arial" w:cs="Arial"/>
          <w:bCs/>
          <w:color w:val="000000"/>
          <w:sz w:val="24"/>
          <w:szCs w:val="24"/>
        </w:rPr>
        <w:t xml:space="preserve"> </w:t>
      </w:r>
      <w:r w:rsidR="00B714A6" w:rsidRPr="001272D0">
        <w:rPr>
          <w:rFonts w:ascii="Arial" w:eastAsia="Arial" w:hAnsi="Arial" w:cs="Arial"/>
          <w:bCs/>
          <w:color w:val="000000"/>
          <w:sz w:val="24"/>
          <w:szCs w:val="24"/>
          <w:lang w:val="en-US"/>
        </w:rPr>
        <w:t xml:space="preserve">(BSc </w:t>
      </w:r>
      <w:r w:rsidR="00AE4EA5" w:rsidRPr="001272D0">
        <w:rPr>
          <w:rFonts w:ascii="Arial" w:eastAsia="Arial" w:hAnsi="Arial" w:cs="Arial"/>
          <w:bCs/>
          <w:color w:val="000000"/>
          <w:sz w:val="24"/>
          <w:szCs w:val="24"/>
          <w:lang w:val="en-US"/>
        </w:rPr>
        <w:t>(</w:t>
      </w:r>
      <w:r w:rsidR="00B714A6" w:rsidRPr="001272D0">
        <w:rPr>
          <w:rFonts w:ascii="Arial" w:eastAsia="Arial" w:hAnsi="Arial" w:cs="Arial"/>
          <w:bCs/>
          <w:color w:val="000000"/>
          <w:sz w:val="24"/>
          <w:szCs w:val="24"/>
          <w:lang w:val="en-US"/>
        </w:rPr>
        <w:t>Hons)</w:t>
      </w:r>
      <w:r w:rsidR="003E20E4" w:rsidRPr="001272D0">
        <w:rPr>
          <w:rFonts w:ascii="Arial" w:eastAsia="Arial" w:hAnsi="Arial" w:cs="Arial"/>
          <w:bCs/>
          <w:color w:val="000000"/>
          <w:sz w:val="24"/>
          <w:szCs w:val="24"/>
          <w:lang w:val="en-US"/>
        </w:rPr>
        <w:t>, Master of Science (MSc)</w:t>
      </w:r>
      <w:r w:rsidR="00B714A6" w:rsidRPr="001272D0">
        <w:rPr>
          <w:rFonts w:ascii="Arial" w:eastAsia="Arial" w:hAnsi="Arial" w:cs="Arial"/>
          <w:bCs/>
          <w:color w:val="000000"/>
          <w:sz w:val="24"/>
          <w:szCs w:val="24"/>
          <w:lang w:val="en-US"/>
        </w:rPr>
        <w:t xml:space="preserve"> and degree-level apprenticeship)</w:t>
      </w:r>
      <w:r w:rsidRPr="001272D0">
        <w:rPr>
          <w:rFonts w:ascii="Arial" w:eastAsia="Arial" w:hAnsi="Arial" w:cs="Arial"/>
          <w:bCs/>
          <w:color w:val="000000"/>
          <w:sz w:val="24"/>
          <w:szCs w:val="24"/>
        </w:rPr>
        <w:t xml:space="preserve"> or postgraduate</w:t>
      </w:r>
      <w:r w:rsidR="00B714A6" w:rsidRPr="001272D0">
        <w:rPr>
          <w:rFonts w:ascii="Arial" w:eastAsia="Arial" w:hAnsi="Arial" w:cs="Arial"/>
          <w:bCs/>
          <w:color w:val="000000"/>
          <w:sz w:val="24"/>
          <w:szCs w:val="24"/>
        </w:rPr>
        <w:t xml:space="preserve"> </w:t>
      </w:r>
      <w:r w:rsidR="00B714A6" w:rsidRPr="001272D0">
        <w:rPr>
          <w:rFonts w:ascii="Arial" w:eastAsia="Arial" w:hAnsi="Arial" w:cs="Arial"/>
          <w:bCs/>
          <w:color w:val="000000"/>
          <w:sz w:val="24"/>
          <w:szCs w:val="24"/>
          <w:lang w:val="en-US"/>
        </w:rPr>
        <w:t>(MSc</w:t>
      </w:r>
      <w:r w:rsidR="003E20E4" w:rsidRPr="001272D0">
        <w:rPr>
          <w:rFonts w:ascii="Arial" w:eastAsia="Arial" w:hAnsi="Arial" w:cs="Arial"/>
          <w:bCs/>
          <w:color w:val="000000"/>
          <w:sz w:val="24"/>
          <w:szCs w:val="24"/>
          <w:lang w:val="en-US"/>
        </w:rPr>
        <w:t xml:space="preserve"> </w:t>
      </w:r>
      <w:r w:rsidR="00B714A6" w:rsidRPr="001272D0">
        <w:rPr>
          <w:rFonts w:ascii="Arial" w:eastAsia="Arial" w:hAnsi="Arial" w:cs="Arial"/>
          <w:bCs/>
          <w:color w:val="000000"/>
          <w:sz w:val="24"/>
          <w:szCs w:val="24"/>
          <w:lang w:val="en-US"/>
        </w:rPr>
        <w:t>and Post Graduate Diploma (PGDip)</w:t>
      </w:r>
      <w:r w:rsidRPr="001272D0">
        <w:rPr>
          <w:rFonts w:ascii="Arial" w:eastAsia="Arial" w:hAnsi="Arial" w:cs="Arial"/>
          <w:bCs/>
          <w:color w:val="000000"/>
          <w:sz w:val="24"/>
          <w:szCs w:val="24"/>
        </w:rPr>
        <w:t xml:space="preserve"> </w:t>
      </w:r>
      <w:r w:rsidR="00F20F63" w:rsidRPr="001272D0">
        <w:rPr>
          <w:rFonts w:ascii="Arial" w:eastAsia="Arial" w:hAnsi="Arial" w:cs="Arial"/>
          <w:bCs/>
          <w:color w:val="000000"/>
          <w:sz w:val="24"/>
          <w:szCs w:val="24"/>
        </w:rPr>
        <w:t xml:space="preserve">education </w:t>
      </w:r>
      <w:r w:rsidRPr="001272D0">
        <w:rPr>
          <w:rFonts w:ascii="Arial" w:eastAsia="Arial" w:hAnsi="Arial" w:cs="Arial"/>
          <w:bCs/>
          <w:color w:val="000000"/>
          <w:sz w:val="24"/>
          <w:szCs w:val="24"/>
        </w:rPr>
        <w:t>pathways</w:t>
      </w:r>
      <w:r w:rsidR="00B714A6" w:rsidRPr="001272D0">
        <w:rPr>
          <w:rFonts w:ascii="Arial" w:eastAsia="Arial" w:hAnsi="Arial" w:cs="Arial"/>
          <w:bCs/>
          <w:color w:val="000000"/>
          <w:sz w:val="24"/>
          <w:szCs w:val="24"/>
        </w:rPr>
        <w:t xml:space="preserve">. </w:t>
      </w:r>
      <w:r w:rsidR="00E406D9" w:rsidRPr="001272D0">
        <w:rPr>
          <w:rFonts w:ascii="Arial" w:eastAsia="Arial" w:hAnsi="Arial" w:cs="Arial"/>
          <w:color w:val="000000"/>
          <w:sz w:val="24"/>
          <w:szCs w:val="24"/>
        </w:rPr>
        <w:t>C</w:t>
      </w:r>
      <w:r w:rsidR="00AE4EA5" w:rsidRPr="001272D0">
        <w:rPr>
          <w:rFonts w:ascii="Arial" w:eastAsia="Arial" w:hAnsi="Arial" w:cs="Arial"/>
          <w:color w:val="000000"/>
          <w:sz w:val="24"/>
          <w:szCs w:val="24"/>
        </w:rPr>
        <w:t xml:space="preserve">ompletion via either pathway requires graduates to meet the </w:t>
      </w:r>
      <w:r w:rsidR="00AE4EA5" w:rsidRPr="001272D0">
        <w:rPr>
          <w:rFonts w:ascii="Arial" w:eastAsia="Arial" w:hAnsi="Arial" w:cs="Arial"/>
          <w:bCs/>
          <w:color w:val="000000"/>
          <w:sz w:val="24"/>
          <w:szCs w:val="24"/>
        </w:rPr>
        <w:t>UK HCPC standards of education and training, leading to eligibility for registration and practice as a UK occupational therapi</w:t>
      </w:r>
      <w:r w:rsidR="00BA497B" w:rsidRPr="001272D0">
        <w:rPr>
          <w:rFonts w:ascii="Arial" w:eastAsia="Arial" w:hAnsi="Arial" w:cs="Arial"/>
          <w:bCs/>
          <w:color w:val="000000"/>
          <w:sz w:val="24"/>
          <w:szCs w:val="24"/>
        </w:rPr>
        <w:t xml:space="preserve">st </w:t>
      </w:r>
      <w:r w:rsidR="00BA497B" w:rsidRPr="001272D0">
        <w:rPr>
          <w:rFonts w:ascii="Arial" w:eastAsia="Arial" w:hAnsi="Arial" w:cs="Arial"/>
          <w:bCs/>
          <w:color w:val="000000"/>
          <w:sz w:val="24"/>
          <w:szCs w:val="24"/>
        </w:rPr>
        <w:fldChar w:fldCharType="begin" w:fldLock="1"/>
      </w:r>
      <w:r w:rsidR="00E30299" w:rsidRPr="001272D0">
        <w:rPr>
          <w:rFonts w:ascii="Arial" w:eastAsia="Arial" w:hAnsi="Arial" w:cs="Arial"/>
          <w:bCs/>
          <w:color w:val="000000"/>
          <w:sz w:val="24"/>
          <w:szCs w:val="24"/>
        </w:rPr>
        <w:instrText>ADDIN CSL_CITATION {"citationItems":[{"id":"ITEM-1","itemData":{"abstract":"This document sets out the standards of education and training (SETs). These are the standards against which we assess education and training programmes. A programme which meets the SETs allows a learner who successfully completes that programme to meet the standards of pro ciency for their profession. They are then eligible to apply to the Health and Care Professions Council (HCPC) for registration. We conduct approval visits to education providers to assess their programmes against the SETs. If a programme meets the SETs we will normally grant open-ended approval, subject to ongoing monitoring. Annual monitoring is a documentary process used to determine whether a programme continues to meet the SETs. If any changes are made which signi cantly affect a programme, we consider these through our major change process to make sure that the SETs continue to be met. We have produced detailed guidance on the SETs, which is intended to give more information about the meaning and intention of the standards and what our expectations will be when we assess and monitor education and training programmes against them. This guidance can be found on our website. We have also produced supplementary information documents for education providers when preparing for an approval visit, completing annual monitoring submissions, or making signi cant changes to programmes. These documents, which can also be found on our website, give more information about the processes we use to assess and monitor programmes against the SETs.","author":[{"dropping-particle":"","family":"Health and Care Professions Council","given":"","non-dropping-particle":"","parse-names":false,"suffix":""}],"id":"ITEM-1","issued":{"date-parts":[["2017"]]},"title":"Standards of education and training","type":"report"},"uris":["http://www.mendeley.com/documents/?uuid=81a146e4-1332-4317-8e15-387125338cbc"]}],"mendeley":{"formattedCitation":"(Health and Care Professions Council, 2017)","manualFormatting":"(HCPC, 2017)","plainTextFormattedCitation":"(Health and Care Professions Council, 2017)","previouslyFormattedCitation":"(Health and Care Professions Council, 2017)"},"properties":{"noteIndex":0},"schema":"https://github.com/citation-style-language/schema/raw/master/csl-citation.json"}</w:instrText>
      </w:r>
      <w:r w:rsidR="00BA497B" w:rsidRPr="001272D0">
        <w:rPr>
          <w:rFonts w:ascii="Arial" w:eastAsia="Arial" w:hAnsi="Arial" w:cs="Arial"/>
          <w:bCs/>
          <w:color w:val="000000"/>
          <w:sz w:val="24"/>
          <w:szCs w:val="24"/>
        </w:rPr>
        <w:fldChar w:fldCharType="separate"/>
      </w:r>
      <w:r w:rsidR="00BA497B" w:rsidRPr="001272D0">
        <w:rPr>
          <w:rFonts w:ascii="Arial" w:eastAsia="Arial" w:hAnsi="Arial" w:cs="Arial"/>
          <w:bCs/>
          <w:noProof/>
          <w:color w:val="000000"/>
          <w:sz w:val="24"/>
          <w:szCs w:val="24"/>
        </w:rPr>
        <w:t>(HCPC, 2017)</w:t>
      </w:r>
      <w:r w:rsidR="00BA497B" w:rsidRPr="001272D0">
        <w:rPr>
          <w:rFonts w:ascii="Arial" w:eastAsia="Arial" w:hAnsi="Arial" w:cs="Arial"/>
          <w:bCs/>
          <w:color w:val="000000"/>
          <w:sz w:val="24"/>
          <w:szCs w:val="24"/>
        </w:rPr>
        <w:fldChar w:fldCharType="end"/>
      </w:r>
      <w:r w:rsidR="00AE4EA5" w:rsidRPr="001272D0">
        <w:rPr>
          <w:rFonts w:ascii="Arial" w:eastAsia="Arial" w:hAnsi="Arial" w:cs="Arial"/>
          <w:bCs/>
          <w:color w:val="000000"/>
          <w:sz w:val="24"/>
          <w:szCs w:val="24"/>
        </w:rPr>
        <w:t>.</w:t>
      </w:r>
      <w:r w:rsidR="00D170DC" w:rsidRPr="001272D0">
        <w:rPr>
          <w:rFonts w:ascii="Arial" w:eastAsia="Arial" w:hAnsi="Arial" w:cs="Arial"/>
          <w:sz w:val="24"/>
          <w:szCs w:val="24"/>
          <w:lang w:val="en-US"/>
        </w:rPr>
        <w:t xml:space="preserve"> </w:t>
      </w:r>
      <w:r w:rsidR="00E73024" w:rsidRPr="001272D0">
        <w:rPr>
          <w:rFonts w:ascii="Arial" w:eastAsia="Arial" w:hAnsi="Arial" w:cs="Arial"/>
          <w:sz w:val="24"/>
          <w:szCs w:val="24"/>
          <w:lang w:val="en-US"/>
        </w:rPr>
        <w:t>S</w:t>
      </w:r>
      <w:r w:rsidR="00D15E0E" w:rsidRPr="001272D0">
        <w:rPr>
          <w:rFonts w:ascii="Arial" w:eastAsia="Arial" w:hAnsi="Arial" w:cs="Arial"/>
          <w:sz w:val="24"/>
          <w:szCs w:val="24"/>
          <w:lang w:val="en-US"/>
        </w:rPr>
        <w:t xml:space="preserve">election and </w:t>
      </w:r>
      <w:r w:rsidR="00E73024" w:rsidRPr="001272D0">
        <w:rPr>
          <w:rFonts w:ascii="Arial" w:eastAsia="Arial" w:hAnsi="Arial" w:cs="Arial"/>
          <w:sz w:val="24"/>
          <w:szCs w:val="24"/>
          <w:lang w:val="en-US"/>
        </w:rPr>
        <w:t>recruitment pro</w:t>
      </w:r>
      <w:r w:rsidR="00F94BA2" w:rsidRPr="001272D0">
        <w:rPr>
          <w:rFonts w:ascii="Arial" w:eastAsia="Arial" w:hAnsi="Arial" w:cs="Arial"/>
          <w:sz w:val="24"/>
          <w:szCs w:val="24"/>
          <w:lang w:val="en-US"/>
        </w:rPr>
        <w:t>cesses</w:t>
      </w:r>
      <w:r w:rsidR="007C2BEB" w:rsidRPr="001272D0">
        <w:rPr>
          <w:rFonts w:ascii="Arial" w:eastAsia="Arial" w:hAnsi="Arial" w:cs="Arial"/>
          <w:sz w:val="24"/>
          <w:szCs w:val="24"/>
          <w:lang w:val="en-US"/>
        </w:rPr>
        <w:t xml:space="preserve"> must include </w:t>
      </w:r>
      <w:r w:rsidR="00D170DC" w:rsidRPr="001272D0">
        <w:rPr>
          <w:rFonts w:ascii="Arial" w:eastAsia="Arial" w:hAnsi="Arial" w:cs="Arial"/>
          <w:sz w:val="24"/>
          <w:szCs w:val="24"/>
          <w:lang w:val="en-US"/>
        </w:rPr>
        <w:t xml:space="preserve">appropriate academic and professional entry </w:t>
      </w:r>
      <w:r w:rsidR="005C43D1" w:rsidRPr="001272D0">
        <w:rPr>
          <w:rFonts w:ascii="Arial" w:eastAsia="Arial" w:hAnsi="Arial" w:cs="Arial"/>
          <w:sz w:val="24"/>
          <w:szCs w:val="24"/>
          <w:lang w:val="en-US"/>
        </w:rPr>
        <w:t>criteria</w:t>
      </w:r>
      <w:r w:rsidR="00E30299" w:rsidRPr="001272D0">
        <w:rPr>
          <w:rFonts w:ascii="Arial" w:eastAsia="Arial" w:hAnsi="Arial" w:cs="Arial"/>
          <w:sz w:val="24"/>
          <w:szCs w:val="24"/>
          <w:lang w:val="en-US"/>
        </w:rPr>
        <w:t xml:space="preserve"> </w:t>
      </w:r>
      <w:r w:rsidR="00E30299" w:rsidRPr="001272D0">
        <w:rPr>
          <w:rFonts w:ascii="Arial" w:eastAsia="Arial" w:hAnsi="Arial" w:cs="Arial"/>
          <w:sz w:val="24"/>
          <w:szCs w:val="24"/>
          <w:lang w:val="en-US"/>
        </w:rPr>
        <w:fldChar w:fldCharType="begin" w:fldLock="1"/>
      </w:r>
      <w:r w:rsidR="008A4F7A" w:rsidRPr="001272D0">
        <w:rPr>
          <w:rFonts w:ascii="Arial" w:eastAsia="Arial" w:hAnsi="Arial" w:cs="Arial"/>
          <w:sz w:val="24"/>
          <w:szCs w:val="24"/>
          <w:lang w:val="en-US"/>
        </w:rPr>
        <w:instrText>ADDIN CSL_CITATION {"citationItems":[{"id":"ITEM-1","itemData":{"ISBN":"9781905944934","author":[{"dropping-particle":"","family":"Royal College of Occupational Therapists","given":"","non-dropping-particle":"","parse-names":false,"suffix":""}],"container-title":"Royal College of Occupational Therapists","id":"ITEM-1","issued":{"date-parts":[["2019"]]},"title":"Learning and development standards for pre-registration education","type":"report"},"uris":["http://www.mendeley.com/documents/?uuid=7e594ad7-1a46-4f69-9bfc-f39acc054459"]},{"id":"ITEM-2","itemData":{"abstract":"This document sets out the standards of education and training (SETs). These are the standards against which we assess education and training programmes. A programme which meets the SETs allows a learner who successfully completes that programme to meet the standards of pro ciency for their profession. They are then eligible to apply to the Health and Care Professions Council (HCPC) for registration. We conduct approval visits to education providers to assess their programmes against the SETs. If a programme meets the SETs we will normally grant open-ended approval, subject to ongoing monitoring. Annual monitoring is a documentary process used to determine whether a programme continues to meet the SETs. If any changes are made which signi cantly affect a programme, we consider these through our major change process to make sure that the SETs continue to be met. We have produced detailed guidance on the SETs, which is intended to give more information about the meaning and intention of the standards and what our expectations will be when we assess and monitor education and training programmes against them. This guidance can be found on our website. We have also produced supplementary information documents for education providers when preparing for an approval visit, completing annual monitoring submissions, or making signi cant changes to programmes. These documents, which can also be found on our website, give more information about the processes we use to assess and monitor programmes against the SETs.","author":[{"dropping-particle":"","family":"Health and Care Professions Council","given":"","non-dropping-particle":"","parse-names":false,"suffix":""}],"id":"ITEM-2","issued":{"date-parts":[["2017"]]},"title":"Standards of education and training","type":"report"},"uris":["http://www.mendeley.com/documents/?uuid=81a146e4-1332-4317-8e15-387125338cbc"]}],"mendeley":{"formattedCitation":"(Health and Care Professions Council, 2017; Royal College of Occupational Therapists, 2019b)","manualFormatting":"(HCPC, 2017; Royal College of Occupational Therapists (RCOT), 2019b)","plainTextFormattedCitation":"(Health and Care Professions Council, 2017; Royal College of Occupational Therapists, 2019b)","previouslyFormattedCitation":"(Health and Care Professions Council, 2017; Royal College of Occupational Therapists, 2019b)"},"properties":{"noteIndex":0},"schema":"https://github.com/citation-style-language/schema/raw/master/csl-citation.json"}</w:instrText>
      </w:r>
      <w:r w:rsidR="00E30299" w:rsidRPr="001272D0">
        <w:rPr>
          <w:rFonts w:ascii="Arial" w:eastAsia="Arial" w:hAnsi="Arial" w:cs="Arial"/>
          <w:sz w:val="24"/>
          <w:szCs w:val="24"/>
          <w:lang w:val="en-US"/>
        </w:rPr>
        <w:fldChar w:fldCharType="separate"/>
      </w:r>
      <w:r w:rsidR="00E30299" w:rsidRPr="001272D0">
        <w:rPr>
          <w:rFonts w:ascii="Arial" w:eastAsia="Arial" w:hAnsi="Arial" w:cs="Arial"/>
          <w:noProof/>
          <w:sz w:val="24"/>
          <w:szCs w:val="24"/>
          <w:lang w:val="en-US"/>
        </w:rPr>
        <w:t>(HCPC, 2017; R</w:t>
      </w:r>
      <w:r w:rsidR="004F2F9B" w:rsidRPr="001272D0">
        <w:rPr>
          <w:rFonts w:ascii="Arial" w:eastAsia="Arial" w:hAnsi="Arial" w:cs="Arial"/>
          <w:noProof/>
          <w:sz w:val="24"/>
          <w:szCs w:val="24"/>
          <w:lang w:val="en-US"/>
        </w:rPr>
        <w:t>oyal College of Occupational Therapists</w:t>
      </w:r>
      <w:r w:rsidR="00E30299" w:rsidRPr="001272D0">
        <w:rPr>
          <w:rFonts w:ascii="Arial" w:eastAsia="Arial" w:hAnsi="Arial" w:cs="Arial"/>
          <w:noProof/>
          <w:sz w:val="24"/>
          <w:szCs w:val="24"/>
          <w:lang w:val="en-US"/>
        </w:rPr>
        <w:t>, 2019b)</w:t>
      </w:r>
      <w:r w:rsidR="00E30299" w:rsidRPr="001272D0">
        <w:rPr>
          <w:rFonts w:ascii="Arial" w:eastAsia="Arial" w:hAnsi="Arial" w:cs="Arial"/>
          <w:sz w:val="24"/>
          <w:szCs w:val="24"/>
          <w:lang w:val="en-US"/>
        </w:rPr>
        <w:fldChar w:fldCharType="end"/>
      </w:r>
      <w:r w:rsidR="00D5634F" w:rsidRPr="001272D0">
        <w:rPr>
          <w:rFonts w:ascii="Arial" w:eastAsia="Arial" w:hAnsi="Arial" w:cs="Arial"/>
          <w:sz w:val="24"/>
          <w:szCs w:val="24"/>
          <w:lang w:val="en-US"/>
        </w:rPr>
        <w:t xml:space="preserve">, although </w:t>
      </w:r>
      <w:r w:rsidR="0024081D" w:rsidRPr="001272D0">
        <w:rPr>
          <w:rFonts w:ascii="Arial" w:eastAsia="Arial" w:hAnsi="Arial" w:cs="Arial"/>
          <w:sz w:val="24"/>
          <w:szCs w:val="24"/>
          <w:lang w:val="en-US"/>
        </w:rPr>
        <w:t>neither the R</w:t>
      </w:r>
      <w:r w:rsidR="004F2F9B" w:rsidRPr="001272D0">
        <w:rPr>
          <w:rFonts w:ascii="Arial" w:eastAsia="Arial" w:hAnsi="Arial" w:cs="Arial"/>
          <w:sz w:val="24"/>
          <w:szCs w:val="24"/>
          <w:lang w:val="en-US"/>
        </w:rPr>
        <w:t xml:space="preserve">oyal </w:t>
      </w:r>
      <w:r w:rsidR="0024081D" w:rsidRPr="001272D0">
        <w:rPr>
          <w:rFonts w:ascii="Arial" w:eastAsia="Arial" w:hAnsi="Arial" w:cs="Arial"/>
          <w:sz w:val="24"/>
          <w:szCs w:val="24"/>
          <w:lang w:val="en-US"/>
        </w:rPr>
        <w:t>C</w:t>
      </w:r>
      <w:r w:rsidR="004F2F9B" w:rsidRPr="001272D0">
        <w:rPr>
          <w:rFonts w:ascii="Arial" w:eastAsia="Arial" w:hAnsi="Arial" w:cs="Arial"/>
          <w:sz w:val="24"/>
          <w:szCs w:val="24"/>
          <w:lang w:val="en-US"/>
        </w:rPr>
        <w:t xml:space="preserve">ollege of </w:t>
      </w:r>
      <w:r w:rsidR="0024081D" w:rsidRPr="001272D0">
        <w:rPr>
          <w:rFonts w:ascii="Arial" w:eastAsia="Arial" w:hAnsi="Arial" w:cs="Arial"/>
          <w:sz w:val="24"/>
          <w:szCs w:val="24"/>
          <w:lang w:val="en-US"/>
        </w:rPr>
        <w:t>O</w:t>
      </w:r>
      <w:r w:rsidR="004F2F9B" w:rsidRPr="001272D0">
        <w:rPr>
          <w:rFonts w:ascii="Arial" w:eastAsia="Arial" w:hAnsi="Arial" w:cs="Arial"/>
          <w:sz w:val="24"/>
          <w:szCs w:val="24"/>
          <w:lang w:val="en-US"/>
        </w:rPr>
        <w:t xml:space="preserve">ccupational </w:t>
      </w:r>
      <w:r w:rsidR="0024081D" w:rsidRPr="001272D0">
        <w:rPr>
          <w:rFonts w:ascii="Arial" w:eastAsia="Arial" w:hAnsi="Arial" w:cs="Arial"/>
          <w:sz w:val="24"/>
          <w:szCs w:val="24"/>
          <w:lang w:val="en-US"/>
        </w:rPr>
        <w:t>T</w:t>
      </w:r>
      <w:r w:rsidR="004F2F9B" w:rsidRPr="001272D0">
        <w:rPr>
          <w:rFonts w:ascii="Arial" w:eastAsia="Arial" w:hAnsi="Arial" w:cs="Arial"/>
          <w:sz w:val="24"/>
          <w:szCs w:val="24"/>
          <w:lang w:val="en-US"/>
        </w:rPr>
        <w:t>herapists</w:t>
      </w:r>
      <w:r w:rsidR="004A30C9" w:rsidRPr="001272D0">
        <w:rPr>
          <w:rFonts w:ascii="Arial" w:eastAsia="Arial" w:hAnsi="Arial" w:cs="Arial"/>
          <w:sz w:val="24"/>
          <w:szCs w:val="24"/>
          <w:lang w:val="en-US"/>
        </w:rPr>
        <w:t xml:space="preserve"> (RCOT)</w:t>
      </w:r>
      <w:r w:rsidR="0024081D" w:rsidRPr="001272D0">
        <w:rPr>
          <w:rFonts w:ascii="Arial" w:eastAsia="Arial" w:hAnsi="Arial" w:cs="Arial"/>
          <w:sz w:val="24"/>
          <w:szCs w:val="24"/>
          <w:lang w:val="en-US"/>
        </w:rPr>
        <w:t xml:space="preserve"> or HCPC offer </w:t>
      </w:r>
      <w:r w:rsidR="00F2227E" w:rsidRPr="001272D0">
        <w:rPr>
          <w:rFonts w:ascii="Arial" w:eastAsia="Times New Roman" w:hAnsi="Arial" w:cs="Arial"/>
          <w:sz w:val="24"/>
          <w:szCs w:val="24"/>
          <w:lang w:val="en-US"/>
        </w:rPr>
        <w:t>specific guidance on how these skills should be identified, assessed</w:t>
      </w:r>
      <w:r w:rsidR="009B73AF" w:rsidRPr="001272D0">
        <w:rPr>
          <w:rFonts w:ascii="Arial" w:eastAsia="Times New Roman" w:hAnsi="Arial" w:cs="Arial"/>
          <w:sz w:val="24"/>
          <w:szCs w:val="24"/>
          <w:lang w:val="en-US"/>
        </w:rPr>
        <w:t xml:space="preserve"> or </w:t>
      </w:r>
      <w:r w:rsidR="00F2227E" w:rsidRPr="001272D0">
        <w:rPr>
          <w:rFonts w:ascii="Arial" w:eastAsia="Times New Roman" w:hAnsi="Arial" w:cs="Arial"/>
          <w:sz w:val="24"/>
          <w:szCs w:val="24"/>
          <w:lang w:val="en-US"/>
        </w:rPr>
        <w:t>recorded.</w:t>
      </w:r>
      <w:r w:rsidR="00E56F2E" w:rsidRPr="001272D0">
        <w:rPr>
          <w:rFonts w:ascii="Arial" w:eastAsia="Times New Roman" w:hAnsi="Arial" w:cs="Arial"/>
          <w:sz w:val="24"/>
          <w:szCs w:val="24"/>
          <w:lang w:val="en-US"/>
        </w:rPr>
        <w:t xml:space="preserve"> </w:t>
      </w:r>
      <w:r w:rsidR="005D424B" w:rsidRPr="001272D0">
        <w:rPr>
          <w:rFonts w:ascii="Arial" w:hAnsi="Arial" w:cs="Arial"/>
          <w:noProof/>
          <w:sz w:val="24"/>
          <w:szCs w:val="24"/>
        </w:rPr>
        <w:t xml:space="preserve">If the profession hopes to diversify workforce populations, it must prioritise diversifying student populations. A key first step lies in identifying and exploring UK Universities admissions processes, ensuring they are </w:t>
      </w:r>
      <w:r w:rsidR="005D424B" w:rsidRPr="001272D0">
        <w:rPr>
          <w:rFonts w:ascii="Arial" w:eastAsia="Arial" w:hAnsi="Arial" w:cs="Arial"/>
          <w:sz w:val="24"/>
          <w:szCs w:val="24"/>
          <w:lang w:val="en-US"/>
        </w:rPr>
        <w:t xml:space="preserve">fair, accessible and transparent, with reliable selection assessment methods used and inequalities professionally addressed, tackled and embedded in governance </w:t>
      </w:r>
      <w:r w:rsidR="005D424B" w:rsidRPr="001272D0">
        <w:rPr>
          <w:rFonts w:ascii="Arial" w:eastAsia="Arial" w:hAnsi="Arial" w:cs="Arial"/>
          <w:sz w:val="24"/>
          <w:szCs w:val="24"/>
          <w:lang w:val="en-US"/>
        </w:rPr>
        <w:fldChar w:fldCharType="begin" w:fldLock="1"/>
      </w:r>
      <w:r w:rsidR="005D424B" w:rsidRPr="001272D0">
        <w:rPr>
          <w:rFonts w:ascii="Arial" w:eastAsia="Arial" w:hAnsi="Arial" w:cs="Arial"/>
          <w:sz w:val="24"/>
          <w:szCs w:val="24"/>
          <w:lang w:val="en-US"/>
        </w:rPr>
        <w:instrText>ADDIN CSL_CITATION {"citationItems":[{"id":"ITEM-1","itemData":{"author":[{"dropping-particle":"","family":"Universities UK","given":"","non-dropping-particle":"","parse-names":false,"suffix":""}],"id":"ITEM-1","issue":"June 2019","issued":{"date-parts":[["2020"]]},"number-of-pages":"28","title":"Fair Admissions Review","type":"report"},"uris":["http://www.mendeley.com/documents/?uuid=3dd36d2b-794f-4a08-b3b3-aa7ad5689c3d"]}],"mendeley":{"formattedCitation":"(Universities UK, 2020)","plainTextFormattedCitation":"(Universities UK, 2020)","previouslyFormattedCitation":"(Universities UK, 2020)"},"properties":{"noteIndex":0},"schema":"https://github.com/citation-style-language/schema/raw/master/csl-citation.json"}</w:instrText>
      </w:r>
      <w:r w:rsidR="005D424B" w:rsidRPr="001272D0">
        <w:rPr>
          <w:rFonts w:ascii="Arial" w:eastAsia="Arial" w:hAnsi="Arial" w:cs="Arial"/>
          <w:sz w:val="24"/>
          <w:szCs w:val="24"/>
          <w:lang w:val="en-US"/>
        </w:rPr>
        <w:fldChar w:fldCharType="separate"/>
      </w:r>
      <w:r w:rsidR="005D424B" w:rsidRPr="001272D0">
        <w:rPr>
          <w:rFonts w:ascii="Arial" w:eastAsia="Arial" w:hAnsi="Arial" w:cs="Arial"/>
          <w:noProof/>
          <w:sz w:val="24"/>
          <w:szCs w:val="24"/>
          <w:lang w:val="en-US"/>
        </w:rPr>
        <w:t>(Universities UK, 2020)</w:t>
      </w:r>
      <w:r w:rsidR="005D424B" w:rsidRPr="001272D0">
        <w:rPr>
          <w:rFonts w:ascii="Arial" w:eastAsia="Arial" w:hAnsi="Arial" w:cs="Arial"/>
          <w:sz w:val="24"/>
          <w:szCs w:val="24"/>
          <w:lang w:val="en-US"/>
        </w:rPr>
        <w:fldChar w:fldCharType="end"/>
      </w:r>
      <w:r w:rsidR="005D424B" w:rsidRPr="001272D0">
        <w:rPr>
          <w:rFonts w:ascii="Arial" w:eastAsia="Arial" w:hAnsi="Arial" w:cs="Arial"/>
          <w:sz w:val="24"/>
          <w:szCs w:val="24"/>
          <w:lang w:val="en-US"/>
        </w:rPr>
        <w:t>.</w:t>
      </w:r>
      <w:r w:rsidR="005D424B" w:rsidRPr="001272D0">
        <w:rPr>
          <w:rFonts w:ascii="Arial" w:eastAsia="Arial" w:hAnsi="Arial" w:cs="Arial"/>
          <w:bCs/>
          <w:color w:val="000000"/>
          <w:sz w:val="24"/>
          <w:szCs w:val="24"/>
        </w:rPr>
        <w:t xml:space="preserve"> </w:t>
      </w:r>
      <w:r w:rsidR="003A754E" w:rsidRPr="001272D0">
        <w:rPr>
          <w:rFonts w:ascii="Arial" w:hAnsi="Arial" w:cs="Arial"/>
          <w:noProof/>
          <w:sz w:val="24"/>
          <w:szCs w:val="24"/>
        </w:rPr>
        <w:t xml:space="preserve">It is difficult to understand, with no published </w:t>
      </w:r>
      <w:r w:rsidR="007D533C" w:rsidRPr="001272D0">
        <w:rPr>
          <w:rFonts w:ascii="Arial" w:hAnsi="Arial" w:cs="Arial"/>
          <w:noProof/>
          <w:sz w:val="24"/>
          <w:szCs w:val="24"/>
        </w:rPr>
        <w:t>investigation of</w:t>
      </w:r>
      <w:r w:rsidR="003A754E" w:rsidRPr="001272D0">
        <w:rPr>
          <w:rFonts w:ascii="Arial" w:hAnsi="Arial" w:cs="Arial"/>
          <w:noProof/>
          <w:sz w:val="24"/>
          <w:szCs w:val="24"/>
        </w:rPr>
        <w:t xml:space="preserve"> UK OT entry criteria, </w:t>
      </w:r>
      <w:r w:rsidR="003A754E" w:rsidRPr="001272D0">
        <w:rPr>
          <w:rFonts w:ascii="Arial" w:eastAsia="Times New Roman" w:hAnsi="Arial" w:cs="Arial"/>
          <w:sz w:val="24"/>
          <w:szCs w:val="24"/>
          <w:lang w:val="en-US"/>
        </w:rPr>
        <w:t>if there is equity and accessibility</w:t>
      </w:r>
      <w:r w:rsidR="00576C03" w:rsidRPr="001272D0">
        <w:rPr>
          <w:rFonts w:ascii="Arial" w:eastAsia="Times New Roman" w:hAnsi="Arial" w:cs="Arial"/>
          <w:sz w:val="24"/>
          <w:szCs w:val="24"/>
          <w:lang w:val="en-US"/>
        </w:rPr>
        <w:t>;</w:t>
      </w:r>
      <w:r w:rsidR="003A754E" w:rsidRPr="001272D0">
        <w:rPr>
          <w:rFonts w:ascii="Arial" w:eastAsia="Times New Roman" w:hAnsi="Arial" w:cs="Arial"/>
          <w:sz w:val="24"/>
          <w:szCs w:val="24"/>
          <w:lang w:val="en-US"/>
        </w:rPr>
        <w:t xml:space="preserve"> for candidates to appreciate what is required</w:t>
      </w:r>
      <w:r w:rsidR="00576C03" w:rsidRPr="001272D0">
        <w:rPr>
          <w:rFonts w:ascii="Arial" w:eastAsia="Times New Roman" w:hAnsi="Arial" w:cs="Arial"/>
          <w:sz w:val="24"/>
          <w:szCs w:val="24"/>
          <w:lang w:val="en-US"/>
        </w:rPr>
        <w:t>;</w:t>
      </w:r>
      <w:r w:rsidR="003A754E" w:rsidRPr="001272D0">
        <w:rPr>
          <w:rFonts w:ascii="Arial" w:eastAsia="Times New Roman" w:hAnsi="Arial" w:cs="Arial"/>
          <w:sz w:val="24"/>
          <w:szCs w:val="24"/>
          <w:lang w:val="en-US"/>
        </w:rPr>
        <w:t xml:space="preserve"> and for the profession to know who is missing or excluded at the point of enquiry and entry. </w:t>
      </w:r>
      <w:r w:rsidR="00F32694" w:rsidRPr="001272D0">
        <w:rPr>
          <w:rFonts w:ascii="Arial" w:eastAsia="Times New Roman" w:hAnsi="Arial" w:cs="Arial"/>
          <w:sz w:val="24"/>
          <w:szCs w:val="24"/>
        </w:rPr>
        <w:t>Using a cross-sectional design, this study aims to address this gap by providing, for the first time, an overview of current UK admissions criteria. Visiting all UK university websites offering pre-registration OT education, it records available programme types, while exploring w</w:t>
      </w:r>
      <w:r w:rsidR="00F32694" w:rsidRPr="001272D0">
        <w:rPr>
          <w:rFonts w:ascii="Arial" w:hAnsi="Arial" w:cs="Arial"/>
          <w:sz w:val="24"/>
          <w:szCs w:val="24"/>
        </w:rPr>
        <w:t>hat and how academic, professional and alternative entry criteria are assessed at the point of application and selection</w:t>
      </w:r>
      <w:r w:rsidR="00B92269" w:rsidRPr="001272D0">
        <w:rPr>
          <w:rFonts w:ascii="Arial" w:hAnsi="Arial" w:cs="Arial"/>
          <w:sz w:val="24"/>
          <w:szCs w:val="24"/>
        </w:rPr>
        <w:t>.</w:t>
      </w:r>
    </w:p>
    <w:p w14:paraId="57CAB8D7" w14:textId="0BF4E3C8" w:rsidR="00727FD1" w:rsidRPr="001272D0" w:rsidRDefault="00727FD1" w:rsidP="00A74EBE">
      <w:pPr>
        <w:spacing w:line="240" w:lineRule="auto"/>
        <w:jc w:val="both"/>
        <w:rPr>
          <w:rFonts w:ascii="Arial" w:eastAsia="Arial" w:hAnsi="Arial" w:cs="Arial"/>
          <w:b/>
          <w:bCs/>
          <w:color w:val="000000"/>
          <w:sz w:val="24"/>
          <w:szCs w:val="24"/>
          <w:lang w:val="en-US"/>
        </w:rPr>
      </w:pPr>
    </w:p>
    <w:p w14:paraId="4CD31EA3" w14:textId="5A4B28C8" w:rsidR="00B92269" w:rsidRPr="001272D0" w:rsidRDefault="00B92269" w:rsidP="00A74EBE">
      <w:pPr>
        <w:spacing w:line="240" w:lineRule="auto"/>
        <w:jc w:val="both"/>
        <w:rPr>
          <w:rFonts w:ascii="Arial" w:eastAsia="Arial" w:hAnsi="Arial" w:cs="Arial"/>
          <w:b/>
          <w:bCs/>
          <w:color w:val="000000"/>
          <w:sz w:val="24"/>
          <w:szCs w:val="24"/>
          <w:lang w:val="en-US"/>
        </w:rPr>
      </w:pPr>
    </w:p>
    <w:p w14:paraId="10686B22" w14:textId="77777777" w:rsidR="00B92269" w:rsidRPr="001272D0" w:rsidRDefault="00B92269" w:rsidP="00A74EBE">
      <w:pPr>
        <w:spacing w:line="240" w:lineRule="auto"/>
        <w:jc w:val="both"/>
        <w:rPr>
          <w:rFonts w:ascii="Arial" w:eastAsia="Arial" w:hAnsi="Arial" w:cs="Arial"/>
          <w:b/>
          <w:bCs/>
          <w:color w:val="000000"/>
          <w:sz w:val="24"/>
          <w:szCs w:val="24"/>
          <w:lang w:val="en-US"/>
        </w:rPr>
      </w:pPr>
    </w:p>
    <w:p w14:paraId="265DC01A" w14:textId="3BADF018" w:rsidR="002225C0" w:rsidRPr="001272D0" w:rsidRDefault="002225C0" w:rsidP="00A74EBE">
      <w:pPr>
        <w:spacing w:line="240" w:lineRule="auto"/>
        <w:jc w:val="both"/>
        <w:rPr>
          <w:rFonts w:ascii="Arial" w:eastAsia="Times New Roman" w:hAnsi="Arial" w:cs="Arial"/>
          <w:sz w:val="24"/>
          <w:szCs w:val="24"/>
        </w:rPr>
      </w:pPr>
      <w:r w:rsidRPr="001272D0">
        <w:rPr>
          <w:rFonts w:ascii="Arial" w:eastAsia="Arial" w:hAnsi="Arial" w:cs="Arial"/>
          <w:b/>
          <w:bCs/>
          <w:color w:val="000000"/>
          <w:sz w:val="24"/>
          <w:szCs w:val="24"/>
          <w:lang w:val="en-US"/>
        </w:rPr>
        <w:lastRenderedPageBreak/>
        <w:t>Literature Review</w:t>
      </w:r>
    </w:p>
    <w:p w14:paraId="1B7CCD15" w14:textId="77777777" w:rsidR="00CD38BA" w:rsidRPr="001272D0" w:rsidRDefault="00534D1D" w:rsidP="00A74EBE">
      <w:pPr>
        <w:pBdr>
          <w:top w:val="nil"/>
          <w:left w:val="nil"/>
          <w:bottom w:val="nil"/>
          <w:right w:val="nil"/>
          <w:between w:val="nil"/>
        </w:pBdr>
        <w:spacing w:line="240" w:lineRule="auto"/>
        <w:jc w:val="both"/>
        <w:rPr>
          <w:rFonts w:ascii="Arial" w:eastAsia="Arial" w:hAnsi="Arial" w:cs="Arial"/>
          <w:color w:val="000000"/>
          <w:sz w:val="24"/>
          <w:szCs w:val="24"/>
          <w:lang w:val="en-US"/>
        </w:rPr>
      </w:pPr>
      <w:r w:rsidRPr="001272D0">
        <w:rPr>
          <w:rFonts w:ascii="Arial" w:eastAsia="Times New Roman" w:hAnsi="Arial" w:cs="Arial"/>
          <w:sz w:val="24"/>
          <w:szCs w:val="24"/>
        </w:rPr>
        <w:t>R</w:t>
      </w:r>
      <w:r w:rsidR="008058D6" w:rsidRPr="001272D0">
        <w:rPr>
          <w:rFonts w:ascii="Arial" w:eastAsia="Times New Roman" w:hAnsi="Arial" w:cs="Arial"/>
          <w:sz w:val="24"/>
          <w:szCs w:val="24"/>
        </w:rPr>
        <w:t>esearch specific to</w:t>
      </w:r>
      <w:r w:rsidR="00844809" w:rsidRPr="001272D0">
        <w:rPr>
          <w:rFonts w:ascii="Arial" w:eastAsia="Times New Roman" w:hAnsi="Arial" w:cs="Arial"/>
          <w:sz w:val="24"/>
          <w:szCs w:val="24"/>
        </w:rPr>
        <w:t xml:space="preserve"> OT </w:t>
      </w:r>
      <w:r w:rsidR="008058D6" w:rsidRPr="001272D0">
        <w:rPr>
          <w:rFonts w:ascii="Arial" w:eastAsia="Times New Roman" w:hAnsi="Arial" w:cs="Arial"/>
          <w:sz w:val="24"/>
          <w:szCs w:val="24"/>
        </w:rPr>
        <w:t>recruitment</w:t>
      </w:r>
      <w:r w:rsidR="00E44CCB" w:rsidRPr="001272D0">
        <w:rPr>
          <w:rFonts w:ascii="Arial" w:eastAsia="Times New Roman" w:hAnsi="Arial" w:cs="Arial"/>
          <w:sz w:val="24"/>
          <w:szCs w:val="24"/>
        </w:rPr>
        <w:t xml:space="preserve"> spans several decades</w:t>
      </w:r>
      <w:r w:rsidR="00344F2A" w:rsidRPr="001272D0">
        <w:rPr>
          <w:rFonts w:ascii="Arial" w:eastAsia="Times New Roman" w:hAnsi="Arial" w:cs="Arial"/>
          <w:sz w:val="24"/>
          <w:szCs w:val="24"/>
        </w:rPr>
        <w:t xml:space="preserve">, having gained </w:t>
      </w:r>
      <w:r w:rsidR="00E44CCB" w:rsidRPr="001272D0">
        <w:rPr>
          <w:rFonts w:ascii="Arial" w:eastAsia="Times New Roman" w:hAnsi="Arial" w:cs="Arial"/>
          <w:sz w:val="24"/>
          <w:szCs w:val="24"/>
        </w:rPr>
        <w:t>increased momentum in recent years.</w:t>
      </w:r>
      <w:r w:rsidRPr="001272D0">
        <w:rPr>
          <w:rFonts w:ascii="Arial" w:eastAsia="Times New Roman" w:hAnsi="Arial" w:cs="Arial"/>
          <w:sz w:val="24"/>
          <w:szCs w:val="24"/>
        </w:rPr>
        <w:t xml:space="preserve"> The literature review explores</w:t>
      </w:r>
      <w:r w:rsidR="008058D6" w:rsidRPr="001272D0">
        <w:rPr>
          <w:rFonts w:ascii="Arial" w:eastAsia="Times New Roman" w:hAnsi="Arial" w:cs="Arial"/>
          <w:sz w:val="24"/>
          <w:szCs w:val="24"/>
        </w:rPr>
        <w:t xml:space="preserve"> </w:t>
      </w:r>
      <w:r w:rsidR="00090957" w:rsidRPr="001272D0">
        <w:rPr>
          <w:rFonts w:ascii="Arial" w:eastAsia="Times New Roman" w:hAnsi="Arial" w:cs="Arial"/>
          <w:sz w:val="24"/>
          <w:szCs w:val="24"/>
        </w:rPr>
        <w:t>contemporary</w:t>
      </w:r>
      <w:r w:rsidRPr="001272D0">
        <w:rPr>
          <w:rFonts w:ascii="Arial" w:eastAsia="Times New Roman" w:hAnsi="Arial" w:cs="Arial"/>
          <w:sz w:val="24"/>
          <w:szCs w:val="24"/>
        </w:rPr>
        <w:t xml:space="preserve"> international evidence on the </w:t>
      </w:r>
      <w:r w:rsidR="00AE75BA" w:rsidRPr="001272D0">
        <w:rPr>
          <w:rFonts w:ascii="Arial" w:eastAsia="Arial" w:hAnsi="Arial" w:cs="Arial"/>
          <w:color w:val="000000"/>
          <w:sz w:val="24"/>
          <w:szCs w:val="24"/>
          <w:lang w:val="en-US"/>
        </w:rPr>
        <w:t>a</w:t>
      </w:r>
      <w:r w:rsidR="00E44CCB" w:rsidRPr="001272D0">
        <w:rPr>
          <w:rFonts w:ascii="Arial" w:eastAsia="Arial" w:hAnsi="Arial" w:cs="Arial"/>
          <w:color w:val="000000"/>
          <w:sz w:val="24"/>
          <w:szCs w:val="24"/>
          <w:lang w:val="en-US"/>
        </w:rPr>
        <w:t>ca</w:t>
      </w:r>
      <w:r w:rsidR="00AE75BA" w:rsidRPr="001272D0">
        <w:rPr>
          <w:rFonts w:ascii="Arial" w:eastAsia="Arial" w:hAnsi="Arial" w:cs="Arial"/>
          <w:color w:val="000000"/>
          <w:sz w:val="24"/>
          <w:szCs w:val="24"/>
          <w:lang w:val="en-US"/>
        </w:rPr>
        <w:t xml:space="preserve">demic, </w:t>
      </w:r>
      <w:r w:rsidR="00CE580F" w:rsidRPr="001272D0">
        <w:rPr>
          <w:rFonts w:ascii="Arial" w:eastAsia="Arial" w:hAnsi="Arial" w:cs="Arial"/>
          <w:color w:val="000000"/>
          <w:sz w:val="24"/>
          <w:szCs w:val="24"/>
          <w:lang w:val="en-US"/>
        </w:rPr>
        <w:t>professional</w:t>
      </w:r>
      <w:r w:rsidR="00AE75BA" w:rsidRPr="001272D0">
        <w:rPr>
          <w:rFonts w:ascii="Arial" w:eastAsia="Arial" w:hAnsi="Arial" w:cs="Arial"/>
          <w:color w:val="000000"/>
          <w:sz w:val="24"/>
          <w:szCs w:val="24"/>
          <w:lang w:val="en-US"/>
        </w:rPr>
        <w:t xml:space="preserve"> and widening participation entry criteria utilized</w:t>
      </w:r>
      <w:r w:rsidR="00B1174A" w:rsidRPr="001272D0">
        <w:rPr>
          <w:rFonts w:ascii="Arial" w:eastAsia="Arial" w:hAnsi="Arial" w:cs="Arial"/>
          <w:color w:val="000000"/>
          <w:sz w:val="24"/>
          <w:szCs w:val="24"/>
          <w:lang w:val="en-US"/>
        </w:rPr>
        <w:t xml:space="preserve"> </w:t>
      </w:r>
      <w:r w:rsidR="00467178" w:rsidRPr="001272D0">
        <w:rPr>
          <w:rFonts w:ascii="Arial" w:eastAsia="Arial" w:hAnsi="Arial" w:cs="Arial"/>
          <w:color w:val="000000"/>
          <w:sz w:val="24"/>
          <w:szCs w:val="24"/>
          <w:lang w:val="en-US"/>
        </w:rPr>
        <w:t xml:space="preserve">by </w:t>
      </w:r>
      <w:r w:rsidR="00AE75BA" w:rsidRPr="001272D0">
        <w:rPr>
          <w:rFonts w:ascii="Arial" w:eastAsia="Arial" w:hAnsi="Arial" w:cs="Arial"/>
          <w:color w:val="000000"/>
          <w:sz w:val="24"/>
          <w:szCs w:val="24"/>
          <w:lang w:val="en-US"/>
        </w:rPr>
        <w:t>universities</w:t>
      </w:r>
      <w:r w:rsidR="00A65295" w:rsidRPr="001272D0">
        <w:rPr>
          <w:rFonts w:ascii="Arial" w:eastAsia="Arial" w:hAnsi="Arial" w:cs="Arial"/>
          <w:color w:val="000000"/>
          <w:sz w:val="24"/>
          <w:szCs w:val="24"/>
          <w:lang w:val="en-US"/>
        </w:rPr>
        <w:t>.</w:t>
      </w:r>
      <w:r w:rsidR="00AE75BA" w:rsidRPr="001272D0">
        <w:rPr>
          <w:rFonts w:ascii="Arial" w:eastAsia="Arial" w:hAnsi="Arial" w:cs="Arial"/>
          <w:color w:val="000000"/>
          <w:sz w:val="24"/>
          <w:szCs w:val="24"/>
          <w:lang w:val="en-US"/>
        </w:rPr>
        <w:t xml:space="preserve"> </w:t>
      </w:r>
    </w:p>
    <w:p w14:paraId="1B1F467C" w14:textId="7C1DBA30" w:rsidR="00996530" w:rsidRPr="001272D0" w:rsidRDefault="00C67771" w:rsidP="00A74EBE">
      <w:pPr>
        <w:pBdr>
          <w:top w:val="nil"/>
          <w:left w:val="nil"/>
          <w:bottom w:val="nil"/>
          <w:right w:val="nil"/>
          <w:between w:val="nil"/>
        </w:pBdr>
        <w:spacing w:line="240" w:lineRule="auto"/>
        <w:jc w:val="both"/>
        <w:rPr>
          <w:rFonts w:ascii="Arial" w:eastAsia="Arial" w:hAnsi="Arial" w:cs="Arial"/>
          <w:color w:val="000000"/>
          <w:sz w:val="24"/>
          <w:szCs w:val="24"/>
          <w:lang w:val="en-US"/>
        </w:rPr>
      </w:pPr>
      <w:r w:rsidRPr="001272D0">
        <w:rPr>
          <w:rFonts w:ascii="Arial" w:eastAsia="Times New Roman" w:hAnsi="Arial" w:cs="Arial"/>
          <w:b/>
          <w:bCs/>
          <w:sz w:val="24"/>
          <w:szCs w:val="24"/>
          <w:lang w:val="en-US"/>
        </w:rPr>
        <w:t>A</w:t>
      </w:r>
      <w:r w:rsidR="00F256E1" w:rsidRPr="001272D0">
        <w:rPr>
          <w:rFonts w:ascii="Arial" w:eastAsia="Times New Roman" w:hAnsi="Arial" w:cs="Arial"/>
          <w:b/>
          <w:bCs/>
          <w:sz w:val="24"/>
          <w:szCs w:val="24"/>
          <w:lang w:val="en-US"/>
        </w:rPr>
        <w:t>cademic (cognitive) entry criteria</w:t>
      </w:r>
    </w:p>
    <w:p w14:paraId="6A6B0E4A" w14:textId="3A0C10E3" w:rsidR="00406C08" w:rsidRPr="001272D0" w:rsidRDefault="00F1444A" w:rsidP="00406C08">
      <w:pPr>
        <w:pBdr>
          <w:top w:val="nil"/>
          <w:left w:val="nil"/>
          <w:bottom w:val="nil"/>
          <w:right w:val="nil"/>
          <w:between w:val="nil"/>
        </w:pBdr>
        <w:spacing w:line="240" w:lineRule="auto"/>
        <w:jc w:val="both"/>
        <w:rPr>
          <w:rFonts w:ascii="Arial" w:eastAsia="Times New Roman" w:hAnsi="Arial" w:cs="Arial"/>
          <w:bCs/>
          <w:sz w:val="24"/>
          <w:szCs w:val="24"/>
        </w:rPr>
      </w:pPr>
      <w:r w:rsidRPr="001272D0">
        <w:rPr>
          <w:rFonts w:ascii="Arial" w:eastAsia="Times New Roman" w:hAnsi="Arial" w:cs="Arial"/>
          <w:sz w:val="24"/>
          <w:szCs w:val="24"/>
        </w:rPr>
        <w:t>E</w:t>
      </w:r>
      <w:r w:rsidR="005E1E18" w:rsidRPr="001272D0">
        <w:rPr>
          <w:rFonts w:ascii="Arial" w:eastAsia="Times New Roman" w:hAnsi="Arial" w:cs="Arial"/>
          <w:sz w:val="24"/>
          <w:szCs w:val="24"/>
        </w:rPr>
        <w:t>vidence to support the use of cognitive data as a</w:t>
      </w:r>
      <w:r w:rsidRPr="001272D0">
        <w:rPr>
          <w:rFonts w:ascii="Arial" w:eastAsia="Times New Roman" w:hAnsi="Arial" w:cs="Arial"/>
          <w:sz w:val="24"/>
          <w:szCs w:val="24"/>
        </w:rPr>
        <w:t xml:space="preserve"> reliable</w:t>
      </w:r>
      <w:r w:rsidR="005E1E18" w:rsidRPr="001272D0">
        <w:rPr>
          <w:rFonts w:ascii="Arial" w:eastAsia="Times New Roman" w:hAnsi="Arial" w:cs="Arial"/>
          <w:sz w:val="24"/>
          <w:szCs w:val="24"/>
        </w:rPr>
        <w:t xml:space="preserve"> predictor of graduate success is variable</w:t>
      </w:r>
      <w:r w:rsidR="00B31BD6" w:rsidRPr="001272D0">
        <w:rPr>
          <w:rFonts w:ascii="Arial" w:eastAsia="Times New Roman" w:hAnsi="Arial" w:cs="Arial"/>
          <w:sz w:val="24"/>
          <w:szCs w:val="24"/>
        </w:rPr>
        <w:t xml:space="preserve"> across </w:t>
      </w:r>
      <w:r w:rsidR="00E7743E" w:rsidRPr="001272D0">
        <w:rPr>
          <w:rFonts w:ascii="Arial" w:eastAsia="Times New Roman" w:hAnsi="Arial" w:cs="Arial"/>
          <w:sz w:val="24"/>
          <w:szCs w:val="24"/>
        </w:rPr>
        <w:t>both UK and United States (US) contexts</w:t>
      </w:r>
      <w:r w:rsidR="005E1E18" w:rsidRPr="001272D0">
        <w:rPr>
          <w:rFonts w:ascii="Arial" w:eastAsia="Times New Roman" w:hAnsi="Arial" w:cs="Arial"/>
          <w:sz w:val="24"/>
          <w:szCs w:val="24"/>
        </w:rPr>
        <w:t xml:space="preserve">. </w:t>
      </w:r>
      <w:r w:rsidR="00071733" w:rsidRPr="001272D0">
        <w:rPr>
          <w:rFonts w:ascii="Arial" w:eastAsia="Times New Roman" w:hAnsi="Arial" w:cs="Arial"/>
          <w:sz w:val="24"/>
          <w:szCs w:val="24"/>
        </w:rPr>
        <w:t>F</w:t>
      </w:r>
      <w:r w:rsidR="00406C08" w:rsidRPr="001272D0">
        <w:rPr>
          <w:rFonts w:ascii="Arial" w:eastAsia="Times New Roman" w:hAnsi="Arial" w:cs="Arial"/>
          <w:sz w:val="24"/>
          <w:szCs w:val="24"/>
        </w:rPr>
        <w:t>irst-time pass rates for the N</w:t>
      </w:r>
      <w:r w:rsidR="008E512E" w:rsidRPr="001272D0">
        <w:rPr>
          <w:rFonts w:ascii="Arial" w:eastAsia="Times New Roman" w:hAnsi="Arial" w:cs="Arial"/>
          <w:sz w:val="24"/>
          <w:szCs w:val="24"/>
        </w:rPr>
        <w:t xml:space="preserve">ational </w:t>
      </w:r>
      <w:r w:rsidR="00406C08" w:rsidRPr="001272D0">
        <w:rPr>
          <w:rFonts w:ascii="Arial" w:eastAsia="Times New Roman" w:hAnsi="Arial" w:cs="Arial"/>
          <w:sz w:val="24"/>
          <w:szCs w:val="24"/>
        </w:rPr>
        <w:t>B</w:t>
      </w:r>
      <w:r w:rsidR="008E512E" w:rsidRPr="001272D0">
        <w:rPr>
          <w:rFonts w:ascii="Arial" w:eastAsia="Times New Roman" w:hAnsi="Arial" w:cs="Arial"/>
          <w:sz w:val="24"/>
          <w:szCs w:val="24"/>
        </w:rPr>
        <w:t xml:space="preserve">oard for </w:t>
      </w:r>
      <w:r w:rsidR="00406C08" w:rsidRPr="001272D0">
        <w:rPr>
          <w:rFonts w:ascii="Arial" w:eastAsia="Times New Roman" w:hAnsi="Arial" w:cs="Arial"/>
          <w:sz w:val="24"/>
          <w:szCs w:val="24"/>
        </w:rPr>
        <w:t>C</w:t>
      </w:r>
      <w:r w:rsidR="008E512E" w:rsidRPr="001272D0">
        <w:rPr>
          <w:rFonts w:ascii="Arial" w:eastAsia="Times New Roman" w:hAnsi="Arial" w:cs="Arial"/>
          <w:sz w:val="24"/>
          <w:szCs w:val="24"/>
        </w:rPr>
        <w:t xml:space="preserve">ertification </w:t>
      </w:r>
      <w:r w:rsidR="00A405BA" w:rsidRPr="001272D0">
        <w:rPr>
          <w:rFonts w:ascii="Arial" w:eastAsia="Times New Roman" w:hAnsi="Arial" w:cs="Arial"/>
          <w:sz w:val="24"/>
          <w:szCs w:val="24"/>
        </w:rPr>
        <w:t xml:space="preserve">in </w:t>
      </w:r>
      <w:r w:rsidR="00406C08" w:rsidRPr="001272D0">
        <w:rPr>
          <w:rFonts w:ascii="Arial" w:eastAsia="Times New Roman" w:hAnsi="Arial" w:cs="Arial"/>
          <w:sz w:val="24"/>
          <w:szCs w:val="24"/>
        </w:rPr>
        <w:t>O</w:t>
      </w:r>
      <w:r w:rsidR="00A405BA" w:rsidRPr="001272D0">
        <w:rPr>
          <w:rFonts w:ascii="Arial" w:eastAsia="Times New Roman" w:hAnsi="Arial" w:cs="Arial"/>
          <w:sz w:val="24"/>
          <w:szCs w:val="24"/>
        </w:rPr>
        <w:t xml:space="preserve">ccupational </w:t>
      </w:r>
      <w:r w:rsidR="00406C08" w:rsidRPr="001272D0">
        <w:rPr>
          <w:rFonts w:ascii="Arial" w:eastAsia="Times New Roman" w:hAnsi="Arial" w:cs="Arial"/>
          <w:sz w:val="24"/>
          <w:szCs w:val="24"/>
        </w:rPr>
        <w:t>T</w:t>
      </w:r>
      <w:r w:rsidR="00A405BA" w:rsidRPr="001272D0">
        <w:rPr>
          <w:rFonts w:ascii="Arial" w:eastAsia="Times New Roman" w:hAnsi="Arial" w:cs="Arial"/>
          <w:sz w:val="24"/>
          <w:szCs w:val="24"/>
        </w:rPr>
        <w:t>herapy (NBCOT)</w:t>
      </w:r>
      <w:r w:rsidR="00406C08" w:rsidRPr="001272D0">
        <w:rPr>
          <w:rFonts w:ascii="Arial" w:eastAsia="Times New Roman" w:hAnsi="Arial" w:cs="Arial"/>
          <w:sz w:val="24"/>
          <w:szCs w:val="24"/>
        </w:rPr>
        <w:t xml:space="preserve"> examination </w:t>
      </w:r>
      <w:r w:rsidR="00071733" w:rsidRPr="001272D0">
        <w:rPr>
          <w:rFonts w:ascii="Arial" w:eastAsia="Times New Roman" w:hAnsi="Arial" w:cs="Arial"/>
          <w:sz w:val="24"/>
          <w:szCs w:val="24"/>
        </w:rPr>
        <w:t>were compared with</w:t>
      </w:r>
      <w:r w:rsidR="00406C08" w:rsidRPr="001272D0">
        <w:rPr>
          <w:rFonts w:ascii="Arial" w:eastAsia="Times New Roman" w:hAnsi="Arial" w:cs="Arial"/>
          <w:sz w:val="24"/>
          <w:szCs w:val="24"/>
        </w:rPr>
        <w:t xml:space="preserve"> preadmission factors and academic program</w:t>
      </w:r>
      <w:r w:rsidR="009C53FB" w:rsidRPr="001272D0">
        <w:rPr>
          <w:rFonts w:ascii="Arial" w:eastAsia="Times New Roman" w:hAnsi="Arial" w:cs="Arial"/>
          <w:sz w:val="24"/>
          <w:szCs w:val="24"/>
        </w:rPr>
        <w:t>me</w:t>
      </w:r>
      <w:r w:rsidR="00406C08" w:rsidRPr="001272D0">
        <w:rPr>
          <w:rFonts w:ascii="Arial" w:eastAsia="Times New Roman" w:hAnsi="Arial" w:cs="Arial"/>
          <w:sz w:val="24"/>
          <w:szCs w:val="24"/>
        </w:rPr>
        <w:t xml:space="preserve"> performance for 144 MSc students at a single </w:t>
      </w:r>
      <w:r w:rsidR="00932714" w:rsidRPr="001272D0">
        <w:rPr>
          <w:rFonts w:ascii="Arial" w:eastAsia="Times New Roman" w:hAnsi="Arial" w:cs="Arial"/>
          <w:sz w:val="24"/>
          <w:szCs w:val="24"/>
        </w:rPr>
        <w:t xml:space="preserve">US </w:t>
      </w:r>
      <w:r w:rsidR="00406C08" w:rsidRPr="001272D0">
        <w:rPr>
          <w:rFonts w:ascii="Arial" w:eastAsia="Times New Roman" w:hAnsi="Arial" w:cs="Arial"/>
          <w:sz w:val="24"/>
          <w:szCs w:val="24"/>
        </w:rPr>
        <w:t>university</w:t>
      </w:r>
      <w:r w:rsidR="009C53FB" w:rsidRPr="001272D0">
        <w:rPr>
          <w:rFonts w:ascii="Arial" w:eastAsia="Times New Roman" w:hAnsi="Arial" w:cs="Arial"/>
          <w:sz w:val="24"/>
          <w:szCs w:val="24"/>
        </w:rPr>
        <w:t xml:space="preserve"> </w:t>
      </w:r>
      <w:r w:rsidR="009C53FB" w:rsidRPr="001272D0">
        <w:rPr>
          <w:rFonts w:ascii="Arial" w:eastAsia="Times New Roman" w:hAnsi="Arial" w:cs="Arial"/>
          <w:sz w:val="24"/>
          <w:szCs w:val="24"/>
        </w:rPr>
        <w:fldChar w:fldCharType="begin" w:fldLock="1"/>
      </w:r>
      <w:r w:rsidR="00E64A78" w:rsidRPr="001272D0">
        <w:rPr>
          <w:rFonts w:ascii="Arial" w:eastAsia="Times New Roman" w:hAnsi="Arial" w:cs="Arial"/>
          <w:sz w:val="24"/>
          <w:szCs w:val="24"/>
        </w:rPr>
        <w:instrText>ADDIN CSL_CITATION {"citationItems":[{"id":"ITEM-1","itemData":{"DOI":"10.15453/2168-6408.1341","ISSN":"2168-6408","abstract":"All occupational therapy students are required to successfully complete the certification examination administered by the National Board for Certification in Occupational Therapy (NBCOT) before they can practice independently. The need to repeat the examination can result in stress, anxiety, and financial hardship. This paper explores the relationship of preadmission factors, academic and fieldwork performance, and demographic variables to successful first-time attempts on the certification examination for occupational therapists. Data were gathered from 144 student files in a Master of Occupational Therapy (MOT) Program at a single university. Of the sample, 82% passed and 18% failed their first NBCOT test trial. Considered independently, preadmission recommendation letters and writing sample scores, graduate MOT program GPA, lack of MOT program difficulty, fieldwork self-reports, and gender predicted NBCOT certification examination outcomes. When considered together in logistic regression models predicting outcome, this combination of factors correctly predicted 86.2% of student outcomes (or 20% to 32% of the variance in certification examination success), with OT program GPA and preadmission recommendation scores predicting unique outcome variance. This information may be helpful to admissions committees as well as to occupational therapy faculty as they identify strategies and practices to facilitate first-time test taking success on the NBCOT certification examination.","author":[{"dropping-particle":"","family":"Novalis","given":"Sharon D","non-dropping-particle":"","parse-names":false,"suffix":""},{"dropping-particle":"","family":"Cyranowski","given":"Jill M","non-dropping-particle":"","parse-names":false,"suffix":""},{"dropping-particle":"","family":"Dolhi","given":"Cathy D","non-dropping-particle":"","parse-names":false,"suffix":""}],"container-title":"The Open Journal of Occupational Therapy","id":"ITEM-1","issue":"4","issued":{"date-parts":[["2017"]]},"title":"Passing the NBCOT Examination: Preadmission, Academic, and Fieldwork Factors","type":"article-journal","volume":"5"},"uris":["http://www.mendeley.com/documents/?uuid=c389a674-3099-4f4e-84fa-0bc29bff3876"]}],"mendeley":{"formattedCitation":"(Novalis, Cyranowski and Dolhi, 2017)","plainTextFormattedCitation":"(Novalis, Cyranowski and Dolhi, 2017)","previouslyFormattedCitation":"(Novalis, Cyranowski and Dolhi, 2017)"},"properties":{"noteIndex":0},"schema":"https://github.com/citation-style-language/schema/raw/master/csl-citation.json"}</w:instrText>
      </w:r>
      <w:r w:rsidR="009C53FB" w:rsidRPr="001272D0">
        <w:rPr>
          <w:rFonts w:ascii="Arial" w:eastAsia="Times New Roman" w:hAnsi="Arial" w:cs="Arial"/>
          <w:sz w:val="24"/>
          <w:szCs w:val="24"/>
        </w:rPr>
        <w:fldChar w:fldCharType="separate"/>
      </w:r>
      <w:r w:rsidR="009C53FB" w:rsidRPr="001272D0">
        <w:rPr>
          <w:rFonts w:ascii="Arial" w:eastAsia="Times New Roman" w:hAnsi="Arial" w:cs="Arial"/>
          <w:noProof/>
          <w:sz w:val="24"/>
          <w:szCs w:val="24"/>
        </w:rPr>
        <w:t>(Novalis, Cyranowski and Dolhi, 2017)</w:t>
      </w:r>
      <w:r w:rsidR="009C53FB" w:rsidRPr="001272D0">
        <w:rPr>
          <w:rFonts w:ascii="Arial" w:eastAsia="Times New Roman" w:hAnsi="Arial" w:cs="Arial"/>
          <w:sz w:val="24"/>
          <w:szCs w:val="24"/>
        </w:rPr>
        <w:fldChar w:fldCharType="end"/>
      </w:r>
      <w:r w:rsidR="00406C08" w:rsidRPr="001272D0">
        <w:rPr>
          <w:rFonts w:ascii="Arial" w:eastAsia="Times New Roman" w:hAnsi="Arial" w:cs="Arial"/>
          <w:sz w:val="24"/>
          <w:szCs w:val="24"/>
        </w:rPr>
        <w:t>. Identifying an 81.94% pass-rate (</w:t>
      </w:r>
      <w:r w:rsidR="00406C08" w:rsidRPr="001272D0">
        <w:rPr>
          <w:rFonts w:ascii="Arial" w:eastAsia="Times New Roman" w:hAnsi="Arial" w:cs="Arial"/>
          <w:i/>
          <w:iCs/>
          <w:sz w:val="24"/>
          <w:szCs w:val="24"/>
        </w:rPr>
        <w:t>n=</w:t>
      </w:r>
      <w:r w:rsidR="00406C08" w:rsidRPr="001272D0">
        <w:rPr>
          <w:rFonts w:ascii="Arial" w:eastAsia="Times New Roman" w:hAnsi="Arial" w:cs="Arial"/>
          <w:sz w:val="24"/>
          <w:szCs w:val="24"/>
        </w:rPr>
        <w:t>118) and an 18.06% fail-rate (</w:t>
      </w:r>
      <w:r w:rsidR="00406C08" w:rsidRPr="001272D0">
        <w:rPr>
          <w:rFonts w:ascii="Arial" w:eastAsia="Times New Roman" w:hAnsi="Arial" w:cs="Arial"/>
          <w:i/>
          <w:iCs/>
          <w:sz w:val="24"/>
          <w:szCs w:val="24"/>
        </w:rPr>
        <w:t>n=</w:t>
      </w:r>
      <w:r w:rsidR="00406C08" w:rsidRPr="001272D0">
        <w:rPr>
          <w:rFonts w:ascii="Arial" w:eastAsia="Times New Roman" w:hAnsi="Arial" w:cs="Arial"/>
          <w:sz w:val="24"/>
          <w:szCs w:val="24"/>
        </w:rPr>
        <w:t xml:space="preserve">26) at first attempt, those who failed were found to have </w:t>
      </w:r>
      <w:r w:rsidR="00853385" w:rsidRPr="001272D0">
        <w:rPr>
          <w:rFonts w:ascii="Arial" w:eastAsia="Times New Roman" w:hAnsi="Arial" w:cs="Arial"/>
          <w:sz w:val="24"/>
          <w:szCs w:val="24"/>
        </w:rPr>
        <w:t xml:space="preserve">a </w:t>
      </w:r>
      <w:r w:rsidR="00406C08" w:rsidRPr="001272D0">
        <w:rPr>
          <w:rFonts w:ascii="Arial" w:eastAsia="Times New Roman" w:hAnsi="Arial" w:cs="Arial"/>
          <w:sz w:val="24"/>
          <w:szCs w:val="24"/>
        </w:rPr>
        <w:t>lower in-program</w:t>
      </w:r>
      <w:r w:rsidR="00120154" w:rsidRPr="001272D0">
        <w:rPr>
          <w:rFonts w:ascii="Arial" w:eastAsia="Times New Roman" w:hAnsi="Arial" w:cs="Arial"/>
          <w:sz w:val="24"/>
          <w:szCs w:val="24"/>
        </w:rPr>
        <w:t>me</w:t>
      </w:r>
      <w:r w:rsidR="00406C08" w:rsidRPr="001272D0">
        <w:rPr>
          <w:rFonts w:ascii="Arial" w:eastAsia="Times New Roman" w:hAnsi="Arial" w:cs="Arial"/>
          <w:sz w:val="24"/>
          <w:szCs w:val="24"/>
        </w:rPr>
        <w:t xml:space="preserve"> Grade Point Average (GPA)</w:t>
      </w:r>
      <w:r w:rsidR="00E64A78" w:rsidRPr="001272D0">
        <w:rPr>
          <w:rFonts w:ascii="Arial" w:eastAsia="Times New Roman" w:hAnsi="Arial" w:cs="Arial"/>
          <w:sz w:val="24"/>
          <w:szCs w:val="24"/>
        </w:rPr>
        <w:t xml:space="preserve">, </w:t>
      </w:r>
      <w:r w:rsidR="00406C08" w:rsidRPr="001272D0">
        <w:rPr>
          <w:rFonts w:ascii="Arial" w:eastAsia="Times New Roman" w:hAnsi="Arial" w:cs="Arial"/>
          <w:sz w:val="24"/>
          <w:szCs w:val="24"/>
        </w:rPr>
        <w:t>been placed on a modified academic program</w:t>
      </w:r>
      <w:r w:rsidR="005069AA" w:rsidRPr="001272D0">
        <w:rPr>
          <w:rFonts w:ascii="Arial" w:eastAsia="Times New Roman" w:hAnsi="Arial" w:cs="Arial"/>
          <w:sz w:val="24"/>
          <w:szCs w:val="24"/>
        </w:rPr>
        <w:t>me</w:t>
      </w:r>
      <w:r w:rsidR="00406C08" w:rsidRPr="001272D0">
        <w:rPr>
          <w:rFonts w:ascii="Arial" w:eastAsia="Times New Roman" w:hAnsi="Arial" w:cs="Arial"/>
          <w:sz w:val="24"/>
          <w:szCs w:val="24"/>
        </w:rPr>
        <w:t xml:space="preserve"> and more likely to be male. </w:t>
      </w:r>
      <w:r w:rsidR="00195D71" w:rsidRPr="001272D0">
        <w:rPr>
          <w:rFonts w:ascii="Arial" w:eastAsia="Times New Roman" w:hAnsi="Arial" w:cs="Arial"/>
          <w:sz w:val="24"/>
          <w:szCs w:val="24"/>
        </w:rPr>
        <w:t xml:space="preserve">Pre-admission </w:t>
      </w:r>
      <w:r w:rsidR="00406C08" w:rsidRPr="001272D0">
        <w:rPr>
          <w:rFonts w:ascii="Arial" w:eastAsia="Times New Roman" w:hAnsi="Arial" w:cs="Arial"/>
          <w:sz w:val="24"/>
          <w:szCs w:val="24"/>
        </w:rPr>
        <w:t>GPA scores did not correlate with examination success or failure, but those who failed</w:t>
      </w:r>
      <w:r w:rsidR="00A4799C" w:rsidRPr="001272D0">
        <w:rPr>
          <w:rFonts w:ascii="Arial" w:eastAsia="Times New Roman" w:hAnsi="Arial" w:cs="Arial"/>
          <w:sz w:val="24"/>
          <w:szCs w:val="24"/>
        </w:rPr>
        <w:t>,</w:t>
      </w:r>
      <w:r w:rsidR="00406C08" w:rsidRPr="001272D0">
        <w:rPr>
          <w:rFonts w:ascii="Arial" w:eastAsia="Times New Roman" w:hAnsi="Arial" w:cs="Arial"/>
          <w:sz w:val="24"/>
          <w:szCs w:val="24"/>
        </w:rPr>
        <w:t xml:space="preserve"> score</w:t>
      </w:r>
      <w:r w:rsidR="00A4799C" w:rsidRPr="001272D0">
        <w:rPr>
          <w:rFonts w:ascii="Arial" w:eastAsia="Times New Roman" w:hAnsi="Arial" w:cs="Arial"/>
          <w:sz w:val="24"/>
          <w:szCs w:val="24"/>
        </w:rPr>
        <w:t>d</w:t>
      </w:r>
      <w:r w:rsidR="00406C08" w:rsidRPr="001272D0">
        <w:rPr>
          <w:rFonts w:ascii="Arial" w:eastAsia="Times New Roman" w:hAnsi="Arial" w:cs="Arial"/>
          <w:sz w:val="24"/>
          <w:szCs w:val="24"/>
        </w:rPr>
        <w:t xml:space="preserve"> lower on preadmission writing sample scores  </w:t>
      </w:r>
      <w:r w:rsidR="00406C08" w:rsidRPr="001272D0">
        <w:rPr>
          <w:rFonts w:ascii="Arial" w:eastAsia="Times New Roman" w:hAnsi="Arial" w:cs="Arial"/>
          <w:sz w:val="24"/>
          <w:szCs w:val="24"/>
        </w:rPr>
        <w:fldChar w:fldCharType="begin" w:fldLock="1"/>
      </w:r>
      <w:r w:rsidR="00E64A78" w:rsidRPr="001272D0">
        <w:rPr>
          <w:rFonts w:ascii="Arial" w:eastAsia="Times New Roman" w:hAnsi="Arial" w:cs="Arial"/>
          <w:sz w:val="24"/>
          <w:szCs w:val="24"/>
        </w:rPr>
        <w:instrText>ADDIN CSL_CITATION {"citationItems":[{"id":"ITEM-1","itemData":{"DOI":"10.15453/2168-6408.1341","ISSN":"2168-6408","abstract":"All occupational therapy students are required to successfully complete the certification examination administered by the National Board for Certification in Occupational Therapy (NBCOT) before they can practice independently. The need to repeat the examination can result in stress, anxiety, and financial hardship. This paper explores the relationship of preadmission factors, academic and fieldwork performance, and demographic variables to successful first-time attempts on the certification examination for occupational therapists. Data were gathered from 144 student files in a Master of Occupational Therapy (MOT) Program at a single university. Of the sample, 82% passed and 18% failed their first NBCOT test trial. Considered independently, preadmission recommendation letters and writing sample scores, graduate MOT program GPA, lack of MOT program difficulty, fieldwork self-reports, and gender predicted NBCOT certification examination outcomes. When considered together in logistic regression models predicting outcome, this combination of factors correctly predicted 86.2% of student outcomes (or 20% to 32% of the variance in certification examination success), with OT program GPA and preadmission recommendation scores predicting unique outcome variance. This information may be helpful to admissions committees as well as to occupational therapy faculty as they identify strategies and practices to facilitate first-time test taking success on the NBCOT certification examination.","author":[{"dropping-particle":"","family":"Novalis","given":"Sharon D","non-dropping-particle":"","parse-names":false,"suffix":""},{"dropping-particle":"","family":"Cyranowski","given":"Jill M","non-dropping-particle":"","parse-names":false,"suffix":""},{"dropping-particle":"","family":"Dolhi","given":"Cathy D","non-dropping-particle":"","parse-names":false,"suffix":""}],"container-title":"The Open Journal of Occupational Therapy","id":"ITEM-1","issue":"4","issued":{"date-parts":[["2017"]]},"title":"Passing the NBCOT Examination: Preadmission, Academic, and Fieldwork Factors","type":"article-journal","volume":"5"},"uris":["http://www.mendeley.com/documents/?uuid=c389a674-3099-4f4e-84fa-0bc29bff3876"]}],"mendeley":{"formattedCitation":"(Novalis, Cyranowski and Dolhi, 2017)","plainTextFormattedCitation":"(Novalis, Cyranowski and Dolhi, 2017)","previouslyFormattedCitation":"(Novalis, Cyranowski and Dolhi, 2017)"},"properties":{"noteIndex":0},"schema":"https://github.com/citation-style-language/schema/raw/master/csl-citation.json"}</w:instrText>
      </w:r>
      <w:r w:rsidR="00406C08" w:rsidRPr="001272D0">
        <w:rPr>
          <w:rFonts w:ascii="Arial" w:eastAsia="Times New Roman" w:hAnsi="Arial" w:cs="Arial"/>
          <w:sz w:val="24"/>
          <w:szCs w:val="24"/>
        </w:rPr>
        <w:fldChar w:fldCharType="separate"/>
      </w:r>
      <w:r w:rsidR="009C53FB" w:rsidRPr="001272D0">
        <w:rPr>
          <w:rFonts w:ascii="Arial" w:eastAsia="Times New Roman" w:hAnsi="Arial" w:cs="Arial"/>
          <w:noProof/>
          <w:sz w:val="24"/>
          <w:szCs w:val="24"/>
        </w:rPr>
        <w:t>(Novalis, Cyranowski and Dolhi, 2017)</w:t>
      </w:r>
      <w:r w:rsidR="00406C08" w:rsidRPr="001272D0">
        <w:rPr>
          <w:rFonts w:ascii="Arial" w:eastAsia="Times New Roman" w:hAnsi="Arial" w:cs="Arial"/>
          <w:sz w:val="24"/>
          <w:szCs w:val="24"/>
        </w:rPr>
        <w:fldChar w:fldCharType="end"/>
      </w:r>
      <w:r w:rsidR="00406C08" w:rsidRPr="001272D0">
        <w:rPr>
          <w:rFonts w:ascii="Arial" w:eastAsia="Times New Roman" w:hAnsi="Arial" w:cs="Arial"/>
          <w:sz w:val="24"/>
          <w:szCs w:val="24"/>
        </w:rPr>
        <w:t>.</w:t>
      </w:r>
      <w:r w:rsidR="00E713B6" w:rsidRPr="001272D0">
        <w:rPr>
          <w:rFonts w:ascii="Arial" w:eastAsia="Times New Roman" w:hAnsi="Arial" w:cs="Arial"/>
          <w:sz w:val="24"/>
          <w:szCs w:val="24"/>
        </w:rPr>
        <w:t xml:space="preserve"> </w:t>
      </w:r>
      <w:r w:rsidR="00406C08" w:rsidRPr="001272D0">
        <w:rPr>
          <w:rFonts w:ascii="Arial" w:eastAsia="Times New Roman" w:hAnsi="Arial" w:cs="Arial"/>
          <w:sz w:val="24"/>
          <w:szCs w:val="24"/>
        </w:rPr>
        <w:t>A review of academic admissions requirements revealed</w:t>
      </w:r>
      <w:r w:rsidR="00275E21" w:rsidRPr="001272D0">
        <w:rPr>
          <w:rFonts w:ascii="Arial" w:eastAsia="Times New Roman" w:hAnsi="Arial" w:cs="Arial"/>
          <w:sz w:val="24"/>
          <w:szCs w:val="24"/>
        </w:rPr>
        <w:t xml:space="preserve"> 99.4%</w:t>
      </w:r>
      <w:r w:rsidR="007B0A93" w:rsidRPr="001272D0">
        <w:rPr>
          <w:rFonts w:ascii="Arial" w:eastAsia="Times New Roman" w:hAnsi="Arial" w:cs="Arial"/>
          <w:sz w:val="24"/>
          <w:szCs w:val="24"/>
        </w:rPr>
        <w:t xml:space="preserve"> MSc</w:t>
      </w:r>
      <w:r w:rsidR="006A3455" w:rsidRPr="001272D0">
        <w:rPr>
          <w:rFonts w:ascii="Arial" w:eastAsia="Times New Roman" w:hAnsi="Arial" w:cs="Arial"/>
          <w:sz w:val="24"/>
          <w:szCs w:val="24"/>
        </w:rPr>
        <w:t xml:space="preserve"> (</w:t>
      </w:r>
      <w:r w:rsidR="006A3455" w:rsidRPr="001272D0">
        <w:rPr>
          <w:rFonts w:ascii="Arial" w:eastAsia="Times New Roman" w:hAnsi="Arial" w:cs="Arial"/>
          <w:i/>
          <w:iCs/>
          <w:sz w:val="24"/>
          <w:szCs w:val="24"/>
        </w:rPr>
        <w:t>n=</w:t>
      </w:r>
      <w:r w:rsidR="006A3455" w:rsidRPr="001272D0">
        <w:rPr>
          <w:rFonts w:ascii="Arial" w:eastAsia="Times New Roman" w:hAnsi="Arial" w:cs="Arial"/>
          <w:sz w:val="24"/>
          <w:szCs w:val="24"/>
        </w:rPr>
        <w:t xml:space="preserve">155) and 100% </w:t>
      </w:r>
      <w:r w:rsidR="007B0A93" w:rsidRPr="001272D0">
        <w:rPr>
          <w:rFonts w:ascii="Arial" w:eastAsia="Times New Roman" w:hAnsi="Arial" w:cs="Arial"/>
          <w:sz w:val="24"/>
          <w:szCs w:val="24"/>
        </w:rPr>
        <w:t xml:space="preserve">OT Doctorate (OTD, </w:t>
      </w:r>
      <w:r w:rsidR="006A3455" w:rsidRPr="001272D0">
        <w:rPr>
          <w:rFonts w:ascii="Arial" w:eastAsia="Times New Roman" w:hAnsi="Arial" w:cs="Arial"/>
          <w:i/>
          <w:iCs/>
          <w:sz w:val="24"/>
          <w:szCs w:val="24"/>
        </w:rPr>
        <w:t>n=</w:t>
      </w:r>
      <w:r w:rsidR="006A3455" w:rsidRPr="001272D0">
        <w:rPr>
          <w:rFonts w:ascii="Arial" w:eastAsia="Times New Roman" w:hAnsi="Arial" w:cs="Arial"/>
          <w:sz w:val="24"/>
          <w:szCs w:val="24"/>
        </w:rPr>
        <w:t xml:space="preserve">16) </w:t>
      </w:r>
      <w:r w:rsidR="00605EC1" w:rsidRPr="001272D0">
        <w:rPr>
          <w:rFonts w:ascii="Arial" w:eastAsia="Times New Roman" w:hAnsi="Arial" w:cs="Arial"/>
          <w:sz w:val="24"/>
          <w:szCs w:val="24"/>
        </w:rPr>
        <w:t xml:space="preserve">American Occupational Therapy Association (AOTA) accredited </w:t>
      </w:r>
      <w:r w:rsidR="00CB1588" w:rsidRPr="001272D0">
        <w:rPr>
          <w:rFonts w:ascii="Arial" w:eastAsia="Times New Roman" w:hAnsi="Arial" w:cs="Arial"/>
          <w:sz w:val="24"/>
          <w:szCs w:val="24"/>
        </w:rPr>
        <w:t>programmes</w:t>
      </w:r>
      <w:r w:rsidR="00406C08" w:rsidRPr="001272D0">
        <w:rPr>
          <w:rFonts w:ascii="Arial" w:eastAsia="Times New Roman" w:hAnsi="Arial" w:cs="Arial"/>
          <w:sz w:val="24"/>
          <w:szCs w:val="24"/>
        </w:rPr>
        <w:t xml:space="preserve"> required evidence of minimum pre-admission G</w:t>
      </w:r>
      <w:r w:rsidR="008A621B" w:rsidRPr="001272D0">
        <w:rPr>
          <w:rFonts w:ascii="Arial" w:eastAsia="Times New Roman" w:hAnsi="Arial" w:cs="Arial"/>
          <w:sz w:val="24"/>
          <w:szCs w:val="24"/>
        </w:rPr>
        <w:t>PA</w:t>
      </w:r>
      <w:r w:rsidR="00406C08" w:rsidRPr="001272D0">
        <w:rPr>
          <w:rFonts w:ascii="Arial" w:eastAsia="Times New Roman" w:hAnsi="Arial" w:cs="Arial"/>
          <w:sz w:val="24"/>
          <w:szCs w:val="24"/>
        </w:rPr>
        <w:t xml:space="preserve"> scores</w:t>
      </w:r>
      <w:r w:rsidR="00747101" w:rsidRPr="001272D0">
        <w:rPr>
          <w:rFonts w:ascii="Arial" w:eastAsia="Times New Roman" w:hAnsi="Arial" w:cs="Arial"/>
          <w:sz w:val="24"/>
          <w:szCs w:val="24"/>
        </w:rPr>
        <w:t>.</w:t>
      </w:r>
      <w:r w:rsidR="00406C08" w:rsidRPr="001272D0">
        <w:rPr>
          <w:rFonts w:ascii="Arial" w:eastAsia="Times New Roman" w:hAnsi="Arial" w:cs="Arial"/>
          <w:sz w:val="24"/>
          <w:szCs w:val="24"/>
        </w:rPr>
        <w:t xml:space="preserve"> </w:t>
      </w:r>
      <w:r w:rsidR="000E63FE" w:rsidRPr="001272D0">
        <w:rPr>
          <w:rFonts w:ascii="Arial" w:eastAsia="Times New Roman" w:hAnsi="Arial" w:cs="Arial"/>
          <w:sz w:val="24"/>
          <w:szCs w:val="24"/>
        </w:rPr>
        <w:t>S</w:t>
      </w:r>
      <w:r w:rsidR="00406C08" w:rsidRPr="001272D0">
        <w:rPr>
          <w:rFonts w:ascii="Arial" w:eastAsia="Times New Roman" w:hAnsi="Arial" w:cs="Arial"/>
          <w:sz w:val="24"/>
          <w:szCs w:val="24"/>
        </w:rPr>
        <w:t>ubmission of at least one Graduate Record Examination (GRE)</w:t>
      </w:r>
      <w:r w:rsidR="001303B2" w:rsidRPr="001272D0">
        <w:rPr>
          <w:rFonts w:ascii="Arial" w:eastAsia="Times New Roman" w:hAnsi="Arial" w:cs="Arial"/>
          <w:sz w:val="24"/>
          <w:szCs w:val="24"/>
        </w:rPr>
        <w:t xml:space="preserve"> (standardised </w:t>
      </w:r>
      <w:r w:rsidR="009854F2" w:rsidRPr="001272D0">
        <w:rPr>
          <w:rFonts w:ascii="Arial" w:eastAsia="Times New Roman" w:hAnsi="Arial" w:cs="Arial"/>
          <w:sz w:val="24"/>
          <w:szCs w:val="24"/>
        </w:rPr>
        <w:t>test used as an admissions requirement for many</w:t>
      </w:r>
      <w:r w:rsidR="00A32B11" w:rsidRPr="001272D0">
        <w:rPr>
          <w:rFonts w:ascii="Arial" w:eastAsia="Times New Roman" w:hAnsi="Arial" w:cs="Arial"/>
          <w:sz w:val="24"/>
          <w:szCs w:val="24"/>
        </w:rPr>
        <w:t xml:space="preserve"> North American</w:t>
      </w:r>
      <w:r w:rsidR="009854F2" w:rsidRPr="001272D0">
        <w:rPr>
          <w:rFonts w:ascii="Arial" w:eastAsia="Times New Roman" w:hAnsi="Arial" w:cs="Arial"/>
          <w:sz w:val="24"/>
          <w:szCs w:val="24"/>
        </w:rPr>
        <w:t xml:space="preserve"> graduate schools)</w:t>
      </w:r>
      <w:r w:rsidR="00406C08" w:rsidRPr="001272D0">
        <w:rPr>
          <w:rFonts w:ascii="Arial" w:eastAsia="Times New Roman" w:hAnsi="Arial" w:cs="Arial"/>
          <w:sz w:val="24"/>
          <w:szCs w:val="24"/>
        </w:rPr>
        <w:t xml:space="preserve"> score</w:t>
      </w:r>
      <w:r w:rsidR="000E63FE" w:rsidRPr="001272D0">
        <w:rPr>
          <w:rFonts w:ascii="Arial" w:eastAsia="Times New Roman" w:hAnsi="Arial" w:cs="Arial"/>
          <w:sz w:val="24"/>
          <w:szCs w:val="24"/>
        </w:rPr>
        <w:t xml:space="preserve"> was also required by 53.9% (</w:t>
      </w:r>
      <w:r w:rsidR="000E63FE" w:rsidRPr="001272D0">
        <w:rPr>
          <w:rFonts w:ascii="Arial" w:eastAsia="Times New Roman" w:hAnsi="Arial" w:cs="Arial"/>
          <w:i/>
          <w:iCs/>
          <w:sz w:val="24"/>
          <w:szCs w:val="24"/>
        </w:rPr>
        <w:t>n=</w:t>
      </w:r>
      <w:r w:rsidR="000E63FE" w:rsidRPr="001272D0">
        <w:rPr>
          <w:rFonts w:ascii="Arial" w:eastAsia="Times New Roman" w:hAnsi="Arial" w:cs="Arial"/>
          <w:sz w:val="24"/>
          <w:szCs w:val="24"/>
        </w:rPr>
        <w:t>84)</w:t>
      </w:r>
      <w:r w:rsidR="007B5487" w:rsidRPr="001272D0">
        <w:rPr>
          <w:rFonts w:ascii="Arial" w:eastAsia="Times New Roman" w:hAnsi="Arial" w:cs="Arial"/>
          <w:sz w:val="24"/>
          <w:szCs w:val="24"/>
        </w:rPr>
        <w:t xml:space="preserve"> of MSc</w:t>
      </w:r>
      <w:r w:rsidR="000E63FE" w:rsidRPr="001272D0">
        <w:rPr>
          <w:rFonts w:ascii="Arial" w:eastAsia="Times New Roman" w:hAnsi="Arial" w:cs="Arial"/>
          <w:sz w:val="24"/>
          <w:szCs w:val="24"/>
        </w:rPr>
        <w:t xml:space="preserve"> and 68.8% (</w:t>
      </w:r>
      <w:r w:rsidR="007B5487" w:rsidRPr="001272D0">
        <w:rPr>
          <w:rFonts w:ascii="Arial" w:eastAsia="Times New Roman" w:hAnsi="Arial" w:cs="Arial"/>
          <w:i/>
          <w:iCs/>
          <w:sz w:val="24"/>
          <w:szCs w:val="24"/>
        </w:rPr>
        <w:t>n</w:t>
      </w:r>
      <w:r w:rsidR="007B5487" w:rsidRPr="001272D0">
        <w:rPr>
          <w:rFonts w:ascii="Arial" w:eastAsia="Times New Roman" w:hAnsi="Arial" w:cs="Arial"/>
          <w:sz w:val="24"/>
          <w:szCs w:val="24"/>
        </w:rPr>
        <w:t>=11) of OTD programmes</w:t>
      </w:r>
      <w:r w:rsidR="00406C08" w:rsidRPr="001272D0">
        <w:rPr>
          <w:rFonts w:ascii="Arial" w:eastAsia="Times New Roman" w:hAnsi="Arial" w:cs="Arial"/>
          <w:sz w:val="24"/>
          <w:szCs w:val="24"/>
        </w:rPr>
        <w:t xml:space="preserve"> </w:t>
      </w:r>
      <w:r w:rsidR="00406C08" w:rsidRPr="001272D0">
        <w:rPr>
          <w:rFonts w:ascii="Arial" w:eastAsia="Times New Roman" w:hAnsi="Arial" w:cs="Arial"/>
          <w:sz w:val="24"/>
          <w:szCs w:val="24"/>
        </w:rPr>
        <w:fldChar w:fldCharType="begin" w:fldLock="1"/>
      </w:r>
      <w:r w:rsidR="008A4F7A" w:rsidRPr="001272D0">
        <w:rPr>
          <w:rFonts w:ascii="Arial" w:eastAsia="Times New Roman" w:hAnsi="Arial" w:cs="Arial"/>
          <w:sz w:val="24"/>
          <w:szCs w:val="24"/>
        </w:rPr>
        <w:instrText>ADDIN CSL_CITATION {"citationItems":[{"id":"ITEM-1","itemData":{"DOI":"10.26681/jote.2018.020301","ISSN":"2573-1378","author":[{"dropping-particle":"","family":"Bowyer","given":"Patricia","non-dropping-particle":"","parse-names":false,"suffix":""},{"dropping-particle":"","family":"Tiongco","given":"Cynthia","non-dropping-particle":"","parse-names":false,"suffix":""},{"dropping-particle":"","family":"Rubio","given":"L. Kaye","non-dropping-particle":"","parse-names":false,"suffix":""},{"dropping-particle":"","family":"Liu","given":"Judy","non-dropping-particle":"","parse-names":false,"suffix":""},{"dropping-particle":"","family":"Whisner","given":"Sandra M","non-dropping-particle":"","parse-names":false,"suffix":""}],"container-title":"Journal of Occupational Therapy Education","id":"ITEM-1","issue":"3","issued":{"date-parts":[["2018"]]},"title":"Admission Requirements and Practices in Entry-Level Occupational Therapy Programs","type":"article-journal","volume":"2"},"uris":["http://www.mendeley.com/documents/?uuid=88d18a5f-0f1b-4ea3-a67a-db3fff7e568a"]}],"mendeley":{"formattedCitation":"(Bowyer &lt;i&gt;et al.&lt;/i&gt;, 2018)","plainTextFormattedCitation":"(Bowyer et al., 2018)","previouslyFormattedCitation":"(Bowyer &lt;i&gt;et al.&lt;/i&gt;, 2018)"},"properties":{"noteIndex":0},"schema":"https://github.com/citation-style-language/schema/raw/master/csl-citation.json"}</w:instrText>
      </w:r>
      <w:r w:rsidR="00406C08" w:rsidRPr="001272D0">
        <w:rPr>
          <w:rFonts w:ascii="Arial" w:eastAsia="Times New Roman" w:hAnsi="Arial" w:cs="Arial"/>
          <w:sz w:val="24"/>
          <w:szCs w:val="24"/>
        </w:rPr>
        <w:fldChar w:fldCharType="separate"/>
      </w:r>
      <w:r w:rsidR="009C53FB" w:rsidRPr="001272D0">
        <w:rPr>
          <w:rFonts w:ascii="Arial" w:eastAsia="Times New Roman" w:hAnsi="Arial" w:cs="Arial"/>
          <w:noProof/>
          <w:sz w:val="24"/>
          <w:szCs w:val="24"/>
        </w:rPr>
        <w:t xml:space="preserve">(Bowyer </w:t>
      </w:r>
      <w:r w:rsidR="009C53FB" w:rsidRPr="001272D0">
        <w:rPr>
          <w:rFonts w:ascii="Arial" w:eastAsia="Times New Roman" w:hAnsi="Arial" w:cs="Arial"/>
          <w:iCs/>
          <w:noProof/>
          <w:sz w:val="24"/>
          <w:szCs w:val="24"/>
        </w:rPr>
        <w:t>et al</w:t>
      </w:r>
      <w:r w:rsidR="009C53FB" w:rsidRPr="001272D0">
        <w:rPr>
          <w:rFonts w:ascii="Arial" w:eastAsia="Times New Roman" w:hAnsi="Arial" w:cs="Arial"/>
          <w:i/>
          <w:noProof/>
          <w:sz w:val="24"/>
          <w:szCs w:val="24"/>
        </w:rPr>
        <w:t>.</w:t>
      </w:r>
      <w:r w:rsidR="009C53FB" w:rsidRPr="001272D0">
        <w:rPr>
          <w:rFonts w:ascii="Arial" w:eastAsia="Times New Roman" w:hAnsi="Arial" w:cs="Arial"/>
          <w:noProof/>
          <w:sz w:val="24"/>
          <w:szCs w:val="24"/>
        </w:rPr>
        <w:t>, 2018)</w:t>
      </w:r>
      <w:r w:rsidR="00406C08" w:rsidRPr="001272D0">
        <w:rPr>
          <w:rFonts w:ascii="Arial" w:eastAsia="Times New Roman" w:hAnsi="Arial" w:cs="Arial"/>
          <w:sz w:val="24"/>
          <w:szCs w:val="24"/>
        </w:rPr>
        <w:fldChar w:fldCharType="end"/>
      </w:r>
      <w:r w:rsidR="00406C08" w:rsidRPr="001272D0">
        <w:rPr>
          <w:rFonts w:ascii="Arial" w:eastAsia="Times New Roman" w:hAnsi="Arial" w:cs="Arial"/>
          <w:sz w:val="24"/>
          <w:szCs w:val="24"/>
        </w:rPr>
        <w:t>.</w:t>
      </w:r>
      <w:r w:rsidR="008E27B0" w:rsidRPr="001272D0">
        <w:rPr>
          <w:rFonts w:ascii="Arial" w:eastAsia="Times New Roman" w:hAnsi="Arial" w:cs="Arial"/>
          <w:sz w:val="24"/>
          <w:szCs w:val="24"/>
        </w:rPr>
        <w:t xml:space="preserve"> </w:t>
      </w:r>
      <w:r w:rsidR="00406C08" w:rsidRPr="001272D0">
        <w:rPr>
          <w:rFonts w:ascii="Arial" w:eastAsia="Times New Roman" w:hAnsi="Arial" w:cs="Arial"/>
          <w:bCs/>
          <w:sz w:val="24"/>
          <w:szCs w:val="24"/>
        </w:rPr>
        <w:t xml:space="preserve">McGinley (2020) compared pre-admission </w:t>
      </w:r>
      <w:r w:rsidR="0025409D" w:rsidRPr="001272D0">
        <w:rPr>
          <w:rFonts w:ascii="Arial" w:eastAsia="Times New Roman" w:hAnsi="Arial" w:cs="Arial"/>
          <w:bCs/>
          <w:sz w:val="24"/>
          <w:szCs w:val="24"/>
        </w:rPr>
        <w:t xml:space="preserve">undergraduate </w:t>
      </w:r>
      <w:r w:rsidR="00415349" w:rsidRPr="001272D0">
        <w:rPr>
          <w:rFonts w:ascii="Arial" w:eastAsia="Times New Roman" w:hAnsi="Arial" w:cs="Arial"/>
          <w:bCs/>
          <w:sz w:val="24"/>
          <w:szCs w:val="24"/>
        </w:rPr>
        <w:t>qualifications</w:t>
      </w:r>
      <w:r w:rsidR="00406C08" w:rsidRPr="001272D0">
        <w:rPr>
          <w:rFonts w:ascii="Arial" w:eastAsia="Times New Roman" w:hAnsi="Arial" w:cs="Arial"/>
          <w:bCs/>
          <w:sz w:val="24"/>
          <w:szCs w:val="24"/>
        </w:rPr>
        <w:t xml:space="preserve"> of one cohort of </w:t>
      </w:r>
      <w:r w:rsidR="00357BE7" w:rsidRPr="001272D0">
        <w:rPr>
          <w:rFonts w:ascii="Arial" w:eastAsia="Times New Roman" w:hAnsi="Arial" w:cs="Arial"/>
          <w:bCs/>
          <w:sz w:val="24"/>
          <w:szCs w:val="24"/>
        </w:rPr>
        <w:t xml:space="preserve">UK </w:t>
      </w:r>
      <w:r w:rsidR="00406C08" w:rsidRPr="001272D0">
        <w:rPr>
          <w:rFonts w:ascii="Arial" w:eastAsia="Times New Roman" w:hAnsi="Arial" w:cs="Arial"/>
          <w:bCs/>
          <w:sz w:val="24"/>
          <w:szCs w:val="24"/>
        </w:rPr>
        <w:t>pre-registration BSc students (</w:t>
      </w:r>
      <w:r w:rsidR="00406C08" w:rsidRPr="001272D0">
        <w:rPr>
          <w:rFonts w:ascii="Arial" w:eastAsia="Times New Roman" w:hAnsi="Arial" w:cs="Arial"/>
          <w:bCs/>
          <w:i/>
          <w:iCs/>
          <w:sz w:val="24"/>
          <w:szCs w:val="24"/>
        </w:rPr>
        <w:t>n=</w:t>
      </w:r>
      <w:r w:rsidR="00406C08" w:rsidRPr="001272D0">
        <w:rPr>
          <w:rFonts w:ascii="Arial" w:eastAsia="Times New Roman" w:hAnsi="Arial" w:cs="Arial"/>
          <w:bCs/>
          <w:sz w:val="24"/>
          <w:szCs w:val="24"/>
        </w:rPr>
        <w:t xml:space="preserve">44), with </w:t>
      </w:r>
      <w:r w:rsidR="00182FA3" w:rsidRPr="001272D0">
        <w:rPr>
          <w:rFonts w:ascii="Arial" w:eastAsia="Times New Roman" w:hAnsi="Arial" w:cs="Arial"/>
          <w:bCs/>
          <w:sz w:val="24"/>
          <w:szCs w:val="24"/>
        </w:rPr>
        <w:t xml:space="preserve">final </w:t>
      </w:r>
      <w:r w:rsidR="00406C08" w:rsidRPr="001272D0">
        <w:rPr>
          <w:rFonts w:ascii="Arial" w:eastAsia="Times New Roman" w:hAnsi="Arial" w:cs="Arial"/>
          <w:bCs/>
          <w:sz w:val="24"/>
          <w:szCs w:val="24"/>
        </w:rPr>
        <w:t>degree outcomes</w:t>
      </w:r>
      <w:r w:rsidR="00357BE7" w:rsidRPr="001272D0">
        <w:rPr>
          <w:rFonts w:ascii="Arial" w:eastAsia="Times New Roman" w:hAnsi="Arial" w:cs="Arial"/>
          <w:bCs/>
          <w:sz w:val="24"/>
          <w:szCs w:val="24"/>
        </w:rPr>
        <w:t xml:space="preserve">, finding no </w:t>
      </w:r>
      <w:r w:rsidR="00406C08" w:rsidRPr="001272D0">
        <w:rPr>
          <w:rFonts w:ascii="Arial" w:eastAsia="Times New Roman" w:hAnsi="Arial" w:cs="Arial"/>
          <w:bCs/>
          <w:sz w:val="24"/>
          <w:szCs w:val="24"/>
        </w:rPr>
        <w:t>relationships</w:t>
      </w:r>
      <w:r w:rsidR="00357BE7" w:rsidRPr="001272D0">
        <w:rPr>
          <w:rFonts w:ascii="Arial" w:eastAsia="Times New Roman" w:hAnsi="Arial" w:cs="Arial"/>
          <w:bCs/>
          <w:sz w:val="24"/>
          <w:szCs w:val="24"/>
        </w:rPr>
        <w:t>.</w:t>
      </w:r>
      <w:r w:rsidR="00406C08" w:rsidRPr="001272D0">
        <w:rPr>
          <w:rFonts w:ascii="Arial" w:eastAsia="Times New Roman" w:hAnsi="Arial" w:cs="Arial"/>
          <w:bCs/>
          <w:sz w:val="24"/>
          <w:szCs w:val="24"/>
        </w:rPr>
        <w:t xml:space="preserve"> </w:t>
      </w:r>
      <w:r w:rsidR="0053438E" w:rsidRPr="001272D0">
        <w:rPr>
          <w:rFonts w:ascii="Arial" w:eastAsia="Times New Roman" w:hAnsi="Arial" w:cs="Arial"/>
          <w:bCs/>
          <w:sz w:val="24"/>
          <w:szCs w:val="24"/>
        </w:rPr>
        <w:t>T</w:t>
      </w:r>
      <w:r w:rsidR="007C7F1A" w:rsidRPr="001272D0">
        <w:rPr>
          <w:rFonts w:ascii="Arial" w:eastAsia="Times New Roman" w:hAnsi="Arial" w:cs="Arial"/>
          <w:bCs/>
          <w:sz w:val="24"/>
          <w:szCs w:val="24"/>
        </w:rPr>
        <w:t>hree</w:t>
      </w:r>
      <w:r w:rsidR="00406C08" w:rsidRPr="001272D0">
        <w:rPr>
          <w:rFonts w:ascii="Arial" w:eastAsia="Times New Roman" w:hAnsi="Arial" w:cs="Arial"/>
          <w:bCs/>
          <w:sz w:val="24"/>
          <w:szCs w:val="24"/>
        </w:rPr>
        <w:t xml:space="preserve"> candidates entered </w:t>
      </w:r>
      <w:r w:rsidR="005071A4" w:rsidRPr="001272D0">
        <w:rPr>
          <w:rFonts w:ascii="Arial" w:eastAsia="Times New Roman" w:hAnsi="Arial" w:cs="Arial"/>
          <w:bCs/>
          <w:sz w:val="24"/>
          <w:szCs w:val="24"/>
        </w:rPr>
        <w:t>under</w:t>
      </w:r>
      <w:r w:rsidR="00406C08" w:rsidRPr="001272D0">
        <w:rPr>
          <w:rFonts w:ascii="Arial" w:eastAsia="Times New Roman" w:hAnsi="Arial" w:cs="Arial"/>
          <w:bCs/>
          <w:sz w:val="24"/>
          <w:szCs w:val="24"/>
        </w:rPr>
        <w:t xml:space="preserve"> minimum academic </w:t>
      </w:r>
      <w:r w:rsidR="00D74382" w:rsidRPr="001272D0">
        <w:rPr>
          <w:rFonts w:ascii="Arial" w:eastAsia="Times New Roman" w:hAnsi="Arial" w:cs="Arial"/>
          <w:bCs/>
          <w:sz w:val="24"/>
          <w:szCs w:val="24"/>
        </w:rPr>
        <w:t>requirement</w:t>
      </w:r>
      <w:r w:rsidR="001B4849" w:rsidRPr="001272D0">
        <w:rPr>
          <w:rFonts w:ascii="Arial" w:eastAsia="Times New Roman" w:hAnsi="Arial" w:cs="Arial"/>
          <w:bCs/>
          <w:sz w:val="24"/>
          <w:szCs w:val="24"/>
        </w:rPr>
        <w:t xml:space="preserve">s </w:t>
      </w:r>
      <w:r w:rsidR="00CE0D3D" w:rsidRPr="001272D0">
        <w:rPr>
          <w:rFonts w:ascii="Arial" w:eastAsia="Times New Roman" w:hAnsi="Arial" w:cs="Arial"/>
          <w:bCs/>
          <w:sz w:val="24"/>
          <w:szCs w:val="24"/>
        </w:rPr>
        <w:t xml:space="preserve">and </w:t>
      </w:r>
      <w:r w:rsidR="00406C08" w:rsidRPr="001272D0">
        <w:rPr>
          <w:rFonts w:ascii="Arial" w:eastAsia="Times New Roman" w:hAnsi="Arial" w:cs="Arial"/>
          <w:bCs/>
          <w:sz w:val="24"/>
          <w:szCs w:val="24"/>
        </w:rPr>
        <w:t>achiev</w:t>
      </w:r>
      <w:r w:rsidR="007C7F1A" w:rsidRPr="001272D0">
        <w:rPr>
          <w:rFonts w:ascii="Arial" w:eastAsia="Times New Roman" w:hAnsi="Arial" w:cs="Arial"/>
          <w:bCs/>
          <w:sz w:val="24"/>
          <w:szCs w:val="24"/>
        </w:rPr>
        <w:t>ed</w:t>
      </w:r>
      <w:r w:rsidR="00406C08" w:rsidRPr="001272D0">
        <w:rPr>
          <w:rFonts w:ascii="Arial" w:eastAsia="Times New Roman" w:hAnsi="Arial" w:cs="Arial"/>
          <w:bCs/>
          <w:sz w:val="24"/>
          <w:szCs w:val="24"/>
        </w:rPr>
        <w:t xml:space="preserve"> 1</w:t>
      </w:r>
      <w:r w:rsidR="00406C08" w:rsidRPr="001272D0">
        <w:rPr>
          <w:rFonts w:ascii="Arial" w:eastAsia="Times New Roman" w:hAnsi="Arial" w:cs="Arial"/>
          <w:bCs/>
          <w:sz w:val="24"/>
          <w:szCs w:val="24"/>
          <w:vertAlign w:val="superscript"/>
        </w:rPr>
        <w:t>st</w:t>
      </w:r>
      <w:r w:rsidR="00406C08" w:rsidRPr="001272D0">
        <w:rPr>
          <w:rFonts w:ascii="Arial" w:eastAsia="Times New Roman" w:hAnsi="Arial" w:cs="Arial"/>
          <w:bCs/>
          <w:sz w:val="24"/>
          <w:szCs w:val="24"/>
        </w:rPr>
        <w:t xml:space="preserve"> Class (</w:t>
      </w:r>
      <w:r w:rsidR="00406C08" w:rsidRPr="001272D0">
        <w:rPr>
          <w:rFonts w:ascii="Arial" w:eastAsia="Times New Roman" w:hAnsi="Arial" w:cs="Arial"/>
          <w:bCs/>
          <w:i/>
          <w:iCs/>
          <w:sz w:val="24"/>
          <w:szCs w:val="24"/>
        </w:rPr>
        <w:t>n=</w:t>
      </w:r>
      <w:r w:rsidR="00406C08" w:rsidRPr="001272D0">
        <w:rPr>
          <w:rFonts w:ascii="Arial" w:eastAsia="Times New Roman" w:hAnsi="Arial" w:cs="Arial"/>
          <w:bCs/>
          <w:sz w:val="24"/>
          <w:szCs w:val="24"/>
        </w:rPr>
        <w:t>1) and 2</w:t>
      </w:r>
      <w:r w:rsidR="00406C08" w:rsidRPr="001272D0">
        <w:rPr>
          <w:rFonts w:ascii="Arial" w:eastAsia="Times New Roman" w:hAnsi="Arial" w:cs="Arial"/>
          <w:bCs/>
          <w:sz w:val="24"/>
          <w:szCs w:val="24"/>
          <w:vertAlign w:val="superscript"/>
        </w:rPr>
        <w:t>nd</w:t>
      </w:r>
      <w:r w:rsidR="00406C08" w:rsidRPr="001272D0">
        <w:rPr>
          <w:rFonts w:ascii="Arial" w:eastAsia="Times New Roman" w:hAnsi="Arial" w:cs="Arial"/>
          <w:bCs/>
          <w:sz w:val="24"/>
          <w:szCs w:val="24"/>
        </w:rPr>
        <w:t xml:space="preserve"> Class (</w:t>
      </w:r>
      <w:r w:rsidR="00406C08" w:rsidRPr="001272D0">
        <w:rPr>
          <w:rFonts w:ascii="Arial" w:eastAsia="Times New Roman" w:hAnsi="Arial" w:cs="Arial"/>
          <w:bCs/>
          <w:i/>
          <w:iCs/>
          <w:sz w:val="24"/>
          <w:szCs w:val="24"/>
        </w:rPr>
        <w:t>n</w:t>
      </w:r>
      <w:r w:rsidR="00406C08" w:rsidRPr="001272D0">
        <w:rPr>
          <w:rFonts w:ascii="Arial" w:eastAsia="Times New Roman" w:hAnsi="Arial" w:cs="Arial"/>
          <w:bCs/>
          <w:sz w:val="24"/>
          <w:szCs w:val="24"/>
        </w:rPr>
        <w:t>=2) degrees</w:t>
      </w:r>
      <w:r w:rsidR="00AB5ADE" w:rsidRPr="001272D0">
        <w:rPr>
          <w:rFonts w:ascii="Arial" w:eastAsia="Times New Roman" w:hAnsi="Arial" w:cs="Arial"/>
          <w:bCs/>
          <w:sz w:val="24"/>
          <w:szCs w:val="24"/>
        </w:rPr>
        <w:t xml:space="preserve">. </w:t>
      </w:r>
      <w:r w:rsidR="00C177C8" w:rsidRPr="001272D0">
        <w:rPr>
          <w:rFonts w:ascii="Arial" w:eastAsia="Times New Roman" w:hAnsi="Arial" w:cs="Arial"/>
          <w:bCs/>
          <w:sz w:val="24"/>
          <w:szCs w:val="24"/>
        </w:rPr>
        <w:t>S</w:t>
      </w:r>
      <w:r w:rsidR="00137A82" w:rsidRPr="001272D0">
        <w:rPr>
          <w:rFonts w:ascii="Arial" w:eastAsia="Times New Roman" w:hAnsi="Arial" w:cs="Arial"/>
          <w:bCs/>
          <w:sz w:val="24"/>
          <w:szCs w:val="24"/>
        </w:rPr>
        <w:t>tr</w:t>
      </w:r>
      <w:r w:rsidR="00400D98" w:rsidRPr="001272D0">
        <w:rPr>
          <w:rFonts w:ascii="Arial" w:eastAsia="Times New Roman" w:hAnsi="Arial" w:cs="Arial"/>
          <w:bCs/>
          <w:sz w:val="24"/>
          <w:szCs w:val="24"/>
        </w:rPr>
        <w:t>i</w:t>
      </w:r>
      <w:r w:rsidR="00137A82" w:rsidRPr="001272D0">
        <w:rPr>
          <w:rFonts w:ascii="Arial" w:eastAsia="Times New Roman" w:hAnsi="Arial" w:cs="Arial"/>
          <w:bCs/>
          <w:sz w:val="24"/>
          <w:szCs w:val="24"/>
        </w:rPr>
        <w:t xml:space="preserve">ct exclusion criteria </w:t>
      </w:r>
      <w:r w:rsidR="00AB5ADE" w:rsidRPr="001272D0">
        <w:rPr>
          <w:rFonts w:ascii="Arial" w:eastAsia="Times New Roman" w:hAnsi="Arial" w:cs="Arial"/>
          <w:bCs/>
          <w:sz w:val="24"/>
          <w:szCs w:val="24"/>
        </w:rPr>
        <w:t>including</w:t>
      </w:r>
      <w:r w:rsidR="00400D98" w:rsidRPr="001272D0">
        <w:rPr>
          <w:rFonts w:ascii="Arial" w:eastAsia="Times New Roman" w:hAnsi="Arial" w:cs="Arial"/>
          <w:bCs/>
          <w:sz w:val="24"/>
          <w:szCs w:val="24"/>
        </w:rPr>
        <w:t xml:space="preserve"> </w:t>
      </w:r>
      <w:r w:rsidR="00137A82" w:rsidRPr="001272D0">
        <w:rPr>
          <w:rFonts w:ascii="Arial" w:eastAsia="Times New Roman" w:hAnsi="Arial" w:cs="Arial"/>
          <w:bCs/>
          <w:sz w:val="24"/>
          <w:szCs w:val="24"/>
        </w:rPr>
        <w:t>programme withdrawals, late graduations</w:t>
      </w:r>
      <w:r w:rsidR="00AB5ADE" w:rsidRPr="001272D0">
        <w:rPr>
          <w:rFonts w:ascii="Arial" w:eastAsia="Times New Roman" w:hAnsi="Arial" w:cs="Arial"/>
          <w:bCs/>
          <w:sz w:val="24"/>
          <w:szCs w:val="24"/>
        </w:rPr>
        <w:t xml:space="preserve"> and</w:t>
      </w:r>
      <w:r w:rsidR="00EA78D2" w:rsidRPr="001272D0">
        <w:rPr>
          <w:rFonts w:ascii="Arial" w:eastAsia="Times New Roman" w:hAnsi="Arial" w:cs="Arial"/>
          <w:bCs/>
          <w:sz w:val="24"/>
          <w:szCs w:val="24"/>
        </w:rPr>
        <w:t xml:space="preserve"> prior degree-level qualifications</w:t>
      </w:r>
      <w:r w:rsidR="00446D38" w:rsidRPr="001272D0">
        <w:rPr>
          <w:rFonts w:ascii="Arial" w:eastAsia="Times New Roman" w:hAnsi="Arial" w:cs="Arial"/>
          <w:bCs/>
          <w:sz w:val="24"/>
          <w:szCs w:val="24"/>
        </w:rPr>
        <w:t xml:space="preserve"> resulted in a final sample </w:t>
      </w:r>
      <w:r w:rsidR="00CE0D3D" w:rsidRPr="001272D0">
        <w:rPr>
          <w:rFonts w:ascii="Arial" w:eastAsia="Times New Roman" w:hAnsi="Arial" w:cs="Arial"/>
          <w:bCs/>
          <w:sz w:val="24"/>
          <w:szCs w:val="24"/>
        </w:rPr>
        <w:t>(</w:t>
      </w:r>
      <w:r w:rsidR="00446D38" w:rsidRPr="001272D0">
        <w:rPr>
          <w:rFonts w:ascii="Arial" w:eastAsia="Times New Roman" w:hAnsi="Arial" w:cs="Arial"/>
          <w:bCs/>
          <w:i/>
          <w:iCs/>
          <w:sz w:val="24"/>
          <w:szCs w:val="24"/>
        </w:rPr>
        <w:t>n=</w:t>
      </w:r>
      <w:r w:rsidR="00446D38" w:rsidRPr="001272D0">
        <w:rPr>
          <w:rFonts w:ascii="Arial" w:eastAsia="Times New Roman" w:hAnsi="Arial" w:cs="Arial"/>
          <w:bCs/>
          <w:sz w:val="24"/>
          <w:szCs w:val="24"/>
        </w:rPr>
        <w:t>27</w:t>
      </w:r>
      <w:r w:rsidR="00CE0D3D" w:rsidRPr="001272D0">
        <w:rPr>
          <w:rFonts w:ascii="Arial" w:eastAsia="Times New Roman" w:hAnsi="Arial" w:cs="Arial"/>
          <w:bCs/>
          <w:sz w:val="24"/>
          <w:szCs w:val="24"/>
        </w:rPr>
        <w:t>)</w:t>
      </w:r>
      <w:r w:rsidR="000A1B02" w:rsidRPr="001272D0">
        <w:rPr>
          <w:rFonts w:ascii="Arial" w:eastAsia="Times New Roman" w:hAnsi="Arial" w:cs="Arial"/>
          <w:bCs/>
          <w:sz w:val="24"/>
          <w:szCs w:val="24"/>
        </w:rPr>
        <w:t>, affecting generalisability</w:t>
      </w:r>
      <w:r w:rsidR="00406C08" w:rsidRPr="001272D0">
        <w:rPr>
          <w:rFonts w:ascii="Arial" w:eastAsia="Times New Roman" w:hAnsi="Arial" w:cs="Arial"/>
          <w:bCs/>
          <w:sz w:val="24"/>
          <w:szCs w:val="24"/>
        </w:rPr>
        <w:t xml:space="preserve">. McNeil et al., (2021) found no statistical difference between </w:t>
      </w:r>
      <w:r w:rsidR="00ED2AFF" w:rsidRPr="001272D0">
        <w:rPr>
          <w:rFonts w:ascii="Arial" w:eastAsia="Times New Roman" w:hAnsi="Arial" w:cs="Arial"/>
          <w:bCs/>
          <w:sz w:val="24"/>
          <w:szCs w:val="24"/>
        </w:rPr>
        <w:t>111</w:t>
      </w:r>
      <w:r w:rsidR="003F5823" w:rsidRPr="001272D0">
        <w:rPr>
          <w:rFonts w:ascii="Arial" w:eastAsia="Times New Roman" w:hAnsi="Arial" w:cs="Arial"/>
          <w:bCs/>
          <w:sz w:val="24"/>
          <w:szCs w:val="24"/>
        </w:rPr>
        <w:t xml:space="preserve"> </w:t>
      </w:r>
      <w:r w:rsidR="00406C08" w:rsidRPr="001272D0">
        <w:rPr>
          <w:rFonts w:ascii="Arial" w:eastAsia="Times New Roman" w:hAnsi="Arial" w:cs="Arial"/>
          <w:bCs/>
          <w:sz w:val="24"/>
          <w:szCs w:val="24"/>
        </w:rPr>
        <w:t>MSc and OTD program</w:t>
      </w:r>
      <w:r w:rsidR="007C7F1A" w:rsidRPr="001272D0">
        <w:rPr>
          <w:rFonts w:ascii="Arial" w:eastAsia="Times New Roman" w:hAnsi="Arial" w:cs="Arial"/>
          <w:bCs/>
          <w:sz w:val="24"/>
          <w:szCs w:val="24"/>
        </w:rPr>
        <w:t>me</w:t>
      </w:r>
      <w:r w:rsidR="00406C08" w:rsidRPr="001272D0">
        <w:rPr>
          <w:rFonts w:ascii="Arial" w:eastAsia="Times New Roman" w:hAnsi="Arial" w:cs="Arial"/>
          <w:bCs/>
          <w:sz w:val="24"/>
          <w:szCs w:val="24"/>
        </w:rPr>
        <w:t>s (</w:t>
      </w:r>
      <w:r w:rsidR="005A5025" w:rsidRPr="001272D0">
        <w:rPr>
          <w:rFonts w:ascii="Arial" w:eastAsia="Times New Roman" w:hAnsi="Arial" w:cs="Arial"/>
          <w:bCs/>
          <w:sz w:val="24"/>
          <w:szCs w:val="24"/>
        </w:rPr>
        <w:t xml:space="preserve">from the top 107 </w:t>
      </w:r>
      <w:r w:rsidR="0015571A" w:rsidRPr="001272D0">
        <w:rPr>
          <w:rFonts w:ascii="Arial" w:eastAsia="Times New Roman" w:hAnsi="Arial" w:cs="Arial"/>
          <w:bCs/>
          <w:sz w:val="24"/>
          <w:szCs w:val="24"/>
        </w:rPr>
        <w:t xml:space="preserve">US </w:t>
      </w:r>
      <w:r w:rsidR="005A5025" w:rsidRPr="001272D0">
        <w:rPr>
          <w:rFonts w:ascii="Arial" w:eastAsia="Times New Roman" w:hAnsi="Arial" w:cs="Arial"/>
          <w:bCs/>
          <w:sz w:val="24"/>
          <w:szCs w:val="24"/>
        </w:rPr>
        <w:t>health schools</w:t>
      </w:r>
      <w:r w:rsidR="00406C08" w:rsidRPr="001272D0">
        <w:rPr>
          <w:rFonts w:ascii="Arial" w:eastAsia="Times New Roman" w:hAnsi="Arial" w:cs="Arial"/>
          <w:bCs/>
          <w:sz w:val="24"/>
          <w:szCs w:val="24"/>
        </w:rPr>
        <w:t xml:space="preserve">) who achieved 100% versus less than 100% NBCOT pass rates and academic entry criteria. </w:t>
      </w:r>
      <w:r w:rsidR="00F829C8" w:rsidRPr="001272D0">
        <w:rPr>
          <w:rFonts w:ascii="Arial" w:eastAsia="Times New Roman" w:hAnsi="Arial" w:cs="Arial"/>
          <w:bCs/>
          <w:sz w:val="24"/>
          <w:szCs w:val="24"/>
        </w:rPr>
        <w:t>However, d</w:t>
      </w:r>
      <w:r w:rsidR="00CC522E" w:rsidRPr="001272D0">
        <w:rPr>
          <w:rFonts w:ascii="Arial" w:eastAsia="Times New Roman" w:hAnsi="Arial" w:cs="Arial"/>
          <w:bCs/>
          <w:sz w:val="24"/>
          <w:szCs w:val="24"/>
        </w:rPr>
        <w:t xml:space="preserve">etail </w:t>
      </w:r>
      <w:r w:rsidR="00F829C8" w:rsidRPr="001272D0">
        <w:rPr>
          <w:rFonts w:ascii="Arial" w:eastAsia="Times New Roman" w:hAnsi="Arial" w:cs="Arial"/>
          <w:bCs/>
          <w:sz w:val="24"/>
          <w:szCs w:val="24"/>
        </w:rPr>
        <w:t>of the m</w:t>
      </w:r>
      <w:r w:rsidR="00FA06B9" w:rsidRPr="001272D0">
        <w:rPr>
          <w:rFonts w:ascii="Arial" w:eastAsia="Times New Roman" w:hAnsi="Arial" w:cs="Arial"/>
          <w:bCs/>
          <w:sz w:val="24"/>
          <w:szCs w:val="24"/>
        </w:rPr>
        <w:t>ethodology used to rank the programmes</w:t>
      </w:r>
      <w:r w:rsidR="00F829C8" w:rsidRPr="001272D0">
        <w:rPr>
          <w:rFonts w:ascii="Arial" w:eastAsia="Times New Roman" w:hAnsi="Arial" w:cs="Arial"/>
          <w:bCs/>
          <w:sz w:val="24"/>
          <w:szCs w:val="24"/>
        </w:rPr>
        <w:t xml:space="preserve"> was limited and</w:t>
      </w:r>
      <w:r w:rsidR="00FA06B9" w:rsidRPr="001272D0">
        <w:rPr>
          <w:rFonts w:ascii="Arial" w:eastAsia="Times New Roman" w:hAnsi="Arial" w:cs="Arial"/>
          <w:bCs/>
          <w:sz w:val="24"/>
          <w:szCs w:val="24"/>
        </w:rPr>
        <w:t xml:space="preserve"> may have skewed results </w:t>
      </w:r>
      <w:r w:rsidR="00FA06B9" w:rsidRPr="001272D0">
        <w:rPr>
          <w:rFonts w:ascii="Arial" w:eastAsia="Times New Roman" w:hAnsi="Arial" w:cs="Arial"/>
          <w:bCs/>
          <w:sz w:val="24"/>
          <w:szCs w:val="24"/>
        </w:rPr>
        <w:fldChar w:fldCharType="begin" w:fldLock="1"/>
      </w:r>
      <w:r w:rsidR="0088175F" w:rsidRPr="001272D0">
        <w:rPr>
          <w:rFonts w:ascii="Arial" w:eastAsia="Times New Roman" w:hAnsi="Arial" w:cs="Arial"/>
          <w:bCs/>
          <w:sz w:val="24"/>
          <w:szCs w:val="24"/>
        </w:rPr>
        <w:instrText>ADDIN CSL_CITATION {"citationItems":[{"id":"ITEM-1","itemData":{"DOI":"10.5014/ajot.2021.75s2-po88","ISSN":"0272-9490","abstract":"Date Presented 04/12/21Establishing effective methods for the admissions process for OT programs is vital to ensure future growth and success in the profession. The admissions process provides insight into the applicant’s capabilities and values. This study aimed to evaluate which admissions components are being used most frequently by top-rated OT programs and, of those components, which will produce the strongest OT students.Primary Author and Speaker: Mallory A. BabinContributing Authors: Pamela S. Roberts","author":[{"dropping-particle":"","family":"McNeil","given":"Zana A.","non-dropping-particle":"","parse-names":false,"suffix":""},{"dropping-particle":"","family":"Babin","given":"Mallory A.","non-dropping-particle":"","parse-names":false,"suffix":""},{"dropping-particle":"","family":"Pyles","given":"Erin","non-dropping-particle":"","parse-names":false,"suffix":""},{"dropping-particle":"","family":"Trueblood","given":"Breanna","non-dropping-particle":"","parse-names":false,"suffix":""},{"dropping-particle":"","family":"Cloutier","given":"Bailee","non-dropping-particle":"","parse-names":false,"suffix":""},{"dropping-particle":"","family":"Cosper","given":"Sharon","non-dropping-particle":"","parse-names":false,"suffix":""}],"container-title":"The American Journal of Occupational Therapy","id":"ITEM-1","issue":"Supplement_2","issued":{"date-parts":[["2021"]]},"page":"7512505088p1-7512505088p1","title":"The Admissions Process in OT Education: Investigating Academic and Nonacademic Metrics in the Applicant Selection Process","type":"article-journal","volume":"75"},"uris":["http://www.mendeley.com/documents/?uuid=5bad1a35-0b6f-4675-a586-509d4194df7b"]}],"mendeley":{"formattedCitation":"(McNeil &lt;i&gt;et al.&lt;/i&gt;, 2021)","plainTextFormattedCitation":"(McNeil et al., 2021)","previouslyFormattedCitation":"(McNeil &lt;i&gt;et al.&lt;/i&gt;, 2021)"},"properties":{"noteIndex":0},"schema":"https://github.com/citation-style-language/schema/raw/master/csl-citation.json"}</w:instrText>
      </w:r>
      <w:r w:rsidR="00FA06B9" w:rsidRPr="001272D0">
        <w:rPr>
          <w:rFonts w:ascii="Arial" w:eastAsia="Times New Roman" w:hAnsi="Arial" w:cs="Arial"/>
          <w:bCs/>
          <w:sz w:val="24"/>
          <w:szCs w:val="24"/>
        </w:rPr>
        <w:fldChar w:fldCharType="separate"/>
      </w:r>
      <w:r w:rsidR="00FA06B9" w:rsidRPr="001272D0">
        <w:rPr>
          <w:rFonts w:ascii="Arial" w:eastAsia="Times New Roman" w:hAnsi="Arial" w:cs="Arial"/>
          <w:bCs/>
          <w:noProof/>
          <w:sz w:val="24"/>
          <w:szCs w:val="24"/>
        </w:rPr>
        <w:t xml:space="preserve">(McNeil </w:t>
      </w:r>
      <w:r w:rsidR="00FA06B9" w:rsidRPr="001272D0">
        <w:rPr>
          <w:rFonts w:ascii="Arial" w:eastAsia="Times New Roman" w:hAnsi="Arial" w:cs="Arial"/>
          <w:bCs/>
          <w:i/>
          <w:noProof/>
          <w:sz w:val="24"/>
          <w:szCs w:val="24"/>
        </w:rPr>
        <w:t>et al.</w:t>
      </w:r>
      <w:r w:rsidR="00FA06B9" w:rsidRPr="001272D0">
        <w:rPr>
          <w:rFonts w:ascii="Arial" w:eastAsia="Times New Roman" w:hAnsi="Arial" w:cs="Arial"/>
          <w:bCs/>
          <w:noProof/>
          <w:sz w:val="24"/>
          <w:szCs w:val="24"/>
        </w:rPr>
        <w:t>, 2021)</w:t>
      </w:r>
      <w:r w:rsidR="00FA06B9" w:rsidRPr="001272D0">
        <w:rPr>
          <w:rFonts w:ascii="Arial" w:eastAsia="Times New Roman" w:hAnsi="Arial" w:cs="Arial"/>
          <w:bCs/>
          <w:sz w:val="24"/>
          <w:szCs w:val="24"/>
        </w:rPr>
        <w:fldChar w:fldCharType="end"/>
      </w:r>
      <w:r w:rsidR="00FA06B9" w:rsidRPr="001272D0">
        <w:rPr>
          <w:rFonts w:ascii="Arial" w:eastAsia="Times New Roman" w:hAnsi="Arial" w:cs="Arial"/>
          <w:bCs/>
          <w:sz w:val="24"/>
          <w:szCs w:val="24"/>
        </w:rPr>
        <w:t xml:space="preserve">. </w:t>
      </w:r>
      <w:r w:rsidR="002B2883" w:rsidRPr="001272D0">
        <w:rPr>
          <w:rFonts w:ascii="Arial" w:eastAsia="Times New Roman" w:hAnsi="Arial" w:cs="Arial"/>
          <w:bCs/>
          <w:sz w:val="24"/>
          <w:szCs w:val="24"/>
        </w:rPr>
        <w:t>Limitations aside, both</w:t>
      </w:r>
      <w:r w:rsidR="00406C08" w:rsidRPr="001272D0">
        <w:rPr>
          <w:rFonts w:ascii="Arial" w:eastAsia="Times New Roman" w:hAnsi="Arial" w:cs="Arial"/>
          <w:bCs/>
          <w:sz w:val="24"/>
          <w:szCs w:val="24"/>
        </w:rPr>
        <w:t xml:space="preserve"> studies agree final academic attainment </w:t>
      </w:r>
      <w:r w:rsidR="004856E9" w:rsidRPr="001272D0">
        <w:rPr>
          <w:rFonts w:ascii="Arial" w:eastAsia="Times New Roman" w:hAnsi="Arial" w:cs="Arial"/>
          <w:bCs/>
          <w:sz w:val="24"/>
          <w:szCs w:val="24"/>
        </w:rPr>
        <w:t>is</w:t>
      </w:r>
      <w:r w:rsidR="00406C08" w:rsidRPr="001272D0">
        <w:rPr>
          <w:rFonts w:ascii="Arial" w:eastAsia="Times New Roman" w:hAnsi="Arial" w:cs="Arial"/>
          <w:bCs/>
          <w:sz w:val="24"/>
          <w:szCs w:val="24"/>
        </w:rPr>
        <w:t xml:space="preserve"> not directly correlated with academic entry criteria, highlighting the need for further research to explore variables beyond those collected at admission </w:t>
      </w:r>
      <w:r w:rsidR="00406C08" w:rsidRPr="001272D0">
        <w:rPr>
          <w:rFonts w:ascii="Arial" w:eastAsia="Times New Roman" w:hAnsi="Arial" w:cs="Arial"/>
          <w:bCs/>
          <w:sz w:val="24"/>
          <w:szCs w:val="24"/>
        </w:rPr>
        <w:fldChar w:fldCharType="begin" w:fldLock="1"/>
      </w:r>
      <w:r w:rsidR="0000212E" w:rsidRPr="001272D0">
        <w:rPr>
          <w:rFonts w:ascii="Arial" w:eastAsia="Times New Roman" w:hAnsi="Arial" w:cs="Arial"/>
          <w:bCs/>
          <w:sz w:val="24"/>
          <w:szCs w:val="24"/>
        </w:rPr>
        <w:instrText>ADDIN CSL_CITATION {"citationItems":[{"id":"ITEM-1","itemData":{"DOI":"10.26681/jote.2020.040308","author":[{"dropping-particle":"","family":"McGinley","given":"Sarah Louise","non-dropping-particle":"","parse-names":false,"suffix":""}],"container-title":"Journal of Occupational Therapy Education","id":"ITEM-1","issue":"3","issued":{"date-parts":[["2020"]]},"title":"Pre-entry Selection Assessment Results and Final Degree Outcomes of Occupational Therapy Students: Are There Relationships?","type":"article-journal","volume":"4"},"uris":["http://www.mendeley.com/documents/?uuid=4e2962f4-5a5b-4ea1-b5f7-4af74b72bd3d"]},{"id":"ITEM-2","itemData":{"DOI":"10.5014/ajot.2021.75s2-po88","ISSN":"0272-9490","abstract":"Date Presented 04/12/21Establishing effective methods for the admissions process for OT programs is vital to ensure future growth and success in the profession. The admissions process provides insight into the applicant’s capabilities and values. This study aimed to evaluate which admissions components are being used most frequently by top-rated OT programs and, of those components, which will produce the strongest OT students.Primary Author and Speaker: Mallory A. BabinContributing Authors: Pamela S. Roberts","author":[{"dropping-particle":"","family":"McNeil","given":"Zana A.","non-dropping-particle":"","parse-names":false,"suffix":""},{"dropping-particle":"","family":"Babin","given":"Mallory A.","non-dropping-particle":"","parse-names":false,"suffix":""},{"dropping-particle":"","family":"Pyles","given":"Erin","non-dropping-particle":"","parse-names":false,"suffix":""},{"dropping-particle":"","family":"Trueblood","given":"Breanna","non-dropping-particle":"","parse-names":false,"suffix":""},{"dropping-particle":"","family":"Cloutier","given":"Bailee","non-dropping-particle":"","parse-names":false,"suffix":""},{"dropping-particle":"","family":"Cosper","given":"Sharon","non-dropping-particle":"","parse-names":false,"suffix":""}],"container-title":"The American Journal of Occupational Therapy","id":"ITEM-2","issue":"Supplement_2","issued":{"date-parts":[["2021"]]},"page":"7512505088p1-7512505088p1","title":"The Admissions Process in OT Education: Investigating Academic and Nonacademic Metrics in the Applicant Selection Process","type":"article-journal","volume":"75"},"uris":["http://www.mendeley.com/documents/?uuid=5bad1a35-0b6f-4675-a586-509d4194df7b"]}],"mendeley":{"formattedCitation":"(McGinley, 2020; McNeil &lt;i&gt;et al.&lt;/i&gt;, 2021)","plainTextFormattedCitation":"(McGinley, 2020; McNeil et al., 2021)","previouslyFormattedCitation":"(McGinley, 2020; McNeil &lt;i&gt;et al.&lt;/i&gt;, 2021)"},"properties":{"noteIndex":0},"schema":"https://github.com/citation-style-language/schema/raw/master/csl-citation.json"}</w:instrText>
      </w:r>
      <w:r w:rsidR="00406C08" w:rsidRPr="001272D0">
        <w:rPr>
          <w:rFonts w:ascii="Arial" w:eastAsia="Times New Roman" w:hAnsi="Arial" w:cs="Arial"/>
          <w:bCs/>
          <w:sz w:val="24"/>
          <w:szCs w:val="24"/>
        </w:rPr>
        <w:fldChar w:fldCharType="separate"/>
      </w:r>
      <w:r w:rsidR="009C53FB" w:rsidRPr="001272D0">
        <w:rPr>
          <w:rFonts w:ascii="Arial" w:eastAsia="Times New Roman" w:hAnsi="Arial" w:cs="Arial"/>
          <w:bCs/>
          <w:noProof/>
          <w:sz w:val="24"/>
          <w:szCs w:val="24"/>
        </w:rPr>
        <w:t xml:space="preserve">(McGinley, 2020; McNeil </w:t>
      </w:r>
      <w:r w:rsidR="009C53FB" w:rsidRPr="001272D0">
        <w:rPr>
          <w:rFonts w:ascii="Arial" w:eastAsia="Times New Roman" w:hAnsi="Arial" w:cs="Arial"/>
          <w:bCs/>
          <w:iCs/>
          <w:noProof/>
          <w:sz w:val="24"/>
          <w:szCs w:val="24"/>
        </w:rPr>
        <w:t>et al.,</w:t>
      </w:r>
      <w:r w:rsidR="009C53FB" w:rsidRPr="001272D0">
        <w:rPr>
          <w:rFonts w:ascii="Arial" w:eastAsia="Times New Roman" w:hAnsi="Arial" w:cs="Arial"/>
          <w:bCs/>
          <w:noProof/>
          <w:sz w:val="24"/>
          <w:szCs w:val="24"/>
        </w:rPr>
        <w:t xml:space="preserve"> 2021)</w:t>
      </w:r>
      <w:r w:rsidR="00406C08" w:rsidRPr="001272D0">
        <w:rPr>
          <w:rFonts w:ascii="Arial" w:eastAsia="Times New Roman" w:hAnsi="Arial" w:cs="Arial"/>
          <w:bCs/>
          <w:sz w:val="24"/>
          <w:szCs w:val="24"/>
        </w:rPr>
        <w:fldChar w:fldCharType="end"/>
      </w:r>
      <w:r w:rsidR="00406C08" w:rsidRPr="001272D0">
        <w:rPr>
          <w:rFonts w:ascii="Arial" w:eastAsia="Times New Roman" w:hAnsi="Arial" w:cs="Arial"/>
          <w:bCs/>
          <w:sz w:val="24"/>
          <w:szCs w:val="24"/>
        </w:rPr>
        <w:t xml:space="preserve">. </w:t>
      </w:r>
    </w:p>
    <w:p w14:paraId="5223C95A" w14:textId="04D0C324" w:rsidR="00267E97" w:rsidRPr="001272D0" w:rsidRDefault="00267E97" w:rsidP="00A74EBE">
      <w:pPr>
        <w:pBdr>
          <w:top w:val="nil"/>
          <w:left w:val="nil"/>
          <w:bottom w:val="nil"/>
          <w:right w:val="nil"/>
          <w:between w:val="nil"/>
        </w:pBdr>
        <w:spacing w:line="240" w:lineRule="auto"/>
        <w:jc w:val="both"/>
        <w:rPr>
          <w:rFonts w:ascii="Arial" w:eastAsia="Times New Roman" w:hAnsi="Arial" w:cs="Arial"/>
          <w:sz w:val="24"/>
          <w:szCs w:val="24"/>
        </w:rPr>
      </w:pPr>
    </w:p>
    <w:p w14:paraId="16E1FE99" w14:textId="422B4D88" w:rsidR="00A91125" w:rsidRPr="001272D0" w:rsidRDefault="005406B1" w:rsidP="00A74EBE">
      <w:pPr>
        <w:pBdr>
          <w:top w:val="nil"/>
          <w:left w:val="nil"/>
          <w:bottom w:val="nil"/>
          <w:right w:val="nil"/>
          <w:between w:val="nil"/>
        </w:pBdr>
        <w:spacing w:line="240" w:lineRule="auto"/>
        <w:jc w:val="both"/>
        <w:rPr>
          <w:rFonts w:ascii="Arial" w:eastAsia="Times New Roman" w:hAnsi="Arial" w:cs="Arial"/>
          <w:b/>
          <w:bCs/>
          <w:sz w:val="24"/>
          <w:szCs w:val="24"/>
          <w:lang w:val="en-US"/>
        </w:rPr>
      </w:pPr>
      <w:r w:rsidRPr="001272D0">
        <w:rPr>
          <w:rFonts w:ascii="Arial" w:eastAsia="Times New Roman" w:hAnsi="Arial" w:cs="Arial"/>
          <w:b/>
          <w:bCs/>
          <w:sz w:val="24"/>
          <w:szCs w:val="24"/>
          <w:lang w:val="en-US"/>
        </w:rPr>
        <w:t>P</w:t>
      </w:r>
      <w:r w:rsidR="00A91125" w:rsidRPr="001272D0">
        <w:rPr>
          <w:rFonts w:ascii="Arial" w:eastAsia="Times New Roman" w:hAnsi="Arial" w:cs="Arial"/>
          <w:b/>
          <w:bCs/>
          <w:sz w:val="24"/>
          <w:szCs w:val="24"/>
          <w:lang w:val="en-US"/>
        </w:rPr>
        <w:t>rofessional (non-cognitive) entry criteria</w:t>
      </w:r>
    </w:p>
    <w:p w14:paraId="49F1E1D1" w14:textId="595EFDBF" w:rsidR="00515B9B" w:rsidRPr="001272D0" w:rsidRDefault="00CA66D1" w:rsidP="00A74EBE">
      <w:pPr>
        <w:pBdr>
          <w:top w:val="nil"/>
          <w:left w:val="nil"/>
          <w:bottom w:val="nil"/>
          <w:right w:val="nil"/>
          <w:between w:val="nil"/>
        </w:pBdr>
        <w:spacing w:line="240" w:lineRule="auto"/>
        <w:jc w:val="both"/>
        <w:rPr>
          <w:rFonts w:ascii="Arial" w:hAnsi="Arial" w:cs="Arial"/>
          <w:noProof/>
          <w:sz w:val="24"/>
          <w:szCs w:val="24"/>
        </w:rPr>
      </w:pPr>
      <w:r w:rsidRPr="001272D0">
        <w:rPr>
          <w:rFonts w:ascii="Arial" w:hAnsi="Arial" w:cs="Arial"/>
          <w:noProof/>
          <w:sz w:val="24"/>
          <w:szCs w:val="24"/>
        </w:rPr>
        <w:t>A</w:t>
      </w:r>
      <w:r w:rsidR="0094265B" w:rsidRPr="001272D0">
        <w:rPr>
          <w:rFonts w:ascii="Arial" w:hAnsi="Arial" w:cs="Arial"/>
          <w:noProof/>
          <w:sz w:val="24"/>
          <w:szCs w:val="24"/>
        </w:rPr>
        <w:t xml:space="preserve"> 36-item survey of AOTA BSc programmes</w:t>
      </w:r>
      <w:r w:rsidR="000B37D5" w:rsidRPr="001272D0">
        <w:rPr>
          <w:rFonts w:ascii="Arial" w:hAnsi="Arial" w:cs="Arial"/>
          <w:noProof/>
          <w:sz w:val="24"/>
          <w:szCs w:val="24"/>
        </w:rPr>
        <w:t xml:space="preserve"> (</w:t>
      </w:r>
      <w:r w:rsidR="000B37D5" w:rsidRPr="001272D0">
        <w:rPr>
          <w:rFonts w:ascii="Arial" w:hAnsi="Arial" w:cs="Arial"/>
          <w:i/>
          <w:iCs/>
          <w:noProof/>
          <w:sz w:val="24"/>
          <w:szCs w:val="24"/>
        </w:rPr>
        <w:t>n</w:t>
      </w:r>
      <w:r w:rsidR="000B37D5" w:rsidRPr="001272D0">
        <w:rPr>
          <w:rFonts w:ascii="Arial" w:hAnsi="Arial" w:cs="Arial"/>
          <w:noProof/>
          <w:sz w:val="24"/>
          <w:szCs w:val="24"/>
        </w:rPr>
        <w:t>=73)</w:t>
      </w:r>
      <w:r w:rsidR="0094265B" w:rsidRPr="001272D0">
        <w:rPr>
          <w:rFonts w:ascii="Arial" w:hAnsi="Arial" w:cs="Arial"/>
          <w:noProof/>
          <w:sz w:val="24"/>
          <w:szCs w:val="24"/>
        </w:rPr>
        <w:t xml:space="preserve"> explored the content, purpose and effectiveness of </w:t>
      </w:r>
      <w:r w:rsidR="007964A9" w:rsidRPr="001272D0">
        <w:rPr>
          <w:rFonts w:ascii="Arial" w:hAnsi="Arial" w:cs="Arial"/>
          <w:noProof/>
          <w:sz w:val="24"/>
          <w:szCs w:val="24"/>
        </w:rPr>
        <w:t xml:space="preserve">admissions </w:t>
      </w:r>
      <w:r w:rsidR="0094265B" w:rsidRPr="001272D0">
        <w:rPr>
          <w:rFonts w:ascii="Arial" w:hAnsi="Arial" w:cs="Arial"/>
          <w:noProof/>
          <w:sz w:val="24"/>
          <w:szCs w:val="24"/>
        </w:rPr>
        <w:t>interview</w:t>
      </w:r>
      <w:r w:rsidR="007964A9" w:rsidRPr="001272D0">
        <w:rPr>
          <w:rFonts w:ascii="Arial" w:hAnsi="Arial" w:cs="Arial"/>
          <w:noProof/>
          <w:sz w:val="24"/>
          <w:szCs w:val="24"/>
        </w:rPr>
        <w:t>s</w:t>
      </w:r>
      <w:r w:rsidR="0094265B" w:rsidRPr="001272D0">
        <w:rPr>
          <w:rFonts w:ascii="Arial" w:hAnsi="Arial" w:cs="Arial"/>
          <w:noProof/>
          <w:sz w:val="24"/>
          <w:szCs w:val="24"/>
        </w:rPr>
        <w:t>. With a response rate of 68% (</w:t>
      </w:r>
      <w:r w:rsidR="0094265B" w:rsidRPr="001272D0">
        <w:rPr>
          <w:rFonts w:ascii="Arial" w:hAnsi="Arial" w:cs="Arial"/>
          <w:i/>
          <w:iCs/>
          <w:noProof/>
          <w:sz w:val="24"/>
          <w:szCs w:val="24"/>
        </w:rPr>
        <w:t>n=</w:t>
      </w:r>
      <w:r w:rsidR="0094265B" w:rsidRPr="001272D0">
        <w:rPr>
          <w:rFonts w:ascii="Arial" w:hAnsi="Arial" w:cs="Arial"/>
          <w:noProof/>
          <w:sz w:val="24"/>
          <w:szCs w:val="24"/>
        </w:rPr>
        <w:t>50), results showed that 48% (</w:t>
      </w:r>
      <w:r w:rsidR="0094265B" w:rsidRPr="001272D0">
        <w:rPr>
          <w:rFonts w:ascii="Arial" w:hAnsi="Arial" w:cs="Arial"/>
          <w:i/>
          <w:iCs/>
          <w:noProof/>
          <w:sz w:val="24"/>
          <w:szCs w:val="24"/>
        </w:rPr>
        <w:t>n=</w:t>
      </w:r>
      <w:r w:rsidR="0094265B" w:rsidRPr="001272D0">
        <w:rPr>
          <w:rFonts w:ascii="Arial" w:hAnsi="Arial" w:cs="Arial"/>
          <w:noProof/>
          <w:sz w:val="24"/>
          <w:szCs w:val="24"/>
        </w:rPr>
        <w:t xml:space="preserve">24) </w:t>
      </w:r>
      <w:r w:rsidR="001612E6" w:rsidRPr="001272D0">
        <w:rPr>
          <w:rFonts w:ascii="Arial" w:hAnsi="Arial" w:cs="Arial"/>
          <w:noProof/>
          <w:sz w:val="24"/>
          <w:szCs w:val="24"/>
        </w:rPr>
        <w:t>used</w:t>
      </w:r>
      <w:r w:rsidR="0094265B" w:rsidRPr="001272D0">
        <w:rPr>
          <w:rFonts w:ascii="Arial" w:hAnsi="Arial" w:cs="Arial"/>
          <w:noProof/>
          <w:sz w:val="24"/>
          <w:szCs w:val="24"/>
        </w:rPr>
        <w:t xml:space="preserve"> interviews</w:t>
      </w:r>
      <w:r w:rsidR="005C1DE3" w:rsidRPr="001272D0">
        <w:rPr>
          <w:rFonts w:ascii="Arial" w:hAnsi="Arial" w:cs="Arial"/>
          <w:noProof/>
          <w:sz w:val="24"/>
          <w:szCs w:val="24"/>
        </w:rPr>
        <w:t xml:space="preserve"> as a selection tool</w:t>
      </w:r>
      <w:r w:rsidR="00437382" w:rsidRPr="001272D0">
        <w:rPr>
          <w:rFonts w:ascii="Arial" w:hAnsi="Arial" w:cs="Arial"/>
          <w:noProof/>
          <w:sz w:val="24"/>
          <w:szCs w:val="24"/>
        </w:rPr>
        <w:t xml:space="preserve"> </w:t>
      </w:r>
      <w:r w:rsidR="0094265B" w:rsidRPr="001272D0">
        <w:rPr>
          <w:rFonts w:ascii="Arial" w:hAnsi="Arial" w:cs="Arial"/>
          <w:noProof/>
          <w:sz w:val="24"/>
          <w:szCs w:val="24"/>
        </w:rPr>
        <w:fldChar w:fldCharType="begin" w:fldLock="1"/>
      </w:r>
      <w:r w:rsidR="002E2F4F" w:rsidRPr="001272D0">
        <w:rPr>
          <w:rFonts w:ascii="Arial" w:hAnsi="Arial" w:cs="Arial"/>
          <w:noProof/>
          <w:sz w:val="24"/>
          <w:szCs w:val="24"/>
        </w:rPr>
        <w:instrText>ADDIN CSL_CITATION {"citationItems":[{"id":"ITEM-1","itemData":{"DOI":"10.5014/ajot.52.7.592","ISSN":"02729490","author":[{"dropping-particle":"","family":"Agho","given":"Augustine O.","non-dropping-particle":"","parse-names":false,"suffix":""},{"dropping-particle":"","family":"Mosley","given":"Barbara W.","non-dropping-particle":"","parse-names":false,"suffix":""},{"dropping-particle":"","family":"Smith-Paul","given":"Bobbie","non-dropping-particle":"","parse-names":false,"suffix":""}],"container-title":"American Journal of Occupational Therapy","id":"ITEM-1","issue":"7","issued":{"date-parts":[["1998"]]},"page":"592-594","title":"Use of the Interview in Selecting Students for Occupational Therapy Programs","type":"article-journal","volume":"52"},"uris":["http://www.mendeley.com/documents/?uuid=1cbe8409-aba2-4cd2-bb43-b51a6819dc7b"]}],"mendeley":{"formattedCitation":"(Agho, Mosley and Smith-Paul, 1998)","plainTextFormattedCitation":"(Agho, Mosley and Smith-Paul, 1998)","previouslyFormattedCitation":"(Agho, Mosley and Smith-Paul, 1998)"},"properties":{"noteIndex":0},"schema":"https://github.com/citation-style-language/schema/raw/master/csl-citation.json"}</w:instrText>
      </w:r>
      <w:r w:rsidR="0094265B" w:rsidRPr="001272D0">
        <w:rPr>
          <w:rFonts w:ascii="Arial" w:hAnsi="Arial" w:cs="Arial"/>
          <w:noProof/>
          <w:sz w:val="24"/>
          <w:szCs w:val="24"/>
        </w:rPr>
        <w:fldChar w:fldCharType="separate"/>
      </w:r>
      <w:r w:rsidR="002E2F4F" w:rsidRPr="001272D0">
        <w:rPr>
          <w:rFonts w:ascii="Arial" w:hAnsi="Arial" w:cs="Arial"/>
          <w:noProof/>
          <w:sz w:val="24"/>
          <w:szCs w:val="24"/>
        </w:rPr>
        <w:t>(Agho, Mosley and Smith-Paul, 1998)</w:t>
      </w:r>
      <w:r w:rsidR="0094265B" w:rsidRPr="001272D0">
        <w:rPr>
          <w:rFonts w:ascii="Arial" w:hAnsi="Arial" w:cs="Arial"/>
          <w:noProof/>
          <w:sz w:val="24"/>
          <w:szCs w:val="24"/>
        </w:rPr>
        <w:fldChar w:fldCharType="end"/>
      </w:r>
      <w:r w:rsidR="0094265B" w:rsidRPr="001272D0">
        <w:rPr>
          <w:rFonts w:ascii="Arial" w:hAnsi="Arial" w:cs="Arial"/>
          <w:noProof/>
          <w:sz w:val="24"/>
          <w:szCs w:val="24"/>
        </w:rPr>
        <w:t>.</w:t>
      </w:r>
      <w:r w:rsidR="0090570D" w:rsidRPr="001272D0">
        <w:rPr>
          <w:rFonts w:ascii="Arial" w:hAnsi="Arial" w:cs="Arial"/>
          <w:noProof/>
          <w:sz w:val="24"/>
          <w:szCs w:val="24"/>
        </w:rPr>
        <w:t xml:space="preserve"> Two decades</w:t>
      </w:r>
      <w:r w:rsidR="0094265B" w:rsidRPr="001272D0">
        <w:rPr>
          <w:rFonts w:ascii="Arial" w:hAnsi="Arial" w:cs="Arial"/>
          <w:noProof/>
          <w:sz w:val="24"/>
          <w:szCs w:val="24"/>
        </w:rPr>
        <w:t xml:space="preserve"> </w:t>
      </w:r>
      <w:r w:rsidR="003D0626" w:rsidRPr="001272D0">
        <w:rPr>
          <w:rFonts w:ascii="Arial" w:hAnsi="Arial" w:cs="Arial"/>
          <w:noProof/>
          <w:sz w:val="24"/>
          <w:szCs w:val="24"/>
        </w:rPr>
        <w:t>later</w:t>
      </w:r>
      <w:r w:rsidR="004C2DBF" w:rsidRPr="001272D0">
        <w:rPr>
          <w:rFonts w:ascii="Arial" w:hAnsi="Arial" w:cs="Arial"/>
          <w:noProof/>
          <w:sz w:val="24"/>
          <w:szCs w:val="24"/>
        </w:rPr>
        <w:t>,</w:t>
      </w:r>
      <w:r w:rsidR="004C5F25" w:rsidRPr="001272D0">
        <w:rPr>
          <w:rFonts w:ascii="Arial" w:hAnsi="Arial" w:cs="Arial"/>
          <w:noProof/>
          <w:sz w:val="24"/>
          <w:szCs w:val="24"/>
        </w:rPr>
        <w:t xml:space="preserve"> </w:t>
      </w:r>
      <w:r w:rsidR="005269AA" w:rsidRPr="001272D0">
        <w:rPr>
          <w:rFonts w:ascii="Arial" w:hAnsi="Arial" w:cs="Arial"/>
          <w:noProof/>
          <w:sz w:val="24"/>
          <w:szCs w:val="24"/>
        </w:rPr>
        <w:t xml:space="preserve">a survey of </w:t>
      </w:r>
      <w:r w:rsidR="0094265B" w:rsidRPr="001272D0">
        <w:rPr>
          <w:rFonts w:ascii="Arial" w:hAnsi="Arial" w:cs="Arial"/>
          <w:noProof/>
          <w:sz w:val="24"/>
          <w:szCs w:val="24"/>
        </w:rPr>
        <w:t xml:space="preserve">AOTA programmes offering MSc and OTD level </w:t>
      </w:r>
      <w:r w:rsidR="00BE3FD3" w:rsidRPr="001272D0">
        <w:rPr>
          <w:rFonts w:ascii="Arial" w:hAnsi="Arial" w:cs="Arial"/>
          <w:noProof/>
          <w:sz w:val="24"/>
          <w:szCs w:val="24"/>
        </w:rPr>
        <w:t xml:space="preserve">OT </w:t>
      </w:r>
      <w:r w:rsidR="0094265B" w:rsidRPr="001272D0">
        <w:rPr>
          <w:rFonts w:ascii="Arial" w:hAnsi="Arial" w:cs="Arial"/>
          <w:noProof/>
          <w:sz w:val="24"/>
          <w:szCs w:val="24"/>
        </w:rPr>
        <w:t>education</w:t>
      </w:r>
      <w:r w:rsidR="004C5F25" w:rsidRPr="001272D0">
        <w:rPr>
          <w:rFonts w:ascii="Arial" w:hAnsi="Arial" w:cs="Arial"/>
          <w:noProof/>
          <w:sz w:val="24"/>
          <w:szCs w:val="24"/>
        </w:rPr>
        <w:t xml:space="preserve"> (</w:t>
      </w:r>
      <w:r w:rsidR="004C5F25" w:rsidRPr="001272D0">
        <w:rPr>
          <w:rFonts w:ascii="Arial" w:hAnsi="Arial" w:cs="Arial"/>
          <w:i/>
          <w:iCs/>
          <w:noProof/>
          <w:sz w:val="24"/>
          <w:szCs w:val="24"/>
        </w:rPr>
        <w:t>n=</w:t>
      </w:r>
      <w:r w:rsidR="004C5F25" w:rsidRPr="001272D0">
        <w:rPr>
          <w:rFonts w:ascii="Arial" w:hAnsi="Arial" w:cs="Arial"/>
          <w:noProof/>
          <w:sz w:val="24"/>
          <w:szCs w:val="24"/>
        </w:rPr>
        <w:t>155)</w:t>
      </w:r>
      <w:r w:rsidR="0094265B" w:rsidRPr="001272D0">
        <w:rPr>
          <w:rFonts w:ascii="Arial" w:hAnsi="Arial" w:cs="Arial"/>
          <w:noProof/>
          <w:sz w:val="24"/>
          <w:szCs w:val="24"/>
        </w:rPr>
        <w:t xml:space="preserve"> </w:t>
      </w:r>
      <w:r w:rsidR="005269AA" w:rsidRPr="001272D0">
        <w:rPr>
          <w:rFonts w:ascii="Arial" w:hAnsi="Arial" w:cs="Arial"/>
          <w:noProof/>
          <w:sz w:val="24"/>
          <w:szCs w:val="24"/>
        </w:rPr>
        <w:t>yielded</w:t>
      </w:r>
      <w:r w:rsidR="0094265B" w:rsidRPr="001272D0">
        <w:rPr>
          <w:rFonts w:ascii="Arial" w:hAnsi="Arial" w:cs="Arial"/>
          <w:noProof/>
          <w:sz w:val="24"/>
          <w:szCs w:val="24"/>
        </w:rPr>
        <w:t xml:space="preserve"> </w:t>
      </w:r>
      <w:r w:rsidR="005269AA" w:rsidRPr="001272D0">
        <w:rPr>
          <w:rFonts w:ascii="Arial" w:hAnsi="Arial" w:cs="Arial"/>
          <w:noProof/>
          <w:sz w:val="24"/>
          <w:szCs w:val="24"/>
        </w:rPr>
        <w:t>a</w:t>
      </w:r>
      <w:r w:rsidR="0094265B" w:rsidRPr="001272D0">
        <w:rPr>
          <w:rFonts w:ascii="Arial" w:hAnsi="Arial" w:cs="Arial"/>
          <w:noProof/>
          <w:sz w:val="24"/>
          <w:szCs w:val="24"/>
        </w:rPr>
        <w:t xml:space="preserve"> 20% (</w:t>
      </w:r>
      <w:r w:rsidR="0094265B" w:rsidRPr="001272D0">
        <w:rPr>
          <w:rFonts w:ascii="Arial" w:hAnsi="Arial" w:cs="Arial"/>
          <w:i/>
          <w:iCs/>
          <w:noProof/>
          <w:sz w:val="24"/>
          <w:szCs w:val="24"/>
        </w:rPr>
        <w:t>n=</w:t>
      </w:r>
      <w:r w:rsidR="0094265B" w:rsidRPr="001272D0">
        <w:rPr>
          <w:rFonts w:ascii="Arial" w:hAnsi="Arial" w:cs="Arial"/>
          <w:noProof/>
          <w:sz w:val="24"/>
          <w:szCs w:val="24"/>
        </w:rPr>
        <w:t>31) response rate</w:t>
      </w:r>
      <w:r w:rsidR="005269AA" w:rsidRPr="001272D0">
        <w:rPr>
          <w:rFonts w:ascii="Arial" w:hAnsi="Arial" w:cs="Arial"/>
          <w:noProof/>
          <w:sz w:val="24"/>
          <w:szCs w:val="24"/>
        </w:rPr>
        <w:t>. Evidence</w:t>
      </w:r>
      <w:r w:rsidR="0094265B" w:rsidRPr="001272D0">
        <w:rPr>
          <w:rFonts w:ascii="Arial" w:hAnsi="Arial" w:cs="Arial"/>
          <w:noProof/>
          <w:sz w:val="24"/>
          <w:szCs w:val="24"/>
        </w:rPr>
        <w:t xml:space="preserve"> </w:t>
      </w:r>
      <w:r w:rsidR="001620D3" w:rsidRPr="001272D0">
        <w:rPr>
          <w:rFonts w:ascii="Arial" w:hAnsi="Arial" w:cs="Arial"/>
          <w:noProof/>
          <w:sz w:val="24"/>
          <w:szCs w:val="24"/>
        </w:rPr>
        <w:t>reve</w:t>
      </w:r>
      <w:r w:rsidR="004162D7" w:rsidRPr="001272D0">
        <w:rPr>
          <w:rFonts w:ascii="Arial" w:hAnsi="Arial" w:cs="Arial"/>
          <w:noProof/>
          <w:sz w:val="24"/>
          <w:szCs w:val="24"/>
        </w:rPr>
        <w:t>al</w:t>
      </w:r>
      <w:r w:rsidR="001620D3" w:rsidRPr="001272D0">
        <w:rPr>
          <w:rFonts w:ascii="Arial" w:hAnsi="Arial" w:cs="Arial"/>
          <w:noProof/>
          <w:sz w:val="24"/>
          <w:szCs w:val="24"/>
        </w:rPr>
        <w:t>ed</w:t>
      </w:r>
      <w:r w:rsidR="0094265B" w:rsidRPr="001272D0">
        <w:rPr>
          <w:rFonts w:ascii="Arial" w:hAnsi="Arial" w:cs="Arial"/>
          <w:noProof/>
          <w:sz w:val="24"/>
          <w:szCs w:val="24"/>
        </w:rPr>
        <w:t xml:space="preserve"> 66.7% (</w:t>
      </w:r>
      <w:r w:rsidR="0094265B" w:rsidRPr="001272D0">
        <w:rPr>
          <w:rFonts w:ascii="Arial" w:hAnsi="Arial" w:cs="Arial"/>
          <w:i/>
          <w:iCs/>
          <w:noProof/>
          <w:sz w:val="24"/>
          <w:szCs w:val="24"/>
        </w:rPr>
        <w:t>n=</w:t>
      </w:r>
      <w:r w:rsidR="0094265B" w:rsidRPr="001272D0">
        <w:rPr>
          <w:rFonts w:ascii="Arial" w:hAnsi="Arial" w:cs="Arial"/>
          <w:noProof/>
          <w:sz w:val="24"/>
          <w:szCs w:val="24"/>
        </w:rPr>
        <w:t>20) us</w:t>
      </w:r>
      <w:r w:rsidR="001620D3" w:rsidRPr="001272D0">
        <w:rPr>
          <w:rFonts w:ascii="Arial" w:hAnsi="Arial" w:cs="Arial"/>
          <w:noProof/>
          <w:sz w:val="24"/>
          <w:szCs w:val="24"/>
        </w:rPr>
        <w:t>ed</w:t>
      </w:r>
      <w:r w:rsidR="0094265B" w:rsidRPr="001272D0">
        <w:rPr>
          <w:rFonts w:ascii="Arial" w:hAnsi="Arial" w:cs="Arial"/>
          <w:noProof/>
          <w:sz w:val="24"/>
          <w:szCs w:val="24"/>
        </w:rPr>
        <w:t xml:space="preserve"> interviews, comprising of single applicant and panel (</w:t>
      </w:r>
      <w:r w:rsidR="0094265B" w:rsidRPr="001272D0">
        <w:rPr>
          <w:rFonts w:ascii="Arial" w:hAnsi="Arial" w:cs="Arial"/>
          <w:i/>
          <w:iCs/>
          <w:noProof/>
          <w:sz w:val="24"/>
          <w:szCs w:val="24"/>
        </w:rPr>
        <w:t>n=</w:t>
      </w:r>
      <w:r w:rsidR="0094265B" w:rsidRPr="001272D0">
        <w:rPr>
          <w:rFonts w:ascii="Arial" w:hAnsi="Arial" w:cs="Arial"/>
          <w:noProof/>
          <w:sz w:val="24"/>
          <w:szCs w:val="24"/>
        </w:rPr>
        <w:t>8); multiple applicants and panel (</w:t>
      </w:r>
      <w:r w:rsidR="0094265B" w:rsidRPr="001272D0">
        <w:rPr>
          <w:rFonts w:ascii="Arial" w:hAnsi="Arial" w:cs="Arial"/>
          <w:i/>
          <w:iCs/>
          <w:noProof/>
          <w:sz w:val="24"/>
          <w:szCs w:val="24"/>
        </w:rPr>
        <w:t>n=</w:t>
      </w:r>
      <w:r w:rsidR="0094265B" w:rsidRPr="001272D0">
        <w:rPr>
          <w:rFonts w:ascii="Arial" w:hAnsi="Arial" w:cs="Arial"/>
          <w:noProof/>
          <w:sz w:val="24"/>
          <w:szCs w:val="24"/>
        </w:rPr>
        <w:t>2); single applicant/single interviewer (</w:t>
      </w:r>
      <w:r w:rsidR="0094265B" w:rsidRPr="001272D0">
        <w:rPr>
          <w:rFonts w:ascii="Arial" w:hAnsi="Arial" w:cs="Arial"/>
          <w:i/>
          <w:iCs/>
          <w:noProof/>
          <w:sz w:val="24"/>
          <w:szCs w:val="24"/>
        </w:rPr>
        <w:t>n=</w:t>
      </w:r>
      <w:r w:rsidR="0094265B" w:rsidRPr="001272D0">
        <w:rPr>
          <w:rFonts w:ascii="Arial" w:hAnsi="Arial" w:cs="Arial"/>
          <w:noProof/>
          <w:sz w:val="24"/>
          <w:szCs w:val="24"/>
        </w:rPr>
        <w:t>6) or multi-mini interviews (MMIs) (</w:t>
      </w:r>
      <w:r w:rsidR="0094265B" w:rsidRPr="001272D0">
        <w:rPr>
          <w:rFonts w:ascii="Arial" w:hAnsi="Arial" w:cs="Arial"/>
          <w:i/>
          <w:iCs/>
          <w:noProof/>
          <w:sz w:val="24"/>
          <w:szCs w:val="24"/>
        </w:rPr>
        <w:t>n</w:t>
      </w:r>
      <w:r w:rsidR="0094265B" w:rsidRPr="001272D0">
        <w:rPr>
          <w:rFonts w:ascii="Arial" w:hAnsi="Arial" w:cs="Arial"/>
          <w:noProof/>
          <w:sz w:val="24"/>
          <w:szCs w:val="24"/>
        </w:rPr>
        <w:t xml:space="preserve">=4) </w:t>
      </w:r>
      <w:r w:rsidR="0094265B" w:rsidRPr="001272D0">
        <w:rPr>
          <w:rFonts w:ascii="Arial" w:hAnsi="Arial" w:cs="Arial"/>
          <w:noProof/>
          <w:sz w:val="24"/>
          <w:szCs w:val="24"/>
        </w:rPr>
        <w:fldChar w:fldCharType="begin" w:fldLock="1"/>
      </w:r>
      <w:r w:rsidR="002E2F4F" w:rsidRPr="001272D0">
        <w:rPr>
          <w:rFonts w:ascii="Arial" w:hAnsi="Arial" w:cs="Arial"/>
          <w:noProof/>
          <w:sz w:val="24"/>
          <w:szCs w:val="24"/>
        </w:rPr>
        <w:instrText>ADDIN CSL_CITATION {"citationItems":[{"id":"ITEM-1","itemData":{"DOI":"10.26681/jote.2018.020301","ISSN":"2573-1378","author":[{"dropping-particle":"","family":"Bowyer","given":"Patricia","non-dropping-particle":"","parse-names":false,"suffix":""},{"dropping-particle":"","family":"Tiongco","given":"Cynthia","non-dropping-particle":"","parse-names":false,"suffix":""},{"dropping-particle":"","family":"Rubio","given":"L. Kaye","non-dropping-particle":"","parse-names":false,"suffix":""},{"dropping-particle":"","family":"Liu","given":"Judy","non-dropping-particle":"","parse-names":false,"suffix":""},{"dropping-particle":"","family":"Whisner","given":"Sandra M","non-dropping-particle":"","parse-names":false,"suffix":""}],"container-title":"Journal of Occupational Therapy Education","id":"ITEM-1","issue":"3","issued":{"date-parts":[["2018"]]},"title":"Admission Requirements and Practices in Entry-Level Occupational Therapy Programs","type":"article-journal","volume":"2"},"uris":["http://www.mendeley.com/documents/?uuid=88d18a5f-0f1b-4ea3-a67a-db3fff7e568a"]}],"mendeley":{"formattedCitation":"(Bowyer &lt;i&gt;et al.&lt;/i&gt;, 2018)","plainTextFormattedCitation":"(Bowyer et al., 2018)","previouslyFormattedCitation":"(Bowyer &lt;i&gt;et al.&lt;/i&gt;, 2018)"},"properties":{"noteIndex":0},"schema":"https://github.com/citation-style-language/schema/raw/master/csl-citation.json"}</w:instrText>
      </w:r>
      <w:r w:rsidR="0094265B" w:rsidRPr="001272D0">
        <w:rPr>
          <w:rFonts w:ascii="Arial" w:hAnsi="Arial" w:cs="Arial"/>
          <w:noProof/>
          <w:sz w:val="24"/>
          <w:szCs w:val="24"/>
        </w:rPr>
        <w:fldChar w:fldCharType="separate"/>
      </w:r>
      <w:r w:rsidR="002E2F4F" w:rsidRPr="001272D0">
        <w:rPr>
          <w:rFonts w:ascii="Arial" w:hAnsi="Arial" w:cs="Arial"/>
          <w:noProof/>
          <w:sz w:val="24"/>
          <w:szCs w:val="24"/>
        </w:rPr>
        <w:t xml:space="preserve">(Bowyer </w:t>
      </w:r>
      <w:r w:rsidR="002E2F4F" w:rsidRPr="001272D0">
        <w:rPr>
          <w:rFonts w:ascii="Arial" w:hAnsi="Arial" w:cs="Arial"/>
          <w:iCs/>
          <w:noProof/>
          <w:sz w:val="24"/>
          <w:szCs w:val="24"/>
        </w:rPr>
        <w:t>et al.,</w:t>
      </w:r>
      <w:r w:rsidR="002E2F4F" w:rsidRPr="001272D0">
        <w:rPr>
          <w:rFonts w:ascii="Arial" w:hAnsi="Arial" w:cs="Arial"/>
          <w:noProof/>
          <w:sz w:val="24"/>
          <w:szCs w:val="24"/>
        </w:rPr>
        <w:t xml:space="preserve"> 2018)</w:t>
      </w:r>
      <w:r w:rsidR="0094265B" w:rsidRPr="001272D0">
        <w:rPr>
          <w:rFonts w:ascii="Arial" w:hAnsi="Arial" w:cs="Arial"/>
          <w:noProof/>
          <w:sz w:val="24"/>
          <w:szCs w:val="24"/>
        </w:rPr>
        <w:fldChar w:fldCharType="end"/>
      </w:r>
      <w:r w:rsidR="004E0F7D" w:rsidRPr="001272D0">
        <w:rPr>
          <w:rFonts w:ascii="Arial" w:hAnsi="Arial" w:cs="Arial"/>
          <w:noProof/>
          <w:sz w:val="24"/>
          <w:szCs w:val="24"/>
        </w:rPr>
        <w:t xml:space="preserve">. </w:t>
      </w:r>
      <w:r w:rsidR="00732801" w:rsidRPr="001272D0">
        <w:rPr>
          <w:rFonts w:ascii="Arial" w:hAnsi="Arial" w:cs="Arial"/>
          <w:noProof/>
          <w:sz w:val="24"/>
          <w:szCs w:val="24"/>
        </w:rPr>
        <w:t xml:space="preserve">In an attempt to offer </w:t>
      </w:r>
      <w:r w:rsidR="004C4B13" w:rsidRPr="001272D0">
        <w:rPr>
          <w:rFonts w:ascii="Arial" w:hAnsi="Arial" w:cs="Arial"/>
          <w:noProof/>
          <w:sz w:val="24"/>
          <w:szCs w:val="24"/>
        </w:rPr>
        <w:t xml:space="preserve">reliable </w:t>
      </w:r>
      <w:r w:rsidR="00732801" w:rsidRPr="001272D0">
        <w:rPr>
          <w:rFonts w:ascii="Arial" w:hAnsi="Arial" w:cs="Arial"/>
          <w:noProof/>
          <w:sz w:val="24"/>
          <w:szCs w:val="24"/>
        </w:rPr>
        <w:t>evidence-</w:t>
      </w:r>
      <w:r w:rsidR="00732801" w:rsidRPr="001272D0">
        <w:rPr>
          <w:rFonts w:ascii="Arial" w:hAnsi="Arial" w:cs="Arial"/>
          <w:noProof/>
          <w:sz w:val="24"/>
          <w:szCs w:val="24"/>
        </w:rPr>
        <w:lastRenderedPageBreak/>
        <w:t>based alternatives to traditional interviews, t</w:t>
      </w:r>
      <w:r w:rsidR="007D2A03" w:rsidRPr="001272D0">
        <w:rPr>
          <w:rFonts w:ascii="Arial" w:hAnsi="Arial" w:cs="Arial"/>
          <w:noProof/>
          <w:sz w:val="24"/>
          <w:szCs w:val="24"/>
        </w:rPr>
        <w:t xml:space="preserve">he behavioural interview (BI) and MMI have been identified and explored </w:t>
      </w:r>
      <w:r w:rsidR="007D2A03" w:rsidRPr="001272D0">
        <w:rPr>
          <w:rFonts w:ascii="Arial" w:hAnsi="Arial" w:cs="Arial"/>
          <w:noProof/>
          <w:sz w:val="24"/>
          <w:szCs w:val="24"/>
        </w:rPr>
        <w:fldChar w:fldCharType="begin" w:fldLock="1"/>
      </w:r>
      <w:r w:rsidR="00E55FE1" w:rsidRPr="001272D0">
        <w:rPr>
          <w:rFonts w:ascii="Arial" w:hAnsi="Arial" w:cs="Arial"/>
          <w:noProof/>
          <w:sz w:val="24"/>
          <w:szCs w:val="24"/>
        </w:rPr>
        <w:instrText>ADDIN CSL_CITATION {"citationItems":[{"id":"ITEM-1","itemData":{"DOI":"10.12968/ijtr.2018.0149","ISSN":"1759779X","abstract":"Background/Aims Limited research exists on the predictive validity of multiple mini interviews when used during the selection process for physiotherapy, occupational therapy and speech and language therapy programmes. Traditional interviews were replaced by multiple mini interviews in the selection process for these three undergraduate programmes in one UK university. The purpose of secondary data analysis was to determine whether multiple mini interviews can predict academic and clinical placement performance during the first and second year of study. Methods Secondary data analysis was performed using the admissions data from 169 students. Data analysed comprised predictors (entry tariff, age and multiple mini interview scores) and outcomes (academic and placement achievement in years 1 and 2 over a period of 2 years from 2014 to 2016). Results Multiple standard regression analyses revealed that, overall, multiple mini interview score was not a significant predictor of academic achievement or clinical placement performance in years 1 and 2 for any of the three professions. Pearson's correlations indicated that age and entry tariff were frequently and significantly correlated with academic achievements for all cohorts. Conclusions Performance in the multiple mini interview is not a predictor of academic achievement or clinical placement performance in this specific cohort of students. Entry tariff showed a significant correlation with academic achievement. Additional studies with larger cohorts are recommended.","author":[{"dropping-particle":"","family":"Kale","given":"Swati","non-dropping-particle":"","parse-names":false,"suffix":""},{"dropping-particle":"","family":"Kamble","given":"Meghana Wadnerkar","non-dropping-particle":"","parse-names":false,"suffix":""},{"dropping-particle":"","family":"Spalding","given":"Nicola","non-dropping-particle":"","parse-names":false,"suffix":""}],"container-title":"International Journal of Therapy and Rehabilitation","id":"ITEM-1","issue":"4","issued":{"date-parts":[["2020"]]},"page":"1-13","title":"Predictive validity of multiple mini interview scores for future academic and clinical placement performance in physiotherapy, occupational therapy and speech and language therapy programmes","type":"article-journal","volume":"27"},"uris":["http://www.mendeley.com/documents/?uuid=2815b1f4-accb-41cc-9510-5aa200830a0f"]},{"id":"ITEM-2","itemData":{"DOI":"10.26681/jote.2017.010107","ISSN":"2573-1378","abstract":"We describe results of an experimental investigation into the orientation state of liquid crystalline solutions of poly(benzy1 glutamate) under shear flow and how the microscopic structure relates to the macroscopic mechanical rheological behavior. The technique of flow birefringence was used to study the degree of molecular orientation. A spectrographic flow birefringence apparatus is described that eliminates ambiguities associated with multiple orders of retardation in birefringence measurements. The birefringence observed in textured solutions under shear flow is always less than that measured in quiescent, defect-free monodomains of the solutions. At low shear rates, the birefringence is roughly constant and in the range of 5343% of that observed in a monodomain; there is no evidence of a low-orientation, \" piled polydomain \" structure. At high shear rates, the birefringence is again roughly constant and around 90% of the monodomain value. The transition between low-and high-orientation states as a function of shear rate is closely correlated with changes in sign of the first normal stress difference of these Solutions, leading us to identify it as a manifestation of a transition between regimes of director tumbling at low shear rates and flow alignment at high shear rates. These observations are compared qualitatively and quantatively with predictions of the nonlinear Doi molecular model for textureleas samples [Laraon, R. G. Macromolecules 1990,23,3983] and the linear Larson and Doi tumbling polydomain model for textured samples [Laraon, R. G.; Doi, M. J. Rheol. 1991,35,539]. An accompanying paper considers transient flow phenomena at low shear rates.","author":[{"dropping-particle":"","family":"Li","given":"Kitsum","non-dropping-particle":"","parse-names":false,"suffix":""},{"dropping-particle":"","family":"Wilbarger","given":"Julia","non-dropping-particle":"","parse-names":false,"suffix":""},{"dropping-particle":"","family":"Louis","given":"Shad","non-dropping-particle":"St.","parse-names":false,"suffix":""}],"container-title":"Journal of Occupational Therapy Education","id":"ITEM-2","issue":"1","issued":{"date-parts":[["2017"]]},"title":"An Innovative Behavioral Interview for Pre-admission Selection of Occupational Therapy Students","type":"article-journal","volume":"1"},"uris":["http://www.mendeley.com/documents/?uuid=5b95c02d-97fc-431e-9eaa-e94063d4eed5"]},{"id":"ITEM-3","itemData":{"DOI":"10.26681/jote.2018.020301","ISSN":"2573-1378","author":[{"dropping-particle":"","family":"Bowyer","given":"Patricia","non-dropping-particle":"","parse-names":false,"suffix":""},{"dropping-particle":"","family":"Tiongco","given":"Cynthia","non-dropping-particle":"","parse-names":false,"suffix":""},{"dropping-particle":"","family":"Rubio","given":"L. Kaye","non-dropping-particle":"","parse-names":false,"suffix":""},{"dropping-particle":"","family":"Liu","given":"Judy","non-dropping-particle":"","parse-names":false,"suffix":""},{"dropping-particle":"","family":"Whisner","given":"Sandra M","non-dropping-particle":"","parse-names":false,"suffix":""}],"container-title":"Journal of Occupational Therapy Education","id":"ITEM-3","issue":"3","issued":{"date-parts":[["2018"]]},"title":"Admission Requirements and Practices in Entry-Level Occupational Therapy Programs","type":"article-journal","volume":"2"},"uris":["http://www.mendeley.com/documents/?uuid=88d18a5f-0f1b-4ea3-a67a-db3fff7e568a"]}],"mendeley":{"formattedCitation":"(Li, Wilbarger and St. Louis, 2017; Bowyer &lt;i&gt;et al.&lt;/i&gt;, 2018; Kale, Kamble and Spalding, 2020)","plainTextFormattedCitation":"(Li, Wilbarger and St. Louis, 2017; Bowyer et al., 2018; Kale, Kamble and Spalding, 2020)","previouslyFormattedCitation":"(Li, Wilbarger and St. Louis, 2017; Bowyer &lt;i&gt;et al.&lt;/i&gt;, 2018; Kale, Kamble and Spalding, 2020)"},"properties":{"noteIndex":0},"schema":"https://github.com/citation-style-language/schema/raw/master/csl-citation.json"}</w:instrText>
      </w:r>
      <w:r w:rsidR="007D2A03" w:rsidRPr="001272D0">
        <w:rPr>
          <w:rFonts w:ascii="Arial" w:hAnsi="Arial" w:cs="Arial"/>
          <w:noProof/>
          <w:sz w:val="24"/>
          <w:szCs w:val="24"/>
        </w:rPr>
        <w:fldChar w:fldCharType="separate"/>
      </w:r>
      <w:r w:rsidR="009B480B" w:rsidRPr="001272D0">
        <w:rPr>
          <w:rFonts w:ascii="Arial" w:hAnsi="Arial" w:cs="Arial"/>
          <w:noProof/>
          <w:sz w:val="24"/>
          <w:szCs w:val="24"/>
        </w:rPr>
        <w:t xml:space="preserve">(Li, Wilbarger and St. Louis, 2017; Bowyer </w:t>
      </w:r>
      <w:r w:rsidR="009B480B" w:rsidRPr="001272D0">
        <w:rPr>
          <w:rFonts w:ascii="Arial" w:hAnsi="Arial" w:cs="Arial"/>
          <w:iCs/>
          <w:noProof/>
          <w:sz w:val="24"/>
          <w:szCs w:val="24"/>
        </w:rPr>
        <w:t>et al.,</w:t>
      </w:r>
      <w:r w:rsidR="009B480B" w:rsidRPr="001272D0">
        <w:rPr>
          <w:rFonts w:ascii="Arial" w:hAnsi="Arial" w:cs="Arial"/>
          <w:noProof/>
          <w:sz w:val="24"/>
          <w:szCs w:val="24"/>
        </w:rPr>
        <w:t xml:space="preserve"> 2018; Kale, Kamble and Spalding, 2020)</w:t>
      </w:r>
      <w:r w:rsidR="007D2A03" w:rsidRPr="001272D0">
        <w:rPr>
          <w:rFonts w:ascii="Arial" w:hAnsi="Arial" w:cs="Arial"/>
          <w:noProof/>
          <w:sz w:val="24"/>
          <w:szCs w:val="24"/>
        </w:rPr>
        <w:fldChar w:fldCharType="end"/>
      </w:r>
      <w:r w:rsidR="007D2A03" w:rsidRPr="001272D0">
        <w:rPr>
          <w:rFonts w:ascii="Arial" w:hAnsi="Arial" w:cs="Arial"/>
          <w:noProof/>
          <w:sz w:val="24"/>
          <w:szCs w:val="24"/>
        </w:rPr>
        <w:t xml:space="preserve">. </w:t>
      </w:r>
      <w:r w:rsidR="00C21DA3" w:rsidRPr="001272D0">
        <w:rPr>
          <w:rFonts w:ascii="Arial" w:hAnsi="Arial" w:cs="Arial"/>
          <w:noProof/>
          <w:sz w:val="24"/>
          <w:szCs w:val="24"/>
        </w:rPr>
        <w:t>T</w:t>
      </w:r>
      <w:r w:rsidR="00D027B6" w:rsidRPr="001272D0">
        <w:rPr>
          <w:rFonts w:ascii="Arial" w:hAnsi="Arial" w:cs="Arial"/>
          <w:noProof/>
          <w:sz w:val="24"/>
          <w:szCs w:val="24"/>
        </w:rPr>
        <w:t>hey have received</w:t>
      </w:r>
      <w:r w:rsidR="00CA17BC" w:rsidRPr="001272D0">
        <w:rPr>
          <w:rFonts w:ascii="Arial" w:hAnsi="Arial" w:cs="Arial"/>
          <w:noProof/>
          <w:sz w:val="24"/>
          <w:szCs w:val="24"/>
        </w:rPr>
        <w:t xml:space="preserve"> positive attention</w:t>
      </w:r>
      <w:r w:rsidR="00AB592F" w:rsidRPr="001272D0">
        <w:rPr>
          <w:rFonts w:ascii="Arial" w:hAnsi="Arial" w:cs="Arial"/>
          <w:noProof/>
          <w:sz w:val="24"/>
          <w:szCs w:val="24"/>
        </w:rPr>
        <w:t xml:space="preserve"> for </w:t>
      </w:r>
      <w:r w:rsidR="00111536" w:rsidRPr="001272D0">
        <w:rPr>
          <w:rFonts w:ascii="Arial" w:hAnsi="Arial" w:cs="Arial"/>
          <w:noProof/>
          <w:sz w:val="24"/>
          <w:szCs w:val="24"/>
        </w:rPr>
        <w:t xml:space="preserve">evaluating </w:t>
      </w:r>
      <w:r w:rsidR="00067EFE" w:rsidRPr="001272D0">
        <w:rPr>
          <w:rFonts w:ascii="Arial" w:hAnsi="Arial" w:cs="Arial"/>
          <w:noProof/>
          <w:sz w:val="24"/>
          <w:szCs w:val="24"/>
        </w:rPr>
        <w:t>non-cognitive capacity through values-based scenarios</w:t>
      </w:r>
      <w:r w:rsidR="00C21DA3" w:rsidRPr="001272D0">
        <w:rPr>
          <w:rFonts w:ascii="Arial" w:hAnsi="Arial" w:cs="Arial"/>
          <w:noProof/>
          <w:sz w:val="24"/>
          <w:szCs w:val="24"/>
        </w:rPr>
        <w:t>, while</w:t>
      </w:r>
      <w:r w:rsidR="001C7988" w:rsidRPr="001272D0">
        <w:rPr>
          <w:rFonts w:ascii="Arial" w:hAnsi="Arial" w:cs="Arial"/>
          <w:noProof/>
          <w:sz w:val="24"/>
          <w:szCs w:val="24"/>
        </w:rPr>
        <w:t xml:space="preserve"> </w:t>
      </w:r>
      <w:r w:rsidR="00AB592F" w:rsidRPr="001272D0">
        <w:rPr>
          <w:rFonts w:ascii="Arial" w:hAnsi="Arial" w:cs="Arial"/>
          <w:noProof/>
          <w:sz w:val="24"/>
          <w:szCs w:val="24"/>
        </w:rPr>
        <w:t xml:space="preserve">tackling issues </w:t>
      </w:r>
      <w:r w:rsidR="00916731" w:rsidRPr="001272D0">
        <w:rPr>
          <w:rFonts w:ascii="Arial" w:hAnsi="Arial" w:cs="Arial"/>
          <w:noProof/>
          <w:sz w:val="24"/>
          <w:szCs w:val="24"/>
        </w:rPr>
        <w:t>relating to</w:t>
      </w:r>
      <w:r w:rsidR="00AB592F" w:rsidRPr="001272D0">
        <w:rPr>
          <w:rFonts w:ascii="Arial" w:hAnsi="Arial" w:cs="Arial"/>
          <w:noProof/>
          <w:sz w:val="24"/>
          <w:szCs w:val="24"/>
        </w:rPr>
        <w:t xml:space="preserve"> labour, time and cost-intensity, bias, validity and reliabilit</w:t>
      </w:r>
      <w:r w:rsidR="00C21DA3" w:rsidRPr="001272D0">
        <w:rPr>
          <w:rFonts w:ascii="Arial" w:hAnsi="Arial" w:cs="Arial"/>
          <w:noProof/>
          <w:sz w:val="24"/>
          <w:szCs w:val="24"/>
        </w:rPr>
        <w:t>y but</w:t>
      </w:r>
      <w:r w:rsidR="00750B71" w:rsidRPr="001272D0">
        <w:rPr>
          <w:rFonts w:ascii="Arial" w:hAnsi="Arial" w:cs="Arial"/>
          <w:noProof/>
          <w:sz w:val="24"/>
          <w:szCs w:val="24"/>
        </w:rPr>
        <w:t xml:space="preserve"> </w:t>
      </w:r>
      <w:r w:rsidR="00AB592F" w:rsidRPr="001272D0">
        <w:rPr>
          <w:rFonts w:ascii="Arial" w:hAnsi="Arial" w:cs="Arial"/>
          <w:noProof/>
          <w:sz w:val="24"/>
          <w:szCs w:val="24"/>
        </w:rPr>
        <w:t xml:space="preserve">correlational evidence between admission and graduation success </w:t>
      </w:r>
      <w:r w:rsidR="00C21DA3" w:rsidRPr="001272D0">
        <w:rPr>
          <w:rFonts w:ascii="Arial" w:hAnsi="Arial" w:cs="Arial"/>
          <w:noProof/>
          <w:sz w:val="24"/>
          <w:szCs w:val="24"/>
        </w:rPr>
        <w:t>is variable</w:t>
      </w:r>
      <w:r w:rsidR="00AB592F" w:rsidRPr="001272D0">
        <w:rPr>
          <w:rFonts w:ascii="Arial" w:hAnsi="Arial" w:cs="Arial"/>
          <w:noProof/>
          <w:sz w:val="24"/>
          <w:szCs w:val="24"/>
        </w:rPr>
        <w:t xml:space="preserve"> </w:t>
      </w:r>
      <w:r w:rsidR="00AB592F" w:rsidRPr="001272D0">
        <w:rPr>
          <w:rFonts w:ascii="Arial" w:hAnsi="Arial" w:cs="Arial"/>
          <w:noProof/>
          <w:sz w:val="24"/>
          <w:szCs w:val="24"/>
        </w:rPr>
        <w:fldChar w:fldCharType="begin" w:fldLock="1"/>
      </w:r>
      <w:r w:rsidR="00AB592F" w:rsidRPr="001272D0">
        <w:rPr>
          <w:rFonts w:ascii="Arial" w:hAnsi="Arial" w:cs="Arial"/>
          <w:noProof/>
          <w:sz w:val="24"/>
          <w:szCs w:val="24"/>
        </w:rPr>
        <w:instrText>ADDIN CSL_CITATION {"citationItems":[{"id":"ITEM-1","itemData":{"ISSN":"1945404X","PMID":"24598901","abstract":"Many occupational therapy education programs use face-to-face interviewing as part of the admissions process. As programs and the applicant pool size have grown, interviewing in the traditional way has become labor intensive. Recent surveys show that in the U.S., about 99% of medical programs use the interview for admissions, as do 81% of physical therapy and 63% of occupational therapy programs. Most health science professions, including occupational therapy, value noncognitive traits such as integrity, empathy, ethical judgment, and professionalism. It has been found that traditional interviews do not really assess these noncognitive skills and traits that are desired. Instead, they are actually biased and may be influenced more by feelings of \"like and dislike\" than the candidate's actual abilities. It has been shown that the use of objective structured clinical examination-style stations provide greater reliability and validity than the traditional interview and are able to assess different noncognitive attributes. One such process involves the use of multiple miniinterviews (MMI), and evidence supporting its use for admission to medical school was first established in studies at McMaster University. Other disciplines have taken an interest in this process, including nursing and physician assistant programs, and have found the same results. This article discusses the evidence found in these studies and our experience in using the MMI process for admissions to an entry-level occupational therapy program. © 2014 Association of Schools of Allied Health Professions, Wash., DC.","author":[{"dropping-particle":"","family":"Grice","given":"Kimatha Oxford","non-dropping-particle":"","parse-names":false,"suffix":""}],"container-title":"Journal of Allied Health","id":"ITEM-1","issue":"1","issued":{"date-parts":[["2014"]]},"page":"57-61","title":"Use of multiple mini-interviews for occupational therapy admissions","type":"article-journal","volume":"43"},"uris":["http://www.mendeley.com/documents/?uuid=e231a303-d122-4bcd-8924-377f45f73afa"]},{"id":"ITEM-2","itemData":{"DOI":"10.1046/j.1365-2923.2004.01776.x","ISSN":"03080110","PMID":"14996341","abstract":"CONTEXT: Although health sciences programmes continue to value non-cognitive variables such as interpersonal skills and professionalism, it is not clear that current admissions tools like the personal interview are capable of assessing ability in these domains. Hypothesising that many of the problems with the personal interview might be explained, at least in part, by it being yet another measurement tool that is plagued by context specificity, we have attempted to develop a multiple sample approach to the personal interview. METHODS: A group of 117 applicants to the undergraduate MD programme at McMaster University participated in a multiple mini-interview (MMI), consisting of 10 short objective structured clinical examination (OSCE)-style stations, in which they were presented with scenarios that required them to discuss a health-related issue (e.g. the use of placebos) with an interviewer, interact with a standardised confederate while an examiner observed the interpersonal skills displayed, or answer traditional interview questions. RESULTS: The reliability of the MMI was observed to be 0.65. Furthermore, the hypothesis that context specificity might reduce the validity of traditional interviews was supported by the finding that the variance component attributable to candidate-station interaction was greater than that attributable to candidate. Both applicants and examiners were positive about the experience and the potential for this protocol. DISCUSSION: The principles used in developing this new admissions instrument, the flexibility inherent in the multiple mini-interview, and its feasibility and cost-effectiveness are discussed.","author":[{"dropping-particle":"","family":"Eva","given":"Kevin W.","non-dropping-particle":"","parse-names":false,"suffix":""},{"dropping-particle":"","family":"Rosenfeld","given":"Jack","non-dropping-particle":"","parse-names":false,"suffix":""},{"dropping-particle":"","family":"Reiter","given":"Harold I.","non-dropping-particle":"","parse-names":false,"suffix":""},{"dropping-particle":"","family":"Norman","given":"Geoffrey R.","non-dropping-particle":"","parse-names":false,"suffix":""}],"container-title":"Medical Education","id":"ITEM-2","issue":"3","issued":{"date-parts":[["2004"]]},"page":"314-326","title":"An admissions OSCE: The multiple mini-interview","type":"article-journal","volume":"38"},"uris":["http://www.mendeley.com/documents/?uuid=857aeed7-13dc-4a7b-a867-a3914445313f"]}],"mendeley":{"formattedCitation":"(Eva &lt;i&gt;et al.&lt;/i&gt;, 2004; Grice, 2014)","plainTextFormattedCitation":"(Eva et al., 2004; Grice, 2014)","previouslyFormattedCitation":"(Eva &lt;i&gt;et al.&lt;/i&gt;, 2004; Grice, 2014)"},"properties":{"noteIndex":0},"schema":"https://github.com/citation-style-language/schema/raw/master/csl-citation.json"}</w:instrText>
      </w:r>
      <w:r w:rsidR="00AB592F" w:rsidRPr="001272D0">
        <w:rPr>
          <w:rFonts w:ascii="Arial" w:hAnsi="Arial" w:cs="Arial"/>
          <w:noProof/>
          <w:sz w:val="24"/>
          <w:szCs w:val="24"/>
        </w:rPr>
        <w:fldChar w:fldCharType="separate"/>
      </w:r>
      <w:r w:rsidR="00AB592F" w:rsidRPr="001272D0">
        <w:rPr>
          <w:rFonts w:ascii="Arial" w:hAnsi="Arial" w:cs="Arial"/>
          <w:noProof/>
          <w:sz w:val="24"/>
          <w:szCs w:val="24"/>
        </w:rPr>
        <w:t xml:space="preserve">(Eva </w:t>
      </w:r>
      <w:r w:rsidR="00AB592F" w:rsidRPr="001272D0">
        <w:rPr>
          <w:rFonts w:ascii="Arial" w:hAnsi="Arial" w:cs="Arial"/>
          <w:iCs/>
          <w:noProof/>
          <w:sz w:val="24"/>
          <w:szCs w:val="24"/>
        </w:rPr>
        <w:t>et al.,</w:t>
      </w:r>
      <w:r w:rsidR="00AB592F" w:rsidRPr="001272D0">
        <w:rPr>
          <w:rFonts w:ascii="Arial" w:hAnsi="Arial" w:cs="Arial"/>
          <w:noProof/>
          <w:sz w:val="24"/>
          <w:szCs w:val="24"/>
        </w:rPr>
        <w:t xml:space="preserve"> 2004; Grice, 2014)</w:t>
      </w:r>
      <w:r w:rsidR="00AB592F" w:rsidRPr="001272D0">
        <w:rPr>
          <w:rFonts w:ascii="Arial" w:hAnsi="Arial" w:cs="Arial"/>
          <w:noProof/>
          <w:sz w:val="24"/>
          <w:szCs w:val="24"/>
        </w:rPr>
        <w:fldChar w:fldCharType="end"/>
      </w:r>
      <w:r w:rsidR="00AB592F" w:rsidRPr="001272D0">
        <w:rPr>
          <w:rFonts w:ascii="Arial" w:hAnsi="Arial" w:cs="Arial"/>
          <w:noProof/>
          <w:sz w:val="24"/>
          <w:szCs w:val="24"/>
        </w:rPr>
        <w:t>.</w:t>
      </w:r>
      <w:r w:rsidR="00D11F14" w:rsidRPr="001272D0">
        <w:rPr>
          <w:rFonts w:ascii="Arial" w:hAnsi="Arial" w:cs="Arial"/>
          <w:noProof/>
          <w:sz w:val="24"/>
          <w:szCs w:val="24"/>
        </w:rPr>
        <w:t xml:space="preserve"> </w:t>
      </w:r>
      <w:r w:rsidR="003412F4" w:rsidRPr="001272D0">
        <w:rPr>
          <w:rFonts w:ascii="Arial" w:hAnsi="Arial" w:cs="Arial"/>
          <w:noProof/>
          <w:sz w:val="24"/>
          <w:szCs w:val="24"/>
        </w:rPr>
        <w:t>Despi</w:t>
      </w:r>
      <w:r w:rsidR="00313DFF" w:rsidRPr="001272D0">
        <w:rPr>
          <w:rFonts w:ascii="Arial" w:hAnsi="Arial" w:cs="Arial"/>
          <w:noProof/>
          <w:sz w:val="24"/>
          <w:szCs w:val="24"/>
        </w:rPr>
        <w:t>t</w:t>
      </w:r>
      <w:r w:rsidR="003412F4" w:rsidRPr="001272D0">
        <w:rPr>
          <w:rFonts w:ascii="Arial" w:hAnsi="Arial" w:cs="Arial"/>
          <w:noProof/>
          <w:sz w:val="24"/>
          <w:szCs w:val="24"/>
        </w:rPr>
        <w:t xml:space="preserve">e inconsistent </w:t>
      </w:r>
      <w:r w:rsidR="00874D52" w:rsidRPr="001272D0">
        <w:rPr>
          <w:rFonts w:ascii="Arial" w:hAnsi="Arial" w:cs="Arial"/>
          <w:noProof/>
          <w:sz w:val="24"/>
          <w:szCs w:val="24"/>
        </w:rPr>
        <w:t xml:space="preserve">supportive </w:t>
      </w:r>
      <w:r w:rsidR="003412F4" w:rsidRPr="001272D0">
        <w:rPr>
          <w:rFonts w:ascii="Arial" w:hAnsi="Arial" w:cs="Arial"/>
          <w:noProof/>
          <w:sz w:val="24"/>
          <w:szCs w:val="24"/>
        </w:rPr>
        <w:t>evidence</w:t>
      </w:r>
      <w:r w:rsidR="00C1748B" w:rsidRPr="001272D0">
        <w:rPr>
          <w:rFonts w:ascii="Arial" w:hAnsi="Arial" w:cs="Arial"/>
          <w:noProof/>
          <w:sz w:val="24"/>
          <w:szCs w:val="24"/>
        </w:rPr>
        <w:t>, interviews</w:t>
      </w:r>
      <w:r w:rsidR="00AB3F23" w:rsidRPr="001272D0">
        <w:rPr>
          <w:rFonts w:ascii="Arial" w:hAnsi="Arial" w:cs="Arial"/>
          <w:noProof/>
          <w:sz w:val="24"/>
          <w:szCs w:val="24"/>
        </w:rPr>
        <w:t xml:space="preserve"> </w:t>
      </w:r>
      <w:r w:rsidR="00964790" w:rsidRPr="001272D0">
        <w:rPr>
          <w:rFonts w:ascii="Arial" w:hAnsi="Arial" w:cs="Arial"/>
          <w:noProof/>
          <w:sz w:val="24"/>
          <w:szCs w:val="24"/>
        </w:rPr>
        <w:t xml:space="preserve">continue to </w:t>
      </w:r>
      <w:r w:rsidR="00AB3F23" w:rsidRPr="001272D0">
        <w:rPr>
          <w:rFonts w:ascii="Arial" w:hAnsi="Arial" w:cs="Arial"/>
          <w:noProof/>
          <w:sz w:val="24"/>
          <w:szCs w:val="24"/>
        </w:rPr>
        <w:t>remain popular</w:t>
      </w:r>
      <w:r w:rsidR="00313DFF" w:rsidRPr="001272D0">
        <w:rPr>
          <w:rFonts w:ascii="Arial" w:hAnsi="Arial" w:cs="Arial"/>
          <w:noProof/>
          <w:sz w:val="24"/>
          <w:szCs w:val="24"/>
        </w:rPr>
        <w:t>, with 61.26% of MSc and OTD programmes (</w:t>
      </w:r>
      <w:r w:rsidR="00313DFF" w:rsidRPr="001272D0">
        <w:rPr>
          <w:rFonts w:ascii="Arial" w:hAnsi="Arial" w:cs="Arial"/>
          <w:i/>
          <w:iCs/>
          <w:noProof/>
          <w:sz w:val="24"/>
          <w:szCs w:val="24"/>
        </w:rPr>
        <w:t>n=</w:t>
      </w:r>
      <w:r w:rsidR="00313DFF" w:rsidRPr="001272D0">
        <w:rPr>
          <w:rFonts w:ascii="Arial" w:hAnsi="Arial" w:cs="Arial"/>
          <w:noProof/>
          <w:sz w:val="24"/>
          <w:szCs w:val="24"/>
        </w:rPr>
        <w:t>111) in the US</w:t>
      </w:r>
      <w:r w:rsidR="00F36965" w:rsidRPr="001272D0">
        <w:rPr>
          <w:rFonts w:ascii="Arial" w:hAnsi="Arial" w:cs="Arial"/>
          <w:noProof/>
          <w:sz w:val="24"/>
          <w:szCs w:val="24"/>
        </w:rPr>
        <w:t xml:space="preserve"> </w:t>
      </w:r>
      <w:r w:rsidR="00851FEB" w:rsidRPr="001272D0">
        <w:rPr>
          <w:rFonts w:ascii="Arial" w:hAnsi="Arial" w:cs="Arial"/>
          <w:noProof/>
          <w:sz w:val="24"/>
          <w:szCs w:val="24"/>
        </w:rPr>
        <w:t>using them,</w:t>
      </w:r>
      <w:r w:rsidR="00010953" w:rsidRPr="001272D0">
        <w:rPr>
          <w:rFonts w:ascii="Arial" w:hAnsi="Arial" w:cs="Arial"/>
          <w:noProof/>
          <w:sz w:val="24"/>
          <w:szCs w:val="24"/>
        </w:rPr>
        <w:t xml:space="preserve"> alongside </w:t>
      </w:r>
      <w:r w:rsidR="000B44E0" w:rsidRPr="001272D0">
        <w:rPr>
          <w:rFonts w:ascii="Arial" w:hAnsi="Arial" w:cs="Arial"/>
          <w:noProof/>
          <w:sz w:val="24"/>
          <w:szCs w:val="24"/>
        </w:rPr>
        <w:t>letters of recommendation (97.30%) personal statements (90.09%)</w:t>
      </w:r>
      <w:r w:rsidR="00010953" w:rsidRPr="001272D0">
        <w:rPr>
          <w:rFonts w:ascii="Arial" w:hAnsi="Arial" w:cs="Arial"/>
          <w:noProof/>
          <w:sz w:val="24"/>
          <w:szCs w:val="24"/>
        </w:rPr>
        <w:t xml:space="preserve"> and </w:t>
      </w:r>
      <w:r w:rsidR="000B44E0" w:rsidRPr="001272D0">
        <w:rPr>
          <w:rFonts w:ascii="Arial" w:hAnsi="Arial" w:cs="Arial"/>
          <w:noProof/>
          <w:sz w:val="24"/>
          <w:szCs w:val="24"/>
        </w:rPr>
        <w:t>observation hours (74.77%)</w:t>
      </w:r>
      <w:r w:rsidR="00851FEB" w:rsidRPr="001272D0">
        <w:rPr>
          <w:rFonts w:ascii="Arial" w:hAnsi="Arial" w:cs="Arial"/>
          <w:noProof/>
          <w:sz w:val="24"/>
          <w:szCs w:val="24"/>
        </w:rPr>
        <w:t xml:space="preserve"> </w:t>
      </w:r>
      <w:r w:rsidR="00851FEB" w:rsidRPr="001272D0">
        <w:rPr>
          <w:rFonts w:ascii="Arial" w:hAnsi="Arial" w:cs="Arial"/>
          <w:noProof/>
          <w:sz w:val="24"/>
          <w:szCs w:val="24"/>
        </w:rPr>
        <w:fldChar w:fldCharType="begin" w:fldLock="1"/>
      </w:r>
      <w:r w:rsidR="00FA06B9" w:rsidRPr="001272D0">
        <w:rPr>
          <w:rFonts w:ascii="Arial" w:hAnsi="Arial" w:cs="Arial"/>
          <w:noProof/>
          <w:sz w:val="24"/>
          <w:szCs w:val="24"/>
        </w:rPr>
        <w:instrText>ADDIN CSL_CITATION {"citationItems":[{"id":"ITEM-1","itemData":{"DOI":"10.5014/ajot.2021.75s2-po88","ISSN":"0272-9490","abstract":"Date Presented 04/12/21Establishing effective methods for the admissions process for OT programs is vital to ensure future growth and success in the profession. The admissions process provides insight into the applicant’s capabilities and values. This study aimed to evaluate which admissions components are being used most frequently by top-rated OT programs and, of those components, which will produce the strongest OT students.Primary Author and Speaker: Mallory A. BabinContributing Authors: Pamela S. Roberts","author":[{"dropping-particle":"","family":"McNeil","given":"Zana A.","non-dropping-particle":"","parse-names":false,"suffix":""},{"dropping-particle":"","family":"Babin","given":"Mallory A.","non-dropping-particle":"","parse-names":false,"suffix":""},{"dropping-particle":"","family":"Pyles","given":"Erin","non-dropping-particle":"","parse-names":false,"suffix":""},{"dropping-particle":"","family":"Trueblood","given":"Breanna","non-dropping-particle":"","parse-names":false,"suffix":""},{"dropping-particle":"","family":"Cloutier","given":"Bailee","non-dropping-particle":"","parse-names":false,"suffix":""},{"dropping-particle":"","family":"Cosper","given":"Sharon","non-dropping-particle":"","parse-names":false,"suffix":""}],"container-title":"The American Journal of Occupational Therapy","id":"ITEM-1","issue":"Supplement_2","issued":{"date-parts":[["2021"]]},"page":"7512505088p1-7512505088p1","title":"The Admissions Process in OT Education: Investigating Academic and Nonacademic Metrics in the Applicant Selection Process","type":"article-journal","volume":"75"},"uris":["http://www.mendeley.com/documents/?uuid=5bad1a35-0b6f-4675-a586-509d4194df7b"]}],"mendeley":{"formattedCitation":"(McNeil &lt;i&gt;et al.&lt;/i&gt;, 2021)","plainTextFormattedCitation":"(McNeil et al., 2021)","previouslyFormattedCitation":"(McNeil &lt;i&gt;et al.&lt;/i&gt;, 2021)"},"properties":{"noteIndex":0},"schema":"https://github.com/citation-style-language/schema/raw/master/csl-citation.json"}</w:instrText>
      </w:r>
      <w:r w:rsidR="00851FEB" w:rsidRPr="001272D0">
        <w:rPr>
          <w:rFonts w:ascii="Arial" w:hAnsi="Arial" w:cs="Arial"/>
          <w:noProof/>
          <w:sz w:val="24"/>
          <w:szCs w:val="24"/>
        </w:rPr>
        <w:fldChar w:fldCharType="separate"/>
      </w:r>
      <w:r w:rsidR="00851FEB" w:rsidRPr="001272D0">
        <w:rPr>
          <w:rFonts w:ascii="Arial" w:hAnsi="Arial" w:cs="Arial"/>
          <w:noProof/>
          <w:sz w:val="24"/>
          <w:szCs w:val="24"/>
        </w:rPr>
        <w:t xml:space="preserve">(McNeil </w:t>
      </w:r>
      <w:r w:rsidR="00851FEB" w:rsidRPr="001272D0">
        <w:rPr>
          <w:rFonts w:ascii="Arial" w:hAnsi="Arial" w:cs="Arial"/>
          <w:i/>
          <w:noProof/>
          <w:sz w:val="24"/>
          <w:szCs w:val="24"/>
        </w:rPr>
        <w:t>et al.</w:t>
      </w:r>
      <w:r w:rsidR="00851FEB" w:rsidRPr="001272D0">
        <w:rPr>
          <w:rFonts w:ascii="Arial" w:hAnsi="Arial" w:cs="Arial"/>
          <w:noProof/>
          <w:sz w:val="24"/>
          <w:szCs w:val="24"/>
        </w:rPr>
        <w:t>, 2021)</w:t>
      </w:r>
      <w:r w:rsidR="00851FEB" w:rsidRPr="001272D0">
        <w:rPr>
          <w:rFonts w:ascii="Arial" w:hAnsi="Arial" w:cs="Arial"/>
          <w:noProof/>
          <w:sz w:val="24"/>
          <w:szCs w:val="24"/>
        </w:rPr>
        <w:fldChar w:fldCharType="end"/>
      </w:r>
      <w:r w:rsidR="00010953" w:rsidRPr="001272D0">
        <w:rPr>
          <w:rFonts w:ascii="Arial" w:hAnsi="Arial" w:cs="Arial"/>
          <w:noProof/>
          <w:sz w:val="24"/>
          <w:szCs w:val="24"/>
        </w:rPr>
        <w:t>.</w:t>
      </w:r>
      <w:r w:rsidR="00BC087C" w:rsidRPr="001272D0">
        <w:rPr>
          <w:rFonts w:ascii="Arial" w:hAnsi="Arial" w:cs="Arial"/>
          <w:noProof/>
          <w:sz w:val="24"/>
          <w:szCs w:val="24"/>
        </w:rPr>
        <w:t xml:space="preserve"> The study found no statistically significant differences in non-cognitive admissions criteria between those programmes that gained a 100% pass rate at NBCOT compared to those who did not across all four themes.</w:t>
      </w:r>
      <w:r w:rsidR="00833293" w:rsidRPr="001272D0">
        <w:rPr>
          <w:rFonts w:ascii="Arial" w:hAnsi="Arial" w:cs="Arial"/>
          <w:noProof/>
          <w:sz w:val="24"/>
          <w:szCs w:val="24"/>
        </w:rPr>
        <w:t xml:space="preserve"> </w:t>
      </w:r>
      <w:r w:rsidR="00874D52" w:rsidRPr="001272D0">
        <w:rPr>
          <w:rFonts w:ascii="Arial" w:hAnsi="Arial" w:cs="Arial"/>
          <w:noProof/>
          <w:sz w:val="24"/>
          <w:szCs w:val="24"/>
        </w:rPr>
        <w:t>Furthermore, c</w:t>
      </w:r>
      <w:r w:rsidR="00501D35" w:rsidRPr="001272D0">
        <w:rPr>
          <w:rFonts w:ascii="Arial" w:hAnsi="Arial" w:cs="Arial"/>
          <w:noProof/>
          <w:sz w:val="24"/>
          <w:szCs w:val="24"/>
        </w:rPr>
        <w:t>omparing</w:t>
      </w:r>
      <w:r w:rsidR="00833293" w:rsidRPr="001272D0">
        <w:rPr>
          <w:rFonts w:ascii="Arial" w:hAnsi="Arial" w:cs="Arial"/>
          <w:noProof/>
          <w:sz w:val="24"/>
          <w:szCs w:val="24"/>
        </w:rPr>
        <w:t xml:space="preserve"> cumulative score</w:t>
      </w:r>
      <w:r w:rsidR="00501D35" w:rsidRPr="001272D0">
        <w:rPr>
          <w:rFonts w:ascii="Arial" w:hAnsi="Arial" w:cs="Arial"/>
          <w:noProof/>
          <w:sz w:val="24"/>
          <w:szCs w:val="24"/>
        </w:rPr>
        <w:t>s</w:t>
      </w:r>
      <w:r w:rsidR="00833293" w:rsidRPr="001272D0">
        <w:rPr>
          <w:rFonts w:ascii="Arial" w:hAnsi="Arial" w:cs="Arial"/>
          <w:noProof/>
          <w:sz w:val="24"/>
          <w:szCs w:val="24"/>
        </w:rPr>
        <w:t xml:space="preserve"> of a reflective essay and psychometric test</w:t>
      </w:r>
      <w:r w:rsidR="002D1E81" w:rsidRPr="001272D0">
        <w:rPr>
          <w:rFonts w:ascii="Arial" w:hAnsi="Arial" w:cs="Arial"/>
          <w:noProof/>
          <w:sz w:val="24"/>
          <w:szCs w:val="24"/>
        </w:rPr>
        <w:t xml:space="preserve"> </w:t>
      </w:r>
      <w:r w:rsidR="005F1E0F" w:rsidRPr="001272D0">
        <w:rPr>
          <w:rFonts w:ascii="Arial" w:hAnsi="Arial" w:cs="Arial"/>
          <w:noProof/>
          <w:sz w:val="24"/>
          <w:szCs w:val="24"/>
        </w:rPr>
        <w:t xml:space="preserve">with final degree outcomes </w:t>
      </w:r>
      <w:r w:rsidR="005406B1" w:rsidRPr="001272D0">
        <w:rPr>
          <w:rFonts w:ascii="Arial" w:hAnsi="Arial" w:cs="Arial"/>
          <w:noProof/>
          <w:sz w:val="24"/>
          <w:szCs w:val="24"/>
        </w:rPr>
        <w:t>found no signifiant correlatio</w:t>
      </w:r>
      <w:r w:rsidR="003026BF" w:rsidRPr="001272D0">
        <w:rPr>
          <w:rFonts w:ascii="Arial" w:hAnsi="Arial" w:cs="Arial"/>
          <w:noProof/>
          <w:sz w:val="24"/>
          <w:szCs w:val="24"/>
        </w:rPr>
        <w:t>n</w:t>
      </w:r>
      <w:r w:rsidR="005406B1" w:rsidRPr="001272D0">
        <w:rPr>
          <w:rFonts w:ascii="Arial" w:hAnsi="Arial" w:cs="Arial"/>
          <w:noProof/>
          <w:sz w:val="24"/>
          <w:szCs w:val="24"/>
        </w:rPr>
        <w:t xml:space="preserve">s in either direction for one </w:t>
      </w:r>
      <w:r w:rsidR="003A754E" w:rsidRPr="001272D0">
        <w:rPr>
          <w:rFonts w:ascii="Arial" w:hAnsi="Arial" w:cs="Arial"/>
          <w:noProof/>
          <w:sz w:val="24"/>
          <w:szCs w:val="24"/>
        </w:rPr>
        <w:t xml:space="preserve">cohort </w:t>
      </w:r>
      <w:r w:rsidR="005406B1" w:rsidRPr="001272D0">
        <w:rPr>
          <w:rFonts w:ascii="Arial" w:hAnsi="Arial" w:cs="Arial"/>
          <w:noProof/>
          <w:sz w:val="24"/>
          <w:szCs w:val="24"/>
        </w:rPr>
        <w:t>of UK BSc (Hons) OT students (</w:t>
      </w:r>
      <w:r w:rsidR="005406B1" w:rsidRPr="001272D0">
        <w:rPr>
          <w:rFonts w:ascii="Arial" w:hAnsi="Arial" w:cs="Arial"/>
          <w:i/>
          <w:iCs/>
          <w:noProof/>
          <w:sz w:val="24"/>
          <w:szCs w:val="24"/>
        </w:rPr>
        <w:t>n</w:t>
      </w:r>
      <w:r w:rsidR="005406B1" w:rsidRPr="001272D0">
        <w:rPr>
          <w:rFonts w:ascii="Arial" w:hAnsi="Arial" w:cs="Arial"/>
          <w:noProof/>
          <w:sz w:val="24"/>
          <w:szCs w:val="24"/>
        </w:rPr>
        <w:t>=</w:t>
      </w:r>
      <w:r w:rsidR="004D2A53" w:rsidRPr="001272D0">
        <w:rPr>
          <w:rFonts w:ascii="Arial" w:hAnsi="Arial" w:cs="Arial"/>
          <w:noProof/>
          <w:sz w:val="24"/>
          <w:szCs w:val="24"/>
        </w:rPr>
        <w:t>27</w:t>
      </w:r>
      <w:r w:rsidR="005406B1" w:rsidRPr="001272D0">
        <w:rPr>
          <w:rFonts w:ascii="Arial" w:hAnsi="Arial" w:cs="Arial"/>
          <w:noProof/>
          <w:sz w:val="24"/>
          <w:szCs w:val="24"/>
        </w:rPr>
        <w:t xml:space="preserve">) </w:t>
      </w:r>
      <w:r w:rsidR="005406B1" w:rsidRPr="001272D0">
        <w:rPr>
          <w:rFonts w:ascii="Arial" w:hAnsi="Arial" w:cs="Arial"/>
          <w:noProof/>
          <w:sz w:val="24"/>
          <w:szCs w:val="24"/>
        </w:rPr>
        <w:fldChar w:fldCharType="begin" w:fldLock="1"/>
      </w:r>
      <w:r w:rsidR="0000212E" w:rsidRPr="001272D0">
        <w:rPr>
          <w:rFonts w:ascii="Arial" w:hAnsi="Arial" w:cs="Arial"/>
          <w:noProof/>
          <w:sz w:val="24"/>
          <w:szCs w:val="24"/>
        </w:rPr>
        <w:instrText>ADDIN CSL_CITATION {"citationItems":[{"id":"ITEM-1","itemData":{"DOI":"10.26681/jote.2020.040308","author":[{"dropping-particle":"","family":"McGinley","given":"Sarah Louise","non-dropping-particle":"","parse-names":false,"suffix":""}],"container-title":"Journal of Occupational Therapy Education","id":"ITEM-1","issue":"3","issued":{"date-parts":[["2020"]]},"title":"Pre-entry Selection Assessment Results and Final Degree Outcomes of Occupational Therapy Students: Are There Relationships?","type":"article-journal","volume":"4"},"uris":["http://www.mendeley.com/documents/?uuid=4e2962f4-5a5b-4ea1-b5f7-4af74b72bd3d"]}],"mendeley":{"formattedCitation":"(McGinley, 2020)","plainTextFormattedCitation":"(McGinley, 2020)","previouslyFormattedCitation":"(McGinley, 2020)"},"properties":{"noteIndex":0},"schema":"https://github.com/citation-style-language/schema/raw/master/csl-citation.json"}</w:instrText>
      </w:r>
      <w:r w:rsidR="005406B1" w:rsidRPr="001272D0">
        <w:rPr>
          <w:rFonts w:ascii="Arial" w:hAnsi="Arial" w:cs="Arial"/>
          <w:noProof/>
          <w:sz w:val="24"/>
          <w:szCs w:val="24"/>
        </w:rPr>
        <w:fldChar w:fldCharType="separate"/>
      </w:r>
      <w:r w:rsidR="005406B1" w:rsidRPr="001272D0">
        <w:rPr>
          <w:rFonts w:ascii="Arial" w:hAnsi="Arial" w:cs="Arial"/>
          <w:noProof/>
          <w:sz w:val="24"/>
          <w:szCs w:val="24"/>
        </w:rPr>
        <w:t>(McGinley, 2020)</w:t>
      </w:r>
      <w:r w:rsidR="005406B1" w:rsidRPr="001272D0">
        <w:rPr>
          <w:rFonts w:ascii="Arial" w:hAnsi="Arial" w:cs="Arial"/>
          <w:noProof/>
          <w:sz w:val="24"/>
          <w:szCs w:val="24"/>
        </w:rPr>
        <w:fldChar w:fldCharType="end"/>
      </w:r>
      <w:r w:rsidR="005406B1" w:rsidRPr="001272D0">
        <w:rPr>
          <w:rFonts w:ascii="Arial" w:hAnsi="Arial" w:cs="Arial"/>
          <w:noProof/>
          <w:sz w:val="24"/>
          <w:szCs w:val="24"/>
        </w:rPr>
        <w:t>.</w:t>
      </w:r>
    </w:p>
    <w:p w14:paraId="10C9700D" w14:textId="0194BD93" w:rsidR="000703FF" w:rsidRPr="001272D0" w:rsidRDefault="000703FF" w:rsidP="00A74EBE">
      <w:pPr>
        <w:pBdr>
          <w:top w:val="nil"/>
          <w:left w:val="nil"/>
          <w:bottom w:val="nil"/>
          <w:right w:val="nil"/>
          <w:between w:val="nil"/>
        </w:pBdr>
        <w:spacing w:line="240" w:lineRule="auto"/>
        <w:jc w:val="both"/>
        <w:rPr>
          <w:rFonts w:ascii="Arial" w:hAnsi="Arial" w:cs="Arial"/>
          <w:noProof/>
          <w:sz w:val="24"/>
          <w:szCs w:val="24"/>
        </w:rPr>
      </w:pPr>
    </w:p>
    <w:p w14:paraId="2D42C4FE" w14:textId="7968023D" w:rsidR="00223793" w:rsidRPr="001272D0" w:rsidRDefault="005406B1" w:rsidP="00A74EBE">
      <w:pPr>
        <w:spacing w:line="240" w:lineRule="auto"/>
        <w:jc w:val="both"/>
        <w:rPr>
          <w:rFonts w:ascii="Arial" w:hAnsi="Arial" w:cs="Arial"/>
          <w:b/>
          <w:bCs/>
          <w:sz w:val="24"/>
          <w:szCs w:val="24"/>
          <w:lang w:val="en-US"/>
        </w:rPr>
      </w:pPr>
      <w:r w:rsidRPr="001272D0">
        <w:rPr>
          <w:rFonts w:ascii="Arial" w:hAnsi="Arial" w:cs="Arial"/>
          <w:b/>
          <w:bCs/>
          <w:sz w:val="24"/>
          <w:szCs w:val="24"/>
          <w:lang w:val="en-US"/>
        </w:rPr>
        <w:t>Widening participation (a</w:t>
      </w:r>
      <w:r w:rsidR="00515B9B" w:rsidRPr="001272D0">
        <w:rPr>
          <w:rFonts w:ascii="Arial" w:hAnsi="Arial" w:cs="Arial"/>
          <w:b/>
          <w:bCs/>
          <w:sz w:val="24"/>
          <w:szCs w:val="24"/>
          <w:lang w:val="en-US"/>
        </w:rPr>
        <w:t>lternative</w:t>
      </w:r>
      <w:r w:rsidRPr="001272D0">
        <w:rPr>
          <w:rFonts w:ascii="Arial" w:hAnsi="Arial" w:cs="Arial"/>
          <w:b/>
          <w:bCs/>
          <w:sz w:val="24"/>
          <w:szCs w:val="24"/>
          <w:lang w:val="en-US"/>
        </w:rPr>
        <w:t>)</w:t>
      </w:r>
      <w:r w:rsidR="00515B9B" w:rsidRPr="001272D0">
        <w:rPr>
          <w:rFonts w:ascii="Arial" w:hAnsi="Arial" w:cs="Arial"/>
          <w:b/>
          <w:bCs/>
          <w:sz w:val="24"/>
          <w:szCs w:val="24"/>
          <w:lang w:val="en-US"/>
        </w:rPr>
        <w:t xml:space="preserve"> entry criteria</w:t>
      </w:r>
    </w:p>
    <w:p w14:paraId="6D8C62B2" w14:textId="2C8CF7F8" w:rsidR="00420A91" w:rsidRPr="001272D0" w:rsidRDefault="00F55F1A" w:rsidP="00C17FF6">
      <w:pPr>
        <w:jc w:val="both"/>
        <w:rPr>
          <w:rFonts w:ascii="Arial" w:hAnsi="Arial" w:cs="Arial"/>
          <w:noProof/>
          <w:sz w:val="24"/>
          <w:szCs w:val="24"/>
        </w:rPr>
      </w:pPr>
      <w:r w:rsidRPr="001272D0">
        <w:rPr>
          <w:rFonts w:ascii="Arial" w:hAnsi="Arial" w:cs="Arial"/>
          <w:noProof/>
          <w:sz w:val="24"/>
          <w:szCs w:val="24"/>
        </w:rPr>
        <w:t>OT specific w</w:t>
      </w:r>
      <w:r w:rsidR="00414657" w:rsidRPr="001272D0">
        <w:rPr>
          <w:rFonts w:ascii="Arial" w:hAnsi="Arial" w:cs="Arial"/>
          <w:noProof/>
          <w:sz w:val="24"/>
          <w:szCs w:val="24"/>
        </w:rPr>
        <w:t>idening access and participation</w:t>
      </w:r>
      <w:r w:rsidRPr="001272D0">
        <w:rPr>
          <w:rFonts w:ascii="Arial" w:hAnsi="Arial" w:cs="Arial"/>
          <w:noProof/>
          <w:sz w:val="24"/>
          <w:szCs w:val="24"/>
        </w:rPr>
        <w:t xml:space="preserve"> literature</w:t>
      </w:r>
      <w:r w:rsidR="00414657" w:rsidRPr="001272D0">
        <w:rPr>
          <w:rFonts w:ascii="Arial" w:hAnsi="Arial" w:cs="Arial"/>
          <w:noProof/>
          <w:sz w:val="24"/>
          <w:szCs w:val="24"/>
        </w:rPr>
        <w:t xml:space="preserve"> focuses on the lived experiences of students entering </w:t>
      </w:r>
      <w:r w:rsidR="00F42481" w:rsidRPr="001272D0">
        <w:rPr>
          <w:rFonts w:ascii="Arial" w:hAnsi="Arial" w:cs="Arial"/>
          <w:noProof/>
          <w:sz w:val="24"/>
          <w:szCs w:val="24"/>
        </w:rPr>
        <w:t xml:space="preserve">the profession </w:t>
      </w:r>
      <w:r w:rsidR="00414657" w:rsidRPr="001272D0">
        <w:rPr>
          <w:rFonts w:ascii="Arial" w:hAnsi="Arial" w:cs="Arial"/>
          <w:noProof/>
          <w:sz w:val="24"/>
          <w:szCs w:val="24"/>
        </w:rPr>
        <w:t xml:space="preserve">with </w:t>
      </w:r>
      <w:r w:rsidR="00F42481" w:rsidRPr="001272D0">
        <w:rPr>
          <w:rFonts w:ascii="Arial" w:hAnsi="Arial" w:cs="Arial"/>
          <w:noProof/>
          <w:sz w:val="24"/>
          <w:szCs w:val="24"/>
        </w:rPr>
        <w:t>‘</w:t>
      </w:r>
      <w:r w:rsidR="00414657" w:rsidRPr="001272D0">
        <w:rPr>
          <w:rFonts w:ascii="Arial" w:hAnsi="Arial" w:cs="Arial"/>
          <w:noProof/>
          <w:sz w:val="24"/>
          <w:szCs w:val="24"/>
        </w:rPr>
        <w:t>non-traditional</w:t>
      </w:r>
      <w:r w:rsidR="00F42481" w:rsidRPr="001272D0">
        <w:rPr>
          <w:rFonts w:ascii="Arial" w:hAnsi="Arial" w:cs="Arial"/>
          <w:noProof/>
          <w:sz w:val="24"/>
          <w:szCs w:val="24"/>
        </w:rPr>
        <w:t>’</w:t>
      </w:r>
      <w:r w:rsidR="00414657" w:rsidRPr="001272D0">
        <w:rPr>
          <w:rFonts w:ascii="Arial" w:hAnsi="Arial" w:cs="Arial"/>
          <w:noProof/>
          <w:sz w:val="24"/>
          <w:szCs w:val="24"/>
        </w:rPr>
        <w:t xml:space="preserve"> academic qualifications (access and vocational qualifications, foundation degrees and/or A</w:t>
      </w:r>
      <w:r w:rsidR="00453678" w:rsidRPr="001272D0">
        <w:rPr>
          <w:rFonts w:ascii="Arial" w:hAnsi="Arial" w:cs="Arial"/>
          <w:noProof/>
          <w:sz w:val="24"/>
          <w:szCs w:val="24"/>
        </w:rPr>
        <w:t>dvanced Levels (A-Levels)</w:t>
      </w:r>
      <w:r w:rsidR="00414657" w:rsidRPr="001272D0">
        <w:rPr>
          <w:rFonts w:ascii="Arial" w:hAnsi="Arial" w:cs="Arial"/>
          <w:noProof/>
          <w:sz w:val="24"/>
          <w:szCs w:val="24"/>
        </w:rPr>
        <w:t xml:space="preserve"> achieved as a mature student) from a range of backgrounds spanning age, gender, ethnicity and socioeconomics</w:t>
      </w:r>
      <w:r w:rsidR="00FE60EE" w:rsidRPr="001272D0">
        <w:rPr>
          <w:rFonts w:ascii="Arial" w:hAnsi="Arial" w:cs="Arial"/>
          <w:noProof/>
          <w:sz w:val="24"/>
          <w:szCs w:val="24"/>
        </w:rPr>
        <w:t xml:space="preserve"> </w:t>
      </w:r>
      <w:r w:rsidR="00FE60EE" w:rsidRPr="001272D0">
        <w:rPr>
          <w:rFonts w:ascii="Arial" w:hAnsi="Arial" w:cs="Arial"/>
          <w:noProof/>
          <w:sz w:val="24"/>
          <w:szCs w:val="24"/>
        </w:rPr>
        <w:fldChar w:fldCharType="begin" w:fldLock="1"/>
      </w:r>
      <w:r w:rsidR="00B14149" w:rsidRPr="001272D0">
        <w:rPr>
          <w:rFonts w:ascii="Arial" w:hAnsi="Arial" w:cs="Arial"/>
          <w:noProof/>
          <w:sz w:val="24"/>
          <w:szCs w:val="24"/>
        </w:rPr>
        <w:instrText>ADDIN CSL_CITATION {"citationItems":[{"id":"ITEM-1","itemData":{"DOI":"10.4135/9781608712410.n53","author":[{"dropping-particle":"","family":"Greenwood","given":"N","non-dropping-particle":"","parse-names":false,"suffix":""},{"dropping-particle":"","family":"May","given":"S","non-dropping-particle":"","parse-names":false,"suffix":""},{"dropping-particle":"","family":"Pascale","given":"L","non-dropping-particle":"","parse-names":false,"suffix":""},{"dropping-particle":"","family":"Bithell","given":"C","non-dropping-particle":"","parse-names":false,"suffix":""}],"container-title":"International Journal of Therapy and Rehabilitation","id":"ITEM-1","issue":"11","issued":{"date-parts":[["2007"]]},"page":"494 - 501","title":"Widening participation: Accessing careers in the allied health professions","type":"article-journal","volume":"14"},"uris":["http://www.mendeley.com/documents/?uuid=780914e2-23ca-4f56-b4db-bb22c87b8560"]},{"id":"ITEM-2","itemData":{"DOI":"10.1177/030802260106401103","ISSN":"14776006","abstract":"Widening university access became a priority in the 1990s. Arguments in favour of this proposition have included: increasing the percentage of the population in the higher education sector; extending university opportunities to those not normally deemed eligible; and providing avenues for those wishing to change careers. Many falling into these categories were mature-aged people from varied backgrounds. Few studies have addressed the actual experiences of those mature-aged students as they have entered the higher education sector for the first time in access courses and then, subsequently, their eventual qualifying route. This qualitative study listened to the voices of these newly qualified therapists. In telling their educational and practice stories in a multiple layer methodology, their varied experiences provided critical incidents. These gave insights into the way that they felt, the way that they perceived they were treated, some actual experiences with staff and colleagues and, finally, the way that they felt on successfully completing their chosen programme. Their reflections were both analysed and interpreted by the method of analysis of narratives (Polkinghorne 1995). The powerful stories and incidents that arose convey lessons for all those working in the higher education sector, whether they be vocational counsellors, access staff or lecturers in professional qualifying programmes.","author":[{"dropping-particle":"","family":"Ryan","given":"S.","non-dropping-particle":"","parse-names":false,"suffix":""}],"container-title":"British Journal of Occupational Therapy","id":"ITEM-2","issue":"11","issued":{"date-parts":[["2001"]]},"page":"534-540","title":"Perspectives on widening university access: Critical voices of newly qualified therapists","type":"article-journal","volume":"64"},"uris":["http://www.mendeley.com/documents/?uuid=8a076db1-04c0-4098-9b96-bec7ef59843e"]},{"id":"ITEM-3","itemData":{"DOI":"10.4276/030802213X13861576675169","ISSN":"03080226","abstract":"Introduction: United Kingdom government agendas promoting widening participation in higher education and diversification of the health and social care workforce have contributed to changing student profiles in pre-registration occupational therapy education. Sixty-seven percent of the 2005 intake was mature, and students increasingly enter with a range of 'non-traditional' academic backgrounds. A small body of evidence suggests that final degree marks are indistinguishable for occupational therapy students holding traditional and non-traditional entry qualifications, but none of these studies considered students unable to complete or the potential influence of socioeconomic background or gender. Method: The progression routes and academic achievements of 239 consenting occupational therapy students from a single programme were analysed using inferential statistics and binary logistic regressions to explore the influence of entry qualifications, age at entry, gender, and socioeconomic background. Findings: None of these characteristics had a statistically significant impact on graduates' final degree marks. The regressions, however, highlighted male gender and less privileged socioeconomic backgrounds as significant predictors of poorer outcomes regarding passing at Level 4, 5, and 6, and achievement of a 'good' (upper second or first class) honours degree. Conclusion: The findings raise important questions about how a profession that promotes social justice supports diversity amongst its own ranks. © The College of Occupational Therapists Ltd.","author":[{"dropping-particle":"","family":"Watson","given":"Jo","non-dropping-particle":"","parse-names":false,"suffix":""}],"container-title":"British Journal of Occupational Therapy","id":"ITEM-3","issue":"12","issued":{"date-parts":[["2013"]]},"page":"520-527","title":"Progression routes and attainment in occupational therapy education: The impact of background characteristics","type":"article-journal","volume":"76"},"uris":["http://www.mendeley.com/documents/?uuid=852ea006-4247-4a7e-843d-aeb74fc3266a"]}],"mendeley":{"formattedCitation":"(Ryan, 2001; Greenwood &lt;i&gt;et al.&lt;/i&gt;, 2007; Watson, 2013)","plainTextFormattedCitation":"(Ryan, 2001; Greenwood et al., 2007; Watson, 2013)","previouslyFormattedCitation":"(Ryan, 2001; Greenwood &lt;i&gt;et al.&lt;/i&gt;, 2007; Watson, 2013)"},"properties":{"noteIndex":0},"schema":"https://github.com/citation-style-language/schema/raw/master/csl-citation.json"}</w:instrText>
      </w:r>
      <w:r w:rsidR="00FE60EE" w:rsidRPr="001272D0">
        <w:rPr>
          <w:rFonts w:ascii="Arial" w:hAnsi="Arial" w:cs="Arial"/>
          <w:noProof/>
          <w:sz w:val="24"/>
          <w:szCs w:val="24"/>
        </w:rPr>
        <w:fldChar w:fldCharType="separate"/>
      </w:r>
      <w:r w:rsidR="008F1045" w:rsidRPr="001272D0">
        <w:rPr>
          <w:rFonts w:ascii="Arial" w:hAnsi="Arial" w:cs="Arial"/>
          <w:noProof/>
          <w:sz w:val="24"/>
          <w:szCs w:val="24"/>
        </w:rPr>
        <w:t xml:space="preserve">(Ryan, 2001; Greenwood </w:t>
      </w:r>
      <w:r w:rsidR="008F1045" w:rsidRPr="001272D0">
        <w:rPr>
          <w:rFonts w:ascii="Arial" w:hAnsi="Arial" w:cs="Arial"/>
          <w:iCs/>
          <w:noProof/>
          <w:sz w:val="24"/>
          <w:szCs w:val="24"/>
        </w:rPr>
        <w:t>et al.,</w:t>
      </w:r>
      <w:r w:rsidR="008F1045" w:rsidRPr="001272D0">
        <w:rPr>
          <w:rFonts w:ascii="Arial" w:hAnsi="Arial" w:cs="Arial"/>
          <w:noProof/>
          <w:sz w:val="24"/>
          <w:szCs w:val="24"/>
        </w:rPr>
        <w:t xml:space="preserve"> 2007; Watson, 2013)</w:t>
      </w:r>
      <w:r w:rsidR="00FE60EE" w:rsidRPr="001272D0">
        <w:rPr>
          <w:rFonts w:ascii="Arial" w:hAnsi="Arial" w:cs="Arial"/>
          <w:noProof/>
          <w:sz w:val="24"/>
          <w:szCs w:val="24"/>
        </w:rPr>
        <w:fldChar w:fldCharType="end"/>
      </w:r>
      <w:r w:rsidR="00414657" w:rsidRPr="001272D0">
        <w:rPr>
          <w:rFonts w:ascii="Arial" w:hAnsi="Arial" w:cs="Arial"/>
          <w:noProof/>
          <w:sz w:val="24"/>
          <w:szCs w:val="24"/>
        </w:rPr>
        <w:t xml:space="preserve">. </w:t>
      </w:r>
      <w:r w:rsidR="00C17FF6" w:rsidRPr="001272D0">
        <w:rPr>
          <w:rFonts w:ascii="Arial" w:hAnsi="Arial" w:cs="Arial"/>
          <w:noProof/>
          <w:sz w:val="24"/>
          <w:szCs w:val="24"/>
        </w:rPr>
        <w:t xml:space="preserve">With the exception of one national US survey, showing age, marital status and ethnicity not to be predictors of first-time success at the NBCOT exam </w:t>
      </w:r>
      <w:r w:rsidR="00C17FF6" w:rsidRPr="001272D0">
        <w:rPr>
          <w:rFonts w:ascii="Arial" w:hAnsi="Arial" w:cs="Arial"/>
          <w:noProof/>
          <w:sz w:val="24"/>
          <w:szCs w:val="24"/>
        </w:rPr>
        <w:fldChar w:fldCharType="begin" w:fldLock="1"/>
      </w:r>
      <w:r w:rsidR="00C17FF6" w:rsidRPr="001272D0">
        <w:rPr>
          <w:rFonts w:ascii="Arial" w:hAnsi="Arial" w:cs="Arial"/>
          <w:noProof/>
          <w:sz w:val="24"/>
          <w:szCs w:val="24"/>
        </w:rPr>
        <w:instrText>ADDIN CSL_CITATION {"citationItems":[{"id":"ITEM-1","itemData":{"DOI":"10.15453/2168-6408.1341","ISSN":"2168-6408","abstract":"All occupational therapy students are required to successfully complete the certification examination administered by the National Board for Certification in Occupational Therapy (NBCOT) before they can practice independently. The need to repeat the examination can result in stress, anxiety, and financial hardship. This paper explores the relationship of preadmission factors, academic and fieldwork performance, and demographic variables to successful first-time attempts on the certification examination for occupational therapists. Data were gathered from 144 student files in a Master of Occupational Therapy (MOT) Program at a single university. Of the sample, 82% passed and 18% failed their first NBCOT test trial. Considered independently, preadmission recommendation letters and writing sample scores, graduate MOT program GPA, lack of MOT program difficulty, fieldwork self-reports, and gender predicted NBCOT certification examination outcomes. When considered together in logistic regression models predicting outcome, this combination of factors correctly predicted 86.2% of student outcomes (or 20% to 32% of the variance in certification examination success), with OT program GPA and preadmission recommendation scores predicting unique outcome variance. This information may be helpful to admissions committees as well as to occupational therapy faculty as they identify strategies and practices to facilitate first-time test taking success on the NBCOT certification examination.","author":[{"dropping-particle":"","family":"Novalis","given":"Sharon D","non-dropping-particle":"","parse-names":false,"suffix":""},{"dropping-particle":"","family":"Cyranowski","given":"Jill M","non-dropping-particle":"","parse-names":false,"suffix":""},{"dropping-particle":"","family":"Dolhi","given":"Cathy D","non-dropping-particle":"","parse-names":false,"suffix":""}],"container-title":"The Open Journal of Occupational Therapy","id":"ITEM-1","issue":"4","issued":{"date-parts":[["2017"]]},"title":"Passing the NBCOT Examination: Preadmission, Academic, and Fieldwork Factors","type":"article-journal","volume":"5"},"uris":["http://www.mendeley.com/documents/?uuid=c389a674-3099-4f4e-84fa-0bc29bff3876"]}],"mendeley":{"formattedCitation":"(Novalis, Cyranowski and Dolhi, 2017)","plainTextFormattedCitation":"(Novalis, Cyranowski and Dolhi, 2017)","previouslyFormattedCitation":"(Novalis, Cyranowski and Dolhi, 2017)"},"properties":{"noteIndex":0},"schema":"https://github.com/citation-style-language/schema/raw/master/csl-citation.json"}</w:instrText>
      </w:r>
      <w:r w:rsidR="00C17FF6" w:rsidRPr="001272D0">
        <w:rPr>
          <w:rFonts w:ascii="Arial" w:hAnsi="Arial" w:cs="Arial"/>
          <w:noProof/>
          <w:sz w:val="24"/>
          <w:szCs w:val="24"/>
        </w:rPr>
        <w:fldChar w:fldCharType="separate"/>
      </w:r>
      <w:r w:rsidR="00C17FF6" w:rsidRPr="001272D0">
        <w:rPr>
          <w:rFonts w:ascii="Arial" w:hAnsi="Arial" w:cs="Arial"/>
          <w:noProof/>
          <w:sz w:val="24"/>
          <w:szCs w:val="24"/>
        </w:rPr>
        <w:t>(Novalis, Cyranowski and Dolhi, 2017)</w:t>
      </w:r>
      <w:r w:rsidR="00C17FF6" w:rsidRPr="001272D0">
        <w:rPr>
          <w:rFonts w:ascii="Arial" w:hAnsi="Arial" w:cs="Arial"/>
          <w:noProof/>
          <w:sz w:val="24"/>
          <w:szCs w:val="24"/>
        </w:rPr>
        <w:fldChar w:fldCharType="end"/>
      </w:r>
      <w:r w:rsidR="00C17FF6" w:rsidRPr="001272D0">
        <w:rPr>
          <w:rFonts w:ascii="Arial" w:hAnsi="Arial" w:cs="Arial"/>
          <w:noProof/>
          <w:sz w:val="24"/>
          <w:szCs w:val="24"/>
        </w:rPr>
        <w:t>, the limited evidence is restricted to small-scale or single-site studies.</w:t>
      </w:r>
      <w:r w:rsidR="00C17FF6" w:rsidRPr="001272D0">
        <w:rPr>
          <w:rFonts w:ascii="Arial" w:hAnsi="Arial" w:cs="Arial"/>
          <w:sz w:val="24"/>
          <w:szCs w:val="24"/>
        </w:rPr>
        <w:t xml:space="preserve"> </w:t>
      </w:r>
      <w:r w:rsidR="005C7006" w:rsidRPr="001272D0">
        <w:rPr>
          <w:rFonts w:ascii="Arial" w:hAnsi="Arial" w:cs="Arial"/>
          <w:noProof/>
          <w:sz w:val="24"/>
          <w:szCs w:val="24"/>
        </w:rPr>
        <w:t>Ryan (2001) adopted a qualitative approach to explore the narratives of five mature OT students, uncovering critical educational incidents with specific relevance for admissions tutors seeking to widen access. Examples include the need for suspension of minimum entry requirements in recognition of prior experience(s); bespoke mentorship to ensure not only access to, but smooth transition and continuation of, education and greater program</w:t>
      </w:r>
      <w:r w:rsidR="0043038F" w:rsidRPr="001272D0">
        <w:rPr>
          <w:rFonts w:ascii="Arial" w:hAnsi="Arial" w:cs="Arial"/>
          <w:noProof/>
          <w:sz w:val="24"/>
          <w:szCs w:val="24"/>
        </w:rPr>
        <w:t>me</w:t>
      </w:r>
      <w:r w:rsidR="005C7006" w:rsidRPr="001272D0">
        <w:rPr>
          <w:rFonts w:ascii="Arial" w:hAnsi="Arial" w:cs="Arial"/>
          <w:noProof/>
          <w:sz w:val="24"/>
          <w:szCs w:val="24"/>
        </w:rPr>
        <w:t xml:space="preserve"> flexibility, such as part-time opportunities. Focusing on</w:t>
      </w:r>
      <w:r w:rsidR="00B93ACB" w:rsidRPr="001272D0">
        <w:rPr>
          <w:rFonts w:ascii="Arial" w:hAnsi="Arial" w:cs="Arial"/>
          <w:noProof/>
          <w:sz w:val="24"/>
          <w:szCs w:val="24"/>
        </w:rPr>
        <w:t xml:space="preserve"> UK</w:t>
      </w:r>
      <w:r w:rsidR="005C7006" w:rsidRPr="001272D0">
        <w:rPr>
          <w:rFonts w:ascii="Arial" w:hAnsi="Arial" w:cs="Arial"/>
          <w:noProof/>
          <w:sz w:val="24"/>
          <w:szCs w:val="24"/>
        </w:rPr>
        <w:t xml:space="preserve"> students (</w:t>
      </w:r>
      <w:r w:rsidR="005C7006" w:rsidRPr="001272D0">
        <w:rPr>
          <w:rFonts w:ascii="Arial" w:hAnsi="Arial" w:cs="Arial"/>
          <w:i/>
          <w:iCs/>
          <w:noProof/>
          <w:sz w:val="24"/>
          <w:szCs w:val="24"/>
        </w:rPr>
        <w:t>n=</w:t>
      </w:r>
      <w:r w:rsidR="005C7006" w:rsidRPr="001272D0">
        <w:rPr>
          <w:rFonts w:ascii="Arial" w:hAnsi="Arial" w:cs="Arial"/>
          <w:noProof/>
          <w:sz w:val="24"/>
          <w:szCs w:val="24"/>
        </w:rPr>
        <w:t xml:space="preserve">194) enrolled on science-based </w:t>
      </w:r>
      <w:r w:rsidR="005A5AF6" w:rsidRPr="001272D0">
        <w:rPr>
          <w:rFonts w:ascii="Arial" w:hAnsi="Arial" w:cs="Arial"/>
          <w:noProof/>
          <w:sz w:val="24"/>
          <w:szCs w:val="24"/>
        </w:rPr>
        <w:t>A</w:t>
      </w:r>
      <w:r w:rsidR="005C7006" w:rsidRPr="001272D0">
        <w:rPr>
          <w:rFonts w:ascii="Arial" w:hAnsi="Arial" w:cs="Arial"/>
          <w:noProof/>
          <w:sz w:val="24"/>
          <w:szCs w:val="24"/>
        </w:rPr>
        <w:t>ccess to H</w:t>
      </w:r>
      <w:r w:rsidR="005A5AF6" w:rsidRPr="001272D0">
        <w:rPr>
          <w:rFonts w:ascii="Arial" w:hAnsi="Arial" w:cs="Arial"/>
          <w:noProof/>
          <w:sz w:val="24"/>
          <w:szCs w:val="24"/>
        </w:rPr>
        <w:t xml:space="preserve">igher </w:t>
      </w:r>
      <w:r w:rsidR="005C7006" w:rsidRPr="001272D0">
        <w:rPr>
          <w:rFonts w:ascii="Arial" w:hAnsi="Arial" w:cs="Arial"/>
          <w:noProof/>
          <w:sz w:val="24"/>
          <w:szCs w:val="24"/>
        </w:rPr>
        <w:t>E</w:t>
      </w:r>
      <w:r w:rsidR="005A5AF6" w:rsidRPr="001272D0">
        <w:rPr>
          <w:rFonts w:ascii="Arial" w:hAnsi="Arial" w:cs="Arial"/>
          <w:noProof/>
          <w:sz w:val="24"/>
          <w:szCs w:val="24"/>
        </w:rPr>
        <w:t>ducation (Access to HE)</w:t>
      </w:r>
      <w:r w:rsidR="005C7006" w:rsidRPr="001272D0">
        <w:rPr>
          <w:rFonts w:ascii="Arial" w:hAnsi="Arial" w:cs="Arial"/>
          <w:noProof/>
          <w:sz w:val="24"/>
          <w:szCs w:val="24"/>
        </w:rPr>
        <w:t xml:space="preserve"> </w:t>
      </w:r>
      <w:r w:rsidR="00CB2E34" w:rsidRPr="001272D0">
        <w:rPr>
          <w:rFonts w:ascii="Arial" w:hAnsi="Arial" w:cs="Arial"/>
          <w:noProof/>
          <w:sz w:val="24"/>
          <w:szCs w:val="24"/>
        </w:rPr>
        <w:t>programmes</w:t>
      </w:r>
      <w:r w:rsidR="005C7006" w:rsidRPr="001272D0">
        <w:rPr>
          <w:rFonts w:ascii="Arial" w:hAnsi="Arial" w:cs="Arial"/>
          <w:noProof/>
          <w:sz w:val="24"/>
          <w:szCs w:val="24"/>
        </w:rPr>
        <w:t xml:space="preserve">, Greenwood et al (2007) explored familiarity with six </w:t>
      </w:r>
      <w:r w:rsidR="001F3D74" w:rsidRPr="001272D0">
        <w:rPr>
          <w:rFonts w:ascii="Arial" w:hAnsi="Arial" w:cs="Arial"/>
          <w:noProof/>
          <w:sz w:val="24"/>
          <w:szCs w:val="24"/>
        </w:rPr>
        <w:t>Allied Health Professional (AHP)</w:t>
      </w:r>
      <w:r w:rsidR="005C7006" w:rsidRPr="001272D0">
        <w:rPr>
          <w:rFonts w:ascii="Arial" w:hAnsi="Arial" w:cs="Arial"/>
          <w:noProof/>
          <w:sz w:val="24"/>
          <w:szCs w:val="24"/>
        </w:rPr>
        <w:t xml:space="preserve"> careers (including OT), assessing whether providing a small amount of information about profession(s) would impact a student’s decision to consider it as a future career. Statistical significance was found for those students who ‘knew nothing’ about OT (</w:t>
      </w:r>
      <w:r w:rsidR="005C7006" w:rsidRPr="001272D0">
        <w:rPr>
          <w:rFonts w:ascii="Arial" w:hAnsi="Arial" w:cs="Arial"/>
          <w:i/>
          <w:iCs/>
          <w:noProof/>
          <w:sz w:val="24"/>
          <w:szCs w:val="24"/>
        </w:rPr>
        <w:t>n=</w:t>
      </w:r>
      <w:r w:rsidR="005C7006" w:rsidRPr="001272D0">
        <w:rPr>
          <w:rFonts w:ascii="Arial" w:hAnsi="Arial" w:cs="Arial"/>
          <w:noProof/>
          <w:sz w:val="24"/>
          <w:szCs w:val="24"/>
        </w:rPr>
        <w:t xml:space="preserve">27), with ten reporting they would consider training after reading information about the profession. While a single, aged study, evidence suggests that targeting access to HE students with information about OT could widen access and participation to the profession. </w:t>
      </w:r>
      <w:r w:rsidR="005E6C7E" w:rsidRPr="001272D0">
        <w:rPr>
          <w:rFonts w:ascii="Arial" w:hAnsi="Arial" w:cs="Arial"/>
          <w:noProof/>
          <w:sz w:val="24"/>
          <w:szCs w:val="24"/>
        </w:rPr>
        <w:t xml:space="preserve">Watson (2013) considered the influence of </w:t>
      </w:r>
      <w:r w:rsidR="004D35AE" w:rsidRPr="001272D0">
        <w:rPr>
          <w:rFonts w:ascii="Arial" w:hAnsi="Arial" w:cs="Arial"/>
          <w:noProof/>
          <w:sz w:val="24"/>
          <w:szCs w:val="24"/>
        </w:rPr>
        <w:t xml:space="preserve">UK </w:t>
      </w:r>
      <w:r w:rsidR="005E6C7E" w:rsidRPr="001272D0">
        <w:rPr>
          <w:rFonts w:ascii="Arial" w:hAnsi="Arial" w:cs="Arial"/>
          <w:noProof/>
          <w:sz w:val="24"/>
          <w:szCs w:val="24"/>
        </w:rPr>
        <w:t>BSc (Hons) OT students’ (</w:t>
      </w:r>
      <w:r w:rsidR="005E6C7E" w:rsidRPr="001272D0">
        <w:rPr>
          <w:rFonts w:ascii="Arial" w:hAnsi="Arial" w:cs="Arial"/>
          <w:i/>
          <w:iCs/>
          <w:noProof/>
          <w:sz w:val="24"/>
          <w:szCs w:val="24"/>
        </w:rPr>
        <w:t>n=</w:t>
      </w:r>
      <w:r w:rsidR="005E6C7E" w:rsidRPr="001272D0">
        <w:rPr>
          <w:rFonts w:ascii="Arial" w:hAnsi="Arial" w:cs="Arial"/>
          <w:noProof/>
          <w:sz w:val="24"/>
          <w:szCs w:val="24"/>
        </w:rPr>
        <w:t>239) background characteristics, finding no correlation between pre-admission qualifications, age, gender or socioeconomic background and final degree outcomes. However, being male and/or from a lower socioeconomic background were significant predictors of poorer outcomes for programme progression</w:t>
      </w:r>
      <w:r w:rsidR="005C0FD1" w:rsidRPr="001272D0">
        <w:rPr>
          <w:rFonts w:ascii="Arial" w:hAnsi="Arial" w:cs="Arial"/>
          <w:noProof/>
          <w:sz w:val="24"/>
          <w:szCs w:val="24"/>
        </w:rPr>
        <w:t xml:space="preserve">. </w:t>
      </w:r>
      <w:r w:rsidR="005C7006" w:rsidRPr="001272D0">
        <w:rPr>
          <w:rFonts w:ascii="Arial" w:hAnsi="Arial" w:cs="Arial"/>
          <w:noProof/>
          <w:sz w:val="24"/>
          <w:szCs w:val="24"/>
        </w:rPr>
        <w:t xml:space="preserve">This study offers a unique perspective on participation and progression once access has been widened, </w:t>
      </w:r>
      <w:r w:rsidR="005C7006" w:rsidRPr="001272D0">
        <w:rPr>
          <w:rFonts w:ascii="Arial" w:hAnsi="Arial" w:cs="Arial"/>
          <w:noProof/>
          <w:sz w:val="24"/>
          <w:szCs w:val="24"/>
        </w:rPr>
        <w:lastRenderedPageBreak/>
        <w:t>highlighting the need to ensure students from diverse backgrounds receive sufficient support to proceed and succeed at all levels</w:t>
      </w:r>
      <w:r w:rsidR="00420A91" w:rsidRPr="001272D0">
        <w:rPr>
          <w:rFonts w:ascii="Arial" w:hAnsi="Arial" w:cs="Arial"/>
          <w:noProof/>
          <w:sz w:val="24"/>
          <w:szCs w:val="24"/>
        </w:rPr>
        <w:t>.</w:t>
      </w:r>
    </w:p>
    <w:p w14:paraId="3711C321" w14:textId="77777777" w:rsidR="00D317C2" w:rsidRPr="001272D0" w:rsidRDefault="00D317C2" w:rsidP="00C17FF6">
      <w:pPr>
        <w:jc w:val="both"/>
        <w:rPr>
          <w:rFonts w:ascii="Arial" w:hAnsi="Arial" w:cs="Arial"/>
          <w:sz w:val="24"/>
          <w:szCs w:val="24"/>
        </w:rPr>
      </w:pPr>
    </w:p>
    <w:p w14:paraId="6D37DAB4" w14:textId="615E165A" w:rsidR="002225C0" w:rsidRPr="001272D0" w:rsidRDefault="002225C0" w:rsidP="00420A91">
      <w:pPr>
        <w:spacing w:line="240" w:lineRule="auto"/>
        <w:jc w:val="both"/>
        <w:rPr>
          <w:rFonts w:ascii="Arial" w:hAnsi="Arial" w:cs="Arial"/>
          <w:noProof/>
          <w:sz w:val="24"/>
          <w:szCs w:val="24"/>
        </w:rPr>
      </w:pPr>
      <w:r w:rsidRPr="001272D0">
        <w:rPr>
          <w:rFonts w:ascii="Arial" w:eastAsia="Arial" w:hAnsi="Arial" w:cs="Arial"/>
          <w:b/>
          <w:bCs/>
          <w:color w:val="000000"/>
          <w:sz w:val="24"/>
          <w:szCs w:val="24"/>
          <w:lang w:val="en-US"/>
        </w:rPr>
        <w:t>Method</w:t>
      </w:r>
    </w:p>
    <w:p w14:paraId="017C1FF3" w14:textId="77777777" w:rsidR="00DB2235" w:rsidRPr="001272D0" w:rsidRDefault="00DB2235" w:rsidP="00A74EBE">
      <w:pPr>
        <w:spacing w:line="240" w:lineRule="auto"/>
        <w:rPr>
          <w:rFonts w:ascii="Arial" w:eastAsia="Times New Roman" w:hAnsi="Arial" w:cs="Arial"/>
          <w:b/>
          <w:bCs/>
          <w:iCs/>
          <w:sz w:val="24"/>
          <w:szCs w:val="24"/>
          <w:lang w:val="en-US"/>
        </w:rPr>
      </w:pPr>
      <w:r w:rsidRPr="001272D0">
        <w:rPr>
          <w:rFonts w:ascii="Arial" w:eastAsia="Times New Roman" w:hAnsi="Arial" w:cs="Arial"/>
          <w:b/>
          <w:bCs/>
          <w:iCs/>
          <w:sz w:val="24"/>
          <w:szCs w:val="24"/>
          <w:lang w:val="en-US"/>
        </w:rPr>
        <w:t>Sample</w:t>
      </w:r>
    </w:p>
    <w:p w14:paraId="40C4C414" w14:textId="48FB48F1" w:rsidR="00D32E3B" w:rsidRPr="001272D0" w:rsidRDefault="00DB2235" w:rsidP="00A74EBE">
      <w:pPr>
        <w:spacing w:line="240" w:lineRule="auto"/>
        <w:jc w:val="both"/>
        <w:rPr>
          <w:rFonts w:ascii="Arial" w:eastAsia="Times New Roman" w:hAnsi="Arial" w:cs="Arial"/>
          <w:iCs/>
          <w:sz w:val="24"/>
          <w:szCs w:val="24"/>
          <w:lang w:val="en-US"/>
        </w:rPr>
      </w:pPr>
      <w:r w:rsidRPr="001272D0">
        <w:rPr>
          <w:rFonts w:ascii="Arial" w:eastAsia="Times New Roman" w:hAnsi="Arial" w:cs="Arial"/>
          <w:iCs/>
          <w:sz w:val="24"/>
          <w:szCs w:val="24"/>
          <w:lang w:val="en-US"/>
        </w:rPr>
        <w:t xml:space="preserve">The RCOT Career Handbook </w:t>
      </w:r>
      <w:r w:rsidRPr="001272D0">
        <w:rPr>
          <w:rFonts w:ascii="Arial" w:eastAsia="Times New Roman" w:hAnsi="Arial" w:cs="Arial"/>
          <w:iCs/>
          <w:sz w:val="24"/>
          <w:szCs w:val="24"/>
          <w:lang w:val="en-US"/>
        </w:rPr>
        <w:fldChar w:fldCharType="begin" w:fldLock="1"/>
      </w:r>
      <w:r w:rsidR="00884754" w:rsidRPr="001272D0">
        <w:rPr>
          <w:rFonts w:ascii="Arial" w:eastAsia="Times New Roman" w:hAnsi="Arial" w:cs="Arial"/>
          <w:iCs/>
          <w:sz w:val="24"/>
          <w:szCs w:val="24"/>
          <w:lang w:val="en-US"/>
        </w:rPr>
        <w:instrText>ADDIN CSL_CITATION {"citationItems":[{"id":"ITEM-1","itemData":{"DOI":"10.1016/S0140-6736(00)44282-0","ISSN":"01406736","author":[{"dropping-particle":"","family":"Royal College of Occupational Therapists","given":"","non-dropping-particle":"","parse-names":false,"suffix":""}],"id":"ITEM-1","issued":{"date-parts":[["2020"]]},"number-of-pages":"17","title":"Occupational Therapy Career Handbook 2020","type":"book"},"uris":["http://www.mendeley.com/documents/?uuid=b1508ae0-bd43-455c-aaf0-8c5905207027"]},{"id":"ITEM-2","itemData":{"DOI":"10.1016/B978-0-7216-0261-5.50034-X","ISBN":"9780721602615","ISSN":"01406736","author":[{"dropping-particle":"","family":"Royal College of Occupational Therapists","given":"","non-dropping-particle":"","parse-names":false,"suffix":""}],"id":"ITEM-2","issued":{"date-parts":[["2021"]]},"number-of-pages":"17","publisher":"Royal College of Occupational Therapists","publisher-place":"London","title":"Occupational Therapy Career Handbook","type":"book"},"uris":["http://www.mendeley.com/documents/?uuid=741e8c9d-0111-4592-9922-5fcac3b0ebc6"]}],"mendeley":{"formattedCitation":"(Royal College of Occupational Therapists, 2020, 2021)","plainTextFormattedCitation":"(Royal College of Occupational Therapists, 2020, 2021)","previouslyFormattedCitation":"(Royal College of Occupational Therapists, 2020, 2021)"},"properties":{"noteIndex":0},"schema":"https://github.com/citation-style-language/schema/raw/master/csl-citation.json"}</w:instrText>
      </w:r>
      <w:r w:rsidRPr="001272D0">
        <w:rPr>
          <w:rFonts w:ascii="Arial" w:eastAsia="Times New Roman" w:hAnsi="Arial" w:cs="Arial"/>
          <w:iCs/>
          <w:sz w:val="24"/>
          <w:szCs w:val="24"/>
          <w:lang w:val="en-US"/>
        </w:rPr>
        <w:fldChar w:fldCharType="separate"/>
      </w:r>
      <w:r w:rsidRPr="001272D0">
        <w:rPr>
          <w:rFonts w:ascii="Arial" w:eastAsia="Times New Roman" w:hAnsi="Arial" w:cs="Arial"/>
          <w:iCs/>
          <w:noProof/>
          <w:sz w:val="24"/>
          <w:szCs w:val="24"/>
          <w:lang w:val="en-US"/>
        </w:rPr>
        <w:t>(Royal College of Occupational Therapists, 2020, 2021)</w:t>
      </w:r>
      <w:r w:rsidRPr="001272D0">
        <w:rPr>
          <w:rFonts w:ascii="Arial" w:eastAsia="Times New Roman" w:hAnsi="Arial" w:cs="Arial"/>
          <w:iCs/>
          <w:sz w:val="24"/>
          <w:szCs w:val="24"/>
          <w:lang w:val="en-US"/>
        </w:rPr>
        <w:fldChar w:fldCharType="end"/>
      </w:r>
      <w:r w:rsidRPr="001272D0">
        <w:rPr>
          <w:rFonts w:ascii="Arial" w:eastAsia="Times New Roman" w:hAnsi="Arial" w:cs="Arial"/>
          <w:iCs/>
          <w:sz w:val="24"/>
          <w:szCs w:val="24"/>
          <w:lang w:val="en-US"/>
        </w:rPr>
        <w:t xml:space="preserve"> was used to</w:t>
      </w:r>
      <w:r w:rsidR="001D7692" w:rsidRPr="001272D0">
        <w:rPr>
          <w:rFonts w:ascii="Arial" w:eastAsia="Times New Roman" w:hAnsi="Arial" w:cs="Arial"/>
          <w:iCs/>
          <w:sz w:val="24"/>
          <w:szCs w:val="24"/>
          <w:lang w:val="en-US"/>
        </w:rPr>
        <w:t xml:space="preserve"> </w:t>
      </w:r>
      <w:r w:rsidRPr="001272D0">
        <w:rPr>
          <w:rFonts w:ascii="Arial" w:eastAsia="Times New Roman" w:hAnsi="Arial" w:cs="Arial"/>
          <w:iCs/>
          <w:sz w:val="24"/>
          <w:szCs w:val="24"/>
          <w:lang w:val="en-US"/>
        </w:rPr>
        <w:t xml:space="preserve">identify the sample and guide inclusion and exclusion criteria of the final sample size of UK </w:t>
      </w:r>
      <w:r w:rsidR="00907080" w:rsidRPr="001272D0">
        <w:rPr>
          <w:rFonts w:ascii="Arial" w:eastAsia="Times New Roman" w:hAnsi="Arial" w:cs="Arial"/>
          <w:iCs/>
          <w:sz w:val="24"/>
          <w:szCs w:val="24"/>
          <w:lang w:val="en-US"/>
        </w:rPr>
        <w:t>Universitie</w:t>
      </w:r>
      <w:r w:rsidR="00413A73" w:rsidRPr="001272D0">
        <w:rPr>
          <w:rFonts w:ascii="Arial" w:eastAsia="Times New Roman" w:hAnsi="Arial" w:cs="Arial"/>
          <w:iCs/>
          <w:sz w:val="24"/>
          <w:szCs w:val="24"/>
          <w:lang w:val="en-US"/>
        </w:rPr>
        <w:t>s</w:t>
      </w:r>
      <w:r w:rsidR="00911FAD" w:rsidRPr="001272D0">
        <w:rPr>
          <w:rFonts w:ascii="Arial" w:eastAsia="Times New Roman" w:hAnsi="Arial" w:cs="Arial"/>
          <w:iCs/>
          <w:sz w:val="24"/>
          <w:szCs w:val="24"/>
          <w:lang w:val="en-US"/>
        </w:rPr>
        <w:t xml:space="preserve"> (</w:t>
      </w:r>
      <w:r w:rsidR="00911FAD" w:rsidRPr="001272D0">
        <w:rPr>
          <w:rFonts w:ascii="Arial" w:eastAsia="Times New Roman" w:hAnsi="Arial" w:cs="Arial"/>
          <w:i/>
          <w:sz w:val="24"/>
          <w:szCs w:val="24"/>
          <w:lang w:val="en-US"/>
        </w:rPr>
        <w:t>n=</w:t>
      </w:r>
      <w:r w:rsidR="00911FAD" w:rsidRPr="001272D0">
        <w:rPr>
          <w:rFonts w:ascii="Arial" w:eastAsia="Times New Roman" w:hAnsi="Arial" w:cs="Arial"/>
          <w:iCs/>
          <w:sz w:val="24"/>
          <w:szCs w:val="24"/>
          <w:lang w:val="en-US"/>
        </w:rPr>
        <w:t>40)</w:t>
      </w:r>
      <w:r w:rsidRPr="001272D0">
        <w:rPr>
          <w:rFonts w:ascii="Arial" w:eastAsia="Times New Roman" w:hAnsi="Arial" w:cs="Arial"/>
          <w:iCs/>
          <w:sz w:val="24"/>
          <w:szCs w:val="24"/>
          <w:lang w:val="en-US"/>
        </w:rPr>
        <w:t xml:space="preserve">, offering </w:t>
      </w:r>
      <w:r w:rsidR="005E1F95" w:rsidRPr="001272D0">
        <w:rPr>
          <w:rFonts w:ascii="Arial" w:eastAsia="Times New Roman" w:hAnsi="Arial" w:cs="Arial"/>
          <w:iCs/>
          <w:sz w:val="24"/>
          <w:szCs w:val="24"/>
          <w:lang w:val="en-US"/>
        </w:rPr>
        <w:t xml:space="preserve">RCOT </w:t>
      </w:r>
      <w:r w:rsidR="008803BE" w:rsidRPr="001272D0">
        <w:rPr>
          <w:rFonts w:ascii="Arial" w:eastAsia="Times New Roman" w:hAnsi="Arial" w:cs="Arial"/>
          <w:iCs/>
          <w:sz w:val="24"/>
          <w:szCs w:val="24"/>
          <w:lang w:val="en-US"/>
        </w:rPr>
        <w:t xml:space="preserve">accredited </w:t>
      </w:r>
      <w:r w:rsidRPr="001272D0">
        <w:rPr>
          <w:rFonts w:ascii="Arial" w:eastAsia="Times New Roman" w:hAnsi="Arial" w:cs="Arial"/>
          <w:iCs/>
          <w:sz w:val="24"/>
          <w:szCs w:val="24"/>
          <w:lang w:val="en-US"/>
        </w:rPr>
        <w:t>pre-registration</w:t>
      </w:r>
      <w:r w:rsidR="00B10586" w:rsidRPr="001272D0">
        <w:rPr>
          <w:rFonts w:ascii="Arial" w:eastAsia="Times New Roman" w:hAnsi="Arial" w:cs="Arial"/>
          <w:iCs/>
          <w:sz w:val="24"/>
          <w:szCs w:val="24"/>
          <w:lang w:val="en-US"/>
        </w:rPr>
        <w:t xml:space="preserve"> </w:t>
      </w:r>
      <w:r w:rsidRPr="001272D0">
        <w:rPr>
          <w:rFonts w:ascii="Arial" w:eastAsia="Times New Roman" w:hAnsi="Arial" w:cs="Arial"/>
          <w:iCs/>
          <w:sz w:val="24"/>
          <w:szCs w:val="24"/>
          <w:lang w:val="en-US"/>
        </w:rPr>
        <w:t>OT education</w:t>
      </w:r>
      <w:r w:rsidR="00911FAD" w:rsidRPr="001272D0">
        <w:rPr>
          <w:rFonts w:ascii="Arial" w:eastAsia="Times New Roman" w:hAnsi="Arial" w:cs="Arial"/>
          <w:iCs/>
          <w:sz w:val="24"/>
          <w:szCs w:val="24"/>
          <w:lang w:val="en-US"/>
        </w:rPr>
        <w:t xml:space="preserve"> </w:t>
      </w:r>
      <w:proofErr w:type="spellStart"/>
      <w:r w:rsidR="00911FAD" w:rsidRPr="001272D0">
        <w:rPr>
          <w:rFonts w:ascii="Arial" w:eastAsia="Times New Roman" w:hAnsi="Arial" w:cs="Arial"/>
          <w:iCs/>
          <w:sz w:val="24"/>
          <w:szCs w:val="24"/>
          <w:lang w:val="en-US"/>
        </w:rPr>
        <w:t>programmes</w:t>
      </w:r>
      <w:proofErr w:type="spellEnd"/>
      <w:r w:rsidR="00911FAD" w:rsidRPr="001272D0">
        <w:rPr>
          <w:rFonts w:ascii="Arial" w:eastAsia="Times New Roman" w:hAnsi="Arial" w:cs="Arial"/>
          <w:iCs/>
          <w:sz w:val="24"/>
          <w:szCs w:val="24"/>
          <w:lang w:val="en-US"/>
        </w:rPr>
        <w:t xml:space="preserve"> (</w:t>
      </w:r>
      <w:r w:rsidR="00911FAD" w:rsidRPr="001272D0">
        <w:rPr>
          <w:rFonts w:ascii="Arial" w:eastAsia="Times New Roman" w:hAnsi="Arial" w:cs="Arial"/>
          <w:i/>
          <w:sz w:val="24"/>
          <w:szCs w:val="24"/>
          <w:lang w:val="en-US"/>
        </w:rPr>
        <w:t>n</w:t>
      </w:r>
      <w:r w:rsidR="00911FAD" w:rsidRPr="001272D0">
        <w:rPr>
          <w:rFonts w:ascii="Arial" w:eastAsia="Times New Roman" w:hAnsi="Arial" w:cs="Arial"/>
          <w:iCs/>
          <w:sz w:val="24"/>
          <w:szCs w:val="24"/>
          <w:lang w:val="en-US"/>
        </w:rPr>
        <w:t>=73)</w:t>
      </w:r>
      <w:r w:rsidR="00413A73" w:rsidRPr="001272D0">
        <w:rPr>
          <w:rFonts w:ascii="Arial" w:eastAsia="Times New Roman" w:hAnsi="Arial" w:cs="Arial"/>
          <w:iCs/>
          <w:sz w:val="24"/>
          <w:szCs w:val="24"/>
          <w:lang w:val="en-US"/>
        </w:rPr>
        <w:t xml:space="preserve"> </w:t>
      </w:r>
      <w:r w:rsidRPr="001272D0">
        <w:rPr>
          <w:rFonts w:ascii="Arial" w:eastAsia="Times New Roman" w:hAnsi="Arial" w:cs="Arial"/>
          <w:iCs/>
          <w:sz w:val="24"/>
          <w:szCs w:val="24"/>
          <w:lang w:val="en-US"/>
        </w:rPr>
        <w:t>for entry in the academic year of 2021/202</w:t>
      </w:r>
      <w:r w:rsidR="00D7191F" w:rsidRPr="001272D0">
        <w:rPr>
          <w:rFonts w:ascii="Arial" w:eastAsia="Times New Roman" w:hAnsi="Arial" w:cs="Arial"/>
          <w:iCs/>
          <w:sz w:val="24"/>
          <w:szCs w:val="24"/>
          <w:lang w:val="en-US"/>
        </w:rPr>
        <w:t>2</w:t>
      </w:r>
      <w:r w:rsidRPr="001272D0">
        <w:rPr>
          <w:rFonts w:ascii="Arial" w:eastAsia="Times New Roman" w:hAnsi="Arial" w:cs="Arial"/>
          <w:iCs/>
          <w:sz w:val="24"/>
          <w:szCs w:val="24"/>
          <w:lang w:val="en-US"/>
        </w:rPr>
        <w:t xml:space="preserve"> (Table </w:t>
      </w:r>
      <w:r w:rsidR="007240C7" w:rsidRPr="001272D0">
        <w:rPr>
          <w:rFonts w:ascii="Arial" w:eastAsia="Times New Roman" w:hAnsi="Arial" w:cs="Arial"/>
          <w:iCs/>
          <w:sz w:val="24"/>
          <w:szCs w:val="24"/>
          <w:lang w:val="en-US"/>
        </w:rPr>
        <w:t>1</w:t>
      </w:r>
      <w:r w:rsidRPr="001272D0">
        <w:rPr>
          <w:rFonts w:ascii="Arial" w:eastAsia="Times New Roman" w:hAnsi="Arial" w:cs="Arial"/>
          <w:iCs/>
          <w:sz w:val="24"/>
          <w:szCs w:val="24"/>
          <w:lang w:val="en-US"/>
        </w:rPr>
        <w:t xml:space="preserve">). </w:t>
      </w:r>
    </w:p>
    <w:p w14:paraId="734C0CD3" w14:textId="77777777" w:rsidR="004740DC" w:rsidRPr="001272D0" w:rsidRDefault="004740DC" w:rsidP="00A74EBE">
      <w:pPr>
        <w:spacing w:line="240" w:lineRule="auto"/>
        <w:jc w:val="both"/>
        <w:rPr>
          <w:rFonts w:ascii="Arial" w:eastAsia="Times New Roman" w:hAnsi="Arial" w:cs="Arial"/>
          <w:iCs/>
          <w:sz w:val="24"/>
          <w:szCs w:val="24"/>
          <w:lang w:val="en-US"/>
        </w:rPr>
      </w:pPr>
    </w:p>
    <w:p w14:paraId="4074C974" w14:textId="3BA160F4" w:rsidR="00DB2235" w:rsidRPr="001272D0" w:rsidRDefault="00DB2235" w:rsidP="00A74EBE">
      <w:pPr>
        <w:spacing w:line="240" w:lineRule="auto"/>
        <w:jc w:val="both"/>
        <w:rPr>
          <w:rFonts w:ascii="Arial" w:eastAsia="Times New Roman" w:hAnsi="Arial" w:cs="Arial"/>
          <w:b/>
          <w:bCs/>
          <w:iCs/>
          <w:sz w:val="24"/>
          <w:szCs w:val="24"/>
          <w:lang w:val="en-US"/>
        </w:rPr>
      </w:pPr>
      <w:r w:rsidRPr="001272D0">
        <w:rPr>
          <w:rFonts w:ascii="Arial" w:eastAsia="Times New Roman" w:hAnsi="Arial" w:cs="Arial"/>
          <w:iCs/>
          <w:sz w:val="24"/>
          <w:szCs w:val="24"/>
          <w:lang w:val="en-US"/>
        </w:rPr>
        <w:t xml:space="preserve">Table </w:t>
      </w:r>
      <w:r w:rsidR="007240C7" w:rsidRPr="001272D0">
        <w:rPr>
          <w:rFonts w:ascii="Arial" w:eastAsia="Times New Roman" w:hAnsi="Arial" w:cs="Arial"/>
          <w:iCs/>
          <w:sz w:val="24"/>
          <w:szCs w:val="24"/>
          <w:lang w:val="en-US"/>
        </w:rPr>
        <w:t>1</w:t>
      </w:r>
      <w:r w:rsidR="00253499" w:rsidRPr="001272D0">
        <w:rPr>
          <w:rFonts w:ascii="Arial" w:eastAsia="Times New Roman" w:hAnsi="Arial" w:cs="Arial"/>
          <w:iCs/>
          <w:sz w:val="24"/>
          <w:szCs w:val="24"/>
          <w:lang w:val="en-US"/>
        </w:rPr>
        <w:t xml:space="preserve">. </w:t>
      </w:r>
      <w:r w:rsidRPr="001272D0">
        <w:rPr>
          <w:rFonts w:ascii="Arial" w:eastAsia="Times New Roman" w:hAnsi="Arial" w:cs="Arial"/>
          <w:iCs/>
          <w:sz w:val="24"/>
          <w:szCs w:val="24"/>
          <w:lang w:val="en-US"/>
        </w:rPr>
        <w:t>Inclusion and Exclusion Criteria</w:t>
      </w:r>
    </w:p>
    <w:tbl>
      <w:tblPr>
        <w:tblW w:w="9016"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508"/>
        <w:gridCol w:w="4508"/>
      </w:tblGrid>
      <w:tr w:rsidR="00DB2235" w:rsidRPr="001272D0" w14:paraId="5092E7F9" w14:textId="77777777" w:rsidTr="00B4201A">
        <w:tc>
          <w:tcPr>
            <w:tcW w:w="4508" w:type="dxa"/>
            <w:tcBorders>
              <w:top w:val="single" w:sz="4" w:space="0" w:color="000000"/>
              <w:left w:val="nil"/>
              <w:bottom w:val="single" w:sz="4" w:space="0" w:color="auto"/>
            </w:tcBorders>
          </w:tcPr>
          <w:p w14:paraId="5B6133F1" w14:textId="77777777" w:rsidR="00DB2235" w:rsidRPr="001272D0" w:rsidRDefault="00DB2235" w:rsidP="00A74EBE">
            <w:pPr>
              <w:spacing w:line="240" w:lineRule="auto"/>
              <w:jc w:val="center"/>
              <w:rPr>
                <w:rFonts w:ascii="Arial" w:eastAsia="Arial" w:hAnsi="Arial" w:cs="Arial"/>
                <w:b/>
                <w:sz w:val="24"/>
                <w:szCs w:val="24"/>
              </w:rPr>
            </w:pPr>
            <w:r w:rsidRPr="001272D0">
              <w:rPr>
                <w:rFonts w:ascii="Arial" w:eastAsia="Arial" w:hAnsi="Arial" w:cs="Arial"/>
                <w:b/>
                <w:sz w:val="24"/>
                <w:szCs w:val="24"/>
              </w:rPr>
              <w:t>Inclusion Criteria</w:t>
            </w:r>
          </w:p>
        </w:tc>
        <w:tc>
          <w:tcPr>
            <w:tcW w:w="4508" w:type="dxa"/>
            <w:tcBorders>
              <w:top w:val="single" w:sz="4" w:space="0" w:color="000000"/>
              <w:bottom w:val="single" w:sz="4" w:space="0" w:color="auto"/>
              <w:right w:val="nil"/>
            </w:tcBorders>
          </w:tcPr>
          <w:p w14:paraId="3B12855C" w14:textId="77777777" w:rsidR="00DB2235" w:rsidRPr="001272D0" w:rsidRDefault="00DB2235" w:rsidP="00A74EBE">
            <w:pPr>
              <w:spacing w:line="240" w:lineRule="auto"/>
              <w:jc w:val="center"/>
              <w:rPr>
                <w:rFonts w:ascii="Arial" w:eastAsia="Arial" w:hAnsi="Arial" w:cs="Arial"/>
                <w:b/>
                <w:sz w:val="24"/>
                <w:szCs w:val="24"/>
              </w:rPr>
            </w:pPr>
            <w:r w:rsidRPr="001272D0">
              <w:rPr>
                <w:rFonts w:ascii="Arial" w:eastAsia="Arial" w:hAnsi="Arial" w:cs="Arial"/>
                <w:b/>
                <w:sz w:val="24"/>
                <w:szCs w:val="24"/>
              </w:rPr>
              <w:t>Exclusion Criteria</w:t>
            </w:r>
          </w:p>
        </w:tc>
      </w:tr>
      <w:tr w:rsidR="00DB2235" w:rsidRPr="001272D0" w14:paraId="1235F7A8" w14:textId="77777777" w:rsidTr="00B4201A">
        <w:tc>
          <w:tcPr>
            <w:tcW w:w="4508" w:type="dxa"/>
            <w:tcBorders>
              <w:top w:val="single" w:sz="4" w:space="0" w:color="auto"/>
              <w:left w:val="nil"/>
            </w:tcBorders>
          </w:tcPr>
          <w:p w14:paraId="2EDA1539" w14:textId="363A26C1" w:rsidR="00DB2235" w:rsidRPr="001272D0" w:rsidRDefault="00DB2235" w:rsidP="00A74EBE">
            <w:pPr>
              <w:spacing w:line="240" w:lineRule="auto"/>
              <w:rPr>
                <w:rFonts w:ascii="Arial" w:eastAsia="Arial" w:hAnsi="Arial" w:cs="Arial"/>
                <w:sz w:val="24"/>
                <w:szCs w:val="24"/>
              </w:rPr>
            </w:pPr>
            <w:r w:rsidRPr="001272D0">
              <w:rPr>
                <w:rFonts w:ascii="Arial" w:eastAsia="Arial" w:hAnsi="Arial" w:cs="Arial"/>
                <w:sz w:val="24"/>
                <w:szCs w:val="24"/>
              </w:rPr>
              <w:t xml:space="preserve">UK </w:t>
            </w:r>
            <w:r w:rsidR="00A124E1" w:rsidRPr="001272D0">
              <w:rPr>
                <w:rFonts w:ascii="Arial" w:eastAsia="Arial" w:hAnsi="Arial" w:cs="Arial"/>
                <w:sz w:val="24"/>
                <w:szCs w:val="24"/>
              </w:rPr>
              <w:t>Universities</w:t>
            </w:r>
            <w:r w:rsidRPr="001272D0">
              <w:rPr>
                <w:rFonts w:ascii="Arial" w:eastAsia="Arial" w:hAnsi="Arial" w:cs="Arial"/>
                <w:sz w:val="24"/>
                <w:szCs w:val="24"/>
              </w:rPr>
              <w:t xml:space="preserve"> in England, Ireland, Scotland and Wales</w:t>
            </w:r>
            <w:r w:rsidR="005E1F95" w:rsidRPr="001272D0">
              <w:rPr>
                <w:rFonts w:ascii="Arial" w:eastAsia="Arial" w:hAnsi="Arial" w:cs="Arial"/>
                <w:sz w:val="24"/>
                <w:szCs w:val="24"/>
              </w:rPr>
              <w:t>.</w:t>
            </w:r>
          </w:p>
        </w:tc>
        <w:tc>
          <w:tcPr>
            <w:tcW w:w="4508" w:type="dxa"/>
            <w:tcBorders>
              <w:top w:val="single" w:sz="4" w:space="0" w:color="auto"/>
              <w:right w:val="nil"/>
            </w:tcBorders>
          </w:tcPr>
          <w:p w14:paraId="7F6CF668" w14:textId="4CE0F445" w:rsidR="00975594" w:rsidRPr="001272D0" w:rsidRDefault="00AE4D72" w:rsidP="00A74EBE">
            <w:pPr>
              <w:spacing w:line="240" w:lineRule="auto"/>
              <w:rPr>
                <w:rFonts w:ascii="Arial" w:eastAsia="Arial" w:hAnsi="Arial" w:cs="Arial"/>
                <w:sz w:val="24"/>
                <w:szCs w:val="24"/>
              </w:rPr>
            </w:pPr>
            <w:r w:rsidRPr="001272D0">
              <w:rPr>
                <w:rFonts w:ascii="Arial" w:eastAsia="Arial" w:hAnsi="Arial" w:cs="Arial"/>
                <w:sz w:val="24"/>
                <w:szCs w:val="24"/>
              </w:rPr>
              <w:t>Universities</w:t>
            </w:r>
            <w:r w:rsidR="00DB2235" w:rsidRPr="001272D0">
              <w:rPr>
                <w:rFonts w:ascii="Arial" w:eastAsia="Arial" w:hAnsi="Arial" w:cs="Arial"/>
                <w:sz w:val="24"/>
                <w:szCs w:val="24"/>
              </w:rPr>
              <w:t xml:space="preserve"> based outside of the UK.</w:t>
            </w:r>
          </w:p>
        </w:tc>
      </w:tr>
      <w:tr w:rsidR="00DB2235" w:rsidRPr="001272D0" w14:paraId="62273975" w14:textId="77777777" w:rsidTr="00B4201A">
        <w:tc>
          <w:tcPr>
            <w:tcW w:w="4508" w:type="dxa"/>
            <w:tcBorders>
              <w:left w:val="nil"/>
            </w:tcBorders>
          </w:tcPr>
          <w:p w14:paraId="3B6AB5E2" w14:textId="27808EDF" w:rsidR="00A43369" w:rsidRPr="001272D0" w:rsidRDefault="005D6FF0" w:rsidP="00A43369">
            <w:pPr>
              <w:spacing w:line="240" w:lineRule="auto"/>
              <w:rPr>
                <w:rFonts w:ascii="Arial" w:eastAsia="Arial" w:hAnsi="Arial" w:cs="Arial"/>
                <w:sz w:val="24"/>
                <w:szCs w:val="24"/>
              </w:rPr>
            </w:pPr>
            <w:r w:rsidRPr="001272D0">
              <w:rPr>
                <w:rFonts w:ascii="Arial" w:eastAsia="Arial" w:hAnsi="Arial" w:cs="Arial"/>
                <w:sz w:val="24"/>
                <w:szCs w:val="24"/>
              </w:rPr>
              <w:t>OT programm</w:t>
            </w:r>
            <w:r w:rsidR="00A43369" w:rsidRPr="001272D0">
              <w:rPr>
                <w:rFonts w:ascii="Arial" w:eastAsia="Arial" w:hAnsi="Arial" w:cs="Arial"/>
                <w:sz w:val="24"/>
                <w:szCs w:val="24"/>
              </w:rPr>
              <w:t>es</w:t>
            </w:r>
            <w:r w:rsidR="007C317A" w:rsidRPr="001272D0">
              <w:rPr>
                <w:rFonts w:ascii="Arial" w:eastAsia="Arial" w:hAnsi="Arial" w:cs="Arial"/>
                <w:sz w:val="24"/>
                <w:szCs w:val="24"/>
              </w:rPr>
              <w:t xml:space="preserve">, accredited </w:t>
            </w:r>
            <w:r w:rsidR="00782AF0" w:rsidRPr="001272D0">
              <w:rPr>
                <w:rFonts w:ascii="Arial" w:eastAsia="Arial" w:hAnsi="Arial" w:cs="Arial"/>
                <w:sz w:val="24"/>
                <w:szCs w:val="24"/>
              </w:rPr>
              <w:t>by the RCOT to</w:t>
            </w:r>
            <w:r w:rsidR="00D91238" w:rsidRPr="001272D0">
              <w:rPr>
                <w:rFonts w:ascii="Arial" w:eastAsia="Arial" w:hAnsi="Arial" w:cs="Arial"/>
                <w:sz w:val="24"/>
                <w:szCs w:val="24"/>
              </w:rPr>
              <w:t xml:space="preserve"> provide pre-registration OT education.</w:t>
            </w:r>
          </w:p>
        </w:tc>
        <w:tc>
          <w:tcPr>
            <w:tcW w:w="4508" w:type="dxa"/>
            <w:tcBorders>
              <w:right w:val="nil"/>
            </w:tcBorders>
          </w:tcPr>
          <w:p w14:paraId="07D06E61" w14:textId="6D07CAB6" w:rsidR="00DB2235" w:rsidRPr="001272D0" w:rsidRDefault="00DB2235" w:rsidP="00A74EBE">
            <w:pPr>
              <w:spacing w:line="240" w:lineRule="auto"/>
              <w:rPr>
                <w:rFonts w:ascii="Arial" w:eastAsia="Arial" w:hAnsi="Arial" w:cs="Arial"/>
                <w:sz w:val="24"/>
                <w:szCs w:val="24"/>
              </w:rPr>
            </w:pPr>
            <w:r w:rsidRPr="001272D0">
              <w:rPr>
                <w:rFonts w:ascii="Arial" w:eastAsia="Arial" w:hAnsi="Arial" w:cs="Arial"/>
                <w:sz w:val="24"/>
                <w:szCs w:val="24"/>
              </w:rPr>
              <w:t xml:space="preserve">Pre-registration </w:t>
            </w:r>
            <w:r w:rsidR="00907080" w:rsidRPr="001272D0">
              <w:rPr>
                <w:rFonts w:ascii="Arial" w:eastAsia="Arial" w:hAnsi="Arial" w:cs="Arial"/>
                <w:sz w:val="24"/>
                <w:szCs w:val="24"/>
              </w:rPr>
              <w:t>OT</w:t>
            </w:r>
            <w:r w:rsidRPr="001272D0">
              <w:rPr>
                <w:rFonts w:ascii="Arial" w:eastAsia="Arial" w:hAnsi="Arial" w:cs="Arial"/>
                <w:sz w:val="24"/>
                <w:szCs w:val="24"/>
              </w:rPr>
              <w:t xml:space="preserve"> program</w:t>
            </w:r>
            <w:r w:rsidR="00AE4D72" w:rsidRPr="001272D0">
              <w:rPr>
                <w:rFonts w:ascii="Arial" w:eastAsia="Arial" w:hAnsi="Arial" w:cs="Arial"/>
                <w:sz w:val="24"/>
                <w:szCs w:val="24"/>
              </w:rPr>
              <w:t>me</w:t>
            </w:r>
            <w:r w:rsidRPr="001272D0">
              <w:rPr>
                <w:rFonts w:ascii="Arial" w:eastAsia="Arial" w:hAnsi="Arial" w:cs="Arial"/>
                <w:sz w:val="24"/>
                <w:szCs w:val="24"/>
              </w:rPr>
              <w:t xml:space="preserve">s awaiting professional </w:t>
            </w:r>
            <w:r w:rsidR="00725B67" w:rsidRPr="001272D0">
              <w:rPr>
                <w:rFonts w:ascii="Arial" w:eastAsia="Arial" w:hAnsi="Arial" w:cs="Arial"/>
                <w:sz w:val="24"/>
                <w:szCs w:val="24"/>
              </w:rPr>
              <w:t xml:space="preserve">RCOT </w:t>
            </w:r>
            <w:r w:rsidRPr="001272D0">
              <w:rPr>
                <w:rFonts w:ascii="Arial" w:eastAsia="Arial" w:hAnsi="Arial" w:cs="Arial"/>
                <w:sz w:val="24"/>
                <w:szCs w:val="24"/>
              </w:rPr>
              <w:t>accreditation.</w:t>
            </w:r>
          </w:p>
        </w:tc>
      </w:tr>
      <w:tr w:rsidR="00DB2235" w:rsidRPr="001272D0" w14:paraId="6A39636C" w14:textId="77777777" w:rsidTr="00B4201A">
        <w:tc>
          <w:tcPr>
            <w:tcW w:w="4508" w:type="dxa"/>
            <w:tcBorders>
              <w:left w:val="nil"/>
              <w:bottom w:val="single" w:sz="4" w:space="0" w:color="000000"/>
            </w:tcBorders>
          </w:tcPr>
          <w:p w14:paraId="15D41C84" w14:textId="13BFD622" w:rsidR="00DB2235" w:rsidRPr="001272D0" w:rsidRDefault="00DB2235" w:rsidP="00A74EBE">
            <w:pPr>
              <w:spacing w:line="240" w:lineRule="auto"/>
              <w:rPr>
                <w:rFonts w:ascii="Arial" w:eastAsia="Arial" w:hAnsi="Arial" w:cs="Arial"/>
                <w:sz w:val="24"/>
                <w:szCs w:val="24"/>
              </w:rPr>
            </w:pPr>
            <w:r w:rsidRPr="001272D0">
              <w:rPr>
                <w:rFonts w:ascii="Arial" w:eastAsia="Arial" w:hAnsi="Arial" w:cs="Arial"/>
                <w:sz w:val="24"/>
                <w:szCs w:val="24"/>
              </w:rPr>
              <w:t>Full-time</w:t>
            </w:r>
            <w:r w:rsidR="00907080" w:rsidRPr="001272D0">
              <w:rPr>
                <w:rFonts w:ascii="Arial" w:eastAsia="Arial" w:hAnsi="Arial" w:cs="Arial"/>
                <w:sz w:val="24"/>
                <w:szCs w:val="24"/>
              </w:rPr>
              <w:t>/</w:t>
            </w:r>
            <w:r w:rsidRPr="001272D0">
              <w:rPr>
                <w:rFonts w:ascii="Arial" w:eastAsia="Arial" w:hAnsi="Arial" w:cs="Arial"/>
                <w:sz w:val="24"/>
                <w:szCs w:val="24"/>
              </w:rPr>
              <w:t xml:space="preserve">part-time pre-registration </w:t>
            </w:r>
            <w:r w:rsidR="00907080" w:rsidRPr="001272D0">
              <w:rPr>
                <w:rFonts w:ascii="Arial" w:eastAsia="Arial" w:hAnsi="Arial" w:cs="Arial"/>
                <w:sz w:val="24"/>
                <w:szCs w:val="24"/>
              </w:rPr>
              <w:t>OT</w:t>
            </w:r>
            <w:r w:rsidRPr="001272D0">
              <w:rPr>
                <w:rFonts w:ascii="Arial" w:eastAsia="Arial" w:hAnsi="Arial" w:cs="Arial"/>
                <w:sz w:val="24"/>
                <w:szCs w:val="24"/>
              </w:rPr>
              <w:t xml:space="preserve"> program</w:t>
            </w:r>
            <w:r w:rsidR="00AE4D72" w:rsidRPr="001272D0">
              <w:rPr>
                <w:rFonts w:ascii="Arial" w:eastAsia="Arial" w:hAnsi="Arial" w:cs="Arial"/>
                <w:sz w:val="24"/>
                <w:szCs w:val="24"/>
              </w:rPr>
              <w:t>me</w:t>
            </w:r>
            <w:r w:rsidRPr="001272D0">
              <w:rPr>
                <w:rFonts w:ascii="Arial" w:eastAsia="Arial" w:hAnsi="Arial" w:cs="Arial"/>
                <w:sz w:val="24"/>
                <w:szCs w:val="24"/>
              </w:rPr>
              <w:t>s across undergraduate and postgraduate routes.</w:t>
            </w:r>
          </w:p>
        </w:tc>
        <w:tc>
          <w:tcPr>
            <w:tcW w:w="4508" w:type="dxa"/>
            <w:tcBorders>
              <w:bottom w:val="single" w:sz="4" w:space="0" w:color="000000"/>
              <w:right w:val="nil"/>
            </w:tcBorders>
          </w:tcPr>
          <w:p w14:paraId="0556B3B9" w14:textId="6EE3F6A8" w:rsidR="00DB2235" w:rsidRPr="001272D0" w:rsidRDefault="00DB2235" w:rsidP="00A74EBE">
            <w:pPr>
              <w:spacing w:line="240" w:lineRule="auto"/>
              <w:rPr>
                <w:rFonts w:ascii="Arial" w:eastAsia="Arial" w:hAnsi="Arial" w:cs="Arial"/>
                <w:b/>
                <w:i/>
                <w:sz w:val="24"/>
                <w:szCs w:val="24"/>
              </w:rPr>
            </w:pPr>
            <w:r w:rsidRPr="001272D0">
              <w:rPr>
                <w:rFonts w:ascii="Arial" w:eastAsia="Arial" w:hAnsi="Arial" w:cs="Arial"/>
                <w:sz w:val="24"/>
                <w:szCs w:val="24"/>
              </w:rPr>
              <w:t xml:space="preserve">Post-registration </w:t>
            </w:r>
            <w:r w:rsidR="00907080" w:rsidRPr="001272D0">
              <w:rPr>
                <w:rFonts w:ascii="Arial" w:eastAsia="Arial" w:hAnsi="Arial" w:cs="Arial"/>
                <w:sz w:val="24"/>
                <w:szCs w:val="24"/>
              </w:rPr>
              <w:t>OT</w:t>
            </w:r>
            <w:r w:rsidRPr="001272D0">
              <w:rPr>
                <w:rFonts w:ascii="Arial" w:eastAsia="Arial" w:hAnsi="Arial" w:cs="Arial"/>
                <w:sz w:val="24"/>
                <w:szCs w:val="24"/>
              </w:rPr>
              <w:t xml:space="preserve"> </w:t>
            </w:r>
            <w:r w:rsidR="002A0D0E" w:rsidRPr="001272D0">
              <w:rPr>
                <w:rFonts w:ascii="Arial" w:eastAsia="Arial" w:hAnsi="Arial" w:cs="Arial"/>
                <w:sz w:val="24"/>
                <w:szCs w:val="24"/>
              </w:rPr>
              <w:t>(MSc, PGDip</w:t>
            </w:r>
            <w:r w:rsidR="00290662" w:rsidRPr="001272D0">
              <w:rPr>
                <w:rFonts w:ascii="Arial" w:eastAsia="Arial" w:hAnsi="Arial" w:cs="Arial"/>
                <w:sz w:val="24"/>
                <w:szCs w:val="24"/>
              </w:rPr>
              <w:t>, Doctoral</w:t>
            </w:r>
            <w:r w:rsidR="00B43E07" w:rsidRPr="001272D0">
              <w:rPr>
                <w:rFonts w:ascii="Arial" w:eastAsia="Arial" w:hAnsi="Arial" w:cs="Arial"/>
                <w:sz w:val="24"/>
                <w:szCs w:val="24"/>
              </w:rPr>
              <w:t>) programmes</w:t>
            </w:r>
            <w:r w:rsidRPr="001272D0">
              <w:rPr>
                <w:rFonts w:ascii="Arial" w:eastAsia="Arial" w:hAnsi="Arial" w:cs="Arial"/>
                <w:sz w:val="24"/>
                <w:szCs w:val="24"/>
              </w:rPr>
              <w:t xml:space="preserve"> for </w:t>
            </w:r>
            <w:r w:rsidR="00632676" w:rsidRPr="001272D0">
              <w:rPr>
                <w:rFonts w:ascii="Arial" w:eastAsia="Arial" w:hAnsi="Arial" w:cs="Arial"/>
                <w:sz w:val="24"/>
                <w:szCs w:val="24"/>
              </w:rPr>
              <w:t xml:space="preserve">registered </w:t>
            </w:r>
            <w:r w:rsidR="005B364E" w:rsidRPr="001272D0">
              <w:rPr>
                <w:rFonts w:ascii="Arial" w:eastAsia="Arial" w:hAnsi="Arial" w:cs="Arial"/>
                <w:sz w:val="24"/>
                <w:szCs w:val="24"/>
              </w:rPr>
              <w:t>/</w:t>
            </w:r>
            <w:r w:rsidRPr="001272D0">
              <w:rPr>
                <w:rFonts w:ascii="Arial" w:eastAsia="Arial" w:hAnsi="Arial" w:cs="Arial"/>
                <w:sz w:val="24"/>
                <w:szCs w:val="24"/>
              </w:rPr>
              <w:t>qualified Occupational Therapists seeking postgraduate options.</w:t>
            </w:r>
          </w:p>
        </w:tc>
      </w:tr>
    </w:tbl>
    <w:p w14:paraId="3A542AB4" w14:textId="77777777" w:rsidR="004740DC" w:rsidRPr="001272D0" w:rsidRDefault="004740DC" w:rsidP="00A74EBE">
      <w:pPr>
        <w:spacing w:line="240" w:lineRule="auto"/>
        <w:jc w:val="both"/>
        <w:rPr>
          <w:rFonts w:ascii="Arial" w:eastAsia="Times New Roman" w:hAnsi="Arial" w:cs="Arial"/>
          <w:iCs/>
          <w:sz w:val="24"/>
          <w:szCs w:val="24"/>
          <w:lang w:val="en-US"/>
        </w:rPr>
      </w:pPr>
    </w:p>
    <w:p w14:paraId="6839D200" w14:textId="77777777" w:rsidR="00DB2235" w:rsidRPr="001272D0" w:rsidRDefault="00DB2235" w:rsidP="00A74EBE">
      <w:pPr>
        <w:spacing w:line="240" w:lineRule="auto"/>
        <w:jc w:val="both"/>
        <w:rPr>
          <w:rFonts w:ascii="Arial" w:eastAsia="Times New Roman" w:hAnsi="Arial" w:cs="Arial"/>
          <w:b/>
          <w:iCs/>
          <w:sz w:val="24"/>
          <w:szCs w:val="24"/>
          <w:lang w:val="en-US"/>
        </w:rPr>
      </w:pPr>
      <w:r w:rsidRPr="001272D0">
        <w:rPr>
          <w:rFonts w:ascii="Arial" w:eastAsia="Times New Roman" w:hAnsi="Arial" w:cs="Arial"/>
          <w:b/>
          <w:iCs/>
          <w:sz w:val="24"/>
          <w:szCs w:val="24"/>
          <w:lang w:val="en-US"/>
        </w:rPr>
        <w:t>Design</w:t>
      </w:r>
    </w:p>
    <w:p w14:paraId="16C3DB52" w14:textId="7C27F66C" w:rsidR="00DB2235" w:rsidRPr="001272D0" w:rsidRDefault="00DB2235" w:rsidP="00A74EBE">
      <w:pPr>
        <w:spacing w:line="240" w:lineRule="auto"/>
        <w:jc w:val="both"/>
        <w:rPr>
          <w:rFonts w:ascii="Arial" w:eastAsia="Times New Roman" w:hAnsi="Arial" w:cs="Arial"/>
          <w:iCs/>
          <w:sz w:val="24"/>
          <w:szCs w:val="24"/>
          <w:lang w:val="en-US"/>
        </w:rPr>
      </w:pPr>
      <w:r w:rsidRPr="001272D0">
        <w:rPr>
          <w:rFonts w:ascii="Arial" w:eastAsia="Times New Roman" w:hAnsi="Arial" w:cs="Arial"/>
          <w:iCs/>
          <w:sz w:val="24"/>
          <w:szCs w:val="24"/>
          <w:lang w:val="en-US"/>
        </w:rPr>
        <w:t xml:space="preserve">A cross-sectional research design was used, </w:t>
      </w:r>
      <w:r w:rsidR="00FA3A19" w:rsidRPr="001272D0">
        <w:rPr>
          <w:rFonts w:ascii="Arial" w:eastAsia="Times New Roman" w:hAnsi="Arial" w:cs="Arial"/>
          <w:iCs/>
          <w:sz w:val="24"/>
          <w:szCs w:val="24"/>
          <w:lang w:val="en-US"/>
        </w:rPr>
        <w:t xml:space="preserve">focusing on </w:t>
      </w:r>
      <w:r w:rsidRPr="001272D0">
        <w:rPr>
          <w:rFonts w:ascii="Arial" w:eastAsia="Times New Roman" w:hAnsi="Arial" w:cs="Arial"/>
          <w:iCs/>
          <w:sz w:val="24"/>
          <w:szCs w:val="24"/>
          <w:lang w:val="en-US"/>
        </w:rPr>
        <w:t xml:space="preserve">collection of quantitative data from </w:t>
      </w:r>
      <w:r w:rsidR="00FC77A0" w:rsidRPr="001272D0">
        <w:rPr>
          <w:rFonts w:ascii="Arial" w:eastAsia="Times New Roman" w:hAnsi="Arial" w:cs="Arial"/>
          <w:iCs/>
          <w:sz w:val="24"/>
          <w:szCs w:val="24"/>
          <w:lang w:val="en-US"/>
        </w:rPr>
        <w:t>public</w:t>
      </w:r>
      <w:r w:rsidRPr="001272D0">
        <w:rPr>
          <w:rFonts w:ascii="Arial" w:eastAsia="Times New Roman" w:hAnsi="Arial" w:cs="Arial"/>
          <w:iCs/>
          <w:sz w:val="24"/>
          <w:szCs w:val="24"/>
          <w:lang w:val="en-US"/>
        </w:rPr>
        <w:t xml:space="preserve"> websites and subsequent content analysis</w:t>
      </w:r>
      <w:r w:rsidR="00491A2D" w:rsidRPr="001272D0">
        <w:rPr>
          <w:rFonts w:ascii="Arial" w:eastAsia="Times New Roman" w:hAnsi="Arial" w:cs="Arial"/>
          <w:iCs/>
          <w:sz w:val="24"/>
          <w:szCs w:val="24"/>
          <w:lang w:val="en-US"/>
        </w:rPr>
        <w:t>.</w:t>
      </w:r>
      <w:r w:rsidRPr="001272D0">
        <w:rPr>
          <w:rFonts w:ascii="Arial" w:eastAsia="Times New Roman" w:hAnsi="Arial" w:cs="Arial"/>
          <w:iCs/>
          <w:sz w:val="24"/>
          <w:szCs w:val="24"/>
          <w:lang w:val="en-US"/>
        </w:rPr>
        <w:t xml:space="preserve"> This non-reactive method</w:t>
      </w:r>
      <w:r w:rsidR="00476B2E" w:rsidRPr="001272D0">
        <w:rPr>
          <w:rFonts w:ascii="Arial" w:eastAsia="Times New Roman" w:hAnsi="Arial" w:cs="Arial"/>
          <w:iCs/>
          <w:sz w:val="24"/>
          <w:szCs w:val="24"/>
          <w:lang w:val="en-US"/>
        </w:rPr>
        <w:t xml:space="preserve"> </w:t>
      </w:r>
      <w:r w:rsidR="002D6A58" w:rsidRPr="001272D0">
        <w:rPr>
          <w:rFonts w:ascii="Arial" w:eastAsia="Times New Roman" w:hAnsi="Arial" w:cs="Arial"/>
          <w:iCs/>
          <w:sz w:val="24"/>
          <w:szCs w:val="24"/>
          <w:lang w:val="en-US"/>
        </w:rPr>
        <w:t>allow</w:t>
      </w:r>
      <w:r w:rsidR="00927603" w:rsidRPr="001272D0">
        <w:rPr>
          <w:rFonts w:ascii="Arial" w:eastAsia="Times New Roman" w:hAnsi="Arial" w:cs="Arial"/>
          <w:iCs/>
          <w:sz w:val="24"/>
          <w:szCs w:val="24"/>
          <w:lang w:val="en-US"/>
        </w:rPr>
        <w:t>ed for</w:t>
      </w:r>
      <w:r w:rsidRPr="001272D0">
        <w:rPr>
          <w:rFonts w:ascii="Arial" w:eastAsia="Times New Roman" w:hAnsi="Arial" w:cs="Arial"/>
          <w:iCs/>
          <w:sz w:val="24"/>
          <w:szCs w:val="24"/>
          <w:lang w:val="en-US"/>
        </w:rPr>
        <w:t xml:space="preserve"> </w:t>
      </w:r>
      <w:r w:rsidR="00AF359D" w:rsidRPr="001272D0">
        <w:rPr>
          <w:rFonts w:ascii="Arial" w:eastAsia="Times New Roman" w:hAnsi="Arial" w:cs="Arial"/>
          <w:iCs/>
          <w:sz w:val="24"/>
          <w:szCs w:val="24"/>
          <w:lang w:val="en-US"/>
        </w:rPr>
        <w:t>e</w:t>
      </w:r>
      <w:r w:rsidRPr="001272D0">
        <w:rPr>
          <w:rFonts w:ascii="Arial" w:eastAsia="Times New Roman" w:hAnsi="Arial" w:cs="Arial"/>
          <w:iCs/>
          <w:sz w:val="24"/>
          <w:szCs w:val="24"/>
          <w:lang w:val="en-US"/>
        </w:rPr>
        <w:t xml:space="preserve">xploration of information to identify and describe potentially emerging themes from the </w:t>
      </w:r>
      <w:r w:rsidR="00AF359D" w:rsidRPr="001272D0">
        <w:rPr>
          <w:rFonts w:ascii="Arial" w:eastAsia="Times New Roman" w:hAnsi="Arial" w:cs="Arial"/>
          <w:iCs/>
          <w:sz w:val="24"/>
          <w:szCs w:val="24"/>
          <w:lang w:val="en-US"/>
        </w:rPr>
        <w:t>extracted</w:t>
      </w:r>
      <w:r w:rsidRPr="001272D0">
        <w:rPr>
          <w:rFonts w:ascii="Arial" w:eastAsia="Times New Roman" w:hAnsi="Arial" w:cs="Arial"/>
          <w:iCs/>
          <w:sz w:val="24"/>
          <w:szCs w:val="24"/>
          <w:lang w:val="en-US"/>
        </w:rPr>
        <w:t xml:space="preserve"> data </w:t>
      </w:r>
      <w:r w:rsidRPr="001272D0">
        <w:rPr>
          <w:rFonts w:ascii="Arial" w:eastAsia="Times New Roman" w:hAnsi="Arial" w:cs="Arial"/>
          <w:iCs/>
          <w:sz w:val="24"/>
          <w:szCs w:val="24"/>
          <w:lang w:val="en-US"/>
        </w:rPr>
        <w:fldChar w:fldCharType="begin" w:fldLock="1"/>
      </w:r>
      <w:r w:rsidRPr="001272D0">
        <w:rPr>
          <w:rFonts w:ascii="Arial" w:eastAsia="Times New Roman" w:hAnsi="Arial" w:cs="Arial"/>
          <w:iCs/>
          <w:sz w:val="24"/>
          <w:szCs w:val="24"/>
          <w:lang w:val="en-US"/>
        </w:rPr>
        <w:instrText>ADDIN CSL_CITATION {"citationItems":[{"id":"ITEM-1","itemData":{"author":[{"dropping-particle":"","family":"Neuman","given":"W L","non-dropping-particle":"","parse-names":false,"suffix":""}],"edition":"7th","id":"ITEM-1","issued":{"date-parts":[["2011"]]},"publisher":"Pearson","publisher-place":"Boston, MA","title":"Social Research Methods","type":"book"},"uris":["http://www.mendeley.com/documents/?uuid=b10ea394-58bb-4f22-acba-cc0cc9dc8ff1"]}],"mendeley":{"formattedCitation":"(Neuman, 2011)","plainTextFormattedCitation":"(Neuman, 2011)","previouslyFormattedCitation":"(Neuman, 2011)"},"properties":{"noteIndex":0},"schema":"https://github.com/citation-style-language/schema/raw/master/csl-citation.json"}</w:instrText>
      </w:r>
      <w:r w:rsidRPr="001272D0">
        <w:rPr>
          <w:rFonts w:ascii="Arial" w:eastAsia="Times New Roman" w:hAnsi="Arial" w:cs="Arial"/>
          <w:iCs/>
          <w:sz w:val="24"/>
          <w:szCs w:val="24"/>
          <w:lang w:val="en-US"/>
        </w:rPr>
        <w:fldChar w:fldCharType="separate"/>
      </w:r>
      <w:r w:rsidRPr="001272D0">
        <w:rPr>
          <w:rFonts w:ascii="Arial" w:eastAsia="Times New Roman" w:hAnsi="Arial" w:cs="Arial"/>
          <w:iCs/>
          <w:noProof/>
          <w:sz w:val="24"/>
          <w:szCs w:val="24"/>
          <w:lang w:val="en-US"/>
        </w:rPr>
        <w:t>(Neuman, 2011)</w:t>
      </w:r>
      <w:r w:rsidRPr="001272D0">
        <w:rPr>
          <w:rFonts w:ascii="Arial" w:eastAsia="Times New Roman" w:hAnsi="Arial" w:cs="Arial"/>
          <w:iCs/>
          <w:sz w:val="24"/>
          <w:szCs w:val="24"/>
          <w:lang w:val="en-US"/>
        </w:rPr>
        <w:fldChar w:fldCharType="end"/>
      </w:r>
      <w:r w:rsidRPr="001272D0">
        <w:rPr>
          <w:rFonts w:ascii="Arial" w:eastAsia="Times New Roman" w:hAnsi="Arial" w:cs="Arial"/>
          <w:iCs/>
          <w:sz w:val="24"/>
          <w:szCs w:val="24"/>
          <w:lang w:val="en-US"/>
        </w:rPr>
        <w:t xml:space="preserve">. </w:t>
      </w:r>
    </w:p>
    <w:p w14:paraId="7D572C3A" w14:textId="1448A9E7" w:rsidR="009578EE" w:rsidRPr="001272D0" w:rsidRDefault="009578EE" w:rsidP="00A74EBE">
      <w:pPr>
        <w:spacing w:line="240" w:lineRule="auto"/>
        <w:jc w:val="both"/>
        <w:rPr>
          <w:rFonts w:ascii="Arial" w:eastAsia="Times New Roman" w:hAnsi="Arial" w:cs="Arial"/>
          <w:iCs/>
          <w:sz w:val="24"/>
          <w:szCs w:val="24"/>
          <w:lang w:val="en-US"/>
        </w:rPr>
      </w:pPr>
    </w:p>
    <w:p w14:paraId="42AACE12" w14:textId="77315E6A" w:rsidR="009578EE" w:rsidRPr="001272D0" w:rsidRDefault="009578EE" w:rsidP="00A74EBE">
      <w:pPr>
        <w:spacing w:line="240" w:lineRule="auto"/>
        <w:jc w:val="both"/>
        <w:rPr>
          <w:rFonts w:ascii="Arial" w:eastAsia="Times New Roman" w:hAnsi="Arial" w:cs="Arial"/>
          <w:b/>
          <w:bCs/>
          <w:iCs/>
          <w:sz w:val="24"/>
          <w:szCs w:val="24"/>
          <w:lang w:val="en-US"/>
        </w:rPr>
      </w:pPr>
      <w:r w:rsidRPr="001272D0">
        <w:rPr>
          <w:rFonts w:ascii="Arial" w:eastAsia="Times New Roman" w:hAnsi="Arial" w:cs="Arial"/>
          <w:b/>
          <w:bCs/>
          <w:iCs/>
          <w:sz w:val="24"/>
          <w:szCs w:val="24"/>
          <w:lang w:val="en-US"/>
        </w:rPr>
        <w:t>Ethics</w:t>
      </w:r>
    </w:p>
    <w:p w14:paraId="56B6FB0B" w14:textId="67A8B0D8" w:rsidR="00122332" w:rsidRPr="001272D0" w:rsidRDefault="009578EE" w:rsidP="00A74EBE">
      <w:pPr>
        <w:spacing w:line="240" w:lineRule="auto"/>
        <w:jc w:val="both"/>
        <w:rPr>
          <w:rFonts w:ascii="Arial" w:eastAsia="Times New Roman" w:hAnsi="Arial" w:cs="Arial"/>
          <w:iCs/>
          <w:sz w:val="24"/>
          <w:szCs w:val="24"/>
          <w:lang w:val="en-US"/>
        </w:rPr>
      </w:pPr>
      <w:r w:rsidRPr="001272D0">
        <w:rPr>
          <w:rFonts w:ascii="Arial" w:eastAsia="Times New Roman" w:hAnsi="Arial" w:cs="Arial"/>
          <w:iCs/>
          <w:sz w:val="24"/>
          <w:szCs w:val="24"/>
          <w:lang w:val="en-US"/>
        </w:rPr>
        <w:t>Institutional ethical approval was gained</w:t>
      </w:r>
      <w:r w:rsidR="00511099" w:rsidRPr="001272D0">
        <w:rPr>
          <w:rFonts w:ascii="Arial" w:eastAsia="Times New Roman" w:hAnsi="Arial" w:cs="Arial"/>
          <w:iCs/>
          <w:sz w:val="24"/>
          <w:szCs w:val="24"/>
          <w:lang w:val="en-US"/>
        </w:rPr>
        <w:t>. I</w:t>
      </w:r>
      <w:r w:rsidR="00FB4710" w:rsidRPr="001272D0">
        <w:rPr>
          <w:rFonts w:ascii="Arial" w:eastAsia="Times New Roman" w:hAnsi="Arial" w:cs="Arial"/>
          <w:iCs/>
          <w:sz w:val="24"/>
          <w:szCs w:val="24"/>
          <w:lang w:val="en-US"/>
        </w:rPr>
        <w:t>nformed consent was not required due</w:t>
      </w:r>
      <w:r w:rsidR="00611206" w:rsidRPr="001272D0">
        <w:rPr>
          <w:rFonts w:ascii="Arial" w:eastAsia="Times New Roman" w:hAnsi="Arial" w:cs="Arial"/>
          <w:iCs/>
          <w:sz w:val="24"/>
          <w:szCs w:val="24"/>
          <w:lang w:val="en-US"/>
        </w:rPr>
        <w:t xml:space="preserve"> to the public nature of the data explored.</w:t>
      </w:r>
    </w:p>
    <w:p w14:paraId="615DCFCB" w14:textId="77777777" w:rsidR="00611206" w:rsidRPr="001272D0" w:rsidRDefault="00611206" w:rsidP="00A74EBE">
      <w:pPr>
        <w:spacing w:line="240" w:lineRule="auto"/>
        <w:jc w:val="both"/>
        <w:rPr>
          <w:rFonts w:ascii="Arial" w:eastAsia="Times New Roman" w:hAnsi="Arial" w:cs="Arial"/>
          <w:iCs/>
          <w:sz w:val="24"/>
          <w:szCs w:val="24"/>
          <w:lang w:val="en-US"/>
        </w:rPr>
      </w:pPr>
    </w:p>
    <w:p w14:paraId="72C1A2D1" w14:textId="1A94B913" w:rsidR="00DB2235" w:rsidRPr="001272D0" w:rsidRDefault="00DB2235" w:rsidP="00A74EBE">
      <w:pPr>
        <w:spacing w:line="240" w:lineRule="auto"/>
        <w:jc w:val="both"/>
        <w:rPr>
          <w:rFonts w:ascii="Arial" w:eastAsia="Times New Roman" w:hAnsi="Arial" w:cs="Arial"/>
          <w:b/>
          <w:bCs/>
          <w:iCs/>
          <w:sz w:val="24"/>
          <w:szCs w:val="24"/>
          <w:lang w:val="en-US"/>
        </w:rPr>
      </w:pPr>
      <w:r w:rsidRPr="001272D0">
        <w:rPr>
          <w:rFonts w:ascii="Arial" w:eastAsia="Times New Roman" w:hAnsi="Arial" w:cs="Arial"/>
          <w:b/>
          <w:bCs/>
          <w:iCs/>
          <w:sz w:val="24"/>
          <w:szCs w:val="24"/>
          <w:lang w:val="en-US"/>
        </w:rPr>
        <w:t xml:space="preserve">Data </w:t>
      </w:r>
      <w:r w:rsidR="00F8459F" w:rsidRPr="001272D0">
        <w:rPr>
          <w:rFonts w:ascii="Arial" w:eastAsia="Times New Roman" w:hAnsi="Arial" w:cs="Arial"/>
          <w:b/>
          <w:bCs/>
          <w:iCs/>
          <w:sz w:val="24"/>
          <w:szCs w:val="24"/>
          <w:lang w:val="en-US"/>
        </w:rPr>
        <w:t>collection</w:t>
      </w:r>
      <w:r w:rsidR="00486632" w:rsidRPr="001272D0">
        <w:rPr>
          <w:rFonts w:ascii="Arial" w:eastAsia="Times New Roman" w:hAnsi="Arial" w:cs="Arial"/>
          <w:b/>
          <w:bCs/>
          <w:iCs/>
          <w:sz w:val="24"/>
          <w:szCs w:val="24"/>
          <w:lang w:val="en-US"/>
        </w:rPr>
        <w:t xml:space="preserve"> and analysis</w:t>
      </w:r>
    </w:p>
    <w:p w14:paraId="426EDC8C" w14:textId="5B3B450A" w:rsidR="003A6261" w:rsidRPr="001272D0" w:rsidRDefault="009A4B00" w:rsidP="003A6261">
      <w:pPr>
        <w:spacing w:line="240" w:lineRule="auto"/>
        <w:jc w:val="both"/>
        <w:rPr>
          <w:rFonts w:ascii="Arial" w:eastAsia="Arial" w:hAnsi="Arial" w:cs="Arial"/>
          <w:sz w:val="24"/>
          <w:szCs w:val="24"/>
        </w:rPr>
      </w:pPr>
      <w:r w:rsidRPr="001272D0">
        <w:rPr>
          <w:rFonts w:ascii="Arial" w:eastAsia="Arial" w:hAnsi="Arial" w:cs="Arial"/>
          <w:sz w:val="24"/>
          <w:szCs w:val="24"/>
        </w:rPr>
        <w:t>Between O</w:t>
      </w:r>
      <w:r w:rsidR="00DB2235" w:rsidRPr="001272D0">
        <w:rPr>
          <w:rFonts w:ascii="Arial" w:eastAsia="Arial" w:hAnsi="Arial" w:cs="Arial"/>
          <w:sz w:val="24"/>
          <w:szCs w:val="24"/>
        </w:rPr>
        <w:t xml:space="preserve">ctober 2020 </w:t>
      </w:r>
      <w:r w:rsidRPr="001272D0">
        <w:rPr>
          <w:rFonts w:ascii="Arial" w:eastAsia="Arial" w:hAnsi="Arial" w:cs="Arial"/>
          <w:sz w:val="24"/>
          <w:szCs w:val="24"/>
        </w:rPr>
        <w:t>and</w:t>
      </w:r>
      <w:r w:rsidR="00DB2235" w:rsidRPr="001272D0">
        <w:rPr>
          <w:rFonts w:ascii="Arial" w:eastAsia="Arial" w:hAnsi="Arial" w:cs="Arial"/>
          <w:sz w:val="24"/>
          <w:szCs w:val="24"/>
        </w:rPr>
        <w:t xml:space="preserve"> March 2021</w:t>
      </w:r>
      <w:r w:rsidRPr="001272D0">
        <w:rPr>
          <w:rFonts w:ascii="Arial" w:eastAsia="Arial" w:hAnsi="Arial" w:cs="Arial"/>
          <w:sz w:val="24"/>
          <w:szCs w:val="24"/>
        </w:rPr>
        <w:t xml:space="preserve">, </w:t>
      </w:r>
      <w:r w:rsidR="00DB2235" w:rsidRPr="001272D0">
        <w:rPr>
          <w:rFonts w:ascii="Arial" w:eastAsia="Arial" w:hAnsi="Arial" w:cs="Arial"/>
          <w:sz w:val="24"/>
          <w:szCs w:val="24"/>
        </w:rPr>
        <w:t xml:space="preserve">websites of all UK </w:t>
      </w:r>
      <w:r w:rsidR="007D1FA6" w:rsidRPr="001272D0">
        <w:rPr>
          <w:rFonts w:ascii="Arial" w:eastAsia="Arial" w:hAnsi="Arial" w:cs="Arial"/>
          <w:sz w:val="24"/>
          <w:szCs w:val="24"/>
        </w:rPr>
        <w:t>Universities</w:t>
      </w:r>
      <w:r w:rsidR="00DB2235" w:rsidRPr="001272D0">
        <w:rPr>
          <w:rFonts w:ascii="Arial" w:eastAsia="Arial" w:hAnsi="Arial" w:cs="Arial"/>
          <w:sz w:val="24"/>
          <w:szCs w:val="24"/>
        </w:rPr>
        <w:t xml:space="preserve"> offering pre-registration OT program</w:t>
      </w:r>
      <w:r w:rsidR="00CE26E9" w:rsidRPr="001272D0">
        <w:rPr>
          <w:rFonts w:ascii="Arial" w:eastAsia="Arial" w:hAnsi="Arial" w:cs="Arial"/>
          <w:sz w:val="24"/>
          <w:szCs w:val="24"/>
        </w:rPr>
        <w:t>me</w:t>
      </w:r>
      <w:r w:rsidR="00DB2235" w:rsidRPr="001272D0">
        <w:rPr>
          <w:rFonts w:ascii="Arial" w:eastAsia="Arial" w:hAnsi="Arial" w:cs="Arial"/>
          <w:sz w:val="24"/>
          <w:szCs w:val="24"/>
        </w:rPr>
        <w:t>s</w:t>
      </w:r>
      <w:r w:rsidR="005C4683" w:rsidRPr="001272D0">
        <w:rPr>
          <w:rFonts w:ascii="Arial" w:eastAsia="Arial" w:hAnsi="Arial" w:cs="Arial"/>
          <w:sz w:val="24"/>
          <w:szCs w:val="24"/>
        </w:rPr>
        <w:t xml:space="preserve"> were </w:t>
      </w:r>
      <w:r w:rsidR="00923BED" w:rsidRPr="001272D0">
        <w:rPr>
          <w:rFonts w:ascii="Arial" w:eastAsia="Arial" w:hAnsi="Arial" w:cs="Arial"/>
          <w:sz w:val="24"/>
          <w:szCs w:val="24"/>
        </w:rPr>
        <w:t>explored</w:t>
      </w:r>
      <w:r w:rsidR="00DB2235" w:rsidRPr="001272D0">
        <w:rPr>
          <w:rFonts w:ascii="Arial" w:eastAsia="Arial" w:hAnsi="Arial" w:cs="Arial"/>
          <w:sz w:val="24"/>
          <w:szCs w:val="24"/>
        </w:rPr>
        <w:t xml:space="preserve">. In line with ethical considerations, </w:t>
      </w:r>
      <w:r w:rsidR="00852653" w:rsidRPr="001272D0">
        <w:rPr>
          <w:rFonts w:ascii="Arial" w:eastAsia="Arial" w:hAnsi="Arial" w:cs="Arial"/>
          <w:sz w:val="24"/>
          <w:szCs w:val="24"/>
        </w:rPr>
        <w:t xml:space="preserve">once </w:t>
      </w:r>
      <w:r w:rsidR="005C4683" w:rsidRPr="001272D0">
        <w:rPr>
          <w:rFonts w:ascii="Arial" w:eastAsia="Arial" w:hAnsi="Arial" w:cs="Arial"/>
          <w:sz w:val="24"/>
          <w:szCs w:val="24"/>
        </w:rPr>
        <w:t>data collection was complete</w:t>
      </w:r>
      <w:r w:rsidR="00DB2235" w:rsidRPr="001272D0">
        <w:rPr>
          <w:rFonts w:ascii="Arial" w:eastAsia="Arial" w:hAnsi="Arial" w:cs="Arial"/>
          <w:sz w:val="24"/>
          <w:szCs w:val="24"/>
        </w:rPr>
        <w:t xml:space="preserve">, each </w:t>
      </w:r>
      <w:r w:rsidR="00B479E7" w:rsidRPr="001272D0">
        <w:rPr>
          <w:rFonts w:ascii="Arial" w:eastAsia="Arial" w:hAnsi="Arial" w:cs="Arial"/>
          <w:sz w:val="24"/>
          <w:szCs w:val="24"/>
        </w:rPr>
        <w:t>u</w:t>
      </w:r>
      <w:r w:rsidR="00CE26E9" w:rsidRPr="001272D0">
        <w:rPr>
          <w:rFonts w:ascii="Arial" w:eastAsia="Arial" w:hAnsi="Arial" w:cs="Arial"/>
          <w:sz w:val="24"/>
          <w:szCs w:val="24"/>
        </w:rPr>
        <w:t>niversity</w:t>
      </w:r>
      <w:r w:rsidR="00DB2235" w:rsidRPr="001272D0">
        <w:rPr>
          <w:rFonts w:ascii="Arial" w:eastAsia="Arial" w:hAnsi="Arial" w:cs="Arial"/>
          <w:sz w:val="24"/>
          <w:szCs w:val="24"/>
        </w:rPr>
        <w:t xml:space="preserve"> was allocated a number </w:t>
      </w:r>
      <w:r w:rsidR="00B479E7" w:rsidRPr="001272D0">
        <w:rPr>
          <w:rFonts w:ascii="Arial" w:eastAsia="Arial" w:hAnsi="Arial" w:cs="Arial"/>
          <w:sz w:val="24"/>
          <w:szCs w:val="24"/>
        </w:rPr>
        <w:t>(</w:t>
      </w:r>
      <w:r w:rsidR="00DB2235" w:rsidRPr="001272D0">
        <w:rPr>
          <w:rFonts w:ascii="Arial" w:eastAsia="Arial" w:hAnsi="Arial" w:cs="Arial"/>
          <w:sz w:val="24"/>
          <w:szCs w:val="24"/>
        </w:rPr>
        <w:t>1 – 40</w:t>
      </w:r>
      <w:r w:rsidR="00B479E7" w:rsidRPr="001272D0">
        <w:rPr>
          <w:rFonts w:ascii="Arial" w:eastAsia="Arial" w:hAnsi="Arial" w:cs="Arial"/>
          <w:sz w:val="24"/>
          <w:szCs w:val="24"/>
        </w:rPr>
        <w:t>)</w:t>
      </w:r>
      <w:r w:rsidR="00DB2235" w:rsidRPr="001272D0">
        <w:rPr>
          <w:rFonts w:ascii="Arial" w:eastAsia="Arial" w:hAnsi="Arial" w:cs="Arial"/>
          <w:sz w:val="24"/>
          <w:szCs w:val="24"/>
        </w:rPr>
        <w:t xml:space="preserve"> and data was cleaned of identifiable references. Specified entry criteria for each individual program</w:t>
      </w:r>
      <w:r w:rsidR="00B35E29" w:rsidRPr="001272D0">
        <w:rPr>
          <w:rFonts w:ascii="Arial" w:eastAsia="Arial" w:hAnsi="Arial" w:cs="Arial"/>
          <w:sz w:val="24"/>
          <w:szCs w:val="24"/>
        </w:rPr>
        <w:t>me</w:t>
      </w:r>
      <w:r w:rsidR="00DB2235" w:rsidRPr="001272D0">
        <w:rPr>
          <w:rFonts w:ascii="Arial" w:eastAsia="Arial" w:hAnsi="Arial" w:cs="Arial"/>
          <w:sz w:val="24"/>
          <w:szCs w:val="24"/>
        </w:rPr>
        <w:t xml:space="preserve">, across academic (cognitive), professional (non-cognitive) skills and </w:t>
      </w:r>
      <w:r w:rsidR="00E00B53" w:rsidRPr="001272D0">
        <w:rPr>
          <w:rFonts w:ascii="Arial" w:eastAsia="Arial" w:hAnsi="Arial" w:cs="Arial"/>
          <w:sz w:val="24"/>
          <w:szCs w:val="24"/>
        </w:rPr>
        <w:t>alternative</w:t>
      </w:r>
      <w:r w:rsidR="005C4683" w:rsidRPr="001272D0">
        <w:rPr>
          <w:rFonts w:ascii="Arial" w:eastAsia="Arial" w:hAnsi="Arial" w:cs="Arial"/>
          <w:sz w:val="24"/>
          <w:szCs w:val="24"/>
        </w:rPr>
        <w:t xml:space="preserve"> (widening participation)</w:t>
      </w:r>
      <w:r w:rsidR="00E00B53" w:rsidRPr="001272D0">
        <w:rPr>
          <w:rFonts w:ascii="Arial" w:eastAsia="Arial" w:hAnsi="Arial" w:cs="Arial"/>
          <w:sz w:val="24"/>
          <w:szCs w:val="24"/>
        </w:rPr>
        <w:t xml:space="preserve"> </w:t>
      </w:r>
      <w:r w:rsidR="00DB2235" w:rsidRPr="001272D0">
        <w:rPr>
          <w:rFonts w:ascii="Arial" w:eastAsia="Arial" w:hAnsi="Arial" w:cs="Arial"/>
          <w:sz w:val="24"/>
          <w:szCs w:val="24"/>
        </w:rPr>
        <w:t xml:space="preserve">categories were recorded into a single Microsoft </w:t>
      </w:r>
      <w:r w:rsidR="00DB2235" w:rsidRPr="001272D0">
        <w:rPr>
          <w:rFonts w:ascii="Arial" w:eastAsia="Arial" w:hAnsi="Arial" w:cs="Arial"/>
          <w:sz w:val="24"/>
          <w:szCs w:val="24"/>
        </w:rPr>
        <w:lastRenderedPageBreak/>
        <w:t xml:space="preserve">Excel™ document. </w:t>
      </w:r>
      <w:r w:rsidR="007F399A" w:rsidRPr="001272D0">
        <w:rPr>
          <w:rFonts w:ascii="Arial" w:eastAsia="Arial" w:hAnsi="Arial" w:cs="Arial"/>
          <w:sz w:val="24"/>
          <w:szCs w:val="24"/>
        </w:rPr>
        <w:t xml:space="preserve">A </w:t>
      </w:r>
      <w:r w:rsidR="00DB2235" w:rsidRPr="001272D0">
        <w:rPr>
          <w:rFonts w:ascii="Arial" w:eastAsia="Arial" w:hAnsi="Arial" w:cs="Arial"/>
          <w:sz w:val="24"/>
          <w:szCs w:val="24"/>
        </w:rPr>
        <w:t xml:space="preserve">coding schedule </w:t>
      </w:r>
      <w:r w:rsidR="007F399A" w:rsidRPr="001272D0">
        <w:rPr>
          <w:rFonts w:ascii="Arial" w:eastAsia="Arial" w:hAnsi="Arial" w:cs="Arial"/>
          <w:sz w:val="24"/>
          <w:szCs w:val="24"/>
        </w:rPr>
        <w:t>was</w:t>
      </w:r>
      <w:r w:rsidR="00DB2235" w:rsidRPr="001272D0">
        <w:rPr>
          <w:rFonts w:ascii="Arial" w:eastAsia="Arial" w:hAnsi="Arial" w:cs="Arial"/>
          <w:sz w:val="24"/>
          <w:szCs w:val="24"/>
        </w:rPr>
        <w:t xml:space="preserve"> developed against a pre-determined set of variables</w:t>
      </w:r>
      <w:r w:rsidR="00451439" w:rsidRPr="001272D0">
        <w:rPr>
          <w:rFonts w:ascii="Arial" w:eastAsia="Arial" w:hAnsi="Arial" w:cs="Arial"/>
          <w:sz w:val="24"/>
          <w:szCs w:val="24"/>
        </w:rPr>
        <w:t xml:space="preserve"> </w:t>
      </w:r>
      <w:r w:rsidR="003A6261" w:rsidRPr="001272D0">
        <w:rPr>
          <w:rFonts w:ascii="Arial" w:eastAsia="Arial" w:hAnsi="Arial" w:cs="Arial"/>
          <w:sz w:val="24"/>
          <w:szCs w:val="24"/>
        </w:rPr>
        <w:t xml:space="preserve">with coded data </w:t>
      </w:r>
      <w:r w:rsidR="00684453" w:rsidRPr="001272D0">
        <w:rPr>
          <w:rFonts w:ascii="Arial" w:eastAsia="Arial" w:hAnsi="Arial" w:cs="Arial"/>
          <w:sz w:val="24"/>
          <w:szCs w:val="24"/>
        </w:rPr>
        <w:t>entered into Statistical Packages for Social Sciences</w:t>
      </w:r>
      <w:r w:rsidR="0099670C" w:rsidRPr="001272D0">
        <w:rPr>
          <w:rFonts w:ascii="Arial" w:eastAsia="Arial" w:hAnsi="Arial" w:cs="Arial"/>
          <w:sz w:val="24"/>
          <w:szCs w:val="24"/>
        </w:rPr>
        <w:t xml:space="preserve"> </w:t>
      </w:r>
      <w:r w:rsidR="00684453" w:rsidRPr="001272D0">
        <w:rPr>
          <w:rFonts w:ascii="Arial" w:eastAsia="Arial" w:hAnsi="Arial" w:cs="Arial"/>
          <w:sz w:val="24"/>
          <w:szCs w:val="24"/>
        </w:rPr>
        <w:t>for descriptive analysis.</w:t>
      </w:r>
      <w:r w:rsidR="00DB2235" w:rsidRPr="001272D0">
        <w:rPr>
          <w:rFonts w:ascii="Arial" w:eastAsia="Arial" w:hAnsi="Arial" w:cs="Arial"/>
          <w:sz w:val="24"/>
          <w:szCs w:val="24"/>
        </w:rPr>
        <w:t xml:space="preserve"> </w:t>
      </w:r>
      <w:r w:rsidR="00DB2235" w:rsidRPr="001272D0">
        <w:rPr>
          <w:rFonts w:ascii="Arial" w:eastAsia="Arial" w:hAnsi="Arial" w:cs="Arial"/>
          <w:sz w:val="24"/>
          <w:szCs w:val="24"/>
        </w:rPr>
        <w:fldChar w:fldCharType="begin" w:fldLock="1"/>
      </w:r>
      <w:r w:rsidR="006719AD" w:rsidRPr="001272D0">
        <w:rPr>
          <w:rFonts w:ascii="Arial" w:eastAsia="Arial" w:hAnsi="Arial" w:cs="Arial"/>
          <w:sz w:val="24"/>
          <w:szCs w:val="24"/>
        </w:rPr>
        <w:instrText>ADDIN CSL_CITATION {"citationItems":[{"id":"ITEM-1","itemData":{"author":[{"dropping-particle":"","family":"Bryman","given":"Alan","non-dropping-particle":"","parse-names":false,"suffix":""}],"edition":"5th","id":"ITEM-1","issued":{"date-parts":[["2016"]]},"publisher":"Oxford University Press","publisher-place":"Oxford","title":"Social Research Methods","type":"book"},"uris":["http://www.mendeley.com/documents/?uuid=a1dd5138-27e6-406a-9836-a7a3bd65507f"]},{"id":"ITEM-2","itemData":{"author":[{"dropping-particle":"","family":"IBM Corp.","given":"","non-dropping-particle":"","parse-names":false,"suffix":""}],"id":"ITEM-2","issued":{"date-parts":[["2020"]]},"number":"27.0","publisher":"IBM Corp","publisher-place":"New York","title":"IBM SPSS Statistics for Windows","type":"article"},"uris":["http://www.mendeley.com/documents/?uuid=4dc79445-ab91-49aa-a051-4129a93bb60c"]}],"mendeley":{"formattedCitation":"(Bryman, 2016; IBM Corp., 2020)","plainTextFormattedCitation":"(Bryman, 2016; IBM Corp., 2020)","previouslyFormattedCitation":"(Bryman, 2016; IBM Corp., 2020)"},"properties":{"noteIndex":0},"schema":"https://github.com/citation-style-language/schema/raw/master/csl-citation.json"}</w:instrText>
      </w:r>
      <w:r w:rsidR="00DB2235" w:rsidRPr="001272D0">
        <w:rPr>
          <w:rFonts w:ascii="Arial" w:eastAsia="Arial" w:hAnsi="Arial" w:cs="Arial"/>
          <w:sz w:val="24"/>
          <w:szCs w:val="24"/>
        </w:rPr>
        <w:fldChar w:fldCharType="separate"/>
      </w:r>
      <w:r w:rsidR="00B8338C" w:rsidRPr="001272D0">
        <w:rPr>
          <w:rFonts w:ascii="Arial" w:eastAsia="Arial" w:hAnsi="Arial" w:cs="Arial"/>
          <w:noProof/>
          <w:sz w:val="24"/>
          <w:szCs w:val="24"/>
        </w:rPr>
        <w:t>(Bryman, 2016; IBM Corp., 2020)</w:t>
      </w:r>
      <w:r w:rsidR="00DB2235" w:rsidRPr="001272D0">
        <w:rPr>
          <w:rFonts w:ascii="Arial" w:eastAsia="Arial" w:hAnsi="Arial" w:cs="Arial"/>
          <w:sz w:val="24"/>
          <w:szCs w:val="24"/>
        </w:rPr>
        <w:fldChar w:fldCharType="end"/>
      </w:r>
      <w:r w:rsidR="00DB2235" w:rsidRPr="001272D0">
        <w:rPr>
          <w:rFonts w:ascii="Arial" w:eastAsia="Arial" w:hAnsi="Arial" w:cs="Arial"/>
          <w:sz w:val="24"/>
          <w:szCs w:val="24"/>
        </w:rPr>
        <w:t xml:space="preserve"> (Table </w:t>
      </w:r>
      <w:r w:rsidR="001668AD" w:rsidRPr="001272D0">
        <w:rPr>
          <w:rFonts w:ascii="Arial" w:eastAsia="Arial" w:hAnsi="Arial" w:cs="Arial"/>
          <w:sz w:val="24"/>
          <w:szCs w:val="24"/>
        </w:rPr>
        <w:t>2</w:t>
      </w:r>
      <w:r w:rsidR="00DB2235" w:rsidRPr="001272D0">
        <w:rPr>
          <w:rFonts w:ascii="Arial" w:eastAsia="Arial" w:hAnsi="Arial" w:cs="Arial"/>
          <w:sz w:val="24"/>
          <w:szCs w:val="24"/>
        </w:rPr>
        <w:t>)</w:t>
      </w:r>
      <w:r w:rsidR="00484DA0" w:rsidRPr="001272D0">
        <w:rPr>
          <w:rFonts w:ascii="Arial" w:eastAsia="Arial" w:hAnsi="Arial" w:cs="Arial"/>
          <w:sz w:val="24"/>
          <w:szCs w:val="24"/>
        </w:rPr>
        <w:t xml:space="preserve">. </w:t>
      </w:r>
    </w:p>
    <w:p w14:paraId="755B846F" w14:textId="65DD5BBF" w:rsidR="00486632" w:rsidRPr="001272D0" w:rsidRDefault="00B42E32" w:rsidP="003A6261">
      <w:pPr>
        <w:spacing w:line="240" w:lineRule="auto"/>
        <w:jc w:val="both"/>
        <w:rPr>
          <w:rFonts w:ascii="Arial" w:eastAsia="Arial" w:hAnsi="Arial" w:cs="Arial"/>
          <w:sz w:val="24"/>
          <w:szCs w:val="24"/>
        </w:rPr>
      </w:pPr>
      <w:r w:rsidRPr="001272D0">
        <w:rPr>
          <w:rFonts w:ascii="Arial" w:eastAsia="Arial" w:hAnsi="Arial" w:cs="Arial"/>
          <w:sz w:val="24"/>
          <w:szCs w:val="24"/>
        </w:rPr>
        <w:t>Access to the raw</w:t>
      </w:r>
      <w:r w:rsidR="003A6261" w:rsidRPr="001272D0">
        <w:rPr>
          <w:rFonts w:ascii="Arial" w:eastAsia="Arial" w:hAnsi="Arial" w:cs="Arial"/>
          <w:sz w:val="24"/>
          <w:szCs w:val="24"/>
        </w:rPr>
        <w:t xml:space="preserve"> and coded</w:t>
      </w:r>
      <w:r w:rsidRPr="001272D0">
        <w:rPr>
          <w:rFonts w:ascii="Arial" w:eastAsia="Arial" w:hAnsi="Arial" w:cs="Arial"/>
          <w:sz w:val="24"/>
          <w:szCs w:val="24"/>
        </w:rPr>
        <w:t xml:space="preserve"> data is available </w:t>
      </w:r>
      <w:r w:rsidR="00844BE1" w:rsidRPr="001272D0">
        <w:rPr>
          <w:rFonts w:ascii="Arial" w:eastAsia="Arial" w:hAnsi="Arial" w:cs="Arial"/>
          <w:sz w:val="24"/>
          <w:szCs w:val="24"/>
        </w:rPr>
        <w:t xml:space="preserve">via the </w:t>
      </w:r>
      <w:r w:rsidR="007A487A" w:rsidRPr="001272D0">
        <w:rPr>
          <w:rFonts w:ascii="Arial" w:eastAsia="Arial" w:hAnsi="Arial" w:cs="Arial"/>
          <w:sz w:val="24"/>
          <w:szCs w:val="24"/>
        </w:rPr>
        <w:t>Open Science</w:t>
      </w:r>
      <w:r w:rsidR="003A6261" w:rsidRPr="001272D0">
        <w:rPr>
          <w:rFonts w:ascii="Arial" w:eastAsia="Arial" w:hAnsi="Arial" w:cs="Arial"/>
          <w:sz w:val="24"/>
          <w:szCs w:val="24"/>
        </w:rPr>
        <w:t xml:space="preserve"> </w:t>
      </w:r>
      <w:r w:rsidR="007A487A" w:rsidRPr="001272D0">
        <w:rPr>
          <w:rFonts w:ascii="Arial" w:eastAsia="Arial" w:hAnsi="Arial" w:cs="Arial"/>
          <w:sz w:val="24"/>
          <w:szCs w:val="24"/>
        </w:rPr>
        <w:t>Framework</w:t>
      </w:r>
      <w:r w:rsidR="003A6261" w:rsidRPr="001272D0">
        <w:rPr>
          <w:rFonts w:ascii="Arial" w:eastAsia="Arial" w:hAnsi="Arial" w:cs="Arial"/>
          <w:sz w:val="24"/>
          <w:szCs w:val="24"/>
        </w:rPr>
        <w:t xml:space="preserve"> (OSF) (</w:t>
      </w:r>
      <w:hyperlink r:id="rId8" w:history="1">
        <w:r w:rsidR="003A6261" w:rsidRPr="001272D0">
          <w:rPr>
            <w:rStyle w:val="Hyperlink"/>
            <w:rFonts w:ascii="Arial" w:eastAsia="Arial" w:hAnsi="Arial" w:cs="Arial"/>
            <w:sz w:val="24"/>
            <w:szCs w:val="24"/>
          </w:rPr>
          <w:t>https://osf.io/m4jhw/?view_only=1e2fa3e7a86e4463bae563c8d96fed62</w:t>
        </w:r>
      </w:hyperlink>
      <w:r w:rsidR="003A6261" w:rsidRPr="001272D0">
        <w:rPr>
          <w:rFonts w:ascii="Arial" w:eastAsia="Arial" w:hAnsi="Arial" w:cs="Arial"/>
          <w:sz w:val="24"/>
          <w:szCs w:val="24"/>
        </w:rPr>
        <w:t xml:space="preserve">) </w:t>
      </w:r>
    </w:p>
    <w:p w14:paraId="1DE5C59F" w14:textId="77777777" w:rsidR="00D32E3B" w:rsidRPr="001272D0" w:rsidRDefault="00D32E3B" w:rsidP="00A74EBE">
      <w:pPr>
        <w:spacing w:line="240" w:lineRule="auto"/>
        <w:jc w:val="both"/>
        <w:rPr>
          <w:rFonts w:ascii="Arial" w:eastAsia="Arial" w:hAnsi="Arial" w:cs="Arial"/>
          <w:sz w:val="24"/>
          <w:szCs w:val="24"/>
        </w:rPr>
      </w:pPr>
    </w:p>
    <w:p w14:paraId="73AAD252" w14:textId="42DCCCCF" w:rsidR="00DB2235" w:rsidRPr="001272D0" w:rsidRDefault="00DB2235" w:rsidP="00A74EBE">
      <w:pPr>
        <w:spacing w:line="240" w:lineRule="auto"/>
        <w:jc w:val="both"/>
        <w:rPr>
          <w:rFonts w:ascii="Arial" w:eastAsia="Arial" w:hAnsi="Arial" w:cs="Arial"/>
          <w:bCs/>
          <w:iCs/>
          <w:sz w:val="24"/>
          <w:szCs w:val="24"/>
        </w:rPr>
      </w:pPr>
      <w:r w:rsidRPr="001272D0">
        <w:rPr>
          <w:rFonts w:ascii="Arial" w:eastAsia="Arial" w:hAnsi="Arial" w:cs="Arial"/>
          <w:bCs/>
          <w:iCs/>
          <w:sz w:val="24"/>
          <w:szCs w:val="24"/>
        </w:rPr>
        <w:t xml:space="preserve">Table </w:t>
      </w:r>
      <w:r w:rsidR="001668AD" w:rsidRPr="001272D0">
        <w:rPr>
          <w:rFonts w:ascii="Arial" w:eastAsia="Arial" w:hAnsi="Arial" w:cs="Arial"/>
          <w:bCs/>
          <w:iCs/>
          <w:sz w:val="24"/>
          <w:szCs w:val="24"/>
        </w:rPr>
        <w:t>2</w:t>
      </w:r>
      <w:r w:rsidR="00253499" w:rsidRPr="001272D0">
        <w:rPr>
          <w:rFonts w:ascii="Arial" w:eastAsia="Arial" w:hAnsi="Arial" w:cs="Arial"/>
          <w:bCs/>
          <w:iCs/>
          <w:sz w:val="24"/>
          <w:szCs w:val="24"/>
        </w:rPr>
        <w:t xml:space="preserve">. </w:t>
      </w:r>
      <w:r w:rsidRPr="001272D0">
        <w:rPr>
          <w:rFonts w:ascii="Arial" w:eastAsia="Arial" w:hAnsi="Arial" w:cs="Arial"/>
          <w:bCs/>
          <w:iCs/>
          <w:sz w:val="24"/>
          <w:szCs w:val="24"/>
        </w:rPr>
        <w:t>Variable Names and Categories</w:t>
      </w:r>
    </w:p>
    <w:tbl>
      <w:tblPr>
        <w:tblW w:w="9016" w:type="dxa"/>
        <w:tblBorders>
          <w:bottom w:val="single" w:sz="4" w:space="0" w:color="auto"/>
        </w:tblBorders>
        <w:tblLayout w:type="fixed"/>
        <w:tblLook w:val="0400" w:firstRow="0" w:lastRow="0" w:firstColumn="0" w:lastColumn="0" w:noHBand="0" w:noVBand="1"/>
      </w:tblPr>
      <w:tblGrid>
        <w:gridCol w:w="1980"/>
        <w:gridCol w:w="7036"/>
      </w:tblGrid>
      <w:tr w:rsidR="00DB2235" w:rsidRPr="001272D0" w14:paraId="02D029FE" w14:textId="77777777" w:rsidTr="00B4201A">
        <w:tc>
          <w:tcPr>
            <w:tcW w:w="1980" w:type="dxa"/>
            <w:tcBorders>
              <w:top w:val="single" w:sz="4" w:space="0" w:color="auto"/>
              <w:bottom w:val="single" w:sz="4" w:space="0" w:color="auto"/>
            </w:tcBorders>
          </w:tcPr>
          <w:p w14:paraId="7B537AD0" w14:textId="77777777" w:rsidR="00DB2235" w:rsidRPr="001272D0" w:rsidRDefault="00DB2235" w:rsidP="00A74EBE">
            <w:pPr>
              <w:spacing w:line="240" w:lineRule="auto"/>
              <w:jc w:val="center"/>
              <w:rPr>
                <w:rFonts w:ascii="Arial" w:eastAsia="Arial" w:hAnsi="Arial" w:cs="Arial"/>
                <w:b/>
                <w:sz w:val="24"/>
                <w:szCs w:val="24"/>
              </w:rPr>
            </w:pPr>
            <w:r w:rsidRPr="001272D0">
              <w:rPr>
                <w:rFonts w:ascii="Arial" w:eastAsia="Arial" w:hAnsi="Arial" w:cs="Arial"/>
                <w:b/>
                <w:sz w:val="24"/>
                <w:szCs w:val="24"/>
              </w:rPr>
              <w:t>Variable Name</w:t>
            </w:r>
          </w:p>
        </w:tc>
        <w:tc>
          <w:tcPr>
            <w:tcW w:w="7036" w:type="dxa"/>
            <w:tcBorders>
              <w:top w:val="single" w:sz="4" w:space="0" w:color="auto"/>
              <w:bottom w:val="single" w:sz="4" w:space="0" w:color="auto"/>
            </w:tcBorders>
          </w:tcPr>
          <w:p w14:paraId="4C9B7479" w14:textId="77777777" w:rsidR="00DB2235" w:rsidRPr="001272D0" w:rsidRDefault="00DB2235" w:rsidP="00A74EBE">
            <w:pPr>
              <w:spacing w:line="240" w:lineRule="auto"/>
              <w:jc w:val="center"/>
              <w:rPr>
                <w:rFonts w:ascii="Arial" w:eastAsia="Arial" w:hAnsi="Arial" w:cs="Arial"/>
                <w:b/>
                <w:sz w:val="24"/>
                <w:szCs w:val="24"/>
              </w:rPr>
            </w:pPr>
            <w:r w:rsidRPr="001272D0">
              <w:rPr>
                <w:rFonts w:ascii="Arial" w:eastAsia="Arial" w:hAnsi="Arial" w:cs="Arial"/>
                <w:b/>
                <w:sz w:val="24"/>
                <w:szCs w:val="24"/>
              </w:rPr>
              <w:t>Variable Categories</w:t>
            </w:r>
          </w:p>
        </w:tc>
      </w:tr>
      <w:tr w:rsidR="00DB2235" w:rsidRPr="001272D0" w14:paraId="5F08BB42" w14:textId="77777777" w:rsidTr="00B4201A">
        <w:tc>
          <w:tcPr>
            <w:tcW w:w="1980" w:type="dxa"/>
            <w:tcBorders>
              <w:top w:val="single" w:sz="4" w:space="0" w:color="auto"/>
              <w:bottom w:val="nil"/>
            </w:tcBorders>
          </w:tcPr>
          <w:p w14:paraId="06E79532" w14:textId="5436F57D" w:rsidR="00DB2235" w:rsidRPr="001272D0" w:rsidRDefault="00DB2235" w:rsidP="00A74EBE">
            <w:pPr>
              <w:spacing w:line="240" w:lineRule="auto"/>
              <w:jc w:val="both"/>
              <w:rPr>
                <w:rFonts w:ascii="Arial" w:eastAsia="Arial" w:hAnsi="Arial" w:cs="Arial"/>
                <w:sz w:val="24"/>
                <w:szCs w:val="24"/>
                <w:lang w:val="en-US"/>
              </w:rPr>
            </w:pPr>
            <w:proofErr w:type="spellStart"/>
            <w:r w:rsidRPr="001272D0">
              <w:rPr>
                <w:rFonts w:ascii="Arial" w:eastAsia="Arial" w:hAnsi="Arial" w:cs="Arial"/>
                <w:sz w:val="24"/>
                <w:szCs w:val="24"/>
                <w:lang w:val="en-US"/>
              </w:rPr>
              <w:t>Program</w:t>
            </w:r>
            <w:r w:rsidR="003A494C" w:rsidRPr="001272D0">
              <w:rPr>
                <w:rFonts w:ascii="Arial" w:eastAsia="Arial" w:hAnsi="Arial" w:cs="Arial"/>
                <w:sz w:val="24"/>
                <w:szCs w:val="24"/>
                <w:lang w:val="en-US"/>
              </w:rPr>
              <w:t>me</w:t>
            </w:r>
            <w:proofErr w:type="spellEnd"/>
          </w:p>
        </w:tc>
        <w:tc>
          <w:tcPr>
            <w:tcW w:w="7036" w:type="dxa"/>
            <w:tcBorders>
              <w:top w:val="single" w:sz="4" w:space="0" w:color="auto"/>
              <w:bottom w:val="nil"/>
            </w:tcBorders>
          </w:tcPr>
          <w:p w14:paraId="7D53612D" w14:textId="37181835" w:rsidR="00DB2235" w:rsidRPr="001272D0" w:rsidRDefault="003A494C" w:rsidP="0037326F">
            <w:pPr>
              <w:numPr>
                <w:ilvl w:val="0"/>
                <w:numId w:val="1"/>
              </w:numPr>
              <w:pBdr>
                <w:top w:val="nil"/>
                <w:left w:val="nil"/>
                <w:bottom w:val="nil"/>
                <w:right w:val="nil"/>
                <w:between w:val="nil"/>
              </w:pBdr>
              <w:spacing w:line="240" w:lineRule="auto"/>
              <w:jc w:val="both"/>
              <w:rPr>
                <w:rFonts w:ascii="Arial" w:eastAsia="Arial" w:hAnsi="Arial" w:cs="Arial"/>
                <w:color w:val="000000"/>
                <w:sz w:val="24"/>
                <w:szCs w:val="24"/>
                <w:lang w:val="en-US"/>
              </w:rPr>
            </w:pPr>
            <w:r w:rsidRPr="001272D0">
              <w:rPr>
                <w:rFonts w:ascii="Arial" w:eastAsia="Arial" w:hAnsi="Arial" w:cs="Arial"/>
                <w:color w:val="000000"/>
                <w:sz w:val="24"/>
                <w:szCs w:val="24"/>
                <w:lang w:val="en-US"/>
              </w:rPr>
              <w:t>T</w:t>
            </w:r>
            <w:r w:rsidR="00DB2235" w:rsidRPr="001272D0">
              <w:rPr>
                <w:rFonts w:ascii="Arial" w:eastAsia="Arial" w:hAnsi="Arial" w:cs="Arial"/>
                <w:color w:val="000000"/>
                <w:sz w:val="24"/>
                <w:szCs w:val="24"/>
                <w:lang w:val="en-US"/>
              </w:rPr>
              <w:t>ype (BSc</w:t>
            </w:r>
            <w:r w:rsidR="004A0C7C" w:rsidRPr="001272D0">
              <w:rPr>
                <w:rFonts w:ascii="Arial" w:eastAsia="Arial" w:hAnsi="Arial" w:cs="Arial"/>
                <w:color w:val="000000"/>
                <w:sz w:val="24"/>
                <w:szCs w:val="24"/>
                <w:lang w:val="en-US"/>
              </w:rPr>
              <w:t xml:space="preserve"> (Hons</w:t>
            </w:r>
            <w:r w:rsidR="00BE1BE1" w:rsidRPr="001272D0">
              <w:rPr>
                <w:rFonts w:ascii="Arial" w:eastAsia="Arial" w:hAnsi="Arial" w:cs="Arial"/>
                <w:color w:val="000000"/>
                <w:sz w:val="24"/>
                <w:szCs w:val="24"/>
                <w:lang w:val="en-US"/>
              </w:rPr>
              <w:t>)</w:t>
            </w:r>
            <w:r w:rsidR="00DB2235" w:rsidRPr="001272D0">
              <w:rPr>
                <w:rFonts w:ascii="Arial" w:eastAsia="Arial" w:hAnsi="Arial" w:cs="Arial"/>
                <w:color w:val="000000"/>
                <w:sz w:val="24"/>
                <w:szCs w:val="24"/>
                <w:lang w:val="en-US"/>
              </w:rPr>
              <w:t>, MSc</w:t>
            </w:r>
            <w:r w:rsidR="006F1415" w:rsidRPr="001272D0">
              <w:rPr>
                <w:rFonts w:ascii="Arial" w:eastAsia="Arial" w:hAnsi="Arial" w:cs="Arial"/>
                <w:color w:val="000000"/>
                <w:sz w:val="24"/>
                <w:szCs w:val="24"/>
                <w:lang w:val="en-US"/>
              </w:rPr>
              <w:t xml:space="preserve"> </w:t>
            </w:r>
            <w:r w:rsidR="007F68F6" w:rsidRPr="001272D0">
              <w:rPr>
                <w:rFonts w:ascii="Arial" w:eastAsia="Arial" w:hAnsi="Arial" w:cs="Arial"/>
                <w:color w:val="000000"/>
                <w:sz w:val="24"/>
                <w:szCs w:val="24"/>
                <w:lang w:val="en-US"/>
              </w:rPr>
              <w:t>(</w:t>
            </w:r>
            <w:proofErr w:type="spellStart"/>
            <w:r w:rsidR="007F68F6" w:rsidRPr="001272D0">
              <w:rPr>
                <w:rFonts w:ascii="Arial" w:eastAsia="Arial" w:hAnsi="Arial" w:cs="Arial"/>
                <w:color w:val="000000"/>
                <w:sz w:val="24"/>
                <w:szCs w:val="24"/>
                <w:lang w:val="en-US"/>
              </w:rPr>
              <w:t>UGr</w:t>
            </w:r>
            <w:proofErr w:type="spellEnd"/>
            <w:r w:rsidR="007F68F6" w:rsidRPr="001272D0">
              <w:rPr>
                <w:rFonts w:ascii="Arial" w:eastAsia="Arial" w:hAnsi="Arial" w:cs="Arial"/>
                <w:color w:val="000000"/>
                <w:sz w:val="24"/>
                <w:szCs w:val="24"/>
                <w:lang w:val="en-US"/>
              </w:rPr>
              <w:t>)</w:t>
            </w:r>
            <w:r w:rsidR="00D23A20" w:rsidRPr="001272D0">
              <w:rPr>
                <w:rFonts w:ascii="Arial" w:eastAsia="Arial" w:hAnsi="Arial" w:cs="Arial"/>
                <w:color w:val="000000"/>
                <w:sz w:val="24"/>
                <w:szCs w:val="24"/>
                <w:lang w:val="en-US"/>
              </w:rPr>
              <w:t>, Apprenticeship</w:t>
            </w:r>
            <w:r w:rsidR="00753CDD" w:rsidRPr="001272D0">
              <w:rPr>
                <w:rFonts w:ascii="Arial" w:eastAsia="Arial" w:hAnsi="Arial" w:cs="Arial"/>
                <w:color w:val="000000"/>
                <w:sz w:val="24"/>
                <w:szCs w:val="24"/>
                <w:lang w:val="en-US"/>
              </w:rPr>
              <w:t xml:space="preserve">, </w:t>
            </w:r>
            <w:r w:rsidR="008B61CC" w:rsidRPr="001272D0">
              <w:rPr>
                <w:rFonts w:ascii="Arial" w:eastAsia="Arial" w:hAnsi="Arial" w:cs="Arial"/>
                <w:color w:val="000000"/>
                <w:sz w:val="24"/>
                <w:szCs w:val="24"/>
                <w:lang w:val="en-US"/>
              </w:rPr>
              <w:t>MSc</w:t>
            </w:r>
            <w:r w:rsidR="006F1415" w:rsidRPr="001272D0">
              <w:rPr>
                <w:rFonts w:ascii="Arial" w:eastAsia="Arial" w:hAnsi="Arial" w:cs="Arial"/>
                <w:color w:val="000000"/>
                <w:sz w:val="24"/>
                <w:szCs w:val="24"/>
                <w:lang w:val="en-US"/>
              </w:rPr>
              <w:t xml:space="preserve"> </w:t>
            </w:r>
            <w:r w:rsidR="007F68F6" w:rsidRPr="001272D0">
              <w:rPr>
                <w:rFonts w:ascii="Arial" w:eastAsia="Arial" w:hAnsi="Arial" w:cs="Arial"/>
                <w:color w:val="000000"/>
                <w:sz w:val="24"/>
                <w:szCs w:val="24"/>
                <w:lang w:val="en-US"/>
              </w:rPr>
              <w:t>(</w:t>
            </w:r>
            <w:proofErr w:type="spellStart"/>
            <w:r w:rsidR="007F68F6" w:rsidRPr="001272D0">
              <w:rPr>
                <w:rFonts w:ascii="Arial" w:eastAsia="Arial" w:hAnsi="Arial" w:cs="Arial"/>
                <w:color w:val="000000"/>
                <w:sz w:val="24"/>
                <w:szCs w:val="24"/>
                <w:lang w:val="en-US"/>
              </w:rPr>
              <w:t>PGr</w:t>
            </w:r>
            <w:proofErr w:type="spellEnd"/>
            <w:r w:rsidR="007F68F6" w:rsidRPr="001272D0">
              <w:rPr>
                <w:rFonts w:ascii="Arial" w:eastAsia="Arial" w:hAnsi="Arial" w:cs="Arial"/>
                <w:color w:val="000000"/>
                <w:sz w:val="24"/>
                <w:szCs w:val="24"/>
                <w:lang w:val="en-US"/>
              </w:rPr>
              <w:t>)</w:t>
            </w:r>
            <w:r w:rsidR="008B61CC" w:rsidRPr="001272D0">
              <w:rPr>
                <w:rFonts w:ascii="Arial" w:eastAsia="Arial" w:hAnsi="Arial" w:cs="Arial"/>
                <w:color w:val="000000"/>
                <w:sz w:val="24"/>
                <w:szCs w:val="24"/>
                <w:lang w:val="en-US"/>
              </w:rPr>
              <w:t xml:space="preserve">, </w:t>
            </w:r>
            <w:r w:rsidR="00DB2235" w:rsidRPr="001272D0">
              <w:rPr>
                <w:rFonts w:ascii="Arial" w:eastAsia="Arial" w:hAnsi="Arial" w:cs="Arial"/>
                <w:color w:val="000000"/>
                <w:sz w:val="24"/>
                <w:szCs w:val="24"/>
                <w:lang w:val="en-US"/>
              </w:rPr>
              <w:t>PGDip)</w:t>
            </w:r>
          </w:p>
          <w:p w14:paraId="02C3ED29" w14:textId="6B6E462D" w:rsidR="00DB2235" w:rsidRPr="001272D0" w:rsidRDefault="003A494C" w:rsidP="0037326F">
            <w:pPr>
              <w:numPr>
                <w:ilvl w:val="0"/>
                <w:numId w:val="1"/>
              </w:numPr>
              <w:pBdr>
                <w:top w:val="nil"/>
                <w:left w:val="nil"/>
                <w:bottom w:val="nil"/>
                <w:right w:val="nil"/>
                <w:between w:val="nil"/>
              </w:pBdr>
              <w:spacing w:line="240" w:lineRule="auto"/>
              <w:jc w:val="both"/>
              <w:rPr>
                <w:rFonts w:ascii="Arial" w:eastAsia="Arial" w:hAnsi="Arial" w:cs="Arial"/>
                <w:color w:val="000000"/>
                <w:sz w:val="24"/>
                <w:szCs w:val="24"/>
                <w:lang w:val="en-US"/>
              </w:rPr>
            </w:pPr>
            <w:r w:rsidRPr="001272D0">
              <w:rPr>
                <w:rFonts w:ascii="Arial" w:eastAsia="Arial" w:hAnsi="Arial" w:cs="Arial"/>
                <w:color w:val="000000"/>
                <w:sz w:val="24"/>
                <w:szCs w:val="24"/>
                <w:lang w:val="en-US"/>
              </w:rPr>
              <w:t>L</w:t>
            </w:r>
            <w:r w:rsidR="00DB2235" w:rsidRPr="001272D0">
              <w:rPr>
                <w:rFonts w:ascii="Arial" w:eastAsia="Arial" w:hAnsi="Arial" w:cs="Arial"/>
                <w:color w:val="000000"/>
                <w:sz w:val="24"/>
                <w:szCs w:val="24"/>
                <w:lang w:val="en-US"/>
              </w:rPr>
              <w:t>ength (2, 3, 4, 4-6 years)</w:t>
            </w:r>
          </w:p>
          <w:p w14:paraId="316DDECA" w14:textId="74F30787" w:rsidR="00DB2235" w:rsidRPr="001272D0" w:rsidRDefault="003A494C" w:rsidP="0037326F">
            <w:pPr>
              <w:numPr>
                <w:ilvl w:val="0"/>
                <w:numId w:val="1"/>
              </w:numPr>
              <w:pBdr>
                <w:top w:val="nil"/>
                <w:left w:val="nil"/>
                <w:bottom w:val="nil"/>
                <w:right w:val="nil"/>
                <w:between w:val="nil"/>
              </w:pBdr>
              <w:spacing w:line="240" w:lineRule="auto"/>
              <w:jc w:val="both"/>
              <w:rPr>
                <w:rFonts w:ascii="Arial" w:eastAsia="Arial" w:hAnsi="Arial" w:cs="Arial"/>
                <w:color w:val="000000"/>
                <w:sz w:val="24"/>
                <w:szCs w:val="24"/>
                <w:lang w:val="en-US"/>
              </w:rPr>
            </w:pPr>
            <w:r w:rsidRPr="001272D0">
              <w:rPr>
                <w:rFonts w:ascii="Arial" w:eastAsia="Arial" w:hAnsi="Arial" w:cs="Arial"/>
                <w:color w:val="000000"/>
                <w:sz w:val="24"/>
                <w:szCs w:val="24"/>
                <w:lang w:val="en-US"/>
              </w:rPr>
              <w:t>A</w:t>
            </w:r>
            <w:r w:rsidR="00DB2235" w:rsidRPr="001272D0">
              <w:rPr>
                <w:rFonts w:ascii="Arial" w:eastAsia="Arial" w:hAnsi="Arial" w:cs="Arial"/>
                <w:color w:val="000000"/>
                <w:sz w:val="24"/>
                <w:szCs w:val="24"/>
                <w:lang w:val="en-US"/>
              </w:rPr>
              <w:t>ttendance (full-time/part-time)</w:t>
            </w:r>
          </w:p>
        </w:tc>
      </w:tr>
      <w:tr w:rsidR="00DB2235" w:rsidRPr="001272D0" w14:paraId="39636219" w14:textId="77777777" w:rsidTr="00B4201A">
        <w:tc>
          <w:tcPr>
            <w:tcW w:w="1980" w:type="dxa"/>
            <w:tcBorders>
              <w:bottom w:val="nil"/>
            </w:tcBorders>
          </w:tcPr>
          <w:p w14:paraId="6D04B594" w14:textId="77777777" w:rsidR="00DB2235" w:rsidRPr="001272D0" w:rsidRDefault="00DB2235" w:rsidP="00A74EBE">
            <w:pPr>
              <w:spacing w:line="240" w:lineRule="auto"/>
              <w:jc w:val="both"/>
              <w:rPr>
                <w:rFonts w:ascii="Arial" w:eastAsia="Arial" w:hAnsi="Arial" w:cs="Arial"/>
                <w:sz w:val="24"/>
                <w:szCs w:val="24"/>
                <w:lang w:val="en-US"/>
              </w:rPr>
            </w:pPr>
            <w:r w:rsidRPr="001272D0">
              <w:rPr>
                <w:rFonts w:ascii="Arial" w:eastAsia="Arial" w:hAnsi="Arial" w:cs="Arial"/>
                <w:sz w:val="24"/>
                <w:szCs w:val="24"/>
                <w:lang w:val="en-US"/>
              </w:rPr>
              <w:t>Academic (cognitive) entry criteria</w:t>
            </w:r>
          </w:p>
        </w:tc>
        <w:tc>
          <w:tcPr>
            <w:tcW w:w="7036" w:type="dxa"/>
            <w:tcBorders>
              <w:bottom w:val="nil"/>
            </w:tcBorders>
          </w:tcPr>
          <w:p w14:paraId="68B6F077" w14:textId="66EC45C7" w:rsidR="00DB2235" w:rsidRPr="001272D0" w:rsidRDefault="00DB2235" w:rsidP="0037326F">
            <w:pPr>
              <w:numPr>
                <w:ilvl w:val="0"/>
                <w:numId w:val="1"/>
              </w:numPr>
              <w:pBdr>
                <w:top w:val="nil"/>
                <w:left w:val="nil"/>
                <w:bottom w:val="nil"/>
                <w:right w:val="nil"/>
                <w:between w:val="nil"/>
              </w:pBdr>
              <w:spacing w:line="240" w:lineRule="auto"/>
              <w:jc w:val="both"/>
              <w:rPr>
                <w:rFonts w:ascii="Arial" w:eastAsia="Arial" w:hAnsi="Arial" w:cs="Arial"/>
                <w:color w:val="000000"/>
                <w:sz w:val="24"/>
                <w:szCs w:val="24"/>
                <w:lang w:val="en-US"/>
              </w:rPr>
            </w:pPr>
            <w:r w:rsidRPr="001272D0">
              <w:rPr>
                <w:rFonts w:ascii="Arial" w:eastAsia="Arial" w:hAnsi="Arial" w:cs="Arial"/>
                <w:color w:val="000000"/>
                <w:sz w:val="24"/>
                <w:szCs w:val="24"/>
                <w:lang w:val="en-US"/>
              </w:rPr>
              <w:t>Level 2 qualification</w:t>
            </w:r>
            <w:r w:rsidR="00824AF9" w:rsidRPr="001272D0">
              <w:rPr>
                <w:rFonts w:ascii="Arial" w:eastAsia="Arial" w:hAnsi="Arial" w:cs="Arial"/>
                <w:color w:val="000000"/>
                <w:sz w:val="24"/>
                <w:szCs w:val="24"/>
                <w:lang w:val="en-US"/>
              </w:rPr>
              <w:t xml:space="preserve">s </w:t>
            </w:r>
            <w:r w:rsidRPr="001272D0">
              <w:rPr>
                <w:rFonts w:ascii="Arial" w:eastAsia="Arial" w:hAnsi="Arial" w:cs="Arial"/>
                <w:color w:val="000000"/>
                <w:sz w:val="24"/>
                <w:szCs w:val="24"/>
                <w:lang w:val="en-US"/>
              </w:rPr>
              <w:t>(</w:t>
            </w:r>
            <w:r w:rsidR="0090491C" w:rsidRPr="001272D0">
              <w:rPr>
                <w:rFonts w:ascii="Arial" w:eastAsia="Arial" w:hAnsi="Arial" w:cs="Arial"/>
                <w:color w:val="000000"/>
                <w:sz w:val="24"/>
                <w:szCs w:val="24"/>
                <w:lang w:val="en-US"/>
              </w:rPr>
              <w:t>General Certificate of Education (GCSE)</w:t>
            </w:r>
            <w:r w:rsidR="006C0D3A" w:rsidRPr="001272D0">
              <w:rPr>
                <w:rFonts w:ascii="Arial" w:eastAsia="Arial" w:hAnsi="Arial" w:cs="Arial"/>
                <w:color w:val="000000"/>
                <w:sz w:val="24"/>
                <w:szCs w:val="24"/>
                <w:lang w:val="en-US"/>
              </w:rPr>
              <w:t xml:space="preserve"> subject(s), </w:t>
            </w:r>
            <w:proofErr w:type="gramStart"/>
            <w:r w:rsidR="006C0D3A" w:rsidRPr="001272D0">
              <w:rPr>
                <w:rFonts w:ascii="Arial" w:eastAsia="Arial" w:hAnsi="Arial" w:cs="Arial"/>
                <w:color w:val="000000"/>
                <w:sz w:val="24"/>
                <w:szCs w:val="24"/>
                <w:lang w:val="en-US"/>
              </w:rPr>
              <w:t>number</w:t>
            </w:r>
            <w:proofErr w:type="gramEnd"/>
            <w:r w:rsidRPr="001272D0">
              <w:rPr>
                <w:rFonts w:ascii="Arial" w:eastAsia="Arial" w:hAnsi="Arial" w:cs="Arial"/>
                <w:color w:val="000000"/>
                <w:sz w:val="24"/>
                <w:szCs w:val="24"/>
                <w:lang w:val="en-US"/>
              </w:rPr>
              <w:t xml:space="preserve"> and grades; </w:t>
            </w:r>
            <w:r w:rsidR="006C0D3A" w:rsidRPr="001272D0">
              <w:rPr>
                <w:rFonts w:ascii="Arial" w:eastAsia="Arial" w:hAnsi="Arial" w:cs="Arial"/>
                <w:color w:val="000000"/>
                <w:sz w:val="24"/>
                <w:szCs w:val="24"/>
                <w:lang w:val="en-US"/>
              </w:rPr>
              <w:t>a</w:t>
            </w:r>
            <w:r w:rsidRPr="001272D0">
              <w:rPr>
                <w:rFonts w:ascii="Arial" w:eastAsia="Arial" w:hAnsi="Arial" w:cs="Arial"/>
                <w:color w:val="000000"/>
                <w:sz w:val="24"/>
                <w:szCs w:val="24"/>
                <w:lang w:val="en-US"/>
              </w:rPr>
              <w:t>cceptance of Level 2 alternatives</w:t>
            </w:r>
            <w:r w:rsidR="003F761D" w:rsidRPr="001272D0">
              <w:rPr>
                <w:rFonts w:ascii="Arial" w:eastAsia="Arial" w:hAnsi="Arial" w:cs="Arial"/>
                <w:color w:val="000000"/>
                <w:sz w:val="24"/>
                <w:szCs w:val="24"/>
                <w:lang w:val="en-US"/>
              </w:rPr>
              <w:t>, excluded subjects</w:t>
            </w:r>
            <w:r w:rsidRPr="001272D0">
              <w:rPr>
                <w:rFonts w:ascii="Arial" w:eastAsia="Arial" w:hAnsi="Arial" w:cs="Arial"/>
                <w:color w:val="000000"/>
                <w:sz w:val="24"/>
                <w:szCs w:val="24"/>
                <w:lang w:val="en-US"/>
              </w:rPr>
              <w:t>)</w:t>
            </w:r>
          </w:p>
          <w:p w14:paraId="4D33EF41" w14:textId="5CF6A630" w:rsidR="00DB2235" w:rsidRPr="001272D0" w:rsidRDefault="00DB2235" w:rsidP="0037326F">
            <w:pPr>
              <w:numPr>
                <w:ilvl w:val="0"/>
                <w:numId w:val="1"/>
              </w:numPr>
              <w:pBdr>
                <w:top w:val="nil"/>
                <w:left w:val="nil"/>
                <w:bottom w:val="nil"/>
                <w:right w:val="nil"/>
                <w:between w:val="nil"/>
              </w:pBdr>
              <w:spacing w:line="240" w:lineRule="auto"/>
              <w:jc w:val="both"/>
              <w:rPr>
                <w:rFonts w:ascii="Arial" w:eastAsia="Arial" w:hAnsi="Arial" w:cs="Arial"/>
                <w:color w:val="000000"/>
                <w:sz w:val="24"/>
                <w:szCs w:val="24"/>
                <w:lang w:val="en-US"/>
              </w:rPr>
            </w:pPr>
            <w:r w:rsidRPr="001272D0">
              <w:rPr>
                <w:rFonts w:ascii="Arial" w:eastAsia="Arial" w:hAnsi="Arial" w:cs="Arial"/>
                <w:color w:val="000000"/>
                <w:sz w:val="24"/>
                <w:szCs w:val="24"/>
                <w:lang w:val="en-US"/>
              </w:rPr>
              <w:t>Level 3 qualification</w:t>
            </w:r>
            <w:r w:rsidR="00F622A2" w:rsidRPr="001272D0">
              <w:rPr>
                <w:rFonts w:ascii="Arial" w:eastAsia="Arial" w:hAnsi="Arial" w:cs="Arial"/>
                <w:color w:val="000000"/>
                <w:sz w:val="24"/>
                <w:szCs w:val="24"/>
                <w:lang w:val="en-US"/>
              </w:rPr>
              <w:t>s</w:t>
            </w:r>
            <w:r w:rsidRPr="001272D0">
              <w:rPr>
                <w:rFonts w:ascii="Arial" w:eastAsia="Arial" w:hAnsi="Arial" w:cs="Arial"/>
                <w:color w:val="000000"/>
                <w:sz w:val="24"/>
                <w:szCs w:val="24"/>
                <w:lang w:val="en-US"/>
              </w:rPr>
              <w:t xml:space="preserve"> (</w:t>
            </w:r>
            <w:r w:rsidR="009A0CCD" w:rsidRPr="001272D0">
              <w:rPr>
                <w:rFonts w:ascii="Arial" w:eastAsia="Arial" w:hAnsi="Arial" w:cs="Arial"/>
                <w:color w:val="000000"/>
                <w:sz w:val="24"/>
                <w:szCs w:val="24"/>
                <w:lang w:val="en-US"/>
              </w:rPr>
              <w:t xml:space="preserve">A-Level, Access to Higher Education (HE), British </w:t>
            </w:r>
            <w:r w:rsidR="00B038B8" w:rsidRPr="001272D0">
              <w:rPr>
                <w:rFonts w:ascii="Arial" w:eastAsia="Arial" w:hAnsi="Arial" w:cs="Arial"/>
                <w:color w:val="000000"/>
                <w:sz w:val="24"/>
                <w:szCs w:val="24"/>
                <w:lang w:val="en-US"/>
              </w:rPr>
              <w:t>and Technology Education Council (BTEC)</w:t>
            </w:r>
            <w:r w:rsidR="003F761D" w:rsidRPr="001272D0">
              <w:rPr>
                <w:rFonts w:ascii="Arial" w:eastAsia="Arial" w:hAnsi="Arial" w:cs="Arial"/>
                <w:color w:val="000000"/>
                <w:sz w:val="24"/>
                <w:szCs w:val="24"/>
                <w:lang w:val="en-US"/>
              </w:rPr>
              <w:t>,</w:t>
            </w:r>
            <w:r w:rsidR="00B038B8" w:rsidRPr="001272D0">
              <w:rPr>
                <w:rFonts w:ascii="Arial" w:eastAsia="Arial" w:hAnsi="Arial" w:cs="Arial"/>
                <w:color w:val="000000"/>
                <w:sz w:val="24"/>
                <w:szCs w:val="24"/>
                <w:lang w:val="en-US"/>
              </w:rPr>
              <w:t xml:space="preserve"> </w:t>
            </w:r>
            <w:r w:rsidR="003F761D" w:rsidRPr="001272D0">
              <w:rPr>
                <w:rFonts w:ascii="Arial" w:eastAsia="Arial" w:hAnsi="Arial" w:cs="Arial"/>
                <w:bCs/>
                <w:iCs/>
                <w:sz w:val="24"/>
                <w:szCs w:val="24"/>
              </w:rPr>
              <w:t xml:space="preserve">Scottish Highers, Welsh </w:t>
            </w:r>
            <w:proofErr w:type="gramStart"/>
            <w:r w:rsidR="003F761D" w:rsidRPr="001272D0">
              <w:rPr>
                <w:rFonts w:ascii="Arial" w:eastAsia="Arial" w:hAnsi="Arial" w:cs="Arial"/>
                <w:bCs/>
                <w:iCs/>
                <w:sz w:val="24"/>
                <w:szCs w:val="24"/>
              </w:rPr>
              <w:t>Baccalaureate</w:t>
            </w:r>
            <w:proofErr w:type="gramEnd"/>
            <w:r w:rsidR="003F761D" w:rsidRPr="001272D0">
              <w:rPr>
                <w:rFonts w:ascii="Arial" w:eastAsia="Arial" w:hAnsi="Arial" w:cs="Arial"/>
                <w:bCs/>
                <w:iCs/>
                <w:sz w:val="24"/>
                <w:szCs w:val="24"/>
              </w:rPr>
              <w:t xml:space="preserve"> and Irish Leaving Certificate)</w:t>
            </w:r>
            <w:r w:rsidRPr="001272D0">
              <w:rPr>
                <w:rFonts w:ascii="Arial" w:eastAsia="Arial" w:hAnsi="Arial" w:cs="Arial"/>
                <w:color w:val="000000"/>
                <w:sz w:val="24"/>
                <w:szCs w:val="24"/>
                <w:lang w:val="en-US"/>
              </w:rPr>
              <w:t xml:space="preserve">, </w:t>
            </w:r>
            <w:r w:rsidR="00B038B8" w:rsidRPr="001272D0">
              <w:rPr>
                <w:rFonts w:ascii="Arial" w:eastAsia="Arial" w:hAnsi="Arial" w:cs="Arial"/>
                <w:color w:val="000000"/>
                <w:sz w:val="24"/>
                <w:szCs w:val="24"/>
                <w:lang w:val="en-US"/>
              </w:rPr>
              <w:t>subject</w:t>
            </w:r>
            <w:r w:rsidR="003F761D" w:rsidRPr="001272D0">
              <w:rPr>
                <w:rFonts w:ascii="Arial" w:eastAsia="Arial" w:hAnsi="Arial" w:cs="Arial"/>
                <w:color w:val="000000"/>
                <w:sz w:val="24"/>
                <w:szCs w:val="24"/>
                <w:lang w:val="en-US"/>
              </w:rPr>
              <w:t>(</w:t>
            </w:r>
            <w:r w:rsidR="00B038B8" w:rsidRPr="001272D0">
              <w:rPr>
                <w:rFonts w:ascii="Arial" w:eastAsia="Arial" w:hAnsi="Arial" w:cs="Arial"/>
                <w:color w:val="000000"/>
                <w:sz w:val="24"/>
                <w:szCs w:val="24"/>
                <w:lang w:val="en-US"/>
              </w:rPr>
              <w:t>s</w:t>
            </w:r>
            <w:r w:rsidR="003F761D" w:rsidRPr="001272D0">
              <w:rPr>
                <w:rFonts w:ascii="Arial" w:eastAsia="Arial" w:hAnsi="Arial" w:cs="Arial"/>
                <w:color w:val="000000"/>
                <w:sz w:val="24"/>
                <w:szCs w:val="24"/>
                <w:lang w:val="en-US"/>
              </w:rPr>
              <w:t>)</w:t>
            </w:r>
            <w:r w:rsidR="00B038B8" w:rsidRPr="001272D0">
              <w:rPr>
                <w:rFonts w:ascii="Arial" w:eastAsia="Arial" w:hAnsi="Arial" w:cs="Arial"/>
                <w:color w:val="000000"/>
                <w:sz w:val="24"/>
                <w:szCs w:val="24"/>
                <w:lang w:val="en-US"/>
              </w:rPr>
              <w:t xml:space="preserve">, </w:t>
            </w:r>
            <w:r w:rsidRPr="001272D0">
              <w:rPr>
                <w:rFonts w:ascii="Arial" w:eastAsia="Arial" w:hAnsi="Arial" w:cs="Arial"/>
                <w:color w:val="000000"/>
                <w:sz w:val="24"/>
                <w:szCs w:val="24"/>
                <w:lang w:val="en-US"/>
              </w:rPr>
              <w:t>grades, UCAS tariffs* across Level 3 options, excluded subjects)</w:t>
            </w:r>
          </w:p>
          <w:p w14:paraId="5C6E6B46" w14:textId="74B888AC" w:rsidR="00DB2235" w:rsidRPr="001272D0" w:rsidRDefault="00DB2235" w:rsidP="0037326F">
            <w:pPr>
              <w:numPr>
                <w:ilvl w:val="0"/>
                <w:numId w:val="1"/>
              </w:numPr>
              <w:pBdr>
                <w:top w:val="nil"/>
                <w:left w:val="nil"/>
                <w:bottom w:val="nil"/>
                <w:right w:val="nil"/>
                <w:between w:val="nil"/>
              </w:pBdr>
              <w:spacing w:line="240" w:lineRule="auto"/>
              <w:jc w:val="both"/>
              <w:rPr>
                <w:rFonts w:ascii="Arial" w:eastAsia="Arial" w:hAnsi="Arial" w:cs="Arial"/>
                <w:color w:val="000000"/>
                <w:sz w:val="24"/>
                <w:szCs w:val="24"/>
                <w:lang w:val="en-US"/>
              </w:rPr>
            </w:pPr>
            <w:r w:rsidRPr="001272D0">
              <w:rPr>
                <w:rFonts w:ascii="Arial" w:eastAsia="Arial" w:hAnsi="Arial" w:cs="Arial"/>
                <w:color w:val="000000"/>
                <w:sz w:val="24"/>
                <w:szCs w:val="24"/>
                <w:lang w:val="en-US"/>
              </w:rPr>
              <w:t>Level 5 qualification</w:t>
            </w:r>
            <w:r w:rsidR="00F622A2" w:rsidRPr="001272D0">
              <w:rPr>
                <w:rFonts w:ascii="Arial" w:eastAsia="Arial" w:hAnsi="Arial" w:cs="Arial"/>
                <w:color w:val="000000"/>
                <w:sz w:val="24"/>
                <w:szCs w:val="24"/>
                <w:lang w:val="en-US"/>
              </w:rPr>
              <w:t>s</w:t>
            </w:r>
            <w:r w:rsidRPr="001272D0">
              <w:rPr>
                <w:rFonts w:ascii="Arial" w:eastAsia="Arial" w:hAnsi="Arial" w:cs="Arial"/>
                <w:color w:val="000000"/>
                <w:sz w:val="24"/>
                <w:szCs w:val="24"/>
                <w:lang w:val="en-US"/>
              </w:rPr>
              <w:t xml:space="preserve"> (</w:t>
            </w:r>
            <w:r w:rsidR="003E671B" w:rsidRPr="001272D0">
              <w:rPr>
                <w:rFonts w:ascii="Arial" w:eastAsia="Arial" w:hAnsi="Arial" w:cs="Arial"/>
                <w:color w:val="000000"/>
                <w:sz w:val="24"/>
                <w:szCs w:val="24"/>
                <w:lang w:val="en-US"/>
              </w:rPr>
              <w:t xml:space="preserve">foundation degree </w:t>
            </w:r>
            <w:r w:rsidRPr="001272D0">
              <w:rPr>
                <w:rFonts w:ascii="Arial" w:eastAsia="Arial" w:hAnsi="Arial" w:cs="Arial"/>
                <w:color w:val="000000"/>
                <w:sz w:val="24"/>
                <w:szCs w:val="24"/>
                <w:lang w:val="en-US"/>
              </w:rPr>
              <w:t>type,</w:t>
            </w:r>
            <w:r w:rsidR="0008718E" w:rsidRPr="001272D0">
              <w:rPr>
                <w:rFonts w:ascii="Arial" w:eastAsia="Arial" w:hAnsi="Arial" w:cs="Arial"/>
                <w:color w:val="000000"/>
                <w:sz w:val="24"/>
                <w:szCs w:val="24"/>
                <w:lang w:val="en-US"/>
              </w:rPr>
              <w:t xml:space="preserve"> subject(s),</w:t>
            </w:r>
            <w:r w:rsidRPr="001272D0">
              <w:rPr>
                <w:rFonts w:ascii="Arial" w:eastAsia="Arial" w:hAnsi="Arial" w:cs="Arial"/>
                <w:color w:val="000000"/>
                <w:sz w:val="24"/>
                <w:szCs w:val="24"/>
                <w:lang w:val="en-US"/>
              </w:rPr>
              <w:t xml:space="preserve"> grades)</w:t>
            </w:r>
          </w:p>
          <w:p w14:paraId="5AB052BF" w14:textId="5E60B54A" w:rsidR="00DB2235" w:rsidRPr="001272D0" w:rsidRDefault="00DB2235" w:rsidP="0037326F">
            <w:pPr>
              <w:numPr>
                <w:ilvl w:val="0"/>
                <w:numId w:val="1"/>
              </w:numPr>
              <w:pBdr>
                <w:top w:val="nil"/>
                <w:left w:val="nil"/>
                <w:bottom w:val="nil"/>
                <w:right w:val="nil"/>
                <w:between w:val="nil"/>
              </w:pBdr>
              <w:spacing w:line="240" w:lineRule="auto"/>
              <w:jc w:val="both"/>
              <w:rPr>
                <w:rFonts w:ascii="Arial" w:eastAsia="Arial" w:hAnsi="Arial" w:cs="Arial"/>
                <w:color w:val="000000"/>
                <w:sz w:val="24"/>
                <w:szCs w:val="24"/>
                <w:lang w:val="en-US"/>
              </w:rPr>
            </w:pPr>
            <w:r w:rsidRPr="001272D0">
              <w:rPr>
                <w:rFonts w:ascii="Arial" w:eastAsia="Arial" w:hAnsi="Arial" w:cs="Arial"/>
                <w:color w:val="000000"/>
                <w:sz w:val="24"/>
                <w:szCs w:val="24"/>
                <w:lang w:val="en-US"/>
              </w:rPr>
              <w:t>Level 6 qualification</w:t>
            </w:r>
            <w:r w:rsidR="00F622A2" w:rsidRPr="001272D0">
              <w:rPr>
                <w:rFonts w:ascii="Arial" w:eastAsia="Arial" w:hAnsi="Arial" w:cs="Arial"/>
                <w:color w:val="000000"/>
                <w:sz w:val="24"/>
                <w:szCs w:val="24"/>
                <w:lang w:val="en-US"/>
              </w:rPr>
              <w:t>s</w:t>
            </w:r>
            <w:r w:rsidRPr="001272D0">
              <w:rPr>
                <w:rFonts w:ascii="Arial" w:eastAsia="Arial" w:hAnsi="Arial" w:cs="Arial"/>
                <w:color w:val="000000"/>
                <w:sz w:val="24"/>
                <w:szCs w:val="24"/>
                <w:lang w:val="en-US"/>
              </w:rPr>
              <w:t xml:space="preserve"> (</w:t>
            </w:r>
            <w:r w:rsidR="003E671B" w:rsidRPr="001272D0">
              <w:rPr>
                <w:rFonts w:ascii="Arial" w:eastAsia="Arial" w:hAnsi="Arial" w:cs="Arial"/>
                <w:color w:val="000000"/>
                <w:sz w:val="24"/>
                <w:szCs w:val="24"/>
                <w:lang w:val="en-US"/>
              </w:rPr>
              <w:t>u</w:t>
            </w:r>
            <w:r w:rsidRPr="001272D0">
              <w:rPr>
                <w:rFonts w:ascii="Arial" w:eastAsia="Arial" w:hAnsi="Arial" w:cs="Arial"/>
                <w:color w:val="000000"/>
                <w:sz w:val="24"/>
                <w:szCs w:val="24"/>
                <w:lang w:val="en-US"/>
              </w:rPr>
              <w:t>ndergraduate degree type, subject(s), grade, time limits, accepted alternatives</w:t>
            </w:r>
          </w:p>
        </w:tc>
      </w:tr>
      <w:tr w:rsidR="00DB2235" w:rsidRPr="001272D0" w14:paraId="539F773A" w14:textId="77777777" w:rsidTr="00B4201A">
        <w:tc>
          <w:tcPr>
            <w:tcW w:w="1980" w:type="dxa"/>
            <w:tcBorders>
              <w:top w:val="nil"/>
            </w:tcBorders>
          </w:tcPr>
          <w:p w14:paraId="34B72476" w14:textId="77777777" w:rsidR="00DB2235" w:rsidRPr="001272D0" w:rsidRDefault="00DB2235" w:rsidP="00A74EBE">
            <w:pPr>
              <w:spacing w:line="240" w:lineRule="auto"/>
              <w:jc w:val="both"/>
              <w:rPr>
                <w:rFonts w:ascii="Arial" w:eastAsia="Arial" w:hAnsi="Arial" w:cs="Arial"/>
                <w:sz w:val="24"/>
                <w:szCs w:val="24"/>
                <w:lang w:val="en-US"/>
              </w:rPr>
            </w:pPr>
            <w:r w:rsidRPr="001272D0">
              <w:rPr>
                <w:rFonts w:ascii="Arial" w:eastAsia="Arial" w:hAnsi="Arial" w:cs="Arial"/>
                <w:sz w:val="24"/>
                <w:szCs w:val="24"/>
                <w:lang w:val="en-US"/>
              </w:rPr>
              <w:t>Professional (non-cognitive) entry criteria</w:t>
            </w:r>
          </w:p>
        </w:tc>
        <w:tc>
          <w:tcPr>
            <w:tcW w:w="7036" w:type="dxa"/>
            <w:tcBorders>
              <w:top w:val="nil"/>
            </w:tcBorders>
          </w:tcPr>
          <w:p w14:paraId="70FE925D" w14:textId="77777777" w:rsidR="00DB2235" w:rsidRPr="001272D0" w:rsidRDefault="00DB2235" w:rsidP="0037326F">
            <w:pPr>
              <w:numPr>
                <w:ilvl w:val="0"/>
                <w:numId w:val="1"/>
              </w:numPr>
              <w:pBdr>
                <w:top w:val="nil"/>
                <w:left w:val="nil"/>
                <w:bottom w:val="nil"/>
                <w:right w:val="nil"/>
                <w:between w:val="nil"/>
              </w:pBdr>
              <w:spacing w:line="240" w:lineRule="auto"/>
              <w:jc w:val="both"/>
              <w:rPr>
                <w:rFonts w:ascii="Arial" w:eastAsia="Arial" w:hAnsi="Arial" w:cs="Arial"/>
                <w:color w:val="000000"/>
                <w:sz w:val="24"/>
                <w:szCs w:val="24"/>
                <w:lang w:val="en-US"/>
              </w:rPr>
            </w:pPr>
            <w:r w:rsidRPr="001272D0">
              <w:rPr>
                <w:rFonts w:ascii="Arial" w:eastAsia="Arial" w:hAnsi="Arial" w:cs="Arial"/>
                <w:color w:val="000000"/>
                <w:sz w:val="24"/>
                <w:szCs w:val="24"/>
                <w:lang w:val="en-US"/>
              </w:rPr>
              <w:t xml:space="preserve">Are professional skills assessed at point of </w:t>
            </w:r>
            <w:r w:rsidRPr="001272D0">
              <w:rPr>
                <w:rFonts w:ascii="Arial" w:eastAsia="Arial" w:hAnsi="Arial" w:cs="Arial"/>
                <w:b/>
                <w:bCs/>
                <w:color w:val="000000"/>
                <w:sz w:val="24"/>
                <w:szCs w:val="24"/>
                <w:lang w:val="en-US"/>
              </w:rPr>
              <w:t>application</w:t>
            </w:r>
            <w:r w:rsidRPr="001272D0">
              <w:rPr>
                <w:rFonts w:ascii="Arial" w:eastAsia="Arial" w:hAnsi="Arial" w:cs="Arial"/>
                <w:color w:val="000000"/>
                <w:sz w:val="24"/>
                <w:szCs w:val="24"/>
                <w:lang w:val="en-US"/>
              </w:rPr>
              <w:t>? (Yes/No - If yes, how is this evidenced?)</w:t>
            </w:r>
          </w:p>
          <w:p w14:paraId="09852314" w14:textId="5B0412E8" w:rsidR="00DB2235" w:rsidRPr="001272D0" w:rsidRDefault="00DB2235" w:rsidP="0037326F">
            <w:pPr>
              <w:numPr>
                <w:ilvl w:val="0"/>
                <w:numId w:val="1"/>
              </w:numPr>
              <w:pBdr>
                <w:top w:val="nil"/>
                <w:left w:val="nil"/>
                <w:bottom w:val="nil"/>
                <w:right w:val="nil"/>
                <w:between w:val="nil"/>
              </w:pBdr>
              <w:spacing w:line="240" w:lineRule="auto"/>
              <w:jc w:val="both"/>
              <w:rPr>
                <w:rFonts w:ascii="Arial" w:eastAsia="Arial" w:hAnsi="Arial" w:cs="Arial"/>
                <w:color w:val="000000"/>
                <w:sz w:val="24"/>
                <w:szCs w:val="24"/>
                <w:lang w:val="en-US"/>
              </w:rPr>
            </w:pPr>
            <w:r w:rsidRPr="001272D0">
              <w:rPr>
                <w:rFonts w:ascii="Arial" w:eastAsia="Arial" w:hAnsi="Arial" w:cs="Arial"/>
                <w:color w:val="000000"/>
                <w:sz w:val="24"/>
                <w:szCs w:val="24"/>
                <w:lang w:val="en-US"/>
              </w:rPr>
              <w:t xml:space="preserve">Are professional skills assessed at point of </w:t>
            </w:r>
            <w:r w:rsidRPr="001272D0">
              <w:rPr>
                <w:rFonts w:ascii="Arial" w:eastAsia="Arial" w:hAnsi="Arial" w:cs="Arial"/>
                <w:b/>
                <w:bCs/>
                <w:color w:val="000000"/>
                <w:sz w:val="24"/>
                <w:szCs w:val="24"/>
                <w:lang w:val="en-US"/>
              </w:rPr>
              <w:t>selection</w:t>
            </w:r>
            <w:r w:rsidRPr="001272D0">
              <w:rPr>
                <w:rFonts w:ascii="Arial" w:eastAsia="Arial" w:hAnsi="Arial" w:cs="Arial"/>
                <w:color w:val="000000"/>
                <w:sz w:val="24"/>
                <w:szCs w:val="24"/>
                <w:lang w:val="en-US"/>
              </w:rPr>
              <w:t>? (Yes/No - If yes, how is this evidenced?</w:t>
            </w:r>
            <w:r w:rsidR="00990020" w:rsidRPr="001272D0">
              <w:rPr>
                <w:rFonts w:ascii="Arial" w:eastAsia="Arial" w:hAnsi="Arial" w:cs="Arial"/>
                <w:color w:val="000000"/>
                <w:sz w:val="24"/>
                <w:szCs w:val="24"/>
                <w:lang w:val="en-US"/>
              </w:rPr>
              <w:t>)</w:t>
            </w:r>
          </w:p>
        </w:tc>
      </w:tr>
      <w:tr w:rsidR="00DB2235" w:rsidRPr="001272D0" w14:paraId="18DC833D" w14:textId="77777777" w:rsidTr="00B4201A">
        <w:tc>
          <w:tcPr>
            <w:tcW w:w="1980" w:type="dxa"/>
          </w:tcPr>
          <w:p w14:paraId="27ADD86B" w14:textId="77777777" w:rsidR="00DB2235" w:rsidRPr="001272D0" w:rsidRDefault="00DB2235" w:rsidP="00A74EBE">
            <w:pPr>
              <w:spacing w:line="240" w:lineRule="auto"/>
              <w:jc w:val="both"/>
              <w:rPr>
                <w:rFonts w:ascii="Arial" w:eastAsia="Arial" w:hAnsi="Arial" w:cs="Arial"/>
                <w:sz w:val="24"/>
                <w:szCs w:val="24"/>
                <w:lang w:val="en-US"/>
              </w:rPr>
            </w:pPr>
            <w:r w:rsidRPr="001272D0">
              <w:rPr>
                <w:rFonts w:ascii="Arial" w:eastAsia="Arial" w:hAnsi="Arial" w:cs="Arial"/>
                <w:sz w:val="24"/>
                <w:szCs w:val="24"/>
                <w:lang w:val="en-US"/>
              </w:rPr>
              <w:t>Alternative entry criteria</w:t>
            </w:r>
          </w:p>
        </w:tc>
        <w:tc>
          <w:tcPr>
            <w:tcW w:w="7036" w:type="dxa"/>
          </w:tcPr>
          <w:p w14:paraId="53544D5F" w14:textId="77777777" w:rsidR="00DB2235" w:rsidRPr="001272D0" w:rsidRDefault="00DB2235" w:rsidP="0037326F">
            <w:pPr>
              <w:numPr>
                <w:ilvl w:val="0"/>
                <w:numId w:val="1"/>
              </w:numPr>
              <w:pBdr>
                <w:top w:val="nil"/>
                <w:left w:val="nil"/>
                <w:bottom w:val="nil"/>
                <w:right w:val="nil"/>
                <w:between w:val="nil"/>
              </w:pBdr>
              <w:spacing w:line="240" w:lineRule="auto"/>
              <w:jc w:val="both"/>
              <w:rPr>
                <w:rFonts w:ascii="Arial" w:eastAsia="Arial" w:hAnsi="Arial" w:cs="Arial"/>
                <w:color w:val="000000"/>
                <w:sz w:val="24"/>
                <w:szCs w:val="24"/>
                <w:lang w:val="en-US"/>
              </w:rPr>
            </w:pPr>
            <w:r w:rsidRPr="001272D0">
              <w:rPr>
                <w:rFonts w:ascii="Arial" w:eastAsia="Arial" w:hAnsi="Arial" w:cs="Arial"/>
                <w:color w:val="000000"/>
                <w:sz w:val="24"/>
                <w:szCs w:val="24"/>
                <w:lang w:val="en-US"/>
              </w:rPr>
              <w:t>Alternative entry routes offered? (Yes/No – If yes, what are they?)</w:t>
            </w:r>
          </w:p>
          <w:p w14:paraId="642920CF" w14:textId="77777777" w:rsidR="00DB2235" w:rsidRPr="001272D0" w:rsidRDefault="00DB2235" w:rsidP="0037326F">
            <w:pPr>
              <w:numPr>
                <w:ilvl w:val="0"/>
                <w:numId w:val="1"/>
              </w:numPr>
              <w:pBdr>
                <w:top w:val="nil"/>
                <w:left w:val="nil"/>
                <w:bottom w:val="nil"/>
                <w:right w:val="nil"/>
                <w:between w:val="nil"/>
              </w:pBdr>
              <w:spacing w:line="240" w:lineRule="auto"/>
              <w:jc w:val="both"/>
              <w:rPr>
                <w:rFonts w:ascii="Arial" w:eastAsia="Arial" w:hAnsi="Arial" w:cs="Arial"/>
                <w:color w:val="000000"/>
                <w:sz w:val="24"/>
                <w:szCs w:val="24"/>
                <w:lang w:val="en-US"/>
              </w:rPr>
            </w:pPr>
            <w:r w:rsidRPr="001272D0">
              <w:rPr>
                <w:rFonts w:ascii="Arial" w:eastAsia="Arial" w:hAnsi="Arial" w:cs="Arial"/>
                <w:color w:val="000000"/>
                <w:sz w:val="24"/>
                <w:szCs w:val="24"/>
                <w:lang w:val="en-US"/>
              </w:rPr>
              <w:t>Covid-19 changes to selection &amp; recruitment? (Yes/No – If yes, what are they?</w:t>
            </w:r>
          </w:p>
        </w:tc>
      </w:tr>
    </w:tbl>
    <w:p w14:paraId="6CE42886" w14:textId="77777777" w:rsidR="00DB2235" w:rsidRPr="001272D0" w:rsidRDefault="00DB2235" w:rsidP="00A74EBE">
      <w:pPr>
        <w:spacing w:line="240" w:lineRule="auto"/>
        <w:jc w:val="both"/>
        <w:rPr>
          <w:rFonts w:ascii="Arial" w:eastAsia="Arial" w:hAnsi="Arial" w:cs="Arial"/>
          <w:b/>
          <w:sz w:val="24"/>
          <w:szCs w:val="24"/>
        </w:rPr>
      </w:pPr>
      <w:r w:rsidRPr="001272D0">
        <w:rPr>
          <w:rFonts w:ascii="Arial" w:eastAsia="Arial" w:hAnsi="Arial" w:cs="Arial"/>
          <w:b/>
          <w:sz w:val="24"/>
          <w:szCs w:val="24"/>
        </w:rPr>
        <w:t>*Universities and Colleges Admission Service (UCAS) Tariff tables</w:t>
      </w:r>
    </w:p>
    <w:p w14:paraId="6EF897C9" w14:textId="10411D81" w:rsidR="003658C9" w:rsidRPr="001272D0" w:rsidRDefault="00DB2235" w:rsidP="00A74EBE">
      <w:pPr>
        <w:spacing w:line="240" w:lineRule="auto"/>
        <w:jc w:val="both"/>
        <w:rPr>
          <w:rFonts w:ascii="Arial" w:eastAsia="Arial" w:hAnsi="Arial" w:cs="Arial"/>
          <w:bCs/>
          <w:iCs/>
          <w:sz w:val="24"/>
          <w:szCs w:val="24"/>
        </w:rPr>
      </w:pPr>
      <w:r w:rsidRPr="001272D0">
        <w:rPr>
          <w:rFonts w:ascii="Arial" w:eastAsia="Arial" w:hAnsi="Arial" w:cs="Arial"/>
          <w:bCs/>
          <w:iCs/>
          <w:sz w:val="24"/>
          <w:szCs w:val="24"/>
        </w:rPr>
        <w:t xml:space="preserve">As there is no standardisation to the advertising of </w:t>
      </w:r>
      <w:r w:rsidR="00DF6D60" w:rsidRPr="001272D0">
        <w:rPr>
          <w:rFonts w:ascii="Arial" w:eastAsia="Arial" w:hAnsi="Arial" w:cs="Arial"/>
          <w:bCs/>
          <w:iCs/>
          <w:sz w:val="24"/>
          <w:szCs w:val="24"/>
        </w:rPr>
        <w:t xml:space="preserve">UK </w:t>
      </w:r>
      <w:r w:rsidRPr="001272D0">
        <w:rPr>
          <w:rFonts w:ascii="Arial" w:eastAsia="Arial" w:hAnsi="Arial" w:cs="Arial"/>
          <w:bCs/>
          <w:iCs/>
          <w:sz w:val="24"/>
          <w:szCs w:val="24"/>
        </w:rPr>
        <w:t xml:space="preserve">Level 3 qualifications, UCAS Tariff tables </w:t>
      </w:r>
      <w:r w:rsidRPr="001272D0">
        <w:rPr>
          <w:rFonts w:ascii="Arial" w:eastAsia="Arial" w:hAnsi="Arial" w:cs="Arial"/>
          <w:bCs/>
          <w:iCs/>
          <w:sz w:val="24"/>
          <w:szCs w:val="24"/>
        </w:rPr>
        <w:fldChar w:fldCharType="begin" w:fldLock="1"/>
      </w:r>
      <w:r w:rsidRPr="001272D0">
        <w:rPr>
          <w:rFonts w:ascii="Arial" w:eastAsia="Arial" w:hAnsi="Arial" w:cs="Arial"/>
          <w:bCs/>
          <w:iCs/>
          <w:sz w:val="24"/>
          <w:szCs w:val="24"/>
        </w:rPr>
        <w:instrText>ADDIN CSL_CITATION {"citationItems":[{"id":"ITEM-1","itemData":{"author":[{"dropping-particle":"","family":"UCAS","given":"","non-dropping-particle":"","parse-names":false,"suffix":""}],"id":"ITEM-1","issued":{"date-parts":[["2021"]]},"title":"UCAS Tariff tables Tariff points for entry to higher","type":"report"},"uris":["http://www.mendeley.com/documents/?uuid=29bed81e-9fa2-4bfe-a700-08a2374e121d"]}],"mendeley":{"formattedCitation":"(UCAS, 2021)","plainTextFormattedCitation":"(UCAS, 2021)","previouslyFormattedCitation":"(UCAS, 2021)"},"properties":{"noteIndex":0},"schema":"https://github.com/citation-style-language/schema/raw/master/csl-citation.json"}</w:instrText>
      </w:r>
      <w:r w:rsidRPr="001272D0">
        <w:rPr>
          <w:rFonts w:ascii="Arial" w:eastAsia="Arial" w:hAnsi="Arial" w:cs="Arial"/>
          <w:bCs/>
          <w:iCs/>
          <w:sz w:val="24"/>
          <w:szCs w:val="24"/>
        </w:rPr>
        <w:fldChar w:fldCharType="separate"/>
      </w:r>
      <w:r w:rsidRPr="001272D0">
        <w:rPr>
          <w:rFonts w:ascii="Arial" w:eastAsia="Arial" w:hAnsi="Arial" w:cs="Arial"/>
          <w:bCs/>
          <w:iCs/>
          <w:noProof/>
          <w:sz w:val="24"/>
          <w:szCs w:val="24"/>
        </w:rPr>
        <w:t>(UCAS, 2021)</w:t>
      </w:r>
      <w:r w:rsidRPr="001272D0">
        <w:rPr>
          <w:rFonts w:ascii="Arial" w:eastAsia="Arial" w:hAnsi="Arial" w:cs="Arial"/>
          <w:bCs/>
          <w:iCs/>
          <w:sz w:val="24"/>
          <w:szCs w:val="24"/>
        </w:rPr>
        <w:fldChar w:fldCharType="end"/>
      </w:r>
      <w:r w:rsidRPr="001272D0">
        <w:rPr>
          <w:rFonts w:ascii="Arial" w:eastAsia="Arial" w:hAnsi="Arial" w:cs="Arial"/>
          <w:bCs/>
          <w:iCs/>
          <w:sz w:val="24"/>
          <w:szCs w:val="24"/>
        </w:rPr>
        <w:t xml:space="preserve"> (the translation of qualifications and grades into a numerical value for the purposes of course entry requirements) were used to convert </w:t>
      </w:r>
      <w:r w:rsidR="00DF6D60" w:rsidRPr="001272D0">
        <w:rPr>
          <w:rFonts w:ascii="Arial" w:eastAsia="Arial" w:hAnsi="Arial" w:cs="Arial"/>
          <w:bCs/>
          <w:iCs/>
          <w:sz w:val="24"/>
          <w:szCs w:val="24"/>
        </w:rPr>
        <w:t>these</w:t>
      </w:r>
      <w:r w:rsidR="00301ED3" w:rsidRPr="001272D0">
        <w:rPr>
          <w:rFonts w:ascii="Arial" w:eastAsia="Arial" w:hAnsi="Arial" w:cs="Arial"/>
          <w:bCs/>
          <w:iCs/>
          <w:sz w:val="24"/>
          <w:szCs w:val="24"/>
        </w:rPr>
        <w:t xml:space="preserve"> </w:t>
      </w:r>
      <w:r w:rsidRPr="001272D0">
        <w:rPr>
          <w:rFonts w:ascii="Arial" w:eastAsia="Arial" w:hAnsi="Arial" w:cs="Arial"/>
          <w:bCs/>
          <w:iCs/>
          <w:sz w:val="24"/>
          <w:szCs w:val="24"/>
        </w:rPr>
        <w:t xml:space="preserve">qualifications into an assigned numerical tariff so that data analysis could be performed. </w:t>
      </w:r>
    </w:p>
    <w:p w14:paraId="0AB50CE7" w14:textId="77777777" w:rsidR="00DF6D60" w:rsidRPr="001272D0" w:rsidRDefault="00DF6D60" w:rsidP="00A74EBE">
      <w:pPr>
        <w:spacing w:line="240" w:lineRule="auto"/>
        <w:jc w:val="both"/>
        <w:rPr>
          <w:rStyle w:val="CommentReference"/>
          <w:rFonts w:ascii="Arial" w:eastAsia="Arial" w:hAnsi="Arial" w:cs="Arial"/>
          <w:b/>
          <w:sz w:val="24"/>
          <w:szCs w:val="24"/>
        </w:rPr>
      </w:pPr>
    </w:p>
    <w:p w14:paraId="50020227" w14:textId="6EFCAFFE" w:rsidR="00791E4F" w:rsidRPr="001272D0" w:rsidRDefault="00791E4F" w:rsidP="00A74EBE">
      <w:pPr>
        <w:spacing w:line="240" w:lineRule="auto"/>
        <w:jc w:val="both"/>
        <w:rPr>
          <w:rFonts w:ascii="Arial" w:eastAsia="Arial" w:hAnsi="Arial" w:cs="Arial"/>
          <w:b/>
          <w:sz w:val="24"/>
          <w:szCs w:val="24"/>
        </w:rPr>
      </w:pPr>
      <w:r w:rsidRPr="001272D0">
        <w:rPr>
          <w:rFonts w:ascii="Arial" w:eastAsia="Arial" w:hAnsi="Arial" w:cs="Arial"/>
          <w:b/>
          <w:bCs/>
          <w:color w:val="000000"/>
          <w:sz w:val="24"/>
          <w:szCs w:val="24"/>
          <w:lang w:val="en-US"/>
        </w:rPr>
        <w:lastRenderedPageBreak/>
        <w:t>Findings</w:t>
      </w:r>
    </w:p>
    <w:p w14:paraId="44E1D294" w14:textId="44AAE407" w:rsidR="002C2D9A" w:rsidRPr="001272D0" w:rsidRDefault="002C2D9A" w:rsidP="00A74EBE">
      <w:pPr>
        <w:pBdr>
          <w:top w:val="nil"/>
          <w:left w:val="nil"/>
          <w:bottom w:val="nil"/>
          <w:right w:val="nil"/>
          <w:between w:val="nil"/>
        </w:pBdr>
        <w:spacing w:after="0" w:line="240" w:lineRule="auto"/>
        <w:jc w:val="both"/>
        <w:rPr>
          <w:rFonts w:ascii="Arial" w:eastAsia="Arial" w:hAnsi="Arial" w:cs="Arial"/>
          <w:b/>
          <w:i/>
          <w:color w:val="000000"/>
          <w:sz w:val="24"/>
          <w:szCs w:val="24"/>
        </w:rPr>
      </w:pPr>
      <w:r w:rsidRPr="001272D0">
        <w:rPr>
          <w:rFonts w:ascii="Arial" w:eastAsia="Arial" w:hAnsi="Arial" w:cs="Arial"/>
          <w:b/>
          <w:color w:val="000000"/>
          <w:sz w:val="24"/>
          <w:szCs w:val="24"/>
        </w:rPr>
        <w:t>Program</w:t>
      </w:r>
      <w:r w:rsidR="00D31FD0" w:rsidRPr="001272D0">
        <w:rPr>
          <w:rFonts w:ascii="Arial" w:eastAsia="Arial" w:hAnsi="Arial" w:cs="Arial"/>
          <w:b/>
          <w:color w:val="000000"/>
          <w:sz w:val="24"/>
          <w:szCs w:val="24"/>
        </w:rPr>
        <w:t>me</w:t>
      </w:r>
      <w:r w:rsidRPr="001272D0">
        <w:rPr>
          <w:rFonts w:ascii="Arial" w:eastAsia="Arial" w:hAnsi="Arial" w:cs="Arial"/>
          <w:b/>
          <w:color w:val="000000"/>
          <w:sz w:val="24"/>
          <w:szCs w:val="24"/>
        </w:rPr>
        <w:t xml:space="preserve"> </w:t>
      </w:r>
      <w:r w:rsidR="00866A63" w:rsidRPr="001272D0">
        <w:rPr>
          <w:rFonts w:ascii="Arial" w:eastAsia="Arial" w:hAnsi="Arial" w:cs="Arial"/>
          <w:b/>
          <w:color w:val="000000"/>
          <w:sz w:val="24"/>
          <w:szCs w:val="24"/>
        </w:rPr>
        <w:t>t</w:t>
      </w:r>
      <w:r w:rsidRPr="001272D0">
        <w:rPr>
          <w:rFonts w:ascii="Arial" w:eastAsia="Arial" w:hAnsi="Arial" w:cs="Arial"/>
          <w:b/>
          <w:color w:val="000000"/>
          <w:sz w:val="24"/>
          <w:szCs w:val="24"/>
        </w:rPr>
        <w:t>ype</w:t>
      </w:r>
    </w:p>
    <w:p w14:paraId="406F4947" w14:textId="411FE0AD" w:rsidR="00554255" w:rsidRPr="001272D0" w:rsidRDefault="00BB4664" w:rsidP="00233A69">
      <w:pPr>
        <w:spacing w:line="240" w:lineRule="auto"/>
        <w:jc w:val="both"/>
        <w:rPr>
          <w:rFonts w:ascii="Arial" w:hAnsi="Arial" w:cs="Arial"/>
          <w:sz w:val="24"/>
          <w:szCs w:val="24"/>
        </w:rPr>
      </w:pPr>
      <w:r w:rsidRPr="001272D0">
        <w:rPr>
          <w:rFonts w:ascii="Arial" w:eastAsia="Arial" w:hAnsi="Arial" w:cs="Arial"/>
          <w:bCs/>
          <w:iCs/>
          <w:color w:val="000000"/>
          <w:sz w:val="24"/>
          <w:szCs w:val="24"/>
        </w:rPr>
        <w:t xml:space="preserve">Forty UK </w:t>
      </w:r>
      <w:r w:rsidR="00E075FA" w:rsidRPr="001272D0">
        <w:rPr>
          <w:rFonts w:ascii="Arial" w:eastAsia="Arial" w:hAnsi="Arial" w:cs="Arial"/>
          <w:bCs/>
          <w:iCs/>
          <w:color w:val="000000"/>
          <w:sz w:val="24"/>
          <w:szCs w:val="24"/>
        </w:rPr>
        <w:t>u</w:t>
      </w:r>
      <w:r w:rsidRPr="001272D0">
        <w:rPr>
          <w:rFonts w:ascii="Arial" w:eastAsia="Arial" w:hAnsi="Arial" w:cs="Arial"/>
          <w:bCs/>
          <w:iCs/>
          <w:color w:val="000000"/>
          <w:sz w:val="24"/>
          <w:szCs w:val="24"/>
        </w:rPr>
        <w:t>niversities deliver seventy-three RCOT accredited pre-registration OT programmes of education</w:t>
      </w:r>
      <w:r w:rsidRPr="001272D0">
        <w:rPr>
          <w:rFonts w:ascii="Arial" w:hAnsi="Arial" w:cs="Arial"/>
          <w:sz w:val="24"/>
          <w:szCs w:val="24"/>
        </w:rPr>
        <w:t xml:space="preserve">. These are split between three undergraduate routes consisting of BSc (Hons) referred to hereafter as BSc (49%, </w:t>
      </w:r>
      <w:r w:rsidRPr="001272D0">
        <w:rPr>
          <w:rFonts w:ascii="Arial" w:hAnsi="Arial" w:cs="Arial"/>
          <w:i/>
          <w:iCs/>
          <w:sz w:val="24"/>
          <w:szCs w:val="24"/>
        </w:rPr>
        <w:t>n</w:t>
      </w:r>
      <w:r w:rsidRPr="001272D0">
        <w:rPr>
          <w:rFonts w:ascii="Arial" w:hAnsi="Arial" w:cs="Arial"/>
          <w:sz w:val="24"/>
          <w:szCs w:val="24"/>
        </w:rPr>
        <w:t>=36); MSc (</w:t>
      </w:r>
      <w:proofErr w:type="spellStart"/>
      <w:r w:rsidRPr="001272D0">
        <w:rPr>
          <w:rFonts w:ascii="Arial" w:hAnsi="Arial" w:cs="Arial"/>
          <w:sz w:val="24"/>
          <w:szCs w:val="24"/>
        </w:rPr>
        <w:t>UGr</w:t>
      </w:r>
      <w:proofErr w:type="spellEnd"/>
      <w:r w:rsidR="00615709" w:rsidRPr="001272D0">
        <w:rPr>
          <w:rFonts w:ascii="Arial" w:hAnsi="Arial" w:cs="Arial"/>
          <w:sz w:val="24"/>
          <w:szCs w:val="24"/>
        </w:rPr>
        <w:t>)</w:t>
      </w:r>
      <w:r w:rsidRPr="001272D0">
        <w:rPr>
          <w:rFonts w:ascii="Arial" w:hAnsi="Arial" w:cs="Arial"/>
          <w:sz w:val="24"/>
          <w:szCs w:val="24"/>
        </w:rPr>
        <w:t xml:space="preserve"> 3%, </w:t>
      </w:r>
      <w:r w:rsidRPr="001272D0">
        <w:rPr>
          <w:rFonts w:ascii="Arial" w:hAnsi="Arial" w:cs="Arial"/>
          <w:i/>
          <w:iCs/>
          <w:sz w:val="24"/>
          <w:szCs w:val="24"/>
        </w:rPr>
        <w:t>n=</w:t>
      </w:r>
      <w:r w:rsidRPr="001272D0">
        <w:rPr>
          <w:rFonts w:ascii="Arial" w:hAnsi="Arial" w:cs="Arial"/>
          <w:sz w:val="24"/>
          <w:szCs w:val="24"/>
        </w:rPr>
        <w:t xml:space="preserve">2); apprenticeships (11%, </w:t>
      </w:r>
      <w:r w:rsidRPr="001272D0">
        <w:rPr>
          <w:rFonts w:ascii="Arial" w:hAnsi="Arial" w:cs="Arial"/>
          <w:i/>
          <w:iCs/>
          <w:sz w:val="24"/>
          <w:szCs w:val="24"/>
        </w:rPr>
        <w:t>n</w:t>
      </w:r>
      <w:r w:rsidRPr="001272D0">
        <w:rPr>
          <w:rFonts w:ascii="Arial" w:hAnsi="Arial" w:cs="Arial"/>
          <w:sz w:val="24"/>
          <w:szCs w:val="24"/>
        </w:rPr>
        <w:t>=8) and two postgraduate routes consisting of MSc (</w:t>
      </w:r>
      <w:proofErr w:type="spellStart"/>
      <w:r w:rsidRPr="001272D0">
        <w:rPr>
          <w:rFonts w:ascii="Arial" w:hAnsi="Arial" w:cs="Arial"/>
          <w:sz w:val="24"/>
          <w:szCs w:val="24"/>
        </w:rPr>
        <w:t>PGr</w:t>
      </w:r>
      <w:proofErr w:type="spellEnd"/>
      <w:r w:rsidR="0069129E" w:rsidRPr="001272D0">
        <w:rPr>
          <w:rFonts w:ascii="Arial" w:hAnsi="Arial" w:cs="Arial"/>
          <w:sz w:val="24"/>
          <w:szCs w:val="24"/>
        </w:rPr>
        <w:t>)</w:t>
      </w:r>
      <w:r w:rsidRPr="001272D0">
        <w:rPr>
          <w:rFonts w:ascii="Arial" w:hAnsi="Arial" w:cs="Arial"/>
          <w:sz w:val="24"/>
          <w:szCs w:val="24"/>
        </w:rPr>
        <w:t xml:space="preserve"> 34%, </w:t>
      </w:r>
      <w:r w:rsidRPr="001272D0">
        <w:rPr>
          <w:rFonts w:ascii="Arial" w:hAnsi="Arial" w:cs="Arial"/>
          <w:i/>
          <w:iCs/>
          <w:sz w:val="24"/>
          <w:szCs w:val="24"/>
        </w:rPr>
        <w:t>n</w:t>
      </w:r>
      <w:r w:rsidRPr="001272D0">
        <w:rPr>
          <w:rFonts w:ascii="Arial" w:hAnsi="Arial" w:cs="Arial"/>
          <w:sz w:val="24"/>
          <w:szCs w:val="24"/>
        </w:rPr>
        <w:t xml:space="preserve">=25); PGDip (3%, </w:t>
      </w:r>
      <w:r w:rsidRPr="001272D0">
        <w:rPr>
          <w:rFonts w:ascii="Arial" w:hAnsi="Arial" w:cs="Arial"/>
          <w:i/>
          <w:iCs/>
          <w:sz w:val="24"/>
          <w:szCs w:val="24"/>
        </w:rPr>
        <w:t>n</w:t>
      </w:r>
      <w:r w:rsidRPr="001272D0">
        <w:rPr>
          <w:rFonts w:ascii="Arial" w:hAnsi="Arial" w:cs="Arial"/>
          <w:sz w:val="24"/>
          <w:szCs w:val="24"/>
        </w:rPr>
        <w:t xml:space="preserve">=2), which equate to a broader spread of total undergraduate (63%, </w:t>
      </w:r>
      <w:r w:rsidRPr="001272D0">
        <w:rPr>
          <w:rFonts w:ascii="Arial" w:hAnsi="Arial" w:cs="Arial"/>
          <w:i/>
          <w:iCs/>
          <w:sz w:val="24"/>
          <w:szCs w:val="24"/>
        </w:rPr>
        <w:t>n=</w:t>
      </w:r>
      <w:r w:rsidRPr="001272D0">
        <w:rPr>
          <w:rFonts w:ascii="Arial" w:hAnsi="Arial" w:cs="Arial"/>
          <w:sz w:val="24"/>
          <w:szCs w:val="24"/>
        </w:rPr>
        <w:t xml:space="preserve">46) and postgraduate (37%, </w:t>
      </w:r>
      <w:r w:rsidRPr="001272D0">
        <w:rPr>
          <w:rFonts w:ascii="Arial" w:hAnsi="Arial" w:cs="Arial"/>
          <w:i/>
          <w:iCs/>
          <w:sz w:val="24"/>
          <w:szCs w:val="24"/>
        </w:rPr>
        <w:t>n</w:t>
      </w:r>
      <w:r w:rsidRPr="001272D0">
        <w:rPr>
          <w:rFonts w:ascii="Arial" w:hAnsi="Arial" w:cs="Arial"/>
          <w:sz w:val="24"/>
          <w:szCs w:val="24"/>
        </w:rPr>
        <w:t xml:space="preserve">=27) options. </w:t>
      </w:r>
      <w:r w:rsidR="008D1C2C" w:rsidRPr="001272D0">
        <w:rPr>
          <w:rFonts w:ascii="Arial" w:hAnsi="Arial" w:cs="Arial"/>
          <w:sz w:val="24"/>
          <w:szCs w:val="24"/>
        </w:rPr>
        <w:t>A</w:t>
      </w:r>
      <w:r w:rsidR="002C2D9A" w:rsidRPr="001272D0">
        <w:rPr>
          <w:rFonts w:ascii="Arial" w:hAnsi="Arial" w:cs="Arial"/>
          <w:sz w:val="24"/>
          <w:szCs w:val="24"/>
        </w:rPr>
        <w:t>pplicants have a choice of full-time (F/T</w:t>
      </w:r>
      <w:r w:rsidR="00C9387D" w:rsidRPr="001272D0">
        <w:rPr>
          <w:rFonts w:ascii="Arial" w:hAnsi="Arial" w:cs="Arial"/>
          <w:sz w:val="24"/>
          <w:szCs w:val="24"/>
        </w:rPr>
        <w:t xml:space="preserve">, 85%, </w:t>
      </w:r>
      <w:r w:rsidR="00C9387D" w:rsidRPr="001272D0">
        <w:rPr>
          <w:rFonts w:ascii="Arial" w:hAnsi="Arial" w:cs="Arial"/>
          <w:i/>
          <w:iCs/>
          <w:sz w:val="24"/>
          <w:szCs w:val="24"/>
        </w:rPr>
        <w:t>n=</w:t>
      </w:r>
      <w:r w:rsidR="00C9387D" w:rsidRPr="001272D0">
        <w:rPr>
          <w:rFonts w:ascii="Arial" w:hAnsi="Arial" w:cs="Arial"/>
          <w:sz w:val="24"/>
          <w:szCs w:val="24"/>
        </w:rPr>
        <w:t>62</w:t>
      </w:r>
      <w:r w:rsidR="002C2D9A" w:rsidRPr="001272D0">
        <w:rPr>
          <w:rFonts w:ascii="Arial" w:hAnsi="Arial" w:cs="Arial"/>
          <w:sz w:val="24"/>
          <w:szCs w:val="24"/>
        </w:rPr>
        <w:t>) and part-time (P/T</w:t>
      </w:r>
      <w:r w:rsidR="00C9387D" w:rsidRPr="001272D0">
        <w:rPr>
          <w:rFonts w:ascii="Arial" w:hAnsi="Arial" w:cs="Arial"/>
          <w:sz w:val="24"/>
          <w:szCs w:val="24"/>
        </w:rPr>
        <w:t xml:space="preserve">, 15%, </w:t>
      </w:r>
      <w:r w:rsidR="00C9387D" w:rsidRPr="001272D0">
        <w:rPr>
          <w:rFonts w:ascii="Arial" w:hAnsi="Arial" w:cs="Arial"/>
          <w:i/>
          <w:iCs/>
          <w:sz w:val="24"/>
          <w:szCs w:val="24"/>
        </w:rPr>
        <w:t>n</w:t>
      </w:r>
      <w:r w:rsidR="00C9387D" w:rsidRPr="001272D0">
        <w:rPr>
          <w:rFonts w:ascii="Arial" w:hAnsi="Arial" w:cs="Arial"/>
          <w:sz w:val="24"/>
          <w:szCs w:val="24"/>
        </w:rPr>
        <w:t>=11</w:t>
      </w:r>
      <w:r w:rsidR="002C2D9A" w:rsidRPr="001272D0">
        <w:rPr>
          <w:rFonts w:ascii="Arial" w:hAnsi="Arial" w:cs="Arial"/>
          <w:sz w:val="24"/>
          <w:szCs w:val="24"/>
        </w:rPr>
        <w:t xml:space="preserve">) </w:t>
      </w:r>
      <w:r w:rsidR="00D02440" w:rsidRPr="001272D0">
        <w:rPr>
          <w:rFonts w:ascii="Arial" w:hAnsi="Arial" w:cs="Arial"/>
          <w:sz w:val="24"/>
          <w:szCs w:val="24"/>
        </w:rPr>
        <w:t>programmes</w:t>
      </w:r>
      <w:r w:rsidR="00C9387D" w:rsidRPr="001272D0">
        <w:rPr>
          <w:rFonts w:ascii="Arial" w:hAnsi="Arial" w:cs="Arial"/>
          <w:sz w:val="24"/>
          <w:szCs w:val="24"/>
        </w:rPr>
        <w:t>.</w:t>
      </w:r>
      <w:r w:rsidR="002C2D9A" w:rsidRPr="001272D0">
        <w:rPr>
          <w:rFonts w:ascii="Arial" w:hAnsi="Arial" w:cs="Arial"/>
          <w:sz w:val="24"/>
          <w:szCs w:val="24"/>
        </w:rPr>
        <w:t xml:space="preserve"> </w:t>
      </w:r>
      <w:r w:rsidR="002E7450" w:rsidRPr="001272D0">
        <w:rPr>
          <w:rFonts w:ascii="Arial" w:hAnsi="Arial" w:cs="Arial"/>
          <w:sz w:val="24"/>
          <w:szCs w:val="24"/>
        </w:rPr>
        <w:t xml:space="preserve">While </w:t>
      </w:r>
      <w:r w:rsidR="00F13248" w:rsidRPr="001272D0">
        <w:rPr>
          <w:rFonts w:ascii="Arial" w:hAnsi="Arial" w:cs="Arial"/>
          <w:sz w:val="24"/>
          <w:szCs w:val="24"/>
        </w:rPr>
        <w:t xml:space="preserve">the eight </w:t>
      </w:r>
      <w:r w:rsidR="002E7450" w:rsidRPr="001272D0">
        <w:rPr>
          <w:rFonts w:ascii="Arial" w:hAnsi="Arial" w:cs="Arial"/>
          <w:sz w:val="24"/>
          <w:szCs w:val="24"/>
        </w:rPr>
        <w:t>apprenticeships</w:t>
      </w:r>
      <w:r w:rsidR="00233A69" w:rsidRPr="001272D0">
        <w:rPr>
          <w:rFonts w:ascii="Arial" w:hAnsi="Arial" w:cs="Arial"/>
          <w:sz w:val="24"/>
          <w:szCs w:val="24"/>
        </w:rPr>
        <w:t xml:space="preserve"> are advertised as either 4 years P/T (</w:t>
      </w:r>
      <w:r w:rsidR="00233A69" w:rsidRPr="001272D0">
        <w:rPr>
          <w:rFonts w:ascii="Arial" w:hAnsi="Arial" w:cs="Arial"/>
          <w:i/>
          <w:iCs/>
          <w:sz w:val="24"/>
          <w:szCs w:val="24"/>
        </w:rPr>
        <w:t>n</w:t>
      </w:r>
      <w:r w:rsidR="00233A69" w:rsidRPr="001272D0">
        <w:rPr>
          <w:rFonts w:ascii="Arial" w:hAnsi="Arial" w:cs="Arial"/>
          <w:sz w:val="24"/>
          <w:szCs w:val="24"/>
        </w:rPr>
        <w:t>=3); 3 years P/T (</w:t>
      </w:r>
      <w:r w:rsidR="00233A69" w:rsidRPr="001272D0">
        <w:rPr>
          <w:rFonts w:ascii="Arial" w:hAnsi="Arial" w:cs="Arial"/>
          <w:i/>
          <w:iCs/>
          <w:sz w:val="24"/>
          <w:szCs w:val="24"/>
        </w:rPr>
        <w:t>n</w:t>
      </w:r>
      <w:r w:rsidR="00233A69" w:rsidRPr="001272D0">
        <w:rPr>
          <w:rFonts w:ascii="Arial" w:hAnsi="Arial" w:cs="Arial"/>
          <w:sz w:val="24"/>
          <w:szCs w:val="24"/>
        </w:rPr>
        <w:t>=4) or 3 years F/T (</w:t>
      </w:r>
      <w:r w:rsidR="00233A69" w:rsidRPr="001272D0">
        <w:rPr>
          <w:rFonts w:ascii="Arial" w:hAnsi="Arial" w:cs="Arial"/>
          <w:i/>
          <w:iCs/>
          <w:sz w:val="24"/>
          <w:szCs w:val="24"/>
        </w:rPr>
        <w:t>n=</w:t>
      </w:r>
      <w:r w:rsidR="00233A69" w:rsidRPr="001272D0">
        <w:rPr>
          <w:rFonts w:ascii="Arial" w:hAnsi="Arial" w:cs="Arial"/>
          <w:sz w:val="24"/>
          <w:szCs w:val="24"/>
        </w:rPr>
        <w:t xml:space="preserve">1), they all require applicants to be working in close regular contact with an occupational therapist(s) in addition to the academic programme. </w:t>
      </w:r>
      <w:r w:rsidR="00344A05" w:rsidRPr="001272D0">
        <w:rPr>
          <w:rFonts w:ascii="Arial" w:hAnsi="Arial" w:cs="Arial"/>
          <w:sz w:val="24"/>
          <w:szCs w:val="24"/>
        </w:rPr>
        <w:t>T</w:t>
      </w:r>
      <w:r w:rsidR="00233A69" w:rsidRPr="001272D0">
        <w:rPr>
          <w:rFonts w:ascii="Arial" w:hAnsi="Arial" w:cs="Arial"/>
          <w:sz w:val="24"/>
          <w:szCs w:val="24"/>
        </w:rPr>
        <w:t>he remaining four P/T</w:t>
      </w:r>
      <w:r w:rsidR="00344A05" w:rsidRPr="001272D0">
        <w:rPr>
          <w:rFonts w:ascii="Arial" w:hAnsi="Arial" w:cs="Arial"/>
          <w:sz w:val="24"/>
          <w:szCs w:val="24"/>
        </w:rPr>
        <w:t xml:space="preserve"> options</w:t>
      </w:r>
      <w:r w:rsidR="00EC791A" w:rsidRPr="001272D0">
        <w:rPr>
          <w:rFonts w:ascii="Arial" w:hAnsi="Arial" w:cs="Arial"/>
          <w:sz w:val="24"/>
          <w:szCs w:val="24"/>
        </w:rPr>
        <w:t xml:space="preserve"> are split between BSc (</w:t>
      </w:r>
      <w:r w:rsidR="00C73B43" w:rsidRPr="001272D0">
        <w:rPr>
          <w:rFonts w:ascii="Arial" w:hAnsi="Arial" w:cs="Arial"/>
          <w:i/>
          <w:iCs/>
          <w:sz w:val="24"/>
          <w:szCs w:val="24"/>
        </w:rPr>
        <w:t>n</w:t>
      </w:r>
      <w:r w:rsidR="00C73B43" w:rsidRPr="001272D0">
        <w:rPr>
          <w:rFonts w:ascii="Arial" w:hAnsi="Arial" w:cs="Arial"/>
          <w:sz w:val="24"/>
          <w:szCs w:val="24"/>
        </w:rPr>
        <w:t>=3) and MSc</w:t>
      </w:r>
      <w:r w:rsidR="00BE2049" w:rsidRPr="001272D0">
        <w:rPr>
          <w:rFonts w:ascii="Arial" w:hAnsi="Arial" w:cs="Arial"/>
          <w:sz w:val="24"/>
          <w:szCs w:val="24"/>
        </w:rPr>
        <w:t xml:space="preserve"> (</w:t>
      </w:r>
      <w:proofErr w:type="spellStart"/>
      <w:r w:rsidR="00BE2049" w:rsidRPr="001272D0">
        <w:rPr>
          <w:rFonts w:ascii="Arial" w:hAnsi="Arial" w:cs="Arial"/>
          <w:sz w:val="24"/>
          <w:szCs w:val="24"/>
        </w:rPr>
        <w:t>PGr</w:t>
      </w:r>
      <w:proofErr w:type="spellEnd"/>
      <w:r w:rsidR="00BE2049" w:rsidRPr="001272D0">
        <w:rPr>
          <w:rFonts w:ascii="Arial" w:hAnsi="Arial" w:cs="Arial"/>
          <w:sz w:val="24"/>
          <w:szCs w:val="24"/>
        </w:rPr>
        <w:t>)</w:t>
      </w:r>
      <w:r w:rsidR="00C73B43" w:rsidRPr="001272D0">
        <w:rPr>
          <w:rFonts w:ascii="Arial" w:hAnsi="Arial" w:cs="Arial"/>
          <w:sz w:val="24"/>
          <w:szCs w:val="24"/>
        </w:rPr>
        <w:t xml:space="preserve"> (</w:t>
      </w:r>
      <w:r w:rsidR="00C73B43" w:rsidRPr="001272D0">
        <w:rPr>
          <w:rFonts w:ascii="Arial" w:hAnsi="Arial" w:cs="Arial"/>
          <w:i/>
          <w:iCs/>
          <w:sz w:val="24"/>
          <w:szCs w:val="24"/>
        </w:rPr>
        <w:t>n</w:t>
      </w:r>
      <w:r w:rsidR="00C73B43" w:rsidRPr="001272D0">
        <w:rPr>
          <w:rFonts w:ascii="Arial" w:hAnsi="Arial" w:cs="Arial"/>
          <w:sz w:val="24"/>
          <w:szCs w:val="24"/>
        </w:rPr>
        <w:t>=1).</w:t>
      </w:r>
    </w:p>
    <w:p w14:paraId="0A2AA1AA" w14:textId="77777777" w:rsidR="00516056" w:rsidRPr="001272D0" w:rsidRDefault="00516056" w:rsidP="00A74EBE">
      <w:pPr>
        <w:pBdr>
          <w:top w:val="nil"/>
          <w:left w:val="nil"/>
          <w:bottom w:val="nil"/>
          <w:right w:val="nil"/>
          <w:between w:val="nil"/>
        </w:pBdr>
        <w:spacing w:after="0" w:line="240" w:lineRule="auto"/>
        <w:jc w:val="both"/>
        <w:rPr>
          <w:rFonts w:ascii="Arial" w:eastAsia="Arial" w:hAnsi="Arial" w:cs="Arial"/>
          <w:bCs/>
          <w:iCs/>
          <w:color w:val="000000"/>
          <w:sz w:val="24"/>
          <w:szCs w:val="24"/>
        </w:rPr>
      </w:pPr>
    </w:p>
    <w:p w14:paraId="628B9DF0" w14:textId="77777777" w:rsidR="002C2D9A" w:rsidRPr="001272D0" w:rsidRDefault="002C2D9A" w:rsidP="00A74EBE">
      <w:pPr>
        <w:pBdr>
          <w:top w:val="nil"/>
          <w:left w:val="nil"/>
          <w:bottom w:val="nil"/>
          <w:right w:val="nil"/>
          <w:between w:val="nil"/>
        </w:pBdr>
        <w:spacing w:after="0" w:line="240" w:lineRule="auto"/>
        <w:jc w:val="both"/>
        <w:rPr>
          <w:rFonts w:ascii="Arial" w:eastAsia="Arial" w:hAnsi="Arial" w:cs="Arial"/>
          <w:b/>
          <w:iCs/>
          <w:sz w:val="24"/>
          <w:szCs w:val="24"/>
        </w:rPr>
      </w:pPr>
      <w:r w:rsidRPr="001272D0">
        <w:rPr>
          <w:rFonts w:ascii="Arial" w:eastAsia="Arial" w:hAnsi="Arial" w:cs="Arial"/>
          <w:b/>
          <w:iCs/>
          <w:sz w:val="24"/>
          <w:szCs w:val="24"/>
        </w:rPr>
        <w:t xml:space="preserve">Academic (cognitive) skills entry criteria </w:t>
      </w:r>
    </w:p>
    <w:p w14:paraId="3F6A6584" w14:textId="77777777" w:rsidR="006979AB" w:rsidRPr="001272D0" w:rsidRDefault="006979AB" w:rsidP="00A74EBE">
      <w:pPr>
        <w:pBdr>
          <w:top w:val="nil"/>
          <w:left w:val="nil"/>
          <w:bottom w:val="nil"/>
          <w:right w:val="nil"/>
          <w:between w:val="nil"/>
        </w:pBdr>
        <w:spacing w:after="0" w:line="240" w:lineRule="auto"/>
        <w:jc w:val="both"/>
        <w:rPr>
          <w:rFonts w:ascii="Arial" w:eastAsia="Arial" w:hAnsi="Arial" w:cs="Arial"/>
          <w:bCs/>
          <w:iCs/>
          <w:sz w:val="24"/>
          <w:szCs w:val="24"/>
        </w:rPr>
      </w:pPr>
    </w:p>
    <w:p w14:paraId="22228D7E" w14:textId="48FA2501" w:rsidR="002C2D9A" w:rsidRPr="001272D0" w:rsidRDefault="002C2D9A" w:rsidP="00A74EBE">
      <w:pPr>
        <w:pBdr>
          <w:top w:val="nil"/>
          <w:left w:val="nil"/>
          <w:bottom w:val="nil"/>
          <w:right w:val="nil"/>
          <w:between w:val="nil"/>
        </w:pBdr>
        <w:spacing w:after="0" w:line="240" w:lineRule="auto"/>
        <w:jc w:val="both"/>
        <w:rPr>
          <w:rFonts w:ascii="Arial" w:eastAsia="Arial" w:hAnsi="Arial" w:cs="Arial"/>
          <w:b/>
          <w:iCs/>
          <w:sz w:val="24"/>
          <w:szCs w:val="24"/>
        </w:rPr>
      </w:pPr>
      <w:r w:rsidRPr="001272D0">
        <w:rPr>
          <w:rFonts w:ascii="Arial" w:eastAsia="Arial" w:hAnsi="Arial" w:cs="Arial"/>
          <w:b/>
          <w:iCs/>
          <w:sz w:val="24"/>
          <w:szCs w:val="24"/>
        </w:rPr>
        <w:t xml:space="preserve">Level 2 </w:t>
      </w:r>
      <w:r w:rsidR="00866A63" w:rsidRPr="001272D0">
        <w:rPr>
          <w:rFonts w:ascii="Arial" w:eastAsia="Arial" w:hAnsi="Arial" w:cs="Arial"/>
          <w:b/>
          <w:iCs/>
          <w:sz w:val="24"/>
          <w:szCs w:val="24"/>
        </w:rPr>
        <w:t>r</w:t>
      </w:r>
      <w:r w:rsidRPr="001272D0">
        <w:rPr>
          <w:rFonts w:ascii="Arial" w:eastAsia="Arial" w:hAnsi="Arial" w:cs="Arial"/>
          <w:b/>
          <w:iCs/>
          <w:sz w:val="24"/>
          <w:szCs w:val="24"/>
        </w:rPr>
        <w:t>equirements (GCSE or equivalents)</w:t>
      </w:r>
    </w:p>
    <w:p w14:paraId="7D57AD8D" w14:textId="0B30E2DC" w:rsidR="008A26FA" w:rsidRPr="001272D0" w:rsidRDefault="0059378D" w:rsidP="008A26FA">
      <w:pPr>
        <w:spacing w:line="240" w:lineRule="auto"/>
        <w:jc w:val="both"/>
        <w:rPr>
          <w:rFonts w:ascii="Arial" w:hAnsi="Arial" w:cs="Arial"/>
          <w:sz w:val="24"/>
          <w:szCs w:val="24"/>
        </w:rPr>
      </w:pPr>
      <w:r w:rsidRPr="001272D0">
        <w:rPr>
          <w:rFonts w:ascii="Arial" w:eastAsia="Arial" w:hAnsi="Arial" w:cs="Arial"/>
          <w:bCs/>
          <w:iCs/>
          <w:sz w:val="24"/>
          <w:szCs w:val="24"/>
        </w:rPr>
        <w:t xml:space="preserve">The </w:t>
      </w:r>
      <w:r w:rsidR="00FD2DA8" w:rsidRPr="001272D0">
        <w:rPr>
          <w:rFonts w:ascii="Arial" w:eastAsia="Arial" w:hAnsi="Arial" w:cs="Arial"/>
          <w:bCs/>
          <w:iCs/>
          <w:sz w:val="24"/>
          <w:szCs w:val="24"/>
        </w:rPr>
        <w:t>number of</w:t>
      </w:r>
      <w:r w:rsidR="00977548" w:rsidRPr="001272D0">
        <w:rPr>
          <w:rFonts w:ascii="Arial" w:eastAsia="Arial" w:hAnsi="Arial" w:cs="Arial"/>
          <w:bCs/>
          <w:iCs/>
          <w:sz w:val="24"/>
          <w:szCs w:val="24"/>
        </w:rPr>
        <w:t xml:space="preserve"> required</w:t>
      </w:r>
      <w:r w:rsidR="00FD2DA8" w:rsidRPr="001272D0">
        <w:rPr>
          <w:rFonts w:ascii="Arial" w:eastAsia="Arial" w:hAnsi="Arial" w:cs="Arial"/>
          <w:bCs/>
          <w:iCs/>
          <w:sz w:val="24"/>
          <w:szCs w:val="24"/>
        </w:rPr>
        <w:t xml:space="preserve"> GCSEs</w:t>
      </w:r>
      <w:r w:rsidRPr="001272D0">
        <w:rPr>
          <w:rFonts w:ascii="Arial" w:eastAsia="Arial" w:hAnsi="Arial" w:cs="Arial"/>
          <w:bCs/>
          <w:iCs/>
          <w:sz w:val="24"/>
          <w:szCs w:val="24"/>
        </w:rPr>
        <w:t xml:space="preserve"> are not stipulated by the majority of postgraduate</w:t>
      </w:r>
      <w:r w:rsidR="00FD2DA8" w:rsidRPr="001272D0">
        <w:rPr>
          <w:rFonts w:ascii="Arial" w:eastAsia="Arial" w:hAnsi="Arial" w:cs="Arial"/>
          <w:bCs/>
          <w:iCs/>
          <w:sz w:val="24"/>
          <w:szCs w:val="24"/>
        </w:rPr>
        <w:t xml:space="preserve"> (</w:t>
      </w:r>
      <w:r w:rsidR="0091266B" w:rsidRPr="001272D0">
        <w:rPr>
          <w:rFonts w:ascii="Arial" w:eastAsia="Arial" w:hAnsi="Arial" w:cs="Arial"/>
          <w:bCs/>
          <w:iCs/>
          <w:sz w:val="24"/>
          <w:szCs w:val="24"/>
        </w:rPr>
        <w:t>81%</w:t>
      </w:r>
      <w:r w:rsidR="00FD2DA8" w:rsidRPr="001272D0">
        <w:rPr>
          <w:rFonts w:ascii="Arial" w:eastAsia="Arial" w:hAnsi="Arial" w:cs="Arial"/>
          <w:bCs/>
          <w:iCs/>
          <w:sz w:val="24"/>
          <w:szCs w:val="24"/>
        </w:rPr>
        <w:t xml:space="preserve">, </w:t>
      </w:r>
      <w:r w:rsidR="00201BD7" w:rsidRPr="001272D0">
        <w:rPr>
          <w:rFonts w:ascii="Arial" w:eastAsia="Arial" w:hAnsi="Arial" w:cs="Arial"/>
          <w:bCs/>
          <w:i/>
          <w:sz w:val="24"/>
          <w:szCs w:val="24"/>
        </w:rPr>
        <w:t>n=</w:t>
      </w:r>
      <w:r w:rsidR="00201BD7" w:rsidRPr="001272D0">
        <w:rPr>
          <w:rFonts w:ascii="Arial" w:eastAsia="Arial" w:hAnsi="Arial" w:cs="Arial"/>
          <w:bCs/>
          <w:iCs/>
          <w:sz w:val="24"/>
          <w:szCs w:val="24"/>
        </w:rPr>
        <w:t>22</w:t>
      </w:r>
      <w:r w:rsidRPr="001272D0">
        <w:rPr>
          <w:rFonts w:ascii="Arial" w:eastAsia="Arial" w:hAnsi="Arial" w:cs="Arial"/>
          <w:bCs/>
          <w:iCs/>
          <w:sz w:val="24"/>
          <w:szCs w:val="24"/>
        </w:rPr>
        <w:t>) and</w:t>
      </w:r>
      <w:r w:rsidR="00E83EEC" w:rsidRPr="001272D0">
        <w:rPr>
          <w:rFonts w:ascii="Arial" w:eastAsia="Arial" w:hAnsi="Arial" w:cs="Arial"/>
          <w:bCs/>
          <w:iCs/>
          <w:sz w:val="24"/>
          <w:szCs w:val="24"/>
        </w:rPr>
        <w:t xml:space="preserve"> </w:t>
      </w:r>
      <w:r w:rsidR="007D6A51" w:rsidRPr="001272D0">
        <w:rPr>
          <w:rFonts w:ascii="Arial" w:eastAsia="Arial" w:hAnsi="Arial" w:cs="Arial"/>
          <w:bCs/>
          <w:iCs/>
          <w:sz w:val="24"/>
          <w:szCs w:val="24"/>
        </w:rPr>
        <w:t xml:space="preserve">half of undergraduate </w:t>
      </w:r>
      <w:r w:rsidR="00C47EAC" w:rsidRPr="001272D0">
        <w:rPr>
          <w:rFonts w:ascii="Arial" w:eastAsia="Arial" w:hAnsi="Arial" w:cs="Arial"/>
          <w:bCs/>
          <w:iCs/>
          <w:sz w:val="24"/>
          <w:szCs w:val="24"/>
        </w:rPr>
        <w:t xml:space="preserve">(50%, </w:t>
      </w:r>
      <w:r w:rsidR="00C47EAC" w:rsidRPr="001272D0">
        <w:rPr>
          <w:rFonts w:ascii="Arial" w:eastAsia="Arial" w:hAnsi="Arial" w:cs="Arial"/>
          <w:bCs/>
          <w:i/>
          <w:sz w:val="24"/>
          <w:szCs w:val="24"/>
        </w:rPr>
        <w:t>n=</w:t>
      </w:r>
      <w:r w:rsidR="00C47EAC" w:rsidRPr="001272D0">
        <w:rPr>
          <w:rFonts w:ascii="Arial" w:eastAsia="Arial" w:hAnsi="Arial" w:cs="Arial"/>
          <w:bCs/>
          <w:iCs/>
          <w:sz w:val="24"/>
          <w:szCs w:val="24"/>
        </w:rPr>
        <w:t>23)</w:t>
      </w:r>
      <w:r w:rsidR="0070159E" w:rsidRPr="001272D0">
        <w:rPr>
          <w:rFonts w:ascii="Arial" w:eastAsia="Arial" w:hAnsi="Arial" w:cs="Arial"/>
          <w:bCs/>
          <w:iCs/>
          <w:sz w:val="24"/>
          <w:szCs w:val="24"/>
        </w:rPr>
        <w:t xml:space="preserve"> programmes</w:t>
      </w:r>
      <w:r w:rsidR="00C47EAC" w:rsidRPr="001272D0">
        <w:rPr>
          <w:rFonts w:ascii="Arial" w:eastAsia="Arial" w:hAnsi="Arial" w:cs="Arial"/>
          <w:bCs/>
          <w:iCs/>
          <w:sz w:val="24"/>
          <w:szCs w:val="24"/>
        </w:rPr>
        <w:t xml:space="preserve">. </w:t>
      </w:r>
      <w:r w:rsidRPr="001272D0">
        <w:rPr>
          <w:rFonts w:ascii="Arial" w:eastAsia="Arial" w:hAnsi="Arial" w:cs="Arial"/>
          <w:bCs/>
          <w:iCs/>
          <w:sz w:val="24"/>
          <w:szCs w:val="24"/>
        </w:rPr>
        <w:t>When stipulated, t</w:t>
      </w:r>
      <w:r w:rsidR="002055C7" w:rsidRPr="001272D0">
        <w:rPr>
          <w:rFonts w:ascii="Arial" w:eastAsia="Arial" w:hAnsi="Arial" w:cs="Arial"/>
          <w:bCs/>
          <w:iCs/>
          <w:sz w:val="24"/>
          <w:szCs w:val="24"/>
        </w:rPr>
        <w:t>h</w:t>
      </w:r>
      <w:r w:rsidR="00B34BEF" w:rsidRPr="001272D0">
        <w:rPr>
          <w:rFonts w:ascii="Arial" w:eastAsia="Arial" w:hAnsi="Arial" w:cs="Arial"/>
          <w:bCs/>
          <w:iCs/>
          <w:sz w:val="24"/>
          <w:szCs w:val="24"/>
        </w:rPr>
        <w:t xml:space="preserve">e minimum </w:t>
      </w:r>
      <w:r w:rsidR="002055C7" w:rsidRPr="001272D0">
        <w:rPr>
          <w:rFonts w:ascii="Arial" w:eastAsia="Arial" w:hAnsi="Arial" w:cs="Arial"/>
          <w:bCs/>
          <w:iCs/>
          <w:sz w:val="24"/>
          <w:szCs w:val="24"/>
        </w:rPr>
        <w:t>number</w:t>
      </w:r>
      <w:r w:rsidR="00E806D6" w:rsidRPr="001272D0">
        <w:rPr>
          <w:rFonts w:ascii="Arial" w:eastAsia="Arial" w:hAnsi="Arial" w:cs="Arial"/>
          <w:bCs/>
          <w:iCs/>
          <w:sz w:val="24"/>
          <w:szCs w:val="24"/>
        </w:rPr>
        <w:t xml:space="preserve"> </w:t>
      </w:r>
      <w:r w:rsidR="002055C7" w:rsidRPr="001272D0">
        <w:rPr>
          <w:rFonts w:ascii="Arial" w:eastAsia="Arial" w:hAnsi="Arial" w:cs="Arial"/>
          <w:bCs/>
          <w:iCs/>
          <w:sz w:val="24"/>
          <w:szCs w:val="24"/>
        </w:rPr>
        <w:t>of GCSEs</w:t>
      </w:r>
      <w:r w:rsidR="00C7776A" w:rsidRPr="001272D0">
        <w:rPr>
          <w:rFonts w:ascii="Arial" w:eastAsia="Arial" w:hAnsi="Arial" w:cs="Arial"/>
          <w:bCs/>
          <w:iCs/>
          <w:sz w:val="24"/>
          <w:szCs w:val="24"/>
        </w:rPr>
        <w:t xml:space="preserve"> required</w:t>
      </w:r>
      <w:r w:rsidR="002F78AA" w:rsidRPr="001272D0">
        <w:rPr>
          <w:rFonts w:ascii="Arial" w:eastAsia="Arial" w:hAnsi="Arial" w:cs="Arial"/>
          <w:bCs/>
          <w:iCs/>
          <w:sz w:val="24"/>
          <w:szCs w:val="24"/>
        </w:rPr>
        <w:t xml:space="preserve"> </w:t>
      </w:r>
      <w:r w:rsidR="00B34BEF" w:rsidRPr="001272D0">
        <w:rPr>
          <w:rFonts w:ascii="Arial" w:eastAsia="Arial" w:hAnsi="Arial" w:cs="Arial"/>
          <w:bCs/>
          <w:iCs/>
          <w:sz w:val="24"/>
          <w:szCs w:val="24"/>
        </w:rPr>
        <w:t>ranges from three to five</w:t>
      </w:r>
      <w:r w:rsidR="00E64A1E" w:rsidRPr="001272D0">
        <w:rPr>
          <w:rFonts w:ascii="Arial" w:eastAsia="Arial" w:hAnsi="Arial" w:cs="Arial"/>
          <w:bCs/>
          <w:iCs/>
          <w:sz w:val="24"/>
          <w:szCs w:val="24"/>
        </w:rPr>
        <w:t xml:space="preserve"> subject</w:t>
      </w:r>
      <w:r w:rsidR="00ED5689" w:rsidRPr="001272D0">
        <w:rPr>
          <w:rFonts w:ascii="Arial" w:eastAsia="Arial" w:hAnsi="Arial" w:cs="Arial"/>
          <w:bCs/>
          <w:iCs/>
          <w:sz w:val="24"/>
          <w:szCs w:val="24"/>
        </w:rPr>
        <w:t>s, with</w:t>
      </w:r>
      <w:r w:rsidR="00AC5C14" w:rsidRPr="001272D0">
        <w:rPr>
          <w:rFonts w:ascii="Arial" w:eastAsia="Arial" w:hAnsi="Arial" w:cs="Arial"/>
          <w:bCs/>
          <w:iCs/>
          <w:sz w:val="24"/>
          <w:szCs w:val="24"/>
        </w:rPr>
        <w:t xml:space="preserve"> </w:t>
      </w:r>
      <w:r w:rsidR="00ED5689" w:rsidRPr="001272D0">
        <w:rPr>
          <w:rFonts w:ascii="Arial" w:eastAsia="Arial" w:hAnsi="Arial" w:cs="Arial"/>
          <w:bCs/>
          <w:iCs/>
          <w:sz w:val="24"/>
          <w:szCs w:val="24"/>
        </w:rPr>
        <w:t>a</w:t>
      </w:r>
      <w:r w:rsidR="00233F99" w:rsidRPr="001272D0">
        <w:rPr>
          <w:rFonts w:ascii="Arial" w:eastAsia="Arial" w:hAnsi="Arial" w:cs="Arial"/>
          <w:bCs/>
          <w:iCs/>
          <w:sz w:val="24"/>
          <w:szCs w:val="24"/>
        </w:rPr>
        <w:t>lmost one-third</w:t>
      </w:r>
      <w:r w:rsidR="00B34BEF" w:rsidRPr="001272D0">
        <w:rPr>
          <w:rFonts w:ascii="Arial" w:eastAsia="Arial" w:hAnsi="Arial" w:cs="Arial"/>
          <w:bCs/>
          <w:iCs/>
          <w:sz w:val="24"/>
          <w:szCs w:val="24"/>
        </w:rPr>
        <w:t xml:space="preserve"> </w:t>
      </w:r>
      <w:r w:rsidR="00E806D6" w:rsidRPr="001272D0">
        <w:rPr>
          <w:rFonts w:ascii="Arial" w:eastAsia="Arial" w:hAnsi="Arial" w:cs="Arial"/>
          <w:bCs/>
          <w:iCs/>
          <w:sz w:val="24"/>
          <w:szCs w:val="24"/>
        </w:rPr>
        <w:t>of all programmes</w:t>
      </w:r>
      <w:r w:rsidR="00B34BEF" w:rsidRPr="001272D0">
        <w:rPr>
          <w:rFonts w:ascii="Arial" w:eastAsia="Arial" w:hAnsi="Arial" w:cs="Arial"/>
          <w:bCs/>
          <w:iCs/>
          <w:sz w:val="24"/>
          <w:szCs w:val="24"/>
        </w:rPr>
        <w:t xml:space="preserve"> </w:t>
      </w:r>
      <w:r w:rsidR="00E64A1E" w:rsidRPr="001272D0">
        <w:rPr>
          <w:rFonts w:ascii="Arial" w:eastAsia="Arial" w:hAnsi="Arial" w:cs="Arial"/>
          <w:bCs/>
          <w:iCs/>
          <w:sz w:val="24"/>
          <w:szCs w:val="24"/>
        </w:rPr>
        <w:t>requir</w:t>
      </w:r>
      <w:r w:rsidR="00ED5689" w:rsidRPr="001272D0">
        <w:rPr>
          <w:rFonts w:ascii="Arial" w:eastAsia="Arial" w:hAnsi="Arial" w:cs="Arial"/>
          <w:bCs/>
          <w:iCs/>
          <w:sz w:val="24"/>
          <w:szCs w:val="24"/>
        </w:rPr>
        <w:t>ing</w:t>
      </w:r>
      <w:r w:rsidR="00E64A1E" w:rsidRPr="001272D0">
        <w:rPr>
          <w:rFonts w:ascii="Arial" w:eastAsia="Arial" w:hAnsi="Arial" w:cs="Arial"/>
          <w:bCs/>
          <w:iCs/>
          <w:sz w:val="24"/>
          <w:szCs w:val="24"/>
        </w:rPr>
        <w:t xml:space="preserve"> five</w:t>
      </w:r>
      <w:r w:rsidR="00202559" w:rsidRPr="001272D0">
        <w:rPr>
          <w:rFonts w:ascii="Arial" w:eastAsia="Arial" w:hAnsi="Arial" w:cs="Arial"/>
          <w:bCs/>
          <w:iCs/>
          <w:sz w:val="24"/>
          <w:szCs w:val="24"/>
        </w:rPr>
        <w:t xml:space="preserve"> subjects</w:t>
      </w:r>
      <w:r w:rsidR="00233F99" w:rsidRPr="001272D0">
        <w:rPr>
          <w:rFonts w:ascii="Arial" w:eastAsia="Arial" w:hAnsi="Arial" w:cs="Arial"/>
          <w:bCs/>
          <w:iCs/>
          <w:sz w:val="24"/>
          <w:szCs w:val="24"/>
        </w:rPr>
        <w:t xml:space="preserve"> (30%, </w:t>
      </w:r>
      <w:r w:rsidR="00233F99" w:rsidRPr="001272D0">
        <w:rPr>
          <w:rFonts w:ascii="Arial" w:eastAsia="Arial" w:hAnsi="Arial" w:cs="Arial"/>
          <w:bCs/>
          <w:i/>
          <w:sz w:val="24"/>
          <w:szCs w:val="24"/>
        </w:rPr>
        <w:t>n=</w:t>
      </w:r>
      <w:r w:rsidR="00233F99" w:rsidRPr="001272D0">
        <w:rPr>
          <w:rFonts w:ascii="Arial" w:eastAsia="Arial" w:hAnsi="Arial" w:cs="Arial"/>
          <w:bCs/>
          <w:iCs/>
          <w:sz w:val="24"/>
          <w:szCs w:val="24"/>
        </w:rPr>
        <w:t xml:space="preserve">22) </w:t>
      </w:r>
      <w:r w:rsidR="00E64A1E" w:rsidRPr="001272D0">
        <w:rPr>
          <w:rFonts w:ascii="Arial" w:eastAsia="Arial" w:hAnsi="Arial" w:cs="Arial"/>
          <w:bCs/>
          <w:iCs/>
          <w:sz w:val="24"/>
          <w:szCs w:val="24"/>
        </w:rPr>
        <w:t>and</w:t>
      </w:r>
      <w:r w:rsidR="00D21677" w:rsidRPr="001272D0">
        <w:rPr>
          <w:rFonts w:ascii="Arial" w:eastAsia="Arial" w:hAnsi="Arial" w:cs="Arial"/>
          <w:bCs/>
          <w:iCs/>
          <w:sz w:val="24"/>
          <w:szCs w:val="24"/>
        </w:rPr>
        <w:t xml:space="preserve"> over half not s</w:t>
      </w:r>
      <w:r w:rsidR="00305D9A" w:rsidRPr="001272D0">
        <w:rPr>
          <w:rFonts w:ascii="Arial" w:eastAsia="Arial" w:hAnsi="Arial" w:cs="Arial"/>
          <w:bCs/>
          <w:iCs/>
          <w:sz w:val="24"/>
          <w:szCs w:val="24"/>
        </w:rPr>
        <w:t>tat</w:t>
      </w:r>
      <w:r w:rsidR="00ED5689" w:rsidRPr="001272D0">
        <w:rPr>
          <w:rFonts w:ascii="Arial" w:eastAsia="Arial" w:hAnsi="Arial" w:cs="Arial"/>
          <w:bCs/>
          <w:iCs/>
          <w:sz w:val="24"/>
          <w:szCs w:val="24"/>
        </w:rPr>
        <w:t>ing</w:t>
      </w:r>
      <w:r w:rsidR="00D21677" w:rsidRPr="001272D0">
        <w:rPr>
          <w:rFonts w:ascii="Arial" w:eastAsia="Arial" w:hAnsi="Arial" w:cs="Arial"/>
          <w:bCs/>
          <w:iCs/>
          <w:sz w:val="24"/>
          <w:szCs w:val="24"/>
        </w:rPr>
        <w:t xml:space="preserve"> a minimum number (</w:t>
      </w:r>
      <w:r w:rsidR="004A3CA9" w:rsidRPr="001272D0">
        <w:rPr>
          <w:rFonts w:ascii="Arial" w:eastAsia="Arial" w:hAnsi="Arial" w:cs="Arial"/>
          <w:bCs/>
          <w:iCs/>
          <w:sz w:val="24"/>
          <w:szCs w:val="24"/>
        </w:rPr>
        <w:t>62%</w:t>
      </w:r>
      <w:r w:rsidR="00D21677" w:rsidRPr="001272D0">
        <w:rPr>
          <w:rFonts w:ascii="Arial" w:eastAsia="Arial" w:hAnsi="Arial" w:cs="Arial"/>
          <w:bCs/>
          <w:iCs/>
          <w:sz w:val="24"/>
          <w:szCs w:val="24"/>
        </w:rPr>
        <w:t xml:space="preserve">, </w:t>
      </w:r>
      <w:r w:rsidR="004A3CA9" w:rsidRPr="001272D0">
        <w:rPr>
          <w:rFonts w:ascii="Arial" w:eastAsia="Arial" w:hAnsi="Arial" w:cs="Arial"/>
          <w:bCs/>
          <w:i/>
          <w:sz w:val="24"/>
          <w:szCs w:val="24"/>
        </w:rPr>
        <w:t>n</w:t>
      </w:r>
      <w:r w:rsidR="004A3CA9" w:rsidRPr="001272D0">
        <w:rPr>
          <w:rFonts w:ascii="Arial" w:eastAsia="Arial" w:hAnsi="Arial" w:cs="Arial"/>
          <w:bCs/>
          <w:iCs/>
          <w:sz w:val="24"/>
          <w:szCs w:val="24"/>
        </w:rPr>
        <w:t>=45)</w:t>
      </w:r>
      <w:r w:rsidR="00E64A1E" w:rsidRPr="001272D0">
        <w:rPr>
          <w:rFonts w:ascii="Arial" w:eastAsia="Arial" w:hAnsi="Arial" w:cs="Arial"/>
          <w:bCs/>
          <w:iCs/>
          <w:sz w:val="24"/>
          <w:szCs w:val="24"/>
        </w:rPr>
        <w:t>.</w:t>
      </w:r>
      <w:r w:rsidR="001A6659" w:rsidRPr="001272D0">
        <w:rPr>
          <w:rFonts w:ascii="Arial" w:eastAsia="Arial" w:hAnsi="Arial" w:cs="Arial"/>
          <w:bCs/>
          <w:iCs/>
          <w:sz w:val="24"/>
          <w:szCs w:val="24"/>
        </w:rPr>
        <w:t xml:space="preserve"> </w:t>
      </w:r>
      <w:r w:rsidR="00533535" w:rsidRPr="001272D0">
        <w:rPr>
          <w:rFonts w:ascii="Arial" w:eastAsia="Arial" w:hAnsi="Arial" w:cs="Arial"/>
          <w:bCs/>
          <w:iCs/>
          <w:sz w:val="24"/>
          <w:szCs w:val="24"/>
        </w:rPr>
        <w:t xml:space="preserve">A popular </w:t>
      </w:r>
      <w:r w:rsidR="00B339CF" w:rsidRPr="001272D0">
        <w:rPr>
          <w:rFonts w:ascii="Arial" w:eastAsia="Arial" w:hAnsi="Arial" w:cs="Arial"/>
          <w:bCs/>
          <w:iCs/>
          <w:sz w:val="24"/>
          <w:szCs w:val="24"/>
        </w:rPr>
        <w:t xml:space="preserve">GCSE grade </w:t>
      </w:r>
      <w:r w:rsidR="00533535" w:rsidRPr="001272D0">
        <w:rPr>
          <w:rFonts w:ascii="Arial" w:eastAsia="Arial" w:hAnsi="Arial" w:cs="Arial"/>
          <w:bCs/>
          <w:iCs/>
          <w:sz w:val="24"/>
          <w:szCs w:val="24"/>
        </w:rPr>
        <w:t>requirement</w:t>
      </w:r>
      <w:r w:rsidR="00B339CF" w:rsidRPr="001272D0">
        <w:rPr>
          <w:rFonts w:ascii="Arial" w:eastAsia="Arial" w:hAnsi="Arial" w:cs="Arial"/>
          <w:bCs/>
          <w:iCs/>
          <w:sz w:val="24"/>
          <w:szCs w:val="24"/>
        </w:rPr>
        <w:t xml:space="preserve"> </w:t>
      </w:r>
      <w:r w:rsidR="00533535" w:rsidRPr="001272D0">
        <w:rPr>
          <w:rFonts w:ascii="Arial" w:eastAsia="Arial" w:hAnsi="Arial" w:cs="Arial"/>
          <w:bCs/>
          <w:iCs/>
          <w:sz w:val="24"/>
          <w:szCs w:val="24"/>
        </w:rPr>
        <w:t xml:space="preserve">is </w:t>
      </w:r>
      <w:r w:rsidR="00EB6625" w:rsidRPr="001272D0">
        <w:rPr>
          <w:rFonts w:ascii="Arial" w:hAnsi="Arial" w:cs="Arial"/>
          <w:sz w:val="24"/>
          <w:szCs w:val="24"/>
        </w:rPr>
        <w:t>g</w:t>
      </w:r>
      <w:r w:rsidR="00AE63A1" w:rsidRPr="001272D0">
        <w:rPr>
          <w:rFonts w:ascii="Arial" w:hAnsi="Arial" w:cs="Arial"/>
          <w:sz w:val="24"/>
          <w:szCs w:val="24"/>
        </w:rPr>
        <w:t>rade 4</w:t>
      </w:r>
      <w:r w:rsidR="00046F8E" w:rsidRPr="001272D0">
        <w:rPr>
          <w:rFonts w:ascii="Arial" w:hAnsi="Arial" w:cs="Arial"/>
          <w:sz w:val="24"/>
          <w:szCs w:val="24"/>
        </w:rPr>
        <w:t>/</w:t>
      </w:r>
      <w:r w:rsidR="00AE63A1" w:rsidRPr="001272D0">
        <w:rPr>
          <w:rFonts w:ascii="Arial" w:hAnsi="Arial" w:cs="Arial"/>
          <w:sz w:val="24"/>
          <w:szCs w:val="24"/>
        </w:rPr>
        <w:t xml:space="preserve">C as a standard pass </w:t>
      </w:r>
      <w:r w:rsidR="00EB2971" w:rsidRPr="001272D0">
        <w:rPr>
          <w:rFonts w:ascii="Arial" w:hAnsi="Arial" w:cs="Arial"/>
          <w:sz w:val="24"/>
          <w:szCs w:val="24"/>
        </w:rPr>
        <w:t xml:space="preserve">(71%, </w:t>
      </w:r>
      <w:r w:rsidR="00EB2971" w:rsidRPr="001272D0">
        <w:rPr>
          <w:rFonts w:ascii="Arial" w:hAnsi="Arial" w:cs="Arial"/>
          <w:i/>
          <w:iCs/>
          <w:sz w:val="24"/>
          <w:szCs w:val="24"/>
        </w:rPr>
        <w:t>n=</w:t>
      </w:r>
      <w:r w:rsidR="00EB2971" w:rsidRPr="001272D0">
        <w:rPr>
          <w:rFonts w:ascii="Arial" w:hAnsi="Arial" w:cs="Arial"/>
          <w:sz w:val="24"/>
          <w:szCs w:val="24"/>
        </w:rPr>
        <w:t>52)</w:t>
      </w:r>
      <w:r w:rsidR="009C1141" w:rsidRPr="001272D0">
        <w:rPr>
          <w:rFonts w:ascii="Arial" w:hAnsi="Arial" w:cs="Arial"/>
          <w:sz w:val="24"/>
          <w:szCs w:val="24"/>
        </w:rPr>
        <w:t>, with</w:t>
      </w:r>
      <w:r w:rsidR="00A37523" w:rsidRPr="001272D0">
        <w:rPr>
          <w:rFonts w:ascii="Arial" w:hAnsi="Arial" w:cs="Arial"/>
          <w:sz w:val="24"/>
          <w:szCs w:val="24"/>
        </w:rPr>
        <w:t xml:space="preserve"> </w:t>
      </w:r>
      <w:r w:rsidR="00F0712E" w:rsidRPr="001272D0">
        <w:rPr>
          <w:rFonts w:ascii="Arial" w:hAnsi="Arial" w:cs="Arial"/>
          <w:sz w:val="24"/>
          <w:szCs w:val="24"/>
        </w:rPr>
        <w:t xml:space="preserve">the remainder of programmes </w:t>
      </w:r>
      <w:r w:rsidR="00CE5650" w:rsidRPr="001272D0">
        <w:rPr>
          <w:rFonts w:ascii="Arial" w:hAnsi="Arial" w:cs="Arial"/>
          <w:sz w:val="24"/>
          <w:szCs w:val="24"/>
        </w:rPr>
        <w:t xml:space="preserve">either </w:t>
      </w:r>
      <w:r w:rsidR="009C1141" w:rsidRPr="001272D0">
        <w:rPr>
          <w:rFonts w:ascii="Arial" w:hAnsi="Arial" w:cs="Arial"/>
          <w:sz w:val="24"/>
          <w:szCs w:val="24"/>
        </w:rPr>
        <w:t>not</w:t>
      </w:r>
      <w:r w:rsidR="00AE63A1" w:rsidRPr="001272D0">
        <w:rPr>
          <w:rFonts w:ascii="Arial" w:hAnsi="Arial" w:cs="Arial"/>
          <w:sz w:val="24"/>
          <w:szCs w:val="24"/>
        </w:rPr>
        <w:t xml:space="preserve"> explicitly stat</w:t>
      </w:r>
      <w:r w:rsidR="009C1141" w:rsidRPr="001272D0">
        <w:rPr>
          <w:rFonts w:ascii="Arial" w:hAnsi="Arial" w:cs="Arial"/>
          <w:sz w:val="24"/>
          <w:szCs w:val="24"/>
        </w:rPr>
        <w:t>ing</w:t>
      </w:r>
      <w:r w:rsidR="00AE63A1" w:rsidRPr="001272D0">
        <w:rPr>
          <w:rFonts w:ascii="Arial" w:hAnsi="Arial" w:cs="Arial"/>
          <w:sz w:val="24"/>
          <w:szCs w:val="24"/>
        </w:rPr>
        <w:t xml:space="preserve"> a </w:t>
      </w:r>
      <w:r w:rsidR="009C1141" w:rsidRPr="001272D0">
        <w:rPr>
          <w:rFonts w:ascii="Arial" w:hAnsi="Arial" w:cs="Arial"/>
          <w:sz w:val="24"/>
          <w:szCs w:val="24"/>
        </w:rPr>
        <w:t xml:space="preserve">minimum grade </w:t>
      </w:r>
      <w:r w:rsidR="00F0712E" w:rsidRPr="001272D0">
        <w:rPr>
          <w:rFonts w:ascii="Arial" w:hAnsi="Arial" w:cs="Arial"/>
          <w:sz w:val="24"/>
          <w:szCs w:val="24"/>
        </w:rPr>
        <w:t xml:space="preserve">(25%, </w:t>
      </w:r>
      <w:r w:rsidR="00F0712E" w:rsidRPr="001272D0">
        <w:rPr>
          <w:rFonts w:ascii="Arial" w:hAnsi="Arial" w:cs="Arial"/>
          <w:i/>
          <w:iCs/>
          <w:sz w:val="24"/>
          <w:szCs w:val="24"/>
        </w:rPr>
        <w:t>n=</w:t>
      </w:r>
      <w:r w:rsidR="00F0712E" w:rsidRPr="001272D0">
        <w:rPr>
          <w:rFonts w:ascii="Arial" w:hAnsi="Arial" w:cs="Arial"/>
          <w:sz w:val="24"/>
          <w:szCs w:val="24"/>
        </w:rPr>
        <w:t>18)</w:t>
      </w:r>
      <w:r w:rsidR="00E551FB" w:rsidRPr="001272D0">
        <w:rPr>
          <w:rFonts w:ascii="Arial" w:hAnsi="Arial" w:cs="Arial"/>
          <w:sz w:val="24"/>
          <w:szCs w:val="24"/>
        </w:rPr>
        <w:t xml:space="preserve"> or requiring a </w:t>
      </w:r>
      <w:r w:rsidR="00E551FB" w:rsidRPr="001272D0">
        <w:rPr>
          <w:rFonts w:ascii="Arial" w:eastAsia="Arial" w:hAnsi="Arial" w:cs="Arial"/>
          <w:bCs/>
          <w:iCs/>
          <w:sz w:val="24"/>
          <w:szCs w:val="24"/>
        </w:rPr>
        <w:t xml:space="preserve">grade 5 </w:t>
      </w:r>
      <w:r w:rsidR="00046F8E" w:rsidRPr="001272D0">
        <w:rPr>
          <w:rFonts w:ascii="Arial" w:eastAsia="Arial" w:hAnsi="Arial" w:cs="Arial"/>
          <w:bCs/>
          <w:iCs/>
          <w:sz w:val="24"/>
          <w:szCs w:val="24"/>
        </w:rPr>
        <w:t>/</w:t>
      </w:r>
      <w:r w:rsidR="00E551FB" w:rsidRPr="001272D0">
        <w:rPr>
          <w:rFonts w:ascii="Arial" w:eastAsia="Arial" w:hAnsi="Arial" w:cs="Arial"/>
          <w:bCs/>
          <w:iCs/>
          <w:sz w:val="24"/>
          <w:szCs w:val="24"/>
        </w:rPr>
        <w:t>B and above in English Language, Maths and Science</w:t>
      </w:r>
      <w:r w:rsidR="00471AF6" w:rsidRPr="001272D0">
        <w:rPr>
          <w:rFonts w:ascii="Arial" w:eastAsia="Arial" w:hAnsi="Arial" w:cs="Arial"/>
          <w:bCs/>
          <w:iCs/>
          <w:sz w:val="24"/>
          <w:szCs w:val="24"/>
        </w:rPr>
        <w:t xml:space="preserve"> (4%, </w:t>
      </w:r>
      <w:r w:rsidR="00471AF6" w:rsidRPr="001272D0">
        <w:rPr>
          <w:rFonts w:ascii="Arial" w:eastAsia="Arial" w:hAnsi="Arial" w:cs="Arial"/>
          <w:bCs/>
          <w:i/>
          <w:sz w:val="24"/>
          <w:szCs w:val="24"/>
        </w:rPr>
        <w:t>n</w:t>
      </w:r>
      <w:r w:rsidR="00082B11" w:rsidRPr="001272D0">
        <w:rPr>
          <w:rFonts w:ascii="Arial" w:eastAsia="Arial" w:hAnsi="Arial" w:cs="Arial"/>
          <w:bCs/>
          <w:iCs/>
          <w:sz w:val="24"/>
          <w:szCs w:val="24"/>
        </w:rPr>
        <w:t>=3)</w:t>
      </w:r>
      <w:r w:rsidR="000D3F4A" w:rsidRPr="001272D0">
        <w:rPr>
          <w:rFonts w:ascii="Arial" w:hAnsi="Arial" w:cs="Arial"/>
          <w:sz w:val="24"/>
          <w:szCs w:val="24"/>
        </w:rPr>
        <w:t xml:space="preserve">. </w:t>
      </w:r>
      <w:r w:rsidR="00820FFC" w:rsidRPr="001272D0">
        <w:rPr>
          <w:rFonts w:ascii="Arial" w:hAnsi="Arial" w:cs="Arial"/>
          <w:sz w:val="24"/>
          <w:szCs w:val="24"/>
        </w:rPr>
        <w:t xml:space="preserve">Specifically focusing </w:t>
      </w:r>
      <w:r w:rsidR="00A9146D" w:rsidRPr="001272D0">
        <w:rPr>
          <w:rFonts w:ascii="Arial" w:hAnsi="Arial" w:cs="Arial"/>
          <w:sz w:val="24"/>
          <w:szCs w:val="24"/>
        </w:rPr>
        <w:t xml:space="preserve">on </w:t>
      </w:r>
      <w:r w:rsidR="00820FFC" w:rsidRPr="001272D0">
        <w:rPr>
          <w:rFonts w:ascii="Arial" w:hAnsi="Arial" w:cs="Arial"/>
          <w:sz w:val="24"/>
          <w:szCs w:val="24"/>
        </w:rPr>
        <w:t>undergraduate programmes</w:t>
      </w:r>
      <w:r w:rsidR="002F4BEC" w:rsidRPr="001272D0">
        <w:rPr>
          <w:rFonts w:ascii="Arial" w:hAnsi="Arial" w:cs="Arial"/>
          <w:sz w:val="24"/>
          <w:szCs w:val="24"/>
        </w:rPr>
        <w:t>,</w:t>
      </w:r>
      <w:r w:rsidR="00820FFC" w:rsidRPr="001272D0">
        <w:rPr>
          <w:rFonts w:ascii="Arial" w:hAnsi="Arial" w:cs="Arial"/>
          <w:sz w:val="24"/>
          <w:szCs w:val="24"/>
        </w:rPr>
        <w:t xml:space="preserve"> </w:t>
      </w:r>
      <w:r w:rsidR="00404A1B" w:rsidRPr="001272D0">
        <w:rPr>
          <w:rFonts w:ascii="Arial" w:hAnsi="Arial" w:cs="Arial"/>
          <w:sz w:val="24"/>
          <w:szCs w:val="24"/>
        </w:rPr>
        <w:t xml:space="preserve">Grade 4/C </w:t>
      </w:r>
      <w:r w:rsidR="005B6C8D" w:rsidRPr="001272D0">
        <w:rPr>
          <w:rFonts w:ascii="Arial" w:hAnsi="Arial" w:cs="Arial"/>
          <w:sz w:val="24"/>
          <w:szCs w:val="24"/>
        </w:rPr>
        <w:t>is a popular requirement</w:t>
      </w:r>
      <w:r w:rsidR="00404A1B" w:rsidRPr="001272D0">
        <w:rPr>
          <w:rFonts w:ascii="Arial" w:hAnsi="Arial" w:cs="Arial"/>
          <w:sz w:val="24"/>
          <w:szCs w:val="24"/>
        </w:rPr>
        <w:t xml:space="preserve"> for</w:t>
      </w:r>
      <w:r w:rsidR="00F40B40" w:rsidRPr="001272D0">
        <w:rPr>
          <w:rFonts w:ascii="Arial" w:hAnsi="Arial" w:cs="Arial"/>
          <w:sz w:val="24"/>
          <w:szCs w:val="24"/>
        </w:rPr>
        <w:t xml:space="preserve"> English (96% </w:t>
      </w:r>
      <w:r w:rsidR="00F40B40" w:rsidRPr="001272D0">
        <w:rPr>
          <w:rFonts w:ascii="Arial" w:hAnsi="Arial" w:cs="Arial"/>
          <w:i/>
          <w:iCs/>
          <w:sz w:val="24"/>
          <w:szCs w:val="24"/>
        </w:rPr>
        <w:t>n</w:t>
      </w:r>
      <w:r w:rsidR="00F40B40" w:rsidRPr="001272D0">
        <w:rPr>
          <w:rFonts w:ascii="Arial" w:hAnsi="Arial" w:cs="Arial"/>
          <w:sz w:val="24"/>
          <w:szCs w:val="24"/>
        </w:rPr>
        <w:t xml:space="preserve">=44), </w:t>
      </w:r>
      <w:r w:rsidR="00820FFC" w:rsidRPr="001272D0">
        <w:rPr>
          <w:rFonts w:ascii="Arial" w:hAnsi="Arial" w:cs="Arial"/>
          <w:sz w:val="24"/>
          <w:szCs w:val="24"/>
        </w:rPr>
        <w:t>Maths</w:t>
      </w:r>
      <w:r w:rsidR="00520918" w:rsidRPr="001272D0">
        <w:rPr>
          <w:rFonts w:ascii="Arial" w:hAnsi="Arial" w:cs="Arial"/>
          <w:sz w:val="24"/>
          <w:szCs w:val="24"/>
        </w:rPr>
        <w:t xml:space="preserve"> (91% (</w:t>
      </w:r>
      <w:r w:rsidR="00520918" w:rsidRPr="001272D0">
        <w:rPr>
          <w:rFonts w:ascii="Arial" w:hAnsi="Arial" w:cs="Arial"/>
          <w:i/>
          <w:iCs/>
          <w:sz w:val="24"/>
          <w:szCs w:val="24"/>
        </w:rPr>
        <w:t>n=</w:t>
      </w:r>
      <w:r w:rsidR="00520918" w:rsidRPr="001272D0">
        <w:rPr>
          <w:rFonts w:ascii="Arial" w:hAnsi="Arial" w:cs="Arial"/>
          <w:sz w:val="24"/>
          <w:szCs w:val="24"/>
        </w:rPr>
        <w:t>42)</w:t>
      </w:r>
      <w:r w:rsidR="00820FFC" w:rsidRPr="001272D0">
        <w:rPr>
          <w:rFonts w:ascii="Arial" w:hAnsi="Arial" w:cs="Arial"/>
          <w:sz w:val="24"/>
          <w:szCs w:val="24"/>
        </w:rPr>
        <w:t xml:space="preserve"> and</w:t>
      </w:r>
      <w:r w:rsidR="002F4BEC" w:rsidRPr="001272D0">
        <w:rPr>
          <w:rFonts w:ascii="Arial" w:hAnsi="Arial" w:cs="Arial"/>
          <w:sz w:val="24"/>
          <w:szCs w:val="24"/>
        </w:rPr>
        <w:t xml:space="preserve"> </w:t>
      </w:r>
      <w:r w:rsidR="00820FFC" w:rsidRPr="001272D0">
        <w:rPr>
          <w:rFonts w:ascii="Arial" w:hAnsi="Arial" w:cs="Arial"/>
          <w:sz w:val="24"/>
          <w:szCs w:val="24"/>
        </w:rPr>
        <w:t xml:space="preserve">Science </w:t>
      </w:r>
      <w:r w:rsidR="00256DEF" w:rsidRPr="001272D0">
        <w:rPr>
          <w:rFonts w:ascii="Arial" w:hAnsi="Arial" w:cs="Arial"/>
          <w:sz w:val="24"/>
          <w:szCs w:val="24"/>
        </w:rPr>
        <w:t xml:space="preserve">(46%, </w:t>
      </w:r>
      <w:r w:rsidR="00256DEF" w:rsidRPr="001272D0">
        <w:rPr>
          <w:rFonts w:ascii="Arial" w:hAnsi="Arial" w:cs="Arial"/>
          <w:i/>
          <w:iCs/>
          <w:sz w:val="24"/>
          <w:szCs w:val="24"/>
        </w:rPr>
        <w:t>n=</w:t>
      </w:r>
      <w:r w:rsidR="00256DEF" w:rsidRPr="001272D0">
        <w:rPr>
          <w:rFonts w:ascii="Arial" w:hAnsi="Arial" w:cs="Arial"/>
          <w:sz w:val="24"/>
          <w:szCs w:val="24"/>
        </w:rPr>
        <w:t>21)</w:t>
      </w:r>
      <w:r w:rsidR="00820FFC" w:rsidRPr="001272D0">
        <w:rPr>
          <w:rFonts w:ascii="Arial" w:hAnsi="Arial" w:cs="Arial"/>
          <w:sz w:val="24"/>
          <w:szCs w:val="24"/>
        </w:rPr>
        <w:t xml:space="preserve">. </w:t>
      </w:r>
      <w:r w:rsidR="002C2D9A" w:rsidRPr="001272D0">
        <w:rPr>
          <w:rFonts w:ascii="Arial" w:hAnsi="Arial" w:cs="Arial"/>
          <w:sz w:val="24"/>
          <w:szCs w:val="24"/>
        </w:rPr>
        <w:t>If a candidate does not have G</w:t>
      </w:r>
      <w:r w:rsidR="00884254" w:rsidRPr="001272D0">
        <w:rPr>
          <w:rFonts w:ascii="Arial" w:hAnsi="Arial" w:cs="Arial"/>
          <w:sz w:val="24"/>
          <w:szCs w:val="24"/>
        </w:rPr>
        <w:t>CSE</w:t>
      </w:r>
      <w:r w:rsidR="002C2D9A" w:rsidRPr="001272D0">
        <w:rPr>
          <w:rFonts w:ascii="Arial" w:hAnsi="Arial" w:cs="Arial"/>
          <w:sz w:val="24"/>
          <w:szCs w:val="24"/>
        </w:rPr>
        <w:t xml:space="preserve"> qualifications in Maths and/or English, some </w:t>
      </w:r>
      <w:r w:rsidR="004540EE" w:rsidRPr="001272D0">
        <w:rPr>
          <w:rFonts w:ascii="Arial" w:hAnsi="Arial" w:cs="Arial"/>
          <w:sz w:val="24"/>
          <w:szCs w:val="24"/>
        </w:rPr>
        <w:t>u</w:t>
      </w:r>
      <w:r w:rsidR="00B54C6A" w:rsidRPr="001272D0">
        <w:rPr>
          <w:rFonts w:ascii="Arial" w:hAnsi="Arial" w:cs="Arial"/>
          <w:sz w:val="24"/>
          <w:szCs w:val="24"/>
        </w:rPr>
        <w:t>niversities</w:t>
      </w:r>
      <w:r w:rsidR="002C2D9A" w:rsidRPr="001272D0">
        <w:rPr>
          <w:rFonts w:ascii="Arial" w:hAnsi="Arial" w:cs="Arial"/>
          <w:sz w:val="24"/>
          <w:szCs w:val="24"/>
        </w:rPr>
        <w:t xml:space="preserve"> permit </w:t>
      </w:r>
      <w:r w:rsidR="00223D31" w:rsidRPr="001272D0">
        <w:rPr>
          <w:rFonts w:ascii="Arial" w:hAnsi="Arial" w:cs="Arial"/>
          <w:sz w:val="24"/>
          <w:szCs w:val="24"/>
        </w:rPr>
        <w:t xml:space="preserve">‘Functional Skills’ as an alternative, </w:t>
      </w:r>
      <w:r w:rsidR="002C2D9A" w:rsidRPr="001272D0">
        <w:rPr>
          <w:rFonts w:ascii="Arial" w:hAnsi="Arial" w:cs="Arial"/>
          <w:sz w:val="24"/>
          <w:szCs w:val="24"/>
        </w:rPr>
        <w:t>designed as a qualification for “</w:t>
      </w:r>
      <w:r w:rsidR="002C2D9A" w:rsidRPr="001272D0">
        <w:rPr>
          <w:rFonts w:ascii="Arial" w:hAnsi="Arial" w:cs="Arial"/>
          <w:i/>
          <w:iCs/>
          <w:sz w:val="24"/>
          <w:szCs w:val="24"/>
        </w:rPr>
        <w:t>work, study and life</w:t>
      </w:r>
      <w:r w:rsidR="002C2D9A" w:rsidRPr="001272D0">
        <w:rPr>
          <w:rFonts w:ascii="Arial" w:hAnsi="Arial" w:cs="Arial"/>
          <w:sz w:val="24"/>
          <w:szCs w:val="24"/>
        </w:rPr>
        <w:t xml:space="preserve">” </w:t>
      </w:r>
      <w:r w:rsidR="002C2D9A" w:rsidRPr="001272D0">
        <w:rPr>
          <w:rFonts w:ascii="Arial" w:hAnsi="Arial" w:cs="Arial"/>
          <w:sz w:val="24"/>
          <w:szCs w:val="24"/>
        </w:rPr>
        <w:fldChar w:fldCharType="begin" w:fldLock="1"/>
      </w:r>
      <w:r w:rsidR="00B14149" w:rsidRPr="001272D0">
        <w:rPr>
          <w:rFonts w:ascii="Arial" w:hAnsi="Arial" w:cs="Arial"/>
          <w:sz w:val="24"/>
          <w:szCs w:val="24"/>
        </w:rPr>
        <w:instrText>ADDIN CSL_CITATION {"citationItems":[{"id":"ITEM-1","itemData":{"author":[{"dropping-particle":"","family":"Department for Education","given":"","non-dropping-particle":"","parse-names":false,"suffix":""}],"id":"ITEM-1","issue":"February","issued":{"date-parts":[["2018"]]},"page":"1-21","title":"Subject content functional skills: Maths","type":"article-journal"},"uris":["http://www.mendeley.com/documents/?uuid=2448d3b7-0df0-4f66-b7b0-30ed7303170a"]}],"mendeley":{"formattedCitation":"(Department for Education, 2018)","manualFormatting":"(Department for Education, 2018, p. 4)","plainTextFormattedCitation":"(Department for Education, 2018)","previouslyFormattedCitation":"(Department for Education, 2018)"},"properties":{"noteIndex":0},"schema":"https://github.com/citation-style-language/schema/raw/master/csl-citation.json"}</w:instrText>
      </w:r>
      <w:r w:rsidR="002C2D9A" w:rsidRPr="001272D0">
        <w:rPr>
          <w:rFonts w:ascii="Arial" w:hAnsi="Arial" w:cs="Arial"/>
          <w:sz w:val="24"/>
          <w:szCs w:val="24"/>
        </w:rPr>
        <w:fldChar w:fldCharType="separate"/>
      </w:r>
      <w:r w:rsidR="002C2D9A" w:rsidRPr="001272D0">
        <w:rPr>
          <w:rFonts w:ascii="Arial" w:hAnsi="Arial" w:cs="Arial"/>
          <w:noProof/>
          <w:sz w:val="24"/>
          <w:szCs w:val="24"/>
        </w:rPr>
        <w:t>(Department for Education, 2018, p. 4)</w:t>
      </w:r>
      <w:r w:rsidR="002C2D9A" w:rsidRPr="001272D0">
        <w:rPr>
          <w:rFonts w:ascii="Arial" w:hAnsi="Arial" w:cs="Arial"/>
          <w:sz w:val="24"/>
          <w:szCs w:val="24"/>
        </w:rPr>
        <w:fldChar w:fldCharType="end"/>
      </w:r>
      <w:r w:rsidR="002C2D9A" w:rsidRPr="001272D0">
        <w:rPr>
          <w:rFonts w:ascii="Arial" w:hAnsi="Arial" w:cs="Arial"/>
          <w:sz w:val="24"/>
          <w:szCs w:val="24"/>
        </w:rPr>
        <w:t xml:space="preserve">. </w:t>
      </w:r>
      <w:r w:rsidR="008A26FA" w:rsidRPr="001272D0">
        <w:rPr>
          <w:rFonts w:ascii="Arial" w:hAnsi="Arial" w:cs="Arial"/>
          <w:sz w:val="24"/>
          <w:szCs w:val="24"/>
        </w:rPr>
        <w:t>Over half of all programmes do not explicitly state their position in relation to Functional Skills (67%, n=49)</w:t>
      </w:r>
      <w:r w:rsidR="00B127FD" w:rsidRPr="001272D0">
        <w:rPr>
          <w:rFonts w:ascii="Arial" w:hAnsi="Arial" w:cs="Arial"/>
          <w:sz w:val="24"/>
          <w:szCs w:val="24"/>
        </w:rPr>
        <w:t>. B</w:t>
      </w:r>
      <w:r w:rsidR="00796835" w:rsidRPr="001272D0">
        <w:rPr>
          <w:rFonts w:ascii="Arial" w:hAnsi="Arial" w:cs="Arial"/>
          <w:sz w:val="24"/>
          <w:szCs w:val="24"/>
        </w:rPr>
        <w:t>y</w:t>
      </w:r>
      <w:r w:rsidR="008A26FA" w:rsidRPr="001272D0">
        <w:rPr>
          <w:rFonts w:ascii="Arial" w:hAnsi="Arial" w:cs="Arial"/>
          <w:sz w:val="24"/>
          <w:szCs w:val="24"/>
        </w:rPr>
        <w:t xml:space="preserve"> contrast, just over a quarter demonstrate visible </w:t>
      </w:r>
      <w:r w:rsidR="00B127FD" w:rsidRPr="001272D0">
        <w:rPr>
          <w:rFonts w:ascii="Arial" w:hAnsi="Arial" w:cs="Arial"/>
          <w:sz w:val="24"/>
          <w:szCs w:val="24"/>
        </w:rPr>
        <w:t>acceptance</w:t>
      </w:r>
      <w:r w:rsidR="008A26FA" w:rsidRPr="001272D0">
        <w:rPr>
          <w:rFonts w:ascii="Arial" w:hAnsi="Arial" w:cs="Arial"/>
          <w:sz w:val="24"/>
          <w:szCs w:val="24"/>
        </w:rPr>
        <w:t xml:space="preserve"> (26% </w:t>
      </w:r>
      <w:r w:rsidR="008A26FA" w:rsidRPr="001272D0">
        <w:rPr>
          <w:rFonts w:ascii="Arial" w:hAnsi="Arial" w:cs="Arial"/>
          <w:i/>
          <w:iCs/>
          <w:sz w:val="24"/>
          <w:szCs w:val="24"/>
        </w:rPr>
        <w:t>n</w:t>
      </w:r>
      <w:r w:rsidR="008A26FA" w:rsidRPr="001272D0">
        <w:rPr>
          <w:rFonts w:ascii="Arial" w:hAnsi="Arial" w:cs="Arial"/>
          <w:sz w:val="24"/>
          <w:szCs w:val="24"/>
        </w:rPr>
        <w:t>=19) or</w:t>
      </w:r>
      <w:r w:rsidR="00BC0E74" w:rsidRPr="001272D0">
        <w:rPr>
          <w:rFonts w:ascii="Arial" w:hAnsi="Arial" w:cs="Arial"/>
          <w:sz w:val="24"/>
          <w:szCs w:val="24"/>
        </w:rPr>
        <w:t xml:space="preserve"> </w:t>
      </w:r>
      <w:r w:rsidR="00B127FD" w:rsidRPr="001272D0">
        <w:rPr>
          <w:rFonts w:ascii="Arial" w:hAnsi="Arial" w:cs="Arial"/>
          <w:sz w:val="24"/>
          <w:szCs w:val="24"/>
        </w:rPr>
        <w:t>rejection</w:t>
      </w:r>
      <w:r w:rsidR="008A26FA" w:rsidRPr="001272D0">
        <w:rPr>
          <w:rFonts w:ascii="Arial" w:hAnsi="Arial" w:cs="Arial"/>
          <w:sz w:val="24"/>
          <w:szCs w:val="24"/>
        </w:rPr>
        <w:t xml:space="preserve"> (</w:t>
      </w:r>
      <w:r w:rsidR="00E445E1" w:rsidRPr="001272D0">
        <w:rPr>
          <w:rFonts w:ascii="Arial" w:hAnsi="Arial" w:cs="Arial"/>
          <w:sz w:val="24"/>
          <w:szCs w:val="24"/>
        </w:rPr>
        <w:t>7</w:t>
      </w:r>
      <w:r w:rsidR="008A26FA" w:rsidRPr="001272D0">
        <w:rPr>
          <w:rFonts w:ascii="Arial" w:hAnsi="Arial" w:cs="Arial"/>
          <w:sz w:val="24"/>
          <w:szCs w:val="24"/>
        </w:rPr>
        <w:t xml:space="preserve">%, </w:t>
      </w:r>
      <w:r w:rsidR="008A26FA" w:rsidRPr="001272D0">
        <w:rPr>
          <w:rFonts w:ascii="Arial" w:hAnsi="Arial" w:cs="Arial"/>
          <w:i/>
          <w:iCs/>
          <w:sz w:val="24"/>
          <w:szCs w:val="24"/>
        </w:rPr>
        <w:t>n</w:t>
      </w:r>
      <w:r w:rsidR="008A26FA" w:rsidRPr="001272D0">
        <w:rPr>
          <w:rFonts w:ascii="Arial" w:hAnsi="Arial" w:cs="Arial"/>
          <w:sz w:val="24"/>
          <w:szCs w:val="24"/>
        </w:rPr>
        <w:t>=5) of th</w:t>
      </w:r>
      <w:r w:rsidR="00B127FD" w:rsidRPr="001272D0">
        <w:rPr>
          <w:rFonts w:ascii="Arial" w:hAnsi="Arial" w:cs="Arial"/>
          <w:sz w:val="24"/>
          <w:szCs w:val="24"/>
        </w:rPr>
        <w:t xml:space="preserve">ese </w:t>
      </w:r>
      <w:r w:rsidR="008A26FA" w:rsidRPr="001272D0">
        <w:rPr>
          <w:rFonts w:ascii="Arial" w:hAnsi="Arial" w:cs="Arial"/>
          <w:sz w:val="24"/>
          <w:szCs w:val="24"/>
        </w:rPr>
        <w:t>alternative qualification</w:t>
      </w:r>
      <w:r w:rsidR="00B127FD" w:rsidRPr="001272D0">
        <w:rPr>
          <w:rFonts w:ascii="Arial" w:hAnsi="Arial" w:cs="Arial"/>
          <w:sz w:val="24"/>
          <w:szCs w:val="24"/>
        </w:rPr>
        <w:t>s</w:t>
      </w:r>
      <w:r w:rsidR="008A26FA" w:rsidRPr="001272D0">
        <w:rPr>
          <w:rFonts w:ascii="Arial" w:hAnsi="Arial" w:cs="Arial"/>
          <w:sz w:val="24"/>
          <w:szCs w:val="24"/>
        </w:rPr>
        <w:t xml:space="preserve"> through programme websites.</w:t>
      </w:r>
    </w:p>
    <w:p w14:paraId="096F84B0" w14:textId="27A9EAD7" w:rsidR="00DE7C99" w:rsidRPr="001272D0" w:rsidRDefault="00DE7C99" w:rsidP="00A74EBE">
      <w:pPr>
        <w:spacing w:line="240" w:lineRule="auto"/>
        <w:jc w:val="both"/>
        <w:rPr>
          <w:rFonts w:ascii="Arial" w:hAnsi="Arial" w:cs="Arial"/>
          <w:sz w:val="24"/>
          <w:szCs w:val="24"/>
        </w:rPr>
      </w:pPr>
    </w:p>
    <w:p w14:paraId="527F8D84" w14:textId="4343C7B3" w:rsidR="002C2D9A" w:rsidRPr="001272D0" w:rsidRDefault="002C2D9A" w:rsidP="00A74EBE">
      <w:pPr>
        <w:spacing w:line="240" w:lineRule="auto"/>
        <w:jc w:val="both"/>
        <w:rPr>
          <w:rFonts w:ascii="Arial" w:eastAsia="Arial" w:hAnsi="Arial" w:cs="Arial"/>
          <w:b/>
          <w:iCs/>
          <w:sz w:val="24"/>
          <w:szCs w:val="24"/>
        </w:rPr>
      </w:pPr>
      <w:r w:rsidRPr="001272D0">
        <w:rPr>
          <w:rFonts w:ascii="Arial" w:eastAsia="Arial" w:hAnsi="Arial" w:cs="Arial"/>
          <w:b/>
          <w:iCs/>
          <w:sz w:val="24"/>
          <w:szCs w:val="24"/>
        </w:rPr>
        <w:t xml:space="preserve">Level 3 </w:t>
      </w:r>
      <w:r w:rsidR="00866A63" w:rsidRPr="001272D0">
        <w:rPr>
          <w:rFonts w:ascii="Arial" w:eastAsia="Arial" w:hAnsi="Arial" w:cs="Arial"/>
          <w:b/>
          <w:iCs/>
          <w:sz w:val="24"/>
          <w:szCs w:val="24"/>
        </w:rPr>
        <w:t>r</w:t>
      </w:r>
      <w:r w:rsidRPr="001272D0">
        <w:rPr>
          <w:rFonts w:ascii="Arial" w:eastAsia="Arial" w:hAnsi="Arial" w:cs="Arial"/>
          <w:b/>
          <w:iCs/>
          <w:sz w:val="24"/>
          <w:szCs w:val="24"/>
        </w:rPr>
        <w:t>equirements (A-Levels</w:t>
      </w:r>
      <w:r w:rsidR="00032349" w:rsidRPr="001272D0">
        <w:rPr>
          <w:rFonts w:ascii="Arial" w:eastAsia="Arial" w:hAnsi="Arial" w:cs="Arial"/>
          <w:b/>
          <w:iCs/>
          <w:sz w:val="24"/>
          <w:szCs w:val="24"/>
        </w:rPr>
        <w:t>)</w:t>
      </w:r>
    </w:p>
    <w:p w14:paraId="3807D21E" w14:textId="5C28D0BF" w:rsidR="00253499" w:rsidRPr="001272D0" w:rsidRDefault="00AC3C77" w:rsidP="00A74EBE">
      <w:pPr>
        <w:spacing w:line="240" w:lineRule="auto"/>
        <w:jc w:val="both"/>
        <w:rPr>
          <w:rFonts w:ascii="Arial" w:hAnsi="Arial" w:cs="Arial"/>
          <w:sz w:val="24"/>
          <w:szCs w:val="24"/>
        </w:rPr>
      </w:pPr>
      <w:r w:rsidRPr="001272D0">
        <w:rPr>
          <w:rFonts w:ascii="Arial" w:eastAsia="Arial" w:hAnsi="Arial" w:cs="Arial"/>
          <w:bCs/>
          <w:iCs/>
          <w:sz w:val="24"/>
          <w:szCs w:val="24"/>
        </w:rPr>
        <w:t>As postgraduate programmes do not publicise Level 3 academic qualifications at the point of entry, t</w:t>
      </w:r>
      <w:r w:rsidR="002C2D9A" w:rsidRPr="001272D0">
        <w:rPr>
          <w:rFonts w:ascii="Arial" w:eastAsia="Arial" w:hAnsi="Arial" w:cs="Arial"/>
          <w:bCs/>
          <w:iCs/>
          <w:sz w:val="24"/>
          <w:szCs w:val="24"/>
        </w:rPr>
        <w:t>his sectio</w:t>
      </w:r>
      <w:r w:rsidR="00780349" w:rsidRPr="001272D0">
        <w:rPr>
          <w:rFonts w:ascii="Arial" w:eastAsia="Arial" w:hAnsi="Arial" w:cs="Arial"/>
          <w:bCs/>
          <w:iCs/>
          <w:sz w:val="24"/>
          <w:szCs w:val="24"/>
        </w:rPr>
        <w:t>n</w:t>
      </w:r>
      <w:r w:rsidR="002C2D9A" w:rsidRPr="001272D0">
        <w:rPr>
          <w:rFonts w:ascii="Arial" w:eastAsia="Arial" w:hAnsi="Arial" w:cs="Arial"/>
          <w:bCs/>
          <w:iCs/>
          <w:sz w:val="24"/>
          <w:szCs w:val="24"/>
        </w:rPr>
        <w:t xml:space="preserve"> report</w:t>
      </w:r>
      <w:r w:rsidR="00780349" w:rsidRPr="001272D0">
        <w:rPr>
          <w:rFonts w:ascii="Arial" w:eastAsia="Arial" w:hAnsi="Arial" w:cs="Arial"/>
          <w:bCs/>
          <w:iCs/>
          <w:sz w:val="24"/>
          <w:szCs w:val="24"/>
        </w:rPr>
        <w:t>s</w:t>
      </w:r>
      <w:r w:rsidR="002C2D9A" w:rsidRPr="001272D0">
        <w:rPr>
          <w:rFonts w:ascii="Arial" w:eastAsia="Arial" w:hAnsi="Arial" w:cs="Arial"/>
          <w:bCs/>
          <w:iCs/>
          <w:sz w:val="24"/>
          <w:szCs w:val="24"/>
        </w:rPr>
        <w:t xml:space="preserve"> wholly on undergraduate</w:t>
      </w:r>
      <w:r w:rsidR="000F1A5A" w:rsidRPr="001272D0">
        <w:rPr>
          <w:rFonts w:ascii="Arial" w:eastAsia="Arial" w:hAnsi="Arial" w:cs="Arial"/>
          <w:bCs/>
          <w:iCs/>
          <w:sz w:val="24"/>
          <w:szCs w:val="24"/>
        </w:rPr>
        <w:t xml:space="preserve"> </w:t>
      </w:r>
      <w:r w:rsidR="002C2D9A" w:rsidRPr="001272D0">
        <w:rPr>
          <w:rFonts w:ascii="Arial" w:eastAsia="Arial" w:hAnsi="Arial" w:cs="Arial"/>
          <w:bCs/>
          <w:iCs/>
          <w:sz w:val="24"/>
          <w:szCs w:val="24"/>
        </w:rPr>
        <w:t>program</w:t>
      </w:r>
      <w:r w:rsidR="001E1AB9" w:rsidRPr="001272D0">
        <w:rPr>
          <w:rFonts w:ascii="Arial" w:eastAsia="Arial" w:hAnsi="Arial" w:cs="Arial"/>
          <w:bCs/>
          <w:iCs/>
          <w:sz w:val="24"/>
          <w:szCs w:val="24"/>
        </w:rPr>
        <w:t>me</w:t>
      </w:r>
      <w:r w:rsidR="002C2D9A" w:rsidRPr="001272D0">
        <w:rPr>
          <w:rFonts w:ascii="Arial" w:eastAsia="Arial" w:hAnsi="Arial" w:cs="Arial"/>
          <w:bCs/>
          <w:iCs/>
          <w:sz w:val="24"/>
          <w:szCs w:val="24"/>
        </w:rPr>
        <w:t>s (</w:t>
      </w:r>
      <w:r w:rsidR="002C2D9A" w:rsidRPr="001272D0">
        <w:rPr>
          <w:rFonts w:ascii="Arial" w:eastAsia="Arial" w:hAnsi="Arial" w:cs="Arial"/>
          <w:bCs/>
          <w:i/>
          <w:sz w:val="24"/>
          <w:szCs w:val="24"/>
        </w:rPr>
        <w:t>n=</w:t>
      </w:r>
      <w:r w:rsidR="002C2D9A" w:rsidRPr="001272D0">
        <w:rPr>
          <w:rFonts w:ascii="Arial" w:eastAsia="Arial" w:hAnsi="Arial" w:cs="Arial"/>
          <w:bCs/>
          <w:iCs/>
          <w:sz w:val="24"/>
          <w:szCs w:val="24"/>
        </w:rPr>
        <w:t>46).</w:t>
      </w:r>
      <w:r w:rsidR="005C077A" w:rsidRPr="001272D0">
        <w:rPr>
          <w:rFonts w:ascii="Arial" w:eastAsia="Arial" w:hAnsi="Arial" w:cs="Arial"/>
          <w:bCs/>
          <w:iCs/>
          <w:sz w:val="24"/>
          <w:szCs w:val="24"/>
        </w:rPr>
        <w:t xml:space="preserve"> Of these,</w:t>
      </w:r>
      <w:r w:rsidR="004B24E6" w:rsidRPr="001272D0">
        <w:rPr>
          <w:rFonts w:ascii="Arial" w:eastAsia="Arial" w:hAnsi="Arial" w:cs="Arial"/>
          <w:bCs/>
          <w:iCs/>
          <w:sz w:val="24"/>
          <w:szCs w:val="24"/>
        </w:rPr>
        <w:t xml:space="preserve"> </w:t>
      </w:r>
      <w:r w:rsidR="0098779D" w:rsidRPr="001272D0">
        <w:rPr>
          <w:rFonts w:ascii="Arial" w:eastAsia="Arial" w:hAnsi="Arial" w:cs="Arial"/>
          <w:bCs/>
          <w:iCs/>
          <w:sz w:val="24"/>
          <w:szCs w:val="24"/>
        </w:rPr>
        <w:t xml:space="preserve">four </w:t>
      </w:r>
      <w:r w:rsidR="00B9144E" w:rsidRPr="001272D0">
        <w:rPr>
          <w:rFonts w:ascii="Arial" w:eastAsia="Arial" w:hAnsi="Arial" w:cs="Arial"/>
          <w:bCs/>
          <w:iCs/>
          <w:sz w:val="24"/>
          <w:szCs w:val="24"/>
        </w:rPr>
        <w:t>(</w:t>
      </w:r>
      <w:r w:rsidR="0098779D" w:rsidRPr="001272D0">
        <w:rPr>
          <w:rFonts w:ascii="Arial" w:eastAsia="Arial" w:hAnsi="Arial" w:cs="Arial"/>
          <w:bCs/>
          <w:iCs/>
          <w:sz w:val="24"/>
          <w:szCs w:val="24"/>
        </w:rPr>
        <w:t>BSc</w:t>
      </w:r>
      <w:r w:rsidR="00B9144E" w:rsidRPr="001272D0">
        <w:rPr>
          <w:rFonts w:ascii="Arial" w:eastAsia="Arial" w:hAnsi="Arial" w:cs="Arial"/>
          <w:bCs/>
          <w:iCs/>
          <w:sz w:val="24"/>
          <w:szCs w:val="24"/>
        </w:rPr>
        <w:t xml:space="preserve">, </w:t>
      </w:r>
      <w:r w:rsidR="00521959" w:rsidRPr="001272D0">
        <w:rPr>
          <w:rFonts w:ascii="Arial" w:eastAsia="Arial" w:hAnsi="Arial" w:cs="Arial"/>
          <w:bCs/>
          <w:i/>
          <w:sz w:val="24"/>
          <w:szCs w:val="24"/>
        </w:rPr>
        <w:t>n</w:t>
      </w:r>
      <w:r w:rsidR="00521959" w:rsidRPr="001272D0">
        <w:rPr>
          <w:rFonts w:ascii="Arial" w:eastAsia="Arial" w:hAnsi="Arial" w:cs="Arial"/>
          <w:bCs/>
          <w:iCs/>
          <w:sz w:val="24"/>
          <w:szCs w:val="24"/>
        </w:rPr>
        <w:t>=1</w:t>
      </w:r>
      <w:r w:rsidR="00B9144E" w:rsidRPr="001272D0">
        <w:rPr>
          <w:rFonts w:ascii="Arial" w:eastAsia="Arial" w:hAnsi="Arial" w:cs="Arial"/>
          <w:bCs/>
          <w:iCs/>
          <w:sz w:val="24"/>
          <w:szCs w:val="24"/>
        </w:rPr>
        <w:t>;</w:t>
      </w:r>
      <w:r w:rsidR="00521959" w:rsidRPr="001272D0">
        <w:rPr>
          <w:rFonts w:ascii="Arial" w:eastAsia="Arial" w:hAnsi="Arial" w:cs="Arial"/>
          <w:bCs/>
          <w:iCs/>
          <w:sz w:val="24"/>
          <w:szCs w:val="24"/>
        </w:rPr>
        <w:t xml:space="preserve"> </w:t>
      </w:r>
      <w:r w:rsidR="00B9144E" w:rsidRPr="001272D0">
        <w:rPr>
          <w:rFonts w:ascii="Arial" w:eastAsia="Arial" w:hAnsi="Arial" w:cs="Arial"/>
          <w:bCs/>
          <w:iCs/>
          <w:sz w:val="24"/>
          <w:szCs w:val="24"/>
        </w:rPr>
        <w:t>apprenticeship</w:t>
      </w:r>
      <w:r w:rsidR="00521959" w:rsidRPr="001272D0">
        <w:rPr>
          <w:rFonts w:ascii="Arial" w:eastAsia="Arial" w:hAnsi="Arial" w:cs="Arial"/>
          <w:bCs/>
          <w:iCs/>
          <w:sz w:val="24"/>
          <w:szCs w:val="24"/>
        </w:rPr>
        <w:t xml:space="preserve">, </w:t>
      </w:r>
      <w:r w:rsidR="00521959" w:rsidRPr="001272D0">
        <w:rPr>
          <w:rFonts w:ascii="Arial" w:eastAsia="Arial" w:hAnsi="Arial" w:cs="Arial"/>
          <w:bCs/>
          <w:i/>
          <w:sz w:val="24"/>
          <w:szCs w:val="24"/>
        </w:rPr>
        <w:t>n</w:t>
      </w:r>
      <w:r w:rsidR="00521959" w:rsidRPr="001272D0">
        <w:rPr>
          <w:rFonts w:ascii="Arial" w:eastAsia="Arial" w:hAnsi="Arial" w:cs="Arial"/>
          <w:bCs/>
          <w:iCs/>
          <w:sz w:val="24"/>
          <w:szCs w:val="24"/>
        </w:rPr>
        <w:t>=3</w:t>
      </w:r>
      <w:r w:rsidR="00B9144E" w:rsidRPr="001272D0">
        <w:rPr>
          <w:rFonts w:ascii="Arial" w:eastAsia="Arial" w:hAnsi="Arial" w:cs="Arial"/>
          <w:bCs/>
          <w:iCs/>
          <w:sz w:val="24"/>
          <w:szCs w:val="24"/>
        </w:rPr>
        <w:t>)</w:t>
      </w:r>
      <w:r w:rsidR="005C077A" w:rsidRPr="001272D0">
        <w:rPr>
          <w:rFonts w:ascii="Arial" w:eastAsia="Arial" w:hAnsi="Arial" w:cs="Arial"/>
          <w:bCs/>
          <w:iCs/>
          <w:sz w:val="24"/>
          <w:szCs w:val="24"/>
        </w:rPr>
        <w:t xml:space="preserve"> </w:t>
      </w:r>
      <w:r w:rsidR="002C2D9A" w:rsidRPr="001272D0">
        <w:rPr>
          <w:rFonts w:ascii="Arial" w:eastAsia="Arial" w:hAnsi="Arial" w:cs="Arial"/>
          <w:bCs/>
          <w:iCs/>
          <w:sz w:val="24"/>
          <w:szCs w:val="24"/>
        </w:rPr>
        <w:t>do not stipulate A-Level grades or equivalent UCAS tariff points for entry. Minimum UCAS tariff points across</w:t>
      </w:r>
      <w:r w:rsidR="000F6873" w:rsidRPr="001272D0">
        <w:rPr>
          <w:rFonts w:ascii="Arial" w:eastAsia="Arial" w:hAnsi="Arial" w:cs="Arial"/>
          <w:bCs/>
          <w:iCs/>
          <w:sz w:val="24"/>
          <w:szCs w:val="24"/>
        </w:rPr>
        <w:t xml:space="preserve"> BSc</w:t>
      </w:r>
      <w:r w:rsidR="00EE077B" w:rsidRPr="001272D0">
        <w:rPr>
          <w:rFonts w:ascii="Arial" w:eastAsia="Arial" w:hAnsi="Arial" w:cs="Arial"/>
          <w:bCs/>
          <w:iCs/>
          <w:sz w:val="24"/>
          <w:szCs w:val="24"/>
        </w:rPr>
        <w:t xml:space="preserve"> and MSc (</w:t>
      </w:r>
      <w:proofErr w:type="spellStart"/>
      <w:r w:rsidR="00EE077B" w:rsidRPr="001272D0">
        <w:rPr>
          <w:rFonts w:ascii="Arial" w:eastAsia="Arial" w:hAnsi="Arial" w:cs="Arial"/>
          <w:bCs/>
          <w:iCs/>
          <w:sz w:val="24"/>
          <w:szCs w:val="24"/>
        </w:rPr>
        <w:t>UGr</w:t>
      </w:r>
      <w:proofErr w:type="spellEnd"/>
      <w:r w:rsidR="00EE077B" w:rsidRPr="001272D0">
        <w:rPr>
          <w:rFonts w:ascii="Arial" w:eastAsia="Arial" w:hAnsi="Arial" w:cs="Arial"/>
          <w:bCs/>
          <w:iCs/>
          <w:sz w:val="24"/>
          <w:szCs w:val="24"/>
        </w:rPr>
        <w:t>)</w:t>
      </w:r>
      <w:r w:rsidR="00B6160E" w:rsidRPr="001272D0">
        <w:rPr>
          <w:rFonts w:ascii="Arial" w:eastAsia="Arial" w:hAnsi="Arial" w:cs="Arial"/>
          <w:bCs/>
          <w:iCs/>
          <w:sz w:val="24"/>
          <w:szCs w:val="24"/>
        </w:rPr>
        <w:t xml:space="preserve"> (</w:t>
      </w:r>
      <w:r w:rsidR="00B6160E" w:rsidRPr="001272D0">
        <w:rPr>
          <w:rFonts w:ascii="Arial" w:eastAsia="Arial" w:hAnsi="Arial" w:cs="Arial"/>
          <w:bCs/>
          <w:i/>
          <w:sz w:val="24"/>
          <w:szCs w:val="24"/>
        </w:rPr>
        <w:t>n=</w:t>
      </w:r>
      <w:r w:rsidR="00B6160E" w:rsidRPr="001272D0">
        <w:rPr>
          <w:rFonts w:ascii="Arial" w:eastAsia="Arial" w:hAnsi="Arial" w:cs="Arial"/>
          <w:bCs/>
          <w:iCs/>
          <w:sz w:val="24"/>
          <w:szCs w:val="24"/>
        </w:rPr>
        <w:t>37)</w:t>
      </w:r>
      <w:r w:rsidR="002C2D9A" w:rsidRPr="001272D0">
        <w:rPr>
          <w:rFonts w:ascii="Arial" w:eastAsia="Arial" w:hAnsi="Arial" w:cs="Arial"/>
          <w:bCs/>
          <w:iCs/>
          <w:sz w:val="24"/>
          <w:szCs w:val="24"/>
        </w:rPr>
        <w:t xml:space="preserve"> range</w:t>
      </w:r>
      <w:r w:rsidR="005B7E9F" w:rsidRPr="001272D0">
        <w:rPr>
          <w:rFonts w:ascii="Arial" w:eastAsia="Arial" w:hAnsi="Arial" w:cs="Arial"/>
          <w:bCs/>
          <w:iCs/>
          <w:sz w:val="24"/>
          <w:szCs w:val="24"/>
        </w:rPr>
        <w:t xml:space="preserve"> </w:t>
      </w:r>
      <w:r w:rsidR="002C2D9A" w:rsidRPr="001272D0">
        <w:rPr>
          <w:rFonts w:ascii="Arial" w:eastAsia="Arial" w:hAnsi="Arial" w:cs="Arial"/>
          <w:bCs/>
          <w:iCs/>
          <w:sz w:val="24"/>
          <w:szCs w:val="24"/>
        </w:rPr>
        <w:t xml:space="preserve">from 96 – 128 (equivalent to </w:t>
      </w:r>
      <w:r w:rsidR="000B7938" w:rsidRPr="001272D0">
        <w:rPr>
          <w:rFonts w:ascii="Arial" w:eastAsia="Arial" w:hAnsi="Arial" w:cs="Arial"/>
          <w:bCs/>
          <w:iCs/>
          <w:sz w:val="24"/>
          <w:szCs w:val="24"/>
        </w:rPr>
        <w:t xml:space="preserve">A-Level </w:t>
      </w:r>
      <w:r w:rsidR="002C2D9A" w:rsidRPr="001272D0">
        <w:rPr>
          <w:rFonts w:ascii="Arial" w:eastAsia="Arial" w:hAnsi="Arial" w:cs="Arial"/>
          <w:bCs/>
          <w:iCs/>
          <w:sz w:val="24"/>
          <w:szCs w:val="24"/>
        </w:rPr>
        <w:t xml:space="preserve">grades CCC – ABB), with </w:t>
      </w:r>
      <w:r w:rsidR="000F6873" w:rsidRPr="001272D0">
        <w:rPr>
          <w:rFonts w:ascii="Arial" w:eastAsia="Arial" w:hAnsi="Arial" w:cs="Arial"/>
          <w:bCs/>
          <w:iCs/>
          <w:sz w:val="24"/>
          <w:szCs w:val="24"/>
        </w:rPr>
        <w:t>a</w:t>
      </w:r>
      <w:r w:rsidR="002C2D9A" w:rsidRPr="001272D0">
        <w:rPr>
          <w:rFonts w:ascii="Arial" w:eastAsia="Arial" w:hAnsi="Arial" w:cs="Arial"/>
          <w:bCs/>
          <w:iCs/>
          <w:sz w:val="24"/>
          <w:szCs w:val="24"/>
        </w:rPr>
        <w:t>pprenticeship</w:t>
      </w:r>
      <w:r w:rsidR="000B7938" w:rsidRPr="001272D0">
        <w:rPr>
          <w:rFonts w:ascii="Arial" w:eastAsia="Arial" w:hAnsi="Arial" w:cs="Arial"/>
          <w:bCs/>
          <w:iCs/>
          <w:sz w:val="24"/>
          <w:szCs w:val="24"/>
        </w:rPr>
        <w:t>s (</w:t>
      </w:r>
      <w:r w:rsidR="000B7938" w:rsidRPr="001272D0">
        <w:rPr>
          <w:rFonts w:ascii="Arial" w:eastAsia="Arial" w:hAnsi="Arial" w:cs="Arial"/>
          <w:bCs/>
          <w:i/>
          <w:sz w:val="24"/>
          <w:szCs w:val="24"/>
        </w:rPr>
        <w:t>n</w:t>
      </w:r>
      <w:r w:rsidR="00854F37" w:rsidRPr="001272D0">
        <w:rPr>
          <w:rFonts w:ascii="Arial" w:eastAsia="Arial" w:hAnsi="Arial" w:cs="Arial"/>
          <w:bCs/>
          <w:i/>
          <w:sz w:val="24"/>
          <w:szCs w:val="24"/>
        </w:rPr>
        <w:t>=</w:t>
      </w:r>
      <w:r w:rsidR="00854F37" w:rsidRPr="001272D0">
        <w:rPr>
          <w:rFonts w:ascii="Arial" w:eastAsia="Arial" w:hAnsi="Arial" w:cs="Arial"/>
          <w:bCs/>
          <w:iCs/>
          <w:sz w:val="24"/>
          <w:szCs w:val="24"/>
        </w:rPr>
        <w:t>5)</w:t>
      </w:r>
      <w:r w:rsidR="002C2D9A" w:rsidRPr="001272D0">
        <w:rPr>
          <w:rFonts w:ascii="Arial" w:eastAsia="Arial" w:hAnsi="Arial" w:cs="Arial"/>
          <w:bCs/>
          <w:iCs/>
          <w:sz w:val="24"/>
          <w:szCs w:val="24"/>
        </w:rPr>
        <w:t xml:space="preserve"> ranging from 104 - 128 (equivalent to BCC - ABB). </w:t>
      </w:r>
      <w:r w:rsidR="00630D9D" w:rsidRPr="001272D0">
        <w:rPr>
          <w:rFonts w:ascii="Arial" w:eastAsia="Arial" w:hAnsi="Arial" w:cs="Arial"/>
          <w:bCs/>
          <w:iCs/>
          <w:sz w:val="24"/>
          <w:szCs w:val="24"/>
        </w:rPr>
        <w:t>E</w:t>
      </w:r>
      <w:r w:rsidR="002C2D9A" w:rsidRPr="001272D0">
        <w:rPr>
          <w:rFonts w:ascii="Arial" w:eastAsia="Arial" w:hAnsi="Arial" w:cs="Arial"/>
          <w:bCs/>
          <w:iCs/>
          <w:sz w:val="24"/>
          <w:szCs w:val="24"/>
        </w:rPr>
        <w:t>ighteen</w:t>
      </w:r>
      <w:r w:rsidR="0033671F" w:rsidRPr="001272D0">
        <w:rPr>
          <w:rFonts w:ascii="Arial" w:eastAsia="Arial" w:hAnsi="Arial" w:cs="Arial"/>
          <w:bCs/>
          <w:iCs/>
          <w:sz w:val="24"/>
          <w:szCs w:val="24"/>
        </w:rPr>
        <w:t xml:space="preserve"> (39%)</w:t>
      </w:r>
      <w:r w:rsidR="002C2D9A" w:rsidRPr="001272D0">
        <w:rPr>
          <w:rFonts w:ascii="Arial" w:eastAsia="Arial" w:hAnsi="Arial" w:cs="Arial"/>
          <w:bCs/>
          <w:iCs/>
          <w:sz w:val="24"/>
          <w:szCs w:val="24"/>
        </w:rPr>
        <w:t xml:space="preserve"> BSc </w:t>
      </w:r>
      <w:r w:rsidR="00CB2E34" w:rsidRPr="001272D0">
        <w:rPr>
          <w:rFonts w:ascii="Arial" w:eastAsia="Arial" w:hAnsi="Arial" w:cs="Arial"/>
          <w:bCs/>
          <w:iCs/>
          <w:sz w:val="24"/>
          <w:szCs w:val="24"/>
        </w:rPr>
        <w:t>programmes</w:t>
      </w:r>
      <w:r w:rsidR="002C2D9A" w:rsidRPr="001272D0">
        <w:rPr>
          <w:rFonts w:ascii="Arial" w:eastAsia="Arial" w:hAnsi="Arial" w:cs="Arial"/>
          <w:bCs/>
          <w:iCs/>
          <w:sz w:val="24"/>
          <w:szCs w:val="24"/>
        </w:rPr>
        <w:t xml:space="preserve"> require minimum entry of 120 tariff points at A-Level (equivalent to BBB), with twelve across both BSc and </w:t>
      </w:r>
      <w:r w:rsidR="00DE0A74" w:rsidRPr="001272D0">
        <w:rPr>
          <w:rFonts w:ascii="Arial" w:eastAsia="Arial" w:hAnsi="Arial" w:cs="Arial"/>
          <w:bCs/>
          <w:iCs/>
          <w:sz w:val="24"/>
          <w:szCs w:val="24"/>
        </w:rPr>
        <w:t>a</w:t>
      </w:r>
      <w:r w:rsidR="002C2D9A" w:rsidRPr="001272D0">
        <w:rPr>
          <w:rFonts w:ascii="Arial" w:eastAsia="Arial" w:hAnsi="Arial" w:cs="Arial"/>
          <w:bCs/>
          <w:iCs/>
          <w:sz w:val="24"/>
          <w:szCs w:val="24"/>
        </w:rPr>
        <w:t>pprenticeship requiring a minimum tariff of 112 (equivalent to BBC). Students not achieving this minimum, face few access options, with less than 20% (</w:t>
      </w:r>
      <w:r w:rsidR="002C2D9A" w:rsidRPr="001272D0">
        <w:rPr>
          <w:rFonts w:ascii="Arial" w:eastAsia="Arial" w:hAnsi="Arial" w:cs="Arial"/>
          <w:bCs/>
          <w:i/>
          <w:sz w:val="24"/>
          <w:szCs w:val="24"/>
        </w:rPr>
        <w:t>n=</w:t>
      </w:r>
      <w:r w:rsidR="002C2D9A" w:rsidRPr="001272D0">
        <w:rPr>
          <w:rFonts w:ascii="Arial" w:eastAsia="Arial" w:hAnsi="Arial" w:cs="Arial"/>
          <w:bCs/>
          <w:iCs/>
          <w:sz w:val="24"/>
          <w:szCs w:val="24"/>
        </w:rPr>
        <w:t xml:space="preserve">9) offering </w:t>
      </w:r>
      <w:r w:rsidR="004A0949" w:rsidRPr="001272D0">
        <w:rPr>
          <w:rFonts w:ascii="Arial" w:eastAsia="Arial" w:hAnsi="Arial" w:cs="Arial"/>
          <w:bCs/>
          <w:iCs/>
          <w:sz w:val="24"/>
          <w:szCs w:val="24"/>
        </w:rPr>
        <w:t xml:space="preserve">a </w:t>
      </w:r>
      <w:r w:rsidR="002C2D9A" w:rsidRPr="001272D0">
        <w:rPr>
          <w:rFonts w:ascii="Arial" w:eastAsia="Arial" w:hAnsi="Arial" w:cs="Arial"/>
          <w:bCs/>
          <w:iCs/>
          <w:sz w:val="24"/>
          <w:szCs w:val="24"/>
        </w:rPr>
        <w:t>tariff below 112 points</w:t>
      </w:r>
      <w:r w:rsidR="000F0A6D" w:rsidRPr="001272D0">
        <w:rPr>
          <w:rFonts w:ascii="Arial" w:eastAsia="Arial" w:hAnsi="Arial" w:cs="Arial"/>
          <w:bCs/>
          <w:iCs/>
          <w:sz w:val="24"/>
          <w:szCs w:val="24"/>
        </w:rPr>
        <w:t xml:space="preserve">. </w:t>
      </w:r>
      <w:r w:rsidR="00341930" w:rsidRPr="001272D0">
        <w:rPr>
          <w:rFonts w:ascii="Arial" w:eastAsia="Arial" w:hAnsi="Arial" w:cs="Arial"/>
          <w:bCs/>
          <w:iCs/>
          <w:sz w:val="24"/>
          <w:szCs w:val="24"/>
        </w:rPr>
        <w:t>39% (</w:t>
      </w:r>
      <w:r w:rsidR="00341930" w:rsidRPr="001272D0">
        <w:rPr>
          <w:rFonts w:ascii="Arial" w:eastAsia="Arial" w:hAnsi="Arial" w:cs="Arial"/>
          <w:bCs/>
          <w:i/>
          <w:sz w:val="24"/>
          <w:szCs w:val="24"/>
        </w:rPr>
        <w:t>n=</w:t>
      </w:r>
      <w:r w:rsidR="00341930" w:rsidRPr="001272D0">
        <w:rPr>
          <w:rFonts w:ascii="Arial" w:eastAsia="Arial" w:hAnsi="Arial" w:cs="Arial"/>
          <w:bCs/>
          <w:iCs/>
          <w:sz w:val="24"/>
          <w:szCs w:val="24"/>
        </w:rPr>
        <w:t>18)</w:t>
      </w:r>
      <w:r w:rsidR="00970C03" w:rsidRPr="001272D0">
        <w:rPr>
          <w:rFonts w:ascii="Arial" w:eastAsia="Arial" w:hAnsi="Arial" w:cs="Arial"/>
          <w:bCs/>
          <w:iCs/>
          <w:sz w:val="24"/>
          <w:szCs w:val="24"/>
        </w:rPr>
        <w:t xml:space="preserve"> of</w:t>
      </w:r>
      <w:r w:rsidR="002C2D9A" w:rsidRPr="001272D0">
        <w:rPr>
          <w:rFonts w:ascii="Arial" w:eastAsia="Arial" w:hAnsi="Arial" w:cs="Arial"/>
          <w:bCs/>
          <w:iCs/>
          <w:sz w:val="24"/>
          <w:szCs w:val="24"/>
        </w:rPr>
        <w:t xml:space="preserve"> </w:t>
      </w:r>
      <w:r w:rsidR="000F0A6D" w:rsidRPr="001272D0">
        <w:rPr>
          <w:rFonts w:ascii="Arial" w:eastAsia="Arial" w:hAnsi="Arial" w:cs="Arial"/>
          <w:bCs/>
          <w:iCs/>
          <w:sz w:val="24"/>
          <w:szCs w:val="24"/>
        </w:rPr>
        <w:t>programmes</w:t>
      </w:r>
      <w:r w:rsidR="002C2D9A" w:rsidRPr="001272D0">
        <w:rPr>
          <w:rFonts w:ascii="Arial" w:eastAsia="Arial" w:hAnsi="Arial" w:cs="Arial"/>
          <w:bCs/>
          <w:iCs/>
          <w:sz w:val="24"/>
          <w:szCs w:val="24"/>
        </w:rPr>
        <w:t xml:space="preserve"> identify required </w:t>
      </w:r>
      <w:r w:rsidR="00BD48F0" w:rsidRPr="001272D0">
        <w:rPr>
          <w:rFonts w:ascii="Arial" w:eastAsia="Arial" w:hAnsi="Arial" w:cs="Arial"/>
          <w:bCs/>
          <w:iCs/>
          <w:sz w:val="24"/>
          <w:szCs w:val="24"/>
        </w:rPr>
        <w:t xml:space="preserve">A-Level </w:t>
      </w:r>
      <w:r w:rsidR="002C2D9A" w:rsidRPr="001272D0">
        <w:rPr>
          <w:rFonts w:ascii="Arial" w:eastAsia="Arial" w:hAnsi="Arial" w:cs="Arial"/>
          <w:bCs/>
          <w:iCs/>
          <w:sz w:val="24"/>
          <w:szCs w:val="24"/>
        </w:rPr>
        <w:t xml:space="preserve">subjects </w:t>
      </w:r>
      <w:r w:rsidR="005305D3" w:rsidRPr="001272D0">
        <w:rPr>
          <w:rFonts w:ascii="Arial" w:eastAsia="Arial" w:hAnsi="Arial" w:cs="Arial"/>
          <w:bCs/>
          <w:iCs/>
          <w:sz w:val="24"/>
          <w:szCs w:val="24"/>
        </w:rPr>
        <w:t>as</w:t>
      </w:r>
      <w:r w:rsidR="002C2D9A" w:rsidRPr="001272D0">
        <w:rPr>
          <w:rFonts w:ascii="Arial" w:eastAsia="Arial" w:hAnsi="Arial" w:cs="Arial"/>
          <w:bCs/>
          <w:iCs/>
          <w:sz w:val="24"/>
          <w:szCs w:val="24"/>
        </w:rPr>
        <w:t xml:space="preserve"> a </w:t>
      </w:r>
      <w:r w:rsidR="00332643" w:rsidRPr="001272D0">
        <w:rPr>
          <w:rFonts w:ascii="Arial" w:eastAsia="Arial" w:hAnsi="Arial" w:cs="Arial"/>
          <w:bCs/>
          <w:iCs/>
          <w:sz w:val="24"/>
          <w:szCs w:val="24"/>
        </w:rPr>
        <w:t>S</w:t>
      </w:r>
      <w:r w:rsidR="002C2D9A" w:rsidRPr="001272D0">
        <w:rPr>
          <w:rFonts w:ascii="Arial" w:eastAsia="Arial" w:hAnsi="Arial" w:cs="Arial"/>
          <w:bCs/>
          <w:iCs/>
          <w:sz w:val="24"/>
          <w:szCs w:val="24"/>
        </w:rPr>
        <w:t>cience (pure, social or Physical Education (PE)</w:t>
      </w:r>
      <w:r w:rsidR="000E6C15" w:rsidRPr="001272D0">
        <w:rPr>
          <w:rFonts w:ascii="Arial" w:eastAsia="Arial" w:hAnsi="Arial" w:cs="Arial"/>
          <w:bCs/>
          <w:iCs/>
          <w:sz w:val="24"/>
          <w:szCs w:val="24"/>
        </w:rPr>
        <w:t xml:space="preserve">, </w:t>
      </w:r>
      <w:r w:rsidR="000E6C15" w:rsidRPr="001272D0">
        <w:rPr>
          <w:rFonts w:ascii="Arial" w:eastAsia="Arial" w:hAnsi="Arial" w:cs="Arial"/>
          <w:bCs/>
          <w:i/>
          <w:sz w:val="24"/>
          <w:szCs w:val="24"/>
        </w:rPr>
        <w:t>n</w:t>
      </w:r>
      <w:r w:rsidR="000E6C15" w:rsidRPr="001272D0">
        <w:rPr>
          <w:rFonts w:ascii="Arial" w:eastAsia="Arial" w:hAnsi="Arial" w:cs="Arial"/>
          <w:bCs/>
          <w:iCs/>
          <w:sz w:val="24"/>
          <w:szCs w:val="24"/>
        </w:rPr>
        <w:t>=</w:t>
      </w:r>
      <w:r w:rsidR="00F02059" w:rsidRPr="001272D0">
        <w:rPr>
          <w:rFonts w:ascii="Arial" w:eastAsia="Arial" w:hAnsi="Arial" w:cs="Arial"/>
          <w:bCs/>
          <w:iCs/>
          <w:sz w:val="24"/>
          <w:szCs w:val="24"/>
        </w:rPr>
        <w:t>15</w:t>
      </w:r>
      <w:r w:rsidR="002C2D9A" w:rsidRPr="001272D0">
        <w:rPr>
          <w:rFonts w:ascii="Arial" w:eastAsia="Arial" w:hAnsi="Arial" w:cs="Arial"/>
          <w:bCs/>
          <w:iCs/>
          <w:sz w:val="24"/>
          <w:szCs w:val="24"/>
        </w:rPr>
        <w:t>)</w:t>
      </w:r>
      <w:r w:rsidR="005305D3" w:rsidRPr="001272D0">
        <w:rPr>
          <w:rFonts w:ascii="Arial" w:eastAsia="Arial" w:hAnsi="Arial" w:cs="Arial"/>
          <w:bCs/>
          <w:iCs/>
          <w:sz w:val="24"/>
          <w:szCs w:val="24"/>
        </w:rPr>
        <w:t>,</w:t>
      </w:r>
      <w:r w:rsidR="002C2D9A" w:rsidRPr="001272D0">
        <w:rPr>
          <w:rFonts w:ascii="Arial" w:eastAsia="Arial" w:hAnsi="Arial" w:cs="Arial"/>
          <w:bCs/>
          <w:iCs/>
          <w:sz w:val="24"/>
          <w:szCs w:val="24"/>
        </w:rPr>
        <w:t xml:space="preserve"> English</w:t>
      </w:r>
      <w:r w:rsidR="003A7E05" w:rsidRPr="001272D0">
        <w:rPr>
          <w:rFonts w:ascii="Arial" w:eastAsia="Arial" w:hAnsi="Arial" w:cs="Arial"/>
          <w:bCs/>
          <w:iCs/>
          <w:sz w:val="24"/>
          <w:szCs w:val="24"/>
        </w:rPr>
        <w:t xml:space="preserve"> (</w:t>
      </w:r>
      <w:r w:rsidR="003A7E05" w:rsidRPr="001272D0">
        <w:rPr>
          <w:rFonts w:ascii="Arial" w:eastAsia="Arial" w:hAnsi="Arial" w:cs="Arial"/>
          <w:bCs/>
          <w:i/>
          <w:sz w:val="24"/>
          <w:szCs w:val="24"/>
        </w:rPr>
        <w:t>n=</w:t>
      </w:r>
      <w:r w:rsidR="003A7E05" w:rsidRPr="001272D0">
        <w:rPr>
          <w:rFonts w:ascii="Arial" w:eastAsia="Arial" w:hAnsi="Arial" w:cs="Arial"/>
          <w:bCs/>
          <w:iCs/>
          <w:sz w:val="24"/>
          <w:szCs w:val="24"/>
        </w:rPr>
        <w:t>1)</w:t>
      </w:r>
      <w:r w:rsidR="00BD48F0" w:rsidRPr="001272D0">
        <w:rPr>
          <w:rFonts w:ascii="Arial" w:eastAsia="Arial" w:hAnsi="Arial" w:cs="Arial"/>
          <w:bCs/>
          <w:iCs/>
          <w:sz w:val="24"/>
          <w:szCs w:val="24"/>
        </w:rPr>
        <w:t xml:space="preserve"> or</w:t>
      </w:r>
      <w:r w:rsidR="00597BCA" w:rsidRPr="001272D0">
        <w:rPr>
          <w:rFonts w:ascii="Arial" w:eastAsia="Arial" w:hAnsi="Arial" w:cs="Arial"/>
          <w:bCs/>
          <w:iCs/>
          <w:sz w:val="24"/>
          <w:szCs w:val="24"/>
        </w:rPr>
        <w:t xml:space="preserve"> </w:t>
      </w:r>
      <w:r w:rsidR="00BD48F0" w:rsidRPr="001272D0">
        <w:rPr>
          <w:rFonts w:ascii="Arial" w:eastAsia="Arial" w:hAnsi="Arial" w:cs="Arial"/>
          <w:bCs/>
          <w:iCs/>
          <w:sz w:val="24"/>
          <w:szCs w:val="24"/>
        </w:rPr>
        <w:t>no</w:t>
      </w:r>
      <w:r w:rsidR="003E7BA6" w:rsidRPr="001272D0">
        <w:rPr>
          <w:rFonts w:ascii="Arial" w:eastAsia="Arial" w:hAnsi="Arial" w:cs="Arial"/>
          <w:bCs/>
          <w:iCs/>
          <w:sz w:val="24"/>
          <w:szCs w:val="24"/>
        </w:rPr>
        <w:t xml:space="preserve"> preferred subjects (</w:t>
      </w:r>
      <w:r w:rsidR="003E7BA6" w:rsidRPr="001272D0">
        <w:rPr>
          <w:rFonts w:ascii="Arial" w:eastAsia="Arial" w:hAnsi="Arial" w:cs="Arial"/>
          <w:bCs/>
          <w:i/>
          <w:sz w:val="24"/>
          <w:szCs w:val="24"/>
        </w:rPr>
        <w:t>n=</w:t>
      </w:r>
      <w:r w:rsidR="003E7BA6" w:rsidRPr="001272D0">
        <w:rPr>
          <w:rFonts w:ascii="Arial" w:eastAsia="Arial" w:hAnsi="Arial" w:cs="Arial"/>
          <w:bCs/>
          <w:iCs/>
          <w:sz w:val="24"/>
          <w:szCs w:val="24"/>
        </w:rPr>
        <w:t>2)</w:t>
      </w:r>
      <w:r w:rsidR="00645977" w:rsidRPr="001272D0">
        <w:rPr>
          <w:rFonts w:ascii="Arial" w:eastAsia="Arial" w:hAnsi="Arial" w:cs="Arial"/>
          <w:bCs/>
          <w:iCs/>
          <w:sz w:val="24"/>
          <w:szCs w:val="24"/>
        </w:rPr>
        <w:t xml:space="preserve">. </w:t>
      </w:r>
      <w:r w:rsidR="00A9644F" w:rsidRPr="001272D0">
        <w:rPr>
          <w:rFonts w:ascii="Arial" w:eastAsia="Arial" w:hAnsi="Arial" w:cs="Arial"/>
          <w:bCs/>
          <w:iCs/>
          <w:sz w:val="24"/>
          <w:szCs w:val="24"/>
        </w:rPr>
        <w:lastRenderedPageBreak/>
        <w:t>However, c</w:t>
      </w:r>
      <w:r w:rsidR="002C2D9A" w:rsidRPr="001272D0">
        <w:rPr>
          <w:rFonts w:ascii="Arial" w:eastAsia="Arial" w:hAnsi="Arial" w:cs="Arial"/>
          <w:bCs/>
          <w:iCs/>
          <w:sz w:val="24"/>
          <w:szCs w:val="24"/>
        </w:rPr>
        <w:t>onsistent data is limited, with 61% (</w:t>
      </w:r>
      <w:r w:rsidR="002C2D9A" w:rsidRPr="001272D0">
        <w:rPr>
          <w:rFonts w:ascii="Arial" w:eastAsia="Arial" w:hAnsi="Arial" w:cs="Arial"/>
          <w:bCs/>
          <w:i/>
          <w:sz w:val="24"/>
          <w:szCs w:val="24"/>
        </w:rPr>
        <w:t>n=</w:t>
      </w:r>
      <w:r w:rsidR="002C2D9A" w:rsidRPr="001272D0">
        <w:rPr>
          <w:rFonts w:ascii="Arial" w:eastAsia="Arial" w:hAnsi="Arial" w:cs="Arial"/>
          <w:bCs/>
          <w:iCs/>
          <w:sz w:val="24"/>
          <w:szCs w:val="24"/>
        </w:rPr>
        <w:t xml:space="preserve">28) </w:t>
      </w:r>
      <w:r w:rsidR="005E2EDA" w:rsidRPr="001272D0">
        <w:rPr>
          <w:rFonts w:ascii="Arial" w:eastAsia="Arial" w:hAnsi="Arial" w:cs="Arial"/>
          <w:bCs/>
          <w:iCs/>
          <w:sz w:val="24"/>
          <w:szCs w:val="24"/>
        </w:rPr>
        <w:t>having no visible subject requirement</w:t>
      </w:r>
      <w:r w:rsidR="002C2D9A" w:rsidRPr="001272D0">
        <w:rPr>
          <w:rFonts w:ascii="Arial" w:eastAsia="Arial" w:hAnsi="Arial" w:cs="Arial"/>
          <w:bCs/>
          <w:iCs/>
          <w:sz w:val="24"/>
          <w:szCs w:val="24"/>
        </w:rPr>
        <w:t xml:space="preserve">. </w:t>
      </w:r>
      <w:r w:rsidR="00EF0852" w:rsidRPr="001272D0">
        <w:rPr>
          <w:rFonts w:ascii="Arial" w:hAnsi="Arial" w:cs="Arial"/>
          <w:sz w:val="24"/>
          <w:szCs w:val="24"/>
        </w:rPr>
        <w:t xml:space="preserve">A-Level </w:t>
      </w:r>
      <w:r w:rsidR="002C2D9A" w:rsidRPr="001272D0">
        <w:rPr>
          <w:rFonts w:ascii="Arial" w:hAnsi="Arial" w:cs="Arial"/>
          <w:sz w:val="24"/>
          <w:szCs w:val="24"/>
        </w:rPr>
        <w:t>General Studies</w:t>
      </w:r>
      <w:r w:rsidR="00E63333" w:rsidRPr="001272D0">
        <w:rPr>
          <w:rFonts w:ascii="Arial" w:hAnsi="Arial" w:cs="Arial"/>
          <w:sz w:val="24"/>
          <w:szCs w:val="24"/>
        </w:rPr>
        <w:t xml:space="preserve"> is excluded (35%, </w:t>
      </w:r>
      <w:r w:rsidR="00E63333" w:rsidRPr="001272D0">
        <w:rPr>
          <w:rFonts w:ascii="Arial" w:hAnsi="Arial" w:cs="Arial"/>
          <w:i/>
          <w:iCs/>
          <w:sz w:val="24"/>
          <w:szCs w:val="24"/>
        </w:rPr>
        <w:t>n=</w:t>
      </w:r>
      <w:r w:rsidR="00E63333" w:rsidRPr="001272D0">
        <w:rPr>
          <w:rFonts w:ascii="Arial" w:hAnsi="Arial" w:cs="Arial"/>
          <w:sz w:val="24"/>
          <w:szCs w:val="24"/>
        </w:rPr>
        <w:t>16)</w:t>
      </w:r>
      <w:r w:rsidR="00EF0852" w:rsidRPr="001272D0">
        <w:rPr>
          <w:rFonts w:ascii="Arial" w:hAnsi="Arial" w:cs="Arial"/>
          <w:sz w:val="24"/>
          <w:szCs w:val="24"/>
        </w:rPr>
        <w:t>, with</w:t>
      </w:r>
      <w:r w:rsidR="002C2D9A" w:rsidRPr="001272D0">
        <w:rPr>
          <w:rFonts w:ascii="Arial" w:hAnsi="Arial" w:cs="Arial"/>
          <w:sz w:val="24"/>
          <w:szCs w:val="24"/>
        </w:rPr>
        <w:t xml:space="preserve"> no clear or direct explanatio</w:t>
      </w:r>
      <w:r w:rsidR="00F72463" w:rsidRPr="001272D0">
        <w:rPr>
          <w:rFonts w:ascii="Arial" w:hAnsi="Arial" w:cs="Arial"/>
          <w:sz w:val="24"/>
          <w:szCs w:val="24"/>
        </w:rPr>
        <w:t>n</w:t>
      </w:r>
      <w:r w:rsidR="002C2D9A" w:rsidRPr="001272D0">
        <w:rPr>
          <w:rFonts w:ascii="Arial" w:hAnsi="Arial" w:cs="Arial"/>
          <w:sz w:val="24"/>
          <w:szCs w:val="24"/>
        </w:rPr>
        <w:t xml:space="preserve">. </w:t>
      </w:r>
    </w:p>
    <w:p w14:paraId="4788860D" w14:textId="77777777" w:rsidR="00D32E3B" w:rsidRPr="001272D0" w:rsidRDefault="00D32E3B" w:rsidP="00A74EBE">
      <w:pPr>
        <w:spacing w:line="240" w:lineRule="auto"/>
        <w:jc w:val="both"/>
        <w:rPr>
          <w:rFonts w:ascii="Arial" w:eastAsia="Arial" w:hAnsi="Arial" w:cs="Arial"/>
          <w:bCs/>
          <w:iCs/>
          <w:sz w:val="24"/>
          <w:szCs w:val="24"/>
        </w:rPr>
      </w:pPr>
    </w:p>
    <w:p w14:paraId="02138639" w14:textId="0DD824C8" w:rsidR="00032349" w:rsidRPr="001272D0" w:rsidRDefault="00032349" w:rsidP="00A74EBE">
      <w:pPr>
        <w:spacing w:line="240" w:lineRule="auto"/>
        <w:jc w:val="both"/>
        <w:rPr>
          <w:rFonts w:ascii="Arial" w:eastAsia="Arial" w:hAnsi="Arial" w:cs="Arial"/>
          <w:bCs/>
          <w:iCs/>
          <w:sz w:val="24"/>
          <w:szCs w:val="24"/>
        </w:rPr>
      </w:pPr>
      <w:r w:rsidRPr="001272D0">
        <w:rPr>
          <w:rFonts w:ascii="Arial" w:hAnsi="Arial" w:cs="Arial"/>
          <w:b/>
          <w:bCs/>
          <w:sz w:val="24"/>
          <w:szCs w:val="24"/>
        </w:rPr>
        <w:t xml:space="preserve">Level 3 </w:t>
      </w:r>
      <w:r w:rsidR="00866A63" w:rsidRPr="001272D0">
        <w:rPr>
          <w:rFonts w:ascii="Arial" w:hAnsi="Arial" w:cs="Arial"/>
          <w:b/>
          <w:bCs/>
          <w:sz w:val="24"/>
          <w:szCs w:val="24"/>
        </w:rPr>
        <w:t>r</w:t>
      </w:r>
      <w:r w:rsidRPr="001272D0">
        <w:rPr>
          <w:rFonts w:ascii="Arial" w:hAnsi="Arial" w:cs="Arial"/>
          <w:b/>
          <w:bCs/>
          <w:sz w:val="24"/>
          <w:szCs w:val="24"/>
        </w:rPr>
        <w:t>equirements</w:t>
      </w:r>
      <w:r w:rsidRPr="001272D0">
        <w:rPr>
          <w:rFonts w:ascii="Arial" w:hAnsi="Arial" w:cs="Arial"/>
          <w:sz w:val="24"/>
          <w:szCs w:val="24"/>
        </w:rPr>
        <w:t xml:space="preserve"> (</w:t>
      </w:r>
      <w:r w:rsidRPr="001272D0">
        <w:rPr>
          <w:rFonts w:ascii="Arial" w:eastAsia="Arial" w:hAnsi="Arial" w:cs="Arial"/>
          <w:b/>
          <w:iCs/>
          <w:sz w:val="24"/>
          <w:szCs w:val="24"/>
        </w:rPr>
        <w:t>Access to HE, BTEC, Scottish Highers</w:t>
      </w:r>
      <w:r w:rsidR="00525A32" w:rsidRPr="001272D0">
        <w:rPr>
          <w:rFonts w:ascii="Arial" w:eastAsia="Arial" w:hAnsi="Arial" w:cs="Arial"/>
          <w:b/>
          <w:iCs/>
          <w:sz w:val="24"/>
          <w:szCs w:val="24"/>
        </w:rPr>
        <w:t xml:space="preserve">, </w:t>
      </w:r>
      <w:r w:rsidRPr="001272D0">
        <w:rPr>
          <w:rFonts w:ascii="Arial" w:eastAsia="Arial" w:hAnsi="Arial" w:cs="Arial"/>
          <w:b/>
          <w:iCs/>
          <w:sz w:val="24"/>
          <w:szCs w:val="24"/>
        </w:rPr>
        <w:t>Irish Leaving Certificate</w:t>
      </w:r>
      <w:r w:rsidR="00525A32" w:rsidRPr="001272D0">
        <w:rPr>
          <w:rFonts w:ascii="Arial" w:eastAsia="Arial" w:hAnsi="Arial" w:cs="Arial"/>
          <w:b/>
          <w:iCs/>
          <w:sz w:val="24"/>
          <w:szCs w:val="24"/>
        </w:rPr>
        <w:t>, Welsh and International Baccalaureates</w:t>
      </w:r>
      <w:r w:rsidRPr="001272D0">
        <w:rPr>
          <w:rFonts w:ascii="Arial" w:eastAsia="Arial" w:hAnsi="Arial" w:cs="Arial"/>
          <w:b/>
          <w:iCs/>
          <w:sz w:val="24"/>
          <w:szCs w:val="24"/>
        </w:rPr>
        <w:t>)</w:t>
      </w:r>
    </w:p>
    <w:p w14:paraId="01E8B536" w14:textId="5DFCAF8D" w:rsidR="00D55DC1" w:rsidRPr="001272D0" w:rsidRDefault="002C2D9A" w:rsidP="00A74EBE">
      <w:pPr>
        <w:spacing w:line="240" w:lineRule="auto"/>
        <w:jc w:val="both"/>
        <w:rPr>
          <w:rFonts w:ascii="Arial" w:eastAsia="Arial" w:hAnsi="Arial" w:cs="Arial"/>
          <w:bCs/>
          <w:iCs/>
          <w:sz w:val="24"/>
          <w:szCs w:val="24"/>
        </w:rPr>
      </w:pPr>
      <w:r w:rsidRPr="001272D0">
        <w:rPr>
          <w:rFonts w:ascii="Arial" w:eastAsia="Arial" w:hAnsi="Arial" w:cs="Arial"/>
          <w:bCs/>
          <w:iCs/>
          <w:sz w:val="24"/>
          <w:szCs w:val="24"/>
        </w:rPr>
        <w:t>39%</w:t>
      </w:r>
      <w:r w:rsidR="00AB3AB1" w:rsidRPr="001272D0">
        <w:rPr>
          <w:rFonts w:ascii="Arial" w:eastAsia="Arial" w:hAnsi="Arial" w:cs="Arial"/>
          <w:bCs/>
          <w:iCs/>
          <w:sz w:val="24"/>
          <w:szCs w:val="24"/>
        </w:rPr>
        <w:t xml:space="preserve"> (</w:t>
      </w:r>
      <w:r w:rsidR="00AB3AB1" w:rsidRPr="001272D0">
        <w:rPr>
          <w:rFonts w:ascii="Arial" w:eastAsia="Arial" w:hAnsi="Arial" w:cs="Arial"/>
          <w:bCs/>
          <w:i/>
          <w:sz w:val="24"/>
          <w:szCs w:val="24"/>
        </w:rPr>
        <w:t>n=</w:t>
      </w:r>
      <w:r w:rsidR="00AB3AB1" w:rsidRPr="001272D0">
        <w:rPr>
          <w:rFonts w:ascii="Arial" w:eastAsia="Arial" w:hAnsi="Arial" w:cs="Arial"/>
          <w:bCs/>
          <w:iCs/>
          <w:sz w:val="24"/>
          <w:szCs w:val="24"/>
        </w:rPr>
        <w:t xml:space="preserve">18) of undergraduate programmes </w:t>
      </w:r>
      <w:r w:rsidRPr="001272D0">
        <w:rPr>
          <w:rFonts w:ascii="Arial" w:eastAsia="Arial" w:hAnsi="Arial" w:cs="Arial"/>
          <w:bCs/>
          <w:iCs/>
          <w:sz w:val="24"/>
          <w:szCs w:val="24"/>
        </w:rPr>
        <w:t>do not stipulate required entry grades or</w:t>
      </w:r>
      <w:r w:rsidR="00B21FEE" w:rsidRPr="001272D0">
        <w:rPr>
          <w:rFonts w:ascii="Arial" w:eastAsia="Arial" w:hAnsi="Arial" w:cs="Arial"/>
          <w:bCs/>
          <w:iCs/>
          <w:sz w:val="24"/>
          <w:szCs w:val="24"/>
        </w:rPr>
        <w:t xml:space="preserve"> </w:t>
      </w:r>
      <w:r w:rsidRPr="001272D0">
        <w:rPr>
          <w:rFonts w:ascii="Arial" w:eastAsia="Arial" w:hAnsi="Arial" w:cs="Arial"/>
          <w:bCs/>
          <w:iCs/>
          <w:sz w:val="24"/>
          <w:szCs w:val="24"/>
        </w:rPr>
        <w:t>UCAS tariff equivalent</w:t>
      </w:r>
      <w:r w:rsidR="003A531C" w:rsidRPr="001272D0">
        <w:rPr>
          <w:rFonts w:ascii="Arial" w:eastAsia="Arial" w:hAnsi="Arial" w:cs="Arial"/>
          <w:bCs/>
          <w:iCs/>
          <w:sz w:val="24"/>
          <w:szCs w:val="24"/>
        </w:rPr>
        <w:t xml:space="preserve">s </w:t>
      </w:r>
      <w:r w:rsidRPr="001272D0">
        <w:rPr>
          <w:rFonts w:ascii="Arial" w:eastAsia="Arial" w:hAnsi="Arial" w:cs="Arial"/>
          <w:bCs/>
          <w:iCs/>
          <w:sz w:val="24"/>
          <w:szCs w:val="24"/>
        </w:rPr>
        <w:t xml:space="preserve">for Access to HE qualifications. Tariff point offers range from 64 – 128 </w:t>
      </w:r>
      <w:r w:rsidR="003E0FDE" w:rsidRPr="001272D0">
        <w:rPr>
          <w:rFonts w:ascii="Arial" w:eastAsia="Arial" w:hAnsi="Arial" w:cs="Arial"/>
          <w:bCs/>
          <w:iCs/>
          <w:sz w:val="24"/>
          <w:szCs w:val="24"/>
        </w:rPr>
        <w:t xml:space="preserve">(equivalent to A-Level </w:t>
      </w:r>
      <w:r w:rsidR="00511984" w:rsidRPr="001272D0">
        <w:rPr>
          <w:rFonts w:ascii="Arial" w:eastAsia="Arial" w:hAnsi="Arial" w:cs="Arial"/>
          <w:bCs/>
          <w:iCs/>
          <w:sz w:val="24"/>
          <w:szCs w:val="24"/>
        </w:rPr>
        <w:t xml:space="preserve">grades </w:t>
      </w:r>
      <w:r w:rsidRPr="001272D0">
        <w:rPr>
          <w:rFonts w:ascii="Arial" w:eastAsia="Arial" w:hAnsi="Arial" w:cs="Arial"/>
          <w:bCs/>
          <w:iCs/>
          <w:sz w:val="24"/>
          <w:szCs w:val="24"/>
        </w:rPr>
        <w:t>CC – ABB</w:t>
      </w:r>
      <w:r w:rsidR="00511984" w:rsidRPr="001272D0">
        <w:rPr>
          <w:rFonts w:ascii="Arial" w:eastAsia="Arial" w:hAnsi="Arial" w:cs="Arial"/>
          <w:bCs/>
          <w:iCs/>
          <w:sz w:val="24"/>
          <w:szCs w:val="24"/>
        </w:rPr>
        <w:t>)</w:t>
      </w:r>
      <w:r w:rsidRPr="001272D0">
        <w:rPr>
          <w:rFonts w:ascii="Arial" w:eastAsia="Arial" w:hAnsi="Arial" w:cs="Arial"/>
          <w:bCs/>
          <w:iCs/>
          <w:sz w:val="24"/>
          <w:szCs w:val="24"/>
        </w:rPr>
        <w:t>. The most commonly occurring minimum tariff occurs at 122 points (</w:t>
      </w:r>
      <w:r w:rsidRPr="001272D0">
        <w:rPr>
          <w:rFonts w:ascii="Arial" w:eastAsia="Arial" w:hAnsi="Arial" w:cs="Arial"/>
          <w:bCs/>
          <w:i/>
          <w:sz w:val="24"/>
          <w:szCs w:val="24"/>
        </w:rPr>
        <w:t>n</w:t>
      </w:r>
      <w:r w:rsidRPr="001272D0">
        <w:rPr>
          <w:rFonts w:ascii="Arial" w:eastAsia="Arial" w:hAnsi="Arial" w:cs="Arial"/>
          <w:bCs/>
          <w:iCs/>
          <w:sz w:val="24"/>
          <w:szCs w:val="24"/>
        </w:rPr>
        <w:t>=7) and although not easily equated to an A-Level equivalent due to a +/- 2-point discrepancy, the closest is BBB.</w:t>
      </w:r>
      <w:r w:rsidR="00E46DD4" w:rsidRPr="001272D0">
        <w:rPr>
          <w:rFonts w:ascii="Arial" w:eastAsia="Arial" w:hAnsi="Arial" w:cs="Arial"/>
          <w:bCs/>
          <w:iCs/>
          <w:sz w:val="24"/>
          <w:szCs w:val="24"/>
        </w:rPr>
        <w:t xml:space="preserve"> </w:t>
      </w:r>
      <w:r w:rsidRPr="001272D0">
        <w:rPr>
          <w:rFonts w:ascii="Arial" w:eastAsia="Arial" w:hAnsi="Arial" w:cs="Arial"/>
          <w:bCs/>
          <w:iCs/>
          <w:sz w:val="24"/>
          <w:szCs w:val="24"/>
        </w:rPr>
        <w:t>BTEC</w:t>
      </w:r>
      <w:r w:rsidR="00533F0A" w:rsidRPr="001272D0">
        <w:rPr>
          <w:rFonts w:ascii="Arial" w:eastAsia="Arial" w:hAnsi="Arial" w:cs="Arial"/>
          <w:bCs/>
          <w:iCs/>
          <w:sz w:val="24"/>
          <w:szCs w:val="24"/>
        </w:rPr>
        <w:t>s</w:t>
      </w:r>
      <w:r w:rsidRPr="001272D0">
        <w:rPr>
          <w:rFonts w:ascii="Arial" w:eastAsia="Arial" w:hAnsi="Arial" w:cs="Arial"/>
          <w:bCs/>
          <w:iCs/>
          <w:sz w:val="24"/>
          <w:szCs w:val="24"/>
        </w:rPr>
        <w:t xml:space="preserve"> are cited as a</w:t>
      </w:r>
      <w:r w:rsidR="00EA6AD8" w:rsidRPr="001272D0">
        <w:rPr>
          <w:rFonts w:ascii="Arial" w:eastAsia="Arial" w:hAnsi="Arial" w:cs="Arial"/>
          <w:bCs/>
          <w:iCs/>
          <w:sz w:val="24"/>
          <w:szCs w:val="24"/>
        </w:rPr>
        <w:t xml:space="preserve">n </w:t>
      </w:r>
      <w:r w:rsidRPr="001272D0">
        <w:rPr>
          <w:rFonts w:ascii="Arial" w:eastAsia="Arial" w:hAnsi="Arial" w:cs="Arial"/>
          <w:bCs/>
          <w:iCs/>
          <w:sz w:val="24"/>
          <w:szCs w:val="24"/>
        </w:rPr>
        <w:t xml:space="preserve">entry option for some </w:t>
      </w:r>
      <w:r w:rsidR="00210F1C" w:rsidRPr="001272D0">
        <w:rPr>
          <w:rFonts w:ascii="Arial" w:eastAsia="Arial" w:hAnsi="Arial" w:cs="Arial"/>
          <w:bCs/>
          <w:iCs/>
          <w:sz w:val="24"/>
          <w:szCs w:val="24"/>
        </w:rPr>
        <w:t xml:space="preserve">programmes but </w:t>
      </w:r>
      <w:r w:rsidRPr="001272D0">
        <w:rPr>
          <w:rFonts w:ascii="Arial" w:eastAsia="Arial" w:hAnsi="Arial" w:cs="Arial"/>
          <w:bCs/>
          <w:iCs/>
          <w:sz w:val="24"/>
          <w:szCs w:val="24"/>
        </w:rPr>
        <w:t xml:space="preserve">data is </w:t>
      </w:r>
      <w:r w:rsidR="00E46DD4" w:rsidRPr="001272D0">
        <w:rPr>
          <w:rFonts w:ascii="Arial" w:eastAsia="Arial" w:hAnsi="Arial" w:cs="Arial"/>
          <w:bCs/>
          <w:iCs/>
          <w:sz w:val="24"/>
          <w:szCs w:val="24"/>
        </w:rPr>
        <w:t>limited,</w:t>
      </w:r>
      <w:r w:rsidRPr="001272D0">
        <w:rPr>
          <w:rFonts w:ascii="Arial" w:eastAsia="Arial" w:hAnsi="Arial" w:cs="Arial"/>
          <w:bCs/>
          <w:iCs/>
          <w:sz w:val="24"/>
          <w:szCs w:val="24"/>
        </w:rPr>
        <w:t xml:space="preserve"> and </w:t>
      </w:r>
      <w:r w:rsidR="00AA2C4B" w:rsidRPr="001272D0">
        <w:rPr>
          <w:rFonts w:ascii="Arial" w:eastAsia="Arial" w:hAnsi="Arial" w:cs="Arial"/>
          <w:bCs/>
          <w:iCs/>
          <w:sz w:val="24"/>
          <w:szCs w:val="24"/>
        </w:rPr>
        <w:t xml:space="preserve">visibility </w:t>
      </w:r>
      <w:r w:rsidRPr="001272D0">
        <w:rPr>
          <w:rFonts w:ascii="Arial" w:eastAsia="Arial" w:hAnsi="Arial" w:cs="Arial"/>
          <w:bCs/>
          <w:iCs/>
          <w:sz w:val="24"/>
          <w:szCs w:val="24"/>
        </w:rPr>
        <w:t xml:space="preserve">reduces </w:t>
      </w:r>
      <w:r w:rsidR="00533F0A" w:rsidRPr="001272D0">
        <w:rPr>
          <w:rFonts w:ascii="Arial" w:eastAsia="Arial" w:hAnsi="Arial" w:cs="Arial"/>
          <w:bCs/>
          <w:iCs/>
          <w:sz w:val="24"/>
          <w:szCs w:val="24"/>
        </w:rPr>
        <w:t>across each qualification, with 3</w:t>
      </w:r>
      <w:r w:rsidR="00FE7CC4" w:rsidRPr="001272D0">
        <w:rPr>
          <w:rFonts w:ascii="Arial" w:eastAsia="Arial" w:hAnsi="Arial" w:cs="Arial"/>
          <w:bCs/>
          <w:iCs/>
          <w:sz w:val="24"/>
          <w:szCs w:val="24"/>
        </w:rPr>
        <w:t>3</w:t>
      </w:r>
      <w:r w:rsidR="00533F0A" w:rsidRPr="001272D0">
        <w:rPr>
          <w:rFonts w:ascii="Arial" w:eastAsia="Arial" w:hAnsi="Arial" w:cs="Arial"/>
          <w:bCs/>
          <w:iCs/>
          <w:sz w:val="24"/>
          <w:szCs w:val="24"/>
        </w:rPr>
        <w:t>%</w:t>
      </w:r>
      <w:r w:rsidR="00CB1F74" w:rsidRPr="001272D0">
        <w:rPr>
          <w:rFonts w:ascii="Arial" w:eastAsia="Arial" w:hAnsi="Arial" w:cs="Arial"/>
          <w:bCs/>
          <w:iCs/>
          <w:sz w:val="24"/>
          <w:szCs w:val="24"/>
        </w:rPr>
        <w:t xml:space="preserve"> (</w:t>
      </w:r>
      <w:r w:rsidR="00CB1F74" w:rsidRPr="001272D0">
        <w:rPr>
          <w:rFonts w:ascii="Arial" w:eastAsia="Arial" w:hAnsi="Arial" w:cs="Arial"/>
          <w:bCs/>
          <w:i/>
          <w:sz w:val="24"/>
          <w:szCs w:val="24"/>
        </w:rPr>
        <w:t>n=</w:t>
      </w:r>
      <w:r w:rsidR="00CB1F74" w:rsidRPr="001272D0">
        <w:rPr>
          <w:rFonts w:ascii="Arial" w:eastAsia="Arial" w:hAnsi="Arial" w:cs="Arial"/>
          <w:bCs/>
          <w:iCs/>
          <w:sz w:val="24"/>
          <w:szCs w:val="24"/>
        </w:rPr>
        <w:t>15)</w:t>
      </w:r>
      <w:r w:rsidR="00533F0A" w:rsidRPr="001272D0">
        <w:rPr>
          <w:rFonts w:ascii="Arial" w:eastAsia="Arial" w:hAnsi="Arial" w:cs="Arial"/>
          <w:bCs/>
          <w:iCs/>
          <w:sz w:val="24"/>
          <w:szCs w:val="24"/>
        </w:rPr>
        <w:t>, 80%</w:t>
      </w:r>
      <w:r w:rsidR="00CB1F74" w:rsidRPr="001272D0">
        <w:rPr>
          <w:rFonts w:ascii="Arial" w:eastAsia="Arial" w:hAnsi="Arial" w:cs="Arial"/>
          <w:bCs/>
          <w:iCs/>
          <w:sz w:val="24"/>
          <w:szCs w:val="24"/>
        </w:rPr>
        <w:t xml:space="preserve"> (</w:t>
      </w:r>
      <w:r w:rsidR="00CB1F74" w:rsidRPr="001272D0">
        <w:rPr>
          <w:rFonts w:ascii="Arial" w:eastAsia="Arial" w:hAnsi="Arial" w:cs="Arial"/>
          <w:bCs/>
          <w:i/>
          <w:sz w:val="24"/>
          <w:szCs w:val="24"/>
        </w:rPr>
        <w:t>n=</w:t>
      </w:r>
      <w:r w:rsidR="00CB1F74" w:rsidRPr="001272D0">
        <w:rPr>
          <w:rFonts w:ascii="Arial" w:eastAsia="Arial" w:hAnsi="Arial" w:cs="Arial"/>
          <w:bCs/>
          <w:iCs/>
          <w:sz w:val="24"/>
          <w:szCs w:val="24"/>
        </w:rPr>
        <w:t>37)</w:t>
      </w:r>
      <w:r w:rsidR="00533F0A" w:rsidRPr="001272D0">
        <w:rPr>
          <w:rFonts w:ascii="Arial" w:eastAsia="Arial" w:hAnsi="Arial" w:cs="Arial"/>
          <w:bCs/>
          <w:iCs/>
          <w:sz w:val="24"/>
          <w:szCs w:val="24"/>
        </w:rPr>
        <w:t xml:space="preserve"> and 9</w:t>
      </w:r>
      <w:r w:rsidR="005F2CE4" w:rsidRPr="001272D0">
        <w:rPr>
          <w:rFonts w:ascii="Arial" w:eastAsia="Arial" w:hAnsi="Arial" w:cs="Arial"/>
          <w:bCs/>
          <w:iCs/>
          <w:sz w:val="24"/>
          <w:szCs w:val="24"/>
        </w:rPr>
        <w:t>3</w:t>
      </w:r>
      <w:r w:rsidR="00533F0A" w:rsidRPr="001272D0">
        <w:rPr>
          <w:rFonts w:ascii="Arial" w:eastAsia="Arial" w:hAnsi="Arial" w:cs="Arial"/>
          <w:bCs/>
          <w:iCs/>
          <w:sz w:val="24"/>
          <w:szCs w:val="24"/>
        </w:rPr>
        <w:t>%</w:t>
      </w:r>
      <w:r w:rsidR="00CB1F74" w:rsidRPr="001272D0">
        <w:rPr>
          <w:rFonts w:ascii="Arial" w:eastAsia="Arial" w:hAnsi="Arial" w:cs="Arial"/>
          <w:bCs/>
          <w:iCs/>
          <w:sz w:val="24"/>
          <w:szCs w:val="24"/>
        </w:rPr>
        <w:t xml:space="preserve"> (</w:t>
      </w:r>
      <w:r w:rsidR="00CB1F74" w:rsidRPr="001272D0">
        <w:rPr>
          <w:rFonts w:ascii="Arial" w:eastAsia="Arial" w:hAnsi="Arial" w:cs="Arial"/>
          <w:bCs/>
          <w:i/>
          <w:sz w:val="24"/>
          <w:szCs w:val="24"/>
        </w:rPr>
        <w:t>n=</w:t>
      </w:r>
      <w:r w:rsidR="00CB1F74" w:rsidRPr="001272D0">
        <w:rPr>
          <w:rFonts w:ascii="Arial" w:eastAsia="Arial" w:hAnsi="Arial" w:cs="Arial"/>
          <w:bCs/>
          <w:iCs/>
          <w:sz w:val="24"/>
          <w:szCs w:val="24"/>
        </w:rPr>
        <w:t>43)</w:t>
      </w:r>
      <w:r w:rsidR="00533F0A" w:rsidRPr="001272D0">
        <w:rPr>
          <w:rFonts w:ascii="Arial" w:eastAsia="Arial" w:hAnsi="Arial" w:cs="Arial"/>
          <w:bCs/>
          <w:iCs/>
          <w:sz w:val="24"/>
          <w:szCs w:val="24"/>
        </w:rPr>
        <w:t xml:space="preserve"> not stipulating entry criteria across the Extended Diploma, Diploma and Extended Certificate/Subsidiary Diploma respectively</w:t>
      </w:r>
      <w:r w:rsidRPr="001272D0">
        <w:rPr>
          <w:rFonts w:ascii="Arial" w:eastAsia="Arial" w:hAnsi="Arial" w:cs="Arial"/>
          <w:bCs/>
          <w:iCs/>
          <w:sz w:val="24"/>
          <w:szCs w:val="24"/>
        </w:rPr>
        <w:t xml:space="preserve">. </w:t>
      </w:r>
      <w:r w:rsidR="00533F0A" w:rsidRPr="001272D0">
        <w:rPr>
          <w:rFonts w:ascii="Arial" w:eastAsia="Arial" w:hAnsi="Arial" w:cs="Arial"/>
          <w:bCs/>
          <w:iCs/>
          <w:sz w:val="24"/>
          <w:szCs w:val="24"/>
        </w:rPr>
        <w:t>Where they are present,</w:t>
      </w:r>
      <w:r w:rsidR="00703900" w:rsidRPr="001272D0">
        <w:rPr>
          <w:rFonts w:ascii="Arial" w:eastAsia="Arial" w:hAnsi="Arial" w:cs="Arial"/>
          <w:bCs/>
          <w:iCs/>
          <w:sz w:val="24"/>
          <w:szCs w:val="24"/>
        </w:rPr>
        <w:t xml:space="preserve"> minimum</w:t>
      </w:r>
      <w:r w:rsidR="00533F0A" w:rsidRPr="001272D0">
        <w:rPr>
          <w:rFonts w:ascii="Arial" w:eastAsia="Arial" w:hAnsi="Arial" w:cs="Arial"/>
          <w:bCs/>
          <w:iCs/>
          <w:sz w:val="24"/>
          <w:szCs w:val="24"/>
        </w:rPr>
        <w:t xml:space="preserve"> t</w:t>
      </w:r>
      <w:r w:rsidRPr="001272D0">
        <w:rPr>
          <w:rFonts w:ascii="Arial" w:eastAsia="Arial" w:hAnsi="Arial" w:cs="Arial"/>
          <w:bCs/>
          <w:iCs/>
          <w:sz w:val="24"/>
          <w:szCs w:val="24"/>
        </w:rPr>
        <w:t>ariff point offers range from 104 – 144 (equivalent to BCC – AAA)</w:t>
      </w:r>
      <w:r w:rsidR="00773E14" w:rsidRPr="001272D0">
        <w:rPr>
          <w:rFonts w:ascii="Arial" w:eastAsia="Arial" w:hAnsi="Arial" w:cs="Arial"/>
          <w:bCs/>
          <w:iCs/>
          <w:sz w:val="24"/>
          <w:szCs w:val="24"/>
        </w:rPr>
        <w:t>, with t</w:t>
      </w:r>
      <w:r w:rsidRPr="001272D0">
        <w:rPr>
          <w:rFonts w:ascii="Arial" w:eastAsia="Arial" w:hAnsi="Arial" w:cs="Arial"/>
          <w:bCs/>
          <w:iCs/>
          <w:sz w:val="24"/>
          <w:szCs w:val="24"/>
        </w:rPr>
        <w:t>he most commonly occurring minimum tariff</w:t>
      </w:r>
      <w:r w:rsidR="00773E14" w:rsidRPr="001272D0">
        <w:rPr>
          <w:rFonts w:ascii="Arial" w:eastAsia="Arial" w:hAnsi="Arial" w:cs="Arial"/>
          <w:bCs/>
          <w:iCs/>
          <w:sz w:val="24"/>
          <w:szCs w:val="24"/>
        </w:rPr>
        <w:t xml:space="preserve"> (</w:t>
      </w:r>
      <w:r w:rsidR="00773E14" w:rsidRPr="001272D0">
        <w:rPr>
          <w:rFonts w:ascii="Arial" w:eastAsia="Arial" w:hAnsi="Arial" w:cs="Arial"/>
          <w:bCs/>
          <w:i/>
          <w:sz w:val="24"/>
          <w:szCs w:val="24"/>
        </w:rPr>
        <w:t>n</w:t>
      </w:r>
      <w:r w:rsidR="00773E14" w:rsidRPr="001272D0">
        <w:rPr>
          <w:rFonts w:ascii="Arial" w:eastAsia="Arial" w:hAnsi="Arial" w:cs="Arial"/>
          <w:bCs/>
          <w:iCs/>
          <w:sz w:val="24"/>
          <w:szCs w:val="24"/>
        </w:rPr>
        <w:t>=21) occurring</w:t>
      </w:r>
      <w:r w:rsidRPr="001272D0">
        <w:rPr>
          <w:rFonts w:ascii="Arial" w:eastAsia="Arial" w:hAnsi="Arial" w:cs="Arial"/>
          <w:bCs/>
          <w:iCs/>
          <w:sz w:val="24"/>
          <w:szCs w:val="24"/>
        </w:rPr>
        <w:t xml:space="preserve"> at 128 points</w:t>
      </w:r>
      <w:r w:rsidR="0012256F" w:rsidRPr="001272D0">
        <w:rPr>
          <w:rFonts w:ascii="Arial" w:eastAsia="Arial" w:hAnsi="Arial" w:cs="Arial"/>
          <w:bCs/>
          <w:iCs/>
          <w:sz w:val="24"/>
          <w:szCs w:val="24"/>
        </w:rPr>
        <w:t xml:space="preserve"> </w:t>
      </w:r>
      <w:r w:rsidR="005A469A" w:rsidRPr="001272D0">
        <w:rPr>
          <w:rFonts w:ascii="Arial" w:eastAsia="Arial" w:hAnsi="Arial" w:cs="Arial"/>
          <w:bCs/>
          <w:iCs/>
          <w:sz w:val="24"/>
          <w:szCs w:val="24"/>
        </w:rPr>
        <w:t>(</w:t>
      </w:r>
      <w:r w:rsidRPr="001272D0">
        <w:rPr>
          <w:rFonts w:ascii="Arial" w:eastAsia="Arial" w:hAnsi="Arial" w:cs="Arial"/>
          <w:bCs/>
          <w:iCs/>
          <w:sz w:val="24"/>
          <w:szCs w:val="24"/>
        </w:rPr>
        <w:t>equivalent to ABB</w:t>
      </w:r>
      <w:r w:rsidR="005A469A" w:rsidRPr="001272D0">
        <w:rPr>
          <w:rFonts w:ascii="Arial" w:eastAsia="Arial" w:hAnsi="Arial" w:cs="Arial"/>
          <w:bCs/>
          <w:iCs/>
          <w:sz w:val="24"/>
          <w:szCs w:val="24"/>
        </w:rPr>
        <w:t>)</w:t>
      </w:r>
      <w:r w:rsidRPr="001272D0">
        <w:rPr>
          <w:rFonts w:ascii="Arial" w:eastAsia="Arial" w:hAnsi="Arial" w:cs="Arial"/>
          <w:bCs/>
          <w:iCs/>
          <w:sz w:val="24"/>
          <w:szCs w:val="24"/>
        </w:rPr>
        <w:t>.</w:t>
      </w:r>
      <w:r w:rsidR="00D06A52" w:rsidRPr="001272D0">
        <w:rPr>
          <w:rFonts w:ascii="Arial" w:eastAsia="Arial" w:hAnsi="Arial" w:cs="Arial"/>
          <w:bCs/>
          <w:iCs/>
          <w:sz w:val="24"/>
          <w:szCs w:val="24"/>
        </w:rPr>
        <w:t xml:space="preserve"> </w:t>
      </w:r>
      <w:r w:rsidRPr="001272D0">
        <w:rPr>
          <w:rFonts w:ascii="Arial" w:eastAsia="Arial" w:hAnsi="Arial" w:cs="Arial"/>
          <w:bCs/>
          <w:iCs/>
          <w:sz w:val="24"/>
          <w:szCs w:val="24"/>
        </w:rPr>
        <w:t>Data for the</w:t>
      </w:r>
      <w:r w:rsidR="00D06A52" w:rsidRPr="001272D0">
        <w:rPr>
          <w:rFonts w:ascii="Arial" w:eastAsia="Arial" w:hAnsi="Arial" w:cs="Arial"/>
          <w:bCs/>
          <w:iCs/>
          <w:sz w:val="24"/>
          <w:szCs w:val="24"/>
        </w:rPr>
        <w:t xml:space="preserve"> devolved nation</w:t>
      </w:r>
      <w:r w:rsidR="002A06D7" w:rsidRPr="001272D0">
        <w:rPr>
          <w:rFonts w:ascii="Arial" w:eastAsia="Arial" w:hAnsi="Arial" w:cs="Arial"/>
          <w:bCs/>
          <w:iCs/>
          <w:sz w:val="24"/>
          <w:szCs w:val="24"/>
        </w:rPr>
        <w:t>s</w:t>
      </w:r>
      <w:r w:rsidRPr="001272D0">
        <w:rPr>
          <w:rFonts w:ascii="Arial" w:eastAsia="Arial" w:hAnsi="Arial" w:cs="Arial"/>
          <w:bCs/>
          <w:iCs/>
          <w:sz w:val="24"/>
          <w:szCs w:val="24"/>
        </w:rPr>
        <w:t xml:space="preserve"> </w:t>
      </w:r>
      <w:r w:rsidR="00065242" w:rsidRPr="001272D0">
        <w:rPr>
          <w:rFonts w:ascii="Arial" w:eastAsia="Arial" w:hAnsi="Arial" w:cs="Arial"/>
          <w:bCs/>
          <w:iCs/>
          <w:sz w:val="24"/>
          <w:szCs w:val="24"/>
        </w:rPr>
        <w:t>and Europea</w:t>
      </w:r>
      <w:r w:rsidR="00D93AB0" w:rsidRPr="001272D0">
        <w:rPr>
          <w:rFonts w:ascii="Arial" w:eastAsia="Arial" w:hAnsi="Arial" w:cs="Arial"/>
          <w:bCs/>
          <w:iCs/>
          <w:sz w:val="24"/>
          <w:szCs w:val="24"/>
        </w:rPr>
        <w:t>n</w:t>
      </w:r>
      <w:r w:rsidRPr="001272D0">
        <w:rPr>
          <w:rFonts w:ascii="Arial" w:eastAsia="Arial" w:hAnsi="Arial" w:cs="Arial"/>
          <w:bCs/>
          <w:iCs/>
          <w:sz w:val="24"/>
          <w:szCs w:val="24"/>
        </w:rPr>
        <w:t xml:space="preserve"> qualifications is limited, with between just </w:t>
      </w:r>
      <w:r w:rsidR="00437A95" w:rsidRPr="001272D0">
        <w:rPr>
          <w:rFonts w:ascii="Arial" w:eastAsia="Arial" w:hAnsi="Arial" w:cs="Arial"/>
          <w:bCs/>
          <w:iCs/>
          <w:sz w:val="24"/>
          <w:szCs w:val="24"/>
        </w:rPr>
        <w:t>two</w:t>
      </w:r>
      <w:r w:rsidRPr="001272D0">
        <w:rPr>
          <w:rFonts w:ascii="Arial" w:eastAsia="Arial" w:hAnsi="Arial" w:cs="Arial"/>
          <w:bCs/>
          <w:iCs/>
          <w:sz w:val="24"/>
          <w:szCs w:val="24"/>
        </w:rPr>
        <w:t xml:space="preserve"> and </w:t>
      </w:r>
      <w:r w:rsidR="00437A95" w:rsidRPr="001272D0">
        <w:rPr>
          <w:rFonts w:ascii="Arial" w:eastAsia="Arial" w:hAnsi="Arial" w:cs="Arial"/>
          <w:bCs/>
          <w:iCs/>
          <w:sz w:val="24"/>
          <w:szCs w:val="24"/>
        </w:rPr>
        <w:t>fourteen</w:t>
      </w:r>
      <w:r w:rsidRPr="001272D0">
        <w:rPr>
          <w:rFonts w:ascii="Arial" w:eastAsia="Arial" w:hAnsi="Arial" w:cs="Arial"/>
          <w:bCs/>
          <w:iCs/>
          <w:sz w:val="24"/>
          <w:szCs w:val="24"/>
        </w:rPr>
        <w:t xml:space="preserve"> program</w:t>
      </w:r>
      <w:r w:rsidR="00065242" w:rsidRPr="001272D0">
        <w:rPr>
          <w:rFonts w:ascii="Arial" w:eastAsia="Arial" w:hAnsi="Arial" w:cs="Arial"/>
          <w:bCs/>
          <w:iCs/>
          <w:sz w:val="24"/>
          <w:szCs w:val="24"/>
        </w:rPr>
        <w:t>me</w:t>
      </w:r>
      <w:r w:rsidRPr="001272D0">
        <w:rPr>
          <w:rFonts w:ascii="Arial" w:eastAsia="Arial" w:hAnsi="Arial" w:cs="Arial"/>
          <w:bCs/>
          <w:iCs/>
          <w:sz w:val="24"/>
          <w:szCs w:val="24"/>
        </w:rPr>
        <w:t>s stipulating minimum entry criteria for each qualification.</w:t>
      </w:r>
      <w:r w:rsidR="00066175" w:rsidRPr="001272D0">
        <w:rPr>
          <w:rFonts w:ascii="Arial" w:eastAsia="Arial" w:hAnsi="Arial" w:cs="Arial"/>
          <w:bCs/>
          <w:iCs/>
          <w:sz w:val="24"/>
          <w:szCs w:val="24"/>
        </w:rPr>
        <w:t xml:space="preserve"> A</w:t>
      </w:r>
      <w:r w:rsidR="00A235F3" w:rsidRPr="001272D0">
        <w:rPr>
          <w:rFonts w:ascii="Arial" w:eastAsia="Arial" w:hAnsi="Arial" w:cs="Arial"/>
          <w:bCs/>
          <w:iCs/>
          <w:sz w:val="24"/>
          <w:szCs w:val="24"/>
        </w:rPr>
        <w:t xml:space="preserve"> range of minimum entry criteria is</w:t>
      </w:r>
      <w:r w:rsidR="00D93AB0" w:rsidRPr="001272D0">
        <w:rPr>
          <w:rFonts w:ascii="Arial" w:eastAsia="Arial" w:hAnsi="Arial" w:cs="Arial"/>
          <w:bCs/>
          <w:iCs/>
          <w:sz w:val="24"/>
          <w:szCs w:val="24"/>
        </w:rPr>
        <w:t xml:space="preserve"> seen</w:t>
      </w:r>
      <w:r w:rsidR="00A235F3" w:rsidRPr="001272D0">
        <w:rPr>
          <w:rFonts w:ascii="Arial" w:eastAsia="Arial" w:hAnsi="Arial" w:cs="Arial"/>
          <w:bCs/>
          <w:iCs/>
          <w:sz w:val="24"/>
          <w:szCs w:val="24"/>
        </w:rPr>
        <w:t>, with the lowest minimum tariff of 80 points (equivalent to CCE) stated for the European Baccalaureate and the highest minimum tariff of 147 (closest equivalent of 144 points</w:t>
      </w:r>
      <w:r w:rsidR="000B1CB4" w:rsidRPr="001272D0">
        <w:rPr>
          <w:rFonts w:ascii="Arial" w:eastAsia="Arial" w:hAnsi="Arial" w:cs="Arial"/>
          <w:bCs/>
          <w:iCs/>
          <w:sz w:val="24"/>
          <w:szCs w:val="24"/>
        </w:rPr>
        <w:t xml:space="preserve">, equivalent to </w:t>
      </w:r>
      <w:r w:rsidR="00A235F3" w:rsidRPr="001272D0">
        <w:rPr>
          <w:rFonts w:ascii="Arial" w:eastAsia="Arial" w:hAnsi="Arial" w:cs="Arial"/>
          <w:bCs/>
          <w:iCs/>
          <w:sz w:val="24"/>
          <w:szCs w:val="24"/>
        </w:rPr>
        <w:t xml:space="preserve">AAA) for Scottish Highers. </w:t>
      </w:r>
    </w:p>
    <w:p w14:paraId="1F70AEFD" w14:textId="77777777" w:rsidR="006979AB" w:rsidRPr="001272D0" w:rsidRDefault="006979AB" w:rsidP="00A74EBE">
      <w:pPr>
        <w:spacing w:line="240" w:lineRule="auto"/>
        <w:jc w:val="both"/>
        <w:rPr>
          <w:rFonts w:ascii="Arial" w:eastAsia="Arial" w:hAnsi="Arial" w:cs="Arial"/>
          <w:bCs/>
          <w:iCs/>
          <w:sz w:val="24"/>
          <w:szCs w:val="24"/>
        </w:rPr>
      </w:pPr>
    </w:p>
    <w:p w14:paraId="7EB91A50" w14:textId="654D45DA" w:rsidR="002C2D9A" w:rsidRPr="001272D0" w:rsidRDefault="002C2D9A" w:rsidP="00A74EBE">
      <w:pPr>
        <w:pBdr>
          <w:top w:val="nil"/>
          <w:left w:val="nil"/>
          <w:bottom w:val="nil"/>
          <w:right w:val="nil"/>
          <w:between w:val="nil"/>
        </w:pBdr>
        <w:spacing w:after="0" w:line="240" w:lineRule="auto"/>
        <w:jc w:val="both"/>
        <w:rPr>
          <w:rFonts w:ascii="Arial" w:eastAsia="Arial" w:hAnsi="Arial" w:cs="Arial"/>
          <w:b/>
          <w:iCs/>
          <w:sz w:val="24"/>
          <w:szCs w:val="24"/>
        </w:rPr>
      </w:pPr>
      <w:r w:rsidRPr="001272D0">
        <w:rPr>
          <w:rFonts w:ascii="Arial" w:eastAsia="Arial" w:hAnsi="Arial" w:cs="Arial"/>
          <w:b/>
          <w:iCs/>
          <w:sz w:val="24"/>
          <w:szCs w:val="24"/>
        </w:rPr>
        <w:t xml:space="preserve">Level 5 </w:t>
      </w:r>
      <w:r w:rsidR="00866A63" w:rsidRPr="001272D0">
        <w:rPr>
          <w:rFonts w:ascii="Arial" w:eastAsia="Arial" w:hAnsi="Arial" w:cs="Arial"/>
          <w:b/>
          <w:iCs/>
          <w:sz w:val="24"/>
          <w:szCs w:val="24"/>
        </w:rPr>
        <w:t>r</w:t>
      </w:r>
      <w:r w:rsidRPr="001272D0">
        <w:rPr>
          <w:rFonts w:ascii="Arial" w:eastAsia="Arial" w:hAnsi="Arial" w:cs="Arial"/>
          <w:b/>
          <w:iCs/>
          <w:sz w:val="24"/>
          <w:szCs w:val="24"/>
        </w:rPr>
        <w:t>equirements (</w:t>
      </w:r>
      <w:r w:rsidR="00866A63" w:rsidRPr="001272D0">
        <w:rPr>
          <w:rFonts w:ascii="Arial" w:eastAsia="Arial" w:hAnsi="Arial" w:cs="Arial"/>
          <w:b/>
          <w:iCs/>
          <w:sz w:val="24"/>
          <w:szCs w:val="24"/>
        </w:rPr>
        <w:t>f</w:t>
      </w:r>
      <w:r w:rsidRPr="001272D0">
        <w:rPr>
          <w:rFonts w:ascii="Arial" w:eastAsia="Arial" w:hAnsi="Arial" w:cs="Arial"/>
          <w:b/>
          <w:iCs/>
          <w:sz w:val="24"/>
          <w:szCs w:val="24"/>
        </w:rPr>
        <w:t xml:space="preserve">oundation </w:t>
      </w:r>
      <w:r w:rsidR="00866A63" w:rsidRPr="001272D0">
        <w:rPr>
          <w:rFonts w:ascii="Arial" w:eastAsia="Arial" w:hAnsi="Arial" w:cs="Arial"/>
          <w:b/>
          <w:iCs/>
          <w:sz w:val="24"/>
          <w:szCs w:val="24"/>
        </w:rPr>
        <w:t>d</w:t>
      </w:r>
      <w:r w:rsidRPr="001272D0">
        <w:rPr>
          <w:rFonts w:ascii="Arial" w:eastAsia="Arial" w:hAnsi="Arial" w:cs="Arial"/>
          <w:b/>
          <w:iCs/>
          <w:sz w:val="24"/>
          <w:szCs w:val="24"/>
        </w:rPr>
        <w:t>egree)</w:t>
      </w:r>
    </w:p>
    <w:p w14:paraId="32F61B6B" w14:textId="6C8F3E7B" w:rsidR="002C2D9A" w:rsidRPr="001272D0" w:rsidRDefault="002C2D9A" w:rsidP="00A74EBE">
      <w:pPr>
        <w:pBdr>
          <w:top w:val="nil"/>
          <w:left w:val="nil"/>
          <w:bottom w:val="nil"/>
          <w:right w:val="nil"/>
          <w:between w:val="nil"/>
        </w:pBdr>
        <w:spacing w:after="0" w:line="240" w:lineRule="auto"/>
        <w:jc w:val="both"/>
        <w:rPr>
          <w:rFonts w:ascii="Arial" w:eastAsia="Arial" w:hAnsi="Arial" w:cs="Arial"/>
          <w:bCs/>
          <w:iCs/>
          <w:sz w:val="24"/>
          <w:szCs w:val="24"/>
        </w:rPr>
      </w:pPr>
      <w:r w:rsidRPr="001272D0">
        <w:rPr>
          <w:rFonts w:ascii="Arial" w:eastAsia="Arial" w:hAnsi="Arial" w:cs="Arial"/>
          <w:bCs/>
          <w:iCs/>
          <w:sz w:val="24"/>
          <w:szCs w:val="24"/>
        </w:rPr>
        <w:t>17%</w:t>
      </w:r>
      <w:r w:rsidR="007E0EA0" w:rsidRPr="001272D0">
        <w:rPr>
          <w:rFonts w:ascii="Arial" w:eastAsia="Arial" w:hAnsi="Arial" w:cs="Arial"/>
          <w:bCs/>
          <w:iCs/>
          <w:sz w:val="24"/>
          <w:szCs w:val="24"/>
        </w:rPr>
        <w:t xml:space="preserve"> (</w:t>
      </w:r>
      <w:r w:rsidR="007E0EA0" w:rsidRPr="001272D0">
        <w:rPr>
          <w:rFonts w:ascii="Arial" w:eastAsia="Arial" w:hAnsi="Arial" w:cs="Arial"/>
          <w:bCs/>
          <w:i/>
          <w:sz w:val="24"/>
          <w:szCs w:val="24"/>
        </w:rPr>
        <w:t>n=</w:t>
      </w:r>
      <w:r w:rsidR="007E0EA0" w:rsidRPr="001272D0">
        <w:rPr>
          <w:rFonts w:ascii="Arial" w:eastAsia="Arial" w:hAnsi="Arial" w:cs="Arial"/>
          <w:bCs/>
          <w:iCs/>
          <w:sz w:val="24"/>
          <w:szCs w:val="24"/>
        </w:rPr>
        <w:t xml:space="preserve">8) </w:t>
      </w:r>
      <w:r w:rsidRPr="001272D0">
        <w:rPr>
          <w:rFonts w:ascii="Arial" w:eastAsia="Arial" w:hAnsi="Arial" w:cs="Arial"/>
          <w:bCs/>
          <w:iCs/>
          <w:sz w:val="24"/>
          <w:szCs w:val="24"/>
        </w:rPr>
        <w:t>undergraduate program</w:t>
      </w:r>
      <w:r w:rsidR="007E0EA0" w:rsidRPr="001272D0">
        <w:rPr>
          <w:rFonts w:ascii="Arial" w:eastAsia="Arial" w:hAnsi="Arial" w:cs="Arial"/>
          <w:bCs/>
          <w:iCs/>
          <w:sz w:val="24"/>
          <w:szCs w:val="24"/>
        </w:rPr>
        <w:t>me</w:t>
      </w:r>
      <w:r w:rsidRPr="001272D0">
        <w:rPr>
          <w:rFonts w:ascii="Arial" w:eastAsia="Arial" w:hAnsi="Arial" w:cs="Arial"/>
          <w:bCs/>
          <w:iCs/>
          <w:sz w:val="24"/>
          <w:szCs w:val="24"/>
        </w:rPr>
        <w:t>s clarify whether Health and Science Foundation Degrees (</w:t>
      </w:r>
      <w:r w:rsidR="004B45D1" w:rsidRPr="001272D0">
        <w:rPr>
          <w:rFonts w:ascii="Arial" w:eastAsia="Arial" w:hAnsi="Arial" w:cs="Arial"/>
          <w:bCs/>
          <w:iCs/>
          <w:sz w:val="24"/>
          <w:szCs w:val="24"/>
        </w:rPr>
        <w:t>H&amp;S</w:t>
      </w:r>
      <w:r w:rsidRPr="001272D0">
        <w:rPr>
          <w:rFonts w:ascii="Arial" w:eastAsia="Arial" w:hAnsi="Arial" w:cs="Arial"/>
          <w:bCs/>
          <w:iCs/>
          <w:sz w:val="24"/>
          <w:szCs w:val="24"/>
        </w:rPr>
        <w:t xml:space="preserve">FD) are accepted for entry. Of these, six require candidates to have undertaken their own institutions’ FD, with two accepting a </w:t>
      </w:r>
      <w:r w:rsidR="004B45D1" w:rsidRPr="001272D0">
        <w:rPr>
          <w:rFonts w:ascii="Arial" w:eastAsia="Arial" w:hAnsi="Arial" w:cs="Arial"/>
          <w:bCs/>
          <w:iCs/>
          <w:sz w:val="24"/>
          <w:szCs w:val="24"/>
        </w:rPr>
        <w:t>H&amp;SFD</w:t>
      </w:r>
      <w:r w:rsidRPr="001272D0">
        <w:rPr>
          <w:rFonts w:ascii="Arial" w:eastAsia="Arial" w:hAnsi="Arial" w:cs="Arial"/>
          <w:bCs/>
          <w:iCs/>
          <w:sz w:val="24"/>
          <w:szCs w:val="24"/>
        </w:rPr>
        <w:t xml:space="preserve"> from any institution. </w:t>
      </w:r>
    </w:p>
    <w:p w14:paraId="20B5BB56" w14:textId="77777777" w:rsidR="006979AB" w:rsidRPr="001272D0" w:rsidRDefault="006979AB" w:rsidP="00A74EBE">
      <w:pPr>
        <w:pBdr>
          <w:top w:val="nil"/>
          <w:left w:val="nil"/>
          <w:bottom w:val="nil"/>
          <w:right w:val="nil"/>
          <w:between w:val="nil"/>
        </w:pBdr>
        <w:spacing w:after="0" w:line="240" w:lineRule="auto"/>
        <w:jc w:val="both"/>
        <w:rPr>
          <w:rFonts w:ascii="Arial" w:eastAsia="Arial" w:hAnsi="Arial" w:cs="Arial"/>
          <w:bCs/>
          <w:iCs/>
          <w:sz w:val="24"/>
          <w:szCs w:val="24"/>
        </w:rPr>
      </w:pPr>
    </w:p>
    <w:p w14:paraId="2686AB0B" w14:textId="77777777" w:rsidR="002C2D9A" w:rsidRPr="001272D0" w:rsidRDefault="002C2D9A" w:rsidP="00A74EBE">
      <w:pPr>
        <w:pBdr>
          <w:top w:val="nil"/>
          <w:left w:val="nil"/>
          <w:bottom w:val="nil"/>
          <w:right w:val="nil"/>
          <w:between w:val="nil"/>
        </w:pBdr>
        <w:spacing w:after="0" w:line="240" w:lineRule="auto"/>
        <w:jc w:val="both"/>
        <w:rPr>
          <w:rFonts w:ascii="Arial" w:eastAsia="Arial" w:hAnsi="Arial" w:cs="Arial"/>
          <w:b/>
          <w:iCs/>
          <w:sz w:val="24"/>
          <w:szCs w:val="24"/>
        </w:rPr>
      </w:pPr>
    </w:p>
    <w:p w14:paraId="175C904D" w14:textId="59F89368" w:rsidR="002C2D9A" w:rsidRPr="001272D0" w:rsidRDefault="002C2D9A" w:rsidP="00A74EBE">
      <w:pPr>
        <w:pBdr>
          <w:top w:val="nil"/>
          <w:left w:val="nil"/>
          <w:bottom w:val="nil"/>
          <w:right w:val="nil"/>
          <w:between w:val="nil"/>
        </w:pBdr>
        <w:spacing w:after="0" w:line="240" w:lineRule="auto"/>
        <w:jc w:val="both"/>
        <w:rPr>
          <w:rFonts w:ascii="Arial" w:eastAsia="Arial" w:hAnsi="Arial" w:cs="Arial"/>
          <w:b/>
          <w:iCs/>
          <w:sz w:val="24"/>
          <w:szCs w:val="24"/>
        </w:rPr>
      </w:pPr>
      <w:r w:rsidRPr="001272D0">
        <w:rPr>
          <w:rFonts w:ascii="Arial" w:eastAsia="Arial" w:hAnsi="Arial" w:cs="Arial"/>
          <w:b/>
          <w:iCs/>
          <w:sz w:val="24"/>
          <w:szCs w:val="24"/>
        </w:rPr>
        <w:t xml:space="preserve">Level 6 </w:t>
      </w:r>
      <w:r w:rsidR="00866A63" w:rsidRPr="001272D0">
        <w:rPr>
          <w:rFonts w:ascii="Arial" w:eastAsia="Arial" w:hAnsi="Arial" w:cs="Arial"/>
          <w:b/>
          <w:iCs/>
          <w:sz w:val="24"/>
          <w:szCs w:val="24"/>
        </w:rPr>
        <w:t>r</w:t>
      </w:r>
      <w:r w:rsidRPr="001272D0">
        <w:rPr>
          <w:rFonts w:ascii="Arial" w:eastAsia="Arial" w:hAnsi="Arial" w:cs="Arial"/>
          <w:b/>
          <w:iCs/>
          <w:sz w:val="24"/>
          <w:szCs w:val="24"/>
        </w:rPr>
        <w:t>equirements (</w:t>
      </w:r>
      <w:r w:rsidR="00866A63" w:rsidRPr="001272D0">
        <w:rPr>
          <w:rFonts w:ascii="Arial" w:eastAsia="Arial" w:hAnsi="Arial" w:cs="Arial"/>
          <w:b/>
          <w:iCs/>
          <w:sz w:val="24"/>
          <w:szCs w:val="24"/>
        </w:rPr>
        <w:t>u</w:t>
      </w:r>
      <w:r w:rsidRPr="001272D0">
        <w:rPr>
          <w:rFonts w:ascii="Arial" w:eastAsia="Arial" w:hAnsi="Arial" w:cs="Arial"/>
          <w:b/>
          <w:iCs/>
          <w:sz w:val="24"/>
          <w:szCs w:val="24"/>
        </w:rPr>
        <w:t>ndergraduate degree)</w:t>
      </w:r>
    </w:p>
    <w:p w14:paraId="101F41D3" w14:textId="71CB297B" w:rsidR="00D32E3B" w:rsidRPr="001272D0" w:rsidRDefault="006A4029" w:rsidP="00A74EBE">
      <w:pPr>
        <w:pBdr>
          <w:top w:val="nil"/>
          <w:left w:val="nil"/>
          <w:bottom w:val="nil"/>
          <w:right w:val="nil"/>
          <w:between w:val="nil"/>
        </w:pBdr>
        <w:spacing w:after="0" w:line="240" w:lineRule="auto"/>
        <w:jc w:val="both"/>
        <w:rPr>
          <w:rFonts w:ascii="Arial" w:hAnsi="Arial" w:cs="Arial"/>
          <w:sz w:val="24"/>
          <w:szCs w:val="24"/>
        </w:rPr>
      </w:pPr>
      <w:r w:rsidRPr="001272D0">
        <w:rPr>
          <w:rFonts w:ascii="Arial" w:eastAsia="Arial" w:hAnsi="Arial" w:cs="Arial"/>
          <w:bCs/>
          <w:iCs/>
          <w:sz w:val="24"/>
          <w:szCs w:val="24"/>
        </w:rPr>
        <w:t>As most</w:t>
      </w:r>
      <w:r w:rsidR="002C2D9A" w:rsidRPr="001272D0">
        <w:rPr>
          <w:rFonts w:ascii="Arial" w:eastAsia="Arial" w:hAnsi="Arial" w:cs="Arial"/>
          <w:bCs/>
          <w:iCs/>
          <w:sz w:val="24"/>
          <w:szCs w:val="24"/>
        </w:rPr>
        <w:t xml:space="preserve"> </w:t>
      </w:r>
      <w:r w:rsidR="00F32F21" w:rsidRPr="001272D0">
        <w:rPr>
          <w:rFonts w:ascii="Arial" w:eastAsia="Arial" w:hAnsi="Arial" w:cs="Arial"/>
          <w:bCs/>
          <w:iCs/>
          <w:sz w:val="24"/>
          <w:szCs w:val="24"/>
        </w:rPr>
        <w:t xml:space="preserve">undergraduate </w:t>
      </w:r>
      <w:r w:rsidR="002C2D9A" w:rsidRPr="001272D0">
        <w:rPr>
          <w:rFonts w:ascii="Arial" w:eastAsia="Arial" w:hAnsi="Arial" w:cs="Arial"/>
          <w:bCs/>
          <w:iCs/>
          <w:sz w:val="24"/>
          <w:szCs w:val="24"/>
        </w:rPr>
        <w:t>candidates would not be expected</w:t>
      </w:r>
      <w:r w:rsidR="004735EE" w:rsidRPr="001272D0">
        <w:rPr>
          <w:rFonts w:ascii="Arial" w:eastAsia="Arial" w:hAnsi="Arial" w:cs="Arial"/>
          <w:bCs/>
          <w:iCs/>
          <w:sz w:val="24"/>
          <w:szCs w:val="24"/>
        </w:rPr>
        <w:t xml:space="preserve"> to</w:t>
      </w:r>
      <w:r w:rsidR="002C2D9A" w:rsidRPr="001272D0">
        <w:rPr>
          <w:rFonts w:ascii="Arial" w:eastAsia="Arial" w:hAnsi="Arial" w:cs="Arial"/>
          <w:bCs/>
          <w:iCs/>
          <w:sz w:val="24"/>
          <w:szCs w:val="24"/>
        </w:rPr>
        <w:t xml:space="preserve"> have achieved</w:t>
      </w:r>
      <w:r w:rsidR="00822E46" w:rsidRPr="001272D0">
        <w:rPr>
          <w:rFonts w:ascii="Arial" w:eastAsia="Arial" w:hAnsi="Arial" w:cs="Arial"/>
          <w:bCs/>
          <w:iCs/>
          <w:sz w:val="24"/>
          <w:szCs w:val="24"/>
        </w:rPr>
        <w:t xml:space="preserve"> </w:t>
      </w:r>
      <w:r w:rsidR="002C2D9A" w:rsidRPr="001272D0">
        <w:rPr>
          <w:rFonts w:ascii="Arial" w:eastAsia="Arial" w:hAnsi="Arial" w:cs="Arial"/>
          <w:bCs/>
          <w:iCs/>
          <w:sz w:val="24"/>
          <w:szCs w:val="24"/>
        </w:rPr>
        <w:t>a previous degree</w:t>
      </w:r>
      <w:r w:rsidRPr="001272D0">
        <w:rPr>
          <w:rFonts w:ascii="Arial" w:eastAsia="Arial" w:hAnsi="Arial" w:cs="Arial"/>
          <w:bCs/>
          <w:iCs/>
          <w:sz w:val="24"/>
          <w:szCs w:val="24"/>
        </w:rPr>
        <w:t xml:space="preserve">, </w:t>
      </w:r>
      <w:r w:rsidR="002C2D9A" w:rsidRPr="001272D0">
        <w:rPr>
          <w:rFonts w:ascii="Arial" w:eastAsia="Arial" w:hAnsi="Arial" w:cs="Arial"/>
          <w:bCs/>
          <w:iCs/>
          <w:sz w:val="24"/>
          <w:szCs w:val="24"/>
        </w:rPr>
        <w:t>this section focus</w:t>
      </w:r>
      <w:r w:rsidR="00F13DB0" w:rsidRPr="001272D0">
        <w:rPr>
          <w:rFonts w:ascii="Arial" w:eastAsia="Arial" w:hAnsi="Arial" w:cs="Arial"/>
          <w:bCs/>
          <w:iCs/>
          <w:sz w:val="24"/>
          <w:szCs w:val="24"/>
        </w:rPr>
        <w:t>es</w:t>
      </w:r>
      <w:r w:rsidR="002C2D9A" w:rsidRPr="001272D0">
        <w:rPr>
          <w:rFonts w:ascii="Arial" w:eastAsia="Arial" w:hAnsi="Arial" w:cs="Arial"/>
          <w:bCs/>
          <w:iCs/>
          <w:sz w:val="24"/>
          <w:szCs w:val="24"/>
        </w:rPr>
        <w:t xml:space="preserve"> </w:t>
      </w:r>
      <w:r w:rsidR="00F32F21" w:rsidRPr="001272D0">
        <w:rPr>
          <w:rFonts w:ascii="Arial" w:eastAsia="Arial" w:hAnsi="Arial" w:cs="Arial"/>
          <w:bCs/>
          <w:iCs/>
          <w:sz w:val="24"/>
          <w:szCs w:val="24"/>
        </w:rPr>
        <w:t xml:space="preserve">wholly </w:t>
      </w:r>
      <w:r w:rsidR="002C2D9A" w:rsidRPr="001272D0">
        <w:rPr>
          <w:rFonts w:ascii="Arial" w:eastAsia="Arial" w:hAnsi="Arial" w:cs="Arial"/>
          <w:bCs/>
          <w:iCs/>
          <w:sz w:val="24"/>
          <w:szCs w:val="24"/>
        </w:rPr>
        <w:t>on postgraduate program</w:t>
      </w:r>
      <w:r w:rsidR="00F32F21" w:rsidRPr="001272D0">
        <w:rPr>
          <w:rFonts w:ascii="Arial" w:eastAsia="Arial" w:hAnsi="Arial" w:cs="Arial"/>
          <w:bCs/>
          <w:iCs/>
          <w:sz w:val="24"/>
          <w:szCs w:val="24"/>
        </w:rPr>
        <w:t>me</w:t>
      </w:r>
      <w:r w:rsidR="002C2D9A" w:rsidRPr="001272D0">
        <w:rPr>
          <w:rFonts w:ascii="Arial" w:eastAsia="Arial" w:hAnsi="Arial" w:cs="Arial"/>
          <w:bCs/>
          <w:iCs/>
          <w:sz w:val="24"/>
          <w:szCs w:val="24"/>
        </w:rPr>
        <w:t>s (</w:t>
      </w:r>
      <w:r w:rsidR="002C2D9A" w:rsidRPr="001272D0">
        <w:rPr>
          <w:rFonts w:ascii="Arial" w:eastAsia="Arial" w:hAnsi="Arial" w:cs="Arial"/>
          <w:bCs/>
          <w:i/>
          <w:sz w:val="24"/>
          <w:szCs w:val="24"/>
        </w:rPr>
        <w:t>n=</w:t>
      </w:r>
      <w:r w:rsidR="00F32F21" w:rsidRPr="001272D0">
        <w:rPr>
          <w:rFonts w:ascii="Arial" w:eastAsia="Arial" w:hAnsi="Arial" w:cs="Arial"/>
          <w:bCs/>
          <w:iCs/>
          <w:sz w:val="24"/>
          <w:szCs w:val="24"/>
        </w:rPr>
        <w:t>27)</w:t>
      </w:r>
      <w:r w:rsidR="00874D85" w:rsidRPr="001272D0">
        <w:rPr>
          <w:rFonts w:ascii="Arial" w:eastAsia="Arial" w:hAnsi="Arial" w:cs="Arial"/>
          <w:bCs/>
          <w:iCs/>
          <w:sz w:val="24"/>
          <w:szCs w:val="24"/>
        </w:rPr>
        <w:t>. All require evidence of a previous degree, with</w:t>
      </w:r>
      <w:r w:rsidR="00E5315C" w:rsidRPr="001272D0">
        <w:rPr>
          <w:rFonts w:ascii="Arial" w:eastAsia="Arial" w:hAnsi="Arial" w:cs="Arial"/>
          <w:bCs/>
          <w:iCs/>
          <w:sz w:val="24"/>
          <w:szCs w:val="24"/>
        </w:rPr>
        <w:t xml:space="preserve"> </w:t>
      </w:r>
      <w:r w:rsidR="00F24782" w:rsidRPr="001272D0">
        <w:rPr>
          <w:rFonts w:ascii="Arial" w:eastAsia="Arial" w:hAnsi="Arial" w:cs="Arial"/>
          <w:bCs/>
          <w:iCs/>
          <w:sz w:val="24"/>
          <w:szCs w:val="24"/>
        </w:rPr>
        <w:t xml:space="preserve">a near equal split </w:t>
      </w:r>
      <w:r w:rsidR="00874D85" w:rsidRPr="001272D0">
        <w:rPr>
          <w:rFonts w:ascii="Arial" w:eastAsia="Arial" w:hAnsi="Arial" w:cs="Arial"/>
          <w:bCs/>
          <w:iCs/>
          <w:sz w:val="24"/>
          <w:szCs w:val="24"/>
        </w:rPr>
        <w:t>requ</w:t>
      </w:r>
      <w:r w:rsidR="003855F7" w:rsidRPr="001272D0">
        <w:rPr>
          <w:rFonts w:ascii="Arial" w:eastAsia="Arial" w:hAnsi="Arial" w:cs="Arial"/>
          <w:bCs/>
          <w:iCs/>
          <w:sz w:val="24"/>
          <w:szCs w:val="24"/>
        </w:rPr>
        <w:t>iring</w:t>
      </w:r>
      <w:r w:rsidR="00F24782" w:rsidRPr="001272D0">
        <w:rPr>
          <w:rFonts w:ascii="Arial" w:eastAsia="Arial" w:hAnsi="Arial" w:cs="Arial"/>
          <w:bCs/>
          <w:iCs/>
          <w:sz w:val="24"/>
          <w:szCs w:val="24"/>
        </w:rPr>
        <w:t xml:space="preserve"> either</w:t>
      </w:r>
      <w:r w:rsidR="00874D85" w:rsidRPr="001272D0">
        <w:rPr>
          <w:rFonts w:ascii="Arial" w:eastAsia="Arial" w:hAnsi="Arial" w:cs="Arial"/>
          <w:bCs/>
          <w:iCs/>
          <w:sz w:val="24"/>
          <w:szCs w:val="24"/>
        </w:rPr>
        <w:t xml:space="preserve"> </w:t>
      </w:r>
      <w:r w:rsidR="009E63B8" w:rsidRPr="001272D0">
        <w:rPr>
          <w:rFonts w:ascii="Arial" w:eastAsia="Arial" w:hAnsi="Arial" w:cs="Arial"/>
          <w:bCs/>
          <w:iCs/>
          <w:sz w:val="24"/>
          <w:szCs w:val="24"/>
        </w:rPr>
        <w:t>a 2:1</w:t>
      </w:r>
      <w:r w:rsidR="00E5315C" w:rsidRPr="001272D0">
        <w:rPr>
          <w:rFonts w:ascii="Arial" w:eastAsia="Arial" w:hAnsi="Arial" w:cs="Arial"/>
          <w:bCs/>
          <w:iCs/>
          <w:sz w:val="24"/>
          <w:szCs w:val="24"/>
        </w:rPr>
        <w:t xml:space="preserve"> (48%, </w:t>
      </w:r>
      <w:r w:rsidR="00E5315C" w:rsidRPr="001272D0">
        <w:rPr>
          <w:rFonts w:ascii="Arial" w:eastAsia="Arial" w:hAnsi="Arial" w:cs="Arial"/>
          <w:bCs/>
          <w:i/>
          <w:sz w:val="24"/>
          <w:szCs w:val="24"/>
        </w:rPr>
        <w:t>n=</w:t>
      </w:r>
      <w:r w:rsidR="00E5315C" w:rsidRPr="001272D0">
        <w:rPr>
          <w:rFonts w:ascii="Arial" w:eastAsia="Arial" w:hAnsi="Arial" w:cs="Arial"/>
          <w:bCs/>
          <w:iCs/>
          <w:sz w:val="24"/>
          <w:szCs w:val="24"/>
        </w:rPr>
        <w:t>13)</w:t>
      </w:r>
      <w:r w:rsidR="00F24782" w:rsidRPr="001272D0">
        <w:rPr>
          <w:rFonts w:ascii="Arial" w:eastAsia="Arial" w:hAnsi="Arial" w:cs="Arial"/>
          <w:bCs/>
          <w:iCs/>
          <w:sz w:val="24"/>
          <w:szCs w:val="24"/>
        </w:rPr>
        <w:t xml:space="preserve"> or</w:t>
      </w:r>
      <w:r w:rsidR="0021327A" w:rsidRPr="001272D0">
        <w:rPr>
          <w:rFonts w:ascii="Arial" w:eastAsia="Arial" w:hAnsi="Arial" w:cs="Arial"/>
          <w:bCs/>
          <w:iCs/>
          <w:sz w:val="24"/>
          <w:szCs w:val="24"/>
        </w:rPr>
        <w:t xml:space="preserve"> 2:2</w:t>
      </w:r>
      <w:r w:rsidR="00930545" w:rsidRPr="001272D0">
        <w:rPr>
          <w:rFonts w:ascii="Arial" w:eastAsia="Arial" w:hAnsi="Arial" w:cs="Arial"/>
          <w:bCs/>
          <w:iCs/>
          <w:sz w:val="24"/>
          <w:szCs w:val="24"/>
        </w:rPr>
        <w:t xml:space="preserve"> (5</w:t>
      </w:r>
      <w:r w:rsidR="00EB79BE" w:rsidRPr="001272D0">
        <w:rPr>
          <w:rFonts w:ascii="Arial" w:eastAsia="Arial" w:hAnsi="Arial" w:cs="Arial"/>
          <w:bCs/>
          <w:iCs/>
          <w:sz w:val="24"/>
          <w:szCs w:val="24"/>
        </w:rPr>
        <w:t>2</w:t>
      </w:r>
      <w:r w:rsidR="00930545" w:rsidRPr="001272D0">
        <w:rPr>
          <w:rFonts w:ascii="Arial" w:eastAsia="Arial" w:hAnsi="Arial" w:cs="Arial"/>
          <w:bCs/>
          <w:iCs/>
          <w:sz w:val="24"/>
          <w:szCs w:val="24"/>
        </w:rPr>
        <w:t xml:space="preserve">%, </w:t>
      </w:r>
      <w:r w:rsidR="00930545" w:rsidRPr="001272D0">
        <w:rPr>
          <w:rFonts w:ascii="Arial" w:eastAsia="Arial" w:hAnsi="Arial" w:cs="Arial"/>
          <w:bCs/>
          <w:i/>
          <w:sz w:val="24"/>
          <w:szCs w:val="24"/>
        </w:rPr>
        <w:t>n=</w:t>
      </w:r>
      <w:r w:rsidR="00930545" w:rsidRPr="001272D0">
        <w:rPr>
          <w:rFonts w:ascii="Arial" w:eastAsia="Arial" w:hAnsi="Arial" w:cs="Arial"/>
          <w:bCs/>
          <w:iCs/>
          <w:sz w:val="24"/>
          <w:szCs w:val="24"/>
        </w:rPr>
        <w:t>14)</w:t>
      </w:r>
      <w:r w:rsidR="00E363A0" w:rsidRPr="001272D0">
        <w:rPr>
          <w:rFonts w:ascii="Arial" w:eastAsia="Arial" w:hAnsi="Arial" w:cs="Arial"/>
          <w:bCs/>
          <w:iCs/>
          <w:sz w:val="24"/>
          <w:szCs w:val="24"/>
        </w:rPr>
        <w:t>.</w:t>
      </w:r>
      <w:r w:rsidR="00225EE8" w:rsidRPr="001272D0">
        <w:rPr>
          <w:rFonts w:ascii="Arial" w:eastAsia="Arial" w:hAnsi="Arial" w:cs="Arial"/>
          <w:bCs/>
          <w:iCs/>
          <w:sz w:val="24"/>
          <w:szCs w:val="24"/>
        </w:rPr>
        <w:t xml:space="preserve"> </w:t>
      </w:r>
      <w:r w:rsidR="00EB79BE" w:rsidRPr="001272D0">
        <w:rPr>
          <w:rFonts w:ascii="Arial" w:eastAsia="Arial" w:hAnsi="Arial" w:cs="Arial"/>
          <w:bCs/>
          <w:iCs/>
          <w:sz w:val="24"/>
          <w:szCs w:val="24"/>
        </w:rPr>
        <w:t>Fifteen programmes (56%)</w:t>
      </w:r>
      <w:r w:rsidR="00225EE8" w:rsidRPr="001272D0">
        <w:rPr>
          <w:rFonts w:ascii="Arial" w:eastAsia="Arial" w:hAnsi="Arial" w:cs="Arial"/>
          <w:bCs/>
          <w:iCs/>
          <w:sz w:val="24"/>
          <w:szCs w:val="24"/>
        </w:rPr>
        <w:t xml:space="preserve"> </w:t>
      </w:r>
      <w:r w:rsidR="002C2D9A" w:rsidRPr="001272D0">
        <w:rPr>
          <w:rFonts w:ascii="Arial" w:hAnsi="Arial" w:cs="Arial"/>
          <w:sz w:val="24"/>
          <w:szCs w:val="24"/>
        </w:rPr>
        <w:t>do not specify an imposed time limit on achievement of a previous degree prior to application</w:t>
      </w:r>
      <w:r w:rsidR="00282EAA" w:rsidRPr="001272D0">
        <w:rPr>
          <w:rFonts w:ascii="Arial" w:hAnsi="Arial" w:cs="Arial"/>
          <w:sz w:val="24"/>
          <w:szCs w:val="24"/>
        </w:rPr>
        <w:t xml:space="preserve"> and all that do </w:t>
      </w:r>
      <w:r w:rsidR="002C2D9A" w:rsidRPr="001272D0">
        <w:rPr>
          <w:rFonts w:ascii="Arial" w:hAnsi="Arial" w:cs="Arial"/>
          <w:sz w:val="24"/>
          <w:szCs w:val="24"/>
        </w:rPr>
        <w:t>are MSc</w:t>
      </w:r>
      <w:r w:rsidR="00D15EFF" w:rsidRPr="001272D0">
        <w:rPr>
          <w:rFonts w:ascii="Arial" w:hAnsi="Arial" w:cs="Arial"/>
          <w:sz w:val="24"/>
          <w:szCs w:val="24"/>
        </w:rPr>
        <w:t xml:space="preserve"> (</w:t>
      </w:r>
      <w:r w:rsidR="002C2D9A" w:rsidRPr="001272D0">
        <w:rPr>
          <w:rFonts w:ascii="Arial" w:hAnsi="Arial" w:cs="Arial"/>
          <w:sz w:val="24"/>
          <w:szCs w:val="24"/>
        </w:rPr>
        <w:t>6 years</w:t>
      </w:r>
      <w:r w:rsidR="002D084C" w:rsidRPr="001272D0">
        <w:rPr>
          <w:rFonts w:ascii="Arial" w:hAnsi="Arial" w:cs="Arial"/>
          <w:sz w:val="24"/>
          <w:szCs w:val="24"/>
        </w:rPr>
        <w:t xml:space="preserve">, </w:t>
      </w:r>
      <w:r w:rsidR="002C2D9A" w:rsidRPr="001272D0">
        <w:rPr>
          <w:rFonts w:ascii="Arial" w:hAnsi="Arial" w:cs="Arial"/>
          <w:i/>
          <w:iCs/>
          <w:sz w:val="24"/>
          <w:szCs w:val="24"/>
        </w:rPr>
        <w:t>n=</w:t>
      </w:r>
      <w:r w:rsidR="002C2D9A" w:rsidRPr="001272D0">
        <w:rPr>
          <w:rFonts w:ascii="Arial" w:hAnsi="Arial" w:cs="Arial"/>
          <w:sz w:val="24"/>
          <w:szCs w:val="24"/>
        </w:rPr>
        <w:t>2); 5 years</w:t>
      </w:r>
      <w:r w:rsidR="002D084C" w:rsidRPr="001272D0">
        <w:rPr>
          <w:rFonts w:ascii="Arial" w:hAnsi="Arial" w:cs="Arial"/>
          <w:sz w:val="24"/>
          <w:szCs w:val="24"/>
        </w:rPr>
        <w:t xml:space="preserve">, </w:t>
      </w:r>
      <w:r w:rsidR="002C2D9A" w:rsidRPr="001272D0">
        <w:rPr>
          <w:rFonts w:ascii="Arial" w:hAnsi="Arial" w:cs="Arial"/>
          <w:i/>
          <w:iCs/>
          <w:sz w:val="24"/>
          <w:szCs w:val="24"/>
        </w:rPr>
        <w:t>n=</w:t>
      </w:r>
      <w:r w:rsidR="002C2D9A" w:rsidRPr="001272D0">
        <w:rPr>
          <w:rFonts w:ascii="Arial" w:hAnsi="Arial" w:cs="Arial"/>
          <w:sz w:val="24"/>
          <w:szCs w:val="24"/>
        </w:rPr>
        <w:t>8</w:t>
      </w:r>
      <w:r w:rsidR="002D084C" w:rsidRPr="001272D0">
        <w:rPr>
          <w:rFonts w:ascii="Arial" w:hAnsi="Arial" w:cs="Arial"/>
          <w:sz w:val="24"/>
          <w:szCs w:val="24"/>
        </w:rPr>
        <w:t>;</w:t>
      </w:r>
      <w:r w:rsidR="00D15EFF" w:rsidRPr="001272D0">
        <w:rPr>
          <w:rFonts w:ascii="Arial" w:hAnsi="Arial" w:cs="Arial"/>
          <w:sz w:val="24"/>
          <w:szCs w:val="24"/>
        </w:rPr>
        <w:t xml:space="preserve"> </w:t>
      </w:r>
      <w:r w:rsidR="002C2D9A" w:rsidRPr="001272D0">
        <w:rPr>
          <w:rFonts w:ascii="Arial" w:hAnsi="Arial" w:cs="Arial"/>
          <w:sz w:val="24"/>
          <w:szCs w:val="24"/>
        </w:rPr>
        <w:t>3 years</w:t>
      </w:r>
      <w:r w:rsidR="002D084C" w:rsidRPr="001272D0">
        <w:rPr>
          <w:rFonts w:ascii="Arial" w:hAnsi="Arial" w:cs="Arial"/>
          <w:sz w:val="24"/>
          <w:szCs w:val="24"/>
        </w:rPr>
        <w:t>,</w:t>
      </w:r>
      <w:r w:rsidR="002C2D9A" w:rsidRPr="001272D0">
        <w:rPr>
          <w:rFonts w:ascii="Arial" w:hAnsi="Arial" w:cs="Arial"/>
          <w:sz w:val="24"/>
          <w:szCs w:val="24"/>
        </w:rPr>
        <w:t xml:space="preserve"> </w:t>
      </w:r>
      <w:r w:rsidR="002C2D9A" w:rsidRPr="001272D0">
        <w:rPr>
          <w:rFonts w:ascii="Arial" w:hAnsi="Arial" w:cs="Arial"/>
          <w:i/>
          <w:iCs/>
          <w:sz w:val="24"/>
          <w:szCs w:val="24"/>
        </w:rPr>
        <w:t>n=</w:t>
      </w:r>
      <w:r w:rsidR="002C2D9A" w:rsidRPr="001272D0">
        <w:rPr>
          <w:rFonts w:ascii="Arial" w:hAnsi="Arial" w:cs="Arial"/>
          <w:sz w:val="24"/>
          <w:szCs w:val="24"/>
        </w:rPr>
        <w:t>2</w:t>
      </w:r>
      <w:r w:rsidR="002D084C" w:rsidRPr="001272D0">
        <w:rPr>
          <w:rFonts w:ascii="Arial" w:hAnsi="Arial" w:cs="Arial"/>
          <w:sz w:val="24"/>
          <w:szCs w:val="24"/>
        </w:rPr>
        <w:t>)</w:t>
      </w:r>
      <w:r w:rsidR="00016201" w:rsidRPr="001272D0">
        <w:rPr>
          <w:rFonts w:ascii="Arial" w:hAnsi="Arial" w:cs="Arial"/>
          <w:sz w:val="24"/>
          <w:szCs w:val="24"/>
        </w:rPr>
        <w:t xml:space="preserve">. </w:t>
      </w:r>
      <w:r w:rsidR="002C2D9A" w:rsidRPr="001272D0">
        <w:rPr>
          <w:rFonts w:ascii="Arial" w:eastAsia="Arial" w:hAnsi="Arial" w:cs="Arial"/>
          <w:bCs/>
          <w:iCs/>
          <w:sz w:val="24"/>
          <w:szCs w:val="24"/>
        </w:rPr>
        <w:t>Subjec</w:t>
      </w:r>
      <w:r w:rsidR="00016201" w:rsidRPr="001272D0">
        <w:rPr>
          <w:rFonts w:ascii="Arial" w:eastAsia="Arial" w:hAnsi="Arial" w:cs="Arial"/>
          <w:bCs/>
          <w:iCs/>
          <w:sz w:val="24"/>
          <w:szCs w:val="24"/>
        </w:rPr>
        <w:t xml:space="preserve">t </w:t>
      </w:r>
      <w:r w:rsidR="002C2D9A" w:rsidRPr="001272D0">
        <w:rPr>
          <w:rFonts w:ascii="Arial" w:eastAsia="Arial" w:hAnsi="Arial" w:cs="Arial"/>
          <w:bCs/>
          <w:iCs/>
          <w:sz w:val="24"/>
          <w:szCs w:val="24"/>
        </w:rPr>
        <w:t xml:space="preserve">requirements </w:t>
      </w:r>
      <w:r w:rsidR="00A15C0C" w:rsidRPr="001272D0">
        <w:rPr>
          <w:rFonts w:ascii="Arial" w:eastAsia="Arial" w:hAnsi="Arial" w:cs="Arial"/>
          <w:bCs/>
          <w:iCs/>
          <w:sz w:val="24"/>
          <w:szCs w:val="24"/>
        </w:rPr>
        <w:t>include</w:t>
      </w:r>
      <w:r w:rsidR="002C2D9A" w:rsidRPr="001272D0">
        <w:rPr>
          <w:rFonts w:ascii="Arial" w:eastAsia="Arial" w:hAnsi="Arial" w:cs="Arial"/>
          <w:bCs/>
          <w:iCs/>
          <w:sz w:val="24"/>
          <w:szCs w:val="24"/>
        </w:rPr>
        <w:t xml:space="preserve"> a Science (pure or social</w:t>
      </w:r>
      <w:r w:rsidR="00221D10" w:rsidRPr="001272D0">
        <w:rPr>
          <w:rFonts w:ascii="Arial" w:eastAsia="Arial" w:hAnsi="Arial" w:cs="Arial"/>
          <w:bCs/>
          <w:iCs/>
          <w:sz w:val="24"/>
          <w:szCs w:val="24"/>
        </w:rPr>
        <w:t xml:space="preserve">, </w:t>
      </w:r>
      <w:r w:rsidR="002C2D9A" w:rsidRPr="001272D0">
        <w:rPr>
          <w:rFonts w:ascii="Arial" w:eastAsia="Arial" w:hAnsi="Arial" w:cs="Arial"/>
          <w:bCs/>
          <w:i/>
          <w:sz w:val="24"/>
          <w:szCs w:val="24"/>
        </w:rPr>
        <w:t>n=</w:t>
      </w:r>
      <w:r w:rsidR="002C2D9A" w:rsidRPr="001272D0">
        <w:rPr>
          <w:rFonts w:ascii="Arial" w:eastAsia="Arial" w:hAnsi="Arial" w:cs="Arial"/>
          <w:bCs/>
          <w:iCs/>
          <w:sz w:val="24"/>
          <w:szCs w:val="24"/>
        </w:rPr>
        <w:t>12), not explicitly stated (</w:t>
      </w:r>
      <w:r w:rsidR="002C2D9A" w:rsidRPr="001272D0">
        <w:rPr>
          <w:rFonts w:ascii="Arial" w:eastAsia="Arial" w:hAnsi="Arial" w:cs="Arial"/>
          <w:bCs/>
          <w:i/>
          <w:sz w:val="24"/>
          <w:szCs w:val="24"/>
        </w:rPr>
        <w:t>n</w:t>
      </w:r>
      <w:r w:rsidR="002C2D9A" w:rsidRPr="001272D0">
        <w:rPr>
          <w:rFonts w:ascii="Arial" w:eastAsia="Arial" w:hAnsi="Arial" w:cs="Arial"/>
          <w:bCs/>
          <w:iCs/>
          <w:sz w:val="24"/>
          <w:szCs w:val="24"/>
        </w:rPr>
        <w:t>=10) or any subject (</w:t>
      </w:r>
      <w:r w:rsidR="002C2D9A" w:rsidRPr="001272D0">
        <w:rPr>
          <w:rFonts w:ascii="Arial" w:eastAsia="Arial" w:hAnsi="Arial" w:cs="Arial"/>
          <w:bCs/>
          <w:i/>
          <w:sz w:val="24"/>
          <w:szCs w:val="24"/>
        </w:rPr>
        <w:t>n=</w:t>
      </w:r>
      <w:r w:rsidR="002C2D9A" w:rsidRPr="001272D0">
        <w:rPr>
          <w:rFonts w:ascii="Arial" w:eastAsia="Arial" w:hAnsi="Arial" w:cs="Arial"/>
          <w:bCs/>
          <w:iCs/>
          <w:sz w:val="24"/>
          <w:szCs w:val="24"/>
        </w:rPr>
        <w:t xml:space="preserve">5). </w:t>
      </w:r>
      <w:r w:rsidR="009572E1" w:rsidRPr="001272D0">
        <w:rPr>
          <w:rFonts w:ascii="Arial" w:hAnsi="Arial" w:cs="Arial"/>
          <w:sz w:val="24"/>
          <w:szCs w:val="24"/>
        </w:rPr>
        <w:t>F</w:t>
      </w:r>
      <w:r w:rsidR="002C2D9A" w:rsidRPr="001272D0">
        <w:rPr>
          <w:rFonts w:ascii="Arial" w:hAnsi="Arial" w:cs="Arial"/>
          <w:sz w:val="24"/>
          <w:szCs w:val="24"/>
        </w:rPr>
        <w:t>ew program</w:t>
      </w:r>
      <w:r w:rsidR="00016201" w:rsidRPr="001272D0">
        <w:rPr>
          <w:rFonts w:ascii="Arial" w:hAnsi="Arial" w:cs="Arial"/>
          <w:sz w:val="24"/>
          <w:szCs w:val="24"/>
        </w:rPr>
        <w:t>me</w:t>
      </w:r>
      <w:r w:rsidR="002C2D9A" w:rsidRPr="001272D0">
        <w:rPr>
          <w:rFonts w:ascii="Arial" w:hAnsi="Arial" w:cs="Arial"/>
          <w:sz w:val="24"/>
          <w:szCs w:val="24"/>
        </w:rPr>
        <w:t>s</w:t>
      </w:r>
      <w:r w:rsidR="003A68FE" w:rsidRPr="001272D0">
        <w:rPr>
          <w:rFonts w:ascii="Arial" w:hAnsi="Arial" w:cs="Arial"/>
          <w:sz w:val="24"/>
          <w:szCs w:val="24"/>
        </w:rPr>
        <w:t xml:space="preserve"> </w:t>
      </w:r>
      <w:r w:rsidR="002C2D9A" w:rsidRPr="001272D0">
        <w:rPr>
          <w:rFonts w:ascii="Arial" w:hAnsi="Arial" w:cs="Arial"/>
          <w:sz w:val="24"/>
          <w:szCs w:val="24"/>
        </w:rPr>
        <w:t>stipulate acceptable alternatives to a classified</w:t>
      </w:r>
      <w:r w:rsidR="00581D02" w:rsidRPr="001272D0">
        <w:rPr>
          <w:rFonts w:ascii="Arial" w:hAnsi="Arial" w:cs="Arial"/>
          <w:sz w:val="24"/>
          <w:szCs w:val="24"/>
        </w:rPr>
        <w:t xml:space="preserve"> </w:t>
      </w:r>
      <w:r w:rsidR="002C2D9A" w:rsidRPr="001272D0">
        <w:rPr>
          <w:rFonts w:ascii="Arial" w:hAnsi="Arial" w:cs="Arial"/>
          <w:sz w:val="24"/>
          <w:szCs w:val="24"/>
        </w:rPr>
        <w:t>degree, with</w:t>
      </w:r>
      <w:r w:rsidR="00581D02" w:rsidRPr="001272D0">
        <w:rPr>
          <w:rFonts w:ascii="Arial" w:hAnsi="Arial" w:cs="Arial"/>
          <w:sz w:val="24"/>
          <w:szCs w:val="24"/>
        </w:rPr>
        <w:t xml:space="preserve"> 78% (</w:t>
      </w:r>
      <w:r w:rsidR="00581D02" w:rsidRPr="001272D0">
        <w:rPr>
          <w:rFonts w:ascii="Arial" w:hAnsi="Arial" w:cs="Arial"/>
          <w:i/>
          <w:iCs/>
          <w:sz w:val="24"/>
          <w:szCs w:val="24"/>
        </w:rPr>
        <w:t>n=</w:t>
      </w:r>
      <w:r w:rsidR="003A68FE" w:rsidRPr="001272D0">
        <w:rPr>
          <w:rFonts w:ascii="Arial" w:hAnsi="Arial" w:cs="Arial"/>
          <w:sz w:val="24"/>
          <w:szCs w:val="24"/>
        </w:rPr>
        <w:t>21)</w:t>
      </w:r>
      <w:r w:rsidR="002C2D9A" w:rsidRPr="001272D0">
        <w:rPr>
          <w:rFonts w:ascii="Arial" w:hAnsi="Arial" w:cs="Arial"/>
          <w:sz w:val="24"/>
          <w:szCs w:val="24"/>
        </w:rPr>
        <w:t xml:space="preserve"> not making it clear whether alternative entry equivalencies would be considered. Of the six program</w:t>
      </w:r>
      <w:r w:rsidR="006600A4" w:rsidRPr="001272D0">
        <w:rPr>
          <w:rFonts w:ascii="Arial" w:hAnsi="Arial" w:cs="Arial"/>
          <w:sz w:val="24"/>
          <w:szCs w:val="24"/>
        </w:rPr>
        <w:t>mes</w:t>
      </w:r>
      <w:r w:rsidR="002C2D9A" w:rsidRPr="001272D0">
        <w:rPr>
          <w:rFonts w:ascii="Arial" w:hAnsi="Arial" w:cs="Arial"/>
          <w:sz w:val="24"/>
          <w:szCs w:val="24"/>
        </w:rPr>
        <w:t xml:space="preserve"> who do offer an alternative route, all are MSc. </w:t>
      </w:r>
      <w:r w:rsidR="005B2B59" w:rsidRPr="001272D0">
        <w:rPr>
          <w:rFonts w:ascii="Arial" w:hAnsi="Arial" w:cs="Arial"/>
          <w:sz w:val="24"/>
          <w:szCs w:val="24"/>
        </w:rPr>
        <w:t>Accepted alternative entry routes</w:t>
      </w:r>
      <w:r w:rsidR="002C2D9A" w:rsidRPr="001272D0">
        <w:rPr>
          <w:rFonts w:ascii="Arial" w:hAnsi="Arial" w:cs="Arial"/>
          <w:sz w:val="24"/>
          <w:szCs w:val="24"/>
        </w:rPr>
        <w:t xml:space="preserve"> relate to acceptance of a 2:2 over a 2:1; previous degree negated OR non-</w:t>
      </w:r>
      <w:r w:rsidR="001334C4" w:rsidRPr="001272D0">
        <w:rPr>
          <w:rFonts w:ascii="Arial" w:hAnsi="Arial" w:cs="Arial"/>
          <w:sz w:val="24"/>
          <w:szCs w:val="24"/>
        </w:rPr>
        <w:t>s</w:t>
      </w:r>
      <w:r w:rsidR="002C2D9A" w:rsidRPr="001272D0">
        <w:rPr>
          <w:rFonts w:ascii="Arial" w:hAnsi="Arial" w:cs="Arial"/>
          <w:sz w:val="24"/>
          <w:szCs w:val="24"/>
        </w:rPr>
        <w:t>cience degree whe</w:t>
      </w:r>
      <w:r w:rsidR="00F35B0F" w:rsidRPr="001272D0">
        <w:rPr>
          <w:rFonts w:ascii="Arial" w:hAnsi="Arial" w:cs="Arial"/>
          <w:sz w:val="24"/>
          <w:szCs w:val="24"/>
        </w:rPr>
        <w:t>re</w:t>
      </w:r>
      <w:r w:rsidR="002C2D9A" w:rsidRPr="001272D0">
        <w:rPr>
          <w:rFonts w:ascii="Arial" w:hAnsi="Arial" w:cs="Arial"/>
          <w:sz w:val="24"/>
          <w:szCs w:val="24"/>
        </w:rPr>
        <w:t xml:space="preserve"> relevant work experience</w:t>
      </w:r>
      <w:r w:rsidR="00F35B0F" w:rsidRPr="001272D0">
        <w:rPr>
          <w:rFonts w:ascii="Arial" w:hAnsi="Arial" w:cs="Arial"/>
          <w:sz w:val="24"/>
          <w:szCs w:val="24"/>
        </w:rPr>
        <w:t xml:space="preserve"> is </w:t>
      </w:r>
      <w:r w:rsidR="00CA1045" w:rsidRPr="001272D0">
        <w:rPr>
          <w:rFonts w:ascii="Arial" w:hAnsi="Arial" w:cs="Arial"/>
          <w:sz w:val="24"/>
          <w:szCs w:val="24"/>
        </w:rPr>
        <w:t>evident</w:t>
      </w:r>
      <w:r w:rsidR="002C2D9A" w:rsidRPr="001272D0">
        <w:rPr>
          <w:rFonts w:ascii="Arial" w:hAnsi="Arial" w:cs="Arial"/>
          <w:sz w:val="24"/>
          <w:szCs w:val="24"/>
        </w:rPr>
        <w:t>, a professional qualification (such as Teaching or Social Work) and/or relevant Level 3 qualifications. One program</w:t>
      </w:r>
      <w:r w:rsidR="006600A4" w:rsidRPr="001272D0">
        <w:rPr>
          <w:rFonts w:ascii="Arial" w:hAnsi="Arial" w:cs="Arial"/>
          <w:sz w:val="24"/>
          <w:szCs w:val="24"/>
        </w:rPr>
        <w:t>me</w:t>
      </w:r>
      <w:r w:rsidR="002C2D9A" w:rsidRPr="001272D0">
        <w:rPr>
          <w:rFonts w:ascii="Arial" w:hAnsi="Arial" w:cs="Arial"/>
          <w:sz w:val="24"/>
          <w:szCs w:val="24"/>
        </w:rPr>
        <w:t xml:space="preserve"> offers a pre-entry online research methods module for those who have</w:t>
      </w:r>
      <w:r w:rsidR="002C7E26" w:rsidRPr="001272D0">
        <w:rPr>
          <w:rFonts w:ascii="Arial" w:hAnsi="Arial" w:cs="Arial"/>
          <w:sz w:val="24"/>
          <w:szCs w:val="24"/>
        </w:rPr>
        <w:t xml:space="preserve"> </w:t>
      </w:r>
      <w:r w:rsidR="00C0069F" w:rsidRPr="001272D0">
        <w:rPr>
          <w:rFonts w:ascii="Arial" w:hAnsi="Arial" w:cs="Arial"/>
          <w:sz w:val="24"/>
          <w:szCs w:val="24"/>
        </w:rPr>
        <w:t xml:space="preserve">a) </w:t>
      </w:r>
      <w:r w:rsidR="002C7E26" w:rsidRPr="001272D0">
        <w:rPr>
          <w:rFonts w:ascii="Arial" w:hAnsi="Arial" w:cs="Arial"/>
          <w:sz w:val="24"/>
          <w:szCs w:val="24"/>
        </w:rPr>
        <w:t>not recently studie</w:t>
      </w:r>
      <w:r w:rsidR="00C0069F" w:rsidRPr="001272D0">
        <w:rPr>
          <w:rFonts w:ascii="Arial" w:hAnsi="Arial" w:cs="Arial"/>
          <w:sz w:val="24"/>
          <w:szCs w:val="24"/>
        </w:rPr>
        <w:t>d b)</w:t>
      </w:r>
      <w:r w:rsidR="002C7E26" w:rsidRPr="001272D0">
        <w:rPr>
          <w:rFonts w:ascii="Arial" w:hAnsi="Arial" w:cs="Arial"/>
          <w:sz w:val="24"/>
          <w:szCs w:val="24"/>
        </w:rPr>
        <w:t xml:space="preserve"> a 2:2 or third-class degree</w:t>
      </w:r>
      <w:r w:rsidR="002C2D9A" w:rsidRPr="001272D0">
        <w:rPr>
          <w:rFonts w:ascii="Arial" w:hAnsi="Arial" w:cs="Arial"/>
          <w:sz w:val="24"/>
          <w:szCs w:val="24"/>
        </w:rPr>
        <w:t xml:space="preserve"> c) relevant work </w:t>
      </w:r>
      <w:r w:rsidR="002C2D9A" w:rsidRPr="001272D0">
        <w:rPr>
          <w:rFonts w:ascii="Arial" w:hAnsi="Arial" w:cs="Arial"/>
          <w:sz w:val="24"/>
          <w:szCs w:val="24"/>
        </w:rPr>
        <w:lastRenderedPageBreak/>
        <w:t xml:space="preserve">experience or d) a gap in </w:t>
      </w:r>
      <w:r w:rsidR="003402F4" w:rsidRPr="001272D0">
        <w:rPr>
          <w:rFonts w:ascii="Arial" w:hAnsi="Arial" w:cs="Arial"/>
          <w:sz w:val="24"/>
          <w:szCs w:val="24"/>
        </w:rPr>
        <w:t xml:space="preserve">research </w:t>
      </w:r>
      <w:r w:rsidR="002C2D9A" w:rsidRPr="001272D0">
        <w:rPr>
          <w:rFonts w:ascii="Arial" w:hAnsi="Arial" w:cs="Arial"/>
          <w:sz w:val="24"/>
          <w:szCs w:val="24"/>
        </w:rPr>
        <w:t>knowledge. It is assumed this is an in-house program</w:t>
      </w:r>
      <w:r w:rsidR="00F902F2" w:rsidRPr="001272D0">
        <w:rPr>
          <w:rFonts w:ascii="Arial" w:hAnsi="Arial" w:cs="Arial"/>
          <w:sz w:val="24"/>
          <w:szCs w:val="24"/>
        </w:rPr>
        <w:t>m</w:t>
      </w:r>
      <w:r w:rsidR="009572E1" w:rsidRPr="001272D0">
        <w:rPr>
          <w:rFonts w:ascii="Arial" w:hAnsi="Arial" w:cs="Arial"/>
          <w:sz w:val="24"/>
          <w:szCs w:val="24"/>
        </w:rPr>
        <w:t>e</w:t>
      </w:r>
      <w:r w:rsidR="002C2D9A" w:rsidRPr="001272D0">
        <w:rPr>
          <w:rFonts w:ascii="Arial" w:hAnsi="Arial" w:cs="Arial"/>
          <w:sz w:val="24"/>
          <w:szCs w:val="24"/>
        </w:rPr>
        <w:t>.</w:t>
      </w:r>
    </w:p>
    <w:p w14:paraId="2737E149" w14:textId="77777777" w:rsidR="00DA417B" w:rsidRPr="001272D0" w:rsidRDefault="00DA417B" w:rsidP="00A74EBE">
      <w:pPr>
        <w:pBdr>
          <w:top w:val="nil"/>
          <w:left w:val="nil"/>
          <w:bottom w:val="nil"/>
          <w:right w:val="nil"/>
          <w:between w:val="nil"/>
        </w:pBdr>
        <w:spacing w:after="0" w:line="240" w:lineRule="auto"/>
        <w:jc w:val="both"/>
        <w:rPr>
          <w:rFonts w:ascii="Arial" w:eastAsia="Arial" w:hAnsi="Arial" w:cs="Arial"/>
          <w:bCs/>
          <w:iCs/>
          <w:sz w:val="24"/>
          <w:szCs w:val="24"/>
        </w:rPr>
      </w:pPr>
    </w:p>
    <w:p w14:paraId="1AADE934" w14:textId="77777777" w:rsidR="003D165E" w:rsidRPr="001272D0" w:rsidRDefault="002C2D9A" w:rsidP="00AC2A50">
      <w:pPr>
        <w:pBdr>
          <w:top w:val="nil"/>
          <w:left w:val="nil"/>
          <w:bottom w:val="nil"/>
          <w:right w:val="nil"/>
          <w:between w:val="nil"/>
        </w:pBdr>
        <w:spacing w:after="0" w:line="240" w:lineRule="auto"/>
        <w:jc w:val="both"/>
        <w:rPr>
          <w:rFonts w:ascii="Arial" w:eastAsia="Arial" w:hAnsi="Arial" w:cs="Arial"/>
          <w:bCs/>
          <w:iCs/>
          <w:sz w:val="24"/>
          <w:szCs w:val="24"/>
        </w:rPr>
      </w:pPr>
      <w:r w:rsidRPr="001272D0">
        <w:rPr>
          <w:rFonts w:ascii="Arial" w:eastAsia="Arial" w:hAnsi="Arial" w:cs="Arial"/>
          <w:b/>
          <w:iCs/>
          <w:sz w:val="24"/>
          <w:szCs w:val="24"/>
        </w:rPr>
        <w:t>Professional (non-cognitive) skills entry criteria</w:t>
      </w:r>
    </w:p>
    <w:p w14:paraId="7DE02371" w14:textId="550D918A" w:rsidR="00AC2A50" w:rsidRPr="001272D0" w:rsidRDefault="00467CE1" w:rsidP="00AC2A50">
      <w:pPr>
        <w:pBdr>
          <w:top w:val="nil"/>
          <w:left w:val="nil"/>
          <w:bottom w:val="nil"/>
          <w:right w:val="nil"/>
          <w:between w:val="nil"/>
        </w:pBdr>
        <w:spacing w:after="0" w:line="240" w:lineRule="auto"/>
        <w:jc w:val="both"/>
        <w:rPr>
          <w:rFonts w:ascii="Arial" w:eastAsia="Arial" w:hAnsi="Arial" w:cs="Arial"/>
          <w:bCs/>
          <w:iCs/>
          <w:sz w:val="24"/>
          <w:szCs w:val="24"/>
        </w:rPr>
      </w:pPr>
      <w:r w:rsidRPr="001272D0">
        <w:rPr>
          <w:rFonts w:ascii="Arial" w:eastAsia="Arial" w:hAnsi="Arial" w:cs="Arial"/>
          <w:bCs/>
          <w:iCs/>
          <w:sz w:val="24"/>
          <w:szCs w:val="24"/>
        </w:rPr>
        <w:t xml:space="preserve">Three-quarters </w:t>
      </w:r>
      <w:r w:rsidR="002C2D9A" w:rsidRPr="001272D0">
        <w:rPr>
          <w:rFonts w:ascii="Arial" w:eastAsia="Arial" w:hAnsi="Arial" w:cs="Arial"/>
          <w:bCs/>
          <w:iCs/>
          <w:sz w:val="24"/>
          <w:szCs w:val="24"/>
        </w:rPr>
        <w:t>of</w:t>
      </w:r>
      <w:r w:rsidR="00995595" w:rsidRPr="001272D0">
        <w:rPr>
          <w:rFonts w:ascii="Arial" w:eastAsia="Arial" w:hAnsi="Arial" w:cs="Arial"/>
          <w:bCs/>
          <w:iCs/>
          <w:sz w:val="24"/>
          <w:szCs w:val="24"/>
        </w:rPr>
        <w:t xml:space="preserve"> all </w:t>
      </w:r>
      <w:r w:rsidR="002C2D9A" w:rsidRPr="001272D0">
        <w:rPr>
          <w:rFonts w:ascii="Arial" w:eastAsia="Arial" w:hAnsi="Arial" w:cs="Arial"/>
          <w:bCs/>
          <w:iCs/>
          <w:sz w:val="24"/>
          <w:szCs w:val="24"/>
        </w:rPr>
        <w:t>program</w:t>
      </w:r>
      <w:r w:rsidR="00995595" w:rsidRPr="001272D0">
        <w:rPr>
          <w:rFonts w:ascii="Arial" w:eastAsia="Arial" w:hAnsi="Arial" w:cs="Arial"/>
          <w:bCs/>
          <w:iCs/>
          <w:sz w:val="24"/>
          <w:szCs w:val="24"/>
        </w:rPr>
        <w:t>me</w:t>
      </w:r>
      <w:r w:rsidR="002C2D9A" w:rsidRPr="001272D0">
        <w:rPr>
          <w:rFonts w:ascii="Arial" w:eastAsia="Arial" w:hAnsi="Arial" w:cs="Arial"/>
          <w:bCs/>
          <w:iCs/>
          <w:sz w:val="24"/>
          <w:szCs w:val="24"/>
        </w:rPr>
        <w:t xml:space="preserve">s stipulate the requirement for evidence of professional </w:t>
      </w:r>
      <w:r w:rsidR="002F2AD2" w:rsidRPr="001272D0">
        <w:rPr>
          <w:rFonts w:ascii="Arial" w:eastAsia="Arial" w:hAnsi="Arial" w:cs="Arial"/>
          <w:bCs/>
          <w:iCs/>
          <w:sz w:val="24"/>
          <w:szCs w:val="24"/>
        </w:rPr>
        <w:t xml:space="preserve">skills </w:t>
      </w:r>
      <w:r w:rsidR="002C2D9A" w:rsidRPr="001272D0">
        <w:rPr>
          <w:rFonts w:ascii="Arial" w:eastAsia="Arial" w:hAnsi="Arial" w:cs="Arial"/>
          <w:bCs/>
          <w:iCs/>
          <w:sz w:val="24"/>
          <w:szCs w:val="24"/>
        </w:rPr>
        <w:t>at the point of application</w:t>
      </w:r>
      <w:r w:rsidRPr="001272D0">
        <w:rPr>
          <w:rFonts w:ascii="Arial" w:eastAsia="Arial" w:hAnsi="Arial" w:cs="Arial"/>
          <w:bCs/>
          <w:iCs/>
          <w:sz w:val="24"/>
          <w:szCs w:val="24"/>
        </w:rPr>
        <w:t xml:space="preserve"> (7</w:t>
      </w:r>
      <w:r w:rsidR="00DE01DB" w:rsidRPr="001272D0">
        <w:rPr>
          <w:rFonts w:ascii="Arial" w:eastAsia="Arial" w:hAnsi="Arial" w:cs="Arial"/>
          <w:bCs/>
          <w:iCs/>
          <w:sz w:val="24"/>
          <w:szCs w:val="24"/>
        </w:rPr>
        <w:t>7</w:t>
      </w:r>
      <w:r w:rsidRPr="001272D0">
        <w:rPr>
          <w:rFonts w:ascii="Arial" w:eastAsia="Arial" w:hAnsi="Arial" w:cs="Arial"/>
          <w:bCs/>
          <w:iCs/>
          <w:sz w:val="24"/>
          <w:szCs w:val="24"/>
        </w:rPr>
        <w:t xml:space="preserve">%, </w:t>
      </w:r>
      <w:r w:rsidRPr="001272D0">
        <w:rPr>
          <w:rFonts w:ascii="Arial" w:eastAsia="Arial" w:hAnsi="Arial" w:cs="Arial"/>
          <w:bCs/>
          <w:i/>
          <w:sz w:val="24"/>
          <w:szCs w:val="24"/>
        </w:rPr>
        <w:t>n=</w:t>
      </w:r>
      <w:r w:rsidRPr="001272D0">
        <w:rPr>
          <w:rFonts w:ascii="Arial" w:eastAsia="Arial" w:hAnsi="Arial" w:cs="Arial"/>
          <w:bCs/>
          <w:iCs/>
          <w:sz w:val="24"/>
          <w:szCs w:val="24"/>
        </w:rPr>
        <w:t>56)</w:t>
      </w:r>
      <w:r w:rsidR="002C2D9A" w:rsidRPr="001272D0">
        <w:rPr>
          <w:rFonts w:ascii="Arial" w:eastAsia="Arial" w:hAnsi="Arial" w:cs="Arial"/>
          <w:bCs/>
          <w:iCs/>
          <w:sz w:val="24"/>
          <w:szCs w:val="24"/>
        </w:rPr>
        <w:t>. Of the 23% (</w:t>
      </w:r>
      <w:r w:rsidR="002C2D9A" w:rsidRPr="001272D0">
        <w:rPr>
          <w:rFonts w:ascii="Arial" w:eastAsia="Arial" w:hAnsi="Arial" w:cs="Arial"/>
          <w:bCs/>
          <w:i/>
          <w:sz w:val="24"/>
          <w:szCs w:val="24"/>
        </w:rPr>
        <w:t>n=</w:t>
      </w:r>
      <w:r w:rsidR="002C2D9A" w:rsidRPr="001272D0">
        <w:rPr>
          <w:rFonts w:ascii="Arial" w:eastAsia="Arial" w:hAnsi="Arial" w:cs="Arial"/>
          <w:bCs/>
          <w:iCs/>
          <w:sz w:val="24"/>
          <w:szCs w:val="24"/>
        </w:rPr>
        <w:t>17) that do not specify this, 15% (</w:t>
      </w:r>
      <w:r w:rsidR="002C2D9A" w:rsidRPr="001272D0">
        <w:rPr>
          <w:rFonts w:ascii="Arial" w:eastAsia="Arial" w:hAnsi="Arial" w:cs="Arial"/>
          <w:bCs/>
          <w:i/>
          <w:sz w:val="24"/>
          <w:szCs w:val="24"/>
        </w:rPr>
        <w:t>n</w:t>
      </w:r>
      <w:r w:rsidR="002C2D9A" w:rsidRPr="001272D0">
        <w:rPr>
          <w:rFonts w:ascii="Arial" w:eastAsia="Arial" w:hAnsi="Arial" w:cs="Arial"/>
          <w:bCs/>
          <w:iCs/>
          <w:sz w:val="24"/>
          <w:szCs w:val="24"/>
        </w:rPr>
        <w:t>=11) are undergraduate and 8% (</w:t>
      </w:r>
      <w:r w:rsidR="002C2D9A" w:rsidRPr="001272D0">
        <w:rPr>
          <w:rFonts w:ascii="Arial" w:eastAsia="Arial" w:hAnsi="Arial" w:cs="Arial"/>
          <w:bCs/>
          <w:i/>
          <w:sz w:val="24"/>
          <w:szCs w:val="24"/>
        </w:rPr>
        <w:t>n</w:t>
      </w:r>
      <w:r w:rsidR="002C2D9A" w:rsidRPr="001272D0">
        <w:rPr>
          <w:rFonts w:ascii="Arial" w:eastAsia="Arial" w:hAnsi="Arial" w:cs="Arial"/>
          <w:bCs/>
          <w:iCs/>
          <w:sz w:val="24"/>
          <w:szCs w:val="24"/>
        </w:rPr>
        <w:t>=6)</w:t>
      </w:r>
      <w:r w:rsidR="001E5518" w:rsidRPr="001272D0">
        <w:rPr>
          <w:rFonts w:ascii="Arial" w:eastAsia="Arial" w:hAnsi="Arial" w:cs="Arial"/>
          <w:bCs/>
          <w:iCs/>
          <w:sz w:val="24"/>
          <w:szCs w:val="24"/>
        </w:rPr>
        <w:t xml:space="preserve"> </w:t>
      </w:r>
      <w:r w:rsidR="002C2D9A" w:rsidRPr="001272D0">
        <w:rPr>
          <w:rFonts w:ascii="Arial" w:eastAsia="Arial" w:hAnsi="Arial" w:cs="Arial"/>
          <w:bCs/>
          <w:iCs/>
          <w:sz w:val="24"/>
          <w:szCs w:val="24"/>
        </w:rPr>
        <w:t xml:space="preserve">postgraduate. Although the UK UCAS system requires all candidates to submit a personal statement at the point of application, </w:t>
      </w:r>
      <w:r w:rsidR="001E5518" w:rsidRPr="001272D0">
        <w:rPr>
          <w:rFonts w:ascii="Arial" w:eastAsia="Arial" w:hAnsi="Arial" w:cs="Arial"/>
          <w:bCs/>
          <w:iCs/>
          <w:sz w:val="24"/>
          <w:szCs w:val="24"/>
        </w:rPr>
        <w:t>just under one-third of p</w:t>
      </w:r>
      <w:r w:rsidR="002C2D9A" w:rsidRPr="001272D0">
        <w:rPr>
          <w:rFonts w:ascii="Arial" w:eastAsia="Arial" w:hAnsi="Arial" w:cs="Arial"/>
          <w:bCs/>
          <w:iCs/>
          <w:sz w:val="24"/>
          <w:szCs w:val="24"/>
        </w:rPr>
        <w:t>rogram</w:t>
      </w:r>
      <w:r w:rsidR="00DD23C3" w:rsidRPr="001272D0">
        <w:rPr>
          <w:rFonts w:ascii="Arial" w:eastAsia="Arial" w:hAnsi="Arial" w:cs="Arial"/>
          <w:bCs/>
          <w:iCs/>
          <w:sz w:val="24"/>
          <w:szCs w:val="24"/>
        </w:rPr>
        <w:t>me</w:t>
      </w:r>
      <w:r w:rsidR="002C2D9A" w:rsidRPr="001272D0">
        <w:rPr>
          <w:rFonts w:ascii="Arial" w:eastAsia="Arial" w:hAnsi="Arial" w:cs="Arial"/>
          <w:bCs/>
          <w:iCs/>
          <w:sz w:val="24"/>
          <w:szCs w:val="24"/>
        </w:rPr>
        <w:t>s state this requirement on websites</w:t>
      </w:r>
      <w:r w:rsidR="001E5518" w:rsidRPr="001272D0">
        <w:rPr>
          <w:rFonts w:ascii="Arial" w:eastAsia="Arial" w:hAnsi="Arial" w:cs="Arial"/>
          <w:bCs/>
          <w:iCs/>
          <w:sz w:val="24"/>
          <w:szCs w:val="24"/>
        </w:rPr>
        <w:t xml:space="preserve"> (3</w:t>
      </w:r>
      <w:r w:rsidR="00EE7CA7" w:rsidRPr="001272D0">
        <w:rPr>
          <w:rFonts w:ascii="Arial" w:eastAsia="Arial" w:hAnsi="Arial" w:cs="Arial"/>
          <w:bCs/>
          <w:iCs/>
          <w:sz w:val="24"/>
          <w:szCs w:val="24"/>
        </w:rPr>
        <w:t>2</w:t>
      </w:r>
      <w:r w:rsidR="001E5518" w:rsidRPr="001272D0">
        <w:rPr>
          <w:rFonts w:ascii="Arial" w:eastAsia="Arial" w:hAnsi="Arial" w:cs="Arial"/>
          <w:bCs/>
          <w:iCs/>
          <w:sz w:val="24"/>
          <w:szCs w:val="24"/>
        </w:rPr>
        <w:t xml:space="preserve">%, </w:t>
      </w:r>
      <w:r w:rsidR="001E5518" w:rsidRPr="001272D0">
        <w:rPr>
          <w:rFonts w:ascii="Arial" w:eastAsia="Arial" w:hAnsi="Arial" w:cs="Arial"/>
          <w:bCs/>
          <w:i/>
          <w:sz w:val="24"/>
          <w:szCs w:val="24"/>
        </w:rPr>
        <w:t>n=</w:t>
      </w:r>
      <w:r w:rsidR="001E5518" w:rsidRPr="001272D0">
        <w:rPr>
          <w:rFonts w:ascii="Arial" w:eastAsia="Arial" w:hAnsi="Arial" w:cs="Arial"/>
          <w:bCs/>
          <w:iCs/>
          <w:sz w:val="24"/>
          <w:szCs w:val="24"/>
        </w:rPr>
        <w:t>23)</w:t>
      </w:r>
      <w:r w:rsidR="002C2D9A" w:rsidRPr="001272D0">
        <w:rPr>
          <w:rFonts w:ascii="Arial" w:eastAsia="Arial" w:hAnsi="Arial" w:cs="Arial"/>
          <w:bCs/>
          <w:iCs/>
          <w:sz w:val="24"/>
          <w:szCs w:val="24"/>
        </w:rPr>
        <w:t xml:space="preserve">. </w:t>
      </w:r>
      <w:r w:rsidR="00C7690A" w:rsidRPr="001272D0">
        <w:rPr>
          <w:rFonts w:ascii="Arial" w:eastAsia="Arial" w:hAnsi="Arial" w:cs="Arial"/>
          <w:bCs/>
          <w:iCs/>
          <w:sz w:val="24"/>
          <w:szCs w:val="24"/>
        </w:rPr>
        <w:t>As highlighted in table 3, s</w:t>
      </w:r>
      <w:r w:rsidR="002C2D9A" w:rsidRPr="001272D0">
        <w:rPr>
          <w:rFonts w:ascii="Arial" w:eastAsia="Arial" w:hAnsi="Arial" w:cs="Arial"/>
          <w:bCs/>
          <w:iCs/>
          <w:sz w:val="24"/>
          <w:szCs w:val="24"/>
        </w:rPr>
        <w:t xml:space="preserve">ix further entry criteria themes </w:t>
      </w:r>
      <w:r w:rsidR="00605334" w:rsidRPr="001272D0">
        <w:rPr>
          <w:rFonts w:ascii="Arial" w:eastAsia="Arial" w:hAnsi="Arial" w:cs="Arial"/>
          <w:bCs/>
          <w:iCs/>
          <w:sz w:val="24"/>
          <w:szCs w:val="24"/>
        </w:rPr>
        <w:t>were identified in the</w:t>
      </w:r>
      <w:r w:rsidR="002C2D9A" w:rsidRPr="001272D0">
        <w:rPr>
          <w:rFonts w:ascii="Arial" w:eastAsia="Arial" w:hAnsi="Arial" w:cs="Arial"/>
          <w:bCs/>
          <w:iCs/>
          <w:sz w:val="24"/>
          <w:szCs w:val="24"/>
        </w:rPr>
        <w:t xml:space="preserve"> data</w:t>
      </w:r>
      <w:r w:rsidR="004E1F67" w:rsidRPr="001272D0">
        <w:rPr>
          <w:rFonts w:ascii="Arial" w:eastAsia="Arial" w:hAnsi="Arial" w:cs="Arial"/>
          <w:bCs/>
          <w:iCs/>
          <w:sz w:val="24"/>
          <w:szCs w:val="24"/>
        </w:rPr>
        <w:t>, with 5</w:t>
      </w:r>
      <w:r w:rsidR="00EE7CA7" w:rsidRPr="001272D0">
        <w:rPr>
          <w:rFonts w:ascii="Arial" w:eastAsia="Arial" w:hAnsi="Arial" w:cs="Arial"/>
          <w:bCs/>
          <w:iCs/>
          <w:sz w:val="24"/>
          <w:szCs w:val="24"/>
        </w:rPr>
        <w:t>8</w:t>
      </w:r>
      <w:r w:rsidR="004E1F67" w:rsidRPr="001272D0">
        <w:rPr>
          <w:rFonts w:ascii="Arial" w:eastAsia="Arial" w:hAnsi="Arial" w:cs="Arial"/>
          <w:bCs/>
          <w:iCs/>
          <w:sz w:val="24"/>
          <w:szCs w:val="24"/>
        </w:rPr>
        <w:t>% (</w:t>
      </w:r>
      <w:r w:rsidR="004E1F67" w:rsidRPr="001272D0">
        <w:rPr>
          <w:rFonts w:ascii="Arial" w:eastAsia="Arial" w:hAnsi="Arial" w:cs="Arial"/>
          <w:bCs/>
          <w:i/>
          <w:sz w:val="24"/>
          <w:szCs w:val="24"/>
        </w:rPr>
        <w:t>n=</w:t>
      </w:r>
      <w:r w:rsidR="004E1F67" w:rsidRPr="001272D0">
        <w:rPr>
          <w:rFonts w:ascii="Arial" w:eastAsia="Arial" w:hAnsi="Arial" w:cs="Arial"/>
          <w:bCs/>
          <w:iCs/>
          <w:sz w:val="24"/>
          <w:szCs w:val="24"/>
        </w:rPr>
        <w:t xml:space="preserve">42) </w:t>
      </w:r>
      <w:r w:rsidR="00251DE9" w:rsidRPr="001272D0">
        <w:rPr>
          <w:rFonts w:ascii="Arial" w:eastAsia="Arial" w:hAnsi="Arial" w:cs="Arial"/>
          <w:bCs/>
          <w:iCs/>
          <w:sz w:val="24"/>
          <w:szCs w:val="24"/>
        </w:rPr>
        <w:t xml:space="preserve">of all programmes </w:t>
      </w:r>
      <w:r w:rsidR="004E1F67" w:rsidRPr="001272D0">
        <w:rPr>
          <w:rFonts w:ascii="Arial" w:eastAsia="Arial" w:hAnsi="Arial" w:cs="Arial"/>
          <w:bCs/>
          <w:iCs/>
          <w:sz w:val="24"/>
          <w:szCs w:val="24"/>
        </w:rPr>
        <w:t>stating</w:t>
      </w:r>
      <w:r w:rsidR="002C2D9A" w:rsidRPr="001272D0">
        <w:rPr>
          <w:rFonts w:ascii="Arial" w:eastAsia="Arial" w:hAnsi="Arial" w:cs="Arial"/>
          <w:bCs/>
          <w:iCs/>
          <w:sz w:val="24"/>
          <w:szCs w:val="24"/>
        </w:rPr>
        <w:t xml:space="preserve"> assessment of two or more themes at </w:t>
      </w:r>
      <w:r w:rsidR="00C7690A" w:rsidRPr="001272D0">
        <w:rPr>
          <w:rFonts w:ascii="Arial" w:eastAsia="Arial" w:hAnsi="Arial" w:cs="Arial"/>
          <w:bCs/>
          <w:iCs/>
          <w:sz w:val="24"/>
          <w:szCs w:val="24"/>
        </w:rPr>
        <w:t xml:space="preserve">the point of </w:t>
      </w:r>
      <w:r w:rsidR="002C2D9A" w:rsidRPr="001272D0">
        <w:rPr>
          <w:rFonts w:ascii="Arial" w:eastAsia="Arial" w:hAnsi="Arial" w:cs="Arial"/>
          <w:bCs/>
          <w:iCs/>
          <w:sz w:val="24"/>
          <w:szCs w:val="24"/>
        </w:rPr>
        <w:t xml:space="preserve">application. </w:t>
      </w:r>
      <w:r w:rsidR="00F347F8" w:rsidRPr="001272D0">
        <w:rPr>
          <w:rFonts w:ascii="Arial" w:eastAsia="Arial" w:hAnsi="Arial" w:cs="Arial"/>
          <w:bCs/>
          <w:iCs/>
          <w:sz w:val="24"/>
          <w:szCs w:val="24"/>
        </w:rPr>
        <w:t xml:space="preserve">Furthermore, </w:t>
      </w:r>
      <w:r w:rsidR="00700D30" w:rsidRPr="001272D0">
        <w:rPr>
          <w:rFonts w:ascii="Arial" w:eastAsia="Arial" w:hAnsi="Arial" w:cs="Arial"/>
          <w:bCs/>
          <w:iCs/>
          <w:sz w:val="24"/>
          <w:szCs w:val="24"/>
        </w:rPr>
        <w:t>the majority</w:t>
      </w:r>
      <w:r w:rsidR="00AC2A50" w:rsidRPr="001272D0">
        <w:rPr>
          <w:rFonts w:ascii="Arial" w:eastAsia="Arial" w:hAnsi="Arial" w:cs="Arial"/>
          <w:bCs/>
          <w:iCs/>
          <w:sz w:val="24"/>
          <w:szCs w:val="24"/>
        </w:rPr>
        <w:t xml:space="preserve"> make explicit reference to professional skills assessment at the point of selection</w:t>
      </w:r>
      <w:r w:rsidR="000824B7" w:rsidRPr="001272D0">
        <w:rPr>
          <w:rFonts w:ascii="Arial" w:eastAsia="Arial" w:hAnsi="Arial" w:cs="Arial"/>
          <w:bCs/>
          <w:iCs/>
          <w:sz w:val="24"/>
          <w:szCs w:val="24"/>
        </w:rPr>
        <w:t xml:space="preserve"> (82%, </w:t>
      </w:r>
      <w:r w:rsidR="000824B7" w:rsidRPr="001272D0">
        <w:rPr>
          <w:rFonts w:ascii="Arial" w:eastAsia="Arial" w:hAnsi="Arial" w:cs="Arial"/>
          <w:bCs/>
          <w:i/>
          <w:sz w:val="24"/>
          <w:szCs w:val="24"/>
        </w:rPr>
        <w:t>n=</w:t>
      </w:r>
      <w:r w:rsidR="000824B7" w:rsidRPr="001272D0">
        <w:rPr>
          <w:rFonts w:ascii="Arial" w:eastAsia="Arial" w:hAnsi="Arial" w:cs="Arial"/>
          <w:bCs/>
          <w:iCs/>
          <w:sz w:val="24"/>
          <w:szCs w:val="24"/>
        </w:rPr>
        <w:t>60</w:t>
      </w:r>
      <w:r w:rsidR="00C7690A" w:rsidRPr="001272D0">
        <w:rPr>
          <w:rFonts w:ascii="Arial" w:eastAsia="Arial" w:hAnsi="Arial" w:cs="Arial"/>
          <w:bCs/>
          <w:iCs/>
          <w:sz w:val="24"/>
          <w:szCs w:val="24"/>
        </w:rPr>
        <w:t xml:space="preserve">), with </w:t>
      </w:r>
      <w:r w:rsidR="00AC2A50" w:rsidRPr="001272D0">
        <w:rPr>
          <w:rFonts w:ascii="Arial" w:hAnsi="Arial" w:cs="Arial"/>
          <w:sz w:val="24"/>
          <w:szCs w:val="24"/>
        </w:rPr>
        <w:t xml:space="preserve">the most popular methods </w:t>
      </w:r>
      <w:r w:rsidR="007C6C76" w:rsidRPr="001272D0">
        <w:rPr>
          <w:rFonts w:ascii="Arial" w:hAnsi="Arial" w:cs="Arial"/>
          <w:sz w:val="24"/>
          <w:szCs w:val="24"/>
        </w:rPr>
        <w:t xml:space="preserve">being </w:t>
      </w:r>
      <w:r w:rsidR="00AC2A50" w:rsidRPr="001272D0">
        <w:rPr>
          <w:rFonts w:ascii="Arial" w:hAnsi="Arial" w:cs="Arial"/>
          <w:sz w:val="24"/>
          <w:szCs w:val="24"/>
        </w:rPr>
        <w:t>interview</w:t>
      </w:r>
      <w:r w:rsidR="007C6C76" w:rsidRPr="001272D0">
        <w:rPr>
          <w:rFonts w:ascii="Arial" w:hAnsi="Arial" w:cs="Arial"/>
          <w:sz w:val="24"/>
          <w:szCs w:val="24"/>
        </w:rPr>
        <w:t>s</w:t>
      </w:r>
      <w:r w:rsidR="0003473B" w:rsidRPr="001272D0">
        <w:rPr>
          <w:rFonts w:ascii="Arial" w:hAnsi="Arial" w:cs="Arial"/>
          <w:sz w:val="24"/>
          <w:szCs w:val="24"/>
        </w:rPr>
        <w:t xml:space="preserve"> (</w:t>
      </w:r>
      <w:r w:rsidR="0003473B" w:rsidRPr="001272D0">
        <w:rPr>
          <w:rFonts w:ascii="Arial" w:hAnsi="Arial" w:cs="Arial"/>
          <w:i/>
          <w:iCs/>
          <w:sz w:val="24"/>
          <w:szCs w:val="24"/>
        </w:rPr>
        <w:t>n=</w:t>
      </w:r>
      <w:r w:rsidR="00DA2E9D" w:rsidRPr="001272D0">
        <w:rPr>
          <w:rFonts w:ascii="Arial" w:hAnsi="Arial" w:cs="Arial"/>
          <w:sz w:val="24"/>
          <w:szCs w:val="24"/>
        </w:rPr>
        <w:t>63</w:t>
      </w:r>
      <w:r w:rsidR="0003473B" w:rsidRPr="001272D0">
        <w:rPr>
          <w:rFonts w:ascii="Arial" w:hAnsi="Arial" w:cs="Arial"/>
          <w:sz w:val="24"/>
          <w:szCs w:val="24"/>
        </w:rPr>
        <w:t>)</w:t>
      </w:r>
      <w:r w:rsidR="00FB33D7" w:rsidRPr="001272D0">
        <w:rPr>
          <w:rFonts w:ascii="Arial" w:hAnsi="Arial" w:cs="Arial"/>
          <w:sz w:val="24"/>
          <w:szCs w:val="24"/>
        </w:rPr>
        <w:t>, including</w:t>
      </w:r>
      <w:r w:rsidR="00AC2A50" w:rsidRPr="001272D0">
        <w:rPr>
          <w:rFonts w:ascii="Arial" w:hAnsi="Arial" w:cs="Arial"/>
          <w:sz w:val="24"/>
          <w:szCs w:val="24"/>
        </w:rPr>
        <w:t xml:space="preserve"> </w:t>
      </w:r>
      <w:r w:rsidR="001A68B0" w:rsidRPr="001272D0">
        <w:rPr>
          <w:rFonts w:ascii="Arial" w:hAnsi="Arial" w:cs="Arial"/>
          <w:sz w:val="24"/>
          <w:szCs w:val="24"/>
        </w:rPr>
        <w:t>interview (</w:t>
      </w:r>
      <w:r w:rsidR="001A68B0" w:rsidRPr="001272D0">
        <w:rPr>
          <w:rFonts w:ascii="Arial" w:hAnsi="Arial" w:cs="Arial"/>
          <w:i/>
          <w:iCs/>
          <w:sz w:val="24"/>
          <w:szCs w:val="24"/>
        </w:rPr>
        <w:t>n</w:t>
      </w:r>
      <w:r w:rsidR="001A68B0" w:rsidRPr="001272D0">
        <w:rPr>
          <w:rFonts w:ascii="Arial" w:hAnsi="Arial" w:cs="Arial"/>
          <w:sz w:val="24"/>
          <w:szCs w:val="24"/>
        </w:rPr>
        <w:t xml:space="preserve">=58) </w:t>
      </w:r>
      <w:r w:rsidR="00AC2A50" w:rsidRPr="001272D0">
        <w:rPr>
          <w:rFonts w:ascii="Arial" w:hAnsi="Arial" w:cs="Arial"/>
          <w:sz w:val="24"/>
          <w:szCs w:val="24"/>
        </w:rPr>
        <w:t>group interview (</w:t>
      </w:r>
      <w:r w:rsidR="00AC2A50" w:rsidRPr="001272D0">
        <w:rPr>
          <w:rFonts w:ascii="Arial" w:hAnsi="Arial" w:cs="Arial"/>
          <w:i/>
          <w:iCs/>
          <w:sz w:val="24"/>
          <w:szCs w:val="24"/>
        </w:rPr>
        <w:t>n=</w:t>
      </w:r>
      <w:r w:rsidR="00AC2A50" w:rsidRPr="001272D0">
        <w:rPr>
          <w:rFonts w:ascii="Arial" w:hAnsi="Arial" w:cs="Arial"/>
          <w:sz w:val="24"/>
          <w:szCs w:val="24"/>
        </w:rPr>
        <w:t>3) and MMIs (</w:t>
      </w:r>
      <w:r w:rsidR="00AC2A50" w:rsidRPr="001272D0">
        <w:rPr>
          <w:rFonts w:ascii="Arial" w:hAnsi="Arial" w:cs="Arial"/>
          <w:i/>
          <w:iCs/>
          <w:sz w:val="24"/>
          <w:szCs w:val="24"/>
        </w:rPr>
        <w:t>n=</w:t>
      </w:r>
      <w:r w:rsidR="00AC2A50" w:rsidRPr="001272D0">
        <w:rPr>
          <w:rFonts w:ascii="Arial" w:hAnsi="Arial" w:cs="Arial"/>
          <w:sz w:val="24"/>
          <w:szCs w:val="24"/>
        </w:rPr>
        <w:t>2); values-based assessment (</w:t>
      </w:r>
      <w:r w:rsidR="00AC2A50" w:rsidRPr="001272D0">
        <w:rPr>
          <w:rFonts w:ascii="Arial" w:hAnsi="Arial" w:cs="Arial"/>
          <w:i/>
          <w:iCs/>
          <w:sz w:val="24"/>
          <w:szCs w:val="24"/>
        </w:rPr>
        <w:t>n=</w:t>
      </w:r>
      <w:r w:rsidR="00AC2A50" w:rsidRPr="001272D0">
        <w:rPr>
          <w:rFonts w:ascii="Arial" w:hAnsi="Arial" w:cs="Arial"/>
          <w:sz w:val="24"/>
          <w:szCs w:val="24"/>
        </w:rPr>
        <w:t>19) and group work (</w:t>
      </w:r>
      <w:r w:rsidR="00AC2A50" w:rsidRPr="001272D0">
        <w:rPr>
          <w:rFonts w:ascii="Arial" w:hAnsi="Arial" w:cs="Arial"/>
          <w:i/>
          <w:iCs/>
          <w:sz w:val="24"/>
          <w:szCs w:val="24"/>
        </w:rPr>
        <w:t>n=</w:t>
      </w:r>
      <w:r w:rsidR="00AC2A50" w:rsidRPr="001272D0">
        <w:rPr>
          <w:rFonts w:ascii="Arial" w:hAnsi="Arial" w:cs="Arial"/>
          <w:sz w:val="24"/>
          <w:szCs w:val="24"/>
        </w:rPr>
        <w:t>11)</w:t>
      </w:r>
      <w:r w:rsidR="00A35AE1" w:rsidRPr="001272D0">
        <w:rPr>
          <w:rFonts w:ascii="Arial" w:hAnsi="Arial" w:cs="Arial"/>
          <w:sz w:val="24"/>
          <w:szCs w:val="24"/>
        </w:rPr>
        <w:t xml:space="preserve"> </w:t>
      </w:r>
      <w:r w:rsidR="00F020A3" w:rsidRPr="001272D0">
        <w:rPr>
          <w:rFonts w:ascii="Arial" w:hAnsi="Arial" w:cs="Arial"/>
          <w:sz w:val="24"/>
          <w:szCs w:val="24"/>
        </w:rPr>
        <w:t>(Table 3)</w:t>
      </w:r>
      <w:r w:rsidR="00AC2A50" w:rsidRPr="001272D0">
        <w:rPr>
          <w:rFonts w:ascii="Arial" w:hAnsi="Arial" w:cs="Arial"/>
          <w:sz w:val="24"/>
          <w:szCs w:val="24"/>
        </w:rPr>
        <w:t xml:space="preserve">. </w:t>
      </w:r>
    </w:p>
    <w:p w14:paraId="00FDD16A" w14:textId="77777777" w:rsidR="00E04C9C" w:rsidRPr="001272D0" w:rsidRDefault="00E04C9C" w:rsidP="00A74EBE">
      <w:pPr>
        <w:spacing w:line="240" w:lineRule="auto"/>
        <w:jc w:val="both"/>
        <w:rPr>
          <w:rFonts w:ascii="Arial" w:eastAsia="Arial" w:hAnsi="Arial" w:cs="Arial"/>
          <w:bCs/>
          <w:iCs/>
          <w:sz w:val="24"/>
          <w:szCs w:val="24"/>
        </w:rPr>
      </w:pPr>
    </w:p>
    <w:p w14:paraId="7211FA66" w14:textId="4B7CEFA8" w:rsidR="002C2D9A" w:rsidRPr="001272D0" w:rsidRDefault="002C2D9A" w:rsidP="00A74EBE">
      <w:pPr>
        <w:spacing w:line="240" w:lineRule="auto"/>
        <w:jc w:val="both"/>
        <w:rPr>
          <w:rFonts w:ascii="Arial" w:hAnsi="Arial" w:cs="Arial"/>
          <w:sz w:val="24"/>
          <w:szCs w:val="24"/>
        </w:rPr>
      </w:pPr>
      <w:r w:rsidRPr="001272D0">
        <w:rPr>
          <w:rFonts w:ascii="Arial" w:hAnsi="Arial" w:cs="Arial"/>
          <w:sz w:val="24"/>
          <w:szCs w:val="24"/>
        </w:rPr>
        <w:t xml:space="preserve">Table </w:t>
      </w:r>
      <w:r w:rsidR="00517774" w:rsidRPr="001272D0">
        <w:rPr>
          <w:rFonts w:ascii="Arial" w:hAnsi="Arial" w:cs="Arial"/>
          <w:sz w:val="24"/>
          <w:szCs w:val="24"/>
        </w:rPr>
        <w:t>3</w:t>
      </w:r>
      <w:r w:rsidR="00253499" w:rsidRPr="001272D0">
        <w:rPr>
          <w:rFonts w:ascii="Arial" w:hAnsi="Arial" w:cs="Arial"/>
          <w:sz w:val="24"/>
          <w:szCs w:val="24"/>
        </w:rPr>
        <w:t>.</w:t>
      </w:r>
      <w:r w:rsidR="00517774" w:rsidRPr="001272D0">
        <w:rPr>
          <w:rFonts w:ascii="Arial" w:hAnsi="Arial" w:cs="Arial"/>
          <w:sz w:val="24"/>
          <w:szCs w:val="24"/>
        </w:rPr>
        <w:t xml:space="preserve"> </w:t>
      </w:r>
      <w:r w:rsidRPr="001272D0">
        <w:rPr>
          <w:rFonts w:ascii="Arial" w:hAnsi="Arial" w:cs="Arial"/>
          <w:sz w:val="24"/>
          <w:szCs w:val="24"/>
        </w:rPr>
        <w:t xml:space="preserve">Professional </w:t>
      </w:r>
      <w:r w:rsidR="007A3BB4" w:rsidRPr="001272D0">
        <w:rPr>
          <w:rFonts w:ascii="Arial" w:hAnsi="Arial" w:cs="Arial"/>
          <w:sz w:val="24"/>
          <w:szCs w:val="24"/>
        </w:rPr>
        <w:t>s</w:t>
      </w:r>
      <w:r w:rsidRPr="001272D0">
        <w:rPr>
          <w:rFonts w:ascii="Arial" w:hAnsi="Arial" w:cs="Arial"/>
          <w:sz w:val="24"/>
          <w:szCs w:val="24"/>
        </w:rPr>
        <w:t xml:space="preserve">kills </w:t>
      </w:r>
      <w:r w:rsidR="007A3BB4" w:rsidRPr="001272D0">
        <w:rPr>
          <w:rFonts w:ascii="Arial" w:hAnsi="Arial" w:cs="Arial"/>
          <w:sz w:val="24"/>
          <w:szCs w:val="24"/>
        </w:rPr>
        <w:t>a</w:t>
      </w:r>
      <w:r w:rsidRPr="001272D0">
        <w:rPr>
          <w:rFonts w:ascii="Arial" w:hAnsi="Arial" w:cs="Arial"/>
          <w:sz w:val="24"/>
          <w:szCs w:val="24"/>
        </w:rPr>
        <w:t xml:space="preserve">ssessed at the </w:t>
      </w:r>
      <w:r w:rsidR="007A3BB4" w:rsidRPr="001272D0">
        <w:rPr>
          <w:rFonts w:ascii="Arial" w:hAnsi="Arial" w:cs="Arial"/>
          <w:sz w:val="24"/>
          <w:szCs w:val="24"/>
        </w:rPr>
        <w:t>p</w:t>
      </w:r>
      <w:r w:rsidRPr="001272D0">
        <w:rPr>
          <w:rFonts w:ascii="Arial" w:hAnsi="Arial" w:cs="Arial"/>
          <w:sz w:val="24"/>
          <w:szCs w:val="24"/>
        </w:rPr>
        <w:t xml:space="preserve">oint of </w:t>
      </w:r>
      <w:r w:rsidR="007A3BB4" w:rsidRPr="001272D0">
        <w:rPr>
          <w:rFonts w:ascii="Arial" w:hAnsi="Arial" w:cs="Arial"/>
          <w:sz w:val="24"/>
          <w:szCs w:val="24"/>
        </w:rPr>
        <w:t>a</w:t>
      </w:r>
      <w:r w:rsidRPr="001272D0">
        <w:rPr>
          <w:rFonts w:ascii="Arial" w:hAnsi="Arial" w:cs="Arial"/>
          <w:sz w:val="24"/>
          <w:szCs w:val="24"/>
        </w:rPr>
        <w:t>pplication</w:t>
      </w:r>
      <w:r w:rsidR="00AC2A50" w:rsidRPr="001272D0">
        <w:rPr>
          <w:rFonts w:ascii="Arial" w:hAnsi="Arial" w:cs="Arial"/>
          <w:sz w:val="24"/>
          <w:szCs w:val="24"/>
        </w:rPr>
        <w:t xml:space="preserve"> and selection</w:t>
      </w:r>
      <w:r w:rsidRPr="001272D0">
        <w:rPr>
          <w:rFonts w:ascii="Arial" w:hAnsi="Arial" w:cs="Arial"/>
          <w:sz w:val="24"/>
          <w:szCs w:val="24"/>
        </w:rPr>
        <w:t xml:space="preserve"> by UK </w:t>
      </w:r>
      <w:r w:rsidR="00EF6BCB" w:rsidRPr="001272D0">
        <w:rPr>
          <w:rFonts w:ascii="Arial" w:hAnsi="Arial" w:cs="Arial"/>
          <w:sz w:val="24"/>
          <w:szCs w:val="24"/>
        </w:rPr>
        <w:t>pre-registration</w:t>
      </w:r>
      <w:r w:rsidRPr="001272D0">
        <w:rPr>
          <w:rFonts w:ascii="Arial" w:hAnsi="Arial" w:cs="Arial"/>
          <w:sz w:val="24"/>
          <w:szCs w:val="24"/>
        </w:rPr>
        <w:t xml:space="preserve"> OT program</w:t>
      </w:r>
      <w:r w:rsidR="00517774" w:rsidRPr="001272D0">
        <w:rPr>
          <w:rFonts w:ascii="Arial" w:hAnsi="Arial" w:cs="Arial"/>
          <w:sz w:val="24"/>
          <w:szCs w:val="24"/>
        </w:rPr>
        <w:t>me</w:t>
      </w:r>
      <w:r w:rsidRPr="001272D0">
        <w:rPr>
          <w:rFonts w:ascii="Arial" w:hAnsi="Arial" w:cs="Arial"/>
          <w:sz w:val="24"/>
          <w:szCs w:val="24"/>
        </w:rPr>
        <w:t>s (</w:t>
      </w:r>
      <w:r w:rsidRPr="001272D0">
        <w:rPr>
          <w:rFonts w:ascii="Arial" w:hAnsi="Arial" w:cs="Arial"/>
          <w:i/>
          <w:iCs/>
          <w:sz w:val="24"/>
          <w:szCs w:val="24"/>
        </w:rPr>
        <w:t>n</w:t>
      </w:r>
      <w:r w:rsidRPr="001272D0">
        <w:rPr>
          <w:rFonts w:ascii="Arial" w:hAnsi="Arial" w:cs="Arial"/>
          <w:sz w:val="24"/>
          <w:szCs w:val="24"/>
        </w:rPr>
        <w:t>=73)</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08"/>
        <w:gridCol w:w="4508"/>
      </w:tblGrid>
      <w:tr w:rsidR="002C2D9A" w:rsidRPr="001272D0" w14:paraId="2194400C" w14:textId="77777777" w:rsidTr="00B4201A">
        <w:tc>
          <w:tcPr>
            <w:tcW w:w="4508" w:type="dxa"/>
            <w:tcBorders>
              <w:top w:val="single" w:sz="4" w:space="0" w:color="auto"/>
              <w:left w:val="nil"/>
              <w:bottom w:val="single" w:sz="4" w:space="0" w:color="auto"/>
            </w:tcBorders>
          </w:tcPr>
          <w:p w14:paraId="6D70DA82" w14:textId="77777777" w:rsidR="003C6EE5" w:rsidRPr="001272D0" w:rsidRDefault="002C2D9A" w:rsidP="00AC2A50">
            <w:pPr>
              <w:jc w:val="center"/>
              <w:rPr>
                <w:rFonts w:ascii="Arial" w:eastAsia="Arial" w:hAnsi="Arial" w:cs="Arial"/>
                <w:b/>
                <w:iCs/>
                <w:sz w:val="24"/>
                <w:szCs w:val="24"/>
              </w:rPr>
            </w:pPr>
            <w:r w:rsidRPr="001272D0">
              <w:rPr>
                <w:rFonts w:ascii="Arial" w:eastAsia="Arial" w:hAnsi="Arial" w:cs="Arial"/>
                <w:b/>
                <w:iCs/>
                <w:sz w:val="24"/>
                <w:szCs w:val="24"/>
              </w:rPr>
              <w:t xml:space="preserve">Professional </w:t>
            </w:r>
            <w:r w:rsidR="003C6EE5" w:rsidRPr="001272D0">
              <w:rPr>
                <w:rFonts w:ascii="Arial" w:eastAsia="Arial" w:hAnsi="Arial" w:cs="Arial"/>
                <w:b/>
                <w:iCs/>
                <w:sz w:val="24"/>
                <w:szCs w:val="24"/>
              </w:rPr>
              <w:t>s</w:t>
            </w:r>
            <w:r w:rsidRPr="001272D0">
              <w:rPr>
                <w:rFonts w:ascii="Arial" w:eastAsia="Arial" w:hAnsi="Arial" w:cs="Arial"/>
                <w:b/>
                <w:iCs/>
                <w:sz w:val="24"/>
                <w:szCs w:val="24"/>
              </w:rPr>
              <w:t xml:space="preserve">kills at </w:t>
            </w:r>
            <w:r w:rsidR="003C6EE5" w:rsidRPr="001272D0">
              <w:rPr>
                <w:rFonts w:ascii="Arial" w:eastAsia="Arial" w:hAnsi="Arial" w:cs="Arial"/>
                <w:b/>
                <w:iCs/>
                <w:sz w:val="24"/>
                <w:szCs w:val="24"/>
              </w:rPr>
              <w:t>a</w:t>
            </w:r>
            <w:r w:rsidRPr="001272D0">
              <w:rPr>
                <w:rFonts w:ascii="Arial" w:eastAsia="Arial" w:hAnsi="Arial" w:cs="Arial"/>
                <w:b/>
                <w:iCs/>
                <w:sz w:val="24"/>
                <w:szCs w:val="24"/>
              </w:rPr>
              <w:t xml:space="preserve">pplication </w:t>
            </w:r>
          </w:p>
          <w:p w14:paraId="36C01D95" w14:textId="0F6F0ACB" w:rsidR="002C2D9A" w:rsidRPr="001272D0" w:rsidRDefault="002C2D9A" w:rsidP="00AC2A50">
            <w:pPr>
              <w:jc w:val="center"/>
              <w:rPr>
                <w:rFonts w:ascii="Arial" w:eastAsia="Arial" w:hAnsi="Arial" w:cs="Arial"/>
                <w:b/>
                <w:iCs/>
                <w:sz w:val="24"/>
                <w:szCs w:val="24"/>
              </w:rPr>
            </w:pPr>
          </w:p>
        </w:tc>
        <w:tc>
          <w:tcPr>
            <w:tcW w:w="4508" w:type="dxa"/>
            <w:tcBorders>
              <w:top w:val="single" w:sz="4" w:space="0" w:color="auto"/>
              <w:bottom w:val="single" w:sz="4" w:space="0" w:color="auto"/>
              <w:right w:val="nil"/>
            </w:tcBorders>
          </w:tcPr>
          <w:p w14:paraId="033BA0CB" w14:textId="51C69822" w:rsidR="002C2D9A" w:rsidRPr="001272D0" w:rsidRDefault="009E6E03" w:rsidP="00AC2A50">
            <w:pPr>
              <w:rPr>
                <w:rFonts w:ascii="Arial" w:eastAsia="Arial" w:hAnsi="Arial" w:cs="Arial"/>
                <w:b/>
                <w:iCs/>
                <w:sz w:val="24"/>
                <w:szCs w:val="24"/>
              </w:rPr>
            </w:pPr>
            <w:r w:rsidRPr="001272D0">
              <w:rPr>
                <w:rFonts w:ascii="Arial" w:eastAsia="Arial" w:hAnsi="Arial" w:cs="Arial"/>
                <w:b/>
                <w:iCs/>
                <w:sz w:val="24"/>
                <w:szCs w:val="24"/>
              </w:rPr>
              <w:t>Number of</w:t>
            </w:r>
            <w:r w:rsidR="002C2D9A" w:rsidRPr="001272D0">
              <w:rPr>
                <w:rFonts w:ascii="Arial" w:eastAsia="Arial" w:hAnsi="Arial" w:cs="Arial"/>
                <w:b/>
                <w:iCs/>
                <w:sz w:val="24"/>
                <w:szCs w:val="24"/>
              </w:rPr>
              <w:t xml:space="preserve"> </w:t>
            </w:r>
            <w:r w:rsidR="003C6EE5" w:rsidRPr="001272D0">
              <w:rPr>
                <w:rFonts w:ascii="Arial" w:eastAsia="Arial" w:hAnsi="Arial" w:cs="Arial"/>
                <w:b/>
                <w:iCs/>
                <w:sz w:val="24"/>
                <w:szCs w:val="24"/>
              </w:rPr>
              <w:t>p</w:t>
            </w:r>
            <w:r w:rsidR="002C2D9A" w:rsidRPr="001272D0">
              <w:rPr>
                <w:rFonts w:ascii="Arial" w:eastAsia="Arial" w:hAnsi="Arial" w:cs="Arial"/>
                <w:b/>
                <w:iCs/>
                <w:sz w:val="24"/>
                <w:szCs w:val="24"/>
              </w:rPr>
              <w:t>rogrammes (%)</w:t>
            </w:r>
          </w:p>
        </w:tc>
      </w:tr>
      <w:tr w:rsidR="002C2D9A" w:rsidRPr="001272D0" w14:paraId="3F2BEA3E" w14:textId="77777777" w:rsidTr="00B4201A">
        <w:tc>
          <w:tcPr>
            <w:tcW w:w="4508" w:type="dxa"/>
            <w:tcBorders>
              <w:top w:val="single" w:sz="4" w:space="0" w:color="auto"/>
              <w:left w:val="nil"/>
            </w:tcBorders>
          </w:tcPr>
          <w:p w14:paraId="4F69DDF5" w14:textId="08ABE976" w:rsidR="002C2D9A" w:rsidRPr="001272D0" w:rsidRDefault="002C2D9A" w:rsidP="00AC2A50">
            <w:pPr>
              <w:rPr>
                <w:rFonts w:ascii="Arial" w:eastAsia="Arial" w:hAnsi="Arial" w:cs="Arial"/>
                <w:bCs/>
                <w:iCs/>
                <w:sz w:val="24"/>
                <w:szCs w:val="24"/>
              </w:rPr>
            </w:pPr>
            <w:r w:rsidRPr="001272D0">
              <w:rPr>
                <w:rFonts w:ascii="Arial" w:eastAsia="Arial" w:hAnsi="Arial" w:cs="Arial"/>
                <w:bCs/>
                <w:iCs/>
                <w:sz w:val="24"/>
                <w:szCs w:val="24"/>
              </w:rPr>
              <w:t xml:space="preserve">Not Stipulated </w:t>
            </w:r>
          </w:p>
        </w:tc>
        <w:tc>
          <w:tcPr>
            <w:tcW w:w="4508" w:type="dxa"/>
            <w:tcBorders>
              <w:top w:val="single" w:sz="4" w:space="0" w:color="auto"/>
              <w:right w:val="nil"/>
            </w:tcBorders>
          </w:tcPr>
          <w:p w14:paraId="2B74E96E" w14:textId="5C73D982" w:rsidR="002C2D9A" w:rsidRPr="001272D0" w:rsidRDefault="009E6E03" w:rsidP="00AC2A50">
            <w:pPr>
              <w:rPr>
                <w:rFonts w:ascii="Arial" w:eastAsia="Arial" w:hAnsi="Arial" w:cs="Arial"/>
                <w:bCs/>
                <w:iCs/>
                <w:sz w:val="24"/>
                <w:szCs w:val="24"/>
              </w:rPr>
            </w:pPr>
            <w:r w:rsidRPr="001272D0">
              <w:rPr>
                <w:rFonts w:ascii="Arial" w:eastAsia="Arial" w:hAnsi="Arial" w:cs="Arial"/>
                <w:bCs/>
                <w:iCs/>
                <w:sz w:val="24"/>
                <w:szCs w:val="24"/>
              </w:rPr>
              <w:t>17 (</w:t>
            </w:r>
            <w:r w:rsidR="002C2D9A" w:rsidRPr="001272D0">
              <w:rPr>
                <w:rFonts w:ascii="Arial" w:eastAsia="Arial" w:hAnsi="Arial" w:cs="Arial"/>
                <w:bCs/>
                <w:iCs/>
                <w:sz w:val="24"/>
                <w:szCs w:val="24"/>
              </w:rPr>
              <w:t>23%</w:t>
            </w:r>
            <w:r w:rsidRPr="001272D0">
              <w:rPr>
                <w:rFonts w:ascii="Arial" w:eastAsia="Arial" w:hAnsi="Arial" w:cs="Arial"/>
                <w:bCs/>
                <w:iCs/>
                <w:sz w:val="24"/>
                <w:szCs w:val="24"/>
              </w:rPr>
              <w:t>)</w:t>
            </w:r>
          </w:p>
        </w:tc>
      </w:tr>
      <w:tr w:rsidR="002C2D9A" w:rsidRPr="001272D0" w14:paraId="680F0CCA" w14:textId="77777777" w:rsidTr="00B4201A">
        <w:tc>
          <w:tcPr>
            <w:tcW w:w="4508" w:type="dxa"/>
            <w:tcBorders>
              <w:left w:val="nil"/>
            </w:tcBorders>
          </w:tcPr>
          <w:p w14:paraId="12C618BB" w14:textId="42CECF46" w:rsidR="002C2D9A" w:rsidRPr="001272D0" w:rsidRDefault="002C2D9A" w:rsidP="00AC2A50">
            <w:pPr>
              <w:rPr>
                <w:rFonts w:ascii="Arial" w:eastAsia="Arial" w:hAnsi="Arial" w:cs="Arial"/>
                <w:bCs/>
                <w:iCs/>
                <w:sz w:val="24"/>
                <w:szCs w:val="24"/>
              </w:rPr>
            </w:pPr>
            <w:r w:rsidRPr="001272D0">
              <w:rPr>
                <w:rFonts w:ascii="Arial" w:eastAsia="Arial" w:hAnsi="Arial" w:cs="Arial"/>
                <w:bCs/>
                <w:iCs/>
                <w:sz w:val="24"/>
                <w:szCs w:val="24"/>
              </w:rPr>
              <w:t xml:space="preserve">Work Experience </w:t>
            </w:r>
          </w:p>
        </w:tc>
        <w:tc>
          <w:tcPr>
            <w:tcW w:w="4508" w:type="dxa"/>
            <w:tcBorders>
              <w:right w:val="nil"/>
            </w:tcBorders>
          </w:tcPr>
          <w:p w14:paraId="54AF66FE" w14:textId="10183F3A" w:rsidR="002C2D9A" w:rsidRPr="001272D0" w:rsidRDefault="009E6E03" w:rsidP="00AC2A50">
            <w:pPr>
              <w:rPr>
                <w:rFonts w:ascii="Arial" w:eastAsia="Arial" w:hAnsi="Arial" w:cs="Arial"/>
                <w:bCs/>
                <w:iCs/>
                <w:sz w:val="24"/>
                <w:szCs w:val="24"/>
              </w:rPr>
            </w:pPr>
            <w:r w:rsidRPr="001272D0">
              <w:rPr>
                <w:rFonts w:ascii="Arial" w:eastAsia="Arial" w:hAnsi="Arial" w:cs="Arial"/>
                <w:bCs/>
                <w:iCs/>
                <w:sz w:val="24"/>
                <w:szCs w:val="24"/>
              </w:rPr>
              <w:t>38 (</w:t>
            </w:r>
            <w:r w:rsidR="002C2D9A" w:rsidRPr="001272D0">
              <w:rPr>
                <w:rFonts w:ascii="Arial" w:eastAsia="Arial" w:hAnsi="Arial" w:cs="Arial"/>
                <w:bCs/>
                <w:iCs/>
                <w:sz w:val="24"/>
                <w:szCs w:val="24"/>
              </w:rPr>
              <w:t>52%</w:t>
            </w:r>
            <w:r w:rsidRPr="001272D0">
              <w:rPr>
                <w:rFonts w:ascii="Arial" w:eastAsia="Arial" w:hAnsi="Arial" w:cs="Arial"/>
                <w:bCs/>
                <w:iCs/>
                <w:sz w:val="24"/>
                <w:szCs w:val="24"/>
              </w:rPr>
              <w:t>)</w:t>
            </w:r>
            <w:r w:rsidR="007445CF" w:rsidRPr="001272D0">
              <w:rPr>
                <w:rFonts w:ascii="Arial" w:eastAsia="Arial" w:hAnsi="Arial" w:cs="Arial"/>
                <w:bCs/>
                <w:iCs/>
                <w:sz w:val="24"/>
                <w:szCs w:val="24"/>
              </w:rPr>
              <w:t xml:space="preserve"> </w:t>
            </w:r>
          </w:p>
        </w:tc>
      </w:tr>
      <w:tr w:rsidR="002C2D9A" w:rsidRPr="001272D0" w14:paraId="7A7C3420" w14:textId="77777777" w:rsidTr="00B4201A">
        <w:tc>
          <w:tcPr>
            <w:tcW w:w="4508" w:type="dxa"/>
            <w:tcBorders>
              <w:left w:val="nil"/>
            </w:tcBorders>
          </w:tcPr>
          <w:p w14:paraId="246A9E84" w14:textId="6200C0CE" w:rsidR="002C2D9A" w:rsidRPr="001272D0" w:rsidRDefault="002C2D9A" w:rsidP="00AC2A50">
            <w:pPr>
              <w:rPr>
                <w:rFonts w:ascii="Arial" w:eastAsia="Arial" w:hAnsi="Arial" w:cs="Arial"/>
                <w:bCs/>
                <w:iCs/>
                <w:sz w:val="24"/>
                <w:szCs w:val="24"/>
              </w:rPr>
            </w:pPr>
            <w:r w:rsidRPr="001272D0">
              <w:rPr>
                <w:rFonts w:ascii="Arial" w:eastAsia="Arial" w:hAnsi="Arial" w:cs="Arial"/>
                <w:bCs/>
                <w:iCs/>
                <w:sz w:val="24"/>
                <w:szCs w:val="24"/>
              </w:rPr>
              <w:t xml:space="preserve">Knowledge of profession/role and/or scope of practice </w:t>
            </w:r>
          </w:p>
        </w:tc>
        <w:tc>
          <w:tcPr>
            <w:tcW w:w="4508" w:type="dxa"/>
            <w:tcBorders>
              <w:right w:val="nil"/>
            </w:tcBorders>
          </w:tcPr>
          <w:p w14:paraId="294FEE78" w14:textId="49E599CA" w:rsidR="002C2D9A" w:rsidRPr="001272D0" w:rsidRDefault="009E6E03" w:rsidP="00AC2A50">
            <w:pPr>
              <w:rPr>
                <w:rFonts w:ascii="Arial" w:eastAsia="Arial" w:hAnsi="Arial" w:cs="Arial"/>
                <w:bCs/>
                <w:iCs/>
                <w:sz w:val="24"/>
                <w:szCs w:val="24"/>
              </w:rPr>
            </w:pPr>
            <w:r w:rsidRPr="001272D0">
              <w:rPr>
                <w:rFonts w:ascii="Arial" w:eastAsia="Arial" w:hAnsi="Arial" w:cs="Arial"/>
                <w:bCs/>
                <w:iCs/>
                <w:sz w:val="24"/>
                <w:szCs w:val="24"/>
              </w:rPr>
              <w:t>36 (</w:t>
            </w:r>
            <w:r w:rsidR="005F2CE4" w:rsidRPr="001272D0">
              <w:rPr>
                <w:rFonts w:ascii="Arial" w:eastAsia="Arial" w:hAnsi="Arial" w:cs="Arial"/>
                <w:bCs/>
                <w:iCs/>
                <w:sz w:val="24"/>
                <w:szCs w:val="24"/>
              </w:rPr>
              <w:t>50</w:t>
            </w:r>
            <w:r w:rsidR="002C2D9A" w:rsidRPr="001272D0">
              <w:rPr>
                <w:rFonts w:ascii="Arial" w:eastAsia="Arial" w:hAnsi="Arial" w:cs="Arial"/>
                <w:bCs/>
                <w:iCs/>
                <w:sz w:val="24"/>
                <w:szCs w:val="24"/>
              </w:rPr>
              <w:t>%</w:t>
            </w:r>
            <w:r w:rsidRPr="001272D0">
              <w:rPr>
                <w:rFonts w:ascii="Arial" w:eastAsia="Arial" w:hAnsi="Arial" w:cs="Arial"/>
                <w:bCs/>
                <w:iCs/>
                <w:sz w:val="24"/>
                <w:szCs w:val="24"/>
              </w:rPr>
              <w:t>)</w:t>
            </w:r>
          </w:p>
        </w:tc>
      </w:tr>
      <w:tr w:rsidR="002C2D9A" w:rsidRPr="001272D0" w14:paraId="3453DD94" w14:textId="77777777" w:rsidTr="00B4201A">
        <w:tc>
          <w:tcPr>
            <w:tcW w:w="4508" w:type="dxa"/>
            <w:tcBorders>
              <w:left w:val="nil"/>
            </w:tcBorders>
          </w:tcPr>
          <w:p w14:paraId="09E8BB38" w14:textId="66E2779C" w:rsidR="002C2D9A" w:rsidRPr="001272D0" w:rsidRDefault="002C2D9A" w:rsidP="00AC2A50">
            <w:pPr>
              <w:rPr>
                <w:rFonts w:ascii="Arial" w:eastAsia="Arial" w:hAnsi="Arial" w:cs="Arial"/>
                <w:bCs/>
                <w:iCs/>
                <w:sz w:val="24"/>
                <w:szCs w:val="24"/>
              </w:rPr>
            </w:pPr>
            <w:r w:rsidRPr="001272D0">
              <w:rPr>
                <w:rFonts w:ascii="Arial" w:eastAsia="Arial" w:hAnsi="Arial" w:cs="Arial"/>
                <w:bCs/>
                <w:iCs/>
                <w:sz w:val="24"/>
                <w:szCs w:val="24"/>
              </w:rPr>
              <w:t xml:space="preserve">Individual personal qualities </w:t>
            </w:r>
          </w:p>
        </w:tc>
        <w:tc>
          <w:tcPr>
            <w:tcW w:w="4508" w:type="dxa"/>
            <w:tcBorders>
              <w:right w:val="nil"/>
            </w:tcBorders>
          </w:tcPr>
          <w:p w14:paraId="4063161B" w14:textId="7F5EDB62" w:rsidR="002C2D9A" w:rsidRPr="001272D0" w:rsidRDefault="009E6E03" w:rsidP="00AC2A50">
            <w:pPr>
              <w:rPr>
                <w:rFonts w:ascii="Arial" w:eastAsia="Arial" w:hAnsi="Arial" w:cs="Arial"/>
                <w:bCs/>
                <w:iCs/>
                <w:sz w:val="24"/>
                <w:szCs w:val="24"/>
              </w:rPr>
            </w:pPr>
            <w:r w:rsidRPr="001272D0">
              <w:rPr>
                <w:rFonts w:ascii="Arial" w:eastAsia="Arial" w:hAnsi="Arial" w:cs="Arial"/>
                <w:bCs/>
                <w:iCs/>
                <w:sz w:val="24"/>
                <w:szCs w:val="24"/>
              </w:rPr>
              <w:t>25 (</w:t>
            </w:r>
            <w:r w:rsidR="002C2D9A" w:rsidRPr="001272D0">
              <w:rPr>
                <w:rFonts w:ascii="Arial" w:eastAsia="Arial" w:hAnsi="Arial" w:cs="Arial"/>
                <w:bCs/>
                <w:iCs/>
                <w:sz w:val="24"/>
                <w:szCs w:val="24"/>
              </w:rPr>
              <w:t>3</w:t>
            </w:r>
            <w:r w:rsidR="005F2CE4" w:rsidRPr="001272D0">
              <w:rPr>
                <w:rFonts w:ascii="Arial" w:eastAsia="Arial" w:hAnsi="Arial" w:cs="Arial"/>
                <w:bCs/>
                <w:iCs/>
                <w:sz w:val="24"/>
                <w:szCs w:val="24"/>
              </w:rPr>
              <w:t>4</w:t>
            </w:r>
            <w:r w:rsidR="002C2D9A" w:rsidRPr="001272D0">
              <w:rPr>
                <w:rFonts w:ascii="Arial" w:eastAsia="Arial" w:hAnsi="Arial" w:cs="Arial"/>
                <w:bCs/>
                <w:iCs/>
                <w:sz w:val="24"/>
                <w:szCs w:val="24"/>
              </w:rPr>
              <w:t>%</w:t>
            </w:r>
            <w:r w:rsidRPr="001272D0">
              <w:rPr>
                <w:rFonts w:ascii="Arial" w:eastAsia="Arial" w:hAnsi="Arial" w:cs="Arial"/>
                <w:bCs/>
                <w:iCs/>
                <w:sz w:val="24"/>
                <w:szCs w:val="24"/>
              </w:rPr>
              <w:t>)</w:t>
            </w:r>
          </w:p>
        </w:tc>
      </w:tr>
      <w:tr w:rsidR="002C2D9A" w:rsidRPr="001272D0" w14:paraId="4456FD6B" w14:textId="77777777" w:rsidTr="00B4201A">
        <w:tc>
          <w:tcPr>
            <w:tcW w:w="4508" w:type="dxa"/>
            <w:tcBorders>
              <w:left w:val="nil"/>
            </w:tcBorders>
          </w:tcPr>
          <w:p w14:paraId="10685375" w14:textId="51AE871A" w:rsidR="002C2D9A" w:rsidRPr="001272D0" w:rsidRDefault="002C2D9A" w:rsidP="00AC2A50">
            <w:pPr>
              <w:rPr>
                <w:rFonts w:ascii="Arial" w:eastAsia="Arial" w:hAnsi="Arial" w:cs="Arial"/>
                <w:bCs/>
                <w:iCs/>
                <w:sz w:val="24"/>
                <w:szCs w:val="24"/>
              </w:rPr>
            </w:pPr>
            <w:r w:rsidRPr="001272D0">
              <w:rPr>
                <w:rFonts w:ascii="Arial" w:eastAsia="Arial" w:hAnsi="Arial" w:cs="Arial"/>
                <w:bCs/>
                <w:iCs/>
                <w:sz w:val="24"/>
                <w:szCs w:val="24"/>
              </w:rPr>
              <w:t xml:space="preserve">Personal Statement </w:t>
            </w:r>
          </w:p>
        </w:tc>
        <w:tc>
          <w:tcPr>
            <w:tcW w:w="4508" w:type="dxa"/>
            <w:tcBorders>
              <w:right w:val="nil"/>
            </w:tcBorders>
          </w:tcPr>
          <w:p w14:paraId="0D565712" w14:textId="1927A8F9" w:rsidR="002C2D9A" w:rsidRPr="001272D0" w:rsidRDefault="009E6E03" w:rsidP="00AC2A50">
            <w:pPr>
              <w:rPr>
                <w:rFonts w:ascii="Arial" w:eastAsia="Arial" w:hAnsi="Arial" w:cs="Arial"/>
                <w:bCs/>
                <w:iCs/>
                <w:sz w:val="24"/>
                <w:szCs w:val="24"/>
              </w:rPr>
            </w:pPr>
            <w:r w:rsidRPr="001272D0">
              <w:rPr>
                <w:rFonts w:ascii="Arial" w:eastAsia="Arial" w:hAnsi="Arial" w:cs="Arial"/>
                <w:bCs/>
                <w:iCs/>
                <w:sz w:val="24"/>
                <w:szCs w:val="24"/>
              </w:rPr>
              <w:t>23 (</w:t>
            </w:r>
            <w:r w:rsidR="002C2D9A" w:rsidRPr="001272D0">
              <w:rPr>
                <w:rFonts w:ascii="Arial" w:eastAsia="Arial" w:hAnsi="Arial" w:cs="Arial"/>
                <w:bCs/>
                <w:iCs/>
                <w:sz w:val="24"/>
                <w:szCs w:val="24"/>
              </w:rPr>
              <w:t>3</w:t>
            </w:r>
            <w:r w:rsidR="005F2CE4" w:rsidRPr="001272D0">
              <w:rPr>
                <w:rFonts w:ascii="Arial" w:eastAsia="Arial" w:hAnsi="Arial" w:cs="Arial"/>
                <w:bCs/>
                <w:iCs/>
                <w:sz w:val="24"/>
                <w:szCs w:val="24"/>
              </w:rPr>
              <w:t>2</w:t>
            </w:r>
            <w:r w:rsidR="002C2D9A" w:rsidRPr="001272D0">
              <w:rPr>
                <w:rFonts w:ascii="Arial" w:eastAsia="Arial" w:hAnsi="Arial" w:cs="Arial"/>
                <w:bCs/>
                <w:iCs/>
                <w:sz w:val="24"/>
                <w:szCs w:val="24"/>
              </w:rPr>
              <w:t>%</w:t>
            </w:r>
            <w:r w:rsidRPr="001272D0">
              <w:rPr>
                <w:rFonts w:ascii="Arial" w:eastAsia="Arial" w:hAnsi="Arial" w:cs="Arial"/>
                <w:bCs/>
                <w:iCs/>
                <w:sz w:val="24"/>
                <w:szCs w:val="24"/>
              </w:rPr>
              <w:t>)</w:t>
            </w:r>
          </w:p>
        </w:tc>
      </w:tr>
      <w:tr w:rsidR="002C2D9A" w:rsidRPr="001272D0" w14:paraId="0CA856F3" w14:textId="77777777" w:rsidTr="00B4201A">
        <w:tc>
          <w:tcPr>
            <w:tcW w:w="4508" w:type="dxa"/>
            <w:tcBorders>
              <w:left w:val="nil"/>
            </w:tcBorders>
          </w:tcPr>
          <w:p w14:paraId="5844CE55" w14:textId="3A7B96F9" w:rsidR="002C2D9A" w:rsidRPr="001272D0" w:rsidRDefault="002C2D9A" w:rsidP="00AC2A50">
            <w:pPr>
              <w:rPr>
                <w:rFonts w:ascii="Arial" w:eastAsia="Arial" w:hAnsi="Arial" w:cs="Arial"/>
                <w:bCs/>
                <w:iCs/>
                <w:sz w:val="24"/>
                <w:szCs w:val="24"/>
              </w:rPr>
            </w:pPr>
            <w:r w:rsidRPr="001272D0">
              <w:rPr>
                <w:rFonts w:ascii="Arial" w:eastAsia="Arial" w:hAnsi="Arial" w:cs="Arial"/>
                <w:bCs/>
                <w:iCs/>
                <w:sz w:val="24"/>
                <w:szCs w:val="24"/>
              </w:rPr>
              <w:t xml:space="preserve">Values-based assessment/NHS Values/NHS Constitution </w:t>
            </w:r>
          </w:p>
        </w:tc>
        <w:tc>
          <w:tcPr>
            <w:tcW w:w="4508" w:type="dxa"/>
            <w:tcBorders>
              <w:right w:val="nil"/>
            </w:tcBorders>
          </w:tcPr>
          <w:p w14:paraId="62AC7243" w14:textId="07564DDE" w:rsidR="002C2D9A" w:rsidRPr="001272D0" w:rsidRDefault="009E6E03" w:rsidP="00AC2A50">
            <w:pPr>
              <w:rPr>
                <w:rFonts w:ascii="Arial" w:eastAsia="Arial" w:hAnsi="Arial" w:cs="Arial"/>
                <w:bCs/>
                <w:iCs/>
                <w:sz w:val="24"/>
                <w:szCs w:val="24"/>
              </w:rPr>
            </w:pPr>
            <w:r w:rsidRPr="001272D0">
              <w:rPr>
                <w:rFonts w:ascii="Arial" w:eastAsia="Arial" w:hAnsi="Arial" w:cs="Arial"/>
                <w:bCs/>
                <w:iCs/>
                <w:sz w:val="24"/>
                <w:szCs w:val="24"/>
              </w:rPr>
              <w:t>19 (</w:t>
            </w:r>
            <w:r w:rsidR="002C2D9A" w:rsidRPr="001272D0">
              <w:rPr>
                <w:rFonts w:ascii="Arial" w:eastAsia="Arial" w:hAnsi="Arial" w:cs="Arial"/>
                <w:bCs/>
                <w:iCs/>
                <w:sz w:val="24"/>
                <w:szCs w:val="24"/>
              </w:rPr>
              <w:t>26%</w:t>
            </w:r>
            <w:r w:rsidRPr="001272D0">
              <w:rPr>
                <w:rFonts w:ascii="Arial" w:eastAsia="Arial" w:hAnsi="Arial" w:cs="Arial"/>
                <w:bCs/>
                <w:iCs/>
                <w:sz w:val="24"/>
                <w:szCs w:val="24"/>
              </w:rPr>
              <w:t>)</w:t>
            </w:r>
          </w:p>
        </w:tc>
      </w:tr>
      <w:tr w:rsidR="002C2D9A" w:rsidRPr="001272D0" w14:paraId="2C555A39" w14:textId="77777777" w:rsidTr="00AC2A50">
        <w:tc>
          <w:tcPr>
            <w:tcW w:w="4508" w:type="dxa"/>
            <w:tcBorders>
              <w:left w:val="nil"/>
              <w:bottom w:val="nil"/>
            </w:tcBorders>
          </w:tcPr>
          <w:p w14:paraId="311C5D41" w14:textId="38CEDDC5" w:rsidR="002C2D9A" w:rsidRPr="001272D0" w:rsidRDefault="002C2D9A" w:rsidP="00AC2A50">
            <w:pPr>
              <w:rPr>
                <w:rFonts w:ascii="Arial" w:eastAsia="Arial" w:hAnsi="Arial" w:cs="Arial"/>
                <w:bCs/>
                <w:iCs/>
                <w:sz w:val="24"/>
                <w:szCs w:val="24"/>
              </w:rPr>
            </w:pPr>
            <w:r w:rsidRPr="001272D0">
              <w:rPr>
                <w:rFonts w:ascii="Arial" w:eastAsia="Arial" w:hAnsi="Arial" w:cs="Arial"/>
                <w:bCs/>
                <w:iCs/>
                <w:sz w:val="24"/>
                <w:szCs w:val="24"/>
              </w:rPr>
              <w:t>Personal Experience</w:t>
            </w:r>
          </w:p>
        </w:tc>
        <w:tc>
          <w:tcPr>
            <w:tcW w:w="4508" w:type="dxa"/>
            <w:tcBorders>
              <w:bottom w:val="nil"/>
              <w:right w:val="nil"/>
            </w:tcBorders>
          </w:tcPr>
          <w:p w14:paraId="27EC3F73" w14:textId="4BBB962C" w:rsidR="002C2D9A" w:rsidRPr="001272D0" w:rsidRDefault="009E6E03" w:rsidP="00AC2A50">
            <w:pPr>
              <w:rPr>
                <w:rFonts w:ascii="Arial" w:eastAsia="Arial" w:hAnsi="Arial" w:cs="Arial"/>
                <w:bCs/>
                <w:iCs/>
                <w:sz w:val="24"/>
                <w:szCs w:val="24"/>
              </w:rPr>
            </w:pPr>
            <w:r w:rsidRPr="001272D0">
              <w:rPr>
                <w:rFonts w:ascii="Arial" w:eastAsia="Arial" w:hAnsi="Arial" w:cs="Arial"/>
                <w:bCs/>
                <w:iCs/>
                <w:sz w:val="24"/>
                <w:szCs w:val="24"/>
              </w:rPr>
              <w:t>9</w:t>
            </w:r>
            <w:proofErr w:type="gramStart"/>
            <w:r w:rsidRPr="001272D0">
              <w:rPr>
                <w:rFonts w:ascii="Arial" w:eastAsia="Arial" w:hAnsi="Arial" w:cs="Arial"/>
                <w:bCs/>
                <w:iCs/>
                <w:sz w:val="24"/>
                <w:szCs w:val="24"/>
              </w:rPr>
              <w:t xml:space="preserve"> </w:t>
            </w:r>
            <w:r w:rsidR="003D1A33" w:rsidRPr="001272D0">
              <w:rPr>
                <w:rFonts w:ascii="Arial" w:eastAsia="Arial" w:hAnsi="Arial" w:cs="Arial"/>
                <w:bCs/>
                <w:iCs/>
                <w:sz w:val="24"/>
                <w:szCs w:val="24"/>
              </w:rPr>
              <w:t xml:space="preserve">  </w:t>
            </w:r>
            <w:r w:rsidRPr="001272D0">
              <w:rPr>
                <w:rFonts w:ascii="Arial" w:eastAsia="Arial" w:hAnsi="Arial" w:cs="Arial"/>
                <w:bCs/>
                <w:iCs/>
                <w:sz w:val="24"/>
                <w:szCs w:val="24"/>
              </w:rPr>
              <w:t>(</w:t>
            </w:r>
            <w:proofErr w:type="gramEnd"/>
            <w:r w:rsidR="002C2D9A" w:rsidRPr="001272D0">
              <w:rPr>
                <w:rFonts w:ascii="Arial" w:eastAsia="Arial" w:hAnsi="Arial" w:cs="Arial"/>
                <w:bCs/>
                <w:iCs/>
                <w:sz w:val="24"/>
                <w:szCs w:val="24"/>
              </w:rPr>
              <w:t>12%</w:t>
            </w:r>
            <w:r w:rsidRPr="001272D0">
              <w:rPr>
                <w:rFonts w:ascii="Arial" w:eastAsia="Arial" w:hAnsi="Arial" w:cs="Arial"/>
                <w:bCs/>
                <w:iCs/>
                <w:sz w:val="24"/>
                <w:szCs w:val="24"/>
              </w:rPr>
              <w:t>)</w:t>
            </w:r>
          </w:p>
          <w:p w14:paraId="28324A33" w14:textId="1451F9E3" w:rsidR="008566A2" w:rsidRPr="001272D0" w:rsidRDefault="008566A2" w:rsidP="00AC2A50">
            <w:pPr>
              <w:rPr>
                <w:rFonts w:ascii="Arial" w:eastAsia="Arial" w:hAnsi="Arial" w:cs="Arial"/>
                <w:bCs/>
                <w:iCs/>
                <w:sz w:val="24"/>
                <w:szCs w:val="24"/>
              </w:rPr>
            </w:pPr>
          </w:p>
        </w:tc>
      </w:tr>
      <w:tr w:rsidR="007A3BB4" w:rsidRPr="001272D0" w14:paraId="6A163887" w14:textId="77777777" w:rsidTr="00AC2A50">
        <w:tblPrEx>
          <w:tblBorders>
            <w:insideH w:val="single" w:sz="4" w:space="0" w:color="auto"/>
            <w:insideV w:val="single" w:sz="4" w:space="0" w:color="auto"/>
          </w:tblBorders>
        </w:tblPrEx>
        <w:tc>
          <w:tcPr>
            <w:tcW w:w="4508" w:type="dxa"/>
            <w:tcBorders>
              <w:top w:val="single" w:sz="4" w:space="0" w:color="auto"/>
              <w:left w:val="nil"/>
              <w:bottom w:val="single" w:sz="4" w:space="0" w:color="auto"/>
              <w:right w:val="nil"/>
            </w:tcBorders>
          </w:tcPr>
          <w:p w14:paraId="50FFC4C9" w14:textId="568185C0" w:rsidR="00AC2A50" w:rsidRPr="001272D0" w:rsidRDefault="007A3BB4" w:rsidP="00AC2A50">
            <w:pPr>
              <w:rPr>
                <w:rFonts w:ascii="Arial" w:eastAsia="Arial" w:hAnsi="Arial" w:cs="Arial"/>
                <w:b/>
                <w:iCs/>
                <w:sz w:val="24"/>
                <w:szCs w:val="24"/>
              </w:rPr>
            </w:pPr>
            <w:r w:rsidRPr="001272D0">
              <w:rPr>
                <w:rFonts w:ascii="Arial" w:eastAsia="Arial" w:hAnsi="Arial" w:cs="Arial"/>
                <w:b/>
                <w:iCs/>
                <w:sz w:val="24"/>
                <w:szCs w:val="24"/>
              </w:rPr>
              <w:t xml:space="preserve">Professional </w:t>
            </w:r>
            <w:r w:rsidR="003C6EE5" w:rsidRPr="001272D0">
              <w:rPr>
                <w:rFonts w:ascii="Arial" w:eastAsia="Arial" w:hAnsi="Arial" w:cs="Arial"/>
                <w:b/>
                <w:iCs/>
                <w:sz w:val="24"/>
                <w:szCs w:val="24"/>
              </w:rPr>
              <w:t>s</w:t>
            </w:r>
            <w:r w:rsidRPr="001272D0">
              <w:rPr>
                <w:rFonts w:ascii="Arial" w:eastAsia="Arial" w:hAnsi="Arial" w:cs="Arial"/>
                <w:b/>
                <w:iCs/>
                <w:sz w:val="24"/>
                <w:szCs w:val="24"/>
              </w:rPr>
              <w:t xml:space="preserve">kills at </w:t>
            </w:r>
            <w:r w:rsidR="003C6EE5" w:rsidRPr="001272D0">
              <w:rPr>
                <w:rFonts w:ascii="Arial" w:eastAsia="Arial" w:hAnsi="Arial" w:cs="Arial"/>
                <w:b/>
                <w:iCs/>
                <w:sz w:val="24"/>
                <w:szCs w:val="24"/>
              </w:rPr>
              <w:t>s</w:t>
            </w:r>
            <w:r w:rsidRPr="001272D0">
              <w:rPr>
                <w:rFonts w:ascii="Arial" w:eastAsia="Arial" w:hAnsi="Arial" w:cs="Arial"/>
                <w:b/>
                <w:iCs/>
                <w:sz w:val="24"/>
                <w:szCs w:val="24"/>
              </w:rPr>
              <w:t xml:space="preserve">election </w:t>
            </w:r>
          </w:p>
          <w:p w14:paraId="2259C205" w14:textId="4C360ABF" w:rsidR="007A3BB4" w:rsidRPr="001272D0" w:rsidRDefault="007A3BB4" w:rsidP="00AC2A50">
            <w:pPr>
              <w:jc w:val="center"/>
              <w:rPr>
                <w:rFonts w:ascii="Arial" w:eastAsia="Arial" w:hAnsi="Arial" w:cs="Arial"/>
                <w:b/>
                <w:iCs/>
                <w:sz w:val="24"/>
                <w:szCs w:val="24"/>
              </w:rPr>
            </w:pPr>
          </w:p>
        </w:tc>
        <w:tc>
          <w:tcPr>
            <w:tcW w:w="4508" w:type="dxa"/>
            <w:tcBorders>
              <w:top w:val="single" w:sz="4" w:space="0" w:color="auto"/>
              <w:left w:val="nil"/>
              <w:bottom w:val="single" w:sz="4" w:space="0" w:color="auto"/>
              <w:right w:val="nil"/>
            </w:tcBorders>
          </w:tcPr>
          <w:p w14:paraId="6874F635" w14:textId="7DE08E03" w:rsidR="007A3BB4" w:rsidRPr="001272D0" w:rsidRDefault="00351A46" w:rsidP="00AC2A50">
            <w:pPr>
              <w:rPr>
                <w:rFonts w:ascii="Arial" w:eastAsia="Arial" w:hAnsi="Arial" w:cs="Arial"/>
                <w:b/>
                <w:iCs/>
                <w:sz w:val="24"/>
                <w:szCs w:val="24"/>
              </w:rPr>
            </w:pPr>
            <w:r w:rsidRPr="001272D0">
              <w:rPr>
                <w:rFonts w:ascii="Arial" w:eastAsia="Arial" w:hAnsi="Arial" w:cs="Arial"/>
                <w:b/>
                <w:iCs/>
                <w:sz w:val="24"/>
                <w:szCs w:val="24"/>
              </w:rPr>
              <w:t>Number of</w:t>
            </w:r>
            <w:r w:rsidR="007A3BB4" w:rsidRPr="001272D0">
              <w:rPr>
                <w:rFonts w:ascii="Arial" w:eastAsia="Arial" w:hAnsi="Arial" w:cs="Arial"/>
                <w:b/>
                <w:iCs/>
                <w:sz w:val="24"/>
                <w:szCs w:val="24"/>
              </w:rPr>
              <w:t xml:space="preserve"> </w:t>
            </w:r>
            <w:r w:rsidR="003C6EE5" w:rsidRPr="001272D0">
              <w:rPr>
                <w:rFonts w:ascii="Arial" w:eastAsia="Arial" w:hAnsi="Arial" w:cs="Arial"/>
                <w:b/>
                <w:iCs/>
                <w:sz w:val="24"/>
                <w:szCs w:val="24"/>
              </w:rPr>
              <w:t>p</w:t>
            </w:r>
            <w:r w:rsidR="007A3BB4" w:rsidRPr="001272D0">
              <w:rPr>
                <w:rFonts w:ascii="Arial" w:eastAsia="Arial" w:hAnsi="Arial" w:cs="Arial"/>
                <w:b/>
                <w:iCs/>
                <w:sz w:val="24"/>
                <w:szCs w:val="24"/>
              </w:rPr>
              <w:t>rogrammes (%)</w:t>
            </w:r>
          </w:p>
        </w:tc>
      </w:tr>
      <w:tr w:rsidR="007A3BB4" w:rsidRPr="001272D0" w14:paraId="5EE752EA" w14:textId="77777777" w:rsidTr="00AC2A50">
        <w:tblPrEx>
          <w:tblBorders>
            <w:insideH w:val="single" w:sz="4" w:space="0" w:color="auto"/>
            <w:insideV w:val="single" w:sz="4" w:space="0" w:color="auto"/>
          </w:tblBorders>
        </w:tblPrEx>
        <w:tc>
          <w:tcPr>
            <w:tcW w:w="4508" w:type="dxa"/>
            <w:tcBorders>
              <w:top w:val="single" w:sz="4" w:space="0" w:color="auto"/>
              <w:left w:val="nil"/>
              <w:bottom w:val="nil"/>
              <w:right w:val="nil"/>
            </w:tcBorders>
          </w:tcPr>
          <w:p w14:paraId="718374BF" w14:textId="6EC28DC7" w:rsidR="007A3BB4" w:rsidRPr="001272D0" w:rsidRDefault="007A3BB4" w:rsidP="00AC2A50">
            <w:pPr>
              <w:rPr>
                <w:rFonts w:ascii="Arial" w:eastAsia="Arial" w:hAnsi="Arial" w:cs="Arial"/>
                <w:bCs/>
                <w:iCs/>
                <w:sz w:val="24"/>
                <w:szCs w:val="24"/>
              </w:rPr>
            </w:pPr>
            <w:r w:rsidRPr="001272D0">
              <w:rPr>
                <w:rFonts w:ascii="Arial" w:eastAsia="Arial" w:hAnsi="Arial" w:cs="Arial"/>
                <w:bCs/>
                <w:iCs/>
                <w:sz w:val="24"/>
                <w:szCs w:val="24"/>
              </w:rPr>
              <w:t xml:space="preserve">Not Stipulated </w:t>
            </w:r>
          </w:p>
        </w:tc>
        <w:tc>
          <w:tcPr>
            <w:tcW w:w="4508" w:type="dxa"/>
            <w:tcBorders>
              <w:top w:val="single" w:sz="4" w:space="0" w:color="auto"/>
              <w:left w:val="nil"/>
              <w:bottom w:val="nil"/>
              <w:right w:val="nil"/>
            </w:tcBorders>
          </w:tcPr>
          <w:p w14:paraId="5B22BE31" w14:textId="5432F2CB" w:rsidR="007A3BB4" w:rsidRPr="001272D0" w:rsidRDefault="008A28E3" w:rsidP="00AC2A50">
            <w:pPr>
              <w:rPr>
                <w:rFonts w:ascii="Arial" w:eastAsia="Arial" w:hAnsi="Arial" w:cs="Arial"/>
                <w:bCs/>
                <w:iCs/>
                <w:sz w:val="24"/>
                <w:szCs w:val="24"/>
              </w:rPr>
            </w:pPr>
            <w:r w:rsidRPr="001272D0">
              <w:rPr>
                <w:rFonts w:ascii="Arial" w:eastAsia="Arial" w:hAnsi="Arial" w:cs="Arial"/>
                <w:bCs/>
                <w:iCs/>
                <w:sz w:val="24"/>
                <w:szCs w:val="24"/>
              </w:rPr>
              <w:t>13 (</w:t>
            </w:r>
            <w:r w:rsidR="007A3BB4" w:rsidRPr="001272D0">
              <w:rPr>
                <w:rFonts w:ascii="Arial" w:eastAsia="Arial" w:hAnsi="Arial" w:cs="Arial"/>
                <w:bCs/>
                <w:iCs/>
                <w:sz w:val="24"/>
                <w:szCs w:val="24"/>
              </w:rPr>
              <w:t>1</w:t>
            </w:r>
            <w:r w:rsidR="005F2CE4" w:rsidRPr="001272D0">
              <w:rPr>
                <w:rFonts w:ascii="Arial" w:eastAsia="Arial" w:hAnsi="Arial" w:cs="Arial"/>
                <w:bCs/>
                <w:iCs/>
                <w:sz w:val="24"/>
                <w:szCs w:val="24"/>
              </w:rPr>
              <w:t>8</w:t>
            </w:r>
            <w:r w:rsidR="007A3BB4" w:rsidRPr="001272D0">
              <w:rPr>
                <w:rFonts w:ascii="Arial" w:eastAsia="Arial" w:hAnsi="Arial" w:cs="Arial"/>
                <w:bCs/>
                <w:iCs/>
                <w:sz w:val="24"/>
                <w:szCs w:val="24"/>
              </w:rPr>
              <w:t>%</w:t>
            </w:r>
            <w:r w:rsidRPr="001272D0">
              <w:rPr>
                <w:rFonts w:ascii="Arial" w:eastAsia="Arial" w:hAnsi="Arial" w:cs="Arial"/>
                <w:bCs/>
                <w:iCs/>
                <w:sz w:val="24"/>
                <w:szCs w:val="24"/>
              </w:rPr>
              <w:t>)</w:t>
            </w:r>
          </w:p>
        </w:tc>
      </w:tr>
      <w:tr w:rsidR="007A3BB4" w:rsidRPr="001272D0" w14:paraId="53FE113D" w14:textId="77777777" w:rsidTr="007A3BB4">
        <w:tblPrEx>
          <w:tblBorders>
            <w:insideH w:val="single" w:sz="4" w:space="0" w:color="auto"/>
            <w:insideV w:val="single" w:sz="4" w:space="0" w:color="auto"/>
          </w:tblBorders>
        </w:tblPrEx>
        <w:tc>
          <w:tcPr>
            <w:tcW w:w="4508" w:type="dxa"/>
            <w:tcBorders>
              <w:top w:val="nil"/>
              <w:left w:val="nil"/>
              <w:bottom w:val="nil"/>
              <w:right w:val="nil"/>
            </w:tcBorders>
          </w:tcPr>
          <w:p w14:paraId="6B64B12C" w14:textId="0E8A22DE" w:rsidR="007A3BB4" w:rsidRPr="001272D0" w:rsidRDefault="00237968" w:rsidP="00AC2A50">
            <w:pPr>
              <w:rPr>
                <w:rFonts w:ascii="Arial" w:eastAsia="Arial" w:hAnsi="Arial" w:cs="Arial"/>
                <w:bCs/>
                <w:iCs/>
                <w:sz w:val="24"/>
                <w:szCs w:val="24"/>
              </w:rPr>
            </w:pPr>
            <w:r w:rsidRPr="001272D0">
              <w:rPr>
                <w:rFonts w:ascii="Arial" w:eastAsia="Arial" w:hAnsi="Arial" w:cs="Arial"/>
                <w:bCs/>
                <w:iCs/>
                <w:sz w:val="24"/>
                <w:szCs w:val="24"/>
              </w:rPr>
              <w:t xml:space="preserve">Traditional </w:t>
            </w:r>
            <w:r w:rsidR="007A3BB4" w:rsidRPr="001272D0">
              <w:rPr>
                <w:rFonts w:ascii="Arial" w:eastAsia="Arial" w:hAnsi="Arial" w:cs="Arial"/>
                <w:bCs/>
                <w:iCs/>
                <w:sz w:val="24"/>
                <w:szCs w:val="24"/>
              </w:rPr>
              <w:t xml:space="preserve">Interview </w:t>
            </w:r>
          </w:p>
          <w:p w14:paraId="10EDE0D8" w14:textId="7BA0596B" w:rsidR="007A3BB4" w:rsidRPr="001272D0" w:rsidRDefault="007A3BB4" w:rsidP="00AC2A50">
            <w:pPr>
              <w:rPr>
                <w:rFonts w:ascii="Arial" w:eastAsia="Arial" w:hAnsi="Arial" w:cs="Arial"/>
                <w:bCs/>
                <w:iCs/>
                <w:sz w:val="24"/>
                <w:szCs w:val="24"/>
              </w:rPr>
            </w:pPr>
            <w:r w:rsidRPr="001272D0">
              <w:rPr>
                <w:rFonts w:ascii="Arial" w:eastAsia="Arial" w:hAnsi="Arial" w:cs="Arial"/>
                <w:bCs/>
                <w:iCs/>
                <w:sz w:val="24"/>
                <w:szCs w:val="24"/>
              </w:rPr>
              <w:t xml:space="preserve">Group Interview </w:t>
            </w:r>
          </w:p>
          <w:p w14:paraId="10D77BB0" w14:textId="4C7675F7" w:rsidR="007A3BB4" w:rsidRPr="001272D0" w:rsidRDefault="007A3BB4" w:rsidP="00AC2A50">
            <w:pPr>
              <w:rPr>
                <w:rFonts w:ascii="Arial" w:eastAsia="Arial" w:hAnsi="Arial" w:cs="Arial"/>
                <w:bCs/>
                <w:iCs/>
                <w:sz w:val="24"/>
                <w:szCs w:val="24"/>
              </w:rPr>
            </w:pPr>
            <w:r w:rsidRPr="001272D0">
              <w:rPr>
                <w:rFonts w:ascii="Arial" w:eastAsia="Arial" w:hAnsi="Arial" w:cs="Arial"/>
                <w:bCs/>
                <w:iCs/>
                <w:sz w:val="24"/>
                <w:szCs w:val="24"/>
              </w:rPr>
              <w:t xml:space="preserve">Multiple-Mini Interview </w:t>
            </w:r>
          </w:p>
        </w:tc>
        <w:tc>
          <w:tcPr>
            <w:tcW w:w="4508" w:type="dxa"/>
            <w:tcBorders>
              <w:top w:val="nil"/>
              <w:left w:val="nil"/>
              <w:bottom w:val="nil"/>
              <w:right w:val="nil"/>
            </w:tcBorders>
          </w:tcPr>
          <w:p w14:paraId="35B0D1C6" w14:textId="4DC6EFD8" w:rsidR="007A3BB4" w:rsidRPr="001272D0" w:rsidRDefault="008A28E3" w:rsidP="00AC2A50">
            <w:pPr>
              <w:rPr>
                <w:rFonts w:ascii="Arial" w:eastAsia="Arial" w:hAnsi="Arial" w:cs="Arial"/>
                <w:bCs/>
                <w:iCs/>
                <w:sz w:val="24"/>
                <w:szCs w:val="24"/>
              </w:rPr>
            </w:pPr>
            <w:r w:rsidRPr="001272D0">
              <w:rPr>
                <w:rFonts w:ascii="Arial" w:eastAsia="Arial" w:hAnsi="Arial" w:cs="Arial"/>
                <w:bCs/>
                <w:iCs/>
                <w:noProof/>
                <w:sz w:val="24"/>
                <w:szCs w:val="24"/>
              </w:rPr>
              <mc:AlternateContent>
                <mc:Choice Requires="wps">
                  <w:drawing>
                    <wp:anchor distT="45720" distB="45720" distL="114300" distR="114300" simplePos="0" relativeHeight="251670528" behindDoc="0" locked="0" layoutInCell="1" allowOverlap="1" wp14:anchorId="0D94D4F2" wp14:editId="143A1EA3">
                      <wp:simplePos x="0" y="0"/>
                      <wp:positionH relativeFrom="column">
                        <wp:posOffset>1196340</wp:posOffset>
                      </wp:positionH>
                      <wp:positionV relativeFrom="paragraph">
                        <wp:posOffset>78105</wp:posOffset>
                      </wp:positionV>
                      <wp:extent cx="755650" cy="478790"/>
                      <wp:effectExtent l="0" t="0" r="2540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478790"/>
                              </a:xfrm>
                              <a:prstGeom prst="rect">
                                <a:avLst/>
                              </a:prstGeom>
                              <a:solidFill>
                                <a:srgbClr val="FFFFFF"/>
                              </a:solidFill>
                              <a:ln w="9525">
                                <a:solidFill>
                                  <a:srgbClr val="000000"/>
                                </a:solidFill>
                                <a:miter lim="800000"/>
                                <a:headEnd/>
                                <a:tailEnd/>
                              </a:ln>
                            </wps:spPr>
                            <wps:txbx>
                              <w:txbxContent>
                                <w:p w14:paraId="7428B690" w14:textId="025CDC29" w:rsidR="00130091" w:rsidRDefault="00130091" w:rsidP="00ED0934">
                                  <w:pPr>
                                    <w:jc w:val="center"/>
                                  </w:pPr>
                                  <w:r>
                                    <w:t xml:space="preserve">Total: </w:t>
                                  </w:r>
                                  <w:r w:rsidR="00801ADF">
                                    <w:t>63 (</w:t>
                                  </w:r>
                                  <w:r>
                                    <w:t>8</w:t>
                                  </w:r>
                                  <w:r w:rsidR="00571645">
                                    <w:t>7</w:t>
                                  </w:r>
                                  <w:r>
                                    <w:t>%</w:t>
                                  </w:r>
                                  <w:r w:rsidR="00801AD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4D4F2" id="_x0000_t202" coordsize="21600,21600" o:spt="202" path="m,l,21600r21600,l21600,xe">
                      <v:stroke joinstyle="miter"/>
                      <v:path gradientshapeok="t" o:connecttype="rect"/>
                    </v:shapetype>
                    <v:shape id="Text Box 2" o:spid="_x0000_s1026" type="#_x0000_t202" style="position:absolute;margin-left:94.2pt;margin-top:6.15pt;width:59.5pt;height:37.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">
                      <v:textbox>
                        <w:txbxContent>
                          <w:p w14:paraId="7428B690" w14:textId="025CDC29" w:rsidR="00130091" w:rsidRDefault="00130091" w:rsidP="00ED0934">
                            <w:pPr>
                              <w:jc w:val="center"/>
                            </w:pPr>
                            <w:r>
                              <w:t xml:space="preserve">Total: </w:t>
                            </w:r>
                            <w:r w:rsidR="00801ADF">
                              <w:t>63 (</w:t>
                            </w:r>
                            <w:r>
                              <w:t>8</w:t>
                            </w:r>
                            <w:r w:rsidR="00571645">
                              <w:t>7</w:t>
                            </w:r>
                            <w:r>
                              <w:t>%</w:t>
                            </w:r>
                            <w:r w:rsidR="00801ADF">
                              <w:t>)</w:t>
                            </w:r>
                          </w:p>
                        </w:txbxContent>
                      </v:textbox>
                      <w10:wrap type="square"/>
                    </v:shape>
                  </w:pict>
                </mc:Fallback>
              </mc:AlternateContent>
            </w:r>
            <w:r w:rsidRPr="001272D0">
              <w:rPr>
                <w:rFonts w:ascii="Arial" w:eastAsia="Arial" w:hAnsi="Arial" w:cs="Arial"/>
                <w:bCs/>
                <w:iCs/>
                <w:noProof/>
                <w:sz w:val="24"/>
                <w:szCs w:val="24"/>
              </w:rPr>
              <mc:AlternateContent>
                <mc:Choice Requires="wps">
                  <w:drawing>
                    <wp:anchor distT="0" distB="0" distL="114300" distR="114300" simplePos="0" relativeHeight="251657216" behindDoc="0" locked="0" layoutInCell="1" allowOverlap="1" wp14:anchorId="778EF5C1" wp14:editId="1318E528">
                      <wp:simplePos x="0" y="0"/>
                      <wp:positionH relativeFrom="column">
                        <wp:posOffset>854075</wp:posOffset>
                      </wp:positionH>
                      <wp:positionV relativeFrom="paragraph">
                        <wp:posOffset>61595</wp:posOffset>
                      </wp:positionV>
                      <wp:extent cx="245660" cy="498143"/>
                      <wp:effectExtent l="0" t="0" r="59690" b="16510"/>
                      <wp:wrapNone/>
                      <wp:docPr id="2" name="Right Brace 2"/>
                      <wp:cNvGraphicFramePr/>
                      <a:graphic xmlns:a="http://schemas.openxmlformats.org/drawingml/2006/main">
                        <a:graphicData uri="http://schemas.microsoft.com/office/word/2010/wordprocessingShape">
                          <wps:wsp>
                            <wps:cNvSpPr/>
                            <wps:spPr>
                              <a:xfrm>
                                <a:off x="0" y="0"/>
                                <a:ext cx="245660" cy="498143"/>
                              </a:xfrm>
                              <a:prstGeom prst="rightBrace">
                                <a:avLst>
                                  <a:gd name="adj1" fmla="val 147541"/>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16A4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67.25pt;margin-top:4.85pt;width:19.35pt;height:3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" adj="15716" strokecolor="#4472c4 [3204]" strokeweight=".5pt">
                      <v:stroke joinstyle="miter"/>
                    </v:shape>
                  </w:pict>
                </mc:Fallback>
              </mc:AlternateContent>
            </w:r>
            <w:r w:rsidRPr="001272D0">
              <w:rPr>
                <w:rFonts w:ascii="Arial" w:eastAsia="Arial" w:hAnsi="Arial" w:cs="Arial"/>
                <w:bCs/>
                <w:iCs/>
                <w:sz w:val="24"/>
                <w:szCs w:val="24"/>
              </w:rPr>
              <w:t>58 (</w:t>
            </w:r>
            <w:r w:rsidR="005F2CE4" w:rsidRPr="001272D0">
              <w:rPr>
                <w:rFonts w:ascii="Arial" w:eastAsia="Arial" w:hAnsi="Arial" w:cs="Arial"/>
                <w:bCs/>
                <w:iCs/>
                <w:sz w:val="24"/>
                <w:szCs w:val="24"/>
              </w:rPr>
              <w:t>80</w:t>
            </w:r>
            <w:r w:rsidR="007A3BB4" w:rsidRPr="001272D0">
              <w:rPr>
                <w:rFonts w:ascii="Arial" w:eastAsia="Arial" w:hAnsi="Arial" w:cs="Arial"/>
                <w:bCs/>
                <w:iCs/>
                <w:sz w:val="24"/>
                <w:szCs w:val="24"/>
              </w:rPr>
              <w:t>%</w:t>
            </w:r>
            <w:r w:rsidRPr="001272D0">
              <w:rPr>
                <w:rFonts w:ascii="Arial" w:eastAsia="Arial" w:hAnsi="Arial" w:cs="Arial"/>
                <w:bCs/>
                <w:iCs/>
                <w:sz w:val="24"/>
                <w:szCs w:val="24"/>
              </w:rPr>
              <w:t>)</w:t>
            </w:r>
          </w:p>
          <w:p w14:paraId="5B6C73AB" w14:textId="7060F40B" w:rsidR="007A3BB4" w:rsidRPr="001272D0" w:rsidRDefault="008A28E3" w:rsidP="00AC2A50">
            <w:pPr>
              <w:rPr>
                <w:rFonts w:ascii="Arial" w:eastAsia="Arial" w:hAnsi="Arial" w:cs="Arial"/>
                <w:bCs/>
                <w:iCs/>
                <w:sz w:val="24"/>
                <w:szCs w:val="24"/>
              </w:rPr>
            </w:pPr>
            <w:r w:rsidRPr="001272D0">
              <w:rPr>
                <w:rFonts w:ascii="Arial" w:eastAsia="Arial" w:hAnsi="Arial" w:cs="Arial"/>
                <w:bCs/>
                <w:iCs/>
                <w:sz w:val="24"/>
                <w:szCs w:val="24"/>
              </w:rPr>
              <w:t>3</w:t>
            </w:r>
            <w:proofErr w:type="gramStart"/>
            <w:r w:rsidRPr="001272D0">
              <w:rPr>
                <w:rFonts w:ascii="Arial" w:eastAsia="Arial" w:hAnsi="Arial" w:cs="Arial"/>
                <w:bCs/>
                <w:iCs/>
                <w:sz w:val="24"/>
                <w:szCs w:val="24"/>
              </w:rPr>
              <w:t xml:space="preserve">   (</w:t>
            </w:r>
            <w:proofErr w:type="gramEnd"/>
            <w:r w:rsidR="007A3BB4" w:rsidRPr="001272D0">
              <w:rPr>
                <w:rFonts w:ascii="Arial" w:eastAsia="Arial" w:hAnsi="Arial" w:cs="Arial"/>
                <w:bCs/>
                <w:iCs/>
                <w:sz w:val="24"/>
                <w:szCs w:val="24"/>
              </w:rPr>
              <w:t>4%</w:t>
            </w:r>
            <w:r w:rsidRPr="001272D0">
              <w:rPr>
                <w:rFonts w:ascii="Arial" w:eastAsia="Arial" w:hAnsi="Arial" w:cs="Arial"/>
                <w:bCs/>
                <w:iCs/>
                <w:sz w:val="24"/>
                <w:szCs w:val="24"/>
              </w:rPr>
              <w:t>)</w:t>
            </w:r>
          </w:p>
          <w:p w14:paraId="6A9E3FAF" w14:textId="2D033E5A" w:rsidR="007A3BB4" w:rsidRPr="001272D0" w:rsidRDefault="008A28E3" w:rsidP="00AC2A50">
            <w:pPr>
              <w:rPr>
                <w:rFonts w:ascii="Arial" w:eastAsia="Arial" w:hAnsi="Arial" w:cs="Arial"/>
                <w:bCs/>
                <w:iCs/>
                <w:sz w:val="24"/>
                <w:szCs w:val="24"/>
              </w:rPr>
            </w:pPr>
            <w:r w:rsidRPr="001272D0">
              <w:rPr>
                <w:rFonts w:ascii="Arial" w:eastAsia="Arial" w:hAnsi="Arial" w:cs="Arial"/>
                <w:bCs/>
                <w:iCs/>
                <w:sz w:val="24"/>
                <w:szCs w:val="24"/>
              </w:rPr>
              <w:t>2</w:t>
            </w:r>
            <w:proofErr w:type="gramStart"/>
            <w:r w:rsidRPr="001272D0">
              <w:rPr>
                <w:rFonts w:ascii="Arial" w:eastAsia="Arial" w:hAnsi="Arial" w:cs="Arial"/>
                <w:bCs/>
                <w:iCs/>
                <w:sz w:val="24"/>
                <w:szCs w:val="24"/>
              </w:rPr>
              <w:t xml:space="preserve">   (</w:t>
            </w:r>
            <w:proofErr w:type="gramEnd"/>
            <w:r w:rsidR="005F2CE4" w:rsidRPr="001272D0">
              <w:rPr>
                <w:rFonts w:ascii="Arial" w:eastAsia="Arial" w:hAnsi="Arial" w:cs="Arial"/>
                <w:bCs/>
                <w:iCs/>
                <w:sz w:val="24"/>
                <w:szCs w:val="24"/>
              </w:rPr>
              <w:t>3</w:t>
            </w:r>
            <w:r w:rsidR="007A3BB4" w:rsidRPr="001272D0">
              <w:rPr>
                <w:rFonts w:ascii="Arial" w:eastAsia="Arial" w:hAnsi="Arial" w:cs="Arial"/>
                <w:bCs/>
                <w:iCs/>
                <w:sz w:val="24"/>
                <w:szCs w:val="24"/>
              </w:rPr>
              <w:t>%</w:t>
            </w:r>
            <w:r w:rsidRPr="001272D0">
              <w:rPr>
                <w:rFonts w:ascii="Arial" w:eastAsia="Arial" w:hAnsi="Arial" w:cs="Arial"/>
                <w:bCs/>
                <w:iCs/>
                <w:sz w:val="24"/>
                <w:szCs w:val="24"/>
              </w:rPr>
              <w:t>)</w:t>
            </w:r>
          </w:p>
        </w:tc>
      </w:tr>
      <w:tr w:rsidR="007A3BB4" w:rsidRPr="001272D0" w14:paraId="10BC0444" w14:textId="77777777" w:rsidTr="007A3BB4">
        <w:tblPrEx>
          <w:tblBorders>
            <w:insideH w:val="single" w:sz="4" w:space="0" w:color="auto"/>
            <w:insideV w:val="single" w:sz="4" w:space="0" w:color="auto"/>
          </w:tblBorders>
        </w:tblPrEx>
        <w:tc>
          <w:tcPr>
            <w:tcW w:w="4508" w:type="dxa"/>
            <w:tcBorders>
              <w:top w:val="nil"/>
              <w:left w:val="nil"/>
              <w:bottom w:val="nil"/>
              <w:right w:val="nil"/>
            </w:tcBorders>
          </w:tcPr>
          <w:p w14:paraId="54E823E1" w14:textId="5D764614" w:rsidR="007A3BB4" w:rsidRPr="001272D0" w:rsidRDefault="007A3BB4" w:rsidP="00AC2A50">
            <w:pPr>
              <w:rPr>
                <w:rFonts w:ascii="Arial" w:eastAsia="Arial" w:hAnsi="Arial" w:cs="Arial"/>
                <w:bCs/>
                <w:iCs/>
                <w:sz w:val="24"/>
                <w:szCs w:val="24"/>
              </w:rPr>
            </w:pPr>
            <w:r w:rsidRPr="001272D0">
              <w:rPr>
                <w:rFonts w:ascii="Arial" w:eastAsia="Arial" w:hAnsi="Arial" w:cs="Arial"/>
                <w:bCs/>
                <w:iCs/>
                <w:sz w:val="24"/>
                <w:szCs w:val="24"/>
              </w:rPr>
              <w:t xml:space="preserve">Values Based Assessment </w:t>
            </w:r>
          </w:p>
        </w:tc>
        <w:tc>
          <w:tcPr>
            <w:tcW w:w="4508" w:type="dxa"/>
            <w:tcBorders>
              <w:top w:val="nil"/>
              <w:left w:val="nil"/>
              <w:bottom w:val="nil"/>
              <w:right w:val="nil"/>
            </w:tcBorders>
          </w:tcPr>
          <w:p w14:paraId="68B55CF5" w14:textId="3BA8DC8F" w:rsidR="007A3BB4" w:rsidRPr="001272D0" w:rsidRDefault="00801ADF" w:rsidP="00AC2A50">
            <w:pPr>
              <w:rPr>
                <w:rFonts w:ascii="Arial" w:eastAsia="Arial" w:hAnsi="Arial" w:cs="Arial"/>
                <w:bCs/>
                <w:iCs/>
                <w:sz w:val="24"/>
                <w:szCs w:val="24"/>
              </w:rPr>
            </w:pPr>
            <w:r w:rsidRPr="001272D0">
              <w:rPr>
                <w:rFonts w:ascii="Arial" w:eastAsia="Arial" w:hAnsi="Arial" w:cs="Arial"/>
                <w:bCs/>
                <w:iCs/>
                <w:sz w:val="24"/>
                <w:szCs w:val="24"/>
              </w:rPr>
              <w:t>19 (</w:t>
            </w:r>
            <w:r w:rsidR="007A3BB4" w:rsidRPr="001272D0">
              <w:rPr>
                <w:rFonts w:ascii="Arial" w:eastAsia="Arial" w:hAnsi="Arial" w:cs="Arial"/>
                <w:bCs/>
                <w:iCs/>
                <w:sz w:val="24"/>
                <w:szCs w:val="24"/>
              </w:rPr>
              <w:t>26%</w:t>
            </w:r>
            <w:r w:rsidRPr="001272D0">
              <w:rPr>
                <w:rFonts w:ascii="Arial" w:eastAsia="Arial" w:hAnsi="Arial" w:cs="Arial"/>
                <w:bCs/>
                <w:iCs/>
                <w:sz w:val="24"/>
                <w:szCs w:val="24"/>
              </w:rPr>
              <w:t>)</w:t>
            </w:r>
          </w:p>
        </w:tc>
      </w:tr>
      <w:tr w:rsidR="007A3BB4" w:rsidRPr="001272D0" w14:paraId="53ECEFE4" w14:textId="77777777" w:rsidTr="007A3BB4">
        <w:tblPrEx>
          <w:tblBorders>
            <w:insideH w:val="single" w:sz="4" w:space="0" w:color="auto"/>
            <w:insideV w:val="single" w:sz="4" w:space="0" w:color="auto"/>
          </w:tblBorders>
        </w:tblPrEx>
        <w:tc>
          <w:tcPr>
            <w:tcW w:w="4508" w:type="dxa"/>
            <w:tcBorders>
              <w:top w:val="nil"/>
              <w:left w:val="nil"/>
              <w:bottom w:val="nil"/>
              <w:right w:val="nil"/>
            </w:tcBorders>
          </w:tcPr>
          <w:p w14:paraId="17FC4F57" w14:textId="124513AB" w:rsidR="007A3BB4" w:rsidRPr="001272D0" w:rsidRDefault="007A3BB4" w:rsidP="00AC2A50">
            <w:pPr>
              <w:rPr>
                <w:rFonts w:ascii="Arial" w:eastAsia="Arial" w:hAnsi="Arial" w:cs="Arial"/>
                <w:bCs/>
                <w:iCs/>
                <w:sz w:val="24"/>
                <w:szCs w:val="24"/>
              </w:rPr>
            </w:pPr>
            <w:r w:rsidRPr="001272D0">
              <w:rPr>
                <w:rFonts w:ascii="Arial" w:eastAsia="Arial" w:hAnsi="Arial" w:cs="Arial"/>
                <w:bCs/>
                <w:iCs/>
                <w:sz w:val="24"/>
                <w:szCs w:val="24"/>
              </w:rPr>
              <w:t xml:space="preserve">Group Work </w:t>
            </w:r>
          </w:p>
        </w:tc>
        <w:tc>
          <w:tcPr>
            <w:tcW w:w="4508" w:type="dxa"/>
            <w:tcBorders>
              <w:top w:val="nil"/>
              <w:left w:val="nil"/>
              <w:bottom w:val="nil"/>
              <w:right w:val="nil"/>
            </w:tcBorders>
          </w:tcPr>
          <w:p w14:paraId="457C7DA5" w14:textId="03043A96" w:rsidR="007A3BB4" w:rsidRPr="001272D0" w:rsidRDefault="00801ADF" w:rsidP="00AC2A50">
            <w:pPr>
              <w:rPr>
                <w:rFonts w:ascii="Arial" w:eastAsia="Arial" w:hAnsi="Arial" w:cs="Arial"/>
                <w:bCs/>
                <w:iCs/>
                <w:sz w:val="24"/>
                <w:szCs w:val="24"/>
              </w:rPr>
            </w:pPr>
            <w:r w:rsidRPr="001272D0">
              <w:rPr>
                <w:rFonts w:ascii="Arial" w:eastAsia="Arial" w:hAnsi="Arial" w:cs="Arial"/>
                <w:bCs/>
                <w:iCs/>
                <w:sz w:val="24"/>
                <w:szCs w:val="24"/>
              </w:rPr>
              <w:t>11 (</w:t>
            </w:r>
            <w:r w:rsidR="007A3BB4" w:rsidRPr="001272D0">
              <w:rPr>
                <w:rFonts w:ascii="Arial" w:eastAsia="Arial" w:hAnsi="Arial" w:cs="Arial"/>
                <w:bCs/>
                <w:iCs/>
                <w:sz w:val="24"/>
                <w:szCs w:val="24"/>
              </w:rPr>
              <w:t>15%</w:t>
            </w:r>
            <w:r w:rsidRPr="001272D0">
              <w:rPr>
                <w:rFonts w:ascii="Arial" w:eastAsia="Arial" w:hAnsi="Arial" w:cs="Arial"/>
                <w:bCs/>
                <w:iCs/>
                <w:sz w:val="24"/>
                <w:szCs w:val="24"/>
              </w:rPr>
              <w:t>)</w:t>
            </w:r>
          </w:p>
        </w:tc>
      </w:tr>
      <w:tr w:rsidR="007A3BB4" w:rsidRPr="001272D0" w14:paraId="20DC88A2" w14:textId="77777777" w:rsidTr="007A3BB4">
        <w:tblPrEx>
          <w:tblBorders>
            <w:insideH w:val="single" w:sz="4" w:space="0" w:color="auto"/>
            <w:insideV w:val="single" w:sz="4" w:space="0" w:color="auto"/>
          </w:tblBorders>
        </w:tblPrEx>
        <w:tc>
          <w:tcPr>
            <w:tcW w:w="4508" w:type="dxa"/>
            <w:tcBorders>
              <w:top w:val="nil"/>
              <w:left w:val="nil"/>
              <w:bottom w:val="nil"/>
              <w:right w:val="nil"/>
            </w:tcBorders>
          </w:tcPr>
          <w:p w14:paraId="43BBEC92" w14:textId="091C824C" w:rsidR="007A3BB4" w:rsidRPr="001272D0" w:rsidRDefault="007A3BB4" w:rsidP="00AC2A50">
            <w:pPr>
              <w:rPr>
                <w:rFonts w:ascii="Arial" w:eastAsia="Arial" w:hAnsi="Arial" w:cs="Arial"/>
                <w:bCs/>
                <w:iCs/>
                <w:sz w:val="24"/>
                <w:szCs w:val="24"/>
              </w:rPr>
            </w:pPr>
            <w:r w:rsidRPr="001272D0">
              <w:rPr>
                <w:rFonts w:ascii="Arial" w:eastAsia="Arial" w:hAnsi="Arial" w:cs="Arial"/>
                <w:bCs/>
                <w:iCs/>
                <w:sz w:val="24"/>
                <w:szCs w:val="24"/>
              </w:rPr>
              <w:t xml:space="preserve">Written Component </w:t>
            </w:r>
          </w:p>
        </w:tc>
        <w:tc>
          <w:tcPr>
            <w:tcW w:w="4508" w:type="dxa"/>
            <w:tcBorders>
              <w:top w:val="nil"/>
              <w:left w:val="nil"/>
              <w:bottom w:val="nil"/>
              <w:right w:val="nil"/>
            </w:tcBorders>
          </w:tcPr>
          <w:p w14:paraId="1B6F88B7" w14:textId="17F4EBC8" w:rsidR="007A3BB4" w:rsidRPr="001272D0" w:rsidRDefault="00801ADF" w:rsidP="00AC2A50">
            <w:pPr>
              <w:rPr>
                <w:rFonts w:ascii="Arial" w:eastAsia="Arial" w:hAnsi="Arial" w:cs="Arial"/>
                <w:bCs/>
                <w:iCs/>
                <w:sz w:val="24"/>
                <w:szCs w:val="24"/>
              </w:rPr>
            </w:pPr>
            <w:r w:rsidRPr="001272D0">
              <w:rPr>
                <w:rFonts w:ascii="Arial" w:eastAsia="Arial" w:hAnsi="Arial" w:cs="Arial"/>
                <w:bCs/>
                <w:iCs/>
                <w:sz w:val="24"/>
                <w:szCs w:val="24"/>
              </w:rPr>
              <w:t>7</w:t>
            </w:r>
            <w:proofErr w:type="gramStart"/>
            <w:r w:rsidRPr="001272D0">
              <w:rPr>
                <w:rFonts w:ascii="Arial" w:eastAsia="Arial" w:hAnsi="Arial" w:cs="Arial"/>
                <w:bCs/>
                <w:iCs/>
                <w:sz w:val="24"/>
                <w:szCs w:val="24"/>
              </w:rPr>
              <w:t xml:space="preserve">   (</w:t>
            </w:r>
            <w:proofErr w:type="gramEnd"/>
            <w:r w:rsidR="005C50C4" w:rsidRPr="001272D0">
              <w:rPr>
                <w:rFonts w:ascii="Arial" w:eastAsia="Arial" w:hAnsi="Arial" w:cs="Arial"/>
                <w:bCs/>
                <w:iCs/>
                <w:sz w:val="24"/>
                <w:szCs w:val="24"/>
              </w:rPr>
              <w:t>10</w:t>
            </w:r>
            <w:r w:rsidR="007A3BB4" w:rsidRPr="001272D0">
              <w:rPr>
                <w:rFonts w:ascii="Arial" w:eastAsia="Arial" w:hAnsi="Arial" w:cs="Arial"/>
                <w:bCs/>
                <w:iCs/>
                <w:sz w:val="24"/>
                <w:szCs w:val="24"/>
              </w:rPr>
              <w:t>%</w:t>
            </w:r>
            <w:r w:rsidRPr="001272D0">
              <w:rPr>
                <w:rFonts w:ascii="Arial" w:eastAsia="Arial" w:hAnsi="Arial" w:cs="Arial"/>
                <w:bCs/>
                <w:iCs/>
                <w:sz w:val="24"/>
                <w:szCs w:val="24"/>
              </w:rPr>
              <w:t>)</w:t>
            </w:r>
          </w:p>
        </w:tc>
      </w:tr>
      <w:tr w:rsidR="007A3BB4" w:rsidRPr="001272D0" w14:paraId="6D511D35" w14:textId="77777777" w:rsidTr="007A3BB4">
        <w:tblPrEx>
          <w:tblBorders>
            <w:insideH w:val="single" w:sz="4" w:space="0" w:color="auto"/>
            <w:insideV w:val="single" w:sz="4" w:space="0" w:color="auto"/>
          </w:tblBorders>
        </w:tblPrEx>
        <w:tc>
          <w:tcPr>
            <w:tcW w:w="4508" w:type="dxa"/>
            <w:tcBorders>
              <w:top w:val="nil"/>
              <w:left w:val="nil"/>
              <w:bottom w:val="nil"/>
              <w:right w:val="nil"/>
            </w:tcBorders>
          </w:tcPr>
          <w:p w14:paraId="47727283" w14:textId="1B5CCD0A" w:rsidR="007A3BB4" w:rsidRPr="001272D0" w:rsidRDefault="007A3BB4" w:rsidP="00AC2A50">
            <w:pPr>
              <w:rPr>
                <w:rFonts w:ascii="Arial" w:eastAsia="Arial" w:hAnsi="Arial" w:cs="Arial"/>
                <w:bCs/>
                <w:iCs/>
                <w:sz w:val="24"/>
                <w:szCs w:val="24"/>
              </w:rPr>
            </w:pPr>
            <w:r w:rsidRPr="001272D0">
              <w:rPr>
                <w:rFonts w:ascii="Arial" w:eastAsia="Arial" w:hAnsi="Arial" w:cs="Arial"/>
                <w:bCs/>
                <w:iCs/>
                <w:sz w:val="24"/>
                <w:szCs w:val="24"/>
              </w:rPr>
              <w:t xml:space="preserve">Work Experience </w:t>
            </w:r>
          </w:p>
        </w:tc>
        <w:tc>
          <w:tcPr>
            <w:tcW w:w="4508" w:type="dxa"/>
            <w:tcBorders>
              <w:top w:val="nil"/>
              <w:left w:val="nil"/>
              <w:bottom w:val="nil"/>
              <w:right w:val="nil"/>
            </w:tcBorders>
          </w:tcPr>
          <w:p w14:paraId="0C9FE642" w14:textId="486C806A" w:rsidR="007A3BB4" w:rsidRPr="001272D0" w:rsidRDefault="0030332E" w:rsidP="00AC2A50">
            <w:pPr>
              <w:rPr>
                <w:rFonts w:ascii="Arial" w:eastAsia="Arial" w:hAnsi="Arial" w:cs="Arial"/>
                <w:bCs/>
                <w:iCs/>
                <w:sz w:val="24"/>
                <w:szCs w:val="24"/>
              </w:rPr>
            </w:pPr>
            <w:r w:rsidRPr="001272D0">
              <w:rPr>
                <w:rFonts w:ascii="Arial" w:eastAsia="Arial" w:hAnsi="Arial" w:cs="Arial"/>
                <w:bCs/>
                <w:iCs/>
                <w:sz w:val="24"/>
                <w:szCs w:val="24"/>
              </w:rPr>
              <w:t>6</w:t>
            </w:r>
            <w:proofErr w:type="gramStart"/>
            <w:r w:rsidRPr="001272D0">
              <w:rPr>
                <w:rFonts w:ascii="Arial" w:eastAsia="Arial" w:hAnsi="Arial" w:cs="Arial"/>
                <w:bCs/>
                <w:iCs/>
                <w:sz w:val="24"/>
                <w:szCs w:val="24"/>
              </w:rPr>
              <w:t xml:space="preserve">   (</w:t>
            </w:r>
            <w:proofErr w:type="gramEnd"/>
            <w:r w:rsidR="007A3BB4" w:rsidRPr="001272D0">
              <w:rPr>
                <w:rFonts w:ascii="Arial" w:eastAsia="Arial" w:hAnsi="Arial" w:cs="Arial"/>
                <w:bCs/>
                <w:iCs/>
                <w:sz w:val="24"/>
                <w:szCs w:val="24"/>
              </w:rPr>
              <w:t>8%</w:t>
            </w:r>
            <w:r w:rsidRPr="001272D0">
              <w:rPr>
                <w:rFonts w:ascii="Arial" w:eastAsia="Arial" w:hAnsi="Arial" w:cs="Arial"/>
                <w:bCs/>
                <w:iCs/>
                <w:sz w:val="24"/>
                <w:szCs w:val="24"/>
              </w:rPr>
              <w:t>)</w:t>
            </w:r>
          </w:p>
        </w:tc>
      </w:tr>
      <w:tr w:rsidR="007A3BB4" w:rsidRPr="001272D0" w14:paraId="41D72090" w14:textId="77777777" w:rsidTr="007A3BB4">
        <w:tblPrEx>
          <w:tblBorders>
            <w:insideH w:val="single" w:sz="4" w:space="0" w:color="auto"/>
            <w:insideV w:val="single" w:sz="4" w:space="0" w:color="auto"/>
          </w:tblBorders>
        </w:tblPrEx>
        <w:tc>
          <w:tcPr>
            <w:tcW w:w="4508" w:type="dxa"/>
            <w:tcBorders>
              <w:top w:val="nil"/>
              <w:left w:val="nil"/>
              <w:bottom w:val="nil"/>
              <w:right w:val="nil"/>
            </w:tcBorders>
          </w:tcPr>
          <w:p w14:paraId="5BDA7309" w14:textId="5E83117A" w:rsidR="007A3BB4" w:rsidRPr="001272D0" w:rsidRDefault="007A3BB4" w:rsidP="00AC2A50">
            <w:pPr>
              <w:rPr>
                <w:rFonts w:ascii="Arial" w:eastAsia="Arial" w:hAnsi="Arial" w:cs="Arial"/>
                <w:bCs/>
                <w:iCs/>
                <w:sz w:val="24"/>
                <w:szCs w:val="24"/>
              </w:rPr>
            </w:pPr>
            <w:r w:rsidRPr="001272D0">
              <w:rPr>
                <w:rFonts w:ascii="Arial" w:eastAsia="Arial" w:hAnsi="Arial" w:cs="Arial"/>
                <w:bCs/>
                <w:iCs/>
                <w:sz w:val="24"/>
                <w:szCs w:val="24"/>
              </w:rPr>
              <w:t xml:space="preserve">Selection Days </w:t>
            </w:r>
          </w:p>
        </w:tc>
        <w:tc>
          <w:tcPr>
            <w:tcW w:w="4508" w:type="dxa"/>
            <w:tcBorders>
              <w:top w:val="nil"/>
              <w:left w:val="nil"/>
              <w:bottom w:val="nil"/>
              <w:right w:val="nil"/>
            </w:tcBorders>
          </w:tcPr>
          <w:p w14:paraId="667C18FA" w14:textId="35AB4C1B" w:rsidR="007A3BB4" w:rsidRPr="001272D0" w:rsidRDefault="0030332E" w:rsidP="00AC2A50">
            <w:pPr>
              <w:rPr>
                <w:rFonts w:ascii="Arial" w:eastAsia="Arial" w:hAnsi="Arial" w:cs="Arial"/>
                <w:bCs/>
                <w:iCs/>
                <w:sz w:val="24"/>
                <w:szCs w:val="24"/>
              </w:rPr>
            </w:pPr>
            <w:r w:rsidRPr="001272D0">
              <w:rPr>
                <w:rFonts w:ascii="Arial" w:eastAsia="Arial" w:hAnsi="Arial" w:cs="Arial"/>
                <w:bCs/>
                <w:iCs/>
                <w:sz w:val="24"/>
                <w:szCs w:val="24"/>
              </w:rPr>
              <w:t>3</w:t>
            </w:r>
            <w:proofErr w:type="gramStart"/>
            <w:r w:rsidRPr="001272D0">
              <w:rPr>
                <w:rFonts w:ascii="Arial" w:eastAsia="Arial" w:hAnsi="Arial" w:cs="Arial"/>
                <w:bCs/>
                <w:iCs/>
                <w:sz w:val="24"/>
                <w:szCs w:val="24"/>
              </w:rPr>
              <w:t xml:space="preserve">   (</w:t>
            </w:r>
            <w:proofErr w:type="gramEnd"/>
            <w:r w:rsidR="005C50C4" w:rsidRPr="001272D0">
              <w:rPr>
                <w:rFonts w:ascii="Arial" w:eastAsia="Arial" w:hAnsi="Arial" w:cs="Arial"/>
                <w:bCs/>
                <w:iCs/>
                <w:sz w:val="24"/>
                <w:szCs w:val="24"/>
              </w:rPr>
              <w:t>4</w:t>
            </w:r>
            <w:r w:rsidR="007A3BB4" w:rsidRPr="001272D0">
              <w:rPr>
                <w:rFonts w:ascii="Arial" w:eastAsia="Arial" w:hAnsi="Arial" w:cs="Arial"/>
                <w:bCs/>
                <w:iCs/>
                <w:sz w:val="24"/>
                <w:szCs w:val="24"/>
              </w:rPr>
              <w:t>%</w:t>
            </w:r>
            <w:r w:rsidRPr="001272D0">
              <w:rPr>
                <w:rFonts w:ascii="Arial" w:eastAsia="Arial" w:hAnsi="Arial" w:cs="Arial"/>
                <w:bCs/>
                <w:iCs/>
                <w:sz w:val="24"/>
                <w:szCs w:val="24"/>
              </w:rPr>
              <w:t>)</w:t>
            </w:r>
          </w:p>
        </w:tc>
      </w:tr>
      <w:tr w:rsidR="007A3BB4" w:rsidRPr="001272D0" w14:paraId="49875F95" w14:textId="77777777" w:rsidTr="00AC2A50">
        <w:tblPrEx>
          <w:tblBorders>
            <w:insideH w:val="single" w:sz="4" w:space="0" w:color="auto"/>
            <w:insideV w:val="single" w:sz="4" w:space="0" w:color="auto"/>
          </w:tblBorders>
        </w:tblPrEx>
        <w:tc>
          <w:tcPr>
            <w:tcW w:w="4508" w:type="dxa"/>
            <w:tcBorders>
              <w:top w:val="nil"/>
              <w:left w:val="nil"/>
              <w:bottom w:val="nil"/>
              <w:right w:val="nil"/>
            </w:tcBorders>
          </w:tcPr>
          <w:p w14:paraId="750903CF" w14:textId="238B5CBE" w:rsidR="007A3BB4" w:rsidRPr="001272D0" w:rsidRDefault="007A3BB4" w:rsidP="00AC2A50">
            <w:pPr>
              <w:rPr>
                <w:rFonts w:ascii="Arial" w:eastAsia="Arial" w:hAnsi="Arial" w:cs="Arial"/>
                <w:bCs/>
                <w:iCs/>
                <w:sz w:val="24"/>
                <w:szCs w:val="24"/>
              </w:rPr>
            </w:pPr>
            <w:r w:rsidRPr="001272D0">
              <w:rPr>
                <w:rFonts w:ascii="Arial" w:eastAsia="Arial" w:hAnsi="Arial" w:cs="Arial"/>
                <w:bCs/>
                <w:iCs/>
                <w:sz w:val="24"/>
                <w:szCs w:val="24"/>
              </w:rPr>
              <w:t>Service User Advocacy Ta</w:t>
            </w:r>
            <w:r w:rsidR="00EF6BCB" w:rsidRPr="001272D0">
              <w:rPr>
                <w:rFonts w:ascii="Arial" w:eastAsia="Arial" w:hAnsi="Arial" w:cs="Arial"/>
                <w:bCs/>
                <w:iCs/>
                <w:sz w:val="24"/>
                <w:szCs w:val="24"/>
              </w:rPr>
              <w:t>sk</w:t>
            </w:r>
          </w:p>
        </w:tc>
        <w:tc>
          <w:tcPr>
            <w:tcW w:w="4508" w:type="dxa"/>
            <w:tcBorders>
              <w:top w:val="nil"/>
              <w:left w:val="nil"/>
              <w:bottom w:val="nil"/>
              <w:right w:val="nil"/>
            </w:tcBorders>
          </w:tcPr>
          <w:p w14:paraId="75E411AF" w14:textId="2B3CC18F" w:rsidR="007A3BB4" w:rsidRPr="001272D0" w:rsidRDefault="0030332E" w:rsidP="00AC2A50">
            <w:pPr>
              <w:rPr>
                <w:rFonts w:ascii="Arial" w:eastAsia="Arial" w:hAnsi="Arial" w:cs="Arial"/>
                <w:bCs/>
                <w:iCs/>
                <w:sz w:val="24"/>
                <w:szCs w:val="24"/>
              </w:rPr>
            </w:pPr>
            <w:r w:rsidRPr="001272D0">
              <w:rPr>
                <w:rFonts w:ascii="Arial" w:eastAsia="Arial" w:hAnsi="Arial" w:cs="Arial"/>
                <w:bCs/>
                <w:iCs/>
                <w:sz w:val="24"/>
                <w:szCs w:val="24"/>
              </w:rPr>
              <w:t>2</w:t>
            </w:r>
            <w:proofErr w:type="gramStart"/>
            <w:r w:rsidRPr="001272D0">
              <w:rPr>
                <w:rFonts w:ascii="Arial" w:eastAsia="Arial" w:hAnsi="Arial" w:cs="Arial"/>
                <w:bCs/>
                <w:iCs/>
                <w:sz w:val="24"/>
                <w:szCs w:val="24"/>
              </w:rPr>
              <w:t xml:space="preserve">   (</w:t>
            </w:r>
            <w:proofErr w:type="gramEnd"/>
            <w:r w:rsidR="005C50C4" w:rsidRPr="001272D0">
              <w:rPr>
                <w:rFonts w:ascii="Arial" w:eastAsia="Arial" w:hAnsi="Arial" w:cs="Arial"/>
                <w:bCs/>
                <w:iCs/>
                <w:sz w:val="24"/>
                <w:szCs w:val="24"/>
              </w:rPr>
              <w:t>3</w:t>
            </w:r>
            <w:r w:rsidR="007A3BB4" w:rsidRPr="001272D0">
              <w:rPr>
                <w:rFonts w:ascii="Arial" w:eastAsia="Arial" w:hAnsi="Arial" w:cs="Arial"/>
                <w:bCs/>
                <w:iCs/>
                <w:sz w:val="24"/>
                <w:szCs w:val="24"/>
              </w:rPr>
              <w:t>%</w:t>
            </w:r>
            <w:r w:rsidRPr="001272D0">
              <w:rPr>
                <w:rFonts w:ascii="Arial" w:eastAsia="Arial" w:hAnsi="Arial" w:cs="Arial"/>
                <w:bCs/>
                <w:iCs/>
                <w:sz w:val="24"/>
                <w:szCs w:val="24"/>
              </w:rPr>
              <w:t>)</w:t>
            </w:r>
          </w:p>
        </w:tc>
      </w:tr>
      <w:tr w:rsidR="007A3BB4" w:rsidRPr="001272D0" w14:paraId="49CB0BE9" w14:textId="77777777" w:rsidTr="00AC2A50">
        <w:tblPrEx>
          <w:tblBorders>
            <w:insideH w:val="single" w:sz="4" w:space="0" w:color="auto"/>
            <w:insideV w:val="single" w:sz="4" w:space="0" w:color="auto"/>
          </w:tblBorders>
        </w:tblPrEx>
        <w:tc>
          <w:tcPr>
            <w:tcW w:w="4508" w:type="dxa"/>
            <w:tcBorders>
              <w:top w:val="nil"/>
              <w:left w:val="nil"/>
              <w:bottom w:val="single" w:sz="4" w:space="0" w:color="auto"/>
              <w:right w:val="nil"/>
            </w:tcBorders>
          </w:tcPr>
          <w:p w14:paraId="696ABE74" w14:textId="3D840A81" w:rsidR="007A3BB4" w:rsidRPr="001272D0" w:rsidRDefault="007A3BB4" w:rsidP="00AC2A50">
            <w:pPr>
              <w:rPr>
                <w:rFonts w:ascii="Arial" w:eastAsia="Arial" w:hAnsi="Arial" w:cs="Arial"/>
                <w:bCs/>
                <w:iCs/>
                <w:sz w:val="24"/>
                <w:szCs w:val="24"/>
              </w:rPr>
            </w:pPr>
            <w:r w:rsidRPr="001272D0">
              <w:rPr>
                <w:rFonts w:ascii="Arial" w:eastAsia="Arial" w:hAnsi="Arial" w:cs="Arial"/>
                <w:bCs/>
                <w:iCs/>
                <w:sz w:val="24"/>
                <w:szCs w:val="24"/>
              </w:rPr>
              <w:t xml:space="preserve">Portfolio Review </w:t>
            </w:r>
          </w:p>
        </w:tc>
        <w:tc>
          <w:tcPr>
            <w:tcW w:w="4508" w:type="dxa"/>
            <w:tcBorders>
              <w:top w:val="nil"/>
              <w:left w:val="nil"/>
              <w:bottom w:val="single" w:sz="4" w:space="0" w:color="auto"/>
              <w:right w:val="nil"/>
            </w:tcBorders>
          </w:tcPr>
          <w:p w14:paraId="3F19547D" w14:textId="55E412E3" w:rsidR="007A3BB4" w:rsidRPr="001272D0" w:rsidRDefault="0030332E" w:rsidP="00AC2A50">
            <w:pPr>
              <w:rPr>
                <w:rFonts w:ascii="Arial" w:eastAsia="Arial" w:hAnsi="Arial" w:cs="Arial"/>
                <w:bCs/>
                <w:iCs/>
                <w:sz w:val="24"/>
                <w:szCs w:val="24"/>
              </w:rPr>
            </w:pPr>
            <w:r w:rsidRPr="001272D0">
              <w:rPr>
                <w:rFonts w:ascii="Arial" w:eastAsia="Arial" w:hAnsi="Arial" w:cs="Arial"/>
                <w:bCs/>
                <w:iCs/>
                <w:sz w:val="24"/>
                <w:szCs w:val="24"/>
              </w:rPr>
              <w:t>1</w:t>
            </w:r>
            <w:proofErr w:type="gramStart"/>
            <w:r w:rsidRPr="001272D0">
              <w:rPr>
                <w:rFonts w:ascii="Arial" w:eastAsia="Arial" w:hAnsi="Arial" w:cs="Arial"/>
                <w:bCs/>
                <w:iCs/>
                <w:sz w:val="24"/>
                <w:szCs w:val="24"/>
              </w:rPr>
              <w:t xml:space="preserve">   (</w:t>
            </w:r>
            <w:proofErr w:type="gramEnd"/>
            <w:r w:rsidR="007A3BB4" w:rsidRPr="001272D0">
              <w:rPr>
                <w:rFonts w:ascii="Arial" w:eastAsia="Arial" w:hAnsi="Arial" w:cs="Arial"/>
                <w:bCs/>
                <w:iCs/>
                <w:sz w:val="24"/>
                <w:szCs w:val="24"/>
              </w:rPr>
              <w:t>1%</w:t>
            </w:r>
            <w:r w:rsidRPr="001272D0">
              <w:rPr>
                <w:rFonts w:ascii="Arial" w:eastAsia="Arial" w:hAnsi="Arial" w:cs="Arial"/>
                <w:bCs/>
                <w:iCs/>
                <w:sz w:val="24"/>
                <w:szCs w:val="24"/>
              </w:rPr>
              <w:t>)</w:t>
            </w:r>
          </w:p>
        </w:tc>
      </w:tr>
    </w:tbl>
    <w:p w14:paraId="053BDBCE" w14:textId="77777777" w:rsidR="005612B8" w:rsidRPr="001272D0" w:rsidRDefault="005612B8" w:rsidP="00F13CD6">
      <w:pPr>
        <w:pBdr>
          <w:top w:val="nil"/>
          <w:left w:val="nil"/>
          <w:bottom w:val="nil"/>
          <w:right w:val="nil"/>
          <w:between w:val="nil"/>
        </w:pBdr>
        <w:spacing w:after="0" w:line="240" w:lineRule="auto"/>
        <w:jc w:val="both"/>
        <w:rPr>
          <w:rFonts w:ascii="Arial" w:eastAsia="Arial" w:hAnsi="Arial" w:cs="Arial"/>
          <w:bCs/>
          <w:sz w:val="24"/>
          <w:szCs w:val="24"/>
        </w:rPr>
      </w:pPr>
    </w:p>
    <w:p w14:paraId="5605BAA8" w14:textId="545B12E6" w:rsidR="008B4596" w:rsidRPr="001272D0" w:rsidRDefault="002C2D9A" w:rsidP="00F13CD6">
      <w:pPr>
        <w:pBdr>
          <w:top w:val="nil"/>
          <w:left w:val="nil"/>
          <w:bottom w:val="nil"/>
          <w:right w:val="nil"/>
          <w:between w:val="nil"/>
        </w:pBdr>
        <w:spacing w:after="0" w:line="240" w:lineRule="auto"/>
        <w:jc w:val="both"/>
        <w:rPr>
          <w:rFonts w:ascii="Arial" w:eastAsia="Arial" w:hAnsi="Arial" w:cs="Arial"/>
          <w:bCs/>
          <w:iCs/>
          <w:sz w:val="24"/>
          <w:szCs w:val="24"/>
        </w:rPr>
      </w:pPr>
      <w:r w:rsidRPr="001272D0">
        <w:rPr>
          <w:rFonts w:ascii="Arial" w:eastAsia="Arial" w:hAnsi="Arial" w:cs="Arial"/>
          <w:bCs/>
          <w:sz w:val="24"/>
          <w:szCs w:val="24"/>
        </w:rPr>
        <w:t>At the time of data collection, the UK entered two national lockdowns as a result of Covid-19</w:t>
      </w:r>
      <w:r w:rsidR="00AC12A6" w:rsidRPr="001272D0">
        <w:rPr>
          <w:rFonts w:ascii="Arial" w:eastAsia="Arial" w:hAnsi="Arial" w:cs="Arial"/>
          <w:bCs/>
          <w:sz w:val="24"/>
          <w:szCs w:val="24"/>
        </w:rPr>
        <w:t xml:space="preserve"> </w:t>
      </w:r>
      <w:r w:rsidR="00AC12A6" w:rsidRPr="001272D0">
        <w:rPr>
          <w:rFonts w:ascii="Arial" w:eastAsia="Arial" w:hAnsi="Arial" w:cs="Arial"/>
          <w:bCs/>
          <w:sz w:val="24"/>
          <w:szCs w:val="24"/>
        </w:rPr>
        <w:fldChar w:fldCharType="begin" w:fldLock="1"/>
      </w:r>
      <w:r w:rsidR="00AC12A6" w:rsidRPr="001272D0">
        <w:rPr>
          <w:rFonts w:ascii="Arial" w:eastAsia="Arial" w:hAnsi="Arial" w:cs="Arial"/>
          <w:bCs/>
          <w:sz w:val="24"/>
          <w:szCs w:val="24"/>
        </w:rPr>
        <w:instrText>ADDIN CSL_CITATION {"citationItems":[{"id":"ITEM-1","itemData":{"URL":"https://www.instituteforgovernment.org.uk/charts/uk-government-coronavirus-lockdowns","abstract":"Timeline of UK coronavirus lockdowns, March 2020 to March 2021","author":[{"dropping-particle":"","family":"Institute for Government Analysis","given":"","non-dropping-particle":"","parse-names":false,"suffix":""}],"container-title":"Institute for Government analysis","id":"ITEM-1","issue":"March 2020","issued":{"date-parts":[["2021"]]},"page":"2021","title":"Timeline of UK Lockdowns, March 2020 to March 2021","type":"webpage"},"uris":["http://www.mendeley.com/documents/?uuid=1034187c-382a-3b24-bbca-4ebcb86a3f77"]}],"mendeley":{"formattedCitation":"(Institute for Government Analysis, 2021)","plainTextFormattedCitation":"(Institute for Government Analysis, 2021)","previouslyFormattedCitation":"(Institute for Government Analysis, 2021)"},"properties":{"noteIndex":0},"schema":"https://github.com/citation-style-language/schema/raw/master/csl-citation.json"}</w:instrText>
      </w:r>
      <w:r w:rsidR="00AC12A6" w:rsidRPr="001272D0">
        <w:rPr>
          <w:rFonts w:ascii="Arial" w:eastAsia="Arial" w:hAnsi="Arial" w:cs="Arial"/>
          <w:bCs/>
          <w:sz w:val="24"/>
          <w:szCs w:val="24"/>
        </w:rPr>
        <w:fldChar w:fldCharType="separate"/>
      </w:r>
      <w:r w:rsidR="00AC12A6" w:rsidRPr="001272D0">
        <w:rPr>
          <w:rFonts w:ascii="Arial" w:eastAsia="Arial" w:hAnsi="Arial" w:cs="Arial"/>
          <w:bCs/>
          <w:noProof/>
          <w:sz w:val="24"/>
          <w:szCs w:val="24"/>
        </w:rPr>
        <w:t>(Institute for Government Analysis, 2021)</w:t>
      </w:r>
      <w:r w:rsidR="00AC12A6" w:rsidRPr="001272D0">
        <w:rPr>
          <w:rFonts w:ascii="Arial" w:eastAsia="Arial" w:hAnsi="Arial" w:cs="Arial"/>
          <w:bCs/>
          <w:sz w:val="24"/>
          <w:szCs w:val="24"/>
        </w:rPr>
        <w:fldChar w:fldCharType="end"/>
      </w:r>
      <w:r w:rsidRPr="001272D0">
        <w:rPr>
          <w:rFonts w:ascii="Arial" w:eastAsia="Arial" w:hAnsi="Arial" w:cs="Arial"/>
          <w:bCs/>
          <w:sz w:val="24"/>
          <w:szCs w:val="24"/>
        </w:rPr>
        <w:t xml:space="preserve">, posing restrictions on travel and a requirement to work from home. </w:t>
      </w:r>
      <w:r w:rsidR="00A0559A" w:rsidRPr="001272D0">
        <w:rPr>
          <w:rFonts w:ascii="Arial" w:eastAsia="Arial" w:hAnsi="Arial" w:cs="Arial"/>
          <w:bCs/>
          <w:iCs/>
          <w:sz w:val="24"/>
          <w:szCs w:val="24"/>
        </w:rPr>
        <w:t>W</w:t>
      </w:r>
      <w:r w:rsidRPr="001272D0">
        <w:rPr>
          <w:rFonts w:ascii="Arial" w:eastAsia="Arial" w:hAnsi="Arial" w:cs="Arial"/>
          <w:bCs/>
          <w:iCs/>
          <w:sz w:val="24"/>
          <w:szCs w:val="24"/>
        </w:rPr>
        <w:t xml:space="preserve">ebsites were explored for changes to the </w:t>
      </w:r>
      <w:r w:rsidRPr="001272D0">
        <w:rPr>
          <w:rFonts w:ascii="Arial" w:eastAsia="Arial" w:hAnsi="Arial" w:cs="Arial"/>
          <w:bCs/>
          <w:iCs/>
          <w:sz w:val="24"/>
          <w:szCs w:val="24"/>
        </w:rPr>
        <w:lastRenderedPageBreak/>
        <w:t>2021/2022 selection and recruitment process</w:t>
      </w:r>
      <w:r w:rsidR="0025200D" w:rsidRPr="001272D0">
        <w:rPr>
          <w:rFonts w:ascii="Arial" w:eastAsia="Arial" w:hAnsi="Arial" w:cs="Arial"/>
          <w:bCs/>
          <w:iCs/>
          <w:sz w:val="24"/>
          <w:szCs w:val="24"/>
        </w:rPr>
        <w:t xml:space="preserve">, with </w:t>
      </w:r>
      <w:r w:rsidRPr="001272D0">
        <w:rPr>
          <w:rFonts w:ascii="Arial" w:eastAsia="Arial" w:hAnsi="Arial" w:cs="Arial"/>
          <w:bCs/>
          <w:iCs/>
          <w:sz w:val="24"/>
          <w:szCs w:val="24"/>
        </w:rPr>
        <w:t>8%</w:t>
      </w:r>
      <w:r w:rsidR="00F749DF" w:rsidRPr="001272D0">
        <w:rPr>
          <w:rFonts w:ascii="Arial" w:eastAsia="Arial" w:hAnsi="Arial" w:cs="Arial"/>
          <w:bCs/>
          <w:iCs/>
          <w:sz w:val="24"/>
          <w:szCs w:val="24"/>
        </w:rPr>
        <w:t xml:space="preserve"> (</w:t>
      </w:r>
      <w:r w:rsidR="00F749DF" w:rsidRPr="001272D0">
        <w:rPr>
          <w:rFonts w:ascii="Arial" w:eastAsia="Arial" w:hAnsi="Arial" w:cs="Arial"/>
          <w:bCs/>
          <w:i/>
          <w:sz w:val="24"/>
          <w:szCs w:val="24"/>
        </w:rPr>
        <w:t>n=</w:t>
      </w:r>
      <w:r w:rsidR="00F749DF" w:rsidRPr="001272D0">
        <w:rPr>
          <w:rFonts w:ascii="Arial" w:eastAsia="Arial" w:hAnsi="Arial" w:cs="Arial"/>
          <w:bCs/>
          <w:iCs/>
          <w:sz w:val="24"/>
          <w:szCs w:val="24"/>
        </w:rPr>
        <w:t>6) of programmes</w:t>
      </w:r>
      <w:r w:rsidR="0025200D" w:rsidRPr="001272D0">
        <w:rPr>
          <w:rFonts w:ascii="Arial" w:eastAsia="Arial" w:hAnsi="Arial" w:cs="Arial"/>
          <w:bCs/>
          <w:iCs/>
          <w:sz w:val="24"/>
          <w:szCs w:val="24"/>
        </w:rPr>
        <w:t xml:space="preserve"> referring</w:t>
      </w:r>
      <w:r w:rsidRPr="001272D0">
        <w:rPr>
          <w:rFonts w:ascii="Arial" w:eastAsia="Arial" w:hAnsi="Arial" w:cs="Arial"/>
          <w:bCs/>
          <w:iCs/>
          <w:sz w:val="24"/>
          <w:szCs w:val="24"/>
        </w:rPr>
        <w:t xml:space="preserve"> to any changes </w:t>
      </w:r>
      <w:r w:rsidR="0025200D" w:rsidRPr="001272D0">
        <w:rPr>
          <w:rFonts w:ascii="Arial" w:eastAsia="Arial" w:hAnsi="Arial" w:cs="Arial"/>
          <w:bCs/>
          <w:iCs/>
          <w:sz w:val="24"/>
          <w:szCs w:val="24"/>
        </w:rPr>
        <w:t>relating</w:t>
      </w:r>
      <w:r w:rsidRPr="001272D0">
        <w:rPr>
          <w:rFonts w:ascii="Arial" w:eastAsia="Arial" w:hAnsi="Arial" w:cs="Arial"/>
          <w:bCs/>
          <w:iCs/>
          <w:sz w:val="24"/>
          <w:szCs w:val="24"/>
        </w:rPr>
        <w:t xml:space="preserve"> to face-to-face</w:t>
      </w:r>
      <w:r w:rsidR="005D7407" w:rsidRPr="001272D0">
        <w:rPr>
          <w:rFonts w:ascii="Arial" w:eastAsia="Arial" w:hAnsi="Arial" w:cs="Arial"/>
          <w:bCs/>
          <w:iCs/>
          <w:sz w:val="24"/>
          <w:szCs w:val="24"/>
        </w:rPr>
        <w:t xml:space="preserve"> </w:t>
      </w:r>
      <w:r w:rsidRPr="001272D0">
        <w:rPr>
          <w:rFonts w:ascii="Arial" w:eastAsia="Arial" w:hAnsi="Arial" w:cs="Arial"/>
          <w:bCs/>
          <w:iCs/>
          <w:sz w:val="24"/>
          <w:szCs w:val="24"/>
        </w:rPr>
        <w:t>(F2F) interviews replaced by telephone calls (</w:t>
      </w:r>
      <w:r w:rsidRPr="001272D0">
        <w:rPr>
          <w:rFonts w:ascii="Arial" w:eastAsia="Arial" w:hAnsi="Arial" w:cs="Arial"/>
          <w:bCs/>
          <w:i/>
          <w:sz w:val="24"/>
          <w:szCs w:val="24"/>
        </w:rPr>
        <w:t>n=</w:t>
      </w:r>
      <w:r w:rsidRPr="001272D0">
        <w:rPr>
          <w:rFonts w:ascii="Arial" w:eastAsia="Arial" w:hAnsi="Arial" w:cs="Arial"/>
          <w:bCs/>
          <w:iCs/>
          <w:sz w:val="24"/>
          <w:szCs w:val="24"/>
        </w:rPr>
        <w:t>2)</w:t>
      </w:r>
      <w:r w:rsidR="000E4B73" w:rsidRPr="001272D0">
        <w:rPr>
          <w:rFonts w:ascii="Arial" w:eastAsia="Arial" w:hAnsi="Arial" w:cs="Arial"/>
          <w:bCs/>
          <w:iCs/>
          <w:sz w:val="24"/>
          <w:szCs w:val="24"/>
        </w:rPr>
        <w:t xml:space="preserve">, </w:t>
      </w:r>
      <w:r w:rsidRPr="001272D0">
        <w:rPr>
          <w:rFonts w:ascii="Arial" w:eastAsia="Arial" w:hAnsi="Arial" w:cs="Arial"/>
          <w:bCs/>
          <w:iCs/>
          <w:sz w:val="24"/>
          <w:szCs w:val="24"/>
        </w:rPr>
        <w:t>online interviews (</w:t>
      </w:r>
      <w:r w:rsidRPr="001272D0">
        <w:rPr>
          <w:rFonts w:ascii="Arial" w:eastAsia="Arial" w:hAnsi="Arial" w:cs="Arial"/>
          <w:bCs/>
          <w:i/>
          <w:sz w:val="24"/>
          <w:szCs w:val="24"/>
        </w:rPr>
        <w:t>n=</w:t>
      </w:r>
      <w:r w:rsidRPr="001272D0">
        <w:rPr>
          <w:rFonts w:ascii="Arial" w:eastAsia="Arial" w:hAnsi="Arial" w:cs="Arial"/>
          <w:bCs/>
          <w:iCs/>
          <w:sz w:val="24"/>
          <w:szCs w:val="24"/>
        </w:rPr>
        <w:t>2)</w:t>
      </w:r>
      <w:r w:rsidR="005D7407" w:rsidRPr="001272D0">
        <w:rPr>
          <w:rFonts w:ascii="Arial" w:eastAsia="Arial" w:hAnsi="Arial" w:cs="Arial"/>
          <w:bCs/>
          <w:iCs/>
          <w:sz w:val="24"/>
          <w:szCs w:val="24"/>
        </w:rPr>
        <w:t xml:space="preserve"> and relaxation of formal work exp</w:t>
      </w:r>
      <w:r w:rsidR="00E108B4" w:rsidRPr="001272D0">
        <w:rPr>
          <w:rFonts w:ascii="Arial" w:eastAsia="Arial" w:hAnsi="Arial" w:cs="Arial"/>
          <w:bCs/>
          <w:iCs/>
          <w:sz w:val="24"/>
          <w:szCs w:val="24"/>
        </w:rPr>
        <w:t>erience requirements (</w:t>
      </w:r>
      <w:r w:rsidR="00E108B4" w:rsidRPr="001272D0">
        <w:rPr>
          <w:rFonts w:ascii="Arial" w:eastAsia="Arial" w:hAnsi="Arial" w:cs="Arial"/>
          <w:bCs/>
          <w:i/>
          <w:sz w:val="24"/>
          <w:szCs w:val="24"/>
        </w:rPr>
        <w:t>n=</w:t>
      </w:r>
      <w:r w:rsidR="00E108B4" w:rsidRPr="001272D0">
        <w:rPr>
          <w:rFonts w:ascii="Arial" w:eastAsia="Arial" w:hAnsi="Arial" w:cs="Arial"/>
          <w:bCs/>
          <w:iCs/>
          <w:sz w:val="24"/>
          <w:szCs w:val="24"/>
        </w:rPr>
        <w:t xml:space="preserve">2). </w:t>
      </w:r>
    </w:p>
    <w:p w14:paraId="265925D2" w14:textId="77777777" w:rsidR="00420A91" w:rsidRPr="001272D0" w:rsidRDefault="00420A91" w:rsidP="00F13CD6">
      <w:pPr>
        <w:pBdr>
          <w:top w:val="nil"/>
          <w:left w:val="nil"/>
          <w:bottom w:val="nil"/>
          <w:right w:val="nil"/>
          <w:between w:val="nil"/>
        </w:pBdr>
        <w:spacing w:after="0" w:line="240" w:lineRule="auto"/>
        <w:jc w:val="both"/>
        <w:rPr>
          <w:rFonts w:ascii="Arial" w:eastAsia="Arial" w:hAnsi="Arial" w:cs="Arial"/>
          <w:bCs/>
          <w:iCs/>
          <w:sz w:val="24"/>
          <w:szCs w:val="24"/>
        </w:rPr>
      </w:pPr>
    </w:p>
    <w:p w14:paraId="213E73D9" w14:textId="6C6023A7" w:rsidR="00F13CD6" w:rsidRPr="001272D0" w:rsidRDefault="002C2D9A" w:rsidP="00F13CD6">
      <w:pPr>
        <w:pBdr>
          <w:top w:val="nil"/>
          <w:left w:val="nil"/>
          <w:bottom w:val="nil"/>
          <w:right w:val="nil"/>
          <w:between w:val="nil"/>
        </w:pBdr>
        <w:spacing w:after="0" w:line="240" w:lineRule="auto"/>
        <w:jc w:val="both"/>
        <w:rPr>
          <w:rFonts w:ascii="Arial" w:eastAsia="Arial" w:hAnsi="Arial" w:cs="Arial"/>
          <w:bCs/>
          <w:sz w:val="24"/>
          <w:szCs w:val="24"/>
        </w:rPr>
      </w:pPr>
      <w:r w:rsidRPr="001272D0">
        <w:rPr>
          <w:rFonts w:ascii="Arial" w:eastAsia="Arial" w:hAnsi="Arial" w:cs="Arial"/>
          <w:b/>
          <w:iCs/>
          <w:sz w:val="24"/>
          <w:szCs w:val="24"/>
        </w:rPr>
        <w:t>Alternative entry criteria</w:t>
      </w:r>
    </w:p>
    <w:p w14:paraId="2AA8DC52" w14:textId="49FB641B" w:rsidR="002C2D9A" w:rsidRPr="001272D0" w:rsidRDefault="00A34D7F" w:rsidP="00F13CD6">
      <w:pPr>
        <w:pBdr>
          <w:top w:val="nil"/>
          <w:left w:val="nil"/>
          <w:bottom w:val="nil"/>
          <w:right w:val="nil"/>
          <w:between w:val="nil"/>
        </w:pBdr>
        <w:spacing w:after="0" w:line="240" w:lineRule="auto"/>
        <w:jc w:val="both"/>
        <w:rPr>
          <w:rFonts w:ascii="Arial" w:eastAsia="Arial" w:hAnsi="Arial" w:cs="Arial"/>
          <w:b/>
          <w:iCs/>
          <w:sz w:val="24"/>
          <w:szCs w:val="24"/>
        </w:rPr>
      </w:pPr>
      <w:r w:rsidRPr="001272D0">
        <w:rPr>
          <w:rFonts w:ascii="Arial" w:eastAsia="Arial" w:hAnsi="Arial" w:cs="Arial"/>
          <w:bCs/>
          <w:iCs/>
          <w:sz w:val="24"/>
          <w:szCs w:val="24"/>
        </w:rPr>
        <w:t>67</w:t>
      </w:r>
      <w:r w:rsidR="002C2D9A" w:rsidRPr="001272D0">
        <w:rPr>
          <w:rFonts w:ascii="Arial" w:eastAsia="Arial" w:hAnsi="Arial" w:cs="Arial"/>
          <w:bCs/>
          <w:iCs/>
          <w:sz w:val="24"/>
          <w:szCs w:val="24"/>
        </w:rPr>
        <w:t>%</w:t>
      </w:r>
      <w:r w:rsidR="0063754A" w:rsidRPr="001272D0">
        <w:rPr>
          <w:rFonts w:ascii="Arial" w:eastAsia="Arial" w:hAnsi="Arial" w:cs="Arial"/>
          <w:bCs/>
          <w:iCs/>
          <w:sz w:val="24"/>
          <w:szCs w:val="24"/>
        </w:rPr>
        <w:t xml:space="preserve"> (</w:t>
      </w:r>
      <w:r w:rsidR="0063754A" w:rsidRPr="001272D0">
        <w:rPr>
          <w:rFonts w:ascii="Arial" w:eastAsia="Arial" w:hAnsi="Arial" w:cs="Arial"/>
          <w:bCs/>
          <w:i/>
          <w:sz w:val="24"/>
          <w:szCs w:val="24"/>
        </w:rPr>
        <w:t>n=</w:t>
      </w:r>
      <w:r w:rsidR="0063754A" w:rsidRPr="001272D0">
        <w:rPr>
          <w:rFonts w:ascii="Arial" w:eastAsia="Arial" w:hAnsi="Arial" w:cs="Arial"/>
          <w:bCs/>
          <w:iCs/>
          <w:sz w:val="24"/>
          <w:szCs w:val="24"/>
        </w:rPr>
        <w:t>4</w:t>
      </w:r>
      <w:r w:rsidR="00917C8B" w:rsidRPr="001272D0">
        <w:rPr>
          <w:rFonts w:ascii="Arial" w:eastAsia="Arial" w:hAnsi="Arial" w:cs="Arial"/>
          <w:bCs/>
          <w:iCs/>
          <w:sz w:val="24"/>
          <w:szCs w:val="24"/>
        </w:rPr>
        <w:t>9</w:t>
      </w:r>
      <w:r w:rsidR="0063754A" w:rsidRPr="001272D0">
        <w:rPr>
          <w:rFonts w:ascii="Arial" w:eastAsia="Arial" w:hAnsi="Arial" w:cs="Arial"/>
          <w:bCs/>
          <w:iCs/>
          <w:sz w:val="24"/>
          <w:szCs w:val="24"/>
        </w:rPr>
        <w:t>)</w:t>
      </w:r>
      <w:r w:rsidR="002C2D9A" w:rsidRPr="001272D0">
        <w:rPr>
          <w:rFonts w:ascii="Arial" w:eastAsia="Arial" w:hAnsi="Arial" w:cs="Arial"/>
          <w:bCs/>
          <w:iCs/>
          <w:sz w:val="24"/>
          <w:szCs w:val="24"/>
        </w:rPr>
        <w:t xml:space="preserve"> </w:t>
      </w:r>
      <w:r w:rsidR="00F03C3C" w:rsidRPr="001272D0">
        <w:rPr>
          <w:rFonts w:ascii="Arial" w:eastAsia="Arial" w:hAnsi="Arial" w:cs="Arial"/>
          <w:bCs/>
          <w:iCs/>
          <w:sz w:val="24"/>
          <w:szCs w:val="24"/>
        </w:rPr>
        <w:t xml:space="preserve">of all pre-registration </w:t>
      </w:r>
      <w:r w:rsidR="003E742C" w:rsidRPr="001272D0">
        <w:rPr>
          <w:rFonts w:ascii="Arial" w:eastAsia="Arial" w:hAnsi="Arial" w:cs="Arial"/>
          <w:bCs/>
          <w:iCs/>
          <w:sz w:val="24"/>
          <w:szCs w:val="24"/>
        </w:rPr>
        <w:t>programmes</w:t>
      </w:r>
      <w:r w:rsidR="002C2D9A" w:rsidRPr="001272D0">
        <w:rPr>
          <w:rFonts w:ascii="Arial" w:eastAsia="Arial" w:hAnsi="Arial" w:cs="Arial"/>
          <w:bCs/>
          <w:iCs/>
          <w:sz w:val="24"/>
          <w:szCs w:val="24"/>
        </w:rPr>
        <w:t xml:space="preserve"> stipulate consideration of alternative entry routes. </w:t>
      </w:r>
      <w:r w:rsidR="00833627" w:rsidRPr="001272D0">
        <w:rPr>
          <w:rFonts w:ascii="Arial" w:eastAsia="Arial" w:hAnsi="Arial" w:cs="Arial"/>
          <w:bCs/>
          <w:iCs/>
          <w:sz w:val="24"/>
          <w:szCs w:val="24"/>
        </w:rPr>
        <w:t>I</w:t>
      </w:r>
      <w:r w:rsidR="002C2D9A" w:rsidRPr="001272D0">
        <w:rPr>
          <w:rFonts w:ascii="Arial" w:eastAsia="Arial" w:hAnsi="Arial" w:cs="Arial"/>
          <w:bCs/>
          <w:iCs/>
          <w:sz w:val="24"/>
          <w:szCs w:val="24"/>
        </w:rPr>
        <w:t>nformation for candidates is variable between institutions, with the most commonly occurring themes relating to Recognition of Prior Learning (RPL) (</w:t>
      </w:r>
      <w:r w:rsidR="002C2D9A" w:rsidRPr="001272D0">
        <w:rPr>
          <w:rFonts w:ascii="Arial" w:eastAsia="Arial" w:hAnsi="Arial" w:cs="Arial"/>
          <w:bCs/>
          <w:i/>
          <w:sz w:val="24"/>
          <w:szCs w:val="24"/>
        </w:rPr>
        <w:t>n=</w:t>
      </w:r>
      <w:r w:rsidR="002C2D9A" w:rsidRPr="001272D0">
        <w:rPr>
          <w:rFonts w:ascii="Arial" w:eastAsia="Arial" w:hAnsi="Arial" w:cs="Arial"/>
          <w:bCs/>
          <w:iCs/>
          <w:sz w:val="24"/>
          <w:szCs w:val="24"/>
        </w:rPr>
        <w:t>20); work experience (</w:t>
      </w:r>
      <w:r w:rsidR="002C2D9A" w:rsidRPr="001272D0">
        <w:rPr>
          <w:rFonts w:ascii="Arial" w:eastAsia="Arial" w:hAnsi="Arial" w:cs="Arial"/>
          <w:bCs/>
          <w:i/>
          <w:sz w:val="24"/>
          <w:szCs w:val="24"/>
        </w:rPr>
        <w:t>n=</w:t>
      </w:r>
      <w:r w:rsidR="002C2D9A" w:rsidRPr="001272D0">
        <w:rPr>
          <w:rFonts w:ascii="Arial" w:eastAsia="Arial" w:hAnsi="Arial" w:cs="Arial"/>
          <w:bCs/>
          <w:iCs/>
          <w:sz w:val="24"/>
          <w:szCs w:val="24"/>
        </w:rPr>
        <w:t>17); case by case (</w:t>
      </w:r>
      <w:r w:rsidR="002C2D9A" w:rsidRPr="001272D0">
        <w:rPr>
          <w:rFonts w:ascii="Arial" w:eastAsia="Arial" w:hAnsi="Arial" w:cs="Arial"/>
          <w:bCs/>
          <w:i/>
          <w:sz w:val="24"/>
          <w:szCs w:val="24"/>
        </w:rPr>
        <w:t>n</w:t>
      </w:r>
      <w:r w:rsidR="002C2D9A" w:rsidRPr="001272D0">
        <w:rPr>
          <w:rFonts w:ascii="Arial" w:eastAsia="Arial" w:hAnsi="Arial" w:cs="Arial"/>
          <w:bCs/>
          <w:iCs/>
          <w:sz w:val="24"/>
          <w:szCs w:val="24"/>
        </w:rPr>
        <w:t>=17); mature student (</w:t>
      </w:r>
      <w:r w:rsidR="002C2D9A" w:rsidRPr="001272D0">
        <w:rPr>
          <w:rFonts w:ascii="Arial" w:eastAsia="Arial" w:hAnsi="Arial" w:cs="Arial"/>
          <w:bCs/>
          <w:i/>
          <w:sz w:val="24"/>
          <w:szCs w:val="24"/>
        </w:rPr>
        <w:t>n=</w:t>
      </w:r>
      <w:r w:rsidR="002C2D9A" w:rsidRPr="001272D0">
        <w:rPr>
          <w:rFonts w:ascii="Arial" w:eastAsia="Arial" w:hAnsi="Arial" w:cs="Arial"/>
          <w:bCs/>
          <w:iCs/>
          <w:sz w:val="24"/>
          <w:szCs w:val="24"/>
        </w:rPr>
        <w:t>10) and life experience (</w:t>
      </w:r>
      <w:r w:rsidR="002C2D9A" w:rsidRPr="001272D0">
        <w:rPr>
          <w:rFonts w:ascii="Arial" w:eastAsia="Arial" w:hAnsi="Arial" w:cs="Arial"/>
          <w:bCs/>
          <w:i/>
          <w:sz w:val="24"/>
          <w:szCs w:val="24"/>
        </w:rPr>
        <w:t>n=</w:t>
      </w:r>
      <w:r w:rsidR="002C2D9A" w:rsidRPr="001272D0">
        <w:rPr>
          <w:rFonts w:ascii="Arial" w:eastAsia="Arial" w:hAnsi="Arial" w:cs="Arial"/>
          <w:bCs/>
          <w:iCs/>
          <w:sz w:val="24"/>
          <w:szCs w:val="24"/>
        </w:rPr>
        <w:t>7). While these themes may be considered as widening access, very few institutions explicitly use this language as a theme (</w:t>
      </w:r>
      <w:r w:rsidR="002C2D9A" w:rsidRPr="001272D0">
        <w:rPr>
          <w:rFonts w:ascii="Arial" w:eastAsia="Arial" w:hAnsi="Arial" w:cs="Arial"/>
          <w:bCs/>
          <w:i/>
          <w:sz w:val="24"/>
          <w:szCs w:val="24"/>
        </w:rPr>
        <w:t>n=</w:t>
      </w:r>
      <w:r w:rsidR="002C2D9A" w:rsidRPr="001272D0">
        <w:rPr>
          <w:rFonts w:ascii="Arial" w:eastAsia="Arial" w:hAnsi="Arial" w:cs="Arial"/>
          <w:bCs/>
          <w:iCs/>
          <w:sz w:val="24"/>
          <w:szCs w:val="24"/>
        </w:rPr>
        <w:t>4). Of the forty-</w:t>
      </w:r>
      <w:r w:rsidR="00877FA5" w:rsidRPr="001272D0">
        <w:rPr>
          <w:rFonts w:ascii="Arial" w:eastAsia="Arial" w:hAnsi="Arial" w:cs="Arial"/>
          <w:bCs/>
          <w:iCs/>
          <w:sz w:val="24"/>
          <w:szCs w:val="24"/>
        </w:rPr>
        <w:t>nine</w:t>
      </w:r>
      <w:r w:rsidR="00C50008" w:rsidRPr="001272D0">
        <w:rPr>
          <w:rFonts w:ascii="Arial" w:eastAsia="Arial" w:hAnsi="Arial" w:cs="Arial"/>
          <w:bCs/>
          <w:iCs/>
          <w:sz w:val="24"/>
          <w:szCs w:val="24"/>
        </w:rPr>
        <w:t xml:space="preserve"> </w:t>
      </w:r>
      <w:r w:rsidR="00CB2E34" w:rsidRPr="001272D0">
        <w:rPr>
          <w:rFonts w:ascii="Arial" w:eastAsia="Arial" w:hAnsi="Arial" w:cs="Arial"/>
          <w:bCs/>
          <w:iCs/>
          <w:sz w:val="24"/>
          <w:szCs w:val="24"/>
        </w:rPr>
        <w:t>programmes</w:t>
      </w:r>
      <w:r w:rsidR="002C2D9A" w:rsidRPr="001272D0">
        <w:rPr>
          <w:rFonts w:ascii="Arial" w:eastAsia="Arial" w:hAnsi="Arial" w:cs="Arial"/>
          <w:bCs/>
          <w:iCs/>
          <w:sz w:val="24"/>
          <w:szCs w:val="24"/>
        </w:rPr>
        <w:t xml:space="preserve"> that stipulate alternative entry criteria, 5</w:t>
      </w:r>
      <w:r w:rsidR="005974BE" w:rsidRPr="001272D0">
        <w:rPr>
          <w:rFonts w:ascii="Arial" w:eastAsia="Arial" w:hAnsi="Arial" w:cs="Arial"/>
          <w:bCs/>
          <w:iCs/>
          <w:sz w:val="24"/>
          <w:szCs w:val="24"/>
        </w:rPr>
        <w:t>5</w:t>
      </w:r>
      <w:r w:rsidR="002C2D9A" w:rsidRPr="001272D0">
        <w:rPr>
          <w:rFonts w:ascii="Arial" w:eastAsia="Arial" w:hAnsi="Arial" w:cs="Arial"/>
          <w:bCs/>
          <w:iCs/>
          <w:sz w:val="24"/>
          <w:szCs w:val="24"/>
        </w:rPr>
        <w:t>%</w:t>
      </w:r>
      <w:r w:rsidR="0063032A" w:rsidRPr="001272D0">
        <w:rPr>
          <w:rFonts w:ascii="Arial" w:eastAsia="Arial" w:hAnsi="Arial" w:cs="Arial"/>
          <w:bCs/>
          <w:iCs/>
          <w:sz w:val="24"/>
          <w:szCs w:val="24"/>
        </w:rPr>
        <w:t xml:space="preserve"> (</w:t>
      </w:r>
      <w:r w:rsidR="0063032A" w:rsidRPr="001272D0">
        <w:rPr>
          <w:rFonts w:ascii="Arial" w:eastAsia="Arial" w:hAnsi="Arial" w:cs="Arial"/>
          <w:bCs/>
          <w:i/>
          <w:sz w:val="24"/>
          <w:szCs w:val="24"/>
        </w:rPr>
        <w:t>n=</w:t>
      </w:r>
      <w:r w:rsidR="0063032A" w:rsidRPr="001272D0">
        <w:rPr>
          <w:rFonts w:ascii="Arial" w:eastAsia="Arial" w:hAnsi="Arial" w:cs="Arial"/>
          <w:bCs/>
          <w:iCs/>
          <w:sz w:val="24"/>
          <w:szCs w:val="24"/>
        </w:rPr>
        <w:t>2</w:t>
      </w:r>
      <w:r w:rsidR="00E53B78" w:rsidRPr="001272D0">
        <w:rPr>
          <w:rFonts w:ascii="Arial" w:eastAsia="Arial" w:hAnsi="Arial" w:cs="Arial"/>
          <w:bCs/>
          <w:iCs/>
          <w:sz w:val="24"/>
          <w:szCs w:val="24"/>
        </w:rPr>
        <w:t>7</w:t>
      </w:r>
      <w:r w:rsidR="0063032A" w:rsidRPr="001272D0">
        <w:rPr>
          <w:rFonts w:ascii="Arial" w:eastAsia="Arial" w:hAnsi="Arial" w:cs="Arial"/>
          <w:bCs/>
          <w:iCs/>
          <w:sz w:val="24"/>
          <w:szCs w:val="24"/>
        </w:rPr>
        <w:t>)</w:t>
      </w:r>
      <w:r w:rsidR="002C2D9A" w:rsidRPr="001272D0">
        <w:rPr>
          <w:rFonts w:ascii="Arial" w:eastAsia="Arial" w:hAnsi="Arial" w:cs="Arial"/>
          <w:bCs/>
          <w:iCs/>
          <w:sz w:val="24"/>
          <w:szCs w:val="24"/>
        </w:rPr>
        <w:t xml:space="preserve"> state singular </w:t>
      </w:r>
      <w:r w:rsidR="00BE6F12" w:rsidRPr="001272D0">
        <w:rPr>
          <w:rFonts w:ascii="Arial" w:eastAsia="Arial" w:hAnsi="Arial" w:cs="Arial"/>
          <w:bCs/>
          <w:iCs/>
          <w:sz w:val="24"/>
          <w:szCs w:val="24"/>
        </w:rPr>
        <w:t>options</w:t>
      </w:r>
      <w:r w:rsidR="002C2D9A" w:rsidRPr="001272D0">
        <w:rPr>
          <w:rFonts w:ascii="Arial" w:eastAsia="Arial" w:hAnsi="Arial" w:cs="Arial"/>
          <w:bCs/>
          <w:iCs/>
          <w:sz w:val="24"/>
          <w:szCs w:val="24"/>
        </w:rPr>
        <w:t xml:space="preserve">, with </w:t>
      </w:r>
      <w:r w:rsidR="00826456" w:rsidRPr="001272D0">
        <w:rPr>
          <w:rFonts w:ascii="Arial" w:eastAsia="Arial" w:hAnsi="Arial" w:cs="Arial"/>
          <w:bCs/>
          <w:iCs/>
          <w:sz w:val="24"/>
          <w:szCs w:val="24"/>
        </w:rPr>
        <w:t>4</w:t>
      </w:r>
      <w:r w:rsidR="00106E31" w:rsidRPr="001272D0">
        <w:rPr>
          <w:rFonts w:ascii="Arial" w:eastAsia="Arial" w:hAnsi="Arial" w:cs="Arial"/>
          <w:bCs/>
          <w:iCs/>
          <w:sz w:val="24"/>
          <w:szCs w:val="24"/>
        </w:rPr>
        <w:t>5</w:t>
      </w:r>
      <w:r w:rsidR="00826456" w:rsidRPr="001272D0">
        <w:rPr>
          <w:rFonts w:ascii="Arial" w:eastAsia="Arial" w:hAnsi="Arial" w:cs="Arial"/>
          <w:bCs/>
          <w:iCs/>
          <w:sz w:val="24"/>
          <w:szCs w:val="24"/>
        </w:rPr>
        <w:t>% (</w:t>
      </w:r>
      <w:r w:rsidR="00826456" w:rsidRPr="001272D0">
        <w:rPr>
          <w:rFonts w:ascii="Arial" w:eastAsia="Arial" w:hAnsi="Arial" w:cs="Arial"/>
          <w:bCs/>
          <w:i/>
          <w:sz w:val="24"/>
          <w:szCs w:val="24"/>
        </w:rPr>
        <w:t>n</w:t>
      </w:r>
      <w:r w:rsidR="00826456" w:rsidRPr="001272D0">
        <w:rPr>
          <w:rFonts w:ascii="Arial" w:eastAsia="Arial" w:hAnsi="Arial" w:cs="Arial"/>
          <w:bCs/>
          <w:iCs/>
          <w:sz w:val="24"/>
          <w:szCs w:val="24"/>
        </w:rPr>
        <w:t>=22</w:t>
      </w:r>
      <w:r w:rsidR="00DC5F41" w:rsidRPr="001272D0">
        <w:rPr>
          <w:rFonts w:ascii="Arial" w:eastAsia="Arial" w:hAnsi="Arial" w:cs="Arial"/>
          <w:bCs/>
          <w:iCs/>
          <w:sz w:val="24"/>
          <w:szCs w:val="24"/>
        </w:rPr>
        <w:t>)</w:t>
      </w:r>
      <w:r w:rsidR="001D2E01" w:rsidRPr="001272D0">
        <w:rPr>
          <w:rFonts w:ascii="Arial" w:eastAsia="Arial" w:hAnsi="Arial" w:cs="Arial"/>
          <w:bCs/>
          <w:iCs/>
          <w:sz w:val="24"/>
          <w:szCs w:val="24"/>
        </w:rPr>
        <w:t xml:space="preserve"> </w:t>
      </w:r>
      <w:r w:rsidR="002C2D9A" w:rsidRPr="001272D0">
        <w:rPr>
          <w:rFonts w:ascii="Arial" w:eastAsia="Arial" w:hAnsi="Arial" w:cs="Arial"/>
          <w:bCs/>
          <w:iCs/>
          <w:sz w:val="24"/>
          <w:szCs w:val="24"/>
        </w:rPr>
        <w:t>offering two or more possible alternative entry routes (Table</w:t>
      </w:r>
      <w:r w:rsidR="00EB79D4" w:rsidRPr="001272D0">
        <w:rPr>
          <w:rFonts w:ascii="Arial" w:eastAsia="Arial" w:hAnsi="Arial" w:cs="Arial"/>
          <w:bCs/>
          <w:iCs/>
          <w:sz w:val="24"/>
          <w:szCs w:val="24"/>
        </w:rPr>
        <w:t xml:space="preserve"> </w:t>
      </w:r>
      <w:r w:rsidR="0063032A" w:rsidRPr="001272D0">
        <w:rPr>
          <w:rFonts w:ascii="Arial" w:eastAsia="Arial" w:hAnsi="Arial" w:cs="Arial"/>
          <w:bCs/>
          <w:iCs/>
          <w:sz w:val="24"/>
          <w:szCs w:val="24"/>
        </w:rPr>
        <w:t>4</w:t>
      </w:r>
      <w:r w:rsidR="002C2D9A" w:rsidRPr="001272D0">
        <w:rPr>
          <w:rFonts w:ascii="Arial" w:eastAsia="Arial" w:hAnsi="Arial" w:cs="Arial"/>
          <w:bCs/>
          <w:iCs/>
          <w:sz w:val="24"/>
          <w:szCs w:val="24"/>
        </w:rPr>
        <w:t xml:space="preserve">). </w:t>
      </w:r>
    </w:p>
    <w:p w14:paraId="2B18F3C2" w14:textId="77777777" w:rsidR="002C2D9A" w:rsidRPr="001272D0" w:rsidRDefault="002C2D9A" w:rsidP="00A74EBE">
      <w:pPr>
        <w:spacing w:line="240" w:lineRule="auto"/>
        <w:jc w:val="both"/>
        <w:rPr>
          <w:rFonts w:ascii="Arial" w:eastAsia="Arial" w:hAnsi="Arial" w:cs="Arial"/>
          <w:bCs/>
          <w:iCs/>
          <w:sz w:val="24"/>
          <w:szCs w:val="24"/>
        </w:rPr>
      </w:pPr>
    </w:p>
    <w:p w14:paraId="3CD8CFF5" w14:textId="2542988E" w:rsidR="002C2D9A" w:rsidRPr="001272D0" w:rsidRDefault="002C2D9A" w:rsidP="00A74EBE">
      <w:pPr>
        <w:spacing w:line="240" w:lineRule="auto"/>
        <w:jc w:val="both"/>
        <w:rPr>
          <w:rFonts w:ascii="Arial" w:hAnsi="Arial" w:cs="Arial"/>
          <w:b/>
          <w:bCs/>
          <w:sz w:val="24"/>
          <w:szCs w:val="24"/>
        </w:rPr>
      </w:pPr>
      <w:r w:rsidRPr="001272D0">
        <w:rPr>
          <w:rFonts w:ascii="Arial" w:hAnsi="Arial" w:cs="Arial"/>
          <w:sz w:val="24"/>
          <w:szCs w:val="24"/>
        </w:rPr>
        <w:t xml:space="preserve">Table </w:t>
      </w:r>
      <w:r w:rsidR="0063032A" w:rsidRPr="001272D0">
        <w:rPr>
          <w:rFonts w:ascii="Arial" w:hAnsi="Arial" w:cs="Arial"/>
          <w:sz w:val="24"/>
          <w:szCs w:val="24"/>
        </w:rPr>
        <w:t>4</w:t>
      </w:r>
      <w:r w:rsidR="00253499" w:rsidRPr="001272D0">
        <w:rPr>
          <w:rFonts w:ascii="Arial" w:hAnsi="Arial" w:cs="Arial"/>
          <w:sz w:val="24"/>
          <w:szCs w:val="24"/>
        </w:rPr>
        <w:t>.</w:t>
      </w:r>
      <w:r w:rsidR="0063032A" w:rsidRPr="001272D0">
        <w:rPr>
          <w:rFonts w:ascii="Arial" w:hAnsi="Arial" w:cs="Arial"/>
          <w:b/>
          <w:bCs/>
          <w:sz w:val="24"/>
          <w:szCs w:val="24"/>
        </w:rPr>
        <w:t xml:space="preserve"> </w:t>
      </w:r>
      <w:r w:rsidRPr="001272D0">
        <w:rPr>
          <w:rFonts w:ascii="Arial" w:hAnsi="Arial" w:cs="Arial"/>
          <w:sz w:val="24"/>
          <w:szCs w:val="24"/>
        </w:rPr>
        <w:t xml:space="preserve">Alternative OT </w:t>
      </w:r>
      <w:r w:rsidR="0063032A" w:rsidRPr="001272D0">
        <w:rPr>
          <w:rFonts w:ascii="Arial" w:hAnsi="Arial" w:cs="Arial"/>
          <w:sz w:val="24"/>
          <w:szCs w:val="24"/>
        </w:rPr>
        <w:t>e</w:t>
      </w:r>
      <w:r w:rsidRPr="001272D0">
        <w:rPr>
          <w:rFonts w:ascii="Arial" w:hAnsi="Arial" w:cs="Arial"/>
          <w:sz w:val="24"/>
          <w:szCs w:val="24"/>
        </w:rPr>
        <w:t xml:space="preserve">ntry </w:t>
      </w:r>
      <w:r w:rsidR="0063032A" w:rsidRPr="001272D0">
        <w:rPr>
          <w:rFonts w:ascii="Arial" w:hAnsi="Arial" w:cs="Arial"/>
          <w:sz w:val="24"/>
          <w:szCs w:val="24"/>
        </w:rPr>
        <w:t>r</w:t>
      </w:r>
      <w:r w:rsidRPr="001272D0">
        <w:rPr>
          <w:rFonts w:ascii="Arial" w:hAnsi="Arial" w:cs="Arial"/>
          <w:sz w:val="24"/>
          <w:szCs w:val="24"/>
        </w:rPr>
        <w:t xml:space="preserve">outes </w:t>
      </w:r>
      <w:r w:rsidR="00B02EA1" w:rsidRPr="001272D0">
        <w:rPr>
          <w:rFonts w:ascii="Arial" w:hAnsi="Arial" w:cs="Arial"/>
          <w:sz w:val="24"/>
          <w:szCs w:val="24"/>
        </w:rPr>
        <w:t>con</w:t>
      </w:r>
      <w:r w:rsidR="00E17279" w:rsidRPr="001272D0">
        <w:rPr>
          <w:rFonts w:ascii="Arial" w:hAnsi="Arial" w:cs="Arial"/>
          <w:sz w:val="24"/>
          <w:szCs w:val="24"/>
        </w:rPr>
        <w:t>sidered</w:t>
      </w:r>
      <w:r w:rsidRPr="001272D0">
        <w:rPr>
          <w:rFonts w:ascii="Arial" w:hAnsi="Arial" w:cs="Arial"/>
          <w:sz w:val="24"/>
          <w:szCs w:val="24"/>
        </w:rPr>
        <w:t xml:space="preserve"> by UK </w:t>
      </w:r>
      <w:r w:rsidR="005A3010" w:rsidRPr="001272D0">
        <w:rPr>
          <w:rFonts w:ascii="Arial" w:hAnsi="Arial" w:cs="Arial"/>
          <w:sz w:val="24"/>
          <w:szCs w:val="24"/>
        </w:rPr>
        <w:t>u</w:t>
      </w:r>
      <w:r w:rsidR="00324190" w:rsidRPr="001272D0">
        <w:rPr>
          <w:rFonts w:ascii="Arial" w:hAnsi="Arial" w:cs="Arial"/>
          <w:sz w:val="24"/>
          <w:szCs w:val="24"/>
        </w:rPr>
        <w:t>niversity</w:t>
      </w:r>
      <w:r w:rsidRPr="001272D0">
        <w:rPr>
          <w:rFonts w:ascii="Arial" w:hAnsi="Arial" w:cs="Arial"/>
          <w:sz w:val="24"/>
          <w:szCs w:val="24"/>
        </w:rPr>
        <w:t xml:space="preserve"> </w:t>
      </w:r>
      <w:r w:rsidR="0063032A" w:rsidRPr="001272D0">
        <w:rPr>
          <w:rFonts w:ascii="Arial" w:hAnsi="Arial" w:cs="Arial"/>
          <w:sz w:val="24"/>
          <w:szCs w:val="24"/>
        </w:rPr>
        <w:t>p</w:t>
      </w:r>
      <w:r w:rsidRPr="001272D0">
        <w:rPr>
          <w:rFonts w:ascii="Arial" w:hAnsi="Arial" w:cs="Arial"/>
          <w:sz w:val="24"/>
          <w:szCs w:val="24"/>
        </w:rPr>
        <w:t xml:space="preserve">re-registration </w:t>
      </w:r>
      <w:r w:rsidR="0063032A" w:rsidRPr="001272D0">
        <w:rPr>
          <w:rFonts w:ascii="Arial" w:hAnsi="Arial" w:cs="Arial"/>
          <w:sz w:val="24"/>
          <w:szCs w:val="24"/>
        </w:rPr>
        <w:t>p</w:t>
      </w:r>
      <w:r w:rsidRPr="001272D0">
        <w:rPr>
          <w:rFonts w:ascii="Arial" w:hAnsi="Arial" w:cs="Arial"/>
          <w:sz w:val="24"/>
          <w:szCs w:val="24"/>
        </w:rPr>
        <w:t>rogrammes (</w:t>
      </w:r>
      <w:r w:rsidRPr="001272D0">
        <w:rPr>
          <w:rFonts w:ascii="Arial" w:hAnsi="Arial" w:cs="Arial"/>
          <w:i/>
          <w:iCs/>
          <w:sz w:val="24"/>
          <w:szCs w:val="24"/>
        </w:rPr>
        <w:t>n</w:t>
      </w:r>
      <w:r w:rsidRPr="001272D0">
        <w:rPr>
          <w:rFonts w:ascii="Arial" w:hAnsi="Arial" w:cs="Arial"/>
          <w:sz w:val="24"/>
          <w:szCs w:val="24"/>
        </w:rPr>
        <w:t>=73)</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005"/>
        <w:gridCol w:w="3005"/>
        <w:gridCol w:w="3006"/>
      </w:tblGrid>
      <w:tr w:rsidR="002C2D9A" w:rsidRPr="001272D0" w14:paraId="51C275B6" w14:textId="77777777" w:rsidTr="00B4201A">
        <w:tc>
          <w:tcPr>
            <w:tcW w:w="3005" w:type="dxa"/>
            <w:tcBorders>
              <w:top w:val="single" w:sz="4" w:space="0" w:color="auto"/>
              <w:left w:val="nil"/>
              <w:bottom w:val="single" w:sz="4" w:space="0" w:color="auto"/>
            </w:tcBorders>
          </w:tcPr>
          <w:p w14:paraId="64AEC663" w14:textId="77777777" w:rsidR="002C2D9A" w:rsidRPr="001272D0" w:rsidRDefault="002C2D9A" w:rsidP="00237C90">
            <w:pPr>
              <w:rPr>
                <w:rFonts w:ascii="Arial" w:eastAsia="Arial" w:hAnsi="Arial" w:cs="Arial"/>
                <w:b/>
                <w:iCs/>
                <w:sz w:val="24"/>
                <w:szCs w:val="24"/>
              </w:rPr>
            </w:pPr>
            <w:r w:rsidRPr="001272D0">
              <w:rPr>
                <w:rFonts w:ascii="Arial" w:eastAsia="Arial" w:hAnsi="Arial" w:cs="Arial"/>
                <w:b/>
                <w:iCs/>
                <w:sz w:val="24"/>
                <w:szCs w:val="24"/>
              </w:rPr>
              <w:t>Alternative Route</w:t>
            </w:r>
          </w:p>
        </w:tc>
        <w:tc>
          <w:tcPr>
            <w:tcW w:w="3005" w:type="dxa"/>
            <w:tcBorders>
              <w:top w:val="single" w:sz="4" w:space="0" w:color="auto"/>
              <w:bottom w:val="single" w:sz="4" w:space="0" w:color="auto"/>
            </w:tcBorders>
          </w:tcPr>
          <w:p w14:paraId="1FFDC2BF" w14:textId="77777777" w:rsidR="002C2D9A" w:rsidRPr="001272D0" w:rsidRDefault="002C2D9A" w:rsidP="00237C90">
            <w:pPr>
              <w:jc w:val="center"/>
              <w:rPr>
                <w:rFonts w:ascii="Arial" w:eastAsia="Arial" w:hAnsi="Arial" w:cs="Arial"/>
                <w:b/>
                <w:iCs/>
                <w:sz w:val="24"/>
                <w:szCs w:val="24"/>
              </w:rPr>
            </w:pPr>
            <w:r w:rsidRPr="001272D0">
              <w:rPr>
                <w:rFonts w:ascii="Arial" w:eastAsia="Arial" w:hAnsi="Arial" w:cs="Arial"/>
                <w:b/>
                <w:iCs/>
                <w:sz w:val="24"/>
                <w:szCs w:val="24"/>
              </w:rPr>
              <w:t>Total number of programmes offering (%)</w:t>
            </w:r>
          </w:p>
        </w:tc>
        <w:tc>
          <w:tcPr>
            <w:tcW w:w="3006" w:type="dxa"/>
            <w:tcBorders>
              <w:top w:val="single" w:sz="4" w:space="0" w:color="auto"/>
              <w:bottom w:val="single" w:sz="4" w:space="0" w:color="auto"/>
              <w:right w:val="nil"/>
            </w:tcBorders>
          </w:tcPr>
          <w:p w14:paraId="6524D9C0" w14:textId="0AFE02F9" w:rsidR="002C2D9A" w:rsidRPr="001272D0" w:rsidRDefault="002C2D9A" w:rsidP="00237C90">
            <w:pPr>
              <w:jc w:val="center"/>
              <w:rPr>
                <w:rFonts w:ascii="Arial" w:eastAsia="Arial" w:hAnsi="Arial" w:cs="Arial"/>
                <w:b/>
                <w:iCs/>
                <w:sz w:val="24"/>
                <w:szCs w:val="24"/>
              </w:rPr>
            </w:pPr>
            <w:r w:rsidRPr="001272D0">
              <w:rPr>
                <w:rFonts w:ascii="Arial" w:eastAsia="Arial" w:hAnsi="Arial" w:cs="Arial"/>
                <w:b/>
                <w:iCs/>
                <w:sz w:val="24"/>
                <w:szCs w:val="24"/>
              </w:rPr>
              <w:t xml:space="preserve">Number of Programmes offering as a single </w:t>
            </w:r>
            <w:r w:rsidR="006B1336" w:rsidRPr="001272D0">
              <w:rPr>
                <w:rFonts w:ascii="Arial" w:eastAsia="Arial" w:hAnsi="Arial" w:cs="Arial"/>
                <w:b/>
                <w:iCs/>
                <w:sz w:val="24"/>
                <w:szCs w:val="24"/>
              </w:rPr>
              <w:t>approach</w:t>
            </w:r>
            <w:r w:rsidRPr="001272D0">
              <w:rPr>
                <w:rFonts w:ascii="Arial" w:eastAsia="Arial" w:hAnsi="Arial" w:cs="Arial"/>
                <w:b/>
                <w:iCs/>
                <w:sz w:val="24"/>
                <w:szCs w:val="24"/>
              </w:rPr>
              <w:t xml:space="preserve"> (%)</w:t>
            </w:r>
          </w:p>
        </w:tc>
      </w:tr>
      <w:tr w:rsidR="002C2D9A" w:rsidRPr="001272D0" w14:paraId="317BC733" w14:textId="77777777" w:rsidTr="00B4201A">
        <w:tc>
          <w:tcPr>
            <w:tcW w:w="3005" w:type="dxa"/>
            <w:tcBorders>
              <w:top w:val="single" w:sz="4" w:space="0" w:color="auto"/>
              <w:left w:val="nil"/>
            </w:tcBorders>
          </w:tcPr>
          <w:p w14:paraId="2C2AB497" w14:textId="77777777" w:rsidR="002C2D9A" w:rsidRPr="001272D0" w:rsidRDefault="002C2D9A" w:rsidP="00237C90">
            <w:pPr>
              <w:rPr>
                <w:rFonts w:ascii="Arial" w:eastAsia="Arial" w:hAnsi="Arial" w:cs="Arial"/>
                <w:bCs/>
                <w:iCs/>
                <w:sz w:val="24"/>
                <w:szCs w:val="24"/>
              </w:rPr>
            </w:pPr>
            <w:r w:rsidRPr="001272D0">
              <w:rPr>
                <w:rFonts w:ascii="Arial" w:eastAsia="Arial" w:hAnsi="Arial" w:cs="Arial"/>
                <w:bCs/>
                <w:iCs/>
                <w:sz w:val="24"/>
                <w:szCs w:val="24"/>
              </w:rPr>
              <w:t>Not Stipulated</w:t>
            </w:r>
          </w:p>
        </w:tc>
        <w:tc>
          <w:tcPr>
            <w:tcW w:w="3005" w:type="dxa"/>
            <w:tcBorders>
              <w:top w:val="single" w:sz="4" w:space="0" w:color="auto"/>
            </w:tcBorders>
          </w:tcPr>
          <w:p w14:paraId="7D5EC6CA" w14:textId="6C164D38" w:rsidR="002C2D9A" w:rsidRPr="001272D0" w:rsidRDefault="002C2D9A" w:rsidP="00237C90">
            <w:pPr>
              <w:jc w:val="center"/>
              <w:rPr>
                <w:rFonts w:ascii="Arial" w:eastAsia="Arial" w:hAnsi="Arial" w:cs="Arial"/>
                <w:bCs/>
                <w:iCs/>
                <w:sz w:val="24"/>
                <w:szCs w:val="24"/>
              </w:rPr>
            </w:pPr>
            <w:r w:rsidRPr="001272D0">
              <w:rPr>
                <w:rFonts w:ascii="Arial" w:eastAsia="Arial" w:hAnsi="Arial" w:cs="Arial"/>
                <w:bCs/>
                <w:iCs/>
                <w:sz w:val="24"/>
                <w:szCs w:val="24"/>
              </w:rPr>
              <w:t>2</w:t>
            </w:r>
            <w:r w:rsidR="00C75D8F" w:rsidRPr="001272D0">
              <w:rPr>
                <w:rFonts w:ascii="Arial" w:eastAsia="Arial" w:hAnsi="Arial" w:cs="Arial"/>
                <w:bCs/>
                <w:iCs/>
                <w:sz w:val="24"/>
                <w:szCs w:val="24"/>
              </w:rPr>
              <w:t>4</w:t>
            </w:r>
            <w:r w:rsidR="0081288D" w:rsidRPr="001272D0">
              <w:rPr>
                <w:rFonts w:ascii="Arial" w:eastAsia="Arial" w:hAnsi="Arial" w:cs="Arial"/>
                <w:bCs/>
                <w:iCs/>
                <w:sz w:val="24"/>
                <w:szCs w:val="24"/>
              </w:rPr>
              <w:t xml:space="preserve"> (</w:t>
            </w:r>
            <w:r w:rsidR="00C75D8F" w:rsidRPr="001272D0">
              <w:rPr>
                <w:rFonts w:ascii="Arial" w:eastAsia="Arial" w:hAnsi="Arial" w:cs="Arial"/>
                <w:bCs/>
                <w:iCs/>
                <w:sz w:val="24"/>
                <w:szCs w:val="24"/>
              </w:rPr>
              <w:t>3</w:t>
            </w:r>
            <w:r w:rsidR="005F7BAB" w:rsidRPr="001272D0">
              <w:rPr>
                <w:rFonts w:ascii="Arial" w:eastAsia="Arial" w:hAnsi="Arial" w:cs="Arial"/>
                <w:bCs/>
                <w:iCs/>
                <w:sz w:val="24"/>
                <w:szCs w:val="24"/>
              </w:rPr>
              <w:t>3</w:t>
            </w:r>
            <w:r w:rsidR="0081288D" w:rsidRPr="001272D0">
              <w:rPr>
                <w:rFonts w:ascii="Arial" w:eastAsia="Arial" w:hAnsi="Arial" w:cs="Arial"/>
                <w:bCs/>
                <w:iCs/>
                <w:sz w:val="24"/>
                <w:szCs w:val="24"/>
              </w:rPr>
              <w:t>%)</w:t>
            </w:r>
          </w:p>
          <w:p w14:paraId="37FD2D97" w14:textId="41DC2A8E" w:rsidR="002C2D9A" w:rsidRPr="001272D0" w:rsidRDefault="002C2D9A" w:rsidP="00237C90">
            <w:pPr>
              <w:jc w:val="center"/>
              <w:rPr>
                <w:rFonts w:ascii="Arial" w:eastAsia="Arial" w:hAnsi="Arial" w:cs="Arial"/>
                <w:bCs/>
                <w:iCs/>
                <w:sz w:val="24"/>
                <w:szCs w:val="24"/>
              </w:rPr>
            </w:pPr>
          </w:p>
        </w:tc>
        <w:tc>
          <w:tcPr>
            <w:tcW w:w="3006" w:type="dxa"/>
            <w:tcBorders>
              <w:top w:val="single" w:sz="4" w:space="0" w:color="auto"/>
              <w:right w:val="nil"/>
            </w:tcBorders>
          </w:tcPr>
          <w:p w14:paraId="06CADD97" w14:textId="56878B5D" w:rsidR="002C2D9A" w:rsidRPr="001272D0" w:rsidRDefault="002C2D9A" w:rsidP="00237C90">
            <w:pPr>
              <w:jc w:val="center"/>
              <w:rPr>
                <w:rFonts w:ascii="Arial" w:eastAsia="Arial" w:hAnsi="Arial" w:cs="Arial"/>
                <w:bCs/>
                <w:iCs/>
                <w:sz w:val="24"/>
                <w:szCs w:val="24"/>
              </w:rPr>
            </w:pPr>
            <w:r w:rsidRPr="001272D0">
              <w:rPr>
                <w:rFonts w:ascii="Arial" w:eastAsia="Arial" w:hAnsi="Arial" w:cs="Arial"/>
                <w:bCs/>
                <w:iCs/>
                <w:sz w:val="24"/>
                <w:szCs w:val="24"/>
              </w:rPr>
              <w:t>2</w:t>
            </w:r>
            <w:r w:rsidR="00C75D8F" w:rsidRPr="001272D0">
              <w:rPr>
                <w:rFonts w:ascii="Arial" w:eastAsia="Arial" w:hAnsi="Arial" w:cs="Arial"/>
                <w:bCs/>
                <w:iCs/>
                <w:sz w:val="24"/>
                <w:szCs w:val="24"/>
              </w:rPr>
              <w:t>4</w:t>
            </w:r>
            <w:r w:rsidR="0081288D" w:rsidRPr="001272D0">
              <w:rPr>
                <w:rFonts w:ascii="Arial" w:eastAsia="Arial" w:hAnsi="Arial" w:cs="Arial"/>
                <w:bCs/>
                <w:iCs/>
                <w:sz w:val="24"/>
                <w:szCs w:val="24"/>
              </w:rPr>
              <w:t xml:space="preserve"> (3</w:t>
            </w:r>
            <w:r w:rsidR="005F7BAB" w:rsidRPr="001272D0">
              <w:rPr>
                <w:rFonts w:ascii="Arial" w:eastAsia="Arial" w:hAnsi="Arial" w:cs="Arial"/>
                <w:bCs/>
                <w:iCs/>
                <w:sz w:val="24"/>
                <w:szCs w:val="24"/>
              </w:rPr>
              <w:t>3</w:t>
            </w:r>
            <w:r w:rsidR="0081288D" w:rsidRPr="001272D0">
              <w:rPr>
                <w:rFonts w:ascii="Arial" w:eastAsia="Arial" w:hAnsi="Arial" w:cs="Arial"/>
                <w:bCs/>
                <w:iCs/>
                <w:sz w:val="24"/>
                <w:szCs w:val="24"/>
              </w:rPr>
              <w:t>%)</w:t>
            </w:r>
          </w:p>
          <w:p w14:paraId="2FA39444" w14:textId="27D57A02" w:rsidR="002C2D9A" w:rsidRPr="001272D0" w:rsidRDefault="002C2D9A" w:rsidP="00237C90">
            <w:pPr>
              <w:jc w:val="center"/>
              <w:rPr>
                <w:rFonts w:ascii="Arial" w:eastAsia="Arial" w:hAnsi="Arial" w:cs="Arial"/>
                <w:bCs/>
                <w:iCs/>
                <w:sz w:val="24"/>
                <w:szCs w:val="24"/>
              </w:rPr>
            </w:pPr>
          </w:p>
        </w:tc>
      </w:tr>
      <w:tr w:rsidR="002C2D9A" w:rsidRPr="001272D0" w14:paraId="104CE4F7" w14:textId="77777777" w:rsidTr="00B4201A">
        <w:tc>
          <w:tcPr>
            <w:tcW w:w="3005" w:type="dxa"/>
            <w:tcBorders>
              <w:left w:val="nil"/>
            </w:tcBorders>
          </w:tcPr>
          <w:p w14:paraId="2D44C3FA" w14:textId="3E0B098B" w:rsidR="002C2D9A" w:rsidRPr="001272D0" w:rsidRDefault="002C2D9A" w:rsidP="00237C90">
            <w:pPr>
              <w:rPr>
                <w:rFonts w:ascii="Arial" w:eastAsia="Arial" w:hAnsi="Arial" w:cs="Arial"/>
                <w:bCs/>
                <w:iCs/>
                <w:sz w:val="24"/>
                <w:szCs w:val="24"/>
              </w:rPr>
            </w:pPr>
            <w:r w:rsidRPr="001272D0">
              <w:rPr>
                <w:rFonts w:ascii="Arial" w:eastAsia="Arial" w:hAnsi="Arial" w:cs="Arial"/>
                <w:bCs/>
                <w:iCs/>
                <w:sz w:val="24"/>
                <w:szCs w:val="24"/>
              </w:rPr>
              <w:t>Recognition of Prior</w:t>
            </w:r>
            <w:r w:rsidR="00B73B68" w:rsidRPr="001272D0">
              <w:rPr>
                <w:rFonts w:ascii="Arial" w:eastAsia="Arial" w:hAnsi="Arial" w:cs="Arial"/>
                <w:bCs/>
                <w:iCs/>
                <w:sz w:val="24"/>
                <w:szCs w:val="24"/>
              </w:rPr>
              <w:t xml:space="preserve"> </w:t>
            </w:r>
            <w:r w:rsidRPr="001272D0">
              <w:rPr>
                <w:rFonts w:ascii="Arial" w:eastAsia="Arial" w:hAnsi="Arial" w:cs="Arial"/>
                <w:bCs/>
                <w:iCs/>
                <w:sz w:val="24"/>
                <w:szCs w:val="24"/>
              </w:rPr>
              <w:t>Learning (RPL)</w:t>
            </w:r>
          </w:p>
          <w:p w14:paraId="7495C8D7" w14:textId="3FFB7859" w:rsidR="00B73B68" w:rsidRPr="001272D0" w:rsidRDefault="00B73B68" w:rsidP="00237C90">
            <w:pPr>
              <w:rPr>
                <w:rFonts w:ascii="Arial" w:eastAsia="Arial" w:hAnsi="Arial" w:cs="Arial"/>
                <w:bCs/>
                <w:iCs/>
                <w:sz w:val="24"/>
                <w:szCs w:val="24"/>
              </w:rPr>
            </w:pPr>
          </w:p>
        </w:tc>
        <w:tc>
          <w:tcPr>
            <w:tcW w:w="3005" w:type="dxa"/>
          </w:tcPr>
          <w:p w14:paraId="3146CDBA" w14:textId="2422DAE9" w:rsidR="002C2D9A" w:rsidRPr="001272D0" w:rsidRDefault="002C2D9A" w:rsidP="00237C90">
            <w:pPr>
              <w:jc w:val="center"/>
              <w:rPr>
                <w:rFonts w:ascii="Arial" w:eastAsia="Arial" w:hAnsi="Arial" w:cs="Arial"/>
                <w:bCs/>
                <w:iCs/>
                <w:sz w:val="24"/>
                <w:szCs w:val="24"/>
              </w:rPr>
            </w:pPr>
            <w:r w:rsidRPr="001272D0">
              <w:rPr>
                <w:rFonts w:ascii="Arial" w:eastAsia="Arial" w:hAnsi="Arial" w:cs="Arial"/>
                <w:bCs/>
                <w:iCs/>
                <w:sz w:val="24"/>
                <w:szCs w:val="24"/>
              </w:rPr>
              <w:t>20</w:t>
            </w:r>
            <w:r w:rsidR="0081288D" w:rsidRPr="001272D0">
              <w:rPr>
                <w:rFonts w:ascii="Arial" w:eastAsia="Arial" w:hAnsi="Arial" w:cs="Arial"/>
                <w:bCs/>
                <w:iCs/>
                <w:sz w:val="24"/>
                <w:szCs w:val="24"/>
              </w:rPr>
              <w:t xml:space="preserve"> (27%)</w:t>
            </w:r>
          </w:p>
          <w:p w14:paraId="044F2886" w14:textId="5228BC20" w:rsidR="002C2D9A" w:rsidRPr="001272D0" w:rsidRDefault="002C2D9A" w:rsidP="00237C90">
            <w:pPr>
              <w:jc w:val="center"/>
              <w:rPr>
                <w:rFonts w:ascii="Arial" w:eastAsia="Arial" w:hAnsi="Arial" w:cs="Arial"/>
                <w:bCs/>
                <w:iCs/>
                <w:sz w:val="24"/>
                <w:szCs w:val="24"/>
              </w:rPr>
            </w:pPr>
          </w:p>
        </w:tc>
        <w:tc>
          <w:tcPr>
            <w:tcW w:w="3006" w:type="dxa"/>
            <w:tcBorders>
              <w:right w:val="nil"/>
            </w:tcBorders>
          </w:tcPr>
          <w:p w14:paraId="6BD248E3" w14:textId="05D5080C" w:rsidR="002C2D9A" w:rsidRPr="001272D0" w:rsidRDefault="002C2D9A" w:rsidP="00237C90">
            <w:pPr>
              <w:jc w:val="center"/>
              <w:rPr>
                <w:rFonts w:ascii="Arial" w:eastAsia="Arial" w:hAnsi="Arial" w:cs="Arial"/>
                <w:bCs/>
                <w:iCs/>
                <w:sz w:val="24"/>
                <w:szCs w:val="24"/>
              </w:rPr>
            </w:pPr>
            <w:r w:rsidRPr="001272D0">
              <w:rPr>
                <w:rFonts w:ascii="Arial" w:eastAsia="Arial" w:hAnsi="Arial" w:cs="Arial"/>
                <w:bCs/>
                <w:iCs/>
                <w:sz w:val="24"/>
                <w:szCs w:val="24"/>
              </w:rPr>
              <w:t>8</w:t>
            </w:r>
            <w:r w:rsidR="00D22C85" w:rsidRPr="001272D0">
              <w:rPr>
                <w:rFonts w:ascii="Arial" w:eastAsia="Arial" w:hAnsi="Arial" w:cs="Arial"/>
                <w:bCs/>
                <w:iCs/>
                <w:sz w:val="24"/>
                <w:szCs w:val="24"/>
              </w:rPr>
              <w:t xml:space="preserve"> </w:t>
            </w:r>
            <w:r w:rsidR="0081288D" w:rsidRPr="001272D0">
              <w:rPr>
                <w:rFonts w:ascii="Arial" w:eastAsia="Arial" w:hAnsi="Arial" w:cs="Arial"/>
                <w:bCs/>
                <w:iCs/>
                <w:sz w:val="24"/>
                <w:szCs w:val="24"/>
              </w:rPr>
              <w:t>(11%)</w:t>
            </w:r>
          </w:p>
          <w:p w14:paraId="7D430CBF" w14:textId="4F7A1F0A" w:rsidR="002C2D9A" w:rsidRPr="001272D0" w:rsidRDefault="002C2D9A" w:rsidP="00237C90">
            <w:pPr>
              <w:jc w:val="center"/>
              <w:rPr>
                <w:rFonts w:ascii="Arial" w:eastAsia="Arial" w:hAnsi="Arial" w:cs="Arial"/>
                <w:bCs/>
                <w:iCs/>
                <w:sz w:val="24"/>
                <w:szCs w:val="24"/>
              </w:rPr>
            </w:pPr>
          </w:p>
        </w:tc>
      </w:tr>
      <w:tr w:rsidR="002C2D9A" w:rsidRPr="001272D0" w14:paraId="6F20DE40" w14:textId="77777777" w:rsidTr="00B4201A">
        <w:tc>
          <w:tcPr>
            <w:tcW w:w="3005" w:type="dxa"/>
            <w:tcBorders>
              <w:left w:val="nil"/>
            </w:tcBorders>
          </w:tcPr>
          <w:p w14:paraId="70F888A8" w14:textId="565F5312" w:rsidR="002C2D9A" w:rsidRPr="001272D0" w:rsidRDefault="002C2D9A" w:rsidP="00237C90">
            <w:pPr>
              <w:rPr>
                <w:rFonts w:ascii="Arial" w:eastAsia="Arial" w:hAnsi="Arial" w:cs="Arial"/>
                <w:bCs/>
                <w:iCs/>
                <w:sz w:val="24"/>
                <w:szCs w:val="24"/>
              </w:rPr>
            </w:pPr>
            <w:r w:rsidRPr="001272D0">
              <w:rPr>
                <w:rFonts w:ascii="Arial" w:eastAsia="Arial" w:hAnsi="Arial" w:cs="Arial"/>
                <w:bCs/>
                <w:iCs/>
                <w:sz w:val="24"/>
                <w:szCs w:val="24"/>
              </w:rPr>
              <w:t>Work Experience</w:t>
            </w:r>
          </w:p>
        </w:tc>
        <w:tc>
          <w:tcPr>
            <w:tcW w:w="3005" w:type="dxa"/>
          </w:tcPr>
          <w:p w14:paraId="099F8654" w14:textId="52486B92" w:rsidR="002C2D9A" w:rsidRPr="001272D0" w:rsidRDefault="002C2D9A" w:rsidP="00237C90">
            <w:pPr>
              <w:jc w:val="center"/>
              <w:rPr>
                <w:rFonts w:ascii="Arial" w:eastAsia="Arial" w:hAnsi="Arial" w:cs="Arial"/>
                <w:bCs/>
                <w:iCs/>
                <w:sz w:val="24"/>
                <w:szCs w:val="24"/>
              </w:rPr>
            </w:pPr>
            <w:r w:rsidRPr="001272D0">
              <w:rPr>
                <w:rFonts w:ascii="Arial" w:eastAsia="Arial" w:hAnsi="Arial" w:cs="Arial"/>
                <w:bCs/>
                <w:iCs/>
                <w:sz w:val="24"/>
                <w:szCs w:val="24"/>
              </w:rPr>
              <w:t>17</w:t>
            </w:r>
            <w:r w:rsidR="0081288D" w:rsidRPr="001272D0">
              <w:rPr>
                <w:rFonts w:ascii="Arial" w:eastAsia="Arial" w:hAnsi="Arial" w:cs="Arial"/>
                <w:bCs/>
                <w:iCs/>
                <w:sz w:val="24"/>
                <w:szCs w:val="24"/>
              </w:rPr>
              <w:t xml:space="preserve"> (23%)</w:t>
            </w:r>
          </w:p>
          <w:p w14:paraId="47F0EA34" w14:textId="562B9948" w:rsidR="002C2D9A" w:rsidRPr="001272D0" w:rsidRDefault="002C2D9A" w:rsidP="00237C90">
            <w:pPr>
              <w:jc w:val="center"/>
              <w:rPr>
                <w:rFonts w:ascii="Arial" w:eastAsia="Arial" w:hAnsi="Arial" w:cs="Arial"/>
                <w:bCs/>
                <w:iCs/>
                <w:sz w:val="24"/>
                <w:szCs w:val="24"/>
              </w:rPr>
            </w:pPr>
          </w:p>
        </w:tc>
        <w:tc>
          <w:tcPr>
            <w:tcW w:w="3006" w:type="dxa"/>
            <w:tcBorders>
              <w:right w:val="nil"/>
            </w:tcBorders>
          </w:tcPr>
          <w:p w14:paraId="0055B4BF" w14:textId="42835BC3" w:rsidR="002C2D9A" w:rsidRPr="001272D0" w:rsidRDefault="002C2D9A" w:rsidP="00237C90">
            <w:pPr>
              <w:jc w:val="center"/>
              <w:rPr>
                <w:rFonts w:ascii="Arial" w:eastAsia="Arial" w:hAnsi="Arial" w:cs="Arial"/>
                <w:bCs/>
                <w:iCs/>
                <w:sz w:val="24"/>
                <w:szCs w:val="24"/>
              </w:rPr>
            </w:pPr>
            <w:r w:rsidRPr="001272D0">
              <w:rPr>
                <w:rFonts w:ascii="Arial" w:eastAsia="Arial" w:hAnsi="Arial" w:cs="Arial"/>
                <w:bCs/>
                <w:iCs/>
                <w:sz w:val="24"/>
                <w:szCs w:val="24"/>
              </w:rPr>
              <w:t>2</w:t>
            </w:r>
            <w:r w:rsidR="00D22C85" w:rsidRPr="001272D0">
              <w:rPr>
                <w:rFonts w:ascii="Arial" w:eastAsia="Arial" w:hAnsi="Arial" w:cs="Arial"/>
                <w:bCs/>
                <w:iCs/>
                <w:sz w:val="24"/>
                <w:szCs w:val="24"/>
              </w:rPr>
              <w:t xml:space="preserve"> </w:t>
            </w:r>
            <w:r w:rsidR="0081288D" w:rsidRPr="001272D0">
              <w:rPr>
                <w:rFonts w:ascii="Arial" w:eastAsia="Arial" w:hAnsi="Arial" w:cs="Arial"/>
                <w:bCs/>
                <w:iCs/>
                <w:sz w:val="24"/>
                <w:szCs w:val="24"/>
              </w:rPr>
              <w:t>(</w:t>
            </w:r>
            <w:r w:rsidR="005F7BAB" w:rsidRPr="001272D0">
              <w:rPr>
                <w:rFonts w:ascii="Arial" w:eastAsia="Arial" w:hAnsi="Arial" w:cs="Arial"/>
                <w:bCs/>
                <w:iCs/>
                <w:sz w:val="24"/>
                <w:szCs w:val="24"/>
              </w:rPr>
              <w:t>3</w:t>
            </w:r>
            <w:r w:rsidR="0081288D" w:rsidRPr="001272D0">
              <w:rPr>
                <w:rFonts w:ascii="Arial" w:eastAsia="Arial" w:hAnsi="Arial" w:cs="Arial"/>
                <w:bCs/>
                <w:iCs/>
                <w:sz w:val="24"/>
                <w:szCs w:val="24"/>
              </w:rPr>
              <w:t>%)</w:t>
            </w:r>
          </w:p>
          <w:p w14:paraId="7303AD6B" w14:textId="62C926AD" w:rsidR="002C2D9A" w:rsidRPr="001272D0" w:rsidRDefault="002C2D9A" w:rsidP="00237C90">
            <w:pPr>
              <w:jc w:val="center"/>
              <w:rPr>
                <w:rFonts w:ascii="Arial" w:eastAsia="Arial" w:hAnsi="Arial" w:cs="Arial"/>
                <w:bCs/>
                <w:iCs/>
                <w:sz w:val="24"/>
                <w:szCs w:val="24"/>
              </w:rPr>
            </w:pPr>
          </w:p>
        </w:tc>
      </w:tr>
      <w:tr w:rsidR="002C2D9A" w:rsidRPr="001272D0" w14:paraId="0057FD49" w14:textId="77777777" w:rsidTr="00B4201A">
        <w:tc>
          <w:tcPr>
            <w:tcW w:w="3005" w:type="dxa"/>
            <w:tcBorders>
              <w:left w:val="nil"/>
            </w:tcBorders>
          </w:tcPr>
          <w:p w14:paraId="5AFB398E" w14:textId="77777777" w:rsidR="002C2D9A" w:rsidRPr="001272D0" w:rsidRDefault="002C2D9A" w:rsidP="00237C90">
            <w:pPr>
              <w:rPr>
                <w:rFonts w:ascii="Arial" w:eastAsia="Arial" w:hAnsi="Arial" w:cs="Arial"/>
                <w:bCs/>
                <w:iCs/>
                <w:sz w:val="24"/>
                <w:szCs w:val="24"/>
              </w:rPr>
            </w:pPr>
            <w:r w:rsidRPr="001272D0">
              <w:rPr>
                <w:rFonts w:ascii="Arial" w:eastAsia="Arial" w:hAnsi="Arial" w:cs="Arial"/>
                <w:bCs/>
                <w:iCs/>
                <w:sz w:val="24"/>
                <w:szCs w:val="24"/>
              </w:rPr>
              <w:t>Case by Case</w:t>
            </w:r>
          </w:p>
        </w:tc>
        <w:tc>
          <w:tcPr>
            <w:tcW w:w="3005" w:type="dxa"/>
          </w:tcPr>
          <w:p w14:paraId="72DBE39C" w14:textId="4E19DCA7" w:rsidR="002C2D9A" w:rsidRPr="001272D0" w:rsidRDefault="002C2D9A" w:rsidP="00237C90">
            <w:pPr>
              <w:jc w:val="center"/>
              <w:rPr>
                <w:rFonts w:ascii="Arial" w:eastAsia="Arial" w:hAnsi="Arial" w:cs="Arial"/>
                <w:bCs/>
                <w:iCs/>
                <w:sz w:val="24"/>
                <w:szCs w:val="24"/>
              </w:rPr>
            </w:pPr>
            <w:r w:rsidRPr="001272D0">
              <w:rPr>
                <w:rFonts w:ascii="Arial" w:eastAsia="Arial" w:hAnsi="Arial" w:cs="Arial"/>
                <w:bCs/>
                <w:iCs/>
                <w:sz w:val="24"/>
                <w:szCs w:val="24"/>
              </w:rPr>
              <w:t>17</w:t>
            </w:r>
            <w:r w:rsidR="00D22C85" w:rsidRPr="001272D0">
              <w:rPr>
                <w:rFonts w:ascii="Arial" w:eastAsia="Arial" w:hAnsi="Arial" w:cs="Arial"/>
                <w:bCs/>
                <w:iCs/>
                <w:sz w:val="24"/>
                <w:szCs w:val="24"/>
              </w:rPr>
              <w:t xml:space="preserve"> (23%)</w:t>
            </w:r>
          </w:p>
          <w:p w14:paraId="78B7CE81" w14:textId="136DF9AB" w:rsidR="002C2D9A" w:rsidRPr="001272D0" w:rsidRDefault="002C2D9A" w:rsidP="00237C90">
            <w:pPr>
              <w:jc w:val="center"/>
              <w:rPr>
                <w:rFonts w:ascii="Arial" w:eastAsia="Arial" w:hAnsi="Arial" w:cs="Arial"/>
                <w:bCs/>
                <w:iCs/>
                <w:sz w:val="24"/>
                <w:szCs w:val="24"/>
              </w:rPr>
            </w:pPr>
          </w:p>
        </w:tc>
        <w:tc>
          <w:tcPr>
            <w:tcW w:w="3006" w:type="dxa"/>
            <w:tcBorders>
              <w:right w:val="nil"/>
            </w:tcBorders>
          </w:tcPr>
          <w:p w14:paraId="3E7A2E5D" w14:textId="784E1166" w:rsidR="002C2D9A" w:rsidRPr="001272D0" w:rsidRDefault="002C2D9A" w:rsidP="00237C90">
            <w:pPr>
              <w:jc w:val="center"/>
              <w:rPr>
                <w:rFonts w:ascii="Arial" w:eastAsia="Arial" w:hAnsi="Arial" w:cs="Arial"/>
                <w:bCs/>
                <w:iCs/>
                <w:sz w:val="24"/>
                <w:szCs w:val="24"/>
              </w:rPr>
            </w:pPr>
            <w:r w:rsidRPr="001272D0">
              <w:rPr>
                <w:rFonts w:ascii="Arial" w:eastAsia="Arial" w:hAnsi="Arial" w:cs="Arial"/>
                <w:bCs/>
                <w:iCs/>
                <w:sz w:val="24"/>
                <w:szCs w:val="24"/>
              </w:rPr>
              <w:t>1</w:t>
            </w:r>
            <w:r w:rsidR="00B11E03" w:rsidRPr="001272D0">
              <w:rPr>
                <w:rFonts w:ascii="Arial" w:eastAsia="Arial" w:hAnsi="Arial" w:cs="Arial"/>
                <w:bCs/>
                <w:iCs/>
                <w:sz w:val="24"/>
                <w:szCs w:val="24"/>
              </w:rPr>
              <w:t>1</w:t>
            </w:r>
            <w:r w:rsidR="00D22C85" w:rsidRPr="001272D0">
              <w:rPr>
                <w:rFonts w:ascii="Arial" w:eastAsia="Arial" w:hAnsi="Arial" w:cs="Arial"/>
                <w:bCs/>
                <w:iCs/>
                <w:sz w:val="24"/>
                <w:szCs w:val="24"/>
              </w:rPr>
              <w:t xml:space="preserve"> (1</w:t>
            </w:r>
            <w:r w:rsidR="00216994" w:rsidRPr="001272D0">
              <w:rPr>
                <w:rFonts w:ascii="Arial" w:eastAsia="Arial" w:hAnsi="Arial" w:cs="Arial"/>
                <w:bCs/>
                <w:iCs/>
                <w:sz w:val="24"/>
                <w:szCs w:val="24"/>
              </w:rPr>
              <w:t>5</w:t>
            </w:r>
            <w:r w:rsidR="00D22C85" w:rsidRPr="001272D0">
              <w:rPr>
                <w:rFonts w:ascii="Arial" w:eastAsia="Arial" w:hAnsi="Arial" w:cs="Arial"/>
                <w:bCs/>
                <w:iCs/>
                <w:sz w:val="24"/>
                <w:szCs w:val="24"/>
              </w:rPr>
              <w:t>%)</w:t>
            </w:r>
          </w:p>
          <w:p w14:paraId="7051773B" w14:textId="5FF98720" w:rsidR="002C2D9A" w:rsidRPr="001272D0" w:rsidRDefault="002C2D9A" w:rsidP="00237C90">
            <w:pPr>
              <w:jc w:val="center"/>
              <w:rPr>
                <w:rFonts w:ascii="Arial" w:eastAsia="Arial" w:hAnsi="Arial" w:cs="Arial"/>
                <w:bCs/>
                <w:iCs/>
                <w:sz w:val="24"/>
                <w:szCs w:val="24"/>
              </w:rPr>
            </w:pPr>
          </w:p>
        </w:tc>
      </w:tr>
      <w:tr w:rsidR="002C2D9A" w:rsidRPr="001272D0" w14:paraId="487574C7" w14:textId="77777777" w:rsidTr="00B4201A">
        <w:tc>
          <w:tcPr>
            <w:tcW w:w="3005" w:type="dxa"/>
            <w:tcBorders>
              <w:left w:val="nil"/>
            </w:tcBorders>
          </w:tcPr>
          <w:p w14:paraId="4A9C8DE5" w14:textId="77777777" w:rsidR="002C2D9A" w:rsidRPr="001272D0" w:rsidRDefault="002C2D9A" w:rsidP="00237C90">
            <w:pPr>
              <w:rPr>
                <w:rFonts w:ascii="Arial" w:eastAsia="Arial" w:hAnsi="Arial" w:cs="Arial"/>
                <w:bCs/>
                <w:iCs/>
                <w:sz w:val="24"/>
                <w:szCs w:val="24"/>
              </w:rPr>
            </w:pPr>
            <w:r w:rsidRPr="001272D0">
              <w:rPr>
                <w:rFonts w:ascii="Arial" w:eastAsia="Arial" w:hAnsi="Arial" w:cs="Arial"/>
                <w:bCs/>
                <w:iCs/>
                <w:sz w:val="24"/>
                <w:szCs w:val="24"/>
              </w:rPr>
              <w:t>Mature Student</w:t>
            </w:r>
          </w:p>
        </w:tc>
        <w:tc>
          <w:tcPr>
            <w:tcW w:w="3005" w:type="dxa"/>
          </w:tcPr>
          <w:p w14:paraId="72FC62C1" w14:textId="3E5ED175" w:rsidR="002C2D9A" w:rsidRPr="001272D0" w:rsidRDefault="002C2D9A" w:rsidP="00237C90">
            <w:pPr>
              <w:jc w:val="center"/>
              <w:rPr>
                <w:rFonts w:ascii="Arial" w:eastAsia="Arial" w:hAnsi="Arial" w:cs="Arial"/>
                <w:bCs/>
                <w:iCs/>
                <w:sz w:val="24"/>
                <w:szCs w:val="24"/>
              </w:rPr>
            </w:pPr>
            <w:r w:rsidRPr="001272D0">
              <w:rPr>
                <w:rFonts w:ascii="Arial" w:eastAsia="Arial" w:hAnsi="Arial" w:cs="Arial"/>
                <w:bCs/>
                <w:iCs/>
                <w:sz w:val="24"/>
                <w:szCs w:val="24"/>
              </w:rPr>
              <w:t>10</w:t>
            </w:r>
            <w:r w:rsidR="00D22C85" w:rsidRPr="001272D0">
              <w:rPr>
                <w:rFonts w:ascii="Arial" w:eastAsia="Arial" w:hAnsi="Arial" w:cs="Arial"/>
                <w:bCs/>
                <w:iCs/>
                <w:sz w:val="24"/>
                <w:szCs w:val="24"/>
              </w:rPr>
              <w:t xml:space="preserve"> (1</w:t>
            </w:r>
            <w:r w:rsidR="005F7BAB" w:rsidRPr="001272D0">
              <w:rPr>
                <w:rFonts w:ascii="Arial" w:eastAsia="Arial" w:hAnsi="Arial" w:cs="Arial"/>
                <w:bCs/>
                <w:iCs/>
                <w:sz w:val="24"/>
                <w:szCs w:val="24"/>
              </w:rPr>
              <w:t>4</w:t>
            </w:r>
            <w:r w:rsidR="00D22C85" w:rsidRPr="001272D0">
              <w:rPr>
                <w:rFonts w:ascii="Arial" w:eastAsia="Arial" w:hAnsi="Arial" w:cs="Arial"/>
                <w:bCs/>
                <w:iCs/>
                <w:sz w:val="24"/>
                <w:szCs w:val="24"/>
              </w:rPr>
              <w:t>%)</w:t>
            </w:r>
          </w:p>
          <w:p w14:paraId="57658929" w14:textId="2A450620" w:rsidR="002C2D9A" w:rsidRPr="001272D0" w:rsidRDefault="002C2D9A" w:rsidP="00237C90">
            <w:pPr>
              <w:jc w:val="center"/>
              <w:rPr>
                <w:rFonts w:ascii="Arial" w:eastAsia="Arial" w:hAnsi="Arial" w:cs="Arial"/>
                <w:bCs/>
                <w:iCs/>
                <w:sz w:val="24"/>
                <w:szCs w:val="24"/>
              </w:rPr>
            </w:pPr>
          </w:p>
        </w:tc>
        <w:tc>
          <w:tcPr>
            <w:tcW w:w="3006" w:type="dxa"/>
            <w:tcBorders>
              <w:right w:val="nil"/>
            </w:tcBorders>
          </w:tcPr>
          <w:p w14:paraId="129A6731" w14:textId="0212F106" w:rsidR="002C2D9A" w:rsidRPr="001272D0" w:rsidRDefault="002C2D9A" w:rsidP="00D22C85">
            <w:pPr>
              <w:jc w:val="center"/>
              <w:rPr>
                <w:rFonts w:ascii="Arial" w:eastAsia="Arial" w:hAnsi="Arial" w:cs="Arial"/>
                <w:bCs/>
                <w:iCs/>
                <w:sz w:val="24"/>
                <w:szCs w:val="24"/>
              </w:rPr>
            </w:pPr>
            <w:r w:rsidRPr="001272D0">
              <w:rPr>
                <w:rFonts w:ascii="Arial" w:eastAsia="Arial" w:hAnsi="Arial" w:cs="Arial"/>
                <w:bCs/>
                <w:iCs/>
                <w:sz w:val="24"/>
                <w:szCs w:val="24"/>
              </w:rPr>
              <w:t>2</w:t>
            </w:r>
            <w:r w:rsidR="00D22C85" w:rsidRPr="001272D0">
              <w:rPr>
                <w:rFonts w:ascii="Arial" w:eastAsia="Arial" w:hAnsi="Arial" w:cs="Arial"/>
                <w:bCs/>
                <w:iCs/>
                <w:sz w:val="24"/>
                <w:szCs w:val="24"/>
              </w:rPr>
              <w:t xml:space="preserve"> (</w:t>
            </w:r>
            <w:r w:rsidR="005F7BAB" w:rsidRPr="001272D0">
              <w:rPr>
                <w:rFonts w:ascii="Arial" w:eastAsia="Arial" w:hAnsi="Arial" w:cs="Arial"/>
                <w:bCs/>
                <w:iCs/>
                <w:sz w:val="24"/>
                <w:szCs w:val="24"/>
              </w:rPr>
              <w:t>3</w:t>
            </w:r>
            <w:r w:rsidR="00D22C85" w:rsidRPr="001272D0">
              <w:rPr>
                <w:rFonts w:ascii="Arial" w:eastAsia="Arial" w:hAnsi="Arial" w:cs="Arial"/>
                <w:bCs/>
                <w:iCs/>
                <w:sz w:val="24"/>
                <w:szCs w:val="24"/>
              </w:rPr>
              <w:t>%)</w:t>
            </w:r>
          </w:p>
        </w:tc>
      </w:tr>
      <w:tr w:rsidR="002C2D9A" w:rsidRPr="001272D0" w14:paraId="18A94218" w14:textId="77777777" w:rsidTr="00B4201A">
        <w:tc>
          <w:tcPr>
            <w:tcW w:w="3005" w:type="dxa"/>
            <w:tcBorders>
              <w:left w:val="nil"/>
            </w:tcBorders>
          </w:tcPr>
          <w:p w14:paraId="5D0DD60D" w14:textId="77777777" w:rsidR="002C2D9A" w:rsidRPr="001272D0" w:rsidRDefault="002C2D9A" w:rsidP="00237C90">
            <w:pPr>
              <w:rPr>
                <w:rFonts w:ascii="Arial" w:eastAsia="Arial" w:hAnsi="Arial" w:cs="Arial"/>
                <w:bCs/>
                <w:iCs/>
                <w:sz w:val="24"/>
                <w:szCs w:val="24"/>
              </w:rPr>
            </w:pPr>
            <w:r w:rsidRPr="001272D0">
              <w:rPr>
                <w:rFonts w:ascii="Arial" w:eastAsia="Arial" w:hAnsi="Arial" w:cs="Arial"/>
                <w:bCs/>
                <w:iCs/>
                <w:sz w:val="24"/>
                <w:szCs w:val="24"/>
              </w:rPr>
              <w:t>Life Experience</w:t>
            </w:r>
          </w:p>
        </w:tc>
        <w:tc>
          <w:tcPr>
            <w:tcW w:w="3005" w:type="dxa"/>
          </w:tcPr>
          <w:p w14:paraId="76D98FCE" w14:textId="24784CF0" w:rsidR="002C2D9A" w:rsidRPr="001272D0" w:rsidRDefault="002C2D9A" w:rsidP="00237C90">
            <w:pPr>
              <w:jc w:val="center"/>
              <w:rPr>
                <w:rFonts w:ascii="Arial" w:eastAsia="Arial" w:hAnsi="Arial" w:cs="Arial"/>
                <w:bCs/>
                <w:iCs/>
                <w:sz w:val="24"/>
                <w:szCs w:val="24"/>
              </w:rPr>
            </w:pPr>
            <w:r w:rsidRPr="001272D0">
              <w:rPr>
                <w:rFonts w:ascii="Arial" w:eastAsia="Arial" w:hAnsi="Arial" w:cs="Arial"/>
                <w:bCs/>
                <w:iCs/>
                <w:sz w:val="24"/>
                <w:szCs w:val="24"/>
              </w:rPr>
              <w:t>7</w:t>
            </w:r>
            <w:r w:rsidR="00D22C85" w:rsidRPr="001272D0">
              <w:rPr>
                <w:rFonts w:ascii="Arial" w:eastAsia="Arial" w:hAnsi="Arial" w:cs="Arial"/>
                <w:bCs/>
                <w:iCs/>
                <w:sz w:val="24"/>
                <w:szCs w:val="24"/>
              </w:rPr>
              <w:t xml:space="preserve"> (</w:t>
            </w:r>
            <w:r w:rsidR="005F7BAB" w:rsidRPr="001272D0">
              <w:rPr>
                <w:rFonts w:ascii="Arial" w:eastAsia="Arial" w:hAnsi="Arial" w:cs="Arial"/>
                <w:bCs/>
                <w:iCs/>
                <w:sz w:val="24"/>
                <w:szCs w:val="24"/>
              </w:rPr>
              <w:t>10</w:t>
            </w:r>
            <w:r w:rsidR="00D22C85" w:rsidRPr="001272D0">
              <w:rPr>
                <w:rFonts w:ascii="Arial" w:eastAsia="Arial" w:hAnsi="Arial" w:cs="Arial"/>
                <w:bCs/>
                <w:iCs/>
                <w:sz w:val="24"/>
                <w:szCs w:val="24"/>
              </w:rPr>
              <w:t>%)</w:t>
            </w:r>
          </w:p>
          <w:p w14:paraId="136EBEEF" w14:textId="63C0D46D" w:rsidR="002C2D9A" w:rsidRPr="001272D0" w:rsidRDefault="002C2D9A" w:rsidP="00237C90">
            <w:pPr>
              <w:jc w:val="center"/>
              <w:rPr>
                <w:rFonts w:ascii="Arial" w:eastAsia="Arial" w:hAnsi="Arial" w:cs="Arial"/>
                <w:bCs/>
                <w:iCs/>
                <w:sz w:val="24"/>
                <w:szCs w:val="24"/>
              </w:rPr>
            </w:pPr>
          </w:p>
        </w:tc>
        <w:tc>
          <w:tcPr>
            <w:tcW w:w="3006" w:type="dxa"/>
            <w:tcBorders>
              <w:right w:val="nil"/>
            </w:tcBorders>
          </w:tcPr>
          <w:p w14:paraId="1A9F9C49" w14:textId="603F8534" w:rsidR="002C2D9A" w:rsidRPr="001272D0" w:rsidRDefault="002C2D9A" w:rsidP="00237C90">
            <w:pPr>
              <w:jc w:val="center"/>
              <w:rPr>
                <w:rFonts w:ascii="Arial" w:eastAsia="Arial" w:hAnsi="Arial" w:cs="Arial"/>
                <w:bCs/>
                <w:iCs/>
                <w:sz w:val="24"/>
                <w:szCs w:val="24"/>
              </w:rPr>
            </w:pPr>
            <w:r w:rsidRPr="001272D0">
              <w:rPr>
                <w:rFonts w:ascii="Arial" w:eastAsia="Arial" w:hAnsi="Arial" w:cs="Arial"/>
                <w:bCs/>
                <w:iCs/>
                <w:sz w:val="24"/>
                <w:szCs w:val="24"/>
              </w:rPr>
              <w:t>1</w:t>
            </w:r>
            <w:r w:rsidR="00D22C85" w:rsidRPr="001272D0">
              <w:rPr>
                <w:rFonts w:ascii="Arial" w:eastAsia="Arial" w:hAnsi="Arial" w:cs="Arial"/>
                <w:bCs/>
                <w:iCs/>
                <w:sz w:val="24"/>
                <w:szCs w:val="24"/>
              </w:rPr>
              <w:t xml:space="preserve"> (1%)</w:t>
            </w:r>
          </w:p>
          <w:p w14:paraId="783B5E9A" w14:textId="65D25CEB" w:rsidR="002C2D9A" w:rsidRPr="001272D0" w:rsidRDefault="002C2D9A" w:rsidP="00237C90">
            <w:pPr>
              <w:jc w:val="center"/>
              <w:rPr>
                <w:rFonts w:ascii="Arial" w:eastAsia="Arial" w:hAnsi="Arial" w:cs="Arial"/>
                <w:bCs/>
                <w:iCs/>
                <w:sz w:val="24"/>
                <w:szCs w:val="24"/>
              </w:rPr>
            </w:pPr>
          </w:p>
        </w:tc>
      </w:tr>
      <w:tr w:rsidR="002C2D9A" w:rsidRPr="001272D0" w14:paraId="3E9AD321" w14:textId="77777777" w:rsidTr="00B4201A">
        <w:tc>
          <w:tcPr>
            <w:tcW w:w="3005" w:type="dxa"/>
            <w:tcBorders>
              <w:left w:val="nil"/>
            </w:tcBorders>
          </w:tcPr>
          <w:p w14:paraId="305947D8" w14:textId="77777777" w:rsidR="002C2D9A" w:rsidRPr="001272D0" w:rsidRDefault="002C2D9A" w:rsidP="00237C90">
            <w:pPr>
              <w:rPr>
                <w:rFonts w:ascii="Arial" w:eastAsia="Arial" w:hAnsi="Arial" w:cs="Arial"/>
                <w:bCs/>
                <w:iCs/>
                <w:sz w:val="24"/>
                <w:szCs w:val="24"/>
              </w:rPr>
            </w:pPr>
            <w:r w:rsidRPr="001272D0">
              <w:rPr>
                <w:rFonts w:ascii="Arial" w:eastAsia="Arial" w:hAnsi="Arial" w:cs="Arial"/>
                <w:bCs/>
                <w:iCs/>
                <w:sz w:val="24"/>
                <w:szCs w:val="24"/>
              </w:rPr>
              <w:t>Widening Access</w:t>
            </w:r>
          </w:p>
        </w:tc>
        <w:tc>
          <w:tcPr>
            <w:tcW w:w="3005" w:type="dxa"/>
          </w:tcPr>
          <w:p w14:paraId="6C25FAFD" w14:textId="21146B56" w:rsidR="002C2D9A" w:rsidRPr="001272D0" w:rsidRDefault="002C2D9A" w:rsidP="00237C90">
            <w:pPr>
              <w:jc w:val="center"/>
              <w:rPr>
                <w:rFonts w:ascii="Arial" w:eastAsia="Arial" w:hAnsi="Arial" w:cs="Arial"/>
                <w:bCs/>
                <w:iCs/>
                <w:sz w:val="24"/>
                <w:szCs w:val="24"/>
              </w:rPr>
            </w:pPr>
            <w:r w:rsidRPr="001272D0">
              <w:rPr>
                <w:rFonts w:ascii="Arial" w:eastAsia="Arial" w:hAnsi="Arial" w:cs="Arial"/>
                <w:bCs/>
                <w:iCs/>
                <w:sz w:val="24"/>
                <w:szCs w:val="24"/>
              </w:rPr>
              <w:t>4</w:t>
            </w:r>
            <w:r w:rsidR="00D22C85" w:rsidRPr="001272D0">
              <w:rPr>
                <w:rFonts w:ascii="Arial" w:eastAsia="Arial" w:hAnsi="Arial" w:cs="Arial"/>
                <w:bCs/>
                <w:iCs/>
                <w:sz w:val="24"/>
                <w:szCs w:val="24"/>
              </w:rPr>
              <w:t xml:space="preserve"> (</w:t>
            </w:r>
            <w:r w:rsidR="005F7BAB" w:rsidRPr="001272D0">
              <w:rPr>
                <w:rFonts w:ascii="Arial" w:eastAsia="Arial" w:hAnsi="Arial" w:cs="Arial"/>
                <w:bCs/>
                <w:iCs/>
                <w:sz w:val="24"/>
                <w:szCs w:val="24"/>
              </w:rPr>
              <w:t>6</w:t>
            </w:r>
            <w:r w:rsidR="00D22C85" w:rsidRPr="001272D0">
              <w:rPr>
                <w:rFonts w:ascii="Arial" w:eastAsia="Arial" w:hAnsi="Arial" w:cs="Arial"/>
                <w:bCs/>
                <w:iCs/>
                <w:sz w:val="24"/>
                <w:szCs w:val="24"/>
              </w:rPr>
              <w:t>%)</w:t>
            </w:r>
          </w:p>
          <w:p w14:paraId="081AADBB" w14:textId="7A4C4B02" w:rsidR="002C2D9A" w:rsidRPr="001272D0" w:rsidRDefault="002C2D9A" w:rsidP="00237C90">
            <w:pPr>
              <w:jc w:val="center"/>
              <w:rPr>
                <w:rFonts w:ascii="Arial" w:eastAsia="Arial" w:hAnsi="Arial" w:cs="Arial"/>
                <w:bCs/>
                <w:iCs/>
                <w:sz w:val="24"/>
                <w:szCs w:val="24"/>
              </w:rPr>
            </w:pPr>
          </w:p>
        </w:tc>
        <w:tc>
          <w:tcPr>
            <w:tcW w:w="3006" w:type="dxa"/>
            <w:tcBorders>
              <w:right w:val="nil"/>
            </w:tcBorders>
          </w:tcPr>
          <w:p w14:paraId="02878F1E" w14:textId="361EE0F1" w:rsidR="002C2D9A" w:rsidRPr="001272D0" w:rsidRDefault="002C2D9A" w:rsidP="00237C90">
            <w:pPr>
              <w:jc w:val="center"/>
              <w:rPr>
                <w:rFonts w:ascii="Arial" w:eastAsia="Arial" w:hAnsi="Arial" w:cs="Arial"/>
                <w:bCs/>
                <w:iCs/>
                <w:sz w:val="24"/>
                <w:szCs w:val="24"/>
              </w:rPr>
            </w:pPr>
            <w:r w:rsidRPr="001272D0">
              <w:rPr>
                <w:rFonts w:ascii="Arial" w:eastAsia="Arial" w:hAnsi="Arial" w:cs="Arial"/>
                <w:bCs/>
                <w:iCs/>
                <w:sz w:val="24"/>
                <w:szCs w:val="24"/>
              </w:rPr>
              <w:t>1</w:t>
            </w:r>
            <w:r w:rsidR="00D22C85" w:rsidRPr="001272D0">
              <w:rPr>
                <w:rFonts w:ascii="Arial" w:eastAsia="Arial" w:hAnsi="Arial" w:cs="Arial"/>
                <w:bCs/>
                <w:iCs/>
                <w:sz w:val="24"/>
                <w:szCs w:val="24"/>
              </w:rPr>
              <w:t xml:space="preserve"> (1%)</w:t>
            </w:r>
          </w:p>
          <w:p w14:paraId="258A1D82" w14:textId="66AC0EDA" w:rsidR="002C2D9A" w:rsidRPr="001272D0" w:rsidRDefault="002C2D9A" w:rsidP="00237C90">
            <w:pPr>
              <w:jc w:val="center"/>
              <w:rPr>
                <w:rFonts w:ascii="Arial" w:eastAsia="Arial" w:hAnsi="Arial" w:cs="Arial"/>
                <w:bCs/>
                <w:iCs/>
                <w:sz w:val="24"/>
                <w:szCs w:val="24"/>
              </w:rPr>
            </w:pPr>
          </w:p>
        </w:tc>
      </w:tr>
      <w:tr w:rsidR="002C2D9A" w:rsidRPr="001272D0" w14:paraId="17489787" w14:textId="77777777" w:rsidTr="00B4201A">
        <w:tc>
          <w:tcPr>
            <w:tcW w:w="3005" w:type="dxa"/>
            <w:tcBorders>
              <w:left w:val="nil"/>
            </w:tcBorders>
          </w:tcPr>
          <w:p w14:paraId="21F3C843" w14:textId="77777777" w:rsidR="002C2D9A" w:rsidRPr="001272D0" w:rsidRDefault="002C2D9A" w:rsidP="00237C90">
            <w:pPr>
              <w:rPr>
                <w:rFonts w:ascii="Arial" w:eastAsia="Arial" w:hAnsi="Arial" w:cs="Arial"/>
                <w:bCs/>
                <w:iCs/>
                <w:sz w:val="24"/>
                <w:szCs w:val="24"/>
              </w:rPr>
            </w:pPr>
            <w:r w:rsidRPr="001272D0">
              <w:rPr>
                <w:rFonts w:ascii="Arial" w:eastAsia="Arial" w:hAnsi="Arial" w:cs="Arial"/>
                <w:bCs/>
                <w:iCs/>
                <w:sz w:val="24"/>
                <w:szCs w:val="24"/>
              </w:rPr>
              <w:t>Foundation Degree (own institution)</w:t>
            </w:r>
          </w:p>
          <w:p w14:paraId="54A26DBB" w14:textId="72F7A7F8" w:rsidR="005478BB" w:rsidRPr="001272D0" w:rsidRDefault="005478BB" w:rsidP="00237C90">
            <w:pPr>
              <w:rPr>
                <w:rFonts w:ascii="Arial" w:eastAsia="Arial" w:hAnsi="Arial" w:cs="Arial"/>
                <w:bCs/>
                <w:iCs/>
                <w:sz w:val="24"/>
                <w:szCs w:val="24"/>
              </w:rPr>
            </w:pPr>
          </w:p>
        </w:tc>
        <w:tc>
          <w:tcPr>
            <w:tcW w:w="3005" w:type="dxa"/>
          </w:tcPr>
          <w:p w14:paraId="7658897B" w14:textId="7F8FC1D0" w:rsidR="002C2D9A" w:rsidRPr="001272D0" w:rsidRDefault="002C2D9A" w:rsidP="00237C90">
            <w:pPr>
              <w:jc w:val="center"/>
              <w:rPr>
                <w:rFonts w:ascii="Arial" w:eastAsia="Arial" w:hAnsi="Arial" w:cs="Arial"/>
                <w:bCs/>
                <w:iCs/>
                <w:sz w:val="24"/>
                <w:szCs w:val="24"/>
              </w:rPr>
            </w:pPr>
            <w:r w:rsidRPr="001272D0">
              <w:rPr>
                <w:rFonts w:ascii="Arial" w:eastAsia="Arial" w:hAnsi="Arial" w:cs="Arial"/>
                <w:bCs/>
                <w:iCs/>
                <w:sz w:val="24"/>
                <w:szCs w:val="24"/>
              </w:rPr>
              <w:t>4</w:t>
            </w:r>
            <w:r w:rsidR="00D22C85" w:rsidRPr="001272D0">
              <w:rPr>
                <w:rFonts w:ascii="Arial" w:eastAsia="Arial" w:hAnsi="Arial" w:cs="Arial"/>
                <w:bCs/>
                <w:iCs/>
                <w:sz w:val="24"/>
                <w:szCs w:val="24"/>
              </w:rPr>
              <w:t xml:space="preserve"> (</w:t>
            </w:r>
            <w:r w:rsidR="005F7BAB" w:rsidRPr="001272D0">
              <w:rPr>
                <w:rFonts w:ascii="Arial" w:eastAsia="Arial" w:hAnsi="Arial" w:cs="Arial"/>
                <w:bCs/>
                <w:iCs/>
                <w:sz w:val="24"/>
                <w:szCs w:val="24"/>
              </w:rPr>
              <w:t>6</w:t>
            </w:r>
            <w:r w:rsidR="00D22C85" w:rsidRPr="001272D0">
              <w:rPr>
                <w:rFonts w:ascii="Arial" w:eastAsia="Arial" w:hAnsi="Arial" w:cs="Arial"/>
                <w:bCs/>
                <w:iCs/>
                <w:sz w:val="24"/>
                <w:szCs w:val="24"/>
              </w:rPr>
              <w:t>%)</w:t>
            </w:r>
          </w:p>
          <w:p w14:paraId="3D9F18C3" w14:textId="3CE24BBD" w:rsidR="002C2D9A" w:rsidRPr="001272D0" w:rsidRDefault="002C2D9A" w:rsidP="00237C90">
            <w:pPr>
              <w:jc w:val="center"/>
              <w:rPr>
                <w:rFonts w:ascii="Arial" w:eastAsia="Arial" w:hAnsi="Arial" w:cs="Arial"/>
                <w:bCs/>
                <w:iCs/>
                <w:sz w:val="24"/>
                <w:szCs w:val="24"/>
              </w:rPr>
            </w:pPr>
          </w:p>
        </w:tc>
        <w:tc>
          <w:tcPr>
            <w:tcW w:w="3006" w:type="dxa"/>
            <w:tcBorders>
              <w:right w:val="nil"/>
            </w:tcBorders>
          </w:tcPr>
          <w:p w14:paraId="1B85CC08" w14:textId="6A35EB34" w:rsidR="002C2D9A" w:rsidRPr="001272D0" w:rsidRDefault="002C2D9A" w:rsidP="00237C90">
            <w:pPr>
              <w:jc w:val="center"/>
              <w:rPr>
                <w:rFonts w:ascii="Arial" w:eastAsia="Arial" w:hAnsi="Arial" w:cs="Arial"/>
                <w:bCs/>
                <w:iCs/>
                <w:sz w:val="24"/>
                <w:szCs w:val="24"/>
              </w:rPr>
            </w:pPr>
            <w:r w:rsidRPr="001272D0">
              <w:rPr>
                <w:rFonts w:ascii="Arial" w:eastAsia="Arial" w:hAnsi="Arial" w:cs="Arial"/>
                <w:bCs/>
                <w:iCs/>
                <w:sz w:val="24"/>
                <w:szCs w:val="24"/>
              </w:rPr>
              <w:t>2</w:t>
            </w:r>
            <w:r w:rsidR="00D22C85" w:rsidRPr="001272D0">
              <w:rPr>
                <w:rFonts w:ascii="Arial" w:eastAsia="Arial" w:hAnsi="Arial" w:cs="Arial"/>
                <w:bCs/>
                <w:iCs/>
                <w:sz w:val="24"/>
                <w:szCs w:val="24"/>
              </w:rPr>
              <w:t xml:space="preserve"> (</w:t>
            </w:r>
            <w:r w:rsidR="005F7BAB" w:rsidRPr="001272D0">
              <w:rPr>
                <w:rFonts w:ascii="Arial" w:eastAsia="Arial" w:hAnsi="Arial" w:cs="Arial"/>
                <w:bCs/>
                <w:iCs/>
                <w:sz w:val="24"/>
                <w:szCs w:val="24"/>
              </w:rPr>
              <w:t>3</w:t>
            </w:r>
            <w:r w:rsidR="00D22C85" w:rsidRPr="001272D0">
              <w:rPr>
                <w:rFonts w:ascii="Arial" w:eastAsia="Arial" w:hAnsi="Arial" w:cs="Arial"/>
                <w:bCs/>
                <w:iCs/>
                <w:sz w:val="24"/>
                <w:szCs w:val="24"/>
              </w:rPr>
              <w:t>%)</w:t>
            </w:r>
          </w:p>
          <w:p w14:paraId="76F1048D" w14:textId="2B14E0C2" w:rsidR="002C2D9A" w:rsidRPr="001272D0" w:rsidRDefault="002C2D9A" w:rsidP="00237C90">
            <w:pPr>
              <w:jc w:val="center"/>
              <w:rPr>
                <w:rFonts w:ascii="Arial" w:eastAsia="Arial" w:hAnsi="Arial" w:cs="Arial"/>
                <w:bCs/>
                <w:iCs/>
                <w:sz w:val="24"/>
                <w:szCs w:val="24"/>
              </w:rPr>
            </w:pPr>
          </w:p>
        </w:tc>
      </w:tr>
      <w:tr w:rsidR="002C2D9A" w:rsidRPr="001272D0" w14:paraId="279E7720" w14:textId="77777777" w:rsidTr="00B4201A">
        <w:tc>
          <w:tcPr>
            <w:tcW w:w="3005" w:type="dxa"/>
            <w:tcBorders>
              <w:left w:val="nil"/>
              <w:bottom w:val="single" w:sz="4" w:space="0" w:color="auto"/>
            </w:tcBorders>
          </w:tcPr>
          <w:p w14:paraId="56E9C4B9" w14:textId="77777777" w:rsidR="002C2D9A" w:rsidRPr="001272D0" w:rsidRDefault="002C2D9A" w:rsidP="00237C90">
            <w:pPr>
              <w:rPr>
                <w:rFonts w:ascii="Arial" w:eastAsia="Arial" w:hAnsi="Arial" w:cs="Arial"/>
                <w:bCs/>
                <w:iCs/>
                <w:sz w:val="24"/>
                <w:szCs w:val="24"/>
              </w:rPr>
            </w:pPr>
            <w:r w:rsidRPr="001272D0">
              <w:rPr>
                <w:rFonts w:ascii="Arial" w:eastAsia="Arial" w:hAnsi="Arial" w:cs="Arial"/>
                <w:bCs/>
                <w:iCs/>
                <w:sz w:val="24"/>
                <w:szCs w:val="24"/>
              </w:rPr>
              <w:t>Level 3 Apprenticeship</w:t>
            </w:r>
          </w:p>
        </w:tc>
        <w:tc>
          <w:tcPr>
            <w:tcW w:w="3005" w:type="dxa"/>
            <w:tcBorders>
              <w:bottom w:val="single" w:sz="4" w:space="0" w:color="auto"/>
            </w:tcBorders>
          </w:tcPr>
          <w:p w14:paraId="0ECB7E4D" w14:textId="51499512" w:rsidR="002C2D9A" w:rsidRPr="001272D0" w:rsidRDefault="002C2D9A" w:rsidP="00D22C85">
            <w:pPr>
              <w:jc w:val="center"/>
              <w:rPr>
                <w:rFonts w:ascii="Arial" w:eastAsia="Arial" w:hAnsi="Arial" w:cs="Arial"/>
                <w:bCs/>
                <w:iCs/>
                <w:sz w:val="24"/>
                <w:szCs w:val="24"/>
              </w:rPr>
            </w:pPr>
            <w:r w:rsidRPr="001272D0">
              <w:rPr>
                <w:rFonts w:ascii="Arial" w:eastAsia="Arial" w:hAnsi="Arial" w:cs="Arial"/>
                <w:bCs/>
                <w:iCs/>
                <w:sz w:val="24"/>
                <w:szCs w:val="24"/>
              </w:rPr>
              <w:t>1</w:t>
            </w:r>
            <w:r w:rsidR="00D22C85" w:rsidRPr="001272D0">
              <w:rPr>
                <w:rFonts w:ascii="Arial" w:eastAsia="Arial" w:hAnsi="Arial" w:cs="Arial"/>
                <w:bCs/>
                <w:iCs/>
                <w:sz w:val="24"/>
                <w:szCs w:val="24"/>
              </w:rPr>
              <w:t xml:space="preserve"> (1%)</w:t>
            </w:r>
          </w:p>
        </w:tc>
        <w:tc>
          <w:tcPr>
            <w:tcW w:w="3006" w:type="dxa"/>
            <w:tcBorders>
              <w:bottom w:val="single" w:sz="4" w:space="0" w:color="auto"/>
              <w:right w:val="nil"/>
            </w:tcBorders>
          </w:tcPr>
          <w:p w14:paraId="68307FA9" w14:textId="29E5497B" w:rsidR="002C2D9A" w:rsidRPr="001272D0" w:rsidRDefault="002C2D9A" w:rsidP="00D22C85">
            <w:pPr>
              <w:jc w:val="center"/>
              <w:rPr>
                <w:rFonts w:ascii="Arial" w:eastAsia="Arial" w:hAnsi="Arial" w:cs="Arial"/>
                <w:bCs/>
                <w:iCs/>
                <w:sz w:val="24"/>
                <w:szCs w:val="24"/>
              </w:rPr>
            </w:pPr>
            <w:r w:rsidRPr="001272D0">
              <w:rPr>
                <w:rFonts w:ascii="Arial" w:eastAsia="Arial" w:hAnsi="Arial" w:cs="Arial"/>
                <w:bCs/>
                <w:iCs/>
                <w:sz w:val="24"/>
                <w:szCs w:val="24"/>
              </w:rPr>
              <w:t>0</w:t>
            </w:r>
            <w:r w:rsidR="00D22C85" w:rsidRPr="001272D0">
              <w:rPr>
                <w:rFonts w:ascii="Arial" w:eastAsia="Arial" w:hAnsi="Arial" w:cs="Arial"/>
                <w:bCs/>
                <w:iCs/>
                <w:sz w:val="24"/>
                <w:szCs w:val="24"/>
              </w:rPr>
              <w:t xml:space="preserve"> (0%)</w:t>
            </w:r>
          </w:p>
        </w:tc>
      </w:tr>
    </w:tbl>
    <w:p w14:paraId="054CBC5A" w14:textId="77777777" w:rsidR="002C2D9A" w:rsidRPr="001272D0" w:rsidRDefault="002C2D9A" w:rsidP="00A74EBE">
      <w:pPr>
        <w:spacing w:line="240" w:lineRule="auto"/>
        <w:rPr>
          <w:rFonts w:ascii="Arial" w:hAnsi="Arial" w:cs="Arial"/>
          <w:b/>
          <w:bCs/>
          <w:sz w:val="24"/>
          <w:szCs w:val="24"/>
          <w:lang w:val="en-US"/>
        </w:rPr>
      </w:pPr>
    </w:p>
    <w:p w14:paraId="7CA0F9C2" w14:textId="4652C311" w:rsidR="00574178" w:rsidRPr="001272D0" w:rsidRDefault="002C2D9A" w:rsidP="00AD7B90">
      <w:pPr>
        <w:spacing w:line="240" w:lineRule="auto"/>
        <w:jc w:val="both"/>
        <w:rPr>
          <w:rFonts w:ascii="Arial" w:hAnsi="Arial" w:cs="Arial"/>
          <w:b/>
          <w:bCs/>
          <w:sz w:val="24"/>
          <w:szCs w:val="24"/>
          <w:lang w:val="en-US"/>
        </w:rPr>
      </w:pPr>
      <w:r w:rsidRPr="001272D0">
        <w:rPr>
          <w:rFonts w:ascii="Arial" w:hAnsi="Arial" w:cs="Arial"/>
          <w:b/>
          <w:bCs/>
          <w:sz w:val="24"/>
          <w:szCs w:val="24"/>
          <w:lang w:val="en-US"/>
        </w:rPr>
        <w:t>Discussion</w:t>
      </w:r>
      <w:r w:rsidR="009C48D5" w:rsidRPr="001272D0">
        <w:rPr>
          <w:rFonts w:ascii="Arial" w:hAnsi="Arial" w:cs="Arial"/>
          <w:b/>
          <w:bCs/>
          <w:sz w:val="24"/>
          <w:szCs w:val="24"/>
          <w:lang w:val="en-US"/>
        </w:rPr>
        <w:t xml:space="preserve"> and Implications</w:t>
      </w:r>
    </w:p>
    <w:p w14:paraId="6A520FDE" w14:textId="77777777" w:rsidR="00BE2049" w:rsidRPr="001272D0" w:rsidRDefault="007D0B2B" w:rsidP="00253499">
      <w:pPr>
        <w:spacing w:line="240" w:lineRule="auto"/>
        <w:jc w:val="both"/>
        <w:rPr>
          <w:rFonts w:ascii="Arial" w:eastAsia="Arial" w:hAnsi="Arial" w:cs="Arial"/>
          <w:bCs/>
          <w:sz w:val="24"/>
          <w:szCs w:val="24"/>
        </w:rPr>
      </w:pPr>
      <w:r w:rsidRPr="001272D0">
        <w:rPr>
          <w:rFonts w:ascii="Arial" w:eastAsia="Arial" w:hAnsi="Arial" w:cs="Arial"/>
          <w:bCs/>
          <w:sz w:val="24"/>
          <w:szCs w:val="24"/>
        </w:rPr>
        <w:t xml:space="preserve">Results </w:t>
      </w:r>
      <w:r w:rsidR="005212ED" w:rsidRPr="001272D0">
        <w:rPr>
          <w:rFonts w:ascii="Arial" w:eastAsia="Arial" w:hAnsi="Arial" w:cs="Arial"/>
          <w:bCs/>
          <w:sz w:val="24"/>
          <w:szCs w:val="24"/>
        </w:rPr>
        <w:t xml:space="preserve">from this exploratory </w:t>
      </w:r>
      <w:r w:rsidR="002E7556" w:rsidRPr="001272D0">
        <w:rPr>
          <w:rFonts w:ascii="Arial" w:eastAsia="Arial" w:hAnsi="Arial" w:cs="Arial"/>
          <w:bCs/>
          <w:sz w:val="24"/>
          <w:szCs w:val="24"/>
        </w:rPr>
        <w:t xml:space="preserve">research </w:t>
      </w:r>
      <w:r w:rsidRPr="001272D0">
        <w:rPr>
          <w:rFonts w:ascii="Arial" w:eastAsia="Arial" w:hAnsi="Arial" w:cs="Arial"/>
          <w:bCs/>
          <w:sz w:val="24"/>
          <w:szCs w:val="24"/>
        </w:rPr>
        <w:t xml:space="preserve">suggest </w:t>
      </w:r>
      <w:r w:rsidR="00394371" w:rsidRPr="001272D0">
        <w:rPr>
          <w:rFonts w:ascii="Arial" w:eastAsia="Arial" w:hAnsi="Arial" w:cs="Arial"/>
          <w:bCs/>
          <w:sz w:val="24"/>
          <w:szCs w:val="24"/>
        </w:rPr>
        <w:t>candidates</w:t>
      </w:r>
      <w:r w:rsidR="00A17728" w:rsidRPr="001272D0">
        <w:rPr>
          <w:rFonts w:ascii="Arial" w:eastAsia="Arial" w:hAnsi="Arial" w:cs="Arial"/>
          <w:bCs/>
          <w:sz w:val="24"/>
          <w:szCs w:val="24"/>
        </w:rPr>
        <w:t xml:space="preserve"> face</w:t>
      </w:r>
      <w:r w:rsidR="007E51B5" w:rsidRPr="001272D0">
        <w:rPr>
          <w:rFonts w:ascii="Arial" w:eastAsia="Arial" w:hAnsi="Arial" w:cs="Arial"/>
          <w:bCs/>
          <w:sz w:val="24"/>
          <w:szCs w:val="24"/>
        </w:rPr>
        <w:t xml:space="preserve"> </w:t>
      </w:r>
      <w:r w:rsidR="00D5049A" w:rsidRPr="001272D0">
        <w:rPr>
          <w:rFonts w:ascii="Arial" w:eastAsia="Arial" w:hAnsi="Arial" w:cs="Arial"/>
          <w:bCs/>
          <w:sz w:val="24"/>
          <w:szCs w:val="24"/>
        </w:rPr>
        <w:t xml:space="preserve">a lack of </w:t>
      </w:r>
      <w:r w:rsidR="00677521" w:rsidRPr="001272D0">
        <w:rPr>
          <w:rFonts w:ascii="Arial" w:eastAsia="Arial" w:hAnsi="Arial" w:cs="Arial"/>
          <w:bCs/>
          <w:sz w:val="24"/>
          <w:szCs w:val="24"/>
        </w:rPr>
        <w:t xml:space="preserve">parity and transparency </w:t>
      </w:r>
      <w:r w:rsidR="005D34CD" w:rsidRPr="001272D0">
        <w:rPr>
          <w:rFonts w:ascii="Arial" w:eastAsia="Arial" w:hAnsi="Arial" w:cs="Arial"/>
          <w:bCs/>
          <w:sz w:val="24"/>
          <w:szCs w:val="24"/>
        </w:rPr>
        <w:t>of academic skills</w:t>
      </w:r>
      <w:r w:rsidR="004E2784" w:rsidRPr="001272D0">
        <w:rPr>
          <w:rFonts w:ascii="Arial" w:eastAsia="Arial" w:hAnsi="Arial" w:cs="Arial"/>
          <w:bCs/>
          <w:sz w:val="24"/>
          <w:szCs w:val="24"/>
        </w:rPr>
        <w:t xml:space="preserve">; </w:t>
      </w:r>
      <w:r w:rsidR="00DE36F8" w:rsidRPr="001272D0">
        <w:rPr>
          <w:rFonts w:ascii="Arial" w:eastAsia="Arial" w:hAnsi="Arial" w:cs="Arial"/>
          <w:bCs/>
          <w:sz w:val="24"/>
          <w:szCs w:val="24"/>
        </w:rPr>
        <w:t>use of</w:t>
      </w:r>
      <w:r w:rsidR="001A64F9" w:rsidRPr="001272D0">
        <w:rPr>
          <w:rFonts w:ascii="Arial" w:eastAsia="Arial" w:hAnsi="Arial" w:cs="Arial"/>
          <w:bCs/>
          <w:sz w:val="24"/>
          <w:szCs w:val="24"/>
        </w:rPr>
        <w:t xml:space="preserve"> </w:t>
      </w:r>
      <w:r w:rsidR="0071057D" w:rsidRPr="001272D0">
        <w:rPr>
          <w:rFonts w:ascii="Arial" w:eastAsia="Arial" w:hAnsi="Arial" w:cs="Arial"/>
          <w:bCs/>
          <w:sz w:val="24"/>
          <w:szCs w:val="24"/>
        </w:rPr>
        <w:t xml:space="preserve">professional skills </w:t>
      </w:r>
      <w:r w:rsidR="00EE2E0D" w:rsidRPr="001272D0">
        <w:rPr>
          <w:rFonts w:ascii="Arial" w:eastAsia="Arial" w:hAnsi="Arial" w:cs="Arial"/>
          <w:bCs/>
          <w:sz w:val="24"/>
          <w:szCs w:val="24"/>
        </w:rPr>
        <w:t xml:space="preserve">assessment tools, backed by </w:t>
      </w:r>
      <w:r w:rsidR="00A41F19" w:rsidRPr="001272D0">
        <w:rPr>
          <w:rFonts w:ascii="Arial" w:eastAsia="Arial" w:hAnsi="Arial" w:cs="Arial"/>
          <w:bCs/>
          <w:sz w:val="24"/>
          <w:szCs w:val="24"/>
        </w:rPr>
        <w:t xml:space="preserve">variable </w:t>
      </w:r>
      <w:r w:rsidR="00EE2E0D" w:rsidRPr="001272D0">
        <w:rPr>
          <w:rFonts w:ascii="Arial" w:eastAsia="Arial" w:hAnsi="Arial" w:cs="Arial"/>
          <w:bCs/>
          <w:sz w:val="24"/>
          <w:szCs w:val="24"/>
        </w:rPr>
        <w:t>evidence</w:t>
      </w:r>
      <w:r w:rsidR="0069566D" w:rsidRPr="001272D0">
        <w:rPr>
          <w:rFonts w:ascii="Arial" w:eastAsia="Arial" w:hAnsi="Arial" w:cs="Arial"/>
          <w:bCs/>
          <w:sz w:val="24"/>
          <w:szCs w:val="24"/>
        </w:rPr>
        <w:t>;</w:t>
      </w:r>
      <w:r w:rsidR="00EE2E0D" w:rsidRPr="001272D0">
        <w:rPr>
          <w:rFonts w:ascii="Arial" w:eastAsia="Arial" w:hAnsi="Arial" w:cs="Arial"/>
          <w:bCs/>
          <w:sz w:val="24"/>
          <w:szCs w:val="24"/>
        </w:rPr>
        <w:t xml:space="preserve"> </w:t>
      </w:r>
      <w:r w:rsidR="006B2ED3" w:rsidRPr="001272D0">
        <w:rPr>
          <w:rFonts w:ascii="Arial" w:eastAsia="Arial" w:hAnsi="Arial" w:cs="Arial"/>
          <w:bCs/>
          <w:sz w:val="24"/>
          <w:szCs w:val="24"/>
        </w:rPr>
        <w:t xml:space="preserve">and </w:t>
      </w:r>
      <w:r w:rsidR="0059175B" w:rsidRPr="001272D0">
        <w:rPr>
          <w:rFonts w:ascii="Arial" w:eastAsia="Arial" w:hAnsi="Arial" w:cs="Arial"/>
          <w:bCs/>
          <w:sz w:val="24"/>
          <w:szCs w:val="24"/>
        </w:rPr>
        <w:t xml:space="preserve">a </w:t>
      </w:r>
      <w:r w:rsidR="004136E6" w:rsidRPr="001272D0">
        <w:rPr>
          <w:rFonts w:ascii="Arial" w:eastAsia="Arial" w:hAnsi="Arial" w:cs="Arial"/>
          <w:bCs/>
          <w:sz w:val="24"/>
          <w:szCs w:val="24"/>
        </w:rPr>
        <w:t>range</w:t>
      </w:r>
      <w:r w:rsidR="0059175B" w:rsidRPr="001272D0">
        <w:rPr>
          <w:rFonts w:ascii="Arial" w:eastAsia="Arial" w:hAnsi="Arial" w:cs="Arial"/>
          <w:bCs/>
          <w:sz w:val="24"/>
          <w:szCs w:val="24"/>
        </w:rPr>
        <w:t xml:space="preserve"> of alternat</w:t>
      </w:r>
      <w:r w:rsidR="0022633C" w:rsidRPr="001272D0">
        <w:rPr>
          <w:rFonts w:ascii="Arial" w:eastAsia="Arial" w:hAnsi="Arial" w:cs="Arial"/>
          <w:bCs/>
          <w:sz w:val="24"/>
          <w:szCs w:val="24"/>
        </w:rPr>
        <w:t>e</w:t>
      </w:r>
      <w:r w:rsidR="009B3F08" w:rsidRPr="001272D0">
        <w:rPr>
          <w:rFonts w:ascii="Arial" w:eastAsia="Arial" w:hAnsi="Arial" w:cs="Arial"/>
          <w:bCs/>
          <w:sz w:val="24"/>
          <w:szCs w:val="24"/>
        </w:rPr>
        <w:t xml:space="preserve"> but inconsistent</w:t>
      </w:r>
      <w:r w:rsidR="0059175B" w:rsidRPr="001272D0">
        <w:rPr>
          <w:rFonts w:ascii="Arial" w:eastAsia="Arial" w:hAnsi="Arial" w:cs="Arial"/>
          <w:bCs/>
          <w:sz w:val="24"/>
          <w:szCs w:val="24"/>
        </w:rPr>
        <w:t xml:space="preserve"> routes into the profession</w:t>
      </w:r>
      <w:r w:rsidR="0060617F" w:rsidRPr="001272D0">
        <w:rPr>
          <w:rFonts w:ascii="Arial" w:eastAsia="Arial" w:hAnsi="Arial" w:cs="Arial"/>
          <w:bCs/>
          <w:sz w:val="24"/>
          <w:szCs w:val="24"/>
        </w:rPr>
        <w:t xml:space="preserve">. </w:t>
      </w:r>
      <w:r w:rsidR="007C7741" w:rsidRPr="001272D0">
        <w:rPr>
          <w:rFonts w:ascii="Arial" w:eastAsia="Arial" w:hAnsi="Arial" w:cs="Arial"/>
          <w:bCs/>
          <w:sz w:val="24"/>
          <w:szCs w:val="24"/>
        </w:rPr>
        <w:t>Coupled with a</w:t>
      </w:r>
      <w:r w:rsidR="00934585" w:rsidRPr="001272D0">
        <w:rPr>
          <w:rFonts w:ascii="Arial" w:eastAsia="Arial" w:hAnsi="Arial" w:cs="Arial"/>
          <w:bCs/>
          <w:sz w:val="24"/>
          <w:szCs w:val="24"/>
        </w:rPr>
        <w:t xml:space="preserve"> </w:t>
      </w:r>
      <w:r w:rsidR="00A94A8B" w:rsidRPr="001272D0">
        <w:rPr>
          <w:rFonts w:ascii="Arial" w:eastAsia="Arial" w:hAnsi="Arial" w:cs="Arial"/>
          <w:bCs/>
          <w:sz w:val="24"/>
          <w:szCs w:val="24"/>
        </w:rPr>
        <w:t>deficiency</w:t>
      </w:r>
      <w:r w:rsidR="00934585" w:rsidRPr="001272D0">
        <w:rPr>
          <w:rFonts w:ascii="Arial" w:eastAsia="Arial" w:hAnsi="Arial" w:cs="Arial"/>
          <w:bCs/>
          <w:sz w:val="24"/>
          <w:szCs w:val="24"/>
        </w:rPr>
        <w:t xml:space="preserve"> </w:t>
      </w:r>
      <w:r w:rsidR="00150D2E" w:rsidRPr="001272D0">
        <w:rPr>
          <w:rFonts w:ascii="Arial" w:eastAsia="Arial" w:hAnsi="Arial" w:cs="Arial"/>
          <w:bCs/>
          <w:sz w:val="24"/>
          <w:szCs w:val="24"/>
        </w:rPr>
        <w:t>in</w:t>
      </w:r>
      <w:r w:rsidR="00934585" w:rsidRPr="001272D0">
        <w:rPr>
          <w:rFonts w:ascii="Arial" w:eastAsia="Arial" w:hAnsi="Arial" w:cs="Arial"/>
          <w:bCs/>
          <w:sz w:val="24"/>
          <w:szCs w:val="24"/>
        </w:rPr>
        <w:t xml:space="preserve"> part-time opportunities</w:t>
      </w:r>
      <w:r w:rsidR="007C7741" w:rsidRPr="001272D0">
        <w:rPr>
          <w:rFonts w:ascii="Arial" w:eastAsia="Arial" w:hAnsi="Arial" w:cs="Arial"/>
          <w:bCs/>
          <w:sz w:val="24"/>
          <w:szCs w:val="24"/>
        </w:rPr>
        <w:t xml:space="preserve">, </w:t>
      </w:r>
      <w:r w:rsidR="00264E8B" w:rsidRPr="001272D0">
        <w:rPr>
          <w:rFonts w:ascii="Arial" w:eastAsia="Arial" w:hAnsi="Arial" w:cs="Arial"/>
          <w:bCs/>
          <w:sz w:val="24"/>
          <w:szCs w:val="24"/>
        </w:rPr>
        <w:t xml:space="preserve">these factors have the potential to </w:t>
      </w:r>
      <w:r w:rsidR="00E90F35" w:rsidRPr="001272D0">
        <w:rPr>
          <w:rFonts w:ascii="Arial" w:eastAsia="Arial" w:hAnsi="Arial" w:cs="Arial"/>
          <w:bCs/>
          <w:sz w:val="24"/>
          <w:szCs w:val="24"/>
        </w:rPr>
        <w:t>influence</w:t>
      </w:r>
      <w:r w:rsidR="001E67F7" w:rsidRPr="001272D0">
        <w:rPr>
          <w:rFonts w:ascii="Arial" w:eastAsia="Arial" w:hAnsi="Arial" w:cs="Arial"/>
          <w:bCs/>
          <w:sz w:val="24"/>
          <w:szCs w:val="24"/>
        </w:rPr>
        <w:t xml:space="preserve"> </w:t>
      </w:r>
      <w:r w:rsidR="00993979" w:rsidRPr="001272D0">
        <w:rPr>
          <w:rFonts w:ascii="Arial" w:eastAsia="Arial" w:hAnsi="Arial" w:cs="Arial"/>
          <w:bCs/>
          <w:sz w:val="24"/>
          <w:szCs w:val="24"/>
        </w:rPr>
        <w:t>diverse</w:t>
      </w:r>
      <w:r w:rsidR="002F4FA9" w:rsidRPr="001272D0">
        <w:rPr>
          <w:rFonts w:ascii="Arial" w:eastAsia="Arial" w:hAnsi="Arial" w:cs="Arial"/>
          <w:bCs/>
          <w:sz w:val="24"/>
          <w:szCs w:val="24"/>
        </w:rPr>
        <w:t xml:space="preserve"> student and workforce populations</w:t>
      </w:r>
      <w:r w:rsidR="00E50BCD" w:rsidRPr="001272D0">
        <w:rPr>
          <w:rFonts w:ascii="Arial" w:eastAsia="Arial" w:hAnsi="Arial" w:cs="Arial"/>
          <w:bCs/>
          <w:sz w:val="24"/>
          <w:szCs w:val="24"/>
        </w:rPr>
        <w:t xml:space="preserve">, </w:t>
      </w:r>
      <w:r w:rsidR="00B84F86" w:rsidRPr="001272D0">
        <w:rPr>
          <w:rFonts w:ascii="Arial" w:eastAsia="Arial" w:hAnsi="Arial" w:cs="Arial"/>
          <w:bCs/>
          <w:sz w:val="24"/>
          <w:szCs w:val="24"/>
        </w:rPr>
        <w:t>as</w:t>
      </w:r>
      <w:r w:rsidR="00AE320A" w:rsidRPr="001272D0">
        <w:rPr>
          <w:rFonts w:ascii="Arial" w:eastAsia="Arial" w:hAnsi="Arial" w:cs="Arial"/>
          <w:bCs/>
          <w:sz w:val="24"/>
          <w:szCs w:val="24"/>
        </w:rPr>
        <w:t xml:space="preserve"> discussed in more detail below</w:t>
      </w:r>
      <w:r w:rsidR="00E0470A" w:rsidRPr="001272D0">
        <w:rPr>
          <w:rFonts w:ascii="Arial" w:eastAsia="Arial" w:hAnsi="Arial" w:cs="Arial"/>
          <w:bCs/>
          <w:sz w:val="24"/>
          <w:szCs w:val="24"/>
        </w:rPr>
        <w:t>.</w:t>
      </w:r>
    </w:p>
    <w:p w14:paraId="74371236" w14:textId="307742FF" w:rsidR="00B76582" w:rsidRPr="001272D0" w:rsidRDefault="00B76582" w:rsidP="00253499">
      <w:pPr>
        <w:spacing w:line="240" w:lineRule="auto"/>
        <w:jc w:val="both"/>
        <w:rPr>
          <w:rFonts w:ascii="Arial" w:eastAsia="Arial" w:hAnsi="Arial" w:cs="Arial"/>
          <w:bCs/>
          <w:sz w:val="24"/>
          <w:szCs w:val="24"/>
        </w:rPr>
      </w:pPr>
      <w:r w:rsidRPr="001272D0">
        <w:rPr>
          <w:rFonts w:ascii="Arial" w:eastAsia="Arial" w:hAnsi="Arial" w:cs="Arial"/>
          <w:b/>
          <w:sz w:val="24"/>
          <w:szCs w:val="24"/>
        </w:rPr>
        <w:lastRenderedPageBreak/>
        <w:t>Programme Type</w:t>
      </w:r>
    </w:p>
    <w:p w14:paraId="130FC937" w14:textId="272A9684" w:rsidR="0085347A" w:rsidRPr="001272D0" w:rsidRDefault="00A72A88" w:rsidP="0085347A">
      <w:pPr>
        <w:pBdr>
          <w:top w:val="nil"/>
          <w:left w:val="nil"/>
          <w:bottom w:val="nil"/>
          <w:right w:val="nil"/>
          <w:between w:val="nil"/>
        </w:pBdr>
        <w:spacing w:after="0" w:line="240" w:lineRule="auto"/>
        <w:jc w:val="both"/>
        <w:rPr>
          <w:rFonts w:ascii="Arial" w:eastAsia="Arial" w:hAnsi="Arial" w:cs="Arial"/>
          <w:bCs/>
          <w:sz w:val="24"/>
          <w:szCs w:val="24"/>
        </w:rPr>
      </w:pPr>
      <w:r w:rsidRPr="001272D0">
        <w:rPr>
          <w:rFonts w:ascii="Arial" w:eastAsia="Arial" w:hAnsi="Arial" w:cs="Arial"/>
          <w:bCs/>
          <w:sz w:val="24"/>
          <w:szCs w:val="24"/>
        </w:rPr>
        <w:t>E</w:t>
      </w:r>
      <w:r w:rsidR="00D8336A" w:rsidRPr="001272D0">
        <w:rPr>
          <w:rFonts w:ascii="Arial" w:eastAsia="Arial" w:hAnsi="Arial" w:cs="Arial"/>
          <w:bCs/>
          <w:sz w:val="24"/>
          <w:szCs w:val="24"/>
        </w:rPr>
        <w:t xml:space="preserve">leven programmes are advertised as </w:t>
      </w:r>
      <w:r w:rsidR="000C1AE1" w:rsidRPr="001272D0">
        <w:rPr>
          <w:rFonts w:ascii="Arial" w:eastAsia="Arial" w:hAnsi="Arial" w:cs="Arial"/>
          <w:bCs/>
          <w:sz w:val="24"/>
          <w:szCs w:val="24"/>
        </w:rPr>
        <w:t>P/T</w:t>
      </w:r>
      <w:r w:rsidR="00D8336A" w:rsidRPr="001272D0">
        <w:rPr>
          <w:rFonts w:ascii="Arial" w:eastAsia="Arial" w:hAnsi="Arial" w:cs="Arial"/>
          <w:bCs/>
          <w:sz w:val="24"/>
          <w:szCs w:val="24"/>
        </w:rPr>
        <w:t>,</w:t>
      </w:r>
      <w:r w:rsidR="00413DF6" w:rsidRPr="001272D0">
        <w:rPr>
          <w:rFonts w:ascii="Arial" w:eastAsia="Arial" w:hAnsi="Arial" w:cs="Arial"/>
          <w:bCs/>
          <w:sz w:val="24"/>
          <w:szCs w:val="24"/>
        </w:rPr>
        <w:t xml:space="preserve"> seven </w:t>
      </w:r>
      <w:r w:rsidR="009435B4" w:rsidRPr="001272D0">
        <w:rPr>
          <w:rFonts w:ascii="Arial" w:eastAsia="Arial" w:hAnsi="Arial" w:cs="Arial"/>
          <w:bCs/>
          <w:sz w:val="24"/>
          <w:szCs w:val="24"/>
        </w:rPr>
        <w:t>being</w:t>
      </w:r>
      <w:r w:rsidR="00413DF6" w:rsidRPr="001272D0">
        <w:rPr>
          <w:rFonts w:ascii="Arial" w:eastAsia="Arial" w:hAnsi="Arial" w:cs="Arial"/>
          <w:bCs/>
          <w:sz w:val="24"/>
          <w:szCs w:val="24"/>
        </w:rPr>
        <w:t xml:space="preserve"> apprenticeship</w:t>
      </w:r>
      <w:r w:rsidR="00D8336A" w:rsidRPr="001272D0">
        <w:rPr>
          <w:rFonts w:ascii="Arial" w:eastAsia="Arial" w:hAnsi="Arial" w:cs="Arial"/>
          <w:bCs/>
          <w:sz w:val="24"/>
          <w:szCs w:val="24"/>
        </w:rPr>
        <w:t>, requiring</w:t>
      </w:r>
      <w:r w:rsidR="00096EBF" w:rsidRPr="001272D0">
        <w:rPr>
          <w:rFonts w:ascii="Arial" w:eastAsia="Arial" w:hAnsi="Arial" w:cs="Arial"/>
          <w:bCs/>
          <w:sz w:val="24"/>
          <w:szCs w:val="24"/>
        </w:rPr>
        <w:t xml:space="preserve"> close and regular contact </w:t>
      </w:r>
      <w:r w:rsidR="0086547E" w:rsidRPr="001272D0">
        <w:rPr>
          <w:rFonts w:ascii="Arial" w:eastAsia="Arial" w:hAnsi="Arial" w:cs="Arial"/>
          <w:bCs/>
          <w:sz w:val="24"/>
          <w:szCs w:val="24"/>
        </w:rPr>
        <w:t>with an occupational therapist(s)</w:t>
      </w:r>
      <w:r w:rsidR="00D8336A" w:rsidRPr="001272D0">
        <w:rPr>
          <w:rFonts w:ascii="Arial" w:eastAsia="Arial" w:hAnsi="Arial" w:cs="Arial"/>
          <w:bCs/>
          <w:sz w:val="24"/>
          <w:szCs w:val="24"/>
        </w:rPr>
        <w:t>.</w:t>
      </w:r>
      <w:r w:rsidR="0086547E" w:rsidRPr="001272D0">
        <w:rPr>
          <w:rFonts w:ascii="Arial" w:eastAsia="Arial" w:hAnsi="Arial" w:cs="Arial"/>
          <w:bCs/>
          <w:sz w:val="24"/>
          <w:szCs w:val="24"/>
        </w:rPr>
        <w:t xml:space="preserve"> </w:t>
      </w:r>
      <w:r w:rsidR="00D8336A" w:rsidRPr="001272D0">
        <w:rPr>
          <w:rFonts w:ascii="Arial" w:eastAsia="Arial" w:hAnsi="Arial" w:cs="Arial"/>
          <w:bCs/>
          <w:sz w:val="24"/>
          <w:szCs w:val="24"/>
        </w:rPr>
        <w:t>T</w:t>
      </w:r>
      <w:r w:rsidR="0086547E" w:rsidRPr="001272D0">
        <w:rPr>
          <w:rFonts w:ascii="Arial" w:eastAsia="Arial" w:hAnsi="Arial" w:cs="Arial"/>
          <w:bCs/>
          <w:sz w:val="24"/>
          <w:szCs w:val="24"/>
        </w:rPr>
        <w:t>h</w:t>
      </w:r>
      <w:r w:rsidR="00541D13" w:rsidRPr="001272D0">
        <w:rPr>
          <w:rFonts w:ascii="Arial" w:eastAsia="Arial" w:hAnsi="Arial" w:cs="Arial"/>
          <w:bCs/>
          <w:sz w:val="24"/>
          <w:szCs w:val="24"/>
        </w:rPr>
        <w:t>is</w:t>
      </w:r>
      <w:r w:rsidR="0086547E" w:rsidRPr="001272D0">
        <w:rPr>
          <w:rFonts w:ascii="Arial" w:eastAsia="Arial" w:hAnsi="Arial" w:cs="Arial"/>
          <w:bCs/>
          <w:sz w:val="24"/>
          <w:szCs w:val="24"/>
        </w:rPr>
        <w:t xml:space="preserve"> option is </w:t>
      </w:r>
      <w:r w:rsidR="00D8336A" w:rsidRPr="001272D0">
        <w:rPr>
          <w:rFonts w:ascii="Arial" w:eastAsia="Arial" w:hAnsi="Arial" w:cs="Arial"/>
          <w:bCs/>
          <w:sz w:val="24"/>
          <w:szCs w:val="24"/>
        </w:rPr>
        <w:t xml:space="preserve">therefore </w:t>
      </w:r>
      <w:r w:rsidR="0086547E" w:rsidRPr="001272D0">
        <w:rPr>
          <w:rFonts w:ascii="Arial" w:eastAsia="Arial" w:hAnsi="Arial" w:cs="Arial"/>
          <w:bCs/>
          <w:sz w:val="24"/>
          <w:szCs w:val="24"/>
        </w:rPr>
        <w:t xml:space="preserve">only open to candidates who have secured employment with a service willing to support their education and </w:t>
      </w:r>
      <w:r w:rsidR="000C1AE1" w:rsidRPr="001272D0">
        <w:rPr>
          <w:rFonts w:ascii="Arial" w:eastAsia="Arial" w:hAnsi="Arial" w:cs="Arial"/>
          <w:bCs/>
          <w:sz w:val="24"/>
          <w:szCs w:val="24"/>
        </w:rPr>
        <w:t xml:space="preserve">who </w:t>
      </w:r>
      <w:r w:rsidR="0086547E" w:rsidRPr="001272D0">
        <w:rPr>
          <w:rFonts w:ascii="Arial" w:eastAsia="Arial" w:hAnsi="Arial" w:cs="Arial"/>
          <w:bCs/>
          <w:sz w:val="24"/>
          <w:szCs w:val="24"/>
        </w:rPr>
        <w:t xml:space="preserve">are able to commit to </w:t>
      </w:r>
      <w:r w:rsidR="00541D13" w:rsidRPr="001272D0">
        <w:rPr>
          <w:rFonts w:ascii="Arial" w:eastAsia="Arial" w:hAnsi="Arial" w:cs="Arial"/>
          <w:bCs/>
          <w:sz w:val="24"/>
          <w:szCs w:val="24"/>
        </w:rPr>
        <w:t xml:space="preserve">a </w:t>
      </w:r>
      <w:r w:rsidR="0086547E" w:rsidRPr="001272D0">
        <w:rPr>
          <w:rFonts w:ascii="Arial" w:eastAsia="Arial" w:hAnsi="Arial" w:cs="Arial"/>
          <w:bCs/>
          <w:sz w:val="24"/>
          <w:szCs w:val="24"/>
        </w:rPr>
        <w:t>combination of employment and study.</w:t>
      </w:r>
      <w:r w:rsidR="009F01A3" w:rsidRPr="001272D0">
        <w:rPr>
          <w:rFonts w:ascii="Arial" w:eastAsia="Arial" w:hAnsi="Arial" w:cs="Arial"/>
          <w:bCs/>
          <w:sz w:val="24"/>
          <w:szCs w:val="24"/>
        </w:rPr>
        <w:t xml:space="preserve"> </w:t>
      </w:r>
      <w:r w:rsidR="00981BB6" w:rsidRPr="001272D0">
        <w:rPr>
          <w:rFonts w:ascii="Arial" w:eastAsia="Arial" w:hAnsi="Arial" w:cs="Arial"/>
          <w:bCs/>
          <w:sz w:val="24"/>
          <w:szCs w:val="24"/>
        </w:rPr>
        <w:t>T</w:t>
      </w:r>
      <w:r w:rsidR="002C2D9A" w:rsidRPr="001272D0">
        <w:rPr>
          <w:rFonts w:ascii="Arial" w:eastAsia="Arial" w:hAnsi="Arial" w:cs="Arial"/>
          <w:bCs/>
          <w:sz w:val="24"/>
          <w:szCs w:val="24"/>
        </w:rPr>
        <w:t xml:space="preserve">his leaves four </w:t>
      </w:r>
      <w:r w:rsidR="00981BB6" w:rsidRPr="001272D0">
        <w:rPr>
          <w:rFonts w:ascii="Arial" w:eastAsia="Arial" w:hAnsi="Arial" w:cs="Arial"/>
          <w:bCs/>
          <w:sz w:val="24"/>
          <w:szCs w:val="24"/>
        </w:rPr>
        <w:t>programmes</w:t>
      </w:r>
      <w:r w:rsidR="00BB669D" w:rsidRPr="001272D0">
        <w:rPr>
          <w:rFonts w:ascii="Arial" w:eastAsia="Arial" w:hAnsi="Arial" w:cs="Arial"/>
          <w:bCs/>
          <w:sz w:val="24"/>
          <w:szCs w:val="24"/>
        </w:rPr>
        <w:t xml:space="preserve"> </w:t>
      </w:r>
      <w:r w:rsidR="002C2D9A" w:rsidRPr="001272D0">
        <w:rPr>
          <w:rFonts w:ascii="Arial" w:eastAsia="Arial" w:hAnsi="Arial" w:cs="Arial"/>
          <w:bCs/>
          <w:sz w:val="24"/>
          <w:szCs w:val="24"/>
        </w:rPr>
        <w:t xml:space="preserve">offering a P/T route via one MSc and three BSc. </w:t>
      </w:r>
      <w:r w:rsidR="00CC3157" w:rsidRPr="001272D0">
        <w:rPr>
          <w:rFonts w:ascii="Arial" w:eastAsia="Arial" w:hAnsi="Arial" w:cs="Arial"/>
          <w:bCs/>
          <w:sz w:val="24"/>
          <w:szCs w:val="24"/>
        </w:rPr>
        <w:t>With 6</w:t>
      </w:r>
      <w:r w:rsidR="002C2D9A" w:rsidRPr="001272D0">
        <w:rPr>
          <w:rFonts w:ascii="Arial" w:eastAsia="Arial" w:hAnsi="Arial" w:cs="Arial"/>
          <w:bCs/>
          <w:sz w:val="24"/>
          <w:szCs w:val="24"/>
        </w:rPr>
        <w:t>2%</w:t>
      </w:r>
      <w:r w:rsidR="00C23BE7" w:rsidRPr="001272D0">
        <w:rPr>
          <w:rFonts w:ascii="Arial" w:eastAsia="Arial" w:hAnsi="Arial" w:cs="Arial"/>
          <w:bCs/>
          <w:sz w:val="24"/>
          <w:szCs w:val="24"/>
        </w:rPr>
        <w:t xml:space="preserve"> of F/T</w:t>
      </w:r>
      <w:r w:rsidR="002C2D9A" w:rsidRPr="001272D0">
        <w:rPr>
          <w:rFonts w:ascii="Arial" w:eastAsia="Arial" w:hAnsi="Arial" w:cs="Arial"/>
          <w:bCs/>
          <w:sz w:val="24"/>
          <w:szCs w:val="24"/>
        </w:rPr>
        <w:t xml:space="preserve"> and 100%</w:t>
      </w:r>
      <w:r w:rsidR="00C23BE7" w:rsidRPr="001272D0">
        <w:rPr>
          <w:rFonts w:ascii="Arial" w:eastAsia="Arial" w:hAnsi="Arial" w:cs="Arial"/>
          <w:bCs/>
          <w:sz w:val="24"/>
          <w:szCs w:val="24"/>
        </w:rPr>
        <w:t xml:space="preserve"> of P/T</w:t>
      </w:r>
      <w:r w:rsidR="002C2D9A" w:rsidRPr="001272D0">
        <w:rPr>
          <w:rFonts w:ascii="Arial" w:eastAsia="Arial" w:hAnsi="Arial" w:cs="Arial"/>
          <w:bCs/>
          <w:sz w:val="24"/>
          <w:szCs w:val="24"/>
        </w:rPr>
        <w:t xml:space="preserve"> students aged 21 years and older </w:t>
      </w:r>
      <w:r w:rsidR="002C2D9A" w:rsidRPr="001272D0">
        <w:rPr>
          <w:rFonts w:ascii="Arial" w:eastAsia="Arial" w:hAnsi="Arial" w:cs="Arial"/>
          <w:bCs/>
          <w:sz w:val="24"/>
          <w:szCs w:val="24"/>
        </w:rPr>
        <w:fldChar w:fldCharType="begin" w:fldLock="1"/>
      </w:r>
      <w:r w:rsidR="002C2D9A" w:rsidRPr="001272D0">
        <w:rPr>
          <w:rFonts w:ascii="Arial" w:eastAsia="Arial" w:hAnsi="Arial" w:cs="Arial"/>
          <w:bCs/>
          <w:sz w:val="24"/>
          <w:szCs w:val="24"/>
        </w:rPr>
        <w:instrText>ADDIN CSL_CITATION {"citationItems":[{"id":"ITEM-1","itemData":{"ISBN":"9781119130536","ISSN":"02126389","author":[{"dropping-particle":"","family":"Royal College of Occupational Therapists","given":"","non-dropping-particle":"","parse-names":false,"suffix":""}],"id":"ITEM-1","issued":{"date-parts":[["2017"]]},"number-of-pages":"1-11","title":"Annual monitoring of accredited pre-registration programmes: Compiled annual monitoring report for the academic year 2017/18","type":"report"},"uris":["http://www.mendeley.com/documents/?uuid=47e23472-3d6e-4544-92d4-7f4903efa60a"]}],"mendeley":{"formattedCitation":"(Royal College of Occupational Therapists, 2017)","plainTextFormattedCitation":"(Royal College of Occupational Therapists, 2017)","previouslyFormattedCitation":"(Royal College of Occupational Therapists, 2017)"},"properties":{"noteIndex":0},"schema":"https://github.com/citation-style-language/schema/raw/master/csl-citation.json"}</w:instrText>
      </w:r>
      <w:r w:rsidR="002C2D9A" w:rsidRPr="001272D0">
        <w:rPr>
          <w:rFonts w:ascii="Arial" w:eastAsia="Arial" w:hAnsi="Arial" w:cs="Arial"/>
          <w:bCs/>
          <w:sz w:val="24"/>
          <w:szCs w:val="24"/>
        </w:rPr>
        <w:fldChar w:fldCharType="separate"/>
      </w:r>
      <w:r w:rsidR="002C2D9A" w:rsidRPr="001272D0">
        <w:rPr>
          <w:rFonts w:ascii="Arial" w:eastAsia="Arial" w:hAnsi="Arial" w:cs="Arial"/>
          <w:bCs/>
          <w:noProof/>
          <w:sz w:val="24"/>
          <w:szCs w:val="24"/>
        </w:rPr>
        <w:t>(Royal College of Occupational Therapists, 2017)</w:t>
      </w:r>
      <w:r w:rsidR="002C2D9A" w:rsidRPr="001272D0">
        <w:rPr>
          <w:rFonts w:ascii="Arial" w:eastAsia="Arial" w:hAnsi="Arial" w:cs="Arial"/>
          <w:bCs/>
          <w:sz w:val="24"/>
          <w:szCs w:val="24"/>
        </w:rPr>
        <w:fldChar w:fldCharType="end"/>
      </w:r>
      <w:r w:rsidR="002C2D9A" w:rsidRPr="001272D0">
        <w:rPr>
          <w:rFonts w:ascii="Arial" w:eastAsia="Arial" w:hAnsi="Arial" w:cs="Arial"/>
          <w:bCs/>
          <w:sz w:val="24"/>
          <w:szCs w:val="24"/>
        </w:rPr>
        <w:t xml:space="preserve">, mature students </w:t>
      </w:r>
      <w:r w:rsidR="0091650B" w:rsidRPr="001272D0">
        <w:rPr>
          <w:rFonts w:ascii="Arial" w:eastAsia="Arial" w:hAnsi="Arial" w:cs="Arial"/>
          <w:bCs/>
          <w:sz w:val="24"/>
          <w:szCs w:val="24"/>
        </w:rPr>
        <w:t xml:space="preserve">are </w:t>
      </w:r>
      <w:r w:rsidR="00025B29" w:rsidRPr="001272D0">
        <w:rPr>
          <w:rFonts w:ascii="Arial" w:eastAsia="Arial" w:hAnsi="Arial" w:cs="Arial"/>
          <w:bCs/>
          <w:sz w:val="24"/>
          <w:szCs w:val="24"/>
        </w:rPr>
        <w:t>clearly</w:t>
      </w:r>
      <w:r w:rsidR="0091650B" w:rsidRPr="001272D0">
        <w:rPr>
          <w:rFonts w:ascii="Arial" w:eastAsia="Arial" w:hAnsi="Arial" w:cs="Arial"/>
          <w:bCs/>
          <w:sz w:val="24"/>
          <w:szCs w:val="24"/>
        </w:rPr>
        <w:t xml:space="preserve"> attracted to and</w:t>
      </w:r>
      <w:r w:rsidR="00025B29" w:rsidRPr="001272D0">
        <w:rPr>
          <w:rFonts w:ascii="Arial" w:eastAsia="Arial" w:hAnsi="Arial" w:cs="Arial"/>
          <w:bCs/>
          <w:sz w:val="24"/>
          <w:szCs w:val="24"/>
        </w:rPr>
        <w:t xml:space="preserve"> access</w:t>
      </w:r>
      <w:r w:rsidR="00B46DA6" w:rsidRPr="001272D0">
        <w:rPr>
          <w:rFonts w:ascii="Arial" w:eastAsia="Arial" w:hAnsi="Arial" w:cs="Arial"/>
          <w:bCs/>
          <w:sz w:val="24"/>
          <w:szCs w:val="24"/>
        </w:rPr>
        <w:t>ing</w:t>
      </w:r>
      <w:r w:rsidR="002C2D9A" w:rsidRPr="001272D0">
        <w:rPr>
          <w:rFonts w:ascii="Arial" w:eastAsia="Arial" w:hAnsi="Arial" w:cs="Arial"/>
          <w:bCs/>
          <w:sz w:val="24"/>
          <w:szCs w:val="24"/>
        </w:rPr>
        <w:t xml:space="preserve"> the profession</w:t>
      </w:r>
      <w:bookmarkStart w:id="0" w:name="_Hlk90931766"/>
      <w:r w:rsidR="00F11A73" w:rsidRPr="001272D0">
        <w:rPr>
          <w:rFonts w:ascii="Arial" w:eastAsia="Arial" w:hAnsi="Arial" w:cs="Arial"/>
          <w:bCs/>
          <w:sz w:val="24"/>
          <w:szCs w:val="24"/>
        </w:rPr>
        <w:t xml:space="preserve">. </w:t>
      </w:r>
      <w:bookmarkEnd w:id="0"/>
      <w:r w:rsidR="0077706D" w:rsidRPr="001272D0">
        <w:rPr>
          <w:rFonts w:ascii="Arial" w:eastAsia="Arial" w:hAnsi="Arial" w:cs="Arial"/>
          <w:bCs/>
          <w:sz w:val="24"/>
          <w:szCs w:val="24"/>
        </w:rPr>
        <w:t xml:space="preserve">These students are likely to arrive with a non-traditional academic background as well as a wealth of life, work and prior learning experience </w:t>
      </w:r>
      <w:r w:rsidR="0077706D" w:rsidRPr="001272D0">
        <w:rPr>
          <w:rFonts w:ascii="Arial" w:eastAsia="Arial" w:hAnsi="Arial" w:cs="Arial"/>
          <w:bCs/>
          <w:sz w:val="24"/>
          <w:szCs w:val="24"/>
        </w:rPr>
        <w:fldChar w:fldCharType="begin" w:fldLock="1"/>
      </w:r>
      <w:r w:rsidR="0077706D" w:rsidRPr="001272D0">
        <w:rPr>
          <w:rFonts w:ascii="Arial" w:eastAsia="Arial" w:hAnsi="Arial" w:cs="Arial"/>
          <w:bCs/>
          <w:sz w:val="24"/>
          <w:szCs w:val="24"/>
        </w:rPr>
        <w:instrText>ADDIN CSL_CITATION {"citationItems":[{"id":"ITEM-1","itemData":{"DOI":"10.4276/030802213X13861576675169","ISSN":"03080226","abstract":"Introduction: United Kingdom government agendas promoting widening participation in higher education and diversification of the health and social care workforce have contributed to changing student profiles in pre-registration occupational therapy education. Sixty-seven percent of the 2005 intake was mature, and students increasingly enter with a range of 'non-traditional' academic backgrounds. A small body of evidence suggests that final degree marks are indistinguishable for occupational therapy students holding traditional and non-traditional entry qualifications, but none of these studies considered students unable to complete or the potential influence of socioeconomic background or gender. Method: The progression routes and academic achievements of 239 consenting occupational therapy students from a single programme were analysed using inferential statistics and binary logistic regressions to explore the influence of entry qualifications, age at entry, gender, and socioeconomic background. Findings: None of these characteristics had a statistically significant impact on graduates' final degree marks. The regressions, however, highlighted male gender and less privileged socioeconomic backgrounds as significant predictors of poorer outcomes regarding passing at Level 4, 5, and 6, and achievement of a 'good' (upper second or first class) honours degree. Conclusion: The findings raise important questions about how a profession that promotes social justice supports diversity amongst its own ranks. © The College of Occupational Therapists Ltd.","author":[{"dropping-particle":"","family":"Watson","given":"Jo","non-dropping-particle":"","parse-names":false,"suffix":""}],"container-title":"British Journal of Occupational Therapy","id":"ITEM-1","issue":"12","issued":{"date-parts":[["2013"]]},"page":"520-527","title":"Progression routes and attainment in occupational therapy education: The impact of background characteristics","type":"article-journal","volume":"76"},"uris":["http://www.mendeley.com/documents/?uuid=852ea006-4247-4a7e-843d-aeb74fc3266a"]}],"mendeley":{"formattedCitation":"(Watson, 2013)","plainTextFormattedCitation":"(Watson, 2013)","previouslyFormattedCitation":"(Watson, 2013)"},"properties":{"noteIndex":0},"schema":"https://github.com/citation-style-language/schema/raw/master/csl-citation.json"}</w:instrText>
      </w:r>
      <w:r w:rsidR="0077706D" w:rsidRPr="001272D0">
        <w:rPr>
          <w:rFonts w:ascii="Arial" w:eastAsia="Arial" w:hAnsi="Arial" w:cs="Arial"/>
          <w:bCs/>
          <w:sz w:val="24"/>
          <w:szCs w:val="24"/>
        </w:rPr>
        <w:fldChar w:fldCharType="separate"/>
      </w:r>
      <w:r w:rsidR="0077706D" w:rsidRPr="001272D0">
        <w:rPr>
          <w:rFonts w:ascii="Arial" w:eastAsia="Arial" w:hAnsi="Arial" w:cs="Arial"/>
          <w:bCs/>
          <w:noProof/>
          <w:sz w:val="24"/>
          <w:szCs w:val="24"/>
        </w:rPr>
        <w:t>(Watson, 2013)</w:t>
      </w:r>
      <w:r w:rsidR="0077706D" w:rsidRPr="001272D0">
        <w:rPr>
          <w:rFonts w:ascii="Arial" w:eastAsia="Arial" w:hAnsi="Arial" w:cs="Arial"/>
          <w:bCs/>
          <w:sz w:val="24"/>
          <w:szCs w:val="24"/>
        </w:rPr>
        <w:fldChar w:fldCharType="end"/>
      </w:r>
      <w:r w:rsidR="0077706D" w:rsidRPr="001272D0">
        <w:rPr>
          <w:rFonts w:ascii="Arial" w:eastAsia="Arial" w:hAnsi="Arial" w:cs="Arial"/>
          <w:bCs/>
          <w:sz w:val="24"/>
          <w:szCs w:val="24"/>
        </w:rPr>
        <w:t xml:space="preserve">. </w:t>
      </w:r>
      <w:r w:rsidR="00B46DA6" w:rsidRPr="001272D0">
        <w:rPr>
          <w:rFonts w:ascii="Arial" w:eastAsia="Arial" w:hAnsi="Arial" w:cs="Arial"/>
          <w:bCs/>
          <w:sz w:val="24"/>
          <w:szCs w:val="24"/>
        </w:rPr>
        <w:t xml:space="preserve">However, with </w:t>
      </w:r>
      <w:r w:rsidR="0084346D" w:rsidRPr="001272D0">
        <w:rPr>
          <w:rFonts w:ascii="Arial" w:eastAsia="Arial" w:hAnsi="Arial" w:cs="Arial"/>
          <w:bCs/>
          <w:sz w:val="24"/>
          <w:szCs w:val="24"/>
        </w:rPr>
        <w:t>so few P/T programmes available</w:t>
      </w:r>
      <w:r w:rsidR="00B46DA6" w:rsidRPr="001272D0">
        <w:rPr>
          <w:rFonts w:ascii="Arial" w:eastAsia="Arial" w:hAnsi="Arial" w:cs="Arial"/>
          <w:bCs/>
          <w:sz w:val="24"/>
          <w:szCs w:val="24"/>
        </w:rPr>
        <w:t xml:space="preserve"> nationally, </w:t>
      </w:r>
      <w:r w:rsidR="00EC518F" w:rsidRPr="001272D0">
        <w:rPr>
          <w:rFonts w:ascii="Arial" w:eastAsia="Arial" w:hAnsi="Arial" w:cs="Arial"/>
          <w:bCs/>
          <w:sz w:val="24"/>
          <w:szCs w:val="24"/>
        </w:rPr>
        <w:t>is it possible</w:t>
      </w:r>
      <w:r w:rsidR="003E4A73" w:rsidRPr="001272D0">
        <w:rPr>
          <w:rFonts w:ascii="Arial" w:eastAsia="Arial" w:hAnsi="Arial" w:cs="Arial"/>
          <w:bCs/>
          <w:sz w:val="24"/>
          <w:szCs w:val="24"/>
        </w:rPr>
        <w:t xml:space="preserve"> the profession is</w:t>
      </w:r>
      <w:r w:rsidR="00E86497" w:rsidRPr="001272D0">
        <w:rPr>
          <w:rFonts w:ascii="Arial" w:eastAsia="Arial" w:hAnsi="Arial" w:cs="Arial"/>
          <w:bCs/>
          <w:sz w:val="24"/>
          <w:szCs w:val="24"/>
        </w:rPr>
        <w:t xml:space="preserve"> limiting </w:t>
      </w:r>
      <w:r w:rsidR="0004531A" w:rsidRPr="001272D0">
        <w:rPr>
          <w:rFonts w:ascii="Arial" w:eastAsia="Arial" w:hAnsi="Arial" w:cs="Arial"/>
          <w:bCs/>
          <w:sz w:val="24"/>
          <w:szCs w:val="24"/>
        </w:rPr>
        <w:t xml:space="preserve">or preventing </w:t>
      </w:r>
      <w:r w:rsidR="00E86497" w:rsidRPr="001272D0">
        <w:rPr>
          <w:rFonts w:ascii="Arial" w:eastAsia="Arial" w:hAnsi="Arial" w:cs="Arial"/>
          <w:bCs/>
          <w:sz w:val="24"/>
          <w:szCs w:val="24"/>
        </w:rPr>
        <w:t xml:space="preserve">access </w:t>
      </w:r>
      <w:r w:rsidR="00FD4554" w:rsidRPr="001272D0">
        <w:rPr>
          <w:rFonts w:ascii="Arial" w:eastAsia="Arial" w:hAnsi="Arial" w:cs="Arial"/>
          <w:bCs/>
          <w:sz w:val="24"/>
          <w:szCs w:val="24"/>
        </w:rPr>
        <w:t>to</w:t>
      </w:r>
      <w:r w:rsidR="00E86497" w:rsidRPr="001272D0">
        <w:rPr>
          <w:rFonts w:ascii="Arial" w:eastAsia="Arial" w:hAnsi="Arial" w:cs="Arial"/>
          <w:bCs/>
          <w:sz w:val="24"/>
          <w:szCs w:val="24"/>
        </w:rPr>
        <w:t xml:space="preserve"> those who have </w:t>
      </w:r>
      <w:r w:rsidR="008A0A24" w:rsidRPr="001272D0">
        <w:rPr>
          <w:rFonts w:ascii="Arial" w:eastAsia="Arial" w:hAnsi="Arial" w:cs="Arial"/>
          <w:bCs/>
          <w:sz w:val="24"/>
          <w:szCs w:val="24"/>
        </w:rPr>
        <w:t>caring, financial or other life commitments</w:t>
      </w:r>
      <w:r w:rsidR="00403672" w:rsidRPr="001272D0">
        <w:rPr>
          <w:rFonts w:ascii="Arial" w:eastAsia="Arial" w:hAnsi="Arial" w:cs="Arial"/>
          <w:bCs/>
          <w:sz w:val="24"/>
          <w:szCs w:val="24"/>
        </w:rPr>
        <w:t xml:space="preserve">, while favouring those </w:t>
      </w:r>
      <w:r w:rsidR="00063C8D" w:rsidRPr="001272D0">
        <w:rPr>
          <w:rFonts w:ascii="Arial" w:eastAsia="Arial" w:hAnsi="Arial" w:cs="Arial"/>
          <w:bCs/>
          <w:sz w:val="24"/>
          <w:szCs w:val="24"/>
        </w:rPr>
        <w:t xml:space="preserve">with privileged </w:t>
      </w:r>
      <w:r w:rsidR="00403672" w:rsidRPr="001272D0">
        <w:rPr>
          <w:rFonts w:ascii="Arial" w:eastAsia="Arial" w:hAnsi="Arial" w:cs="Arial"/>
          <w:bCs/>
          <w:sz w:val="24"/>
          <w:szCs w:val="24"/>
        </w:rPr>
        <w:t xml:space="preserve">access </w:t>
      </w:r>
      <w:r w:rsidR="00063C8D" w:rsidRPr="001272D0">
        <w:rPr>
          <w:rFonts w:ascii="Arial" w:eastAsia="Arial" w:hAnsi="Arial" w:cs="Arial"/>
          <w:bCs/>
          <w:sz w:val="24"/>
          <w:szCs w:val="24"/>
        </w:rPr>
        <w:t xml:space="preserve">to </w:t>
      </w:r>
      <w:r w:rsidR="00403672" w:rsidRPr="001272D0">
        <w:rPr>
          <w:rFonts w:ascii="Arial" w:eastAsia="Arial" w:hAnsi="Arial" w:cs="Arial"/>
          <w:bCs/>
          <w:sz w:val="24"/>
          <w:szCs w:val="24"/>
        </w:rPr>
        <w:t>financial, physical, emotional, social and cultural support?</w:t>
      </w:r>
      <w:r w:rsidR="0085347A" w:rsidRPr="001272D0">
        <w:rPr>
          <w:rFonts w:ascii="Arial" w:eastAsia="Arial" w:hAnsi="Arial" w:cs="Arial"/>
          <w:bCs/>
          <w:sz w:val="24"/>
          <w:szCs w:val="24"/>
        </w:rPr>
        <w:t xml:space="preserve"> As highlighted by Watson (2013), there is an </w:t>
      </w:r>
      <w:r w:rsidR="00F518D9" w:rsidRPr="001272D0">
        <w:rPr>
          <w:rFonts w:ascii="Arial" w:eastAsia="Arial" w:hAnsi="Arial" w:cs="Arial"/>
          <w:bCs/>
          <w:sz w:val="24"/>
          <w:szCs w:val="24"/>
        </w:rPr>
        <w:t>“</w:t>
      </w:r>
      <w:r w:rsidR="0085347A" w:rsidRPr="001272D0">
        <w:rPr>
          <w:rFonts w:ascii="Arial" w:eastAsia="Arial" w:hAnsi="Arial" w:cs="Arial"/>
          <w:bCs/>
          <w:sz w:val="24"/>
          <w:szCs w:val="24"/>
        </w:rPr>
        <w:t>uncomfortable paradox</w:t>
      </w:r>
      <w:r w:rsidR="00F518D9" w:rsidRPr="001272D0">
        <w:rPr>
          <w:rFonts w:ascii="Arial" w:eastAsia="Arial" w:hAnsi="Arial" w:cs="Arial"/>
          <w:bCs/>
          <w:sz w:val="24"/>
          <w:szCs w:val="24"/>
        </w:rPr>
        <w:t>”</w:t>
      </w:r>
      <w:r w:rsidR="0085347A" w:rsidRPr="001272D0">
        <w:rPr>
          <w:rFonts w:ascii="Arial" w:eastAsia="Arial" w:hAnsi="Arial" w:cs="Arial"/>
          <w:bCs/>
          <w:sz w:val="24"/>
          <w:szCs w:val="24"/>
        </w:rPr>
        <w:t xml:space="preserve"> in valuing and supporting diversity in OT service user populations, while not doing the same with and for student populations</w:t>
      </w:r>
      <w:r w:rsidR="000E4B73" w:rsidRPr="001272D0">
        <w:rPr>
          <w:rFonts w:ascii="Arial" w:eastAsia="Arial" w:hAnsi="Arial" w:cs="Arial"/>
          <w:bCs/>
          <w:sz w:val="24"/>
          <w:szCs w:val="24"/>
        </w:rPr>
        <w:t xml:space="preserve"> (p.</w:t>
      </w:r>
      <w:r w:rsidR="00C60C76" w:rsidRPr="001272D0">
        <w:rPr>
          <w:rFonts w:ascii="Arial" w:eastAsia="Arial" w:hAnsi="Arial" w:cs="Arial"/>
          <w:bCs/>
          <w:sz w:val="24"/>
          <w:szCs w:val="24"/>
        </w:rPr>
        <w:t>526</w:t>
      </w:r>
      <w:r w:rsidR="000E4B73" w:rsidRPr="001272D0">
        <w:rPr>
          <w:rFonts w:ascii="Arial" w:eastAsia="Arial" w:hAnsi="Arial" w:cs="Arial"/>
          <w:bCs/>
          <w:sz w:val="24"/>
          <w:szCs w:val="24"/>
        </w:rPr>
        <w:t>)</w:t>
      </w:r>
      <w:r w:rsidR="0085347A" w:rsidRPr="001272D0">
        <w:rPr>
          <w:rFonts w:ascii="Arial" w:eastAsia="Arial" w:hAnsi="Arial" w:cs="Arial"/>
          <w:bCs/>
          <w:sz w:val="24"/>
          <w:szCs w:val="24"/>
        </w:rPr>
        <w:t xml:space="preserve">. </w:t>
      </w:r>
    </w:p>
    <w:p w14:paraId="784A322F" w14:textId="77777777" w:rsidR="00B76582" w:rsidRPr="001272D0" w:rsidRDefault="00B76582" w:rsidP="00D258D5">
      <w:pPr>
        <w:pBdr>
          <w:top w:val="nil"/>
          <w:left w:val="nil"/>
          <w:bottom w:val="nil"/>
          <w:right w:val="nil"/>
          <w:between w:val="nil"/>
        </w:pBdr>
        <w:spacing w:after="0" w:line="240" w:lineRule="auto"/>
        <w:jc w:val="both"/>
        <w:rPr>
          <w:rFonts w:ascii="Arial" w:eastAsia="Arial" w:hAnsi="Arial" w:cs="Arial"/>
          <w:bCs/>
          <w:sz w:val="24"/>
          <w:szCs w:val="24"/>
        </w:rPr>
      </w:pPr>
    </w:p>
    <w:p w14:paraId="4C1D9FC4" w14:textId="168DFB6F" w:rsidR="00D258D5" w:rsidRPr="001272D0" w:rsidRDefault="00B76582" w:rsidP="00246C0C">
      <w:pPr>
        <w:pBdr>
          <w:top w:val="nil"/>
          <w:left w:val="nil"/>
          <w:bottom w:val="nil"/>
          <w:right w:val="nil"/>
          <w:between w:val="nil"/>
        </w:pBdr>
        <w:spacing w:after="0" w:line="240" w:lineRule="auto"/>
        <w:jc w:val="both"/>
        <w:rPr>
          <w:rFonts w:ascii="Arial" w:eastAsia="Arial" w:hAnsi="Arial" w:cs="Arial"/>
          <w:b/>
          <w:sz w:val="24"/>
          <w:szCs w:val="24"/>
        </w:rPr>
      </w:pPr>
      <w:r w:rsidRPr="001272D0">
        <w:rPr>
          <w:rFonts w:ascii="Arial" w:eastAsia="Arial" w:hAnsi="Arial" w:cs="Arial"/>
          <w:b/>
          <w:sz w:val="24"/>
          <w:szCs w:val="24"/>
        </w:rPr>
        <w:t>Academic entry criteria</w:t>
      </w:r>
    </w:p>
    <w:p w14:paraId="6019534A" w14:textId="69AA70BB" w:rsidR="00D5154A" w:rsidRPr="001272D0" w:rsidRDefault="002C2D9A" w:rsidP="007934DB">
      <w:pPr>
        <w:pBdr>
          <w:top w:val="nil"/>
          <w:left w:val="nil"/>
          <w:bottom w:val="nil"/>
          <w:right w:val="nil"/>
          <w:between w:val="nil"/>
        </w:pBdr>
        <w:spacing w:after="0" w:line="240" w:lineRule="auto"/>
        <w:jc w:val="both"/>
        <w:rPr>
          <w:rFonts w:ascii="Arial" w:eastAsia="Arial" w:hAnsi="Arial" w:cs="Arial"/>
          <w:bCs/>
          <w:sz w:val="24"/>
          <w:szCs w:val="24"/>
        </w:rPr>
      </w:pPr>
      <w:bookmarkStart w:id="1" w:name="_Hlk90932956"/>
      <w:r w:rsidRPr="001272D0">
        <w:rPr>
          <w:rFonts w:ascii="Arial" w:eastAsia="Arial" w:hAnsi="Arial" w:cs="Arial"/>
          <w:bCs/>
          <w:sz w:val="24"/>
          <w:szCs w:val="24"/>
        </w:rPr>
        <w:t xml:space="preserve">Despite clear gaps in the </w:t>
      </w:r>
      <w:r w:rsidR="00A45ACC" w:rsidRPr="001272D0">
        <w:rPr>
          <w:rFonts w:ascii="Arial" w:eastAsia="Arial" w:hAnsi="Arial" w:cs="Arial"/>
          <w:bCs/>
          <w:sz w:val="24"/>
          <w:szCs w:val="24"/>
        </w:rPr>
        <w:t>visibility of academic entry criteria across all programmes</w:t>
      </w:r>
      <w:r w:rsidRPr="001272D0">
        <w:rPr>
          <w:rFonts w:ascii="Arial" w:eastAsia="Arial" w:hAnsi="Arial" w:cs="Arial"/>
          <w:bCs/>
          <w:sz w:val="24"/>
          <w:szCs w:val="24"/>
        </w:rPr>
        <w:t xml:space="preserve">, there are some consistencies. </w:t>
      </w:r>
      <w:r w:rsidR="005A74B4" w:rsidRPr="001272D0">
        <w:rPr>
          <w:rFonts w:ascii="Arial" w:eastAsia="Arial" w:hAnsi="Arial" w:cs="Arial"/>
          <w:bCs/>
          <w:sz w:val="24"/>
          <w:szCs w:val="24"/>
        </w:rPr>
        <w:t>D</w:t>
      </w:r>
      <w:r w:rsidR="009261B1" w:rsidRPr="001272D0">
        <w:rPr>
          <w:rFonts w:ascii="Arial" w:eastAsia="Arial" w:hAnsi="Arial" w:cs="Arial"/>
          <w:bCs/>
          <w:sz w:val="24"/>
          <w:szCs w:val="24"/>
        </w:rPr>
        <w:t>ata</w:t>
      </w:r>
      <w:r w:rsidRPr="001272D0">
        <w:rPr>
          <w:rFonts w:ascii="Arial" w:eastAsia="Arial" w:hAnsi="Arial" w:cs="Arial"/>
          <w:bCs/>
          <w:sz w:val="24"/>
          <w:szCs w:val="24"/>
        </w:rPr>
        <w:t xml:space="preserve"> suggests an applicant is more likely to find clear and consistent academic entry criteria if they have taken or are taking ‘traditional’ qualifications; namely GCSEs, A-Levels and/or a BSc degree.</w:t>
      </w:r>
      <w:bookmarkEnd w:id="1"/>
      <w:r w:rsidRPr="001272D0">
        <w:rPr>
          <w:rFonts w:ascii="Arial" w:eastAsia="Arial" w:hAnsi="Arial" w:cs="Arial"/>
          <w:bCs/>
          <w:sz w:val="24"/>
          <w:szCs w:val="24"/>
        </w:rPr>
        <w:t xml:space="preserve"> </w:t>
      </w:r>
      <w:r w:rsidR="00272C2F" w:rsidRPr="001272D0">
        <w:rPr>
          <w:rFonts w:ascii="Arial" w:eastAsia="Arial" w:hAnsi="Arial" w:cs="Arial"/>
          <w:bCs/>
          <w:sz w:val="24"/>
          <w:szCs w:val="24"/>
        </w:rPr>
        <w:t>However, e</w:t>
      </w:r>
      <w:r w:rsidR="00986E6B" w:rsidRPr="001272D0">
        <w:rPr>
          <w:rFonts w:ascii="Arial" w:eastAsia="Arial" w:hAnsi="Arial" w:cs="Arial"/>
          <w:bCs/>
          <w:sz w:val="24"/>
          <w:szCs w:val="24"/>
        </w:rPr>
        <w:t>quity between different Level 3 academic qualifications is variable</w:t>
      </w:r>
      <w:bookmarkStart w:id="2" w:name="_Hlk90929797"/>
      <w:r w:rsidR="008B697C" w:rsidRPr="001272D0">
        <w:rPr>
          <w:rFonts w:ascii="Arial" w:eastAsia="Arial" w:hAnsi="Arial" w:cs="Arial"/>
          <w:bCs/>
          <w:sz w:val="24"/>
          <w:szCs w:val="24"/>
        </w:rPr>
        <w:t xml:space="preserve">, as </w:t>
      </w:r>
      <w:r w:rsidRPr="001272D0">
        <w:rPr>
          <w:rFonts w:ascii="Arial" w:eastAsia="Arial" w:hAnsi="Arial" w:cs="Arial"/>
          <w:bCs/>
          <w:sz w:val="24"/>
          <w:szCs w:val="24"/>
        </w:rPr>
        <w:t>eviden</w:t>
      </w:r>
      <w:r w:rsidR="008B697C" w:rsidRPr="001272D0">
        <w:rPr>
          <w:rFonts w:ascii="Arial" w:eastAsia="Arial" w:hAnsi="Arial" w:cs="Arial"/>
          <w:bCs/>
          <w:sz w:val="24"/>
          <w:szCs w:val="24"/>
        </w:rPr>
        <w:t>ced</w:t>
      </w:r>
      <w:r w:rsidRPr="001272D0">
        <w:rPr>
          <w:rFonts w:ascii="Arial" w:eastAsia="Arial" w:hAnsi="Arial" w:cs="Arial"/>
          <w:bCs/>
          <w:sz w:val="24"/>
          <w:szCs w:val="24"/>
        </w:rPr>
        <w:t xml:space="preserve"> when minimum ranges of tariff points are compared between A-Levels (96 – 128 tariff points); Access to HE (64 – 128 tariff points) and BTEC (104 – 144 tariff points)</w:t>
      </w:r>
      <w:r w:rsidR="008B697C" w:rsidRPr="001272D0">
        <w:rPr>
          <w:rFonts w:ascii="Arial" w:eastAsia="Arial" w:hAnsi="Arial" w:cs="Arial"/>
          <w:bCs/>
          <w:sz w:val="24"/>
          <w:szCs w:val="24"/>
        </w:rPr>
        <w:t>.</w:t>
      </w:r>
      <w:r w:rsidRPr="001272D0">
        <w:rPr>
          <w:rFonts w:ascii="Arial" w:eastAsia="Arial" w:hAnsi="Arial" w:cs="Arial"/>
          <w:bCs/>
          <w:sz w:val="24"/>
          <w:szCs w:val="24"/>
        </w:rPr>
        <w:t xml:space="preserve"> </w:t>
      </w:r>
      <w:r w:rsidR="008B697C" w:rsidRPr="001272D0">
        <w:rPr>
          <w:rFonts w:ascii="Arial" w:eastAsia="Arial" w:hAnsi="Arial" w:cs="Arial"/>
          <w:bCs/>
          <w:sz w:val="24"/>
          <w:szCs w:val="24"/>
        </w:rPr>
        <w:t>This suggests</w:t>
      </w:r>
      <w:r w:rsidRPr="001272D0">
        <w:rPr>
          <w:rFonts w:ascii="Arial" w:eastAsia="Arial" w:hAnsi="Arial" w:cs="Arial"/>
          <w:bCs/>
          <w:sz w:val="24"/>
          <w:szCs w:val="24"/>
        </w:rPr>
        <w:t xml:space="preserve"> BTEC students are expected to perform higher than A-Level students and further still to Access to HE students</w:t>
      </w:r>
      <w:r w:rsidR="00EC3DBF" w:rsidRPr="001272D0">
        <w:rPr>
          <w:rFonts w:ascii="Arial" w:eastAsia="Arial" w:hAnsi="Arial" w:cs="Arial"/>
          <w:bCs/>
          <w:sz w:val="24"/>
          <w:szCs w:val="24"/>
        </w:rPr>
        <w:t xml:space="preserve">. </w:t>
      </w:r>
      <w:bookmarkEnd w:id="2"/>
      <w:r w:rsidR="00697C29" w:rsidRPr="001272D0">
        <w:rPr>
          <w:rFonts w:ascii="Arial" w:eastAsia="Arial" w:hAnsi="Arial" w:cs="Arial"/>
          <w:bCs/>
          <w:sz w:val="24"/>
          <w:szCs w:val="24"/>
        </w:rPr>
        <w:t>Even so, c</w:t>
      </w:r>
      <w:r w:rsidR="00CB00CD" w:rsidRPr="001272D0">
        <w:rPr>
          <w:rFonts w:ascii="Arial" w:eastAsia="Arial" w:hAnsi="Arial" w:cs="Arial"/>
          <w:bCs/>
          <w:sz w:val="24"/>
          <w:szCs w:val="24"/>
        </w:rPr>
        <w:t>aution</w:t>
      </w:r>
      <w:r w:rsidR="008B697C" w:rsidRPr="001272D0">
        <w:rPr>
          <w:rFonts w:ascii="Arial" w:eastAsia="Arial" w:hAnsi="Arial" w:cs="Arial"/>
          <w:bCs/>
          <w:sz w:val="24"/>
          <w:szCs w:val="24"/>
        </w:rPr>
        <w:t xml:space="preserve"> m</w:t>
      </w:r>
      <w:r w:rsidR="00697C29" w:rsidRPr="001272D0">
        <w:rPr>
          <w:rFonts w:ascii="Arial" w:eastAsia="Arial" w:hAnsi="Arial" w:cs="Arial"/>
          <w:bCs/>
          <w:sz w:val="24"/>
          <w:szCs w:val="24"/>
        </w:rPr>
        <w:t xml:space="preserve">ust </w:t>
      </w:r>
      <w:r w:rsidR="008B697C" w:rsidRPr="001272D0">
        <w:rPr>
          <w:rFonts w:ascii="Arial" w:eastAsia="Arial" w:hAnsi="Arial" w:cs="Arial"/>
          <w:bCs/>
          <w:sz w:val="24"/>
          <w:szCs w:val="24"/>
        </w:rPr>
        <w:t>be</w:t>
      </w:r>
      <w:r w:rsidR="00915779" w:rsidRPr="001272D0">
        <w:rPr>
          <w:rFonts w:ascii="Arial" w:eastAsia="Arial" w:hAnsi="Arial" w:cs="Arial"/>
          <w:bCs/>
          <w:sz w:val="24"/>
          <w:szCs w:val="24"/>
        </w:rPr>
        <w:t xml:space="preserve"> </w:t>
      </w:r>
      <w:r w:rsidR="002C352F" w:rsidRPr="001272D0">
        <w:rPr>
          <w:rFonts w:ascii="Arial" w:eastAsia="Arial" w:hAnsi="Arial" w:cs="Arial"/>
          <w:bCs/>
          <w:sz w:val="24"/>
          <w:szCs w:val="24"/>
        </w:rPr>
        <w:t>exercised</w:t>
      </w:r>
      <w:r w:rsidR="00CB00CD" w:rsidRPr="001272D0">
        <w:rPr>
          <w:rFonts w:ascii="Arial" w:eastAsia="Arial" w:hAnsi="Arial" w:cs="Arial"/>
          <w:bCs/>
          <w:sz w:val="24"/>
          <w:szCs w:val="24"/>
        </w:rPr>
        <w:t xml:space="preserve"> due to the</w:t>
      </w:r>
      <w:r w:rsidR="000F6E0F" w:rsidRPr="001272D0">
        <w:rPr>
          <w:rFonts w:ascii="Arial" w:eastAsia="Arial" w:hAnsi="Arial" w:cs="Arial"/>
          <w:bCs/>
          <w:sz w:val="24"/>
          <w:szCs w:val="24"/>
        </w:rPr>
        <w:t xml:space="preserve"> varying</w:t>
      </w:r>
      <w:r w:rsidR="00CB00CD" w:rsidRPr="001272D0">
        <w:rPr>
          <w:rFonts w:ascii="Arial" w:eastAsia="Arial" w:hAnsi="Arial" w:cs="Arial"/>
          <w:bCs/>
          <w:sz w:val="24"/>
          <w:szCs w:val="24"/>
        </w:rPr>
        <w:t xml:space="preserve"> number of programmes </w:t>
      </w:r>
      <w:r w:rsidR="005A00B4" w:rsidRPr="001272D0">
        <w:rPr>
          <w:rFonts w:ascii="Arial" w:eastAsia="Arial" w:hAnsi="Arial" w:cs="Arial"/>
          <w:bCs/>
          <w:sz w:val="24"/>
          <w:szCs w:val="24"/>
        </w:rPr>
        <w:t xml:space="preserve">who </w:t>
      </w:r>
      <w:r w:rsidR="00B03C67" w:rsidRPr="001272D0">
        <w:rPr>
          <w:rFonts w:ascii="Arial" w:eastAsia="Arial" w:hAnsi="Arial" w:cs="Arial"/>
          <w:bCs/>
          <w:sz w:val="24"/>
          <w:szCs w:val="24"/>
        </w:rPr>
        <w:t>do not publish</w:t>
      </w:r>
      <w:r w:rsidR="00CB00CD" w:rsidRPr="001272D0">
        <w:rPr>
          <w:rFonts w:ascii="Arial" w:eastAsia="Arial" w:hAnsi="Arial" w:cs="Arial"/>
          <w:bCs/>
          <w:sz w:val="24"/>
          <w:szCs w:val="24"/>
        </w:rPr>
        <w:t xml:space="preserve"> entry criteria for Access to HE (</w:t>
      </w:r>
      <w:r w:rsidR="004428C4" w:rsidRPr="001272D0">
        <w:rPr>
          <w:rFonts w:ascii="Arial" w:eastAsia="Arial" w:hAnsi="Arial" w:cs="Arial"/>
          <w:bCs/>
          <w:i/>
          <w:iCs/>
          <w:sz w:val="24"/>
          <w:szCs w:val="24"/>
        </w:rPr>
        <w:t>n=</w:t>
      </w:r>
      <w:r w:rsidR="004428C4" w:rsidRPr="001272D0">
        <w:rPr>
          <w:rFonts w:ascii="Arial" w:eastAsia="Arial" w:hAnsi="Arial" w:cs="Arial"/>
          <w:bCs/>
          <w:sz w:val="24"/>
          <w:szCs w:val="24"/>
        </w:rPr>
        <w:t xml:space="preserve">18) </w:t>
      </w:r>
      <w:r w:rsidR="00BB5323" w:rsidRPr="001272D0">
        <w:rPr>
          <w:rFonts w:ascii="Arial" w:eastAsia="Arial" w:hAnsi="Arial" w:cs="Arial"/>
          <w:bCs/>
          <w:sz w:val="24"/>
          <w:szCs w:val="24"/>
        </w:rPr>
        <w:t>or</w:t>
      </w:r>
      <w:r w:rsidR="004428C4" w:rsidRPr="001272D0">
        <w:rPr>
          <w:rFonts w:ascii="Arial" w:eastAsia="Arial" w:hAnsi="Arial" w:cs="Arial"/>
          <w:bCs/>
          <w:sz w:val="24"/>
          <w:szCs w:val="24"/>
        </w:rPr>
        <w:t xml:space="preserve"> BTEC (</w:t>
      </w:r>
      <w:r w:rsidR="00E951BD" w:rsidRPr="001272D0">
        <w:rPr>
          <w:rFonts w:ascii="Arial" w:eastAsia="Arial" w:hAnsi="Arial" w:cs="Arial"/>
          <w:bCs/>
          <w:sz w:val="24"/>
          <w:szCs w:val="24"/>
        </w:rPr>
        <w:t>Extended Diploma</w:t>
      </w:r>
      <w:r w:rsidR="00E951BD" w:rsidRPr="001272D0">
        <w:rPr>
          <w:rFonts w:ascii="Arial" w:eastAsia="Arial" w:hAnsi="Arial" w:cs="Arial"/>
          <w:bCs/>
          <w:i/>
          <w:iCs/>
          <w:sz w:val="24"/>
          <w:szCs w:val="24"/>
        </w:rPr>
        <w:t xml:space="preserve">, </w:t>
      </w:r>
      <w:r w:rsidR="0097670E" w:rsidRPr="001272D0">
        <w:rPr>
          <w:rFonts w:ascii="Arial" w:eastAsia="Arial" w:hAnsi="Arial" w:cs="Arial"/>
          <w:bCs/>
          <w:i/>
          <w:iCs/>
          <w:sz w:val="24"/>
          <w:szCs w:val="24"/>
        </w:rPr>
        <w:t>n=</w:t>
      </w:r>
      <w:r w:rsidR="0097670E" w:rsidRPr="001272D0">
        <w:rPr>
          <w:rFonts w:ascii="Arial" w:eastAsia="Arial" w:hAnsi="Arial" w:cs="Arial"/>
          <w:bCs/>
          <w:sz w:val="24"/>
          <w:szCs w:val="24"/>
        </w:rPr>
        <w:t>15</w:t>
      </w:r>
      <w:r w:rsidR="00314FB8" w:rsidRPr="001272D0">
        <w:rPr>
          <w:rFonts w:ascii="Arial" w:eastAsia="Arial" w:hAnsi="Arial" w:cs="Arial"/>
          <w:bCs/>
          <w:sz w:val="24"/>
          <w:szCs w:val="24"/>
        </w:rPr>
        <w:t xml:space="preserve">; </w:t>
      </w:r>
      <w:r w:rsidR="00E951BD" w:rsidRPr="001272D0">
        <w:rPr>
          <w:rFonts w:ascii="Arial" w:eastAsia="Arial" w:hAnsi="Arial" w:cs="Arial"/>
          <w:bCs/>
          <w:sz w:val="24"/>
          <w:szCs w:val="24"/>
        </w:rPr>
        <w:t>Diploma</w:t>
      </w:r>
      <w:r w:rsidR="00E951BD" w:rsidRPr="001272D0">
        <w:rPr>
          <w:rFonts w:ascii="Arial" w:eastAsia="Arial" w:hAnsi="Arial" w:cs="Arial"/>
          <w:bCs/>
          <w:i/>
          <w:iCs/>
          <w:sz w:val="24"/>
          <w:szCs w:val="24"/>
        </w:rPr>
        <w:t xml:space="preserve">, </w:t>
      </w:r>
      <w:r w:rsidR="001B6586" w:rsidRPr="001272D0">
        <w:rPr>
          <w:rFonts w:ascii="Arial" w:eastAsia="Arial" w:hAnsi="Arial" w:cs="Arial"/>
          <w:bCs/>
          <w:i/>
          <w:iCs/>
          <w:sz w:val="24"/>
          <w:szCs w:val="24"/>
        </w:rPr>
        <w:t>n=</w:t>
      </w:r>
      <w:r w:rsidR="00314FB8" w:rsidRPr="001272D0">
        <w:rPr>
          <w:rFonts w:ascii="Arial" w:eastAsia="Arial" w:hAnsi="Arial" w:cs="Arial"/>
          <w:bCs/>
          <w:sz w:val="24"/>
          <w:szCs w:val="24"/>
        </w:rPr>
        <w:t>37</w:t>
      </w:r>
      <w:r w:rsidR="001B6586" w:rsidRPr="001272D0">
        <w:rPr>
          <w:rFonts w:ascii="Arial" w:eastAsia="Arial" w:hAnsi="Arial" w:cs="Arial"/>
          <w:bCs/>
          <w:sz w:val="24"/>
          <w:szCs w:val="24"/>
        </w:rPr>
        <w:t xml:space="preserve">; </w:t>
      </w:r>
      <w:r w:rsidR="00E951BD" w:rsidRPr="001272D0">
        <w:rPr>
          <w:rFonts w:ascii="Arial" w:eastAsia="Arial" w:hAnsi="Arial" w:cs="Arial"/>
          <w:bCs/>
          <w:sz w:val="24"/>
          <w:szCs w:val="24"/>
        </w:rPr>
        <w:t>Extended Certificate/Subsidiary Diploma</w:t>
      </w:r>
      <w:r w:rsidR="00D52012" w:rsidRPr="001272D0">
        <w:rPr>
          <w:rFonts w:ascii="Arial" w:eastAsia="Arial" w:hAnsi="Arial" w:cs="Arial"/>
          <w:bCs/>
          <w:i/>
          <w:iCs/>
          <w:sz w:val="24"/>
          <w:szCs w:val="24"/>
        </w:rPr>
        <w:t xml:space="preserve">, </w:t>
      </w:r>
      <w:r w:rsidR="00314FB8" w:rsidRPr="001272D0">
        <w:rPr>
          <w:rFonts w:ascii="Arial" w:eastAsia="Arial" w:hAnsi="Arial" w:cs="Arial"/>
          <w:bCs/>
          <w:i/>
          <w:iCs/>
          <w:sz w:val="24"/>
          <w:szCs w:val="24"/>
        </w:rPr>
        <w:t>n</w:t>
      </w:r>
      <w:r w:rsidR="001B6586" w:rsidRPr="001272D0">
        <w:rPr>
          <w:rFonts w:ascii="Arial" w:eastAsia="Arial" w:hAnsi="Arial" w:cs="Arial"/>
          <w:bCs/>
          <w:sz w:val="24"/>
          <w:szCs w:val="24"/>
        </w:rPr>
        <w:t>=</w:t>
      </w:r>
      <w:r w:rsidR="00314FB8" w:rsidRPr="001272D0">
        <w:rPr>
          <w:rFonts w:ascii="Arial" w:eastAsia="Arial" w:hAnsi="Arial" w:cs="Arial"/>
          <w:bCs/>
          <w:sz w:val="24"/>
          <w:szCs w:val="24"/>
        </w:rPr>
        <w:t>43</w:t>
      </w:r>
      <w:r w:rsidR="001B6586" w:rsidRPr="001272D0">
        <w:rPr>
          <w:rFonts w:ascii="Arial" w:eastAsia="Arial" w:hAnsi="Arial" w:cs="Arial"/>
          <w:bCs/>
          <w:sz w:val="24"/>
          <w:szCs w:val="24"/>
        </w:rPr>
        <w:t>)</w:t>
      </w:r>
      <w:r w:rsidR="00B03C67" w:rsidRPr="001272D0">
        <w:rPr>
          <w:rFonts w:ascii="Arial" w:eastAsia="Arial" w:hAnsi="Arial" w:cs="Arial"/>
          <w:bCs/>
          <w:sz w:val="24"/>
          <w:szCs w:val="24"/>
        </w:rPr>
        <w:t>, compared</w:t>
      </w:r>
      <w:r w:rsidR="00847A90" w:rsidRPr="001272D0">
        <w:rPr>
          <w:rFonts w:ascii="Arial" w:eastAsia="Arial" w:hAnsi="Arial" w:cs="Arial"/>
          <w:bCs/>
          <w:sz w:val="24"/>
          <w:szCs w:val="24"/>
        </w:rPr>
        <w:t xml:space="preserve"> to A-Levels (</w:t>
      </w:r>
      <w:r w:rsidR="00847A90" w:rsidRPr="001272D0">
        <w:rPr>
          <w:rFonts w:ascii="Arial" w:eastAsia="Arial" w:hAnsi="Arial" w:cs="Arial"/>
          <w:bCs/>
          <w:i/>
          <w:iCs/>
          <w:sz w:val="24"/>
          <w:szCs w:val="24"/>
        </w:rPr>
        <w:t>n=</w:t>
      </w:r>
      <w:r w:rsidR="00847A90" w:rsidRPr="001272D0">
        <w:rPr>
          <w:rFonts w:ascii="Arial" w:eastAsia="Arial" w:hAnsi="Arial" w:cs="Arial"/>
          <w:bCs/>
          <w:sz w:val="24"/>
          <w:szCs w:val="24"/>
        </w:rPr>
        <w:t xml:space="preserve">4). </w:t>
      </w:r>
      <w:r w:rsidR="00A0020E" w:rsidRPr="001272D0">
        <w:rPr>
          <w:rFonts w:ascii="Arial" w:eastAsia="Arial" w:hAnsi="Arial" w:cs="Arial"/>
          <w:bCs/>
          <w:sz w:val="24"/>
          <w:szCs w:val="24"/>
        </w:rPr>
        <w:t>Furthermore</w:t>
      </w:r>
      <w:r w:rsidRPr="001272D0">
        <w:rPr>
          <w:rFonts w:ascii="Arial" w:eastAsia="Arial" w:hAnsi="Arial" w:cs="Arial"/>
          <w:bCs/>
          <w:iCs/>
          <w:sz w:val="24"/>
          <w:szCs w:val="24"/>
        </w:rPr>
        <w:t xml:space="preserve">, not all tariff point options </w:t>
      </w:r>
      <w:r w:rsidR="000C1C08" w:rsidRPr="001272D0">
        <w:rPr>
          <w:rFonts w:ascii="Arial" w:eastAsia="Arial" w:hAnsi="Arial" w:cs="Arial"/>
          <w:bCs/>
          <w:iCs/>
          <w:sz w:val="24"/>
          <w:szCs w:val="24"/>
        </w:rPr>
        <w:t>for</w:t>
      </w:r>
      <w:r w:rsidRPr="001272D0">
        <w:rPr>
          <w:rFonts w:ascii="Arial" w:eastAsia="Arial" w:hAnsi="Arial" w:cs="Arial"/>
          <w:bCs/>
          <w:iCs/>
          <w:sz w:val="24"/>
          <w:szCs w:val="24"/>
        </w:rPr>
        <w:t xml:space="preserve"> Access to HE, BTEC, Scottish, Irish, Welsh and European equivalents are easily transferrable or comparable to A-Level tariff equivalencies. As there is such limited data available (A-Levels aside), candidates looking to enter with an alternative Level 3 qualification </w:t>
      </w:r>
      <w:r w:rsidR="00F518D9" w:rsidRPr="001272D0">
        <w:rPr>
          <w:rFonts w:ascii="Arial" w:eastAsia="Arial" w:hAnsi="Arial" w:cs="Arial"/>
          <w:bCs/>
          <w:iCs/>
          <w:sz w:val="24"/>
          <w:szCs w:val="24"/>
        </w:rPr>
        <w:t>may</w:t>
      </w:r>
      <w:r w:rsidRPr="001272D0">
        <w:rPr>
          <w:rFonts w:ascii="Arial" w:eastAsia="Arial" w:hAnsi="Arial" w:cs="Arial"/>
          <w:bCs/>
          <w:iCs/>
          <w:sz w:val="24"/>
          <w:szCs w:val="24"/>
        </w:rPr>
        <w:t xml:space="preserve"> find the system difficult to navigate. Without further investigation and effort from the candidate, these combined factors </w:t>
      </w:r>
      <w:r w:rsidRPr="001272D0">
        <w:rPr>
          <w:rFonts w:ascii="Arial" w:eastAsia="Arial" w:hAnsi="Arial" w:cs="Arial"/>
          <w:bCs/>
          <w:sz w:val="24"/>
          <w:szCs w:val="24"/>
        </w:rPr>
        <w:t xml:space="preserve">highlight a system that lacks demonstrable fairness across qualifications that carry the same credits. </w:t>
      </w:r>
    </w:p>
    <w:p w14:paraId="7FC6175D" w14:textId="63341513" w:rsidR="00420A91" w:rsidRPr="001272D0" w:rsidRDefault="002C2D9A" w:rsidP="007934DB">
      <w:pPr>
        <w:pBdr>
          <w:top w:val="nil"/>
          <w:left w:val="nil"/>
          <w:bottom w:val="nil"/>
          <w:right w:val="nil"/>
          <w:between w:val="nil"/>
        </w:pBdr>
        <w:spacing w:after="0" w:line="240" w:lineRule="auto"/>
        <w:jc w:val="both"/>
        <w:rPr>
          <w:rFonts w:ascii="Arial" w:eastAsia="Arial" w:hAnsi="Arial" w:cs="Arial"/>
          <w:bCs/>
          <w:sz w:val="24"/>
          <w:szCs w:val="24"/>
        </w:rPr>
      </w:pPr>
      <w:r w:rsidRPr="001272D0">
        <w:rPr>
          <w:rFonts w:ascii="Arial" w:eastAsia="Arial" w:hAnsi="Arial" w:cs="Arial"/>
          <w:bCs/>
          <w:sz w:val="24"/>
          <w:szCs w:val="24"/>
        </w:rPr>
        <w:t xml:space="preserve"> </w:t>
      </w:r>
      <w:bookmarkStart w:id="3" w:name="_Hlk90930163"/>
    </w:p>
    <w:p w14:paraId="2E301EC4" w14:textId="77777777" w:rsidR="00654DBD" w:rsidRPr="001272D0" w:rsidRDefault="00C520D3" w:rsidP="00654DBD">
      <w:pPr>
        <w:pBdr>
          <w:top w:val="nil"/>
          <w:left w:val="nil"/>
          <w:bottom w:val="nil"/>
          <w:right w:val="nil"/>
          <w:between w:val="nil"/>
        </w:pBdr>
        <w:spacing w:after="0" w:line="240" w:lineRule="auto"/>
        <w:jc w:val="both"/>
        <w:rPr>
          <w:rFonts w:ascii="Arial" w:eastAsia="Arial" w:hAnsi="Arial" w:cs="Arial"/>
          <w:bCs/>
          <w:sz w:val="24"/>
          <w:szCs w:val="24"/>
        </w:rPr>
      </w:pPr>
      <w:r w:rsidRPr="001272D0">
        <w:rPr>
          <w:rFonts w:ascii="Arial" w:eastAsia="Arial" w:hAnsi="Arial" w:cs="Arial"/>
          <w:b/>
          <w:sz w:val="24"/>
          <w:szCs w:val="24"/>
        </w:rPr>
        <w:t>Professional entry criteria</w:t>
      </w:r>
    </w:p>
    <w:p w14:paraId="586AC14F" w14:textId="6056C5A8" w:rsidR="00887925" w:rsidRPr="001272D0" w:rsidRDefault="00305F56" w:rsidP="00654DBD">
      <w:pPr>
        <w:pBdr>
          <w:top w:val="nil"/>
          <w:left w:val="nil"/>
          <w:bottom w:val="nil"/>
          <w:right w:val="nil"/>
          <w:between w:val="nil"/>
        </w:pBdr>
        <w:spacing w:after="0" w:line="240" w:lineRule="auto"/>
        <w:jc w:val="both"/>
        <w:rPr>
          <w:rFonts w:ascii="Arial" w:eastAsia="Arial" w:hAnsi="Arial" w:cs="Arial"/>
          <w:bCs/>
          <w:sz w:val="24"/>
          <w:szCs w:val="24"/>
        </w:rPr>
      </w:pPr>
      <w:r w:rsidRPr="001272D0">
        <w:rPr>
          <w:rFonts w:ascii="Arial" w:eastAsia="Arial" w:hAnsi="Arial" w:cs="Arial"/>
          <w:bCs/>
          <w:sz w:val="24"/>
          <w:szCs w:val="24"/>
        </w:rPr>
        <w:t xml:space="preserve">This research found professional skills were explicitly considered and promoted to candidates across at least three-quarters of all UK programmes via institutional websites. Findings support the international OT evidence, which collectively demonstrate work experience, knowledge of the profession, written personal statements and performance at interviews as popular decision-making selection tools </w:t>
      </w:r>
      <w:r w:rsidRPr="001272D0">
        <w:rPr>
          <w:rFonts w:ascii="Arial" w:eastAsia="Arial" w:hAnsi="Arial" w:cs="Arial"/>
          <w:bCs/>
          <w:sz w:val="24"/>
          <w:szCs w:val="24"/>
        </w:rPr>
        <w:fldChar w:fldCharType="begin" w:fldLock="1"/>
      </w:r>
      <w:r w:rsidRPr="001272D0">
        <w:rPr>
          <w:rFonts w:ascii="Arial" w:eastAsia="Arial" w:hAnsi="Arial" w:cs="Arial"/>
          <w:bCs/>
          <w:sz w:val="24"/>
          <w:szCs w:val="24"/>
        </w:rPr>
        <w:instrText>ADDIN CSL_CITATION {"citationItems":[{"id":"ITEM-1","itemData":{"DOI":"10.5014/ajot.2021.75s2-po88","ISSN":"0272-9490","abstract":"Date Presented 04/12/21Establishing effective methods for the admissions process for OT programs is vital to ensure future growth and success in the profession. The admissions process provides insight into the applicant’s capabilities and values. This study aimed to evaluate which admissions components are being used most frequently by top-rated OT programs and, of those components, which will produce the strongest OT students.Primary Author and Speaker: Mallory A. BabinContributing Authors: Pamela S. Roberts","author":[{"dropping-particle":"","family":"McNeil","given":"Zana A.","non-dropping-particle":"","parse-names":false,"suffix":""},{"dropping-particle":"","family":"Babin","given":"Mallory A.","non-dropping-particle":"","parse-names":false,"suffix":""},{"dropping-particle":"","family":"Pyles","given":"Erin","non-dropping-particle":"","parse-names":false,"suffix":""},{"dropping-particle":"","family":"Trueblood","given":"Breanna","non-dropping-particle":"","parse-names":false,"suffix":""},{"dropping-particle":"","family":"Cloutier","given":"Bailee","non-dropping-particle":"","parse-names":false,"suffix":""},{"dropping-particle":"","family":"Cosper","given":"Sharon","non-dropping-particle":"","parse-names":false,"suffix":""}],"container-title":"The American Journal of Occupational Therapy","id":"ITEM-1","issue":"Supplement_2","issued":{"date-parts":[["2021"]]},"page":"7512505088p1-7512505088p1","title":"The Admissions Process in OT Education: Investigating Academic and Nonacademic Metrics in the Applicant Selection Process","type":"article-journal","volume":"75"},"uris":["http://www.mendeley.com/documents/?uuid=5bad1a35-0b6f-4675-a586-509d4194df7b"]},{"id":"ITEM-2","itemData":{"DOI":"10.26681/jote.2018.020301","ISSN":"2573-1378","author":[{"dropping-particle":"","family":"Bowyer","given":"Patricia","non-dropping-particle":"","parse-names":false,"suffix":""},{"dropping-particle":"","family":"Tiongco","given":"Cynthia","non-dropping-particle":"","parse-names":false,"suffix":""},{"dropping-particle":"","family":"Rubio","given":"L. Kaye","non-dropping-particle":"","parse-names":false,"suffix":""},{"dropping-particle":"","family":"Liu","given":"Judy","non-dropping-particle":"","parse-names":false,"suffix":""},{"dropping-particle":"","family":"Whisner","given":"Sandra M","non-dropping-particle":"","parse-names":false,"suffix":""}],"container-title":"Journal of Occupational Therapy Education","id":"ITEM-2","issue":"3","issued":{"date-parts":[["2018"]]},"title":"Admission Requirements and Practices in Entry-Level Occupational Therapy Programs","type":"article-journal","volume":"2"},"uris":["http://www.mendeley.com/documents/?uuid=88d18a5f-0f1b-4ea3-a67a-db3fff7e568a"]},{"id":"ITEM-3","itemData":{"DOI":"10.5014/ajot.52.7.592","ISSN":"02729490","author":[{"dropping-particle":"","family":"Agho","given":"Augustine O.","non-dropping-particle":"","parse-names":false,"suffix":""},{"dropping-particle":"","family":"Mosley","given":"Barbara W.","non-dropping-particle":"","parse-names":false,"suffix":""},{"dropping-particle":"","family":"Smith-Paul","given":"Bobbie","non-dropping-particle":"","parse-names":false,"suffix":""}],"container-title":"American Journal of Occupational Therapy","id":"ITEM-3","issue":"7","issued":{"date-parts":[["1998"]]},"page":"592-594","title":"Use of the Interview in Selecting Students for Occupational Therapy Programs","type":"article-journal","volume":"52"},"uris":["http://www.mendeley.com/documents/?uuid=1cbe8409-aba2-4cd2-bb43-b51a6819dc7b"]}],"mendeley":{"formattedCitation":"(Agho, Mosley and Smith-Paul, 1998; Bowyer &lt;i&gt;et al.&lt;/i&gt;, 2018; McNeil &lt;i&gt;et al.&lt;/i&gt;, 2021)","plainTextFormattedCitation":"(Agho, Mosley and Smith-Paul, 1998; Bowyer et al., 2018; McNeil et al., 2021)","previouslyFormattedCitation":"(Agho, Mosley and Smith-Paul, 1998; Bowyer &lt;i&gt;et al.&lt;/i&gt;, 2018; McNeil &lt;i&gt;et al.&lt;/i&gt;, 2021)"},"properties":{"noteIndex":0},"schema":"https://github.com/citation-style-language/schema/raw/master/csl-citation.json"}</w:instrText>
      </w:r>
      <w:r w:rsidRPr="001272D0">
        <w:rPr>
          <w:rFonts w:ascii="Arial" w:eastAsia="Arial" w:hAnsi="Arial" w:cs="Arial"/>
          <w:bCs/>
          <w:sz w:val="24"/>
          <w:szCs w:val="24"/>
        </w:rPr>
        <w:fldChar w:fldCharType="separate"/>
      </w:r>
      <w:r w:rsidRPr="001272D0">
        <w:rPr>
          <w:rFonts w:ascii="Arial" w:eastAsia="Arial" w:hAnsi="Arial" w:cs="Arial"/>
          <w:bCs/>
          <w:noProof/>
          <w:sz w:val="24"/>
          <w:szCs w:val="24"/>
        </w:rPr>
        <w:t xml:space="preserve">(Agho, Mosley and Smith-Paul, 1998; Bowyer </w:t>
      </w:r>
      <w:r w:rsidRPr="001272D0">
        <w:rPr>
          <w:rFonts w:ascii="Arial" w:eastAsia="Arial" w:hAnsi="Arial" w:cs="Arial"/>
          <w:bCs/>
          <w:iCs/>
          <w:noProof/>
          <w:sz w:val="24"/>
          <w:szCs w:val="24"/>
        </w:rPr>
        <w:t>et al.,</w:t>
      </w:r>
      <w:r w:rsidRPr="001272D0">
        <w:rPr>
          <w:rFonts w:ascii="Arial" w:eastAsia="Arial" w:hAnsi="Arial" w:cs="Arial"/>
          <w:bCs/>
          <w:noProof/>
          <w:sz w:val="24"/>
          <w:szCs w:val="24"/>
        </w:rPr>
        <w:t xml:space="preserve"> 2018; McNeil </w:t>
      </w:r>
      <w:r w:rsidRPr="001272D0">
        <w:rPr>
          <w:rFonts w:ascii="Arial" w:eastAsia="Arial" w:hAnsi="Arial" w:cs="Arial"/>
          <w:bCs/>
          <w:iCs/>
          <w:noProof/>
          <w:sz w:val="24"/>
          <w:szCs w:val="24"/>
        </w:rPr>
        <w:t xml:space="preserve">et al., </w:t>
      </w:r>
      <w:r w:rsidRPr="001272D0">
        <w:rPr>
          <w:rFonts w:ascii="Arial" w:eastAsia="Arial" w:hAnsi="Arial" w:cs="Arial"/>
          <w:bCs/>
          <w:noProof/>
          <w:sz w:val="24"/>
          <w:szCs w:val="24"/>
        </w:rPr>
        <w:t>2021)</w:t>
      </w:r>
      <w:r w:rsidRPr="001272D0">
        <w:rPr>
          <w:rFonts w:ascii="Arial" w:eastAsia="Arial" w:hAnsi="Arial" w:cs="Arial"/>
          <w:bCs/>
          <w:sz w:val="24"/>
          <w:szCs w:val="24"/>
        </w:rPr>
        <w:fldChar w:fldCharType="end"/>
      </w:r>
      <w:r w:rsidRPr="001272D0">
        <w:rPr>
          <w:rFonts w:ascii="Arial" w:eastAsia="Arial" w:hAnsi="Arial" w:cs="Arial"/>
          <w:bCs/>
          <w:sz w:val="24"/>
          <w:szCs w:val="24"/>
        </w:rPr>
        <w:t xml:space="preserve">. Additionally, entry requirements related to evidence of personal qualities and values; awareness of the NHS Constitution; and/or a lived experience of OT practice are highlighted, although it is not obvious as to how personal statements are scrutinised </w:t>
      </w:r>
      <w:r w:rsidRPr="001272D0">
        <w:rPr>
          <w:rFonts w:ascii="Arial" w:eastAsia="Arial" w:hAnsi="Arial" w:cs="Arial"/>
          <w:bCs/>
          <w:sz w:val="24"/>
          <w:szCs w:val="24"/>
        </w:rPr>
        <w:lastRenderedPageBreak/>
        <w:t xml:space="preserve">for progression beyond application. In order for candidates to evidence these qualities, they need to have had access and exposure to the OT profession, something considered to aid academic and professional success, but not backed by evidence </w:t>
      </w:r>
      <w:r w:rsidRPr="001272D0">
        <w:rPr>
          <w:rFonts w:ascii="Arial" w:eastAsia="Arial" w:hAnsi="Arial" w:cs="Arial"/>
          <w:bCs/>
          <w:sz w:val="24"/>
          <w:szCs w:val="24"/>
        </w:rPr>
        <w:fldChar w:fldCharType="begin" w:fldLock="1"/>
      </w:r>
      <w:r w:rsidRPr="001272D0">
        <w:rPr>
          <w:rFonts w:ascii="Arial" w:eastAsia="Arial" w:hAnsi="Arial" w:cs="Arial"/>
          <w:bCs/>
          <w:sz w:val="24"/>
          <w:szCs w:val="24"/>
        </w:rPr>
        <w:instrText>ADDIN CSL_CITATION {"citationItems":[{"id":"ITEM-1","itemData":{"DOI":"10.5014/ajot.2021.75s2-po88","ISSN":"0272-9490","abstract":"Date Presented 04/12/21Establishing effective methods for the admissions process for OT programs is vital to ensure future growth and success in the profession. The admissions process provides insight into the applicant’s capabilities and values. This study aimed to evaluate which admissions components are being used most frequently by top-rated OT programs and, of those components, which will produce the strongest OT students.Primary Author and Speaker: Mallory A. BabinContributing Authors: Pamela S. Roberts","author":[{"dropping-particle":"","family":"McNeil","given":"Zana A.","non-dropping-particle":"","parse-names":false,"suffix":""},{"dropping-particle":"","family":"Babin","given":"Mallory A.","non-dropping-particle":"","parse-names":false,"suffix":""},{"dropping-particle":"","family":"Pyles","given":"Erin","non-dropping-particle":"","parse-names":false,"suffix":""},{"dropping-particle":"","family":"Trueblood","given":"Breanna","non-dropping-particle":"","parse-names":false,"suffix":""},{"dropping-particle":"","family":"Cloutier","given":"Bailee","non-dropping-particle":"","parse-names":false,"suffix":""},{"dropping-particle":"","family":"Cosper","given":"Sharon","non-dropping-particle":"","parse-names":false,"suffix":""}],"container-title":"The American Journal of Occupational Therapy","id":"ITEM-1","issue":"Supplement_2","issued":{"date-parts":[["2021"]]},"page":"7512505088p1-7512505088p1","title":"The Admissions Process in OT Education: Investigating Academic and Nonacademic Metrics in the Applicant Selection Process","type":"article-journal","volume":"75"},"uris":["http://www.mendeley.com/documents/?uuid=5bad1a35-0b6f-4675-a586-509d4194df7b"]}],"mendeley":{"formattedCitation":"(McNeil &lt;i&gt;et al.&lt;/i&gt;, 2021)","plainTextFormattedCitation":"(McNeil et al., 2021)","previouslyFormattedCitation":"(McNeil &lt;i&gt;et al.&lt;/i&gt;, 2021)"},"properties":{"noteIndex":0},"schema":"https://github.com/citation-style-language/schema/raw/master/csl-citation.json"}</w:instrText>
      </w:r>
      <w:r w:rsidRPr="001272D0">
        <w:rPr>
          <w:rFonts w:ascii="Arial" w:eastAsia="Arial" w:hAnsi="Arial" w:cs="Arial"/>
          <w:bCs/>
          <w:sz w:val="24"/>
          <w:szCs w:val="24"/>
        </w:rPr>
        <w:fldChar w:fldCharType="separate"/>
      </w:r>
      <w:r w:rsidRPr="001272D0">
        <w:rPr>
          <w:rFonts w:ascii="Arial" w:eastAsia="Arial" w:hAnsi="Arial" w:cs="Arial"/>
          <w:bCs/>
          <w:noProof/>
          <w:sz w:val="24"/>
          <w:szCs w:val="24"/>
        </w:rPr>
        <w:t xml:space="preserve">(McNeil </w:t>
      </w:r>
      <w:r w:rsidRPr="001272D0">
        <w:rPr>
          <w:rFonts w:ascii="Arial" w:eastAsia="Arial" w:hAnsi="Arial" w:cs="Arial"/>
          <w:bCs/>
          <w:iCs/>
          <w:noProof/>
          <w:sz w:val="24"/>
          <w:szCs w:val="24"/>
        </w:rPr>
        <w:t>et al.,</w:t>
      </w:r>
      <w:r w:rsidRPr="001272D0">
        <w:rPr>
          <w:rFonts w:ascii="Arial" w:eastAsia="Arial" w:hAnsi="Arial" w:cs="Arial"/>
          <w:bCs/>
          <w:noProof/>
          <w:sz w:val="24"/>
          <w:szCs w:val="24"/>
        </w:rPr>
        <w:t xml:space="preserve"> 2021)</w:t>
      </w:r>
      <w:r w:rsidRPr="001272D0">
        <w:rPr>
          <w:rFonts w:ascii="Arial" w:eastAsia="Arial" w:hAnsi="Arial" w:cs="Arial"/>
          <w:bCs/>
          <w:sz w:val="24"/>
          <w:szCs w:val="24"/>
        </w:rPr>
        <w:fldChar w:fldCharType="end"/>
      </w:r>
      <w:r w:rsidRPr="001272D0">
        <w:rPr>
          <w:rFonts w:ascii="Arial" w:eastAsia="Arial" w:hAnsi="Arial" w:cs="Arial"/>
          <w:bCs/>
          <w:sz w:val="24"/>
          <w:szCs w:val="24"/>
        </w:rPr>
        <w:t xml:space="preserve">. </w:t>
      </w:r>
      <w:r w:rsidR="002C2D9A" w:rsidRPr="001272D0">
        <w:rPr>
          <w:rFonts w:ascii="Arial" w:eastAsia="Arial" w:hAnsi="Arial" w:cs="Arial"/>
          <w:bCs/>
          <w:sz w:val="24"/>
          <w:szCs w:val="24"/>
        </w:rPr>
        <w:t>Covid-19 will undoubtedly have had an impact on candidates’ ability to gain direct work experience, affecting their demonstrable commitment to, and understanding of, the profess</w:t>
      </w:r>
      <w:r w:rsidR="00B94C30" w:rsidRPr="001272D0">
        <w:rPr>
          <w:rFonts w:ascii="Arial" w:eastAsia="Arial" w:hAnsi="Arial" w:cs="Arial"/>
          <w:bCs/>
          <w:sz w:val="24"/>
          <w:szCs w:val="24"/>
        </w:rPr>
        <w:t xml:space="preserve">ion </w:t>
      </w:r>
      <w:r w:rsidR="002C2D9A" w:rsidRPr="001272D0">
        <w:rPr>
          <w:rFonts w:ascii="Arial" w:eastAsia="Arial" w:hAnsi="Arial" w:cs="Arial"/>
          <w:bCs/>
          <w:sz w:val="24"/>
          <w:szCs w:val="24"/>
        </w:rPr>
        <w:t xml:space="preserve">at application and selection. With </w:t>
      </w:r>
      <w:r w:rsidR="00A137D9" w:rsidRPr="001272D0">
        <w:rPr>
          <w:rFonts w:ascii="Arial" w:eastAsia="Arial" w:hAnsi="Arial" w:cs="Arial"/>
          <w:bCs/>
          <w:sz w:val="24"/>
          <w:szCs w:val="24"/>
        </w:rPr>
        <w:t xml:space="preserve">so </w:t>
      </w:r>
      <w:r w:rsidR="002C2D9A" w:rsidRPr="001272D0">
        <w:rPr>
          <w:rFonts w:ascii="Arial" w:eastAsia="Arial" w:hAnsi="Arial" w:cs="Arial"/>
          <w:bCs/>
          <w:sz w:val="24"/>
          <w:szCs w:val="24"/>
        </w:rPr>
        <w:t>many program</w:t>
      </w:r>
      <w:r w:rsidR="0048432E" w:rsidRPr="001272D0">
        <w:rPr>
          <w:rFonts w:ascii="Arial" w:eastAsia="Arial" w:hAnsi="Arial" w:cs="Arial"/>
          <w:bCs/>
          <w:sz w:val="24"/>
          <w:szCs w:val="24"/>
        </w:rPr>
        <w:t>me</w:t>
      </w:r>
      <w:r w:rsidR="002C2D9A" w:rsidRPr="001272D0">
        <w:rPr>
          <w:rFonts w:ascii="Arial" w:eastAsia="Arial" w:hAnsi="Arial" w:cs="Arial"/>
          <w:bCs/>
          <w:sz w:val="24"/>
          <w:szCs w:val="24"/>
        </w:rPr>
        <w:t xml:space="preserve">s requiring evidence of work experience, it is curious to observe just two </w:t>
      </w:r>
      <w:r w:rsidR="0074593F" w:rsidRPr="001272D0">
        <w:rPr>
          <w:rFonts w:ascii="Arial" w:eastAsia="Arial" w:hAnsi="Arial" w:cs="Arial"/>
          <w:bCs/>
          <w:sz w:val="24"/>
          <w:szCs w:val="24"/>
        </w:rPr>
        <w:t xml:space="preserve">have </w:t>
      </w:r>
      <w:r w:rsidR="002C2D9A" w:rsidRPr="001272D0">
        <w:rPr>
          <w:rFonts w:ascii="Arial" w:eastAsia="Arial" w:hAnsi="Arial" w:cs="Arial"/>
          <w:bCs/>
          <w:sz w:val="24"/>
          <w:szCs w:val="24"/>
        </w:rPr>
        <w:t>relaxed th</w:t>
      </w:r>
      <w:r w:rsidR="005B7DE3" w:rsidRPr="001272D0">
        <w:rPr>
          <w:rFonts w:ascii="Arial" w:eastAsia="Arial" w:hAnsi="Arial" w:cs="Arial"/>
          <w:bCs/>
          <w:sz w:val="24"/>
          <w:szCs w:val="24"/>
        </w:rPr>
        <w:t xml:space="preserve">is </w:t>
      </w:r>
      <w:r w:rsidR="002C2D9A" w:rsidRPr="001272D0">
        <w:rPr>
          <w:rFonts w:ascii="Arial" w:eastAsia="Arial" w:hAnsi="Arial" w:cs="Arial"/>
          <w:bCs/>
          <w:sz w:val="24"/>
          <w:szCs w:val="24"/>
        </w:rPr>
        <w:t xml:space="preserve">requirement. </w:t>
      </w:r>
      <w:r w:rsidR="00275A05" w:rsidRPr="001272D0">
        <w:rPr>
          <w:rFonts w:ascii="Arial" w:eastAsia="Arial" w:hAnsi="Arial" w:cs="Arial"/>
          <w:bCs/>
          <w:sz w:val="24"/>
          <w:szCs w:val="24"/>
        </w:rPr>
        <w:t xml:space="preserve">This </w:t>
      </w:r>
      <w:r w:rsidR="002C2D9A" w:rsidRPr="001272D0">
        <w:rPr>
          <w:rFonts w:ascii="Arial" w:eastAsia="Arial" w:hAnsi="Arial" w:cs="Arial"/>
          <w:bCs/>
          <w:sz w:val="24"/>
          <w:szCs w:val="24"/>
        </w:rPr>
        <w:t xml:space="preserve">raises further questions regarding who may be excluded or missed because of a lack of </w:t>
      </w:r>
      <w:r w:rsidR="0048432E" w:rsidRPr="001272D0">
        <w:rPr>
          <w:rFonts w:ascii="Arial" w:eastAsia="Arial" w:hAnsi="Arial" w:cs="Arial"/>
          <w:bCs/>
          <w:sz w:val="24"/>
          <w:szCs w:val="24"/>
        </w:rPr>
        <w:t>evidenced exposure</w:t>
      </w:r>
      <w:r w:rsidR="002C2D9A" w:rsidRPr="001272D0">
        <w:rPr>
          <w:rFonts w:ascii="Arial" w:eastAsia="Arial" w:hAnsi="Arial" w:cs="Arial"/>
          <w:bCs/>
          <w:sz w:val="24"/>
          <w:szCs w:val="24"/>
        </w:rPr>
        <w:t xml:space="preserve">. </w:t>
      </w:r>
    </w:p>
    <w:p w14:paraId="453180E5" w14:textId="77777777" w:rsidR="00887925" w:rsidRPr="001272D0" w:rsidRDefault="00887925" w:rsidP="0080034E">
      <w:pPr>
        <w:pBdr>
          <w:top w:val="nil"/>
          <w:left w:val="nil"/>
          <w:bottom w:val="nil"/>
          <w:right w:val="nil"/>
          <w:between w:val="nil"/>
        </w:pBdr>
        <w:spacing w:before="240" w:after="0" w:line="240" w:lineRule="auto"/>
        <w:jc w:val="both"/>
        <w:rPr>
          <w:rFonts w:ascii="Arial" w:eastAsia="Arial" w:hAnsi="Arial" w:cs="Arial"/>
          <w:bCs/>
          <w:sz w:val="24"/>
          <w:szCs w:val="24"/>
        </w:rPr>
      </w:pPr>
    </w:p>
    <w:p w14:paraId="589EAF88" w14:textId="7DFECE07" w:rsidR="00EC1257" w:rsidRPr="001272D0" w:rsidRDefault="002C2D9A" w:rsidP="0080034E">
      <w:pPr>
        <w:pBdr>
          <w:top w:val="nil"/>
          <w:left w:val="nil"/>
          <w:bottom w:val="nil"/>
          <w:right w:val="nil"/>
          <w:between w:val="nil"/>
        </w:pBdr>
        <w:spacing w:before="240" w:after="0" w:line="240" w:lineRule="auto"/>
        <w:jc w:val="both"/>
        <w:rPr>
          <w:rFonts w:ascii="Arial" w:eastAsia="Arial" w:hAnsi="Arial" w:cs="Arial"/>
          <w:b/>
          <w:sz w:val="24"/>
          <w:szCs w:val="24"/>
        </w:rPr>
      </w:pPr>
      <w:r w:rsidRPr="001272D0">
        <w:rPr>
          <w:rFonts w:ascii="Arial" w:hAnsi="Arial" w:cs="Arial"/>
          <w:sz w:val="24"/>
          <w:szCs w:val="24"/>
        </w:rPr>
        <w:t>Despite a lack of evidence to support traditional interviews, they have historically been used as a tool to determine entry into OT education</w:t>
      </w:r>
      <w:r w:rsidR="00A7565C" w:rsidRPr="001272D0">
        <w:rPr>
          <w:rFonts w:ascii="Arial" w:hAnsi="Arial" w:cs="Arial"/>
          <w:sz w:val="24"/>
          <w:szCs w:val="24"/>
        </w:rPr>
        <w:t xml:space="preserve"> </w:t>
      </w:r>
      <w:r w:rsidR="00A7565C" w:rsidRPr="001272D0">
        <w:rPr>
          <w:rFonts w:ascii="Arial" w:hAnsi="Arial" w:cs="Arial"/>
          <w:sz w:val="24"/>
          <w:szCs w:val="24"/>
        </w:rPr>
        <w:fldChar w:fldCharType="begin" w:fldLock="1"/>
      </w:r>
      <w:r w:rsidR="00CF0580" w:rsidRPr="001272D0">
        <w:rPr>
          <w:rFonts w:ascii="Arial" w:hAnsi="Arial" w:cs="Arial"/>
          <w:sz w:val="24"/>
          <w:szCs w:val="24"/>
        </w:rPr>
        <w:instrText>ADDIN CSL_CITATION {"citationItems":[{"id":"ITEM-1","itemData":{"DOI":"10.26681/jote.2018.020301","ISSN":"2573-1378","author":[{"dropping-particle":"","family":"Bowyer","given":"Patricia","non-dropping-particle":"","parse-names":false,"suffix":""},{"dropping-particle":"","family":"Tiongco","given":"Cynthia","non-dropping-particle":"","parse-names":false,"suffix":""},{"dropping-particle":"","family":"Rubio","given":"L. Kaye","non-dropping-particle":"","parse-names":false,"suffix":""},{"dropping-particle":"","family":"Liu","given":"Judy","non-dropping-particle":"","parse-names":false,"suffix":""},{"dropping-particle":"","family":"Whisner","given":"Sandra M","non-dropping-particle":"","parse-names":false,"suffix":""}],"container-title":"Journal of Occupational Therapy Education","id":"ITEM-1","issue":"3","issued":{"date-parts":[["2018"]]},"title":"Admission Requirements and Practices in Entry-Level Occupational Therapy Programs","type":"article-journal","volume":"2"},"uris":["http://www.mendeley.com/documents/?uuid=88d18a5f-0f1b-4ea3-a67a-db3fff7e568a"]},{"id":"ITEM-2","itemData":{"ISSN":"1945404X","PMID":"24598901","abstract":"Many occupational therapy education programs use face-to-face interviewing as part of the admissions process. As programs and the applicant pool size have grown, interviewing in the traditional way has become labor intensive. Recent surveys show that in the U.S., about 99% of medical programs use the interview for admissions, as do 81% of physical therapy and 63% of occupational therapy programs. Most health science professions, including occupational therapy, value noncognitive traits such as integrity, empathy, ethical judgment, and professionalism. It has been found that traditional interviews do not really assess these noncognitive skills and traits that are desired. Instead, they are actually biased and may be influenced more by feelings of \"like and dislike\" than the candidate's actual abilities. It has been shown that the use of objective structured clinical examination-style stations provide greater reliability and validity than the traditional interview and are able to assess different noncognitive attributes. One such process involves the use of multiple miniinterviews (MMI), and evidence supporting its use for admission to medical school was first established in studies at McMaster University. Other disciplines have taken an interest in this process, including nursing and physician assistant programs, and have found the same results. This article discusses the evidence found in these studies and our experience in using the MMI process for admissions to an entry-level occupational therapy program. © 2014 Association of Schools of Allied Health Professions, Wash., DC.","author":[{"dropping-particle":"","family":"Grice","given":"Kimatha Oxford","non-dropping-particle":"","parse-names":false,"suffix":""}],"container-title":"Journal of Allied Health","id":"ITEM-2","issue":"1","issued":{"date-parts":[["2014"]]},"page":"57-61","title":"Use of multiple mini-interviews for occupational therapy admissions","type":"article-journal","volume":"43"},"uris":["http://www.mendeley.com/documents/?uuid=e231a303-d122-4bcd-8924-377f45f73afa"]}],"mendeley":{"formattedCitation":"(Grice, 2014; Bowyer &lt;i&gt;et al.&lt;/i&gt;, 2018)","plainTextFormattedCitation":"(Grice, 2014; Bowyer et al., 2018)","previouslyFormattedCitation":"(Grice, 2014; Bowyer &lt;i&gt;et al.&lt;/i&gt;, 2018)"},"properties":{"noteIndex":0},"schema":"https://github.com/citation-style-language/schema/raw/master/csl-citation.json"}</w:instrText>
      </w:r>
      <w:r w:rsidR="00A7565C" w:rsidRPr="001272D0">
        <w:rPr>
          <w:rFonts w:ascii="Arial" w:hAnsi="Arial" w:cs="Arial"/>
          <w:sz w:val="24"/>
          <w:szCs w:val="24"/>
        </w:rPr>
        <w:fldChar w:fldCharType="separate"/>
      </w:r>
      <w:r w:rsidR="00A7565C" w:rsidRPr="001272D0">
        <w:rPr>
          <w:rFonts w:ascii="Arial" w:hAnsi="Arial" w:cs="Arial"/>
          <w:noProof/>
          <w:sz w:val="24"/>
          <w:szCs w:val="24"/>
        </w:rPr>
        <w:t xml:space="preserve">(Grice, 2014; Bowyer </w:t>
      </w:r>
      <w:r w:rsidR="00A7565C" w:rsidRPr="001272D0">
        <w:rPr>
          <w:rFonts w:ascii="Arial" w:hAnsi="Arial" w:cs="Arial"/>
          <w:iCs/>
          <w:noProof/>
          <w:sz w:val="24"/>
          <w:szCs w:val="24"/>
        </w:rPr>
        <w:t>et al.,</w:t>
      </w:r>
      <w:r w:rsidR="00A7565C" w:rsidRPr="001272D0">
        <w:rPr>
          <w:rFonts w:ascii="Arial" w:hAnsi="Arial" w:cs="Arial"/>
          <w:noProof/>
          <w:sz w:val="24"/>
          <w:szCs w:val="24"/>
        </w:rPr>
        <w:t xml:space="preserve"> 2018)</w:t>
      </w:r>
      <w:r w:rsidR="00A7565C" w:rsidRPr="001272D0">
        <w:rPr>
          <w:rFonts w:ascii="Arial" w:hAnsi="Arial" w:cs="Arial"/>
          <w:sz w:val="24"/>
          <w:szCs w:val="24"/>
        </w:rPr>
        <w:fldChar w:fldCharType="end"/>
      </w:r>
      <w:r w:rsidR="007B0428" w:rsidRPr="001272D0">
        <w:rPr>
          <w:rFonts w:ascii="Arial" w:hAnsi="Arial" w:cs="Arial"/>
          <w:sz w:val="24"/>
          <w:szCs w:val="24"/>
        </w:rPr>
        <w:t>.</w:t>
      </w:r>
      <w:r w:rsidRPr="001272D0">
        <w:rPr>
          <w:rFonts w:ascii="Arial" w:hAnsi="Arial" w:cs="Arial"/>
          <w:sz w:val="24"/>
          <w:szCs w:val="24"/>
        </w:rPr>
        <w:t xml:space="preserve"> Results </w:t>
      </w:r>
      <w:r w:rsidRPr="001272D0">
        <w:rPr>
          <w:rFonts w:ascii="Arial" w:eastAsia="Arial" w:hAnsi="Arial" w:cs="Arial"/>
          <w:bCs/>
          <w:sz w:val="24"/>
          <w:szCs w:val="24"/>
        </w:rPr>
        <w:t>reflect this trend</w:t>
      </w:r>
      <w:r w:rsidR="00207E32" w:rsidRPr="001272D0">
        <w:rPr>
          <w:rFonts w:ascii="Arial" w:eastAsia="Arial" w:hAnsi="Arial" w:cs="Arial"/>
          <w:bCs/>
          <w:sz w:val="24"/>
          <w:szCs w:val="24"/>
        </w:rPr>
        <w:t>,</w:t>
      </w:r>
      <w:r w:rsidRPr="001272D0">
        <w:rPr>
          <w:rFonts w:ascii="Arial" w:eastAsia="Arial" w:hAnsi="Arial" w:cs="Arial"/>
          <w:bCs/>
          <w:sz w:val="24"/>
          <w:szCs w:val="24"/>
        </w:rPr>
        <w:t xml:space="preserve"> with </w:t>
      </w:r>
      <w:r w:rsidR="005F7BAB" w:rsidRPr="001272D0">
        <w:rPr>
          <w:rFonts w:ascii="Arial" w:eastAsia="Arial" w:hAnsi="Arial" w:cs="Arial"/>
          <w:bCs/>
          <w:sz w:val="24"/>
          <w:szCs w:val="24"/>
        </w:rPr>
        <w:t>80</w:t>
      </w:r>
      <w:r w:rsidRPr="001272D0">
        <w:rPr>
          <w:rFonts w:ascii="Arial" w:eastAsia="Arial" w:hAnsi="Arial" w:cs="Arial"/>
          <w:bCs/>
          <w:sz w:val="24"/>
          <w:szCs w:val="24"/>
        </w:rPr>
        <w:t>% (</w:t>
      </w:r>
      <w:r w:rsidRPr="001272D0">
        <w:rPr>
          <w:rFonts w:ascii="Arial" w:eastAsia="Arial" w:hAnsi="Arial" w:cs="Arial"/>
          <w:bCs/>
          <w:i/>
          <w:iCs/>
          <w:sz w:val="24"/>
          <w:szCs w:val="24"/>
        </w:rPr>
        <w:t>n</w:t>
      </w:r>
      <w:r w:rsidRPr="001272D0">
        <w:rPr>
          <w:rFonts w:ascii="Arial" w:eastAsia="Arial" w:hAnsi="Arial" w:cs="Arial"/>
          <w:bCs/>
          <w:sz w:val="24"/>
          <w:szCs w:val="24"/>
        </w:rPr>
        <w:t>=58)</w:t>
      </w:r>
      <w:r w:rsidR="00207E32" w:rsidRPr="001272D0">
        <w:rPr>
          <w:rFonts w:ascii="Arial" w:eastAsia="Arial" w:hAnsi="Arial" w:cs="Arial"/>
          <w:bCs/>
          <w:sz w:val="24"/>
          <w:szCs w:val="24"/>
        </w:rPr>
        <w:t xml:space="preserve"> of UK programmes</w:t>
      </w:r>
      <w:r w:rsidRPr="001272D0">
        <w:rPr>
          <w:rFonts w:ascii="Arial" w:eastAsia="Arial" w:hAnsi="Arial" w:cs="Arial"/>
          <w:bCs/>
          <w:sz w:val="24"/>
          <w:szCs w:val="24"/>
        </w:rPr>
        <w:t xml:space="preserve"> </w:t>
      </w:r>
      <w:r w:rsidR="00DC32B0" w:rsidRPr="001272D0">
        <w:rPr>
          <w:rFonts w:ascii="Arial" w:eastAsia="Arial" w:hAnsi="Arial" w:cs="Arial"/>
          <w:bCs/>
          <w:sz w:val="24"/>
          <w:szCs w:val="24"/>
        </w:rPr>
        <w:t>choosing to utilise</w:t>
      </w:r>
      <w:r w:rsidRPr="001272D0">
        <w:rPr>
          <w:rFonts w:ascii="Arial" w:eastAsia="Arial" w:hAnsi="Arial" w:cs="Arial"/>
          <w:bCs/>
          <w:sz w:val="24"/>
          <w:szCs w:val="24"/>
        </w:rPr>
        <w:t xml:space="preserve"> interviews.</w:t>
      </w:r>
      <w:r w:rsidR="0017495A" w:rsidRPr="001272D0">
        <w:rPr>
          <w:rFonts w:ascii="Arial" w:eastAsia="Arial" w:hAnsi="Arial" w:cs="Arial"/>
          <w:bCs/>
          <w:sz w:val="24"/>
          <w:szCs w:val="24"/>
        </w:rPr>
        <w:t xml:space="preserve"> A</w:t>
      </w:r>
      <w:r w:rsidR="00CD01D6" w:rsidRPr="001272D0">
        <w:rPr>
          <w:rFonts w:ascii="Arial" w:eastAsia="Arial" w:hAnsi="Arial" w:cs="Arial"/>
          <w:bCs/>
          <w:sz w:val="24"/>
          <w:szCs w:val="24"/>
        </w:rPr>
        <w:t>lternatives such as the</w:t>
      </w:r>
      <w:r w:rsidRPr="001272D0">
        <w:rPr>
          <w:rFonts w:ascii="Arial" w:hAnsi="Arial" w:cs="Arial"/>
          <w:sz w:val="24"/>
          <w:szCs w:val="24"/>
        </w:rPr>
        <w:t xml:space="preserve"> MMI </w:t>
      </w:r>
      <w:r w:rsidR="00320B04" w:rsidRPr="001272D0">
        <w:rPr>
          <w:rFonts w:ascii="Arial" w:hAnsi="Arial" w:cs="Arial"/>
          <w:sz w:val="24"/>
          <w:szCs w:val="24"/>
        </w:rPr>
        <w:t xml:space="preserve">and BI </w:t>
      </w:r>
      <w:r w:rsidRPr="001272D0">
        <w:rPr>
          <w:rFonts w:ascii="Arial" w:hAnsi="Arial" w:cs="Arial"/>
          <w:sz w:val="24"/>
          <w:szCs w:val="24"/>
        </w:rPr>
        <w:t xml:space="preserve">have </w:t>
      </w:r>
      <w:r w:rsidR="00B5235F" w:rsidRPr="001272D0">
        <w:rPr>
          <w:rFonts w:ascii="Arial" w:hAnsi="Arial" w:cs="Arial"/>
          <w:sz w:val="24"/>
          <w:szCs w:val="24"/>
        </w:rPr>
        <w:t xml:space="preserve">identified </w:t>
      </w:r>
      <w:r w:rsidRPr="001272D0">
        <w:rPr>
          <w:rFonts w:ascii="Arial" w:hAnsi="Arial" w:cs="Arial"/>
          <w:sz w:val="24"/>
          <w:szCs w:val="24"/>
        </w:rPr>
        <w:t>encouraging benefits for interviewers and interviewees</w:t>
      </w:r>
      <w:r w:rsidR="0099507C" w:rsidRPr="001272D0">
        <w:rPr>
          <w:rFonts w:ascii="Arial" w:hAnsi="Arial" w:cs="Arial"/>
          <w:sz w:val="24"/>
          <w:szCs w:val="24"/>
        </w:rPr>
        <w:t>,</w:t>
      </w:r>
      <w:r w:rsidR="00392744" w:rsidRPr="001272D0">
        <w:rPr>
          <w:rFonts w:ascii="Arial" w:hAnsi="Arial" w:cs="Arial"/>
          <w:sz w:val="24"/>
          <w:szCs w:val="24"/>
        </w:rPr>
        <w:t xml:space="preserve"> </w:t>
      </w:r>
      <w:r w:rsidR="0099507C" w:rsidRPr="001272D0">
        <w:rPr>
          <w:rFonts w:ascii="Arial" w:hAnsi="Arial" w:cs="Arial"/>
          <w:sz w:val="24"/>
          <w:szCs w:val="24"/>
        </w:rPr>
        <w:t xml:space="preserve">as well as </w:t>
      </w:r>
      <w:r w:rsidR="00392744" w:rsidRPr="001272D0">
        <w:rPr>
          <w:rFonts w:ascii="Arial" w:hAnsi="Arial" w:cs="Arial"/>
          <w:sz w:val="24"/>
          <w:szCs w:val="24"/>
        </w:rPr>
        <w:t xml:space="preserve">variable correlations to graduate outcomes </w:t>
      </w:r>
      <w:r w:rsidRPr="001272D0">
        <w:rPr>
          <w:rFonts w:ascii="Arial" w:hAnsi="Arial" w:cs="Arial"/>
          <w:sz w:val="24"/>
          <w:szCs w:val="24"/>
        </w:rPr>
        <w:fldChar w:fldCharType="begin" w:fldLock="1"/>
      </w:r>
      <w:r w:rsidR="00EB3E6D" w:rsidRPr="001272D0">
        <w:rPr>
          <w:rFonts w:ascii="Arial" w:hAnsi="Arial" w:cs="Arial"/>
          <w:sz w:val="24"/>
          <w:szCs w:val="24"/>
        </w:rPr>
        <w:instrText>ADDIN CSL_CITATION {"citationItems":[{"id":"ITEM-1","itemData":{"ISSN":"1945404X","PMID":"24598901","abstract":"Many occupational therapy education programs use face-to-face interviewing as part of the admissions process. As programs and the applicant pool size have grown, interviewing in the traditional way has become labor intensive. Recent surveys show that in the U.S., about 99% of medical programs use the interview for admissions, as do 81% of physical therapy and 63% of occupational therapy programs. Most health science professions, including occupational therapy, value noncognitive traits such as integrity, empathy, ethical judgment, and professionalism. It has been found that traditional interviews do not really assess these noncognitive skills and traits that are desired. Instead, they are actually biased and may be influenced more by feelings of \"like and dislike\" than the candidate's actual abilities. It has been shown that the use of objective structured clinical examination-style stations provide greater reliability and validity than the traditional interview and are able to assess different noncognitive attributes. One such process involves the use of multiple miniinterviews (MMI), and evidence supporting its use for admission to medical school was first established in studies at McMaster University. Other disciplines have taken an interest in this process, including nursing and physician assistant programs, and have found the same results. This article discusses the evidence found in these studies and our experience in using the MMI process for admissions to an entry-level occupational therapy program. © 2014 Association of Schools of Allied Health Professions, Wash., DC.","author":[{"dropping-particle":"","family":"Grice","given":"Kimatha Oxford","non-dropping-particle":"","parse-names":false,"suffix":""}],"container-title":"Journal of Allied Health","id":"ITEM-1","issue":"1","issued":{"date-parts":[["2014"]]},"page":"57-61","title":"Use of multiple mini-interviews for occupational therapy admissions","type":"article-journal","volume":"43"},"uris":["http://www.mendeley.com/documents/?uuid=e231a303-d122-4bcd-8924-377f45f73afa"]},{"id":"ITEM-2","itemData":{"DOI":"10.5014/ajot.2021.75s2-po88","ISSN":"0272-9490","abstract":"Date Presented 04/12/21Establishing effective methods for the admissions process for OT programs is vital to ensure future growth and success in the profession. The admissions process provides insight into the applicant’s capabilities and values. This study aimed to evaluate which admissions components are being used most frequently by top-rated OT programs and, of those components, which will produce the strongest OT students.Primary Author and Speaker: Mallory A. BabinContributing Authors: Pamela S. Roberts","author":[{"dropping-particle":"","family":"McNeil","given":"Zana A.","non-dropping-particle":"","parse-names":false,"suffix":""},{"dropping-particle":"","family":"Babin","given":"Mallory A.","non-dropping-particle":"","parse-names":false,"suffix":""},{"dropping-particle":"","family":"Pyles","given":"Erin","non-dropping-particle":"","parse-names":false,"suffix":""},{"dropping-particle":"","family":"Trueblood","given":"Breanna","non-dropping-particle":"","parse-names":false,"suffix":""},{"dropping-particle":"","family":"Cloutier","given":"Bailee","non-dropping-particle":"","parse-names":false,"suffix":""},{"dropping-particle":"","family":"Cosper","given":"Sharon","non-dropping-particle":"","parse-names":false,"suffix":""}],"container-title":"The American Journal of Occupational Therapy","id":"ITEM-2","issue":"Supplement_2","issued":{"date-parts":[["2021"]]},"page":"7512505088p1-7512505088p1","title":"The Admissions Process in OT Education: Investigating Academic and Nonacademic Metrics in the Applicant Selection Process","type":"article-journal","volume":"75"},"uris":["http://www.mendeley.com/documents/?uuid=5bad1a35-0b6f-4675-a586-509d4194df7b"]}],"mendeley":{"formattedCitation":"(Grice, 2014; McNeil &lt;i&gt;et al.&lt;/i&gt;, 2021)","plainTextFormattedCitation":"(Grice, 2014; McNeil et al., 2021)","previouslyFormattedCitation":"(Grice, 2014; McNeil &lt;i&gt;et al.&lt;/i&gt;, 2021)"},"properties":{"noteIndex":0},"schema":"https://github.com/citation-style-language/schema/raw/master/csl-citation.json"}</w:instrText>
      </w:r>
      <w:r w:rsidRPr="001272D0">
        <w:rPr>
          <w:rFonts w:ascii="Arial" w:hAnsi="Arial" w:cs="Arial"/>
          <w:sz w:val="24"/>
          <w:szCs w:val="24"/>
        </w:rPr>
        <w:fldChar w:fldCharType="separate"/>
      </w:r>
      <w:r w:rsidR="008A11E4" w:rsidRPr="001272D0">
        <w:rPr>
          <w:rFonts w:ascii="Arial" w:hAnsi="Arial" w:cs="Arial"/>
          <w:noProof/>
          <w:sz w:val="24"/>
          <w:szCs w:val="24"/>
        </w:rPr>
        <w:t xml:space="preserve">(Grice, 2014; McNeil </w:t>
      </w:r>
      <w:r w:rsidR="008A11E4" w:rsidRPr="001272D0">
        <w:rPr>
          <w:rFonts w:ascii="Arial" w:hAnsi="Arial" w:cs="Arial"/>
          <w:iCs/>
          <w:noProof/>
          <w:sz w:val="24"/>
          <w:szCs w:val="24"/>
        </w:rPr>
        <w:t>et al.,</w:t>
      </w:r>
      <w:r w:rsidR="008A11E4" w:rsidRPr="001272D0">
        <w:rPr>
          <w:rFonts w:ascii="Arial" w:hAnsi="Arial" w:cs="Arial"/>
          <w:noProof/>
          <w:sz w:val="24"/>
          <w:szCs w:val="24"/>
        </w:rPr>
        <w:t xml:space="preserve"> 2021)</w:t>
      </w:r>
      <w:r w:rsidRPr="001272D0">
        <w:rPr>
          <w:rFonts w:ascii="Arial" w:hAnsi="Arial" w:cs="Arial"/>
          <w:sz w:val="24"/>
          <w:szCs w:val="24"/>
        </w:rPr>
        <w:fldChar w:fldCharType="end"/>
      </w:r>
      <w:r w:rsidR="0017495A" w:rsidRPr="001272D0">
        <w:rPr>
          <w:rFonts w:ascii="Arial" w:hAnsi="Arial" w:cs="Arial"/>
          <w:sz w:val="24"/>
          <w:szCs w:val="24"/>
        </w:rPr>
        <w:t xml:space="preserve">. </w:t>
      </w:r>
      <w:r w:rsidR="000F24CC" w:rsidRPr="001272D0">
        <w:rPr>
          <w:rFonts w:ascii="Arial" w:hAnsi="Arial" w:cs="Arial"/>
          <w:sz w:val="24"/>
          <w:szCs w:val="24"/>
        </w:rPr>
        <w:t>Even so</w:t>
      </w:r>
      <w:r w:rsidR="0017495A" w:rsidRPr="001272D0">
        <w:rPr>
          <w:rFonts w:ascii="Arial" w:hAnsi="Arial" w:cs="Arial"/>
          <w:sz w:val="24"/>
          <w:szCs w:val="24"/>
        </w:rPr>
        <w:t>,</w:t>
      </w:r>
      <w:r w:rsidRPr="001272D0">
        <w:rPr>
          <w:rFonts w:ascii="Arial" w:hAnsi="Arial" w:cs="Arial"/>
          <w:sz w:val="24"/>
          <w:szCs w:val="24"/>
        </w:rPr>
        <w:t xml:space="preserve"> the use of MMIs and group interviews appear not to be commonplace in the UK, with </w:t>
      </w:r>
      <w:r w:rsidR="005F7BAB" w:rsidRPr="001272D0">
        <w:rPr>
          <w:rFonts w:ascii="Arial" w:hAnsi="Arial" w:cs="Arial"/>
          <w:sz w:val="24"/>
          <w:szCs w:val="24"/>
        </w:rPr>
        <w:t>3</w:t>
      </w:r>
      <w:r w:rsidRPr="001272D0">
        <w:rPr>
          <w:rFonts w:ascii="Arial" w:hAnsi="Arial" w:cs="Arial"/>
          <w:sz w:val="24"/>
          <w:szCs w:val="24"/>
        </w:rPr>
        <w:t>% (</w:t>
      </w:r>
      <w:r w:rsidRPr="001272D0">
        <w:rPr>
          <w:rFonts w:ascii="Arial" w:hAnsi="Arial" w:cs="Arial"/>
          <w:i/>
          <w:iCs/>
          <w:sz w:val="24"/>
          <w:szCs w:val="24"/>
        </w:rPr>
        <w:t>n=</w:t>
      </w:r>
      <w:r w:rsidRPr="001272D0">
        <w:rPr>
          <w:rFonts w:ascii="Arial" w:hAnsi="Arial" w:cs="Arial"/>
          <w:sz w:val="24"/>
          <w:szCs w:val="24"/>
        </w:rPr>
        <w:t>2</w:t>
      </w:r>
      <w:r w:rsidR="001272D0">
        <w:rPr>
          <w:rFonts w:ascii="Arial" w:hAnsi="Arial" w:cs="Arial"/>
          <w:sz w:val="24"/>
          <w:szCs w:val="24"/>
        </w:rPr>
        <w:t xml:space="preserve"> MMIs)</w:t>
      </w:r>
      <w:r w:rsidRPr="001272D0">
        <w:rPr>
          <w:rFonts w:ascii="Arial" w:hAnsi="Arial" w:cs="Arial"/>
          <w:sz w:val="24"/>
          <w:szCs w:val="24"/>
        </w:rPr>
        <w:t xml:space="preserve"> and 4% (</w:t>
      </w:r>
      <w:r w:rsidRPr="001272D0">
        <w:rPr>
          <w:rFonts w:ascii="Arial" w:hAnsi="Arial" w:cs="Arial"/>
          <w:i/>
          <w:iCs/>
          <w:sz w:val="24"/>
          <w:szCs w:val="24"/>
        </w:rPr>
        <w:t>n=</w:t>
      </w:r>
      <w:r w:rsidRPr="001272D0">
        <w:rPr>
          <w:rFonts w:ascii="Arial" w:hAnsi="Arial" w:cs="Arial"/>
          <w:sz w:val="24"/>
          <w:szCs w:val="24"/>
        </w:rPr>
        <w:t>3</w:t>
      </w:r>
      <w:r w:rsidR="001272D0">
        <w:rPr>
          <w:rFonts w:ascii="Arial" w:hAnsi="Arial" w:cs="Arial"/>
          <w:sz w:val="24"/>
          <w:szCs w:val="24"/>
        </w:rPr>
        <w:t xml:space="preserve"> group interviews</w:t>
      </w:r>
      <w:r w:rsidRPr="001272D0">
        <w:rPr>
          <w:rFonts w:ascii="Arial" w:hAnsi="Arial" w:cs="Arial"/>
          <w:sz w:val="24"/>
          <w:szCs w:val="24"/>
        </w:rPr>
        <w:t>) of program</w:t>
      </w:r>
      <w:r w:rsidR="0080034E" w:rsidRPr="001272D0">
        <w:rPr>
          <w:rFonts w:ascii="Arial" w:hAnsi="Arial" w:cs="Arial"/>
          <w:sz w:val="24"/>
          <w:szCs w:val="24"/>
        </w:rPr>
        <w:t>me</w:t>
      </w:r>
      <w:r w:rsidRPr="001272D0">
        <w:rPr>
          <w:rFonts w:ascii="Arial" w:hAnsi="Arial" w:cs="Arial"/>
          <w:sz w:val="24"/>
          <w:szCs w:val="24"/>
        </w:rPr>
        <w:t>s</w:t>
      </w:r>
      <w:r w:rsidR="00887925" w:rsidRPr="001272D0">
        <w:rPr>
          <w:rFonts w:ascii="Arial" w:hAnsi="Arial" w:cs="Arial"/>
          <w:sz w:val="24"/>
          <w:szCs w:val="24"/>
        </w:rPr>
        <w:t xml:space="preserve"> detailing</w:t>
      </w:r>
      <w:r w:rsidRPr="001272D0">
        <w:rPr>
          <w:rFonts w:ascii="Arial" w:hAnsi="Arial" w:cs="Arial"/>
          <w:sz w:val="24"/>
          <w:szCs w:val="24"/>
        </w:rPr>
        <w:t xml:space="preserve"> these</w:t>
      </w:r>
      <w:r w:rsidR="00887925" w:rsidRPr="001272D0">
        <w:rPr>
          <w:rFonts w:ascii="Arial" w:hAnsi="Arial" w:cs="Arial"/>
          <w:sz w:val="24"/>
          <w:szCs w:val="24"/>
        </w:rPr>
        <w:t xml:space="preserve"> as part of their selection process</w:t>
      </w:r>
      <w:r w:rsidRPr="001272D0">
        <w:rPr>
          <w:rFonts w:ascii="Arial" w:hAnsi="Arial" w:cs="Arial"/>
          <w:sz w:val="24"/>
          <w:szCs w:val="24"/>
        </w:rPr>
        <w:t xml:space="preserve">. With a clear need to assess professional skills at selection, </w:t>
      </w:r>
      <w:r w:rsidR="00D31ACE" w:rsidRPr="001272D0">
        <w:rPr>
          <w:rFonts w:ascii="Arial" w:hAnsi="Arial" w:cs="Arial"/>
          <w:sz w:val="24"/>
          <w:szCs w:val="24"/>
        </w:rPr>
        <w:t>th</w:t>
      </w:r>
      <w:r w:rsidR="00A3584E" w:rsidRPr="001272D0">
        <w:rPr>
          <w:rFonts w:ascii="Arial" w:hAnsi="Arial" w:cs="Arial"/>
          <w:sz w:val="24"/>
          <w:szCs w:val="24"/>
        </w:rPr>
        <w:t>is</w:t>
      </w:r>
      <w:r w:rsidRPr="001272D0">
        <w:rPr>
          <w:rFonts w:ascii="Arial" w:hAnsi="Arial" w:cs="Arial"/>
          <w:sz w:val="24"/>
          <w:szCs w:val="24"/>
        </w:rPr>
        <w:t xml:space="preserve"> add</w:t>
      </w:r>
      <w:r w:rsidR="00A3584E" w:rsidRPr="001272D0">
        <w:rPr>
          <w:rFonts w:ascii="Arial" w:hAnsi="Arial" w:cs="Arial"/>
          <w:sz w:val="24"/>
          <w:szCs w:val="24"/>
        </w:rPr>
        <w:t>s</w:t>
      </w:r>
      <w:r w:rsidRPr="001272D0">
        <w:rPr>
          <w:rFonts w:ascii="Arial" w:hAnsi="Arial" w:cs="Arial"/>
          <w:sz w:val="24"/>
          <w:szCs w:val="24"/>
        </w:rPr>
        <w:t xml:space="preserve"> weight to the call for OT admissions tutors to consider MMIs and </w:t>
      </w:r>
      <w:r w:rsidR="00320B04" w:rsidRPr="001272D0">
        <w:rPr>
          <w:rFonts w:ascii="Arial" w:hAnsi="Arial" w:cs="Arial"/>
          <w:sz w:val="24"/>
          <w:szCs w:val="24"/>
        </w:rPr>
        <w:t>BI</w:t>
      </w:r>
      <w:r w:rsidRPr="001272D0">
        <w:rPr>
          <w:rFonts w:ascii="Arial" w:hAnsi="Arial" w:cs="Arial"/>
          <w:sz w:val="24"/>
          <w:szCs w:val="24"/>
        </w:rPr>
        <w:t xml:space="preserve">s as a potential part of admissions criteria </w:t>
      </w:r>
      <w:r w:rsidRPr="001272D0">
        <w:rPr>
          <w:rFonts w:ascii="Arial" w:hAnsi="Arial" w:cs="Arial"/>
          <w:sz w:val="24"/>
          <w:szCs w:val="24"/>
        </w:rPr>
        <w:fldChar w:fldCharType="begin" w:fldLock="1"/>
      </w:r>
      <w:r w:rsidR="0000212E" w:rsidRPr="001272D0">
        <w:rPr>
          <w:rFonts w:ascii="Arial" w:hAnsi="Arial" w:cs="Arial"/>
          <w:sz w:val="24"/>
          <w:szCs w:val="24"/>
        </w:rPr>
        <w:instrText>ADDIN CSL_CITATION {"citationItems":[{"id":"ITEM-1","itemData":{"DOI":"10.26681/jote.2020.040308","author":[{"dropping-particle":"","family":"McGinley","given":"Sarah Louise","non-dropping-particle":"","parse-names":false,"suffix":""}],"container-title":"Journal of Occupational Therapy Education","id":"ITEM-1","issue":"3","issued":{"date-parts":[["2020"]]},"title":"Pre-entry Selection Assessment Results and Final Degree Outcomes of Occupational Therapy Students: Are There Relationships?","type":"article-journal","volume":"4"},"uris":["http://www.mendeley.com/documents/?uuid=4e2962f4-5a5b-4ea1-b5f7-4af74b72bd3d"]},{"id":"ITEM-2","itemData":{"DOI":"10.26681/jote.2018.020301","ISSN":"2573-1378","author":[{"dropping-particle":"","family":"Bowyer","given":"Patricia","non-dropping-particle":"","parse-names":false,"suffix":""},{"dropping-particle":"","family":"Tiongco","given":"Cynthia","non-dropping-particle":"","parse-names":false,"suffix":""},{"dropping-particle":"","family":"Rubio","given":"L. Kaye","non-dropping-particle":"","parse-names":false,"suffix":""},{"dropping-particle":"","family":"Liu","given":"Judy","non-dropping-particle":"","parse-names":false,"suffix":""},{"dropping-particle":"","family":"Whisner","given":"Sandra M","non-dropping-particle":"","parse-names":false,"suffix":""}],"container-title":"Journal of Occupational Therapy Education","id":"ITEM-2","issue":"3","issued":{"date-parts":[["2018"]]},"title":"Admission Requirements and Practices in Entry-Level Occupational Therapy Programs","type":"article-journal","volume":"2"},"uris":["http://www.mendeley.com/documents/?uuid=88d18a5f-0f1b-4ea3-a67a-db3fff7e568a"]}],"mendeley":{"formattedCitation":"(Bowyer &lt;i&gt;et al.&lt;/i&gt;, 2018; McGinley, 2020)","plainTextFormattedCitation":"(Bowyer et al., 2018; McGinley, 2020)","previouslyFormattedCitation":"(Bowyer &lt;i&gt;et al.&lt;/i&gt;, 2018; McGinley, 2020)"},"properties":{"noteIndex":0},"schema":"https://github.com/citation-style-language/schema/raw/master/csl-citation.json"}</w:instrText>
      </w:r>
      <w:r w:rsidRPr="001272D0">
        <w:rPr>
          <w:rFonts w:ascii="Arial" w:hAnsi="Arial" w:cs="Arial"/>
          <w:sz w:val="24"/>
          <w:szCs w:val="24"/>
        </w:rPr>
        <w:fldChar w:fldCharType="separate"/>
      </w:r>
      <w:r w:rsidR="0000212E" w:rsidRPr="001272D0">
        <w:rPr>
          <w:rFonts w:ascii="Arial" w:hAnsi="Arial" w:cs="Arial"/>
          <w:noProof/>
          <w:sz w:val="24"/>
          <w:szCs w:val="24"/>
        </w:rPr>
        <w:t xml:space="preserve">(Bowyer </w:t>
      </w:r>
      <w:r w:rsidR="0000212E" w:rsidRPr="001272D0">
        <w:rPr>
          <w:rFonts w:ascii="Arial" w:hAnsi="Arial" w:cs="Arial"/>
          <w:iCs/>
          <w:noProof/>
          <w:sz w:val="24"/>
          <w:szCs w:val="24"/>
        </w:rPr>
        <w:t>et al.,</w:t>
      </w:r>
      <w:r w:rsidR="0000212E" w:rsidRPr="001272D0">
        <w:rPr>
          <w:rFonts w:ascii="Arial" w:hAnsi="Arial" w:cs="Arial"/>
          <w:noProof/>
          <w:sz w:val="24"/>
          <w:szCs w:val="24"/>
        </w:rPr>
        <w:t xml:space="preserve"> 2018; McGinley, 2020)</w:t>
      </w:r>
      <w:r w:rsidRPr="001272D0">
        <w:rPr>
          <w:rFonts w:ascii="Arial" w:hAnsi="Arial" w:cs="Arial"/>
          <w:sz w:val="24"/>
          <w:szCs w:val="24"/>
        </w:rPr>
        <w:fldChar w:fldCharType="end"/>
      </w:r>
      <w:r w:rsidRPr="001272D0">
        <w:rPr>
          <w:rFonts w:ascii="Arial" w:hAnsi="Arial" w:cs="Arial"/>
          <w:sz w:val="24"/>
          <w:szCs w:val="24"/>
        </w:rPr>
        <w:t xml:space="preserve">. This is especially important given the considered value of the MMI in offering assessment of values-based scenarios </w:t>
      </w:r>
      <w:r w:rsidRPr="001272D0">
        <w:rPr>
          <w:rFonts w:ascii="Arial" w:hAnsi="Arial" w:cs="Arial"/>
          <w:sz w:val="24"/>
          <w:szCs w:val="24"/>
        </w:rPr>
        <w:fldChar w:fldCharType="begin" w:fldLock="1"/>
      </w:r>
      <w:r w:rsidR="002E2F4F" w:rsidRPr="001272D0">
        <w:rPr>
          <w:rFonts w:ascii="Arial" w:hAnsi="Arial" w:cs="Arial"/>
          <w:sz w:val="24"/>
          <w:szCs w:val="24"/>
        </w:rPr>
        <w:instrText>ADDIN CSL_CITATION {"citationItems":[{"id":"ITEM-1","itemData":{"DOI":"10.1046/j.1365-2923.2004.01776.x","ISSN":"03080110","PMID":"14996341","abstract":"CONTEXT: Although health sciences programmes continue to value non-cognitive variables such as interpersonal skills and professionalism, it is not clear that current admissions tools like the personal interview are capable of assessing ability in these domains. Hypothesising that many of the problems with the personal interview might be explained, at least in part, by it being yet another measurement tool that is plagued by context specificity, we have attempted to develop a multiple sample approach to the personal interview. METHODS: A group of 117 applicants to the undergraduate MD programme at McMaster University participated in a multiple mini-interview (MMI), consisting of 10 short objective structured clinical examination (OSCE)-style stations, in which they were presented with scenarios that required them to discuss a health-related issue (e.g. the use of placebos) with an interviewer, interact with a standardised confederate while an examiner observed the interpersonal skills displayed, or answer traditional interview questions. RESULTS: The reliability of the MMI was observed to be 0.65. Furthermore, the hypothesis that context specificity might reduce the validity of traditional interviews was supported by the finding that the variance component attributable to candidate-station interaction was greater than that attributable to candidate. Both applicants and examiners were positive about the experience and the potential for this protocol. DISCUSSION: The principles used in developing this new admissions instrument, the flexibility inherent in the multiple mini-interview, and its feasibility and cost-effectiveness are discussed.","author":[{"dropping-particle":"","family":"Eva","given":"Kevin W.","non-dropping-particle":"","parse-names":false,"suffix":""},{"dropping-particle":"","family":"Rosenfeld","given":"Jack","non-dropping-particle":"","parse-names":false,"suffix":""},{"dropping-particle":"","family":"Reiter","given":"Harold I.","non-dropping-particle":"","parse-names":false,"suffix":""},{"dropping-particle":"","family":"Norman","given":"Geoffrey R.","non-dropping-particle":"","parse-names":false,"suffix":""}],"container-title":"Medical Education","id":"ITEM-1","issue":"3","issued":{"date-parts":[["2004"]]},"page":"314-326","title":"An admissions OSCE: The multiple mini-interview","type":"article-journal","volume":"38"},"uris":["http://www.mendeley.com/documents/?uuid=857aeed7-13dc-4a7b-a867-a3914445313f"]}],"mendeley":{"formattedCitation":"(Eva &lt;i&gt;et al.&lt;/i&gt;, 2004)","plainTextFormattedCitation":"(Eva et al., 2004)","previouslyFormattedCitation":"(Eva &lt;i&gt;et al.&lt;/i&gt;, 2004)"},"properties":{"noteIndex":0},"schema":"https://github.com/citation-style-language/schema/raw/master/csl-citation.json"}</w:instrText>
      </w:r>
      <w:r w:rsidRPr="001272D0">
        <w:rPr>
          <w:rFonts w:ascii="Arial" w:hAnsi="Arial" w:cs="Arial"/>
          <w:sz w:val="24"/>
          <w:szCs w:val="24"/>
        </w:rPr>
        <w:fldChar w:fldCharType="separate"/>
      </w:r>
      <w:r w:rsidR="002966A5" w:rsidRPr="001272D0">
        <w:rPr>
          <w:rFonts w:ascii="Arial" w:hAnsi="Arial" w:cs="Arial"/>
          <w:noProof/>
          <w:sz w:val="24"/>
          <w:szCs w:val="24"/>
        </w:rPr>
        <w:t xml:space="preserve">(Eva </w:t>
      </w:r>
      <w:r w:rsidR="002966A5" w:rsidRPr="001272D0">
        <w:rPr>
          <w:rFonts w:ascii="Arial" w:hAnsi="Arial" w:cs="Arial"/>
          <w:iCs/>
          <w:noProof/>
          <w:sz w:val="24"/>
          <w:szCs w:val="24"/>
        </w:rPr>
        <w:t>et al.,</w:t>
      </w:r>
      <w:r w:rsidR="002966A5" w:rsidRPr="001272D0">
        <w:rPr>
          <w:rFonts w:ascii="Arial" w:hAnsi="Arial" w:cs="Arial"/>
          <w:noProof/>
          <w:sz w:val="24"/>
          <w:szCs w:val="24"/>
        </w:rPr>
        <w:t xml:space="preserve"> 2004)</w:t>
      </w:r>
      <w:r w:rsidRPr="001272D0">
        <w:rPr>
          <w:rFonts w:ascii="Arial" w:hAnsi="Arial" w:cs="Arial"/>
          <w:sz w:val="24"/>
          <w:szCs w:val="24"/>
        </w:rPr>
        <w:fldChar w:fldCharType="end"/>
      </w:r>
      <w:r w:rsidRPr="001272D0">
        <w:rPr>
          <w:rFonts w:ascii="Arial" w:hAnsi="Arial" w:cs="Arial"/>
          <w:sz w:val="24"/>
          <w:szCs w:val="24"/>
        </w:rPr>
        <w:t xml:space="preserve">, which may be a useful alternative for those candidates who cannot evidence direct exposure </w:t>
      </w:r>
      <w:r w:rsidR="00641D33" w:rsidRPr="001272D0">
        <w:rPr>
          <w:rFonts w:ascii="Arial" w:hAnsi="Arial" w:cs="Arial"/>
          <w:sz w:val="24"/>
          <w:szCs w:val="24"/>
        </w:rPr>
        <w:t>following</w:t>
      </w:r>
      <w:r w:rsidRPr="001272D0">
        <w:rPr>
          <w:rFonts w:ascii="Arial" w:hAnsi="Arial" w:cs="Arial"/>
          <w:sz w:val="24"/>
          <w:szCs w:val="24"/>
        </w:rPr>
        <w:t xml:space="preserve"> Covid-19. </w:t>
      </w:r>
    </w:p>
    <w:p w14:paraId="00057710" w14:textId="665DD0A2" w:rsidR="00EC1257" w:rsidRPr="001272D0" w:rsidRDefault="00EC1257" w:rsidP="00EC1257">
      <w:pPr>
        <w:spacing w:line="240" w:lineRule="auto"/>
        <w:jc w:val="both"/>
        <w:rPr>
          <w:rFonts w:ascii="Arial" w:hAnsi="Arial" w:cs="Arial"/>
          <w:sz w:val="24"/>
          <w:szCs w:val="24"/>
        </w:rPr>
      </w:pPr>
    </w:p>
    <w:p w14:paraId="59ED8898" w14:textId="77777777" w:rsidR="00654DBD" w:rsidRPr="001272D0" w:rsidRDefault="00C520D3" w:rsidP="00EC1257">
      <w:pPr>
        <w:spacing w:line="240" w:lineRule="auto"/>
        <w:jc w:val="both"/>
        <w:rPr>
          <w:rFonts w:ascii="Arial" w:hAnsi="Arial" w:cs="Arial"/>
          <w:b/>
          <w:bCs/>
          <w:sz w:val="24"/>
          <w:szCs w:val="24"/>
        </w:rPr>
      </w:pPr>
      <w:r w:rsidRPr="001272D0">
        <w:rPr>
          <w:rFonts w:ascii="Arial" w:hAnsi="Arial" w:cs="Arial"/>
          <w:b/>
          <w:bCs/>
          <w:sz w:val="24"/>
          <w:szCs w:val="24"/>
        </w:rPr>
        <w:t>Alternative entry criteria</w:t>
      </w:r>
    </w:p>
    <w:p w14:paraId="2E321B12" w14:textId="5D2A661A" w:rsidR="00420A91" w:rsidRPr="001272D0" w:rsidRDefault="002C2D9A" w:rsidP="00BD4AF7">
      <w:pPr>
        <w:spacing w:line="240" w:lineRule="auto"/>
        <w:jc w:val="both"/>
        <w:rPr>
          <w:rFonts w:ascii="Arial" w:hAnsi="Arial" w:cs="Arial"/>
          <w:b/>
          <w:bCs/>
          <w:sz w:val="24"/>
          <w:szCs w:val="24"/>
        </w:rPr>
      </w:pPr>
      <w:r w:rsidRPr="001272D0">
        <w:rPr>
          <w:rFonts w:ascii="Arial" w:eastAsia="Arial" w:hAnsi="Arial" w:cs="Arial"/>
          <w:bCs/>
          <w:sz w:val="24"/>
          <w:szCs w:val="24"/>
        </w:rPr>
        <w:t xml:space="preserve">Over </w:t>
      </w:r>
      <w:r w:rsidR="0063060F" w:rsidRPr="001272D0">
        <w:rPr>
          <w:rFonts w:ascii="Arial" w:eastAsia="Arial" w:hAnsi="Arial" w:cs="Arial"/>
          <w:bCs/>
          <w:sz w:val="24"/>
          <w:szCs w:val="24"/>
        </w:rPr>
        <w:t>two-thirds</w:t>
      </w:r>
      <w:r w:rsidRPr="001272D0">
        <w:rPr>
          <w:rFonts w:ascii="Arial" w:eastAsia="Arial" w:hAnsi="Arial" w:cs="Arial"/>
          <w:bCs/>
          <w:sz w:val="24"/>
          <w:szCs w:val="24"/>
        </w:rPr>
        <w:t xml:space="preserve"> of all program</w:t>
      </w:r>
      <w:r w:rsidR="0080034E" w:rsidRPr="001272D0">
        <w:rPr>
          <w:rFonts w:ascii="Arial" w:eastAsia="Arial" w:hAnsi="Arial" w:cs="Arial"/>
          <w:bCs/>
          <w:sz w:val="24"/>
          <w:szCs w:val="24"/>
        </w:rPr>
        <w:t>me</w:t>
      </w:r>
      <w:r w:rsidRPr="001272D0">
        <w:rPr>
          <w:rFonts w:ascii="Arial" w:eastAsia="Arial" w:hAnsi="Arial" w:cs="Arial"/>
          <w:bCs/>
          <w:sz w:val="24"/>
          <w:szCs w:val="24"/>
        </w:rPr>
        <w:t>s (67%) acknowledge potential alternative routes into the profession</w:t>
      </w:r>
      <w:r w:rsidR="007553BE" w:rsidRPr="001272D0">
        <w:rPr>
          <w:rFonts w:ascii="Arial" w:eastAsia="Arial" w:hAnsi="Arial" w:cs="Arial"/>
          <w:bCs/>
          <w:sz w:val="24"/>
          <w:szCs w:val="24"/>
        </w:rPr>
        <w:t xml:space="preserve">, with </w:t>
      </w:r>
      <w:r w:rsidR="00B108F9" w:rsidRPr="001272D0">
        <w:rPr>
          <w:rFonts w:ascii="Arial" w:eastAsia="Arial" w:hAnsi="Arial" w:cs="Arial"/>
          <w:bCs/>
          <w:sz w:val="24"/>
          <w:szCs w:val="24"/>
        </w:rPr>
        <w:t>twenty-four</w:t>
      </w:r>
      <w:r w:rsidR="00EC0955" w:rsidRPr="001272D0">
        <w:rPr>
          <w:rFonts w:ascii="Arial" w:eastAsia="Arial" w:hAnsi="Arial" w:cs="Arial"/>
          <w:bCs/>
          <w:sz w:val="24"/>
          <w:szCs w:val="24"/>
        </w:rPr>
        <w:t xml:space="preserve"> </w:t>
      </w:r>
      <w:r w:rsidRPr="001272D0">
        <w:rPr>
          <w:rFonts w:ascii="Arial" w:eastAsia="Arial" w:hAnsi="Arial" w:cs="Arial"/>
          <w:bCs/>
          <w:sz w:val="24"/>
          <w:szCs w:val="24"/>
        </w:rPr>
        <w:t>program</w:t>
      </w:r>
      <w:r w:rsidR="00EC1257" w:rsidRPr="001272D0">
        <w:rPr>
          <w:rFonts w:ascii="Arial" w:eastAsia="Arial" w:hAnsi="Arial" w:cs="Arial"/>
          <w:bCs/>
          <w:sz w:val="24"/>
          <w:szCs w:val="24"/>
        </w:rPr>
        <w:t>me</w:t>
      </w:r>
      <w:r w:rsidRPr="001272D0">
        <w:rPr>
          <w:rFonts w:ascii="Arial" w:eastAsia="Arial" w:hAnsi="Arial" w:cs="Arial"/>
          <w:bCs/>
          <w:sz w:val="24"/>
          <w:szCs w:val="24"/>
        </w:rPr>
        <w:t xml:space="preserve">s </w:t>
      </w:r>
      <w:r w:rsidR="00EC0955" w:rsidRPr="001272D0">
        <w:rPr>
          <w:rFonts w:ascii="Arial" w:eastAsia="Arial" w:hAnsi="Arial" w:cs="Arial"/>
          <w:bCs/>
          <w:sz w:val="24"/>
          <w:szCs w:val="24"/>
        </w:rPr>
        <w:t>(3</w:t>
      </w:r>
      <w:r w:rsidR="005F7BAB" w:rsidRPr="001272D0">
        <w:rPr>
          <w:rFonts w:ascii="Arial" w:eastAsia="Arial" w:hAnsi="Arial" w:cs="Arial"/>
          <w:bCs/>
          <w:sz w:val="24"/>
          <w:szCs w:val="24"/>
        </w:rPr>
        <w:t>3</w:t>
      </w:r>
      <w:r w:rsidR="00EC0955" w:rsidRPr="001272D0">
        <w:rPr>
          <w:rFonts w:ascii="Arial" w:eastAsia="Arial" w:hAnsi="Arial" w:cs="Arial"/>
          <w:bCs/>
          <w:sz w:val="24"/>
          <w:szCs w:val="24"/>
        </w:rPr>
        <w:t xml:space="preserve">%) </w:t>
      </w:r>
      <w:r w:rsidRPr="001272D0">
        <w:rPr>
          <w:rFonts w:ascii="Arial" w:eastAsia="Arial" w:hAnsi="Arial" w:cs="Arial"/>
          <w:bCs/>
          <w:sz w:val="24"/>
          <w:szCs w:val="24"/>
        </w:rPr>
        <w:t>show</w:t>
      </w:r>
      <w:r w:rsidR="007553BE" w:rsidRPr="001272D0">
        <w:rPr>
          <w:rFonts w:ascii="Arial" w:eastAsia="Arial" w:hAnsi="Arial" w:cs="Arial"/>
          <w:bCs/>
          <w:sz w:val="24"/>
          <w:szCs w:val="24"/>
        </w:rPr>
        <w:t>ing</w:t>
      </w:r>
      <w:r w:rsidRPr="001272D0">
        <w:rPr>
          <w:rFonts w:ascii="Arial" w:eastAsia="Arial" w:hAnsi="Arial" w:cs="Arial"/>
          <w:bCs/>
          <w:sz w:val="24"/>
          <w:szCs w:val="24"/>
        </w:rPr>
        <w:t xml:space="preserve"> </w:t>
      </w:r>
      <w:r w:rsidR="004433B6" w:rsidRPr="001272D0">
        <w:rPr>
          <w:rFonts w:ascii="Arial" w:eastAsia="Arial" w:hAnsi="Arial" w:cs="Arial"/>
          <w:bCs/>
          <w:sz w:val="24"/>
          <w:szCs w:val="24"/>
        </w:rPr>
        <w:t xml:space="preserve">no visible </w:t>
      </w:r>
      <w:r w:rsidRPr="001272D0">
        <w:rPr>
          <w:rFonts w:ascii="Arial" w:eastAsia="Arial" w:hAnsi="Arial" w:cs="Arial"/>
          <w:bCs/>
          <w:sz w:val="24"/>
          <w:szCs w:val="24"/>
        </w:rPr>
        <w:t xml:space="preserve">consideration of how students with a non-traditional academic background will be </w:t>
      </w:r>
      <w:r w:rsidR="003D2725" w:rsidRPr="001272D0">
        <w:rPr>
          <w:rFonts w:ascii="Arial" w:eastAsia="Arial" w:hAnsi="Arial" w:cs="Arial"/>
          <w:bCs/>
          <w:sz w:val="24"/>
          <w:szCs w:val="24"/>
        </w:rPr>
        <w:t xml:space="preserve">considered </w:t>
      </w:r>
      <w:r w:rsidR="00EC0955" w:rsidRPr="001272D0">
        <w:rPr>
          <w:rFonts w:ascii="Arial" w:eastAsia="Arial" w:hAnsi="Arial" w:cs="Arial"/>
          <w:bCs/>
          <w:sz w:val="24"/>
          <w:szCs w:val="24"/>
        </w:rPr>
        <w:t>at</w:t>
      </w:r>
      <w:r w:rsidR="003D2725" w:rsidRPr="001272D0">
        <w:rPr>
          <w:rFonts w:ascii="Arial" w:eastAsia="Arial" w:hAnsi="Arial" w:cs="Arial"/>
          <w:bCs/>
          <w:sz w:val="24"/>
          <w:szCs w:val="24"/>
        </w:rPr>
        <w:t xml:space="preserve"> admission</w:t>
      </w:r>
      <w:r w:rsidRPr="001272D0">
        <w:rPr>
          <w:rFonts w:ascii="Arial" w:eastAsia="Arial" w:hAnsi="Arial" w:cs="Arial"/>
          <w:bCs/>
          <w:sz w:val="24"/>
          <w:szCs w:val="24"/>
        </w:rPr>
        <w:t xml:space="preserve">. Research </w:t>
      </w:r>
      <w:r w:rsidR="00273779" w:rsidRPr="001272D0">
        <w:rPr>
          <w:rFonts w:ascii="Arial" w:eastAsia="Arial" w:hAnsi="Arial" w:cs="Arial"/>
          <w:bCs/>
          <w:sz w:val="24"/>
          <w:szCs w:val="24"/>
        </w:rPr>
        <w:t>suggests</w:t>
      </w:r>
      <w:r w:rsidRPr="001272D0">
        <w:rPr>
          <w:rFonts w:ascii="Arial" w:eastAsia="Arial" w:hAnsi="Arial" w:cs="Arial"/>
          <w:bCs/>
          <w:sz w:val="24"/>
          <w:szCs w:val="24"/>
        </w:rPr>
        <w:t xml:space="preserve"> if people do not see people like themselves in a profession, they will not pursue it as a career </w:t>
      </w:r>
      <w:r w:rsidRPr="001272D0">
        <w:rPr>
          <w:rFonts w:ascii="Arial" w:eastAsia="Arial" w:hAnsi="Arial" w:cs="Arial"/>
          <w:bCs/>
          <w:sz w:val="24"/>
          <w:szCs w:val="24"/>
        </w:rPr>
        <w:fldChar w:fldCharType="begin" w:fldLock="1"/>
      </w:r>
      <w:r w:rsidR="002E2F4F" w:rsidRPr="001272D0">
        <w:rPr>
          <w:rFonts w:ascii="Arial" w:eastAsia="Arial" w:hAnsi="Arial" w:cs="Arial"/>
          <w:bCs/>
          <w:sz w:val="24"/>
          <w:szCs w:val="24"/>
        </w:rPr>
        <w:instrText>ADDIN CSL_CITATION {"citationItems":[{"id":"ITEM-1","itemData":{"DOI":"10.5014/ajot.2020.039446","ISSN":"19437676","PMID":"33399063","abstract":"Importance: Matching the demographics of health professionals and patient populations increases access to quality care. However, a consensus has not been reached regarding the most effective strategies for recruitment and retention of diverse practitioners. Objective: To answer the question “What are the perceived challenges to and facilitators of the recruitment and retention of occupational therapy practitioners (OTPs) and students of color?” Design: A qualitative interpretive, constructionist design was used. Purposive recruitment that used convenience sampling was conducted at the 2017 American Occupational Therapy Association Annual Conference &amp; Expo and via the National Black Occupational Therapy Caucus Facebook group. Data were collected online from three focus groups and four interviews. Setting: Online through social media. Participants: The total sample included 5 OTPs and 7 students; 91.7% identified as African-American or Black. Outcomes and Measures: Inductive analysis was used to interpret the open-ended questions. After transcription, each interview or focus group transcript was reviewed with Colaizzi’s seven-step method of data analysis. Results: Five themes were identified: (1) lack of representation in and knowledge about occupational therapy, (2) feeling like an outsider, (3) need for financial support, (4) individualized mentor–mentee relationships, and (5) connections with national organizations specifically for people of color. Conclusions and Relevance: This study identified experiences of OTPs and students of color and how identified barriers can be addressed. Implications for the profession include purposive recruitment, professional development for faculty, provision of mentoring, and financial support. Future research should focus on creation and evaluation of evidence-based strategies for the recruitment and retention of students of color in occupational therapy. What This Article Adds: This study provided voices of OTPs and students of color regarding challenges and facilitators experienced in the profession. With an accurate understanding of experiences of people of color, effective strategies can be developed to foster their successful transition into the occupational therapy workforce.","author":[{"dropping-particle":"","family":"Ford","given":"Alesia R.","non-dropping-particle":"","parse-names":false,"suffix":""},{"dropping-particle":"","family":"Smith","given":"Diane L.","non-dropping-particle":"","parse-names":false,"suffix":""},{"dropping-particle":"","family":"Banister","given":"Gaurdia E.","non-dropping-particle":"","parse-names":false,"suffix":""}],"container-title":"American Journal of Occupational Therapy","id":"ITEM-1","issue":"1","issued":{"date-parts":[["2021"]]},"page":"1-8","title":"Recruitment and retention of occupational therapy practitioners and students of color: A qualitative study","type":"article-journal","volume":"75"},"uris":["http://www.mendeley.com/documents/?uuid=1b96a183-acf0-4804-bf1a-8970e0d1ca33"]}],"mendeley":{"formattedCitation":"(Ford, Smith and Banister, 2021)","plainTextFormattedCitation":"(Ford, Smith and Banister, 2021)","previouslyFormattedCitation":"(Ford, Smith and Banister, 2021)"},"properties":{"noteIndex":0},"schema":"https://github.com/citation-style-language/schema/raw/master/csl-citation.json"}</w:instrText>
      </w:r>
      <w:r w:rsidRPr="001272D0">
        <w:rPr>
          <w:rFonts w:ascii="Arial" w:eastAsia="Arial" w:hAnsi="Arial" w:cs="Arial"/>
          <w:bCs/>
          <w:sz w:val="24"/>
          <w:szCs w:val="24"/>
        </w:rPr>
        <w:fldChar w:fldCharType="separate"/>
      </w:r>
      <w:r w:rsidR="002966A5" w:rsidRPr="001272D0">
        <w:rPr>
          <w:rFonts w:ascii="Arial" w:eastAsia="Arial" w:hAnsi="Arial" w:cs="Arial"/>
          <w:bCs/>
          <w:noProof/>
          <w:sz w:val="24"/>
          <w:szCs w:val="24"/>
        </w:rPr>
        <w:t>(Ford, Smith and Banister, 2021)</w:t>
      </w:r>
      <w:r w:rsidRPr="001272D0">
        <w:rPr>
          <w:rFonts w:ascii="Arial" w:eastAsia="Arial" w:hAnsi="Arial" w:cs="Arial"/>
          <w:bCs/>
          <w:sz w:val="24"/>
          <w:szCs w:val="24"/>
        </w:rPr>
        <w:fldChar w:fldCharType="end"/>
      </w:r>
      <w:r w:rsidRPr="001272D0">
        <w:rPr>
          <w:rFonts w:ascii="Arial" w:eastAsia="Arial" w:hAnsi="Arial" w:cs="Arial"/>
          <w:bCs/>
          <w:sz w:val="24"/>
          <w:szCs w:val="24"/>
        </w:rPr>
        <w:t xml:space="preserve">. Given the issues related to stagnant progress in increasing diversity that reflect the communities occupational therapists work </w:t>
      </w:r>
      <w:r w:rsidR="00E23382" w:rsidRPr="001272D0">
        <w:rPr>
          <w:rFonts w:ascii="Arial" w:eastAsia="Arial" w:hAnsi="Arial" w:cs="Arial"/>
          <w:bCs/>
          <w:sz w:val="24"/>
          <w:szCs w:val="24"/>
        </w:rPr>
        <w:t>alongside</w:t>
      </w:r>
      <w:r w:rsidR="00CF0580" w:rsidRPr="001272D0">
        <w:rPr>
          <w:rFonts w:ascii="Arial" w:eastAsia="Arial" w:hAnsi="Arial" w:cs="Arial"/>
          <w:bCs/>
          <w:sz w:val="24"/>
          <w:szCs w:val="24"/>
        </w:rPr>
        <w:t xml:space="preserve"> </w:t>
      </w:r>
      <w:r w:rsidR="00CF0580" w:rsidRPr="001272D0">
        <w:rPr>
          <w:rFonts w:ascii="Arial" w:eastAsia="Arial" w:hAnsi="Arial" w:cs="Arial"/>
          <w:bCs/>
          <w:sz w:val="24"/>
          <w:szCs w:val="24"/>
        </w:rPr>
        <w:fldChar w:fldCharType="begin" w:fldLock="1"/>
      </w:r>
      <w:r w:rsidR="00094542" w:rsidRPr="001272D0">
        <w:rPr>
          <w:rFonts w:ascii="Arial" w:eastAsia="Arial" w:hAnsi="Arial" w:cs="Arial"/>
          <w:bCs/>
          <w:sz w:val="24"/>
          <w:szCs w:val="24"/>
        </w:rPr>
        <w:instrText>ADDIN CSL_CITATION {"citationItems":[{"id":"ITEM-1","itemData":{"DOI":"10.1080/07380577.2016.1270479","ISSN":"15413098","PMID":"28094578","abstract":"Diversity is a fundamental element of the AOTA Centennial Vision and a critical aspect for the visibility, growth, and sustainability of the occupational therapy profession. In this article, the authors suggest that, while the profession has been aware of the need for a diverse workforce and has taken steps to increase diversity and cultural competency, a more structured, comprehensive, and action-oriented approach must be considered to address an issue which impacts professional roles and client engagement, satisfaction, and well-being. Informed by the value-added and mutual accommodation models of cultural diversity, the authors provide specific strategies and actions which promote diversity and inclusion at the personal, institutional/organizational, and professional levels.","author":[{"dropping-particle":"","family":"Taff","given":"Steven D.","non-dropping-particle":"","parse-names":false,"suffix":""},{"dropping-particle":"","family":"Blash","given":"Daniel","non-dropping-particle":"","parse-names":false,"suffix":""}],"container-title":"Occupational Therapy in Health Care","id":"ITEM-1","issue":"1","issued":{"date-parts":[["2017"]]},"page":"72-83","publisher":"Taylor &amp; Francis","title":"Diversity and Inclusion in Occupational Therapy: Where We Are, Where We Must Go","type":"article-journal","volume":"31"},"uris":["http://www.mendeley.com/documents/?uuid=5ced1bd7-8f9a-4d87-9f0e-c7fcc4b320a7"]},{"id":"ITEM-2","itemData":{"DOI":"10.1177/030802260707000702","ISSN":"14776006","author":[{"dropping-particle":"","family":"Taylor","given":"M. Clare","non-dropping-particle":"","parse-names":false,"suffix":""}],"container-title":"British Journal of Occupational Therapy","id":"ITEM-2","issue":"7","issued":{"date-parts":[["2007"]]},"page":"276-283","title":"The Casson Memorial Lecture 2007: Diversity amongst occupational therapists - Rhetoric or reality?","type":"article-journal","volume":"70"},"uris":["http://www.mendeley.com/documents/?uuid=acb547c3-9ada-47e4-9a6c-81ec8ebf0f4d"]},{"id":"ITEM-3","itemData":{"DOI":"10.1177/030802269605900802","ISSN":"0308-0226","abstract":"The Casson Memorial Lecture 1996, given on 19 July at the 20th Annual Conference of the College of Occupational Therapists, held at the University of Leeds.","author":[{"dropping-particle":"","family":"Yates","given":"J Elizabeth","non-dropping-particle":"","parse-names":false,"suffix":""}],"container-title":"British Journal of Occupational Therapy","id":"ITEM-3","issue":"8","issued":{"date-parts":[["1996"]]},"page":"352-356","title":"The Casson Memorial Lecture 1996: Equalising Opportunities","type":"article-journal","volume":"59"},"uris":["http://www.mendeley.com/documents/?uuid=ea0ca3bb-8d77-47f8-97d3-06d424af8f69"]},{"id":"ITEM-4","itemData":{"author":[{"dropping-particle":"","family":"Atwal","given":"Anita","non-dropping-particle":"","parse-names":false,"suffix":""}],"container-title":"2021 Elizabeth Casson Memorial Lecture","id":"ITEM-4","issued":{"date-parts":[["2021"]]},"publisher":"Royal College of Occupational Therapists","title":"No barriers to brilliance: Social and creative courage to innovate and disrupt occupational therapy practice","type":"paper-conference"},"uris":["http://www.mendeley.com/documents/?uuid=6fc94a81-821f-4f12-b988-96a43c0daa40"]}],"mendeley":{"formattedCitation":"(Yates, 1996; Taylor, 2007; Taff and Blash, 2017; Atwal, 2021)","plainTextFormattedCitation":"(Yates, 1996; Taylor, 2007; Taff and Blash, 2017; Atwal, 2021)","previouslyFormattedCitation":"(Yates, 1996; Taylor, 2007; Taff and Blash, 2017; Atwal, 2021)"},"properties":{"noteIndex":0},"schema":"https://github.com/citation-style-language/schema/raw/master/csl-citation.json"}</w:instrText>
      </w:r>
      <w:r w:rsidR="00CF0580" w:rsidRPr="001272D0">
        <w:rPr>
          <w:rFonts w:ascii="Arial" w:eastAsia="Arial" w:hAnsi="Arial" w:cs="Arial"/>
          <w:bCs/>
          <w:sz w:val="24"/>
          <w:szCs w:val="24"/>
        </w:rPr>
        <w:fldChar w:fldCharType="separate"/>
      </w:r>
      <w:r w:rsidR="00094542" w:rsidRPr="001272D0">
        <w:rPr>
          <w:rFonts w:ascii="Arial" w:eastAsia="Arial" w:hAnsi="Arial" w:cs="Arial"/>
          <w:bCs/>
          <w:noProof/>
          <w:sz w:val="24"/>
          <w:szCs w:val="24"/>
        </w:rPr>
        <w:t>(Yates, 1996; Taylor, 2007; Taff and Blash, 2017; Atwal, 2021)</w:t>
      </w:r>
      <w:r w:rsidR="00CF0580" w:rsidRPr="001272D0">
        <w:rPr>
          <w:rFonts w:ascii="Arial" w:eastAsia="Arial" w:hAnsi="Arial" w:cs="Arial"/>
          <w:bCs/>
          <w:sz w:val="24"/>
          <w:szCs w:val="24"/>
        </w:rPr>
        <w:fldChar w:fldCharType="end"/>
      </w:r>
      <w:r w:rsidR="00CF0580" w:rsidRPr="001272D0">
        <w:rPr>
          <w:rFonts w:ascii="Arial" w:eastAsia="Arial" w:hAnsi="Arial" w:cs="Arial"/>
          <w:bCs/>
          <w:sz w:val="24"/>
          <w:szCs w:val="24"/>
        </w:rPr>
        <w:t xml:space="preserve">, </w:t>
      </w:r>
      <w:r w:rsidRPr="001272D0">
        <w:rPr>
          <w:rFonts w:ascii="Arial" w:eastAsia="Arial" w:hAnsi="Arial" w:cs="Arial"/>
          <w:bCs/>
          <w:sz w:val="24"/>
          <w:szCs w:val="24"/>
        </w:rPr>
        <w:t xml:space="preserve">this is an important </w:t>
      </w:r>
      <w:r w:rsidR="00D577B6" w:rsidRPr="001272D0">
        <w:rPr>
          <w:rFonts w:ascii="Arial" w:eastAsia="Arial" w:hAnsi="Arial" w:cs="Arial"/>
          <w:bCs/>
          <w:sz w:val="24"/>
          <w:szCs w:val="24"/>
        </w:rPr>
        <w:t xml:space="preserve">national and international </w:t>
      </w:r>
      <w:r w:rsidRPr="001272D0">
        <w:rPr>
          <w:rFonts w:ascii="Arial" w:eastAsia="Arial" w:hAnsi="Arial" w:cs="Arial"/>
          <w:bCs/>
          <w:sz w:val="24"/>
          <w:szCs w:val="24"/>
        </w:rPr>
        <w:t>consideration for</w:t>
      </w:r>
      <w:r w:rsidR="007553BE" w:rsidRPr="001272D0">
        <w:rPr>
          <w:rFonts w:ascii="Arial" w:eastAsia="Arial" w:hAnsi="Arial" w:cs="Arial"/>
          <w:bCs/>
          <w:sz w:val="24"/>
          <w:szCs w:val="24"/>
        </w:rPr>
        <w:t xml:space="preserve"> </w:t>
      </w:r>
      <w:r w:rsidR="00502EA3" w:rsidRPr="001272D0">
        <w:rPr>
          <w:rFonts w:ascii="Arial" w:eastAsia="Arial" w:hAnsi="Arial" w:cs="Arial"/>
          <w:bCs/>
          <w:sz w:val="24"/>
          <w:szCs w:val="24"/>
        </w:rPr>
        <w:t>OT education</w:t>
      </w:r>
      <w:r w:rsidR="00E62719" w:rsidRPr="001272D0">
        <w:rPr>
          <w:rFonts w:ascii="Arial" w:eastAsia="Arial" w:hAnsi="Arial" w:cs="Arial"/>
          <w:bCs/>
          <w:sz w:val="24"/>
          <w:szCs w:val="24"/>
        </w:rPr>
        <w:t xml:space="preserve"> providers</w:t>
      </w:r>
      <w:r w:rsidR="007553BE" w:rsidRPr="001272D0">
        <w:rPr>
          <w:rFonts w:ascii="Arial" w:eastAsia="Arial" w:hAnsi="Arial" w:cs="Arial"/>
          <w:bCs/>
          <w:sz w:val="24"/>
          <w:szCs w:val="24"/>
        </w:rPr>
        <w:t xml:space="preserve"> to consider when </w:t>
      </w:r>
      <w:r w:rsidR="00960811" w:rsidRPr="001272D0">
        <w:rPr>
          <w:rFonts w:ascii="Arial" w:eastAsia="Arial" w:hAnsi="Arial" w:cs="Arial"/>
          <w:bCs/>
          <w:sz w:val="24"/>
          <w:szCs w:val="24"/>
        </w:rPr>
        <w:t>publicising</w:t>
      </w:r>
      <w:r w:rsidR="007553BE" w:rsidRPr="001272D0">
        <w:rPr>
          <w:rFonts w:ascii="Arial" w:eastAsia="Arial" w:hAnsi="Arial" w:cs="Arial"/>
          <w:bCs/>
          <w:sz w:val="24"/>
          <w:szCs w:val="24"/>
        </w:rPr>
        <w:t xml:space="preserve"> alternative entry criteria at the point of enquiry</w:t>
      </w:r>
      <w:r w:rsidR="00E63AEB" w:rsidRPr="001272D0">
        <w:rPr>
          <w:rFonts w:ascii="Arial" w:eastAsia="Arial" w:hAnsi="Arial" w:cs="Arial"/>
          <w:bCs/>
          <w:sz w:val="24"/>
          <w:szCs w:val="24"/>
        </w:rPr>
        <w:t>.</w:t>
      </w:r>
    </w:p>
    <w:p w14:paraId="7B37EAFD" w14:textId="77777777" w:rsidR="00EC0955" w:rsidRPr="001272D0" w:rsidRDefault="00EC0955" w:rsidP="00BD4AF7">
      <w:pPr>
        <w:spacing w:line="240" w:lineRule="auto"/>
        <w:jc w:val="both"/>
        <w:rPr>
          <w:rFonts w:ascii="Arial" w:hAnsi="Arial" w:cs="Arial"/>
          <w:b/>
          <w:bCs/>
          <w:sz w:val="24"/>
          <w:szCs w:val="24"/>
        </w:rPr>
      </w:pPr>
    </w:p>
    <w:p w14:paraId="74F6E1AA" w14:textId="6AD1AD7D" w:rsidR="0099329F" w:rsidRPr="001272D0" w:rsidRDefault="00BD4AF7" w:rsidP="00BD4AF7">
      <w:pPr>
        <w:spacing w:line="240" w:lineRule="auto"/>
        <w:jc w:val="both"/>
        <w:rPr>
          <w:rFonts w:ascii="Arial" w:eastAsia="Arial" w:hAnsi="Arial" w:cs="Arial"/>
          <w:b/>
          <w:sz w:val="24"/>
          <w:szCs w:val="24"/>
        </w:rPr>
      </w:pPr>
      <w:r w:rsidRPr="001272D0">
        <w:rPr>
          <w:rFonts w:ascii="Arial" w:eastAsia="Arial" w:hAnsi="Arial" w:cs="Arial"/>
          <w:b/>
          <w:sz w:val="24"/>
          <w:szCs w:val="24"/>
        </w:rPr>
        <w:t>Limitations</w:t>
      </w:r>
    </w:p>
    <w:p w14:paraId="5CB22F52" w14:textId="4EA6C51D" w:rsidR="00D32E3B" w:rsidRPr="001272D0" w:rsidRDefault="006C38C8" w:rsidP="006C38C8">
      <w:pPr>
        <w:jc w:val="both"/>
        <w:rPr>
          <w:rFonts w:ascii="Arial" w:eastAsia="Arial" w:hAnsi="Arial" w:cs="Arial"/>
          <w:sz w:val="24"/>
          <w:szCs w:val="24"/>
        </w:rPr>
      </w:pPr>
      <w:r w:rsidRPr="001272D0">
        <w:rPr>
          <w:rFonts w:ascii="Arial" w:eastAsia="Arial" w:hAnsi="Arial" w:cs="Arial"/>
          <w:sz w:val="24"/>
          <w:szCs w:val="24"/>
        </w:rPr>
        <w:t xml:space="preserve">This research </w:t>
      </w:r>
      <w:r w:rsidRPr="001272D0">
        <w:rPr>
          <w:rFonts w:ascii="Arial" w:eastAsia="Arial" w:hAnsi="Arial" w:cs="Arial"/>
          <w:bCs/>
          <w:sz w:val="24"/>
          <w:szCs w:val="24"/>
        </w:rPr>
        <w:t xml:space="preserve">demonstrates an </w:t>
      </w:r>
      <w:r w:rsidRPr="001272D0">
        <w:rPr>
          <w:rFonts w:ascii="Arial" w:eastAsia="Arial" w:hAnsi="Arial" w:cs="Arial"/>
          <w:sz w:val="24"/>
          <w:szCs w:val="24"/>
        </w:rPr>
        <w:t xml:space="preserve">apparent lack of standardised entry criteria, confirming the existence of bespoke but inconsistent selection processes between UK universities. While this is the result of </w:t>
      </w:r>
      <w:r w:rsidR="002F2C16" w:rsidRPr="001272D0">
        <w:rPr>
          <w:rFonts w:ascii="Arial" w:eastAsia="Arial" w:hAnsi="Arial" w:cs="Arial"/>
          <w:sz w:val="24"/>
          <w:szCs w:val="24"/>
        </w:rPr>
        <w:t>each</w:t>
      </w:r>
      <w:r w:rsidRPr="001272D0">
        <w:rPr>
          <w:rFonts w:ascii="Arial" w:eastAsia="Arial" w:hAnsi="Arial" w:cs="Arial"/>
          <w:sz w:val="24"/>
          <w:szCs w:val="24"/>
        </w:rPr>
        <w:t xml:space="preserve"> institution offering individual OT programmes as opposed to a single homogenous organisation, this poses challenges for navigators </w:t>
      </w:r>
      <w:r w:rsidR="007819BA" w:rsidRPr="001272D0">
        <w:rPr>
          <w:rFonts w:ascii="Arial" w:eastAsia="Arial" w:hAnsi="Arial" w:cs="Arial"/>
          <w:sz w:val="24"/>
          <w:szCs w:val="24"/>
        </w:rPr>
        <w:t>of advertised</w:t>
      </w:r>
      <w:r w:rsidR="006F0A3B" w:rsidRPr="001272D0">
        <w:rPr>
          <w:rFonts w:ascii="Arial" w:eastAsia="Arial" w:hAnsi="Arial" w:cs="Arial"/>
          <w:sz w:val="24"/>
          <w:szCs w:val="24"/>
        </w:rPr>
        <w:t xml:space="preserve"> </w:t>
      </w:r>
      <w:r w:rsidR="007819BA" w:rsidRPr="001272D0">
        <w:rPr>
          <w:rFonts w:ascii="Arial" w:eastAsia="Arial" w:hAnsi="Arial" w:cs="Arial"/>
          <w:sz w:val="24"/>
          <w:szCs w:val="24"/>
        </w:rPr>
        <w:t>entry criteria</w:t>
      </w:r>
      <w:r w:rsidRPr="001272D0">
        <w:rPr>
          <w:rFonts w:ascii="Arial" w:eastAsia="Arial" w:hAnsi="Arial" w:cs="Arial"/>
          <w:sz w:val="24"/>
          <w:szCs w:val="24"/>
        </w:rPr>
        <w:t>. Namely, the profession, institutions, admissions tutors and pre-registration candidates alike. It was beyond the scope of this unobtrusive research to</w:t>
      </w:r>
      <w:r w:rsidR="00767A8A" w:rsidRPr="001272D0">
        <w:rPr>
          <w:rFonts w:ascii="Arial" w:eastAsia="Arial" w:hAnsi="Arial" w:cs="Arial"/>
          <w:sz w:val="24"/>
          <w:szCs w:val="24"/>
        </w:rPr>
        <w:t xml:space="preserve"> seek the perspectives, experiences and narratives</w:t>
      </w:r>
      <w:r w:rsidR="007819BA" w:rsidRPr="001272D0">
        <w:rPr>
          <w:rFonts w:ascii="Arial" w:eastAsia="Arial" w:hAnsi="Arial" w:cs="Arial"/>
          <w:sz w:val="24"/>
          <w:szCs w:val="24"/>
        </w:rPr>
        <w:t xml:space="preserve"> of </w:t>
      </w:r>
      <w:r w:rsidR="007819BA" w:rsidRPr="001272D0">
        <w:rPr>
          <w:rFonts w:ascii="Arial" w:eastAsia="Arial" w:hAnsi="Arial" w:cs="Arial"/>
          <w:sz w:val="24"/>
          <w:szCs w:val="24"/>
        </w:rPr>
        <w:lastRenderedPageBreak/>
        <w:t xml:space="preserve">these stakeholders </w:t>
      </w:r>
      <w:r w:rsidRPr="001272D0">
        <w:rPr>
          <w:rFonts w:ascii="Arial" w:eastAsia="Arial" w:hAnsi="Arial" w:cs="Arial"/>
          <w:sz w:val="24"/>
          <w:szCs w:val="24"/>
        </w:rPr>
        <w:t xml:space="preserve">and is therefore a significant limitation of this exploratory and preliminary dataset. </w:t>
      </w:r>
      <w:r w:rsidR="009577E8" w:rsidRPr="001272D0">
        <w:rPr>
          <w:rFonts w:ascii="Arial" w:eastAsia="Arial" w:hAnsi="Arial" w:cs="Arial"/>
          <w:sz w:val="24"/>
          <w:szCs w:val="24"/>
        </w:rPr>
        <w:t xml:space="preserve">Furthermore, with </w:t>
      </w:r>
      <w:r w:rsidR="00807172" w:rsidRPr="001272D0">
        <w:rPr>
          <w:rFonts w:ascii="Arial" w:eastAsia="Arial" w:hAnsi="Arial" w:cs="Arial"/>
          <w:bCs/>
          <w:sz w:val="24"/>
          <w:szCs w:val="24"/>
        </w:rPr>
        <w:t>data collected</w:t>
      </w:r>
      <w:r w:rsidR="00AC3B38" w:rsidRPr="001272D0">
        <w:rPr>
          <w:rFonts w:ascii="Arial" w:eastAsia="Arial" w:hAnsi="Arial" w:cs="Arial"/>
          <w:bCs/>
          <w:sz w:val="24"/>
          <w:szCs w:val="24"/>
        </w:rPr>
        <w:t xml:space="preserve"> over a 6-month period, there may have been </w:t>
      </w:r>
      <w:r w:rsidR="00E709D9" w:rsidRPr="001272D0">
        <w:rPr>
          <w:rFonts w:ascii="Arial" w:eastAsia="Arial" w:hAnsi="Arial" w:cs="Arial"/>
          <w:bCs/>
          <w:sz w:val="24"/>
          <w:szCs w:val="24"/>
        </w:rPr>
        <w:t xml:space="preserve">intermittent </w:t>
      </w:r>
      <w:r w:rsidR="005F6897" w:rsidRPr="001272D0">
        <w:rPr>
          <w:rFonts w:ascii="Arial" w:eastAsia="Arial" w:hAnsi="Arial" w:cs="Arial"/>
          <w:bCs/>
          <w:sz w:val="24"/>
          <w:szCs w:val="24"/>
        </w:rPr>
        <w:t>or</w:t>
      </w:r>
      <w:r w:rsidR="00E709D9" w:rsidRPr="001272D0">
        <w:rPr>
          <w:rFonts w:ascii="Arial" w:eastAsia="Arial" w:hAnsi="Arial" w:cs="Arial"/>
          <w:bCs/>
          <w:sz w:val="24"/>
          <w:szCs w:val="24"/>
        </w:rPr>
        <w:t xml:space="preserve"> ongoing </w:t>
      </w:r>
      <w:r w:rsidR="00AC3B38" w:rsidRPr="001272D0">
        <w:rPr>
          <w:rFonts w:ascii="Arial" w:eastAsia="Arial" w:hAnsi="Arial" w:cs="Arial"/>
          <w:bCs/>
          <w:sz w:val="24"/>
          <w:szCs w:val="24"/>
        </w:rPr>
        <w:t>changes in the data</w:t>
      </w:r>
      <w:r w:rsidR="009577E8" w:rsidRPr="001272D0">
        <w:rPr>
          <w:rFonts w:ascii="Arial" w:eastAsia="Arial" w:hAnsi="Arial" w:cs="Arial"/>
          <w:bCs/>
          <w:sz w:val="24"/>
          <w:szCs w:val="24"/>
        </w:rPr>
        <w:t xml:space="preserve"> the researchers were </w:t>
      </w:r>
      <w:r w:rsidR="005F6897" w:rsidRPr="001272D0">
        <w:rPr>
          <w:rFonts w:ascii="Arial" w:eastAsia="Arial" w:hAnsi="Arial" w:cs="Arial"/>
          <w:bCs/>
          <w:sz w:val="24"/>
          <w:szCs w:val="24"/>
        </w:rPr>
        <w:t>un</w:t>
      </w:r>
      <w:r w:rsidR="009577E8" w:rsidRPr="001272D0">
        <w:rPr>
          <w:rFonts w:ascii="Arial" w:eastAsia="Arial" w:hAnsi="Arial" w:cs="Arial"/>
          <w:bCs/>
          <w:sz w:val="24"/>
          <w:szCs w:val="24"/>
        </w:rPr>
        <w:t>aware of</w:t>
      </w:r>
      <w:r w:rsidR="00807172" w:rsidRPr="001272D0">
        <w:rPr>
          <w:rFonts w:ascii="Arial" w:eastAsia="Arial" w:hAnsi="Arial" w:cs="Arial"/>
          <w:bCs/>
          <w:sz w:val="24"/>
          <w:szCs w:val="24"/>
        </w:rPr>
        <w:t xml:space="preserve">. </w:t>
      </w:r>
    </w:p>
    <w:p w14:paraId="36B4D9C3" w14:textId="77777777" w:rsidR="003931B6" w:rsidRPr="001272D0" w:rsidRDefault="003931B6" w:rsidP="00BD4AF7">
      <w:pPr>
        <w:spacing w:line="240" w:lineRule="auto"/>
        <w:jc w:val="both"/>
        <w:rPr>
          <w:rFonts w:ascii="Arial" w:eastAsia="Arial" w:hAnsi="Arial" w:cs="Arial"/>
          <w:bCs/>
          <w:sz w:val="24"/>
          <w:szCs w:val="24"/>
        </w:rPr>
      </w:pPr>
    </w:p>
    <w:p w14:paraId="402E91C5" w14:textId="6123D525" w:rsidR="00BD4AF7" w:rsidRPr="001272D0" w:rsidRDefault="00BD4AF7" w:rsidP="00BD4AF7">
      <w:pPr>
        <w:spacing w:line="240" w:lineRule="auto"/>
        <w:jc w:val="both"/>
        <w:rPr>
          <w:rFonts w:ascii="Arial" w:eastAsia="Arial" w:hAnsi="Arial" w:cs="Arial"/>
          <w:b/>
          <w:sz w:val="24"/>
          <w:szCs w:val="24"/>
        </w:rPr>
      </w:pPr>
      <w:r w:rsidRPr="001272D0">
        <w:rPr>
          <w:rFonts w:ascii="Arial" w:eastAsia="Arial" w:hAnsi="Arial" w:cs="Arial"/>
          <w:b/>
          <w:sz w:val="24"/>
          <w:szCs w:val="24"/>
        </w:rPr>
        <w:t>Further areas of work</w:t>
      </w:r>
    </w:p>
    <w:p w14:paraId="0E276C58" w14:textId="3F18470E" w:rsidR="009853D4" w:rsidRPr="001272D0" w:rsidRDefault="00C4467B" w:rsidP="00DE2A15">
      <w:pPr>
        <w:spacing w:line="240" w:lineRule="auto"/>
        <w:jc w:val="both"/>
        <w:rPr>
          <w:rFonts w:ascii="Arial" w:eastAsia="Arial" w:hAnsi="Arial" w:cs="Arial"/>
          <w:sz w:val="24"/>
          <w:szCs w:val="24"/>
        </w:rPr>
      </w:pPr>
      <w:r w:rsidRPr="001272D0">
        <w:rPr>
          <w:rFonts w:ascii="Arial" w:eastAsia="Arial" w:hAnsi="Arial" w:cs="Arial"/>
          <w:sz w:val="24"/>
          <w:szCs w:val="24"/>
        </w:rPr>
        <w:t xml:space="preserve">This research </w:t>
      </w:r>
      <w:r w:rsidR="009866A7" w:rsidRPr="001272D0">
        <w:rPr>
          <w:rFonts w:ascii="Arial" w:eastAsia="Arial" w:hAnsi="Arial" w:cs="Arial"/>
          <w:sz w:val="24"/>
          <w:szCs w:val="24"/>
        </w:rPr>
        <w:t>highlights</w:t>
      </w:r>
      <w:r w:rsidRPr="001272D0">
        <w:rPr>
          <w:rFonts w:ascii="Arial" w:eastAsia="Arial" w:hAnsi="Arial" w:cs="Arial"/>
          <w:sz w:val="24"/>
          <w:szCs w:val="24"/>
        </w:rPr>
        <w:t xml:space="preserve"> challeng</w:t>
      </w:r>
      <w:r w:rsidR="009866A7" w:rsidRPr="001272D0">
        <w:rPr>
          <w:rFonts w:ascii="Arial" w:eastAsia="Arial" w:hAnsi="Arial" w:cs="Arial"/>
          <w:sz w:val="24"/>
          <w:szCs w:val="24"/>
        </w:rPr>
        <w:t>es</w:t>
      </w:r>
      <w:r w:rsidR="009A663F" w:rsidRPr="001272D0">
        <w:rPr>
          <w:rFonts w:ascii="Arial" w:eastAsia="Arial" w:hAnsi="Arial" w:cs="Arial"/>
          <w:sz w:val="24"/>
          <w:szCs w:val="24"/>
        </w:rPr>
        <w:t xml:space="preserve"> </w:t>
      </w:r>
      <w:r w:rsidR="00C4373D" w:rsidRPr="001272D0">
        <w:rPr>
          <w:rFonts w:ascii="Arial" w:eastAsia="Arial" w:hAnsi="Arial" w:cs="Arial"/>
          <w:sz w:val="24"/>
          <w:szCs w:val="24"/>
        </w:rPr>
        <w:t xml:space="preserve">for </w:t>
      </w:r>
      <w:r w:rsidR="006F00C3" w:rsidRPr="001272D0">
        <w:rPr>
          <w:rFonts w:ascii="Arial" w:eastAsia="Arial" w:hAnsi="Arial" w:cs="Arial"/>
          <w:sz w:val="24"/>
          <w:szCs w:val="24"/>
        </w:rPr>
        <w:t>potential</w:t>
      </w:r>
      <w:r w:rsidR="001F4D0C" w:rsidRPr="001272D0">
        <w:rPr>
          <w:rFonts w:ascii="Arial" w:eastAsia="Arial" w:hAnsi="Arial" w:cs="Arial"/>
          <w:sz w:val="24"/>
          <w:szCs w:val="24"/>
        </w:rPr>
        <w:t xml:space="preserve"> </w:t>
      </w:r>
      <w:r w:rsidR="00192C9A" w:rsidRPr="001272D0">
        <w:rPr>
          <w:rFonts w:ascii="Arial" w:eastAsia="Arial" w:hAnsi="Arial" w:cs="Arial"/>
          <w:sz w:val="24"/>
          <w:szCs w:val="24"/>
        </w:rPr>
        <w:t xml:space="preserve">OT </w:t>
      </w:r>
      <w:r w:rsidR="002166E4" w:rsidRPr="001272D0">
        <w:rPr>
          <w:rFonts w:ascii="Arial" w:eastAsia="Arial" w:hAnsi="Arial" w:cs="Arial"/>
          <w:color w:val="000000"/>
          <w:sz w:val="24"/>
          <w:szCs w:val="24"/>
        </w:rPr>
        <w:t>candidates</w:t>
      </w:r>
      <w:r w:rsidR="00217D54" w:rsidRPr="001272D0">
        <w:rPr>
          <w:rFonts w:ascii="Arial" w:eastAsia="Arial" w:hAnsi="Arial" w:cs="Arial"/>
          <w:color w:val="000000"/>
          <w:sz w:val="24"/>
          <w:szCs w:val="24"/>
        </w:rPr>
        <w:t xml:space="preserve"> </w:t>
      </w:r>
      <w:r w:rsidR="002635CB" w:rsidRPr="001272D0">
        <w:rPr>
          <w:rFonts w:ascii="Arial" w:eastAsia="Arial" w:hAnsi="Arial" w:cs="Arial"/>
          <w:color w:val="000000"/>
          <w:sz w:val="24"/>
          <w:szCs w:val="24"/>
        </w:rPr>
        <w:t>in relation</w:t>
      </w:r>
      <w:r w:rsidR="00A72327" w:rsidRPr="001272D0">
        <w:rPr>
          <w:rFonts w:ascii="Arial" w:eastAsia="Arial" w:hAnsi="Arial" w:cs="Arial"/>
          <w:color w:val="000000"/>
          <w:sz w:val="24"/>
          <w:szCs w:val="24"/>
        </w:rPr>
        <w:t xml:space="preserve"> to</w:t>
      </w:r>
      <w:r w:rsidR="007336E1" w:rsidRPr="001272D0">
        <w:rPr>
          <w:rFonts w:ascii="Arial" w:eastAsia="Arial" w:hAnsi="Arial" w:cs="Arial"/>
          <w:color w:val="000000"/>
          <w:sz w:val="24"/>
          <w:szCs w:val="24"/>
        </w:rPr>
        <w:t xml:space="preserve"> </w:t>
      </w:r>
      <w:r w:rsidR="002166E4" w:rsidRPr="001272D0">
        <w:rPr>
          <w:rFonts w:ascii="Arial" w:eastAsia="Arial" w:hAnsi="Arial" w:cs="Arial"/>
          <w:color w:val="000000"/>
          <w:sz w:val="24"/>
          <w:szCs w:val="24"/>
        </w:rPr>
        <w:t xml:space="preserve">what academic qualifications to </w:t>
      </w:r>
      <w:r w:rsidR="006B5DD7" w:rsidRPr="001272D0">
        <w:rPr>
          <w:rFonts w:ascii="Arial" w:eastAsia="Arial" w:hAnsi="Arial" w:cs="Arial"/>
          <w:color w:val="000000"/>
          <w:sz w:val="24"/>
          <w:szCs w:val="24"/>
        </w:rPr>
        <w:t>choose</w:t>
      </w:r>
      <w:r w:rsidR="009853D4" w:rsidRPr="001272D0">
        <w:rPr>
          <w:rFonts w:ascii="Arial" w:eastAsia="Arial" w:hAnsi="Arial" w:cs="Arial"/>
          <w:color w:val="000000"/>
          <w:sz w:val="24"/>
          <w:szCs w:val="24"/>
        </w:rPr>
        <w:t>,</w:t>
      </w:r>
      <w:r w:rsidR="00665564" w:rsidRPr="001272D0">
        <w:rPr>
          <w:rFonts w:ascii="Arial" w:eastAsia="Arial" w:hAnsi="Arial" w:cs="Arial"/>
          <w:color w:val="000000"/>
          <w:sz w:val="24"/>
          <w:szCs w:val="24"/>
        </w:rPr>
        <w:t xml:space="preserve"> as well as</w:t>
      </w:r>
      <w:r w:rsidR="002166E4" w:rsidRPr="001272D0">
        <w:rPr>
          <w:rFonts w:ascii="Arial" w:eastAsia="Arial" w:hAnsi="Arial" w:cs="Arial"/>
          <w:color w:val="000000"/>
          <w:sz w:val="24"/>
          <w:szCs w:val="24"/>
        </w:rPr>
        <w:t xml:space="preserve"> grade(s) to achieve</w:t>
      </w:r>
      <w:r w:rsidR="00653269" w:rsidRPr="001272D0">
        <w:rPr>
          <w:rFonts w:ascii="Arial" w:eastAsia="Arial" w:hAnsi="Arial" w:cs="Arial"/>
          <w:color w:val="000000"/>
          <w:sz w:val="24"/>
          <w:szCs w:val="24"/>
        </w:rPr>
        <w:t xml:space="preserve">, </w:t>
      </w:r>
      <w:r w:rsidR="002166E4" w:rsidRPr="001272D0">
        <w:rPr>
          <w:rFonts w:ascii="Arial" w:eastAsia="Arial" w:hAnsi="Arial" w:cs="Arial"/>
          <w:color w:val="000000"/>
          <w:sz w:val="24"/>
          <w:szCs w:val="24"/>
        </w:rPr>
        <w:t>work experience</w:t>
      </w:r>
      <w:r w:rsidR="007B0929" w:rsidRPr="001272D0">
        <w:rPr>
          <w:rFonts w:ascii="Arial" w:eastAsia="Arial" w:hAnsi="Arial" w:cs="Arial"/>
          <w:color w:val="000000"/>
          <w:sz w:val="24"/>
          <w:szCs w:val="24"/>
        </w:rPr>
        <w:t>s</w:t>
      </w:r>
      <w:r w:rsidR="002166E4" w:rsidRPr="001272D0">
        <w:rPr>
          <w:rFonts w:ascii="Arial" w:eastAsia="Arial" w:hAnsi="Arial" w:cs="Arial"/>
          <w:color w:val="000000"/>
          <w:sz w:val="24"/>
          <w:szCs w:val="24"/>
        </w:rPr>
        <w:t xml:space="preserve"> to gain</w:t>
      </w:r>
      <w:r w:rsidR="00653269" w:rsidRPr="001272D0">
        <w:rPr>
          <w:rFonts w:ascii="Arial" w:eastAsia="Arial" w:hAnsi="Arial" w:cs="Arial"/>
          <w:color w:val="000000"/>
          <w:sz w:val="24"/>
          <w:szCs w:val="24"/>
        </w:rPr>
        <w:t xml:space="preserve"> </w:t>
      </w:r>
      <w:r w:rsidR="002166E4" w:rsidRPr="001272D0">
        <w:rPr>
          <w:rFonts w:ascii="Arial" w:eastAsia="Arial" w:hAnsi="Arial" w:cs="Arial"/>
          <w:color w:val="000000"/>
          <w:sz w:val="24"/>
          <w:szCs w:val="24"/>
        </w:rPr>
        <w:t>and how lived experience</w:t>
      </w:r>
      <w:r w:rsidR="007B0929" w:rsidRPr="001272D0">
        <w:rPr>
          <w:rFonts w:ascii="Arial" w:eastAsia="Arial" w:hAnsi="Arial" w:cs="Arial"/>
          <w:color w:val="000000"/>
          <w:sz w:val="24"/>
          <w:szCs w:val="24"/>
        </w:rPr>
        <w:t>s</w:t>
      </w:r>
      <w:r w:rsidR="002166E4" w:rsidRPr="001272D0">
        <w:rPr>
          <w:rFonts w:ascii="Arial" w:eastAsia="Arial" w:hAnsi="Arial" w:cs="Arial"/>
          <w:color w:val="000000"/>
          <w:sz w:val="24"/>
          <w:szCs w:val="24"/>
        </w:rPr>
        <w:t xml:space="preserve"> </w:t>
      </w:r>
      <w:r w:rsidR="003A67EC" w:rsidRPr="001272D0">
        <w:rPr>
          <w:rFonts w:ascii="Arial" w:eastAsia="Arial" w:hAnsi="Arial" w:cs="Arial"/>
          <w:color w:val="000000"/>
          <w:sz w:val="24"/>
          <w:szCs w:val="24"/>
        </w:rPr>
        <w:t xml:space="preserve">may </w:t>
      </w:r>
      <w:r w:rsidR="002166E4" w:rsidRPr="001272D0">
        <w:rPr>
          <w:rFonts w:ascii="Arial" w:eastAsia="Arial" w:hAnsi="Arial" w:cs="Arial"/>
          <w:color w:val="000000"/>
          <w:sz w:val="24"/>
          <w:szCs w:val="24"/>
        </w:rPr>
        <w:t>be considered a</w:t>
      </w:r>
      <w:r w:rsidR="00C67B17" w:rsidRPr="001272D0">
        <w:rPr>
          <w:rFonts w:ascii="Arial" w:eastAsia="Arial" w:hAnsi="Arial" w:cs="Arial"/>
          <w:color w:val="000000"/>
          <w:sz w:val="24"/>
          <w:szCs w:val="24"/>
        </w:rPr>
        <w:t>s</w:t>
      </w:r>
      <w:r w:rsidR="002166E4" w:rsidRPr="001272D0">
        <w:rPr>
          <w:rFonts w:ascii="Arial" w:eastAsia="Arial" w:hAnsi="Arial" w:cs="Arial"/>
          <w:color w:val="000000"/>
          <w:sz w:val="24"/>
          <w:szCs w:val="24"/>
        </w:rPr>
        <w:t xml:space="preserve"> </w:t>
      </w:r>
      <w:r w:rsidR="00B42EDF" w:rsidRPr="001272D0">
        <w:rPr>
          <w:rFonts w:ascii="Arial" w:eastAsia="Arial" w:hAnsi="Arial" w:cs="Arial"/>
          <w:color w:val="000000"/>
          <w:sz w:val="24"/>
          <w:szCs w:val="24"/>
        </w:rPr>
        <w:t xml:space="preserve">an </w:t>
      </w:r>
      <w:r w:rsidR="00E51635" w:rsidRPr="001272D0">
        <w:rPr>
          <w:rFonts w:ascii="Arial" w:eastAsia="Arial" w:hAnsi="Arial" w:cs="Arial"/>
          <w:color w:val="000000"/>
          <w:sz w:val="24"/>
          <w:szCs w:val="24"/>
        </w:rPr>
        <w:t>alternative</w:t>
      </w:r>
      <w:r w:rsidR="00192C9A" w:rsidRPr="001272D0">
        <w:rPr>
          <w:rFonts w:ascii="Arial" w:eastAsia="Arial" w:hAnsi="Arial" w:cs="Arial"/>
          <w:color w:val="000000"/>
          <w:sz w:val="24"/>
          <w:szCs w:val="24"/>
        </w:rPr>
        <w:t xml:space="preserve"> to traditional academic and professional </w:t>
      </w:r>
      <w:r w:rsidR="00C67B17" w:rsidRPr="001272D0">
        <w:rPr>
          <w:rFonts w:ascii="Arial" w:eastAsia="Arial" w:hAnsi="Arial" w:cs="Arial"/>
          <w:color w:val="000000"/>
          <w:sz w:val="24"/>
          <w:szCs w:val="24"/>
        </w:rPr>
        <w:t>entry routes.</w:t>
      </w:r>
      <w:r w:rsidR="006B5DD7" w:rsidRPr="001272D0">
        <w:rPr>
          <w:rFonts w:ascii="Arial" w:eastAsia="Arial" w:hAnsi="Arial" w:cs="Arial"/>
          <w:color w:val="000000"/>
          <w:sz w:val="24"/>
          <w:szCs w:val="24"/>
        </w:rPr>
        <w:t xml:space="preserve"> </w:t>
      </w:r>
      <w:r w:rsidR="006D4554" w:rsidRPr="001272D0">
        <w:rPr>
          <w:rFonts w:ascii="Arial" w:eastAsia="Arial" w:hAnsi="Arial" w:cs="Arial"/>
          <w:color w:val="000000"/>
          <w:sz w:val="24"/>
          <w:szCs w:val="24"/>
        </w:rPr>
        <w:t>Additionally</w:t>
      </w:r>
      <w:r w:rsidR="00E34368" w:rsidRPr="001272D0">
        <w:rPr>
          <w:rFonts w:ascii="Arial" w:eastAsia="Arial" w:hAnsi="Arial" w:cs="Arial"/>
          <w:sz w:val="24"/>
          <w:szCs w:val="24"/>
        </w:rPr>
        <w:t>,</w:t>
      </w:r>
      <w:r w:rsidR="000238BD" w:rsidRPr="001272D0">
        <w:rPr>
          <w:rFonts w:ascii="Arial" w:eastAsia="Arial" w:hAnsi="Arial" w:cs="Arial"/>
          <w:sz w:val="24"/>
          <w:szCs w:val="24"/>
        </w:rPr>
        <w:t xml:space="preserve"> </w:t>
      </w:r>
      <w:r w:rsidR="004D4098" w:rsidRPr="001272D0">
        <w:rPr>
          <w:rFonts w:ascii="Arial" w:eastAsia="Arial" w:hAnsi="Arial" w:cs="Arial"/>
          <w:sz w:val="24"/>
          <w:szCs w:val="24"/>
        </w:rPr>
        <w:t>a</w:t>
      </w:r>
      <w:r w:rsidR="00635F8A" w:rsidRPr="001272D0">
        <w:rPr>
          <w:rFonts w:ascii="Arial" w:eastAsia="Arial" w:hAnsi="Arial" w:cs="Arial"/>
          <w:sz w:val="24"/>
          <w:szCs w:val="24"/>
        </w:rPr>
        <w:t xml:space="preserve"> lack of P/T programmes</w:t>
      </w:r>
      <w:r w:rsidR="00E923D3" w:rsidRPr="001272D0">
        <w:rPr>
          <w:rFonts w:ascii="Arial" w:eastAsia="Arial" w:hAnsi="Arial" w:cs="Arial"/>
          <w:bCs/>
          <w:sz w:val="24"/>
          <w:szCs w:val="24"/>
        </w:rPr>
        <w:t xml:space="preserve"> </w:t>
      </w:r>
      <w:r w:rsidR="001E327B" w:rsidRPr="001272D0">
        <w:rPr>
          <w:rFonts w:ascii="Arial" w:eastAsia="Arial" w:hAnsi="Arial" w:cs="Arial"/>
          <w:bCs/>
          <w:sz w:val="24"/>
          <w:szCs w:val="24"/>
        </w:rPr>
        <w:t>ha</w:t>
      </w:r>
      <w:r w:rsidR="005A2099" w:rsidRPr="001272D0">
        <w:rPr>
          <w:rFonts w:ascii="Arial" w:eastAsia="Arial" w:hAnsi="Arial" w:cs="Arial"/>
          <w:bCs/>
          <w:sz w:val="24"/>
          <w:szCs w:val="24"/>
        </w:rPr>
        <w:t>ve</w:t>
      </w:r>
      <w:r w:rsidR="001E327B" w:rsidRPr="001272D0">
        <w:rPr>
          <w:rFonts w:ascii="Arial" w:eastAsia="Arial" w:hAnsi="Arial" w:cs="Arial"/>
          <w:bCs/>
          <w:sz w:val="24"/>
          <w:szCs w:val="24"/>
        </w:rPr>
        <w:t xml:space="preserve"> the potential to</w:t>
      </w:r>
      <w:r w:rsidR="009A663F" w:rsidRPr="001272D0">
        <w:rPr>
          <w:rFonts w:ascii="Arial" w:eastAsia="Arial" w:hAnsi="Arial" w:cs="Arial"/>
          <w:bCs/>
          <w:sz w:val="24"/>
          <w:szCs w:val="24"/>
        </w:rPr>
        <w:t xml:space="preserve"> </w:t>
      </w:r>
      <w:r w:rsidR="00E923D3" w:rsidRPr="001272D0">
        <w:rPr>
          <w:rFonts w:ascii="Arial" w:eastAsia="Arial" w:hAnsi="Arial" w:cs="Arial"/>
          <w:bCs/>
          <w:sz w:val="24"/>
          <w:szCs w:val="24"/>
        </w:rPr>
        <w:t>limit</w:t>
      </w:r>
      <w:r w:rsidR="000238BD" w:rsidRPr="001272D0">
        <w:rPr>
          <w:rFonts w:ascii="Arial" w:eastAsia="Arial" w:hAnsi="Arial" w:cs="Arial"/>
          <w:bCs/>
          <w:sz w:val="24"/>
          <w:szCs w:val="24"/>
        </w:rPr>
        <w:t xml:space="preserve"> </w:t>
      </w:r>
      <w:r w:rsidR="00E923D3" w:rsidRPr="001272D0">
        <w:rPr>
          <w:rFonts w:ascii="Arial" w:eastAsia="Arial" w:hAnsi="Arial" w:cs="Arial"/>
          <w:bCs/>
          <w:sz w:val="24"/>
          <w:szCs w:val="24"/>
        </w:rPr>
        <w:t>access for those who have caring, financial or other life commitments</w:t>
      </w:r>
      <w:r w:rsidR="009A663F" w:rsidRPr="001272D0">
        <w:rPr>
          <w:rFonts w:ascii="Arial" w:eastAsia="Arial" w:hAnsi="Arial" w:cs="Arial"/>
          <w:bCs/>
          <w:sz w:val="24"/>
          <w:szCs w:val="24"/>
        </w:rPr>
        <w:t>.</w:t>
      </w:r>
      <w:r w:rsidR="00C60552" w:rsidRPr="001272D0">
        <w:rPr>
          <w:rFonts w:ascii="Arial" w:eastAsia="Arial" w:hAnsi="Arial" w:cs="Arial"/>
          <w:bCs/>
          <w:sz w:val="24"/>
          <w:szCs w:val="24"/>
        </w:rPr>
        <w:t xml:space="preserve"> </w:t>
      </w:r>
      <w:r w:rsidR="007775F8" w:rsidRPr="001272D0">
        <w:rPr>
          <w:rFonts w:ascii="Arial" w:eastAsia="Arial" w:hAnsi="Arial" w:cs="Arial"/>
          <w:sz w:val="24"/>
          <w:szCs w:val="24"/>
        </w:rPr>
        <w:t>P</w:t>
      </w:r>
      <w:r w:rsidR="002E43B3" w:rsidRPr="001272D0">
        <w:rPr>
          <w:rFonts w:ascii="Arial" w:eastAsia="Arial" w:hAnsi="Arial" w:cs="Arial"/>
          <w:sz w:val="24"/>
          <w:szCs w:val="24"/>
        </w:rPr>
        <w:t>riority areas for future research</w:t>
      </w:r>
      <w:r w:rsidR="00FB76F3" w:rsidRPr="001272D0">
        <w:rPr>
          <w:rFonts w:ascii="Arial" w:eastAsia="Arial" w:hAnsi="Arial" w:cs="Arial"/>
          <w:sz w:val="24"/>
          <w:szCs w:val="24"/>
        </w:rPr>
        <w:t xml:space="preserve"> should therefore</w:t>
      </w:r>
      <w:r w:rsidR="002E43B3" w:rsidRPr="001272D0">
        <w:rPr>
          <w:rFonts w:ascii="Arial" w:eastAsia="Arial" w:hAnsi="Arial" w:cs="Arial"/>
          <w:sz w:val="24"/>
          <w:szCs w:val="24"/>
        </w:rPr>
        <w:t xml:space="preserve"> include exploration of the barriers to access and participation </w:t>
      </w:r>
      <w:r w:rsidR="007B79E3" w:rsidRPr="001272D0">
        <w:rPr>
          <w:rFonts w:ascii="Arial" w:eastAsia="Arial" w:hAnsi="Arial" w:cs="Arial"/>
          <w:sz w:val="24"/>
          <w:szCs w:val="24"/>
        </w:rPr>
        <w:t xml:space="preserve">as </w:t>
      </w:r>
      <w:r w:rsidR="00771E0E" w:rsidRPr="001272D0">
        <w:rPr>
          <w:rFonts w:ascii="Arial" w:eastAsia="Arial" w:hAnsi="Arial" w:cs="Arial"/>
          <w:sz w:val="24"/>
          <w:szCs w:val="24"/>
        </w:rPr>
        <w:t>experienced</w:t>
      </w:r>
      <w:r w:rsidR="002E43B3" w:rsidRPr="001272D0">
        <w:rPr>
          <w:rFonts w:ascii="Arial" w:eastAsia="Arial" w:hAnsi="Arial" w:cs="Arial"/>
          <w:sz w:val="24"/>
          <w:szCs w:val="24"/>
        </w:rPr>
        <w:t xml:space="preserve"> by those who </w:t>
      </w:r>
      <w:r w:rsidR="00C41339" w:rsidRPr="001272D0">
        <w:rPr>
          <w:rFonts w:ascii="Arial" w:eastAsia="Arial" w:hAnsi="Arial" w:cs="Arial"/>
          <w:sz w:val="24"/>
          <w:szCs w:val="24"/>
        </w:rPr>
        <w:t>have not</w:t>
      </w:r>
      <w:r w:rsidR="0073015A" w:rsidRPr="001272D0">
        <w:rPr>
          <w:rFonts w:ascii="Arial" w:eastAsia="Arial" w:hAnsi="Arial" w:cs="Arial"/>
          <w:sz w:val="24"/>
          <w:szCs w:val="24"/>
        </w:rPr>
        <w:t xml:space="preserve"> </w:t>
      </w:r>
      <w:r w:rsidR="002E43B3" w:rsidRPr="001272D0">
        <w:rPr>
          <w:rFonts w:ascii="Arial" w:eastAsia="Arial" w:hAnsi="Arial" w:cs="Arial"/>
          <w:sz w:val="24"/>
          <w:szCs w:val="24"/>
        </w:rPr>
        <w:t>taken a traditional academic or professional route and for whom F/T study may not be an option.</w:t>
      </w:r>
      <w:r w:rsidR="00FB5BEE" w:rsidRPr="001272D0">
        <w:rPr>
          <w:rFonts w:ascii="Arial" w:eastAsia="Arial" w:hAnsi="Arial" w:cs="Arial"/>
          <w:sz w:val="24"/>
          <w:szCs w:val="24"/>
        </w:rPr>
        <w:t xml:space="preserve"> With </w:t>
      </w:r>
      <w:r w:rsidR="000419D4" w:rsidRPr="001272D0">
        <w:rPr>
          <w:rFonts w:ascii="Arial" w:eastAsia="Arial" w:hAnsi="Arial" w:cs="Arial"/>
          <w:sz w:val="24"/>
          <w:szCs w:val="24"/>
        </w:rPr>
        <w:t>continuing</w:t>
      </w:r>
      <w:r w:rsidR="00FB5BEE" w:rsidRPr="001272D0">
        <w:rPr>
          <w:rFonts w:ascii="Arial" w:eastAsia="Arial" w:hAnsi="Arial" w:cs="Arial"/>
          <w:sz w:val="24"/>
          <w:szCs w:val="24"/>
        </w:rPr>
        <w:t xml:space="preserve"> concerns over a lack of diversity</w:t>
      </w:r>
      <w:r w:rsidR="000419D4" w:rsidRPr="001272D0">
        <w:rPr>
          <w:rFonts w:ascii="Arial" w:eastAsia="Arial" w:hAnsi="Arial" w:cs="Arial"/>
          <w:sz w:val="24"/>
          <w:szCs w:val="24"/>
        </w:rPr>
        <w:t xml:space="preserve"> within the profession</w:t>
      </w:r>
      <w:r w:rsidR="00FB5BEE" w:rsidRPr="001272D0">
        <w:rPr>
          <w:rFonts w:ascii="Arial" w:eastAsia="Arial" w:hAnsi="Arial" w:cs="Arial"/>
          <w:sz w:val="24"/>
          <w:szCs w:val="24"/>
        </w:rPr>
        <w:t>, u</w:t>
      </w:r>
      <w:r w:rsidR="006C6821" w:rsidRPr="001272D0">
        <w:rPr>
          <w:rFonts w:ascii="Arial" w:eastAsia="Arial" w:hAnsi="Arial" w:cs="Arial"/>
          <w:sz w:val="24"/>
          <w:szCs w:val="24"/>
        </w:rPr>
        <w:t>nderstanding</w:t>
      </w:r>
      <w:r w:rsidR="0073015A" w:rsidRPr="001272D0">
        <w:rPr>
          <w:rFonts w:ascii="Arial" w:eastAsia="Arial" w:hAnsi="Arial" w:cs="Arial"/>
          <w:sz w:val="24"/>
          <w:szCs w:val="24"/>
        </w:rPr>
        <w:t xml:space="preserve"> candidates lived experiences </w:t>
      </w:r>
      <w:r w:rsidR="003931B6" w:rsidRPr="001272D0">
        <w:rPr>
          <w:rFonts w:ascii="Arial" w:eastAsia="Arial" w:hAnsi="Arial" w:cs="Arial"/>
          <w:sz w:val="24"/>
          <w:szCs w:val="24"/>
        </w:rPr>
        <w:t>of selection and recruitment</w:t>
      </w:r>
      <w:r w:rsidR="002E703A" w:rsidRPr="001272D0">
        <w:rPr>
          <w:rFonts w:ascii="Arial" w:eastAsia="Arial" w:hAnsi="Arial" w:cs="Arial"/>
          <w:sz w:val="24"/>
          <w:szCs w:val="24"/>
        </w:rPr>
        <w:t xml:space="preserve"> </w:t>
      </w:r>
      <w:r w:rsidR="006C1216" w:rsidRPr="001272D0">
        <w:rPr>
          <w:rFonts w:ascii="Arial" w:eastAsia="Arial" w:hAnsi="Arial" w:cs="Arial"/>
          <w:sz w:val="24"/>
          <w:szCs w:val="24"/>
        </w:rPr>
        <w:t>may</w:t>
      </w:r>
      <w:r w:rsidR="002E703A" w:rsidRPr="001272D0">
        <w:rPr>
          <w:rFonts w:ascii="Arial" w:eastAsia="Arial" w:hAnsi="Arial" w:cs="Arial"/>
          <w:sz w:val="24"/>
          <w:szCs w:val="24"/>
        </w:rPr>
        <w:t xml:space="preserve"> assist in</w:t>
      </w:r>
      <w:r w:rsidR="006C1216" w:rsidRPr="001272D0">
        <w:rPr>
          <w:rFonts w:ascii="Arial" w:eastAsia="Arial" w:hAnsi="Arial" w:cs="Arial"/>
          <w:sz w:val="24"/>
          <w:szCs w:val="24"/>
        </w:rPr>
        <w:t xml:space="preserve"> </w:t>
      </w:r>
      <w:r w:rsidR="000419D4" w:rsidRPr="001272D0">
        <w:rPr>
          <w:rFonts w:ascii="Arial" w:eastAsia="Arial" w:hAnsi="Arial" w:cs="Arial"/>
          <w:sz w:val="24"/>
          <w:szCs w:val="24"/>
        </w:rPr>
        <w:t xml:space="preserve">developing an evidence-base that aims to </w:t>
      </w:r>
      <w:r w:rsidR="006C6821" w:rsidRPr="001272D0">
        <w:rPr>
          <w:rFonts w:ascii="Arial" w:eastAsia="Arial" w:hAnsi="Arial" w:cs="Arial"/>
          <w:sz w:val="24"/>
          <w:szCs w:val="24"/>
        </w:rPr>
        <w:t>appreciat</w:t>
      </w:r>
      <w:r w:rsidR="000419D4" w:rsidRPr="001272D0">
        <w:rPr>
          <w:rFonts w:ascii="Arial" w:eastAsia="Arial" w:hAnsi="Arial" w:cs="Arial"/>
          <w:sz w:val="24"/>
          <w:szCs w:val="24"/>
        </w:rPr>
        <w:t>e</w:t>
      </w:r>
      <w:r w:rsidR="002E703A" w:rsidRPr="001272D0">
        <w:rPr>
          <w:rFonts w:ascii="Arial" w:eastAsia="Arial" w:hAnsi="Arial" w:cs="Arial"/>
          <w:sz w:val="24"/>
          <w:szCs w:val="24"/>
        </w:rPr>
        <w:t xml:space="preserve"> if current </w:t>
      </w:r>
      <w:r w:rsidR="003931B6" w:rsidRPr="001272D0">
        <w:rPr>
          <w:rFonts w:ascii="Arial" w:eastAsia="Arial" w:hAnsi="Arial" w:cs="Arial"/>
          <w:sz w:val="24"/>
          <w:szCs w:val="24"/>
        </w:rPr>
        <w:t>UK admissions</w:t>
      </w:r>
      <w:r w:rsidR="002E703A" w:rsidRPr="001272D0">
        <w:rPr>
          <w:rFonts w:ascii="Arial" w:eastAsia="Arial" w:hAnsi="Arial" w:cs="Arial"/>
          <w:sz w:val="24"/>
          <w:szCs w:val="24"/>
        </w:rPr>
        <w:t xml:space="preserve"> process</w:t>
      </w:r>
      <w:r w:rsidR="00D27225" w:rsidRPr="001272D0">
        <w:rPr>
          <w:rFonts w:ascii="Arial" w:eastAsia="Arial" w:hAnsi="Arial" w:cs="Arial"/>
          <w:sz w:val="24"/>
          <w:szCs w:val="24"/>
        </w:rPr>
        <w:t xml:space="preserve">es are influencing </w:t>
      </w:r>
      <w:r w:rsidR="00C609AC" w:rsidRPr="001272D0">
        <w:rPr>
          <w:rFonts w:ascii="Arial" w:eastAsia="Arial" w:hAnsi="Arial" w:cs="Arial"/>
          <w:sz w:val="24"/>
          <w:szCs w:val="24"/>
        </w:rPr>
        <w:t xml:space="preserve">OT </w:t>
      </w:r>
      <w:r w:rsidR="00D27225" w:rsidRPr="001272D0">
        <w:rPr>
          <w:rFonts w:ascii="Arial" w:eastAsia="Arial" w:hAnsi="Arial" w:cs="Arial"/>
          <w:sz w:val="24"/>
          <w:szCs w:val="24"/>
        </w:rPr>
        <w:t xml:space="preserve">student and </w:t>
      </w:r>
      <w:r w:rsidR="00C609AC" w:rsidRPr="001272D0">
        <w:rPr>
          <w:rFonts w:ascii="Arial" w:eastAsia="Arial" w:hAnsi="Arial" w:cs="Arial"/>
          <w:sz w:val="24"/>
          <w:szCs w:val="24"/>
        </w:rPr>
        <w:t xml:space="preserve">eventual </w:t>
      </w:r>
      <w:r w:rsidR="00D27225" w:rsidRPr="001272D0">
        <w:rPr>
          <w:rFonts w:ascii="Arial" w:eastAsia="Arial" w:hAnsi="Arial" w:cs="Arial"/>
          <w:sz w:val="24"/>
          <w:szCs w:val="24"/>
        </w:rPr>
        <w:t>workforce demographics</w:t>
      </w:r>
      <w:r w:rsidR="001811D3" w:rsidRPr="001272D0">
        <w:rPr>
          <w:rFonts w:ascii="Arial" w:eastAsia="Arial" w:hAnsi="Arial" w:cs="Arial"/>
          <w:sz w:val="24"/>
          <w:szCs w:val="24"/>
        </w:rPr>
        <w:t>.</w:t>
      </w:r>
    </w:p>
    <w:bookmarkEnd w:id="3"/>
    <w:p w14:paraId="46E83DF7" w14:textId="77777777" w:rsidR="007B79E3" w:rsidRPr="001272D0" w:rsidRDefault="007B79E3" w:rsidP="00AB7420">
      <w:pPr>
        <w:spacing w:line="240" w:lineRule="auto"/>
        <w:jc w:val="both"/>
        <w:rPr>
          <w:rFonts w:ascii="Arial" w:eastAsia="Arial" w:hAnsi="Arial" w:cs="Arial"/>
          <w:b/>
          <w:sz w:val="24"/>
          <w:szCs w:val="24"/>
        </w:rPr>
      </w:pPr>
    </w:p>
    <w:p w14:paraId="464395D4" w14:textId="4A098749" w:rsidR="00AB7420" w:rsidRPr="001272D0" w:rsidRDefault="00924977" w:rsidP="00AB7420">
      <w:pPr>
        <w:spacing w:line="240" w:lineRule="auto"/>
        <w:jc w:val="both"/>
        <w:rPr>
          <w:rFonts w:ascii="Arial" w:eastAsia="Arial" w:hAnsi="Arial" w:cs="Arial"/>
          <w:b/>
          <w:bCs/>
          <w:color w:val="000000"/>
          <w:sz w:val="24"/>
          <w:szCs w:val="24"/>
          <w:lang w:val="en-US"/>
        </w:rPr>
      </w:pPr>
      <w:r w:rsidRPr="001272D0">
        <w:rPr>
          <w:rFonts w:ascii="Arial" w:eastAsia="Arial" w:hAnsi="Arial" w:cs="Arial"/>
          <w:b/>
          <w:bCs/>
          <w:color w:val="000000"/>
          <w:sz w:val="24"/>
          <w:szCs w:val="24"/>
          <w:lang w:val="en-US"/>
        </w:rPr>
        <w:t>Conclusion</w:t>
      </w:r>
    </w:p>
    <w:p w14:paraId="481FD068" w14:textId="4039237C" w:rsidR="00AC52AC" w:rsidRPr="001272D0" w:rsidRDefault="00D32E3B" w:rsidP="00791043">
      <w:pPr>
        <w:spacing w:line="240" w:lineRule="auto"/>
        <w:jc w:val="both"/>
        <w:rPr>
          <w:rFonts w:ascii="Arial" w:eastAsia="Times New Roman" w:hAnsi="Arial" w:cs="Arial"/>
          <w:sz w:val="24"/>
          <w:szCs w:val="24"/>
        </w:rPr>
      </w:pPr>
      <w:r w:rsidRPr="001272D0">
        <w:rPr>
          <w:rFonts w:ascii="Arial" w:hAnsi="Arial" w:cs="Arial"/>
          <w:sz w:val="24"/>
          <w:szCs w:val="24"/>
        </w:rPr>
        <w:t>This study</w:t>
      </w:r>
      <w:r w:rsidR="00E23AD3" w:rsidRPr="001272D0">
        <w:rPr>
          <w:rFonts w:ascii="Arial" w:hAnsi="Arial" w:cs="Arial"/>
          <w:sz w:val="24"/>
          <w:szCs w:val="24"/>
        </w:rPr>
        <w:t xml:space="preserve"> </w:t>
      </w:r>
      <w:r w:rsidR="005D52BA" w:rsidRPr="001272D0">
        <w:rPr>
          <w:rFonts w:ascii="Arial" w:hAnsi="Arial" w:cs="Arial"/>
          <w:sz w:val="24"/>
          <w:szCs w:val="24"/>
        </w:rPr>
        <w:t>has detailed</w:t>
      </w:r>
      <w:r w:rsidR="00D40F87" w:rsidRPr="001272D0">
        <w:rPr>
          <w:rFonts w:ascii="Arial" w:hAnsi="Arial" w:cs="Arial"/>
          <w:sz w:val="24"/>
          <w:szCs w:val="24"/>
        </w:rPr>
        <w:t xml:space="preserve"> </w:t>
      </w:r>
      <w:r w:rsidR="00E23AD3" w:rsidRPr="001272D0">
        <w:rPr>
          <w:rFonts w:ascii="Arial" w:hAnsi="Arial" w:cs="Arial"/>
          <w:sz w:val="24"/>
          <w:szCs w:val="24"/>
        </w:rPr>
        <w:t xml:space="preserve">current </w:t>
      </w:r>
      <w:r w:rsidR="0025254F" w:rsidRPr="001272D0">
        <w:rPr>
          <w:rFonts w:ascii="Arial" w:hAnsi="Arial" w:cs="Arial"/>
          <w:sz w:val="24"/>
          <w:szCs w:val="24"/>
        </w:rPr>
        <w:t xml:space="preserve">UK pre-registration </w:t>
      </w:r>
      <w:r w:rsidR="00E23AD3" w:rsidRPr="001272D0">
        <w:rPr>
          <w:rFonts w:ascii="Arial" w:hAnsi="Arial" w:cs="Arial"/>
          <w:sz w:val="24"/>
          <w:szCs w:val="24"/>
        </w:rPr>
        <w:t>OT</w:t>
      </w:r>
      <w:r w:rsidR="0025254F" w:rsidRPr="001272D0">
        <w:rPr>
          <w:rFonts w:ascii="Arial" w:hAnsi="Arial" w:cs="Arial"/>
          <w:sz w:val="24"/>
          <w:szCs w:val="24"/>
        </w:rPr>
        <w:t xml:space="preserve"> education</w:t>
      </w:r>
      <w:r w:rsidR="00E23AD3" w:rsidRPr="001272D0">
        <w:rPr>
          <w:rFonts w:ascii="Arial" w:hAnsi="Arial" w:cs="Arial"/>
          <w:sz w:val="24"/>
          <w:szCs w:val="24"/>
        </w:rPr>
        <w:t xml:space="preserve"> entry criteria</w:t>
      </w:r>
      <w:r w:rsidR="00CD7B02" w:rsidRPr="001272D0">
        <w:rPr>
          <w:rFonts w:ascii="Arial" w:hAnsi="Arial" w:cs="Arial"/>
          <w:sz w:val="24"/>
          <w:szCs w:val="24"/>
        </w:rPr>
        <w:t xml:space="preserve"> through the</w:t>
      </w:r>
      <w:r w:rsidR="00DB29E9" w:rsidRPr="001272D0">
        <w:rPr>
          <w:rFonts w:ascii="Arial" w:hAnsi="Arial" w:cs="Arial"/>
          <w:sz w:val="24"/>
          <w:szCs w:val="24"/>
        </w:rPr>
        <w:t xml:space="preserve"> systematic identif</w:t>
      </w:r>
      <w:r w:rsidR="00CD7B02" w:rsidRPr="001272D0">
        <w:rPr>
          <w:rFonts w:ascii="Arial" w:hAnsi="Arial" w:cs="Arial"/>
          <w:sz w:val="24"/>
          <w:szCs w:val="24"/>
        </w:rPr>
        <w:t>ication</w:t>
      </w:r>
      <w:r w:rsidR="00DB29E9" w:rsidRPr="001272D0">
        <w:rPr>
          <w:rFonts w:ascii="Arial" w:hAnsi="Arial" w:cs="Arial"/>
          <w:sz w:val="24"/>
          <w:szCs w:val="24"/>
        </w:rPr>
        <w:t xml:space="preserve"> and recording </w:t>
      </w:r>
      <w:r w:rsidR="00CD7B02" w:rsidRPr="001272D0">
        <w:rPr>
          <w:rFonts w:ascii="Arial" w:hAnsi="Arial" w:cs="Arial"/>
          <w:sz w:val="24"/>
          <w:szCs w:val="24"/>
        </w:rPr>
        <w:t xml:space="preserve">of </w:t>
      </w:r>
      <w:r w:rsidR="00DB29E9" w:rsidRPr="001272D0">
        <w:rPr>
          <w:rFonts w:ascii="Arial" w:hAnsi="Arial" w:cs="Arial"/>
          <w:sz w:val="24"/>
          <w:szCs w:val="24"/>
        </w:rPr>
        <w:t>data via</w:t>
      </w:r>
      <w:r w:rsidR="00AF53F3" w:rsidRPr="001272D0">
        <w:rPr>
          <w:rFonts w:ascii="Arial" w:hAnsi="Arial" w:cs="Arial"/>
          <w:sz w:val="24"/>
          <w:szCs w:val="24"/>
        </w:rPr>
        <w:t xml:space="preserve"> </w:t>
      </w:r>
      <w:r w:rsidR="00CD7B02" w:rsidRPr="001272D0">
        <w:rPr>
          <w:rFonts w:ascii="Arial" w:hAnsi="Arial" w:cs="Arial"/>
          <w:sz w:val="24"/>
          <w:szCs w:val="24"/>
        </w:rPr>
        <w:t>university</w:t>
      </w:r>
      <w:r w:rsidR="00AF53F3" w:rsidRPr="001272D0">
        <w:rPr>
          <w:rFonts w:ascii="Arial" w:hAnsi="Arial" w:cs="Arial"/>
          <w:sz w:val="24"/>
          <w:szCs w:val="24"/>
        </w:rPr>
        <w:t xml:space="preserve"> programme websites</w:t>
      </w:r>
      <w:r w:rsidR="00CD7B02" w:rsidRPr="001272D0">
        <w:rPr>
          <w:rFonts w:ascii="Arial" w:hAnsi="Arial" w:cs="Arial"/>
          <w:sz w:val="24"/>
          <w:szCs w:val="24"/>
        </w:rPr>
        <w:t>.</w:t>
      </w:r>
      <w:r w:rsidR="00DB29E9" w:rsidRPr="001272D0">
        <w:rPr>
          <w:rFonts w:ascii="Arial" w:hAnsi="Arial" w:cs="Arial"/>
          <w:sz w:val="24"/>
          <w:szCs w:val="24"/>
        </w:rPr>
        <w:t xml:space="preserve"> </w:t>
      </w:r>
      <w:r w:rsidR="009733D3" w:rsidRPr="001272D0">
        <w:rPr>
          <w:rFonts w:ascii="Arial" w:hAnsi="Arial" w:cs="Arial"/>
          <w:sz w:val="24"/>
          <w:szCs w:val="24"/>
        </w:rPr>
        <w:t>It has explored</w:t>
      </w:r>
      <w:r w:rsidR="00827117" w:rsidRPr="001272D0">
        <w:rPr>
          <w:rFonts w:ascii="Arial" w:hAnsi="Arial" w:cs="Arial"/>
          <w:sz w:val="24"/>
          <w:szCs w:val="24"/>
        </w:rPr>
        <w:t xml:space="preserve"> issues related to </w:t>
      </w:r>
      <w:r w:rsidR="00D21A73" w:rsidRPr="001272D0">
        <w:rPr>
          <w:rFonts w:ascii="Arial" w:hAnsi="Arial" w:cs="Arial"/>
          <w:sz w:val="24"/>
          <w:szCs w:val="24"/>
        </w:rPr>
        <w:t>equitable and accessible processes</w:t>
      </w:r>
      <w:r w:rsidR="0050700F" w:rsidRPr="001272D0">
        <w:rPr>
          <w:rFonts w:ascii="Arial" w:hAnsi="Arial" w:cs="Arial"/>
          <w:sz w:val="24"/>
          <w:szCs w:val="24"/>
        </w:rPr>
        <w:t xml:space="preserve">, </w:t>
      </w:r>
      <w:r w:rsidR="001F6878" w:rsidRPr="001272D0">
        <w:rPr>
          <w:rFonts w:ascii="Arial" w:hAnsi="Arial" w:cs="Arial"/>
          <w:sz w:val="24"/>
          <w:szCs w:val="24"/>
        </w:rPr>
        <w:t xml:space="preserve">detailed </w:t>
      </w:r>
      <w:r w:rsidR="0050700F" w:rsidRPr="001272D0">
        <w:rPr>
          <w:rFonts w:ascii="Arial" w:hAnsi="Arial" w:cs="Arial"/>
          <w:sz w:val="24"/>
          <w:szCs w:val="24"/>
        </w:rPr>
        <w:t>candidate expectations</w:t>
      </w:r>
      <w:r w:rsidR="00D21A73" w:rsidRPr="001272D0">
        <w:rPr>
          <w:rFonts w:ascii="Arial" w:hAnsi="Arial" w:cs="Arial"/>
          <w:sz w:val="24"/>
          <w:szCs w:val="24"/>
        </w:rPr>
        <w:t xml:space="preserve"> and </w:t>
      </w:r>
      <w:r w:rsidR="00576B22" w:rsidRPr="001272D0">
        <w:rPr>
          <w:rFonts w:ascii="Arial" w:hAnsi="Arial" w:cs="Arial"/>
          <w:sz w:val="24"/>
          <w:szCs w:val="24"/>
        </w:rPr>
        <w:t>debated who may be missing or excluded at the point of enquiry and entry</w:t>
      </w:r>
      <w:r w:rsidR="009A0816" w:rsidRPr="001272D0">
        <w:rPr>
          <w:rFonts w:ascii="Arial" w:hAnsi="Arial" w:cs="Arial"/>
          <w:sz w:val="24"/>
          <w:szCs w:val="24"/>
        </w:rPr>
        <w:t xml:space="preserve">. </w:t>
      </w:r>
      <w:r w:rsidR="009A663F" w:rsidRPr="001272D0">
        <w:rPr>
          <w:rFonts w:ascii="Arial" w:hAnsi="Arial" w:cs="Arial"/>
          <w:sz w:val="24"/>
          <w:szCs w:val="24"/>
        </w:rPr>
        <w:t xml:space="preserve"> </w:t>
      </w:r>
      <w:r w:rsidR="003C6357" w:rsidRPr="001272D0">
        <w:rPr>
          <w:rFonts w:ascii="Arial" w:hAnsi="Arial" w:cs="Arial"/>
          <w:sz w:val="24"/>
          <w:szCs w:val="24"/>
        </w:rPr>
        <w:t xml:space="preserve">It has </w:t>
      </w:r>
      <w:r w:rsidR="009A663F" w:rsidRPr="001272D0">
        <w:rPr>
          <w:rFonts w:ascii="Arial" w:hAnsi="Arial" w:cs="Arial"/>
          <w:sz w:val="24"/>
          <w:szCs w:val="24"/>
        </w:rPr>
        <w:t>identified</w:t>
      </w:r>
      <w:r w:rsidR="003A754E" w:rsidRPr="001272D0">
        <w:rPr>
          <w:rFonts w:ascii="Arial" w:hAnsi="Arial" w:cs="Arial"/>
          <w:sz w:val="24"/>
          <w:szCs w:val="24"/>
        </w:rPr>
        <w:t xml:space="preserve"> a paucity of </w:t>
      </w:r>
      <w:r w:rsidR="003C6357" w:rsidRPr="001272D0">
        <w:rPr>
          <w:rFonts w:ascii="Arial" w:hAnsi="Arial" w:cs="Arial"/>
          <w:sz w:val="24"/>
          <w:szCs w:val="24"/>
        </w:rPr>
        <w:t>P/T</w:t>
      </w:r>
      <w:r w:rsidR="003A754E" w:rsidRPr="001272D0">
        <w:rPr>
          <w:rFonts w:ascii="Arial" w:hAnsi="Arial" w:cs="Arial"/>
          <w:sz w:val="24"/>
          <w:szCs w:val="24"/>
        </w:rPr>
        <w:t xml:space="preserve"> courses, </w:t>
      </w:r>
      <w:r w:rsidR="003C6357" w:rsidRPr="001272D0">
        <w:rPr>
          <w:rFonts w:ascii="Arial" w:hAnsi="Arial" w:cs="Arial"/>
          <w:sz w:val="24"/>
          <w:szCs w:val="24"/>
        </w:rPr>
        <w:t>a focus</w:t>
      </w:r>
      <w:r w:rsidR="003A754E" w:rsidRPr="001272D0">
        <w:rPr>
          <w:rFonts w:ascii="Arial" w:hAnsi="Arial" w:cs="Arial"/>
          <w:sz w:val="24"/>
          <w:szCs w:val="24"/>
        </w:rPr>
        <w:t xml:space="preserve"> on traditional entry routes and assessment by interview</w:t>
      </w:r>
      <w:r w:rsidR="003C6357" w:rsidRPr="001272D0">
        <w:rPr>
          <w:rFonts w:ascii="Arial" w:hAnsi="Arial" w:cs="Arial"/>
          <w:sz w:val="24"/>
          <w:szCs w:val="24"/>
        </w:rPr>
        <w:t>,</w:t>
      </w:r>
      <w:r w:rsidR="003A754E" w:rsidRPr="001272D0">
        <w:rPr>
          <w:rFonts w:ascii="Arial" w:hAnsi="Arial" w:cs="Arial"/>
          <w:sz w:val="24"/>
          <w:szCs w:val="24"/>
        </w:rPr>
        <w:t xml:space="preserve"> with limited information on alternative</w:t>
      </w:r>
      <w:r w:rsidR="003C6357" w:rsidRPr="001272D0">
        <w:rPr>
          <w:rFonts w:ascii="Arial" w:hAnsi="Arial" w:cs="Arial"/>
          <w:sz w:val="24"/>
          <w:szCs w:val="24"/>
        </w:rPr>
        <w:t xml:space="preserve"> entry</w:t>
      </w:r>
      <w:r w:rsidR="003A754E" w:rsidRPr="001272D0">
        <w:rPr>
          <w:rFonts w:ascii="Arial" w:hAnsi="Arial" w:cs="Arial"/>
          <w:sz w:val="24"/>
          <w:szCs w:val="24"/>
        </w:rPr>
        <w:t xml:space="preserve"> criteria.</w:t>
      </w:r>
      <w:r w:rsidR="00E63AEB" w:rsidRPr="001272D0">
        <w:rPr>
          <w:rFonts w:ascii="Arial" w:eastAsia="Arial" w:hAnsi="Arial" w:cs="Arial"/>
          <w:bCs/>
          <w:sz w:val="24"/>
          <w:szCs w:val="24"/>
        </w:rPr>
        <w:t xml:space="preserve"> </w:t>
      </w:r>
      <w:r w:rsidR="00A60A63" w:rsidRPr="001272D0">
        <w:rPr>
          <w:rFonts w:ascii="Arial" w:eastAsia="Arial" w:hAnsi="Arial" w:cs="Arial"/>
          <w:bCs/>
          <w:sz w:val="24"/>
          <w:szCs w:val="24"/>
        </w:rPr>
        <w:t xml:space="preserve">With </w:t>
      </w:r>
      <w:r w:rsidR="003C6357" w:rsidRPr="001272D0">
        <w:rPr>
          <w:rFonts w:ascii="Arial" w:eastAsia="Arial" w:hAnsi="Arial" w:cs="Arial"/>
          <w:bCs/>
          <w:sz w:val="24"/>
          <w:szCs w:val="24"/>
        </w:rPr>
        <w:t>ongoing</w:t>
      </w:r>
      <w:r w:rsidR="00A60A63" w:rsidRPr="001272D0">
        <w:rPr>
          <w:rFonts w:ascii="Arial" w:eastAsia="Arial" w:hAnsi="Arial" w:cs="Arial"/>
          <w:bCs/>
          <w:sz w:val="24"/>
          <w:szCs w:val="24"/>
        </w:rPr>
        <w:t xml:space="preserve"> calls to </w:t>
      </w:r>
      <w:r w:rsidR="003C6357" w:rsidRPr="001272D0">
        <w:rPr>
          <w:rFonts w:ascii="Arial" w:eastAsia="Arial" w:hAnsi="Arial" w:cs="Arial"/>
          <w:bCs/>
          <w:sz w:val="24"/>
          <w:szCs w:val="24"/>
        </w:rPr>
        <w:t xml:space="preserve">actively </w:t>
      </w:r>
      <w:r w:rsidR="00A60A63" w:rsidRPr="001272D0">
        <w:rPr>
          <w:rFonts w:ascii="Arial" w:eastAsia="Arial" w:hAnsi="Arial" w:cs="Arial"/>
          <w:bCs/>
          <w:sz w:val="24"/>
          <w:szCs w:val="24"/>
        </w:rPr>
        <w:t>diversi</w:t>
      </w:r>
      <w:r w:rsidR="00AD2D8B" w:rsidRPr="001272D0">
        <w:rPr>
          <w:rFonts w:ascii="Arial" w:eastAsia="Arial" w:hAnsi="Arial" w:cs="Arial"/>
          <w:bCs/>
          <w:sz w:val="24"/>
          <w:szCs w:val="24"/>
        </w:rPr>
        <w:t>f</w:t>
      </w:r>
      <w:r w:rsidR="00A60A63" w:rsidRPr="001272D0">
        <w:rPr>
          <w:rFonts w:ascii="Arial" w:eastAsia="Arial" w:hAnsi="Arial" w:cs="Arial"/>
          <w:bCs/>
          <w:sz w:val="24"/>
          <w:szCs w:val="24"/>
        </w:rPr>
        <w:t xml:space="preserve">y student and workforce populations, </w:t>
      </w:r>
      <w:r w:rsidR="00873B16" w:rsidRPr="001272D0">
        <w:rPr>
          <w:rFonts w:ascii="Arial" w:eastAsia="Arial" w:hAnsi="Arial" w:cs="Arial"/>
          <w:bCs/>
          <w:sz w:val="24"/>
          <w:szCs w:val="24"/>
        </w:rPr>
        <w:t xml:space="preserve">a </w:t>
      </w:r>
      <w:r w:rsidR="00A60A63" w:rsidRPr="001272D0">
        <w:rPr>
          <w:rFonts w:ascii="Arial" w:eastAsia="Arial" w:hAnsi="Arial" w:cs="Arial"/>
          <w:bCs/>
          <w:sz w:val="24"/>
          <w:szCs w:val="24"/>
        </w:rPr>
        <w:t xml:space="preserve">reliance on traditional </w:t>
      </w:r>
      <w:r w:rsidR="00C064A6" w:rsidRPr="001272D0">
        <w:rPr>
          <w:rFonts w:ascii="Arial" w:eastAsia="Arial" w:hAnsi="Arial" w:cs="Arial"/>
          <w:bCs/>
          <w:sz w:val="24"/>
          <w:szCs w:val="24"/>
        </w:rPr>
        <w:t xml:space="preserve">academic and professional </w:t>
      </w:r>
      <w:r w:rsidR="00A60A63" w:rsidRPr="001272D0">
        <w:rPr>
          <w:rFonts w:ascii="Arial" w:eastAsia="Arial" w:hAnsi="Arial" w:cs="Arial"/>
          <w:bCs/>
          <w:sz w:val="24"/>
          <w:szCs w:val="24"/>
        </w:rPr>
        <w:t>entry criteria has the potential to reinforce</w:t>
      </w:r>
      <w:r w:rsidR="00C064A6" w:rsidRPr="001272D0">
        <w:rPr>
          <w:rFonts w:ascii="Arial" w:eastAsia="Arial" w:hAnsi="Arial" w:cs="Arial"/>
          <w:bCs/>
          <w:sz w:val="24"/>
          <w:szCs w:val="24"/>
        </w:rPr>
        <w:t xml:space="preserve"> </w:t>
      </w:r>
      <w:r w:rsidR="003C6357" w:rsidRPr="001272D0">
        <w:rPr>
          <w:rFonts w:ascii="Arial" w:eastAsia="Arial" w:hAnsi="Arial" w:cs="Arial"/>
          <w:bCs/>
          <w:sz w:val="24"/>
          <w:szCs w:val="24"/>
        </w:rPr>
        <w:t xml:space="preserve">a lack of </w:t>
      </w:r>
      <w:r w:rsidR="00873B16" w:rsidRPr="001272D0">
        <w:rPr>
          <w:rFonts w:ascii="Arial" w:eastAsia="Arial" w:hAnsi="Arial" w:cs="Arial"/>
          <w:bCs/>
          <w:sz w:val="24"/>
          <w:szCs w:val="24"/>
        </w:rPr>
        <w:t xml:space="preserve">student </w:t>
      </w:r>
      <w:r w:rsidR="00B4667C" w:rsidRPr="001272D0">
        <w:rPr>
          <w:rFonts w:ascii="Arial" w:eastAsia="Arial" w:hAnsi="Arial" w:cs="Arial"/>
          <w:bCs/>
          <w:sz w:val="24"/>
          <w:szCs w:val="24"/>
        </w:rPr>
        <w:t>diversity</w:t>
      </w:r>
      <w:r w:rsidR="00A60A63" w:rsidRPr="001272D0">
        <w:rPr>
          <w:rFonts w:ascii="Arial" w:eastAsia="Arial" w:hAnsi="Arial" w:cs="Arial"/>
          <w:bCs/>
          <w:sz w:val="24"/>
          <w:szCs w:val="24"/>
        </w:rPr>
        <w:t xml:space="preserve">. If the profession is to break this cycle, it is essential UK universities </w:t>
      </w:r>
      <w:r w:rsidR="00E129C5" w:rsidRPr="001272D0">
        <w:rPr>
          <w:rFonts w:ascii="Arial" w:eastAsia="Arial" w:hAnsi="Arial" w:cs="Arial"/>
          <w:bCs/>
          <w:sz w:val="24"/>
          <w:szCs w:val="24"/>
        </w:rPr>
        <w:t>increase</w:t>
      </w:r>
      <w:r w:rsidR="00A60A63" w:rsidRPr="001272D0">
        <w:rPr>
          <w:rFonts w:ascii="Arial" w:eastAsia="Arial" w:hAnsi="Arial" w:cs="Arial"/>
          <w:bCs/>
          <w:sz w:val="24"/>
          <w:szCs w:val="24"/>
        </w:rPr>
        <w:t xml:space="preserve"> parity across academic entry criteria, </w:t>
      </w:r>
      <w:r w:rsidR="00E129C5" w:rsidRPr="001272D0">
        <w:rPr>
          <w:rFonts w:ascii="Arial" w:eastAsia="Arial" w:hAnsi="Arial" w:cs="Arial"/>
          <w:bCs/>
          <w:sz w:val="24"/>
          <w:szCs w:val="24"/>
        </w:rPr>
        <w:t>ensure</w:t>
      </w:r>
      <w:r w:rsidR="00A60A63" w:rsidRPr="001272D0">
        <w:rPr>
          <w:rFonts w:ascii="Arial" w:eastAsia="Arial" w:hAnsi="Arial" w:cs="Arial"/>
          <w:bCs/>
          <w:sz w:val="24"/>
          <w:szCs w:val="24"/>
        </w:rPr>
        <w:t xml:space="preserve"> the visibility of acceptable skills for alternative access and substantially improve flexibility for </w:t>
      </w:r>
      <w:r w:rsidR="00B02B0F" w:rsidRPr="001272D0">
        <w:rPr>
          <w:rFonts w:ascii="Arial" w:eastAsia="Arial" w:hAnsi="Arial" w:cs="Arial"/>
          <w:bCs/>
          <w:sz w:val="24"/>
          <w:szCs w:val="24"/>
        </w:rPr>
        <w:t>P/T</w:t>
      </w:r>
      <w:r w:rsidR="00A60A63" w:rsidRPr="001272D0">
        <w:rPr>
          <w:rFonts w:ascii="Arial" w:eastAsia="Arial" w:hAnsi="Arial" w:cs="Arial"/>
          <w:bCs/>
          <w:sz w:val="24"/>
          <w:szCs w:val="24"/>
        </w:rPr>
        <w:t xml:space="preserve"> study</w:t>
      </w:r>
      <w:r w:rsidR="00B02B0F" w:rsidRPr="001272D0">
        <w:rPr>
          <w:rFonts w:ascii="Arial" w:eastAsia="Arial" w:hAnsi="Arial" w:cs="Arial"/>
          <w:bCs/>
          <w:sz w:val="24"/>
          <w:szCs w:val="24"/>
        </w:rPr>
        <w:t>.</w:t>
      </w:r>
      <w:r w:rsidR="006F2C38" w:rsidRPr="001272D0">
        <w:rPr>
          <w:rFonts w:ascii="Arial" w:eastAsia="Arial" w:hAnsi="Arial" w:cs="Arial"/>
          <w:bCs/>
          <w:sz w:val="24"/>
          <w:szCs w:val="24"/>
        </w:rPr>
        <w:t xml:space="preserve"> </w:t>
      </w:r>
      <w:r w:rsidR="006F2C38" w:rsidRPr="001272D0">
        <w:rPr>
          <w:rFonts w:ascii="Arial" w:eastAsia="Arial" w:hAnsi="Arial" w:cs="Arial"/>
          <w:sz w:val="24"/>
          <w:szCs w:val="24"/>
        </w:rPr>
        <w:t>F</w:t>
      </w:r>
      <w:r w:rsidR="00F7722C" w:rsidRPr="001272D0">
        <w:rPr>
          <w:rFonts w:ascii="Arial" w:eastAsia="Arial" w:hAnsi="Arial" w:cs="Arial"/>
          <w:sz w:val="24"/>
          <w:szCs w:val="24"/>
        </w:rPr>
        <w:t xml:space="preserve">air and </w:t>
      </w:r>
      <w:r w:rsidR="001C155E" w:rsidRPr="001272D0">
        <w:rPr>
          <w:rFonts w:ascii="Arial" w:eastAsia="Arial" w:hAnsi="Arial" w:cs="Arial"/>
          <w:sz w:val="24"/>
          <w:szCs w:val="24"/>
        </w:rPr>
        <w:t>transparent</w:t>
      </w:r>
      <w:r w:rsidR="00F7722C" w:rsidRPr="001272D0">
        <w:rPr>
          <w:rFonts w:ascii="Arial" w:eastAsia="Arial" w:hAnsi="Arial" w:cs="Arial"/>
          <w:sz w:val="24"/>
          <w:szCs w:val="24"/>
        </w:rPr>
        <w:t xml:space="preserve"> admissions process</w:t>
      </w:r>
      <w:r w:rsidR="006F2C38" w:rsidRPr="001272D0">
        <w:rPr>
          <w:rFonts w:ascii="Arial" w:eastAsia="Arial" w:hAnsi="Arial" w:cs="Arial"/>
          <w:sz w:val="24"/>
          <w:szCs w:val="24"/>
        </w:rPr>
        <w:t>es</w:t>
      </w:r>
      <w:r w:rsidR="00F7722C" w:rsidRPr="001272D0">
        <w:rPr>
          <w:rFonts w:ascii="Arial" w:eastAsia="Arial" w:hAnsi="Arial" w:cs="Arial"/>
          <w:sz w:val="24"/>
          <w:szCs w:val="24"/>
        </w:rPr>
        <w:t xml:space="preserve"> that aim to widen </w:t>
      </w:r>
      <w:r w:rsidR="006F2C38" w:rsidRPr="001272D0">
        <w:rPr>
          <w:rFonts w:ascii="Arial" w:eastAsia="Arial" w:hAnsi="Arial" w:cs="Arial"/>
          <w:sz w:val="24"/>
          <w:szCs w:val="24"/>
        </w:rPr>
        <w:t xml:space="preserve">access and </w:t>
      </w:r>
      <w:r w:rsidR="00F7722C" w:rsidRPr="001272D0">
        <w:rPr>
          <w:rFonts w:ascii="Arial" w:eastAsia="Arial" w:hAnsi="Arial" w:cs="Arial"/>
          <w:sz w:val="24"/>
          <w:szCs w:val="24"/>
        </w:rPr>
        <w:t xml:space="preserve">participation </w:t>
      </w:r>
      <w:r w:rsidR="003E1120" w:rsidRPr="001272D0">
        <w:rPr>
          <w:rFonts w:ascii="Arial" w:eastAsia="Arial" w:hAnsi="Arial" w:cs="Arial"/>
          <w:sz w:val="24"/>
          <w:szCs w:val="24"/>
        </w:rPr>
        <w:t xml:space="preserve">have the potential to </w:t>
      </w:r>
      <w:r w:rsidR="00F7722C" w:rsidRPr="001272D0">
        <w:rPr>
          <w:rFonts w:ascii="Arial" w:eastAsia="Arial" w:hAnsi="Arial" w:cs="Arial"/>
          <w:sz w:val="24"/>
          <w:szCs w:val="24"/>
        </w:rPr>
        <w:t>serve</w:t>
      </w:r>
      <w:r w:rsidR="00DA712D" w:rsidRPr="001272D0">
        <w:rPr>
          <w:rFonts w:ascii="Arial" w:eastAsia="Arial" w:hAnsi="Arial" w:cs="Arial"/>
          <w:sz w:val="24"/>
          <w:szCs w:val="24"/>
        </w:rPr>
        <w:t xml:space="preserve"> as an initial step in</w:t>
      </w:r>
      <w:r w:rsidR="00F7722C" w:rsidRPr="001272D0">
        <w:rPr>
          <w:rFonts w:ascii="Arial" w:eastAsia="Arial" w:hAnsi="Arial" w:cs="Arial"/>
          <w:sz w:val="24"/>
          <w:szCs w:val="24"/>
        </w:rPr>
        <w:t xml:space="preserve"> </w:t>
      </w:r>
      <w:r w:rsidR="00DA712D" w:rsidRPr="001272D0">
        <w:rPr>
          <w:rFonts w:ascii="Arial" w:eastAsia="Arial" w:hAnsi="Arial" w:cs="Arial"/>
          <w:sz w:val="24"/>
          <w:szCs w:val="24"/>
        </w:rPr>
        <w:t>ensuring</w:t>
      </w:r>
      <w:r w:rsidR="00F7722C" w:rsidRPr="001272D0">
        <w:rPr>
          <w:rFonts w:ascii="Arial" w:eastAsia="Times New Roman" w:hAnsi="Arial" w:cs="Arial"/>
          <w:sz w:val="24"/>
          <w:szCs w:val="24"/>
        </w:rPr>
        <w:t xml:space="preserve"> the </w:t>
      </w:r>
      <w:r w:rsidR="009C1D27" w:rsidRPr="001272D0">
        <w:rPr>
          <w:rFonts w:ascii="Arial" w:eastAsia="Times New Roman" w:hAnsi="Arial" w:cs="Arial"/>
          <w:sz w:val="24"/>
          <w:szCs w:val="24"/>
        </w:rPr>
        <w:t>OT</w:t>
      </w:r>
      <w:r w:rsidR="00F7722C" w:rsidRPr="001272D0">
        <w:rPr>
          <w:rFonts w:ascii="Arial" w:eastAsia="Times New Roman" w:hAnsi="Arial" w:cs="Arial"/>
          <w:sz w:val="24"/>
          <w:szCs w:val="24"/>
        </w:rPr>
        <w:t xml:space="preserve"> profession benefits from a diverse studentship and eventual workforce.</w:t>
      </w:r>
    </w:p>
    <w:p w14:paraId="6828F551" w14:textId="768E31F7" w:rsidR="00A765BC" w:rsidRPr="001272D0" w:rsidRDefault="00791E4F" w:rsidP="00A765BC">
      <w:pPr>
        <w:shd w:val="clear" w:color="auto" w:fill="FFFFFF" w:themeFill="background1"/>
        <w:spacing w:line="240" w:lineRule="auto"/>
        <w:rPr>
          <w:rFonts w:ascii="Arial" w:eastAsia="Arial" w:hAnsi="Arial" w:cs="Arial"/>
          <w:b/>
          <w:bCs/>
          <w:color w:val="000000"/>
          <w:lang w:val="en-US"/>
        </w:rPr>
      </w:pPr>
      <w:r w:rsidRPr="001272D0">
        <w:rPr>
          <w:rFonts w:ascii="Arial" w:eastAsia="Arial" w:hAnsi="Arial" w:cs="Arial"/>
          <w:b/>
          <w:bCs/>
          <w:color w:val="000000"/>
          <w:lang w:val="en-US"/>
        </w:rPr>
        <w:t>Key findings</w:t>
      </w:r>
    </w:p>
    <w:p w14:paraId="2D2740D8" w14:textId="4A3E9E8D" w:rsidR="000A714A" w:rsidRPr="001272D0" w:rsidRDefault="000A714A" w:rsidP="0037326F">
      <w:pPr>
        <w:pStyle w:val="ListParagraph"/>
        <w:numPr>
          <w:ilvl w:val="0"/>
          <w:numId w:val="1"/>
        </w:numPr>
        <w:shd w:val="clear" w:color="auto" w:fill="FFFFFF" w:themeFill="background1"/>
        <w:spacing w:line="240" w:lineRule="auto"/>
        <w:rPr>
          <w:rFonts w:ascii="Arial" w:hAnsi="Arial" w:cs="Arial"/>
          <w:color w:val="333333"/>
        </w:rPr>
      </w:pPr>
      <w:r w:rsidRPr="001272D0">
        <w:rPr>
          <w:rFonts w:ascii="Arial" w:hAnsi="Arial" w:cs="Arial"/>
          <w:color w:val="333333"/>
        </w:rPr>
        <w:t xml:space="preserve">There is </w:t>
      </w:r>
      <w:r w:rsidR="00AD1CE7" w:rsidRPr="001272D0">
        <w:rPr>
          <w:rFonts w:ascii="Arial" w:hAnsi="Arial" w:cs="Arial"/>
          <w:color w:val="333333"/>
        </w:rPr>
        <w:t>var</w:t>
      </w:r>
      <w:r w:rsidR="00E20C1C" w:rsidRPr="001272D0">
        <w:rPr>
          <w:rFonts w:ascii="Arial" w:hAnsi="Arial" w:cs="Arial"/>
          <w:color w:val="333333"/>
        </w:rPr>
        <w:t>iable</w:t>
      </w:r>
      <w:r w:rsidRPr="001272D0">
        <w:rPr>
          <w:rFonts w:ascii="Arial" w:hAnsi="Arial" w:cs="Arial"/>
          <w:color w:val="333333"/>
        </w:rPr>
        <w:t xml:space="preserve"> visibility, transparency and parity in advertised UK pre-registration OT entry criteria.</w:t>
      </w:r>
    </w:p>
    <w:p w14:paraId="1601106C" w14:textId="29716A4D" w:rsidR="000A714A" w:rsidRPr="001272D0" w:rsidRDefault="000A714A" w:rsidP="0037326F">
      <w:pPr>
        <w:pStyle w:val="ListParagraph"/>
        <w:numPr>
          <w:ilvl w:val="0"/>
          <w:numId w:val="4"/>
        </w:numPr>
        <w:shd w:val="clear" w:color="auto" w:fill="FFFFFF" w:themeFill="background1"/>
        <w:spacing w:line="240" w:lineRule="auto"/>
        <w:rPr>
          <w:rFonts w:ascii="Arial" w:hAnsi="Arial" w:cs="Arial"/>
          <w:color w:val="333333"/>
        </w:rPr>
      </w:pPr>
      <w:r w:rsidRPr="001272D0">
        <w:rPr>
          <w:rFonts w:ascii="Arial" w:hAnsi="Arial" w:cs="Arial"/>
          <w:color w:val="333333"/>
        </w:rPr>
        <w:t>Current systems have the potential to reinforce a continued lack of diversity in the profession.</w:t>
      </w:r>
    </w:p>
    <w:p w14:paraId="3117877B" w14:textId="77777777" w:rsidR="00A765BC" w:rsidRPr="001272D0" w:rsidRDefault="00791E4F" w:rsidP="00A765BC">
      <w:pPr>
        <w:pStyle w:val="NormalWeb"/>
        <w:shd w:val="clear" w:color="auto" w:fill="FFFFFF" w:themeFill="background1"/>
        <w:rPr>
          <w:rFonts w:ascii="Arial" w:eastAsia="Arial" w:hAnsi="Arial" w:cs="Arial"/>
          <w:b/>
          <w:bCs/>
          <w:color w:val="000000"/>
          <w:sz w:val="22"/>
          <w:szCs w:val="22"/>
          <w:lang w:val="en-US"/>
        </w:rPr>
      </w:pPr>
      <w:r w:rsidRPr="001272D0">
        <w:rPr>
          <w:rFonts w:ascii="Arial" w:eastAsia="Arial" w:hAnsi="Arial" w:cs="Arial"/>
          <w:b/>
          <w:bCs/>
          <w:color w:val="000000"/>
          <w:sz w:val="22"/>
          <w:szCs w:val="22"/>
          <w:lang w:val="en-US"/>
        </w:rPr>
        <w:t>What the study has added</w:t>
      </w:r>
    </w:p>
    <w:p w14:paraId="7F4F6EB2" w14:textId="77777777" w:rsidR="00791043" w:rsidRPr="001272D0" w:rsidRDefault="00A765BC" w:rsidP="00533738">
      <w:pPr>
        <w:pStyle w:val="NormalWeb"/>
        <w:shd w:val="clear" w:color="auto" w:fill="FFFFFF" w:themeFill="background1"/>
        <w:rPr>
          <w:rFonts w:ascii="Arial" w:hAnsi="Arial" w:cs="Arial"/>
          <w:color w:val="333333"/>
          <w:sz w:val="22"/>
          <w:szCs w:val="22"/>
        </w:rPr>
      </w:pPr>
      <w:r w:rsidRPr="001272D0">
        <w:rPr>
          <w:rFonts w:ascii="Arial" w:hAnsi="Arial" w:cs="Arial"/>
          <w:color w:val="333333"/>
          <w:sz w:val="22"/>
          <w:szCs w:val="22"/>
        </w:rPr>
        <w:t>If the profession is to diversify, t</w:t>
      </w:r>
      <w:r w:rsidR="000A714A" w:rsidRPr="001272D0">
        <w:rPr>
          <w:rFonts w:ascii="Arial" w:hAnsi="Arial" w:cs="Arial"/>
          <w:color w:val="333333"/>
          <w:sz w:val="22"/>
          <w:szCs w:val="22"/>
        </w:rPr>
        <w:t xml:space="preserve">here is an urgent need for </w:t>
      </w:r>
      <w:r w:rsidR="000A714A" w:rsidRPr="001272D0">
        <w:rPr>
          <w:rFonts w:ascii="Arial" w:hAnsi="Arial" w:cs="Arial"/>
          <w:sz w:val="22"/>
          <w:szCs w:val="22"/>
          <w:lang w:val="en-US"/>
        </w:rPr>
        <w:t>UK universities to ensure parity across entry criteri</w:t>
      </w:r>
      <w:r w:rsidRPr="001272D0">
        <w:rPr>
          <w:rFonts w:ascii="Arial" w:hAnsi="Arial" w:cs="Arial"/>
          <w:sz w:val="22"/>
          <w:szCs w:val="22"/>
          <w:lang w:val="en-US"/>
        </w:rPr>
        <w:t>a</w:t>
      </w:r>
      <w:r w:rsidR="000A714A" w:rsidRPr="001272D0">
        <w:rPr>
          <w:rFonts w:ascii="Arial" w:hAnsi="Arial" w:cs="Arial"/>
          <w:sz w:val="22"/>
          <w:szCs w:val="22"/>
          <w:lang w:val="en-US"/>
        </w:rPr>
        <w:t xml:space="preserve">, increase the visibility of acceptable alternative </w:t>
      </w:r>
      <w:r w:rsidRPr="001272D0">
        <w:rPr>
          <w:rFonts w:ascii="Arial" w:hAnsi="Arial" w:cs="Arial"/>
          <w:sz w:val="22"/>
          <w:szCs w:val="22"/>
          <w:lang w:val="en-US"/>
        </w:rPr>
        <w:t>routes</w:t>
      </w:r>
      <w:r w:rsidR="000A714A" w:rsidRPr="001272D0">
        <w:rPr>
          <w:rFonts w:ascii="Arial" w:hAnsi="Arial" w:cs="Arial"/>
          <w:sz w:val="22"/>
          <w:szCs w:val="22"/>
          <w:lang w:val="en-US"/>
        </w:rPr>
        <w:t xml:space="preserve"> and substantially improve flexibility for part-time study.</w:t>
      </w:r>
      <w:bookmarkStart w:id="4" w:name="_i24"/>
      <w:bookmarkEnd w:id="4"/>
    </w:p>
    <w:p w14:paraId="77A00EA1" w14:textId="353CF9FF" w:rsidR="00210871" w:rsidRPr="001272D0" w:rsidRDefault="001869DC" w:rsidP="00533738">
      <w:pPr>
        <w:pStyle w:val="NormalWeb"/>
        <w:shd w:val="clear" w:color="auto" w:fill="FFFFFF" w:themeFill="background1"/>
        <w:rPr>
          <w:rFonts w:ascii="Arial" w:hAnsi="Arial" w:cs="Arial"/>
          <w:color w:val="333333"/>
          <w:sz w:val="22"/>
          <w:szCs w:val="22"/>
        </w:rPr>
      </w:pPr>
      <w:r w:rsidRPr="001272D0">
        <w:rPr>
          <w:rFonts w:ascii="Arial" w:hAnsi="Arial" w:cs="Arial"/>
          <w:b/>
          <w:bCs/>
          <w:color w:val="333333"/>
        </w:rPr>
        <w:lastRenderedPageBreak/>
        <w:t>Reference</w:t>
      </w:r>
      <w:r w:rsidR="00533738" w:rsidRPr="001272D0">
        <w:rPr>
          <w:rFonts w:ascii="Arial" w:hAnsi="Arial" w:cs="Arial"/>
          <w:b/>
          <w:bCs/>
          <w:color w:val="333333"/>
        </w:rPr>
        <w:t>s</w:t>
      </w:r>
    </w:p>
    <w:p w14:paraId="6C126DE5" w14:textId="3F81239B" w:rsidR="009A45BD" w:rsidRPr="001272D0" w:rsidRDefault="00210871"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sz w:val="24"/>
          <w:szCs w:val="24"/>
        </w:rPr>
        <w:fldChar w:fldCharType="begin" w:fldLock="1"/>
      </w:r>
      <w:r w:rsidRPr="001272D0">
        <w:rPr>
          <w:rFonts w:ascii="Arial" w:hAnsi="Arial" w:cs="Arial"/>
          <w:sz w:val="24"/>
          <w:szCs w:val="24"/>
        </w:rPr>
        <w:instrText xml:space="preserve">ADDIN Mendeley Bibliography CSL_BIBLIOGRAPHY </w:instrText>
      </w:r>
      <w:r w:rsidRPr="001272D0">
        <w:rPr>
          <w:rFonts w:ascii="Arial" w:hAnsi="Arial" w:cs="Arial"/>
          <w:sz w:val="24"/>
          <w:szCs w:val="24"/>
        </w:rPr>
        <w:fldChar w:fldCharType="separate"/>
      </w:r>
      <w:r w:rsidR="009A45BD" w:rsidRPr="001272D0">
        <w:rPr>
          <w:rFonts w:ascii="Arial" w:hAnsi="Arial" w:cs="Arial"/>
          <w:noProof/>
          <w:sz w:val="24"/>
          <w:szCs w:val="24"/>
        </w:rPr>
        <w:t xml:space="preserve">Agho, A.O., Mosley, B.W. and Smith-Paul, B. (1998) ‘Use of the Interview in Selecting Students for Occupational Therapy Programs’, </w:t>
      </w:r>
      <w:r w:rsidR="009A45BD" w:rsidRPr="001272D0">
        <w:rPr>
          <w:rFonts w:ascii="Arial" w:hAnsi="Arial" w:cs="Arial"/>
          <w:i/>
          <w:iCs/>
          <w:noProof/>
          <w:sz w:val="24"/>
          <w:szCs w:val="24"/>
        </w:rPr>
        <w:t>American Journal of Occupational Therapy</w:t>
      </w:r>
      <w:r w:rsidR="009A45BD" w:rsidRPr="001272D0">
        <w:rPr>
          <w:rFonts w:ascii="Arial" w:hAnsi="Arial" w:cs="Arial"/>
          <w:noProof/>
          <w:sz w:val="24"/>
          <w:szCs w:val="24"/>
        </w:rPr>
        <w:t>, 52(7), pp. 592–594. doi:10.5014/ajot.52.7.592.</w:t>
      </w:r>
    </w:p>
    <w:p w14:paraId="1A0EE1A1"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Atwal, A. (2021) ‘No barriers to brilliance: Social and creative courage to innovate and disrupt occupational therapy practice’, in </w:t>
      </w:r>
      <w:r w:rsidRPr="001272D0">
        <w:rPr>
          <w:rFonts w:ascii="Arial" w:hAnsi="Arial" w:cs="Arial"/>
          <w:i/>
          <w:iCs/>
          <w:noProof/>
          <w:sz w:val="24"/>
          <w:szCs w:val="24"/>
        </w:rPr>
        <w:t>2021 Elizabeth Casson Memorial Lecture</w:t>
      </w:r>
      <w:r w:rsidRPr="001272D0">
        <w:rPr>
          <w:rFonts w:ascii="Arial" w:hAnsi="Arial" w:cs="Arial"/>
          <w:noProof/>
          <w:sz w:val="24"/>
          <w:szCs w:val="24"/>
        </w:rPr>
        <w:t>. Royal College of Occupational Therapists. Available at: https://www.rcot.co.uk/2021-elizabeth-casson-memorial-lecture.</w:t>
      </w:r>
    </w:p>
    <w:p w14:paraId="47F2A5A5"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Bowyer, P. </w:t>
      </w:r>
      <w:r w:rsidRPr="001272D0">
        <w:rPr>
          <w:rFonts w:ascii="Arial" w:hAnsi="Arial" w:cs="Arial"/>
          <w:i/>
          <w:iCs/>
          <w:noProof/>
          <w:sz w:val="24"/>
          <w:szCs w:val="24"/>
        </w:rPr>
        <w:t>et al.</w:t>
      </w:r>
      <w:r w:rsidRPr="001272D0">
        <w:rPr>
          <w:rFonts w:ascii="Arial" w:hAnsi="Arial" w:cs="Arial"/>
          <w:noProof/>
          <w:sz w:val="24"/>
          <w:szCs w:val="24"/>
        </w:rPr>
        <w:t xml:space="preserve"> (2018) ‘Admission Requirements and Practices in Entry-Level Occupational Therapy Programs’, </w:t>
      </w:r>
      <w:r w:rsidRPr="001272D0">
        <w:rPr>
          <w:rFonts w:ascii="Arial" w:hAnsi="Arial" w:cs="Arial"/>
          <w:i/>
          <w:iCs/>
          <w:noProof/>
          <w:sz w:val="24"/>
          <w:szCs w:val="24"/>
        </w:rPr>
        <w:t>Journal of Occupational Therapy Education</w:t>
      </w:r>
      <w:r w:rsidRPr="001272D0">
        <w:rPr>
          <w:rFonts w:ascii="Arial" w:hAnsi="Arial" w:cs="Arial"/>
          <w:noProof/>
          <w:sz w:val="24"/>
          <w:szCs w:val="24"/>
        </w:rPr>
        <w:t>, 2(3). doi:10.26681/jote.2018.020301.</w:t>
      </w:r>
    </w:p>
    <w:p w14:paraId="42C981B5"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Bryman, A. (2016) </w:t>
      </w:r>
      <w:r w:rsidRPr="001272D0">
        <w:rPr>
          <w:rFonts w:ascii="Arial" w:hAnsi="Arial" w:cs="Arial"/>
          <w:i/>
          <w:iCs/>
          <w:noProof/>
          <w:sz w:val="24"/>
          <w:szCs w:val="24"/>
        </w:rPr>
        <w:t>Social Research Methods</w:t>
      </w:r>
      <w:r w:rsidRPr="001272D0">
        <w:rPr>
          <w:rFonts w:ascii="Arial" w:hAnsi="Arial" w:cs="Arial"/>
          <w:noProof/>
          <w:sz w:val="24"/>
          <w:szCs w:val="24"/>
        </w:rPr>
        <w:t>. 5th edn. Oxford: Oxford University Press.</w:t>
      </w:r>
    </w:p>
    <w:p w14:paraId="4781E3A1"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Colaianni, D. </w:t>
      </w:r>
      <w:r w:rsidRPr="001272D0">
        <w:rPr>
          <w:rFonts w:ascii="Arial" w:hAnsi="Arial" w:cs="Arial"/>
          <w:i/>
          <w:iCs/>
          <w:noProof/>
          <w:sz w:val="24"/>
          <w:szCs w:val="24"/>
        </w:rPr>
        <w:t>et al.</w:t>
      </w:r>
      <w:r w:rsidRPr="001272D0">
        <w:rPr>
          <w:rFonts w:ascii="Arial" w:hAnsi="Arial" w:cs="Arial"/>
          <w:noProof/>
          <w:sz w:val="24"/>
          <w:szCs w:val="24"/>
        </w:rPr>
        <w:t xml:space="preserve"> (2022) ‘Factors Influencing the Diversity of Occupational Therapy Students’, </w:t>
      </w:r>
      <w:r w:rsidRPr="001272D0">
        <w:rPr>
          <w:rFonts w:ascii="Arial" w:hAnsi="Arial" w:cs="Arial"/>
          <w:i/>
          <w:iCs/>
          <w:noProof/>
          <w:sz w:val="24"/>
          <w:szCs w:val="24"/>
        </w:rPr>
        <w:t>Journal of Occupational Therapy Education</w:t>
      </w:r>
      <w:r w:rsidRPr="001272D0">
        <w:rPr>
          <w:rFonts w:ascii="Arial" w:hAnsi="Arial" w:cs="Arial"/>
          <w:noProof/>
          <w:sz w:val="24"/>
          <w:szCs w:val="24"/>
        </w:rPr>
        <w:t>, 6(1). doi:10.26681/jote.2022.060102.</w:t>
      </w:r>
    </w:p>
    <w:p w14:paraId="5D068063"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Department for Education (2018) ‘Subject content functional skills: Maths’, (February), pp. 1–21. Available at: https://assets.publishing.service.gov.uk/government/uploads/system/uploads/attachment_data/file/684807/Functional_Skills_Subject_Content_Mathematics.pdf.</w:t>
      </w:r>
    </w:p>
    <w:p w14:paraId="5D783B31"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Eva, K.W. </w:t>
      </w:r>
      <w:r w:rsidRPr="001272D0">
        <w:rPr>
          <w:rFonts w:ascii="Arial" w:hAnsi="Arial" w:cs="Arial"/>
          <w:i/>
          <w:iCs/>
          <w:noProof/>
          <w:sz w:val="24"/>
          <w:szCs w:val="24"/>
        </w:rPr>
        <w:t>et al.</w:t>
      </w:r>
      <w:r w:rsidRPr="001272D0">
        <w:rPr>
          <w:rFonts w:ascii="Arial" w:hAnsi="Arial" w:cs="Arial"/>
          <w:noProof/>
          <w:sz w:val="24"/>
          <w:szCs w:val="24"/>
        </w:rPr>
        <w:t xml:space="preserve"> (2004) ‘An admissions OSCE: The multiple mini-interview’, </w:t>
      </w:r>
      <w:r w:rsidRPr="001272D0">
        <w:rPr>
          <w:rFonts w:ascii="Arial" w:hAnsi="Arial" w:cs="Arial"/>
          <w:i/>
          <w:iCs/>
          <w:noProof/>
          <w:sz w:val="24"/>
          <w:szCs w:val="24"/>
        </w:rPr>
        <w:t>Medical Education</w:t>
      </w:r>
      <w:r w:rsidRPr="001272D0">
        <w:rPr>
          <w:rFonts w:ascii="Arial" w:hAnsi="Arial" w:cs="Arial"/>
          <w:noProof/>
          <w:sz w:val="24"/>
          <w:szCs w:val="24"/>
        </w:rPr>
        <w:t>, 38(3), pp. 314–326. doi:10.1046/j.1365-2923.2004.01776.x.</w:t>
      </w:r>
    </w:p>
    <w:p w14:paraId="6883AFD9"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Ford, A.R., Smith, D.L. and Banister, G.E. (2021) ‘Recruitment and retention of occupational therapy practitioners and students of color: A qualitative study’, </w:t>
      </w:r>
      <w:r w:rsidRPr="001272D0">
        <w:rPr>
          <w:rFonts w:ascii="Arial" w:hAnsi="Arial" w:cs="Arial"/>
          <w:i/>
          <w:iCs/>
          <w:noProof/>
          <w:sz w:val="24"/>
          <w:szCs w:val="24"/>
        </w:rPr>
        <w:t>American Journal of Occupational Therapy</w:t>
      </w:r>
      <w:r w:rsidRPr="001272D0">
        <w:rPr>
          <w:rFonts w:ascii="Arial" w:hAnsi="Arial" w:cs="Arial"/>
          <w:noProof/>
          <w:sz w:val="24"/>
          <w:szCs w:val="24"/>
        </w:rPr>
        <w:t>, 75(1), pp. 1–8. doi:10.5014/ajot.2020.039446.</w:t>
      </w:r>
    </w:p>
    <w:p w14:paraId="1EFE0B00"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Greenwood, N. </w:t>
      </w:r>
      <w:r w:rsidRPr="001272D0">
        <w:rPr>
          <w:rFonts w:ascii="Arial" w:hAnsi="Arial" w:cs="Arial"/>
          <w:i/>
          <w:iCs/>
          <w:noProof/>
          <w:sz w:val="24"/>
          <w:szCs w:val="24"/>
        </w:rPr>
        <w:t>et al.</w:t>
      </w:r>
      <w:r w:rsidRPr="001272D0">
        <w:rPr>
          <w:rFonts w:ascii="Arial" w:hAnsi="Arial" w:cs="Arial"/>
          <w:noProof/>
          <w:sz w:val="24"/>
          <w:szCs w:val="24"/>
        </w:rPr>
        <w:t xml:space="preserve"> (2007) ‘Widening participation: Accessing careers in the allied health professions’, </w:t>
      </w:r>
      <w:r w:rsidRPr="001272D0">
        <w:rPr>
          <w:rFonts w:ascii="Arial" w:hAnsi="Arial" w:cs="Arial"/>
          <w:i/>
          <w:iCs/>
          <w:noProof/>
          <w:sz w:val="24"/>
          <w:szCs w:val="24"/>
        </w:rPr>
        <w:t>International Journal of Therapy and Rehabilitation</w:t>
      </w:r>
      <w:r w:rsidRPr="001272D0">
        <w:rPr>
          <w:rFonts w:ascii="Arial" w:hAnsi="Arial" w:cs="Arial"/>
          <w:noProof/>
          <w:sz w:val="24"/>
          <w:szCs w:val="24"/>
        </w:rPr>
        <w:t>, 14(11), pp. 494–501. doi:10.4135/9781608712410.n53.</w:t>
      </w:r>
    </w:p>
    <w:p w14:paraId="12F8B972"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Grice, K.O. (2014) ‘Use of multiple mini-interviews for occupational therapy admissions’, </w:t>
      </w:r>
      <w:r w:rsidRPr="001272D0">
        <w:rPr>
          <w:rFonts w:ascii="Arial" w:hAnsi="Arial" w:cs="Arial"/>
          <w:i/>
          <w:iCs/>
          <w:noProof/>
          <w:sz w:val="24"/>
          <w:szCs w:val="24"/>
        </w:rPr>
        <w:t>Journal of Allied Health</w:t>
      </w:r>
      <w:r w:rsidRPr="001272D0">
        <w:rPr>
          <w:rFonts w:ascii="Arial" w:hAnsi="Arial" w:cs="Arial"/>
          <w:noProof/>
          <w:sz w:val="24"/>
          <w:szCs w:val="24"/>
        </w:rPr>
        <w:t>, 43(1), pp. 57–61.</w:t>
      </w:r>
    </w:p>
    <w:p w14:paraId="6AEF17F6"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Health and Care Professions Council (2017) </w:t>
      </w:r>
      <w:r w:rsidRPr="001272D0">
        <w:rPr>
          <w:rFonts w:ascii="Arial" w:hAnsi="Arial" w:cs="Arial"/>
          <w:i/>
          <w:iCs/>
          <w:noProof/>
          <w:sz w:val="24"/>
          <w:szCs w:val="24"/>
        </w:rPr>
        <w:t>Standards of education and training</w:t>
      </w:r>
      <w:r w:rsidRPr="001272D0">
        <w:rPr>
          <w:rFonts w:ascii="Arial" w:hAnsi="Arial" w:cs="Arial"/>
          <w:noProof/>
          <w:sz w:val="24"/>
          <w:szCs w:val="24"/>
        </w:rPr>
        <w:t>. Available at: http://www.hpc-uk.org/assets/documents/1000295EStandardsofeducationandtraining-fromSeptember2009.pdf.</w:t>
      </w:r>
    </w:p>
    <w:p w14:paraId="7177387E"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Health and Care Professions Council (2021) </w:t>
      </w:r>
      <w:r w:rsidRPr="001272D0">
        <w:rPr>
          <w:rFonts w:ascii="Arial" w:hAnsi="Arial" w:cs="Arial"/>
          <w:i/>
          <w:iCs/>
          <w:noProof/>
          <w:sz w:val="24"/>
          <w:szCs w:val="24"/>
        </w:rPr>
        <w:t>HCPC Diversity Data Report 2021</w:t>
      </w:r>
      <w:r w:rsidRPr="001272D0">
        <w:rPr>
          <w:rFonts w:ascii="Arial" w:hAnsi="Arial" w:cs="Arial"/>
          <w:noProof/>
          <w:sz w:val="24"/>
          <w:szCs w:val="24"/>
        </w:rPr>
        <w:t>. London. Available at: https://www.hcpc-uk.org/globalassets/resources/reports/hcpc-diversity-data-report-2021.pdf?v=637689354700000000.</w:t>
      </w:r>
    </w:p>
    <w:p w14:paraId="05BF2AFE"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IBM Corp. (2020) ‘IBM SPSS Statistics for Windows’. New York: IBM Corp.</w:t>
      </w:r>
    </w:p>
    <w:p w14:paraId="11E1176F"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Institute for Government Analysis (2021) </w:t>
      </w:r>
      <w:r w:rsidRPr="001272D0">
        <w:rPr>
          <w:rFonts w:ascii="Arial" w:hAnsi="Arial" w:cs="Arial"/>
          <w:i/>
          <w:iCs/>
          <w:noProof/>
          <w:sz w:val="24"/>
          <w:szCs w:val="24"/>
        </w:rPr>
        <w:t>Timeline of UK Lockdowns, March 2020 to March 2021</w:t>
      </w:r>
      <w:r w:rsidRPr="001272D0">
        <w:rPr>
          <w:rFonts w:ascii="Arial" w:hAnsi="Arial" w:cs="Arial"/>
          <w:noProof/>
          <w:sz w:val="24"/>
          <w:szCs w:val="24"/>
        </w:rPr>
        <w:t xml:space="preserve">, </w:t>
      </w:r>
      <w:r w:rsidRPr="001272D0">
        <w:rPr>
          <w:rFonts w:ascii="Arial" w:hAnsi="Arial" w:cs="Arial"/>
          <w:i/>
          <w:iCs/>
          <w:noProof/>
          <w:sz w:val="24"/>
          <w:szCs w:val="24"/>
        </w:rPr>
        <w:t>Institute for Government analysis</w:t>
      </w:r>
      <w:r w:rsidRPr="001272D0">
        <w:rPr>
          <w:rFonts w:ascii="Arial" w:hAnsi="Arial" w:cs="Arial"/>
          <w:noProof/>
          <w:sz w:val="24"/>
          <w:szCs w:val="24"/>
        </w:rPr>
        <w:t>. Available at: https://www.instituteforgovernment.org.uk/charts/uk-government-coronavirus-</w:t>
      </w:r>
      <w:r w:rsidRPr="001272D0">
        <w:rPr>
          <w:rFonts w:ascii="Arial" w:hAnsi="Arial" w:cs="Arial"/>
          <w:noProof/>
          <w:sz w:val="24"/>
          <w:szCs w:val="24"/>
        </w:rPr>
        <w:lastRenderedPageBreak/>
        <w:t>lockdowns.</w:t>
      </w:r>
    </w:p>
    <w:p w14:paraId="034CC9E8"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Kale, S., Kamble, M.W. and Spalding, N. (2020) ‘Predictive validity of multiple mini interview scores for future academic and clinical placement performance in physiotherapy, occupational therapy and speech and language therapy programmes’, </w:t>
      </w:r>
      <w:r w:rsidRPr="001272D0">
        <w:rPr>
          <w:rFonts w:ascii="Arial" w:hAnsi="Arial" w:cs="Arial"/>
          <w:i/>
          <w:iCs/>
          <w:noProof/>
          <w:sz w:val="24"/>
          <w:szCs w:val="24"/>
        </w:rPr>
        <w:t>International Journal of Therapy and Rehabilitation</w:t>
      </w:r>
      <w:r w:rsidRPr="001272D0">
        <w:rPr>
          <w:rFonts w:ascii="Arial" w:hAnsi="Arial" w:cs="Arial"/>
          <w:noProof/>
          <w:sz w:val="24"/>
          <w:szCs w:val="24"/>
        </w:rPr>
        <w:t>, 27(4), pp. 1–13. doi:10.12968/ijtr.2018.0149.</w:t>
      </w:r>
    </w:p>
    <w:p w14:paraId="33EA6ED2"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Li, K., Wilbarger, J. and St. Louis, S. (2017) ‘An Innovative Behavioral Interview for Pre-admission Selection of Occupational Therapy Students’, </w:t>
      </w:r>
      <w:r w:rsidRPr="001272D0">
        <w:rPr>
          <w:rFonts w:ascii="Arial" w:hAnsi="Arial" w:cs="Arial"/>
          <w:i/>
          <w:iCs/>
          <w:noProof/>
          <w:sz w:val="24"/>
          <w:szCs w:val="24"/>
        </w:rPr>
        <w:t>Journal of Occupational Therapy Education</w:t>
      </w:r>
      <w:r w:rsidRPr="001272D0">
        <w:rPr>
          <w:rFonts w:ascii="Arial" w:hAnsi="Arial" w:cs="Arial"/>
          <w:noProof/>
          <w:sz w:val="24"/>
          <w:szCs w:val="24"/>
        </w:rPr>
        <w:t>, 1(1). doi:10.26681/jote.2017.010107.</w:t>
      </w:r>
    </w:p>
    <w:p w14:paraId="43AA4835"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McGinley, S.L. (2020) ‘Pre-entry Selection Assessment Results and Final Degree Outcomes of Occupational Therapy Students: Are There Relationships?’, </w:t>
      </w:r>
      <w:r w:rsidRPr="001272D0">
        <w:rPr>
          <w:rFonts w:ascii="Arial" w:hAnsi="Arial" w:cs="Arial"/>
          <w:i/>
          <w:iCs/>
          <w:noProof/>
          <w:sz w:val="24"/>
          <w:szCs w:val="24"/>
        </w:rPr>
        <w:t>Journal of Occupational Therapy Education</w:t>
      </w:r>
      <w:r w:rsidRPr="001272D0">
        <w:rPr>
          <w:rFonts w:ascii="Arial" w:hAnsi="Arial" w:cs="Arial"/>
          <w:noProof/>
          <w:sz w:val="24"/>
          <w:szCs w:val="24"/>
        </w:rPr>
        <w:t>, 4(3). doi:10.26681/jote.2020.040308.</w:t>
      </w:r>
    </w:p>
    <w:p w14:paraId="76A0E288"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McLellan, J., Pettigrew, R. and Sperlinger, T. (2016) ‘Remaking the elite university: An experiment in widening participation in the UK’, </w:t>
      </w:r>
      <w:r w:rsidRPr="001272D0">
        <w:rPr>
          <w:rFonts w:ascii="Arial" w:hAnsi="Arial" w:cs="Arial"/>
          <w:i/>
          <w:iCs/>
          <w:noProof/>
          <w:sz w:val="24"/>
          <w:szCs w:val="24"/>
        </w:rPr>
        <w:t>Power and Education</w:t>
      </w:r>
      <w:r w:rsidRPr="001272D0">
        <w:rPr>
          <w:rFonts w:ascii="Arial" w:hAnsi="Arial" w:cs="Arial"/>
          <w:noProof/>
          <w:sz w:val="24"/>
          <w:szCs w:val="24"/>
        </w:rPr>
        <w:t>, 8(1), pp. 54–72. doi:10.1177/1757743815624117.</w:t>
      </w:r>
    </w:p>
    <w:p w14:paraId="151F6DF9"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McNeil, Z.A. </w:t>
      </w:r>
      <w:r w:rsidRPr="001272D0">
        <w:rPr>
          <w:rFonts w:ascii="Arial" w:hAnsi="Arial" w:cs="Arial"/>
          <w:i/>
          <w:iCs/>
          <w:noProof/>
          <w:sz w:val="24"/>
          <w:szCs w:val="24"/>
        </w:rPr>
        <w:t>et al.</w:t>
      </w:r>
      <w:r w:rsidRPr="001272D0">
        <w:rPr>
          <w:rFonts w:ascii="Arial" w:hAnsi="Arial" w:cs="Arial"/>
          <w:noProof/>
          <w:sz w:val="24"/>
          <w:szCs w:val="24"/>
        </w:rPr>
        <w:t xml:space="preserve"> (2021) ‘The Admissions Process in OT Education: Investigating Academic and Nonacademic Metrics in the Applicant Selection Process’, </w:t>
      </w:r>
      <w:r w:rsidRPr="001272D0">
        <w:rPr>
          <w:rFonts w:ascii="Arial" w:hAnsi="Arial" w:cs="Arial"/>
          <w:i/>
          <w:iCs/>
          <w:noProof/>
          <w:sz w:val="24"/>
          <w:szCs w:val="24"/>
        </w:rPr>
        <w:t>The American Journal of Occupational Therapy</w:t>
      </w:r>
      <w:r w:rsidRPr="001272D0">
        <w:rPr>
          <w:rFonts w:ascii="Arial" w:hAnsi="Arial" w:cs="Arial"/>
          <w:noProof/>
          <w:sz w:val="24"/>
          <w:szCs w:val="24"/>
        </w:rPr>
        <w:t>, 75(Supplement_2), pp. 7512505088p1-7512505088p1. doi:10.5014/ajot.2021.75s2-po88.</w:t>
      </w:r>
    </w:p>
    <w:p w14:paraId="71CAB8F4"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Neuman, W.L. (2011) </w:t>
      </w:r>
      <w:r w:rsidRPr="001272D0">
        <w:rPr>
          <w:rFonts w:ascii="Arial" w:hAnsi="Arial" w:cs="Arial"/>
          <w:i/>
          <w:iCs/>
          <w:noProof/>
          <w:sz w:val="24"/>
          <w:szCs w:val="24"/>
        </w:rPr>
        <w:t>Social Research Methods</w:t>
      </w:r>
      <w:r w:rsidRPr="001272D0">
        <w:rPr>
          <w:rFonts w:ascii="Arial" w:hAnsi="Arial" w:cs="Arial"/>
          <w:noProof/>
          <w:sz w:val="24"/>
          <w:szCs w:val="24"/>
        </w:rPr>
        <w:t>. 7th edn. Boston, MA: Pearson.</w:t>
      </w:r>
    </w:p>
    <w:p w14:paraId="09265E22" w14:textId="41DE03C6"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Novalis, S.D., Cyranowski, J.M. and Dolhi, C.D. (2017) ‘Passing the NBCOT Examination: Preadmission, Academic, and Fieldwork Factors’, </w:t>
      </w:r>
      <w:r w:rsidRPr="001272D0">
        <w:rPr>
          <w:rFonts w:ascii="Arial" w:hAnsi="Arial" w:cs="Arial"/>
          <w:i/>
          <w:iCs/>
          <w:noProof/>
          <w:sz w:val="24"/>
          <w:szCs w:val="24"/>
        </w:rPr>
        <w:t>The Open Journal of Occupational Therapy</w:t>
      </w:r>
      <w:r w:rsidRPr="001272D0">
        <w:rPr>
          <w:rFonts w:ascii="Arial" w:hAnsi="Arial" w:cs="Arial"/>
          <w:noProof/>
          <w:sz w:val="24"/>
          <w:szCs w:val="24"/>
        </w:rPr>
        <w:t>, 5(4). doi:10.15453/2168-6408.1341.</w:t>
      </w:r>
    </w:p>
    <w:p w14:paraId="7D43938D" w14:textId="4AB97E2F" w:rsidR="002077AE" w:rsidRPr="001272D0" w:rsidRDefault="002077AE"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Office for Students (2019) </w:t>
      </w:r>
      <w:r w:rsidRPr="001272D0">
        <w:rPr>
          <w:rFonts w:ascii="Arial" w:hAnsi="Arial" w:cs="Arial"/>
          <w:i/>
          <w:iCs/>
          <w:noProof/>
          <w:sz w:val="24"/>
          <w:szCs w:val="24"/>
        </w:rPr>
        <w:t>English Higher Education 2019: The office for students annual review</w:t>
      </w:r>
      <w:r w:rsidRPr="001272D0">
        <w:rPr>
          <w:rFonts w:ascii="Arial" w:hAnsi="Arial" w:cs="Arial"/>
          <w:noProof/>
          <w:sz w:val="24"/>
          <w:szCs w:val="24"/>
        </w:rPr>
        <w:t>. Available at: https://www.officeforstudents.org.uk/media/53fd78d2-6388-4540-b622-3e73be0434c8/ofs-annual-review-2019.pdf.</w:t>
      </w:r>
    </w:p>
    <w:p w14:paraId="1FF5EAA3"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Royal College of Occupational Therapists (2017) </w:t>
      </w:r>
      <w:r w:rsidRPr="001272D0">
        <w:rPr>
          <w:rFonts w:ascii="Arial" w:hAnsi="Arial" w:cs="Arial"/>
          <w:i/>
          <w:iCs/>
          <w:noProof/>
          <w:sz w:val="24"/>
          <w:szCs w:val="24"/>
        </w:rPr>
        <w:t>Annual monitoring of accredited pre-registration programmes: Compiled annual monitoring report for the academic year 2017/18</w:t>
      </w:r>
      <w:r w:rsidRPr="001272D0">
        <w:rPr>
          <w:rFonts w:ascii="Arial" w:hAnsi="Arial" w:cs="Arial"/>
          <w:noProof/>
          <w:sz w:val="24"/>
          <w:szCs w:val="24"/>
        </w:rPr>
        <w:t>. Available at: https://www.rcot.co.uk/sites/default/files/AMR_Pre_Reg_Programmes_2017_18.pdf.</w:t>
      </w:r>
    </w:p>
    <w:p w14:paraId="3837301B"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Royal College of Occupational Therapists (2019a) </w:t>
      </w:r>
      <w:r w:rsidRPr="001272D0">
        <w:rPr>
          <w:rFonts w:ascii="Arial" w:hAnsi="Arial" w:cs="Arial"/>
          <w:i/>
          <w:iCs/>
          <w:noProof/>
          <w:sz w:val="24"/>
          <w:szCs w:val="24"/>
        </w:rPr>
        <w:t>College of Occupational Therapists Diploma: The degree-equivalent value of the Diploma of the College of Occupational Therapists (DipCOT) is recognised by universities and higher education institutions.</w:t>
      </w:r>
      <w:r w:rsidRPr="001272D0">
        <w:rPr>
          <w:rFonts w:ascii="Arial" w:hAnsi="Arial" w:cs="Arial"/>
          <w:noProof/>
          <w:sz w:val="24"/>
          <w:szCs w:val="24"/>
        </w:rPr>
        <w:t xml:space="preserve"> Available at: https://www.rcot.co.uk/about-us/our-history/rcot-diploma (Accessed: 2 January 2020).</w:t>
      </w:r>
    </w:p>
    <w:p w14:paraId="383D3AD3"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Royal College of Occupational Therapists (2019b) </w:t>
      </w:r>
      <w:r w:rsidRPr="001272D0">
        <w:rPr>
          <w:rFonts w:ascii="Arial" w:hAnsi="Arial" w:cs="Arial"/>
          <w:i/>
          <w:iCs/>
          <w:noProof/>
          <w:sz w:val="24"/>
          <w:szCs w:val="24"/>
        </w:rPr>
        <w:t>Learning and development standards for pre-registration education</w:t>
      </w:r>
      <w:r w:rsidRPr="001272D0">
        <w:rPr>
          <w:rFonts w:ascii="Arial" w:hAnsi="Arial" w:cs="Arial"/>
          <w:noProof/>
          <w:sz w:val="24"/>
          <w:szCs w:val="24"/>
        </w:rPr>
        <w:t xml:space="preserve">, </w:t>
      </w:r>
      <w:r w:rsidRPr="001272D0">
        <w:rPr>
          <w:rFonts w:ascii="Arial" w:hAnsi="Arial" w:cs="Arial"/>
          <w:i/>
          <w:iCs/>
          <w:noProof/>
          <w:sz w:val="24"/>
          <w:szCs w:val="24"/>
        </w:rPr>
        <w:t>Royal College of Occupational Therapists</w:t>
      </w:r>
      <w:r w:rsidRPr="001272D0">
        <w:rPr>
          <w:rFonts w:ascii="Arial" w:hAnsi="Arial" w:cs="Arial"/>
          <w:noProof/>
          <w:sz w:val="24"/>
          <w:szCs w:val="24"/>
        </w:rPr>
        <w:t>. Available at: https://www.rcot.co.uk/practice-resources/rcot-publications/learning-and-development-standards-pre-registration-education.</w:t>
      </w:r>
    </w:p>
    <w:p w14:paraId="20068147"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Royal College of Occupational Therapists (2020) </w:t>
      </w:r>
      <w:r w:rsidRPr="001272D0">
        <w:rPr>
          <w:rFonts w:ascii="Arial" w:hAnsi="Arial" w:cs="Arial"/>
          <w:i/>
          <w:iCs/>
          <w:noProof/>
          <w:sz w:val="24"/>
          <w:szCs w:val="24"/>
        </w:rPr>
        <w:t>Occupational Therapy Career Handbook 2020</w:t>
      </w:r>
      <w:r w:rsidRPr="001272D0">
        <w:rPr>
          <w:rFonts w:ascii="Arial" w:hAnsi="Arial" w:cs="Arial"/>
          <w:noProof/>
          <w:sz w:val="24"/>
          <w:szCs w:val="24"/>
        </w:rPr>
        <w:t>. doi:10.1016/S0140-6736(00)44282-0.</w:t>
      </w:r>
    </w:p>
    <w:p w14:paraId="349A455A"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Royal College of Occupational Therapists (2021) </w:t>
      </w:r>
      <w:r w:rsidRPr="001272D0">
        <w:rPr>
          <w:rFonts w:ascii="Arial" w:hAnsi="Arial" w:cs="Arial"/>
          <w:i/>
          <w:iCs/>
          <w:noProof/>
          <w:sz w:val="24"/>
          <w:szCs w:val="24"/>
        </w:rPr>
        <w:t>Occupational Therapy Career Handbook</w:t>
      </w:r>
      <w:r w:rsidRPr="001272D0">
        <w:rPr>
          <w:rFonts w:ascii="Arial" w:hAnsi="Arial" w:cs="Arial"/>
          <w:noProof/>
          <w:sz w:val="24"/>
          <w:szCs w:val="24"/>
        </w:rPr>
        <w:t>. London: Royal College of Occupational Therapists. doi:10.1016/B978-0-</w:t>
      </w:r>
      <w:r w:rsidRPr="001272D0">
        <w:rPr>
          <w:rFonts w:ascii="Arial" w:hAnsi="Arial" w:cs="Arial"/>
          <w:noProof/>
          <w:sz w:val="24"/>
          <w:szCs w:val="24"/>
        </w:rPr>
        <w:lastRenderedPageBreak/>
        <w:t>7216-0261-5.50034-X.</w:t>
      </w:r>
    </w:p>
    <w:p w14:paraId="1D636F41"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Ryan, S. (2001) ‘Perspectives on widening university access: Critical voices of newly qualified therapists’, </w:t>
      </w:r>
      <w:r w:rsidRPr="001272D0">
        <w:rPr>
          <w:rFonts w:ascii="Arial" w:hAnsi="Arial" w:cs="Arial"/>
          <w:i/>
          <w:iCs/>
          <w:noProof/>
          <w:sz w:val="24"/>
          <w:szCs w:val="24"/>
        </w:rPr>
        <w:t>British Journal of Occupational Therapy</w:t>
      </w:r>
      <w:r w:rsidRPr="001272D0">
        <w:rPr>
          <w:rFonts w:ascii="Arial" w:hAnsi="Arial" w:cs="Arial"/>
          <w:noProof/>
          <w:sz w:val="24"/>
          <w:szCs w:val="24"/>
        </w:rPr>
        <w:t>, 64(11), pp. 534–540. doi:10.1177/030802260106401103.</w:t>
      </w:r>
    </w:p>
    <w:p w14:paraId="16DC972E"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Taff, S.D. and Blash, D. (2017) ‘Diversity and Inclusion in Occupational Therapy: Where We Are, Where We Must Go’, </w:t>
      </w:r>
      <w:r w:rsidRPr="001272D0">
        <w:rPr>
          <w:rFonts w:ascii="Arial" w:hAnsi="Arial" w:cs="Arial"/>
          <w:i/>
          <w:iCs/>
          <w:noProof/>
          <w:sz w:val="24"/>
          <w:szCs w:val="24"/>
        </w:rPr>
        <w:t>Occupational Therapy in Health Care</w:t>
      </w:r>
      <w:r w:rsidRPr="001272D0">
        <w:rPr>
          <w:rFonts w:ascii="Arial" w:hAnsi="Arial" w:cs="Arial"/>
          <w:noProof/>
          <w:sz w:val="24"/>
          <w:szCs w:val="24"/>
        </w:rPr>
        <w:t>, 31(1), pp. 72–83. doi:10.1080/07380577.2016.1270479.</w:t>
      </w:r>
    </w:p>
    <w:p w14:paraId="27A08E2A"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Taylor, M.C. (2007) ‘The Casson Memorial Lecture 2007: Diversity amongst occupational therapists - Rhetoric or reality?’, </w:t>
      </w:r>
      <w:r w:rsidRPr="001272D0">
        <w:rPr>
          <w:rFonts w:ascii="Arial" w:hAnsi="Arial" w:cs="Arial"/>
          <w:i/>
          <w:iCs/>
          <w:noProof/>
          <w:sz w:val="24"/>
          <w:szCs w:val="24"/>
        </w:rPr>
        <w:t>British Journal of Occupational Therapy</w:t>
      </w:r>
      <w:r w:rsidRPr="001272D0">
        <w:rPr>
          <w:rFonts w:ascii="Arial" w:hAnsi="Arial" w:cs="Arial"/>
          <w:noProof/>
          <w:sz w:val="24"/>
          <w:szCs w:val="24"/>
        </w:rPr>
        <w:t>, 70(7), pp. 276–283. doi:10.1177/030802260707000702.</w:t>
      </w:r>
    </w:p>
    <w:p w14:paraId="557A9B8D"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UCAS (2021) </w:t>
      </w:r>
      <w:r w:rsidRPr="001272D0">
        <w:rPr>
          <w:rFonts w:ascii="Arial" w:hAnsi="Arial" w:cs="Arial"/>
          <w:i/>
          <w:iCs/>
          <w:noProof/>
          <w:sz w:val="24"/>
          <w:szCs w:val="24"/>
        </w:rPr>
        <w:t>UCAS Tariff tables Tariff points for entry to higher</w:t>
      </w:r>
      <w:r w:rsidRPr="001272D0">
        <w:rPr>
          <w:rFonts w:ascii="Arial" w:hAnsi="Arial" w:cs="Arial"/>
          <w:noProof/>
          <w:sz w:val="24"/>
          <w:szCs w:val="24"/>
        </w:rPr>
        <w:t>. Available at: https://www.ucas.com/file/63536/download?token=sxmdfCS-.</w:t>
      </w:r>
    </w:p>
    <w:p w14:paraId="5BAE5633"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Universities UK (2020) </w:t>
      </w:r>
      <w:r w:rsidRPr="001272D0">
        <w:rPr>
          <w:rFonts w:ascii="Arial" w:hAnsi="Arial" w:cs="Arial"/>
          <w:i/>
          <w:iCs/>
          <w:noProof/>
          <w:sz w:val="24"/>
          <w:szCs w:val="24"/>
        </w:rPr>
        <w:t>Fair Admissions Review</w:t>
      </w:r>
      <w:r w:rsidRPr="001272D0">
        <w:rPr>
          <w:rFonts w:ascii="Arial" w:hAnsi="Arial" w:cs="Arial"/>
          <w:noProof/>
          <w:sz w:val="24"/>
          <w:szCs w:val="24"/>
        </w:rPr>
        <w:t>. Available at: https://www.universitiesuk.ac.uk/sites/default/files/field/downloads/2021-08/uuk-fair-admissions-review.pdf.</w:t>
      </w:r>
    </w:p>
    <w:p w14:paraId="4A2DC489" w14:textId="77777777" w:rsidR="009A45BD" w:rsidRPr="001272D0" w:rsidRDefault="009A45BD" w:rsidP="009A45BD">
      <w:pPr>
        <w:widowControl w:val="0"/>
        <w:autoSpaceDE w:val="0"/>
        <w:autoSpaceDN w:val="0"/>
        <w:adjustRightInd w:val="0"/>
        <w:spacing w:line="240" w:lineRule="auto"/>
        <w:rPr>
          <w:rFonts w:ascii="Arial" w:hAnsi="Arial" w:cs="Arial"/>
          <w:noProof/>
          <w:sz w:val="24"/>
          <w:szCs w:val="24"/>
        </w:rPr>
      </w:pPr>
      <w:r w:rsidRPr="001272D0">
        <w:rPr>
          <w:rFonts w:ascii="Arial" w:hAnsi="Arial" w:cs="Arial"/>
          <w:noProof/>
          <w:sz w:val="24"/>
          <w:szCs w:val="24"/>
        </w:rPr>
        <w:t xml:space="preserve">Watson, J. (2013) ‘Progression routes and attainment in occupational therapy education: The impact of background characteristics’, </w:t>
      </w:r>
      <w:r w:rsidRPr="001272D0">
        <w:rPr>
          <w:rFonts w:ascii="Arial" w:hAnsi="Arial" w:cs="Arial"/>
          <w:i/>
          <w:iCs/>
          <w:noProof/>
          <w:sz w:val="24"/>
          <w:szCs w:val="24"/>
        </w:rPr>
        <w:t>British Journal of Occupational Therapy</w:t>
      </w:r>
      <w:r w:rsidRPr="001272D0">
        <w:rPr>
          <w:rFonts w:ascii="Arial" w:hAnsi="Arial" w:cs="Arial"/>
          <w:noProof/>
          <w:sz w:val="24"/>
          <w:szCs w:val="24"/>
        </w:rPr>
        <w:t>, 76(12), pp. 520–527. doi:10.4276/030802213X13861576675169.</w:t>
      </w:r>
    </w:p>
    <w:p w14:paraId="58D985B9" w14:textId="77777777" w:rsidR="009A45BD" w:rsidRPr="001272D0" w:rsidRDefault="009A45BD" w:rsidP="009A45BD">
      <w:pPr>
        <w:widowControl w:val="0"/>
        <w:autoSpaceDE w:val="0"/>
        <w:autoSpaceDN w:val="0"/>
        <w:adjustRightInd w:val="0"/>
        <w:spacing w:line="240" w:lineRule="auto"/>
        <w:rPr>
          <w:rFonts w:ascii="Arial" w:hAnsi="Arial" w:cs="Arial"/>
          <w:noProof/>
          <w:sz w:val="24"/>
        </w:rPr>
      </w:pPr>
      <w:r w:rsidRPr="001272D0">
        <w:rPr>
          <w:rFonts w:ascii="Arial" w:hAnsi="Arial" w:cs="Arial"/>
          <w:noProof/>
          <w:sz w:val="24"/>
          <w:szCs w:val="24"/>
        </w:rPr>
        <w:t xml:space="preserve">Yates, J.E. (1996) ‘The Casson Memorial Lecture 1996: Equalising Opportunities’, </w:t>
      </w:r>
      <w:r w:rsidRPr="001272D0">
        <w:rPr>
          <w:rFonts w:ascii="Arial" w:hAnsi="Arial" w:cs="Arial"/>
          <w:i/>
          <w:iCs/>
          <w:noProof/>
          <w:sz w:val="24"/>
          <w:szCs w:val="24"/>
        </w:rPr>
        <w:t>British Journal of Occupational Therapy</w:t>
      </w:r>
      <w:r w:rsidRPr="001272D0">
        <w:rPr>
          <w:rFonts w:ascii="Arial" w:hAnsi="Arial" w:cs="Arial"/>
          <w:noProof/>
          <w:sz w:val="24"/>
          <w:szCs w:val="24"/>
        </w:rPr>
        <w:t>, 59(8), pp. 352–356. doi:10.1177/030802269605900802.</w:t>
      </w:r>
    </w:p>
    <w:p w14:paraId="1A05B7ED" w14:textId="4CEBF764" w:rsidR="00210871" w:rsidRPr="00533738" w:rsidRDefault="00210871" w:rsidP="00A74EBE">
      <w:pPr>
        <w:spacing w:line="240" w:lineRule="auto"/>
        <w:rPr>
          <w:rFonts w:ascii="Arial" w:hAnsi="Arial" w:cs="Arial"/>
          <w:sz w:val="24"/>
          <w:szCs w:val="24"/>
        </w:rPr>
      </w:pPr>
      <w:r w:rsidRPr="001272D0">
        <w:rPr>
          <w:rFonts w:ascii="Arial" w:hAnsi="Arial" w:cs="Arial"/>
          <w:sz w:val="24"/>
          <w:szCs w:val="24"/>
        </w:rPr>
        <w:fldChar w:fldCharType="end"/>
      </w:r>
    </w:p>
    <w:sectPr w:rsidR="00210871" w:rsidRPr="00533738" w:rsidSect="00990176">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A0EBB" w14:textId="77777777" w:rsidR="00A27642" w:rsidRDefault="00A27642" w:rsidP="0095548D">
      <w:pPr>
        <w:spacing w:after="0" w:line="240" w:lineRule="auto"/>
      </w:pPr>
      <w:r>
        <w:separator/>
      </w:r>
    </w:p>
  </w:endnote>
  <w:endnote w:type="continuationSeparator" w:id="0">
    <w:p w14:paraId="5A425309" w14:textId="77777777" w:rsidR="00A27642" w:rsidRDefault="00A27642" w:rsidP="00955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282066"/>
      <w:docPartObj>
        <w:docPartGallery w:val="Page Numbers (Bottom of Page)"/>
        <w:docPartUnique/>
      </w:docPartObj>
    </w:sdtPr>
    <w:sdtEndPr>
      <w:rPr>
        <w:noProof/>
      </w:rPr>
    </w:sdtEndPr>
    <w:sdtContent>
      <w:p w14:paraId="24E17197" w14:textId="6D22E587" w:rsidR="00B53690" w:rsidRDefault="00B536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9BD46" w14:textId="77777777" w:rsidR="00130091" w:rsidRDefault="00130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1F651" w14:textId="77777777" w:rsidR="00A27642" w:rsidRDefault="00A27642" w:rsidP="0095548D">
      <w:pPr>
        <w:spacing w:after="0" w:line="240" w:lineRule="auto"/>
      </w:pPr>
      <w:r>
        <w:separator/>
      </w:r>
    </w:p>
  </w:footnote>
  <w:footnote w:type="continuationSeparator" w:id="0">
    <w:p w14:paraId="37C39C20" w14:textId="77777777" w:rsidR="00A27642" w:rsidRDefault="00A27642" w:rsidP="00955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3235D"/>
    <w:multiLevelType w:val="multilevel"/>
    <w:tmpl w:val="7E1C82BA"/>
    <w:styleLink w:val="CurrentList1"/>
    <w:lvl w:ilvl="0">
      <w:start w:val="1"/>
      <w:numFmt w:val="lowerRoman"/>
      <w:lvlText w:val="%1."/>
      <w:lvlJc w:val="left"/>
      <w:pPr>
        <w:ind w:left="1080" w:hanging="72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961AF6"/>
    <w:multiLevelType w:val="multilevel"/>
    <w:tmpl w:val="07222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9C57F7F"/>
    <w:multiLevelType w:val="multilevel"/>
    <w:tmpl w:val="460EF5D0"/>
    <w:styleLink w:val="CurrentList2"/>
    <w:lvl w:ilvl="0">
      <w:start w:val="1"/>
      <w:numFmt w:val="lowerRoman"/>
      <w:lvlText w:val="%1."/>
      <w:lvlJc w:val="right"/>
      <w:pPr>
        <w:ind w:left="1080" w:hanging="720"/>
      </w:pPr>
      <w:rPr>
        <w:rFonts w:ascii="Arial" w:eastAsia="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AC5C44"/>
    <w:multiLevelType w:val="hybridMultilevel"/>
    <w:tmpl w:val="18503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AAQmMzQzNLUwszIyUdpeDU4uLM/DyQAsNaAJsQ1ngsAAAA"/>
  </w:docVars>
  <w:rsids>
    <w:rsidRoot w:val="00AB135F"/>
    <w:rsid w:val="000002A8"/>
    <w:rsid w:val="00000D70"/>
    <w:rsid w:val="00000F21"/>
    <w:rsid w:val="0000212E"/>
    <w:rsid w:val="00003D2A"/>
    <w:rsid w:val="0000569C"/>
    <w:rsid w:val="00006682"/>
    <w:rsid w:val="00010953"/>
    <w:rsid w:val="00014853"/>
    <w:rsid w:val="000148B2"/>
    <w:rsid w:val="00016201"/>
    <w:rsid w:val="00021AC1"/>
    <w:rsid w:val="00021C32"/>
    <w:rsid w:val="00022DF2"/>
    <w:rsid w:val="000231F1"/>
    <w:rsid w:val="000238BD"/>
    <w:rsid w:val="00024A3A"/>
    <w:rsid w:val="000258F5"/>
    <w:rsid w:val="00025B29"/>
    <w:rsid w:val="000303F7"/>
    <w:rsid w:val="00030692"/>
    <w:rsid w:val="00030ACB"/>
    <w:rsid w:val="00030D03"/>
    <w:rsid w:val="00032349"/>
    <w:rsid w:val="0003411B"/>
    <w:rsid w:val="0003473B"/>
    <w:rsid w:val="000349AC"/>
    <w:rsid w:val="00034B98"/>
    <w:rsid w:val="00035F35"/>
    <w:rsid w:val="0003684F"/>
    <w:rsid w:val="00037B08"/>
    <w:rsid w:val="00040457"/>
    <w:rsid w:val="000419D4"/>
    <w:rsid w:val="00041E83"/>
    <w:rsid w:val="00043056"/>
    <w:rsid w:val="0004454D"/>
    <w:rsid w:val="00044AB6"/>
    <w:rsid w:val="0004531A"/>
    <w:rsid w:val="000459DD"/>
    <w:rsid w:val="00046093"/>
    <w:rsid w:val="00046F8E"/>
    <w:rsid w:val="000474B1"/>
    <w:rsid w:val="000500F8"/>
    <w:rsid w:val="0005291B"/>
    <w:rsid w:val="00052F10"/>
    <w:rsid w:val="00053D22"/>
    <w:rsid w:val="00055775"/>
    <w:rsid w:val="00055A6E"/>
    <w:rsid w:val="0005636B"/>
    <w:rsid w:val="00063C8D"/>
    <w:rsid w:val="00065242"/>
    <w:rsid w:val="00065280"/>
    <w:rsid w:val="00065B00"/>
    <w:rsid w:val="00066175"/>
    <w:rsid w:val="00067A35"/>
    <w:rsid w:val="00067EFE"/>
    <w:rsid w:val="000703FF"/>
    <w:rsid w:val="00070A9E"/>
    <w:rsid w:val="00070E17"/>
    <w:rsid w:val="00071250"/>
    <w:rsid w:val="000714D9"/>
    <w:rsid w:val="00071733"/>
    <w:rsid w:val="00071C1E"/>
    <w:rsid w:val="00072AB3"/>
    <w:rsid w:val="00075D17"/>
    <w:rsid w:val="00077CB3"/>
    <w:rsid w:val="00080623"/>
    <w:rsid w:val="00080664"/>
    <w:rsid w:val="00081829"/>
    <w:rsid w:val="000824B7"/>
    <w:rsid w:val="00082B11"/>
    <w:rsid w:val="00082EBD"/>
    <w:rsid w:val="00083552"/>
    <w:rsid w:val="00083EF8"/>
    <w:rsid w:val="00085BB9"/>
    <w:rsid w:val="00085BD8"/>
    <w:rsid w:val="000865F5"/>
    <w:rsid w:val="0008689E"/>
    <w:rsid w:val="0008718E"/>
    <w:rsid w:val="00087741"/>
    <w:rsid w:val="00090957"/>
    <w:rsid w:val="00090F60"/>
    <w:rsid w:val="000935D4"/>
    <w:rsid w:val="00094542"/>
    <w:rsid w:val="00094C00"/>
    <w:rsid w:val="00096EBF"/>
    <w:rsid w:val="00097328"/>
    <w:rsid w:val="00097822"/>
    <w:rsid w:val="00097BF8"/>
    <w:rsid w:val="000A0ABE"/>
    <w:rsid w:val="000A1B02"/>
    <w:rsid w:val="000A247A"/>
    <w:rsid w:val="000A2B4B"/>
    <w:rsid w:val="000A35C2"/>
    <w:rsid w:val="000A54B8"/>
    <w:rsid w:val="000A5615"/>
    <w:rsid w:val="000A64E6"/>
    <w:rsid w:val="000A6B3F"/>
    <w:rsid w:val="000A714A"/>
    <w:rsid w:val="000A7722"/>
    <w:rsid w:val="000B0320"/>
    <w:rsid w:val="000B1CB4"/>
    <w:rsid w:val="000B25F2"/>
    <w:rsid w:val="000B2DF6"/>
    <w:rsid w:val="000B37D5"/>
    <w:rsid w:val="000B44E0"/>
    <w:rsid w:val="000B460E"/>
    <w:rsid w:val="000B54A9"/>
    <w:rsid w:val="000B7938"/>
    <w:rsid w:val="000C007B"/>
    <w:rsid w:val="000C05D7"/>
    <w:rsid w:val="000C1AE1"/>
    <w:rsid w:val="000C1C08"/>
    <w:rsid w:val="000C4D2C"/>
    <w:rsid w:val="000C4D43"/>
    <w:rsid w:val="000C6922"/>
    <w:rsid w:val="000D0326"/>
    <w:rsid w:val="000D141F"/>
    <w:rsid w:val="000D1884"/>
    <w:rsid w:val="000D193C"/>
    <w:rsid w:val="000D1DCB"/>
    <w:rsid w:val="000D29F4"/>
    <w:rsid w:val="000D3CAF"/>
    <w:rsid w:val="000D3E2D"/>
    <w:rsid w:val="000D3F4A"/>
    <w:rsid w:val="000D6090"/>
    <w:rsid w:val="000D7167"/>
    <w:rsid w:val="000D733A"/>
    <w:rsid w:val="000E21FB"/>
    <w:rsid w:val="000E22C9"/>
    <w:rsid w:val="000E3083"/>
    <w:rsid w:val="000E3B35"/>
    <w:rsid w:val="000E4B73"/>
    <w:rsid w:val="000E4F9A"/>
    <w:rsid w:val="000E6394"/>
    <w:rsid w:val="000E63FE"/>
    <w:rsid w:val="000E6C15"/>
    <w:rsid w:val="000F0811"/>
    <w:rsid w:val="000F0A6D"/>
    <w:rsid w:val="000F0CAF"/>
    <w:rsid w:val="000F1A5A"/>
    <w:rsid w:val="000F24CC"/>
    <w:rsid w:val="000F3A95"/>
    <w:rsid w:val="000F4EFC"/>
    <w:rsid w:val="000F5E67"/>
    <w:rsid w:val="000F6873"/>
    <w:rsid w:val="000F68B0"/>
    <w:rsid w:val="000F6E0F"/>
    <w:rsid w:val="000F71D8"/>
    <w:rsid w:val="000F7632"/>
    <w:rsid w:val="000F77B3"/>
    <w:rsid w:val="00100723"/>
    <w:rsid w:val="0010117F"/>
    <w:rsid w:val="0010120C"/>
    <w:rsid w:val="0010467E"/>
    <w:rsid w:val="00104B4B"/>
    <w:rsid w:val="0010608F"/>
    <w:rsid w:val="00106E31"/>
    <w:rsid w:val="001106BB"/>
    <w:rsid w:val="00111536"/>
    <w:rsid w:val="00111DE8"/>
    <w:rsid w:val="001153E6"/>
    <w:rsid w:val="00117573"/>
    <w:rsid w:val="00120154"/>
    <w:rsid w:val="001219FC"/>
    <w:rsid w:val="00122332"/>
    <w:rsid w:val="0012256F"/>
    <w:rsid w:val="00123B42"/>
    <w:rsid w:val="00123C67"/>
    <w:rsid w:val="00124F2E"/>
    <w:rsid w:val="00125BED"/>
    <w:rsid w:val="001267C3"/>
    <w:rsid w:val="00126847"/>
    <w:rsid w:val="001272D0"/>
    <w:rsid w:val="00130091"/>
    <w:rsid w:val="001303B2"/>
    <w:rsid w:val="00131897"/>
    <w:rsid w:val="001334C4"/>
    <w:rsid w:val="001337BE"/>
    <w:rsid w:val="00133F9E"/>
    <w:rsid w:val="00134331"/>
    <w:rsid w:val="00135413"/>
    <w:rsid w:val="0013611C"/>
    <w:rsid w:val="00136822"/>
    <w:rsid w:val="00136BEE"/>
    <w:rsid w:val="00137794"/>
    <w:rsid w:val="00137A82"/>
    <w:rsid w:val="001402AB"/>
    <w:rsid w:val="00140AB7"/>
    <w:rsid w:val="00140F19"/>
    <w:rsid w:val="001411A6"/>
    <w:rsid w:val="00141B61"/>
    <w:rsid w:val="00141D94"/>
    <w:rsid w:val="0014341A"/>
    <w:rsid w:val="00143598"/>
    <w:rsid w:val="0014547A"/>
    <w:rsid w:val="001466F2"/>
    <w:rsid w:val="00147B6B"/>
    <w:rsid w:val="00150D2E"/>
    <w:rsid w:val="00151046"/>
    <w:rsid w:val="001514FB"/>
    <w:rsid w:val="00152511"/>
    <w:rsid w:val="00152FED"/>
    <w:rsid w:val="00154E82"/>
    <w:rsid w:val="0015571A"/>
    <w:rsid w:val="0015593C"/>
    <w:rsid w:val="00155A80"/>
    <w:rsid w:val="0015743D"/>
    <w:rsid w:val="0016055C"/>
    <w:rsid w:val="001610BE"/>
    <w:rsid w:val="001612E6"/>
    <w:rsid w:val="00161EBF"/>
    <w:rsid w:val="001620D3"/>
    <w:rsid w:val="001651EB"/>
    <w:rsid w:val="0016598C"/>
    <w:rsid w:val="00166332"/>
    <w:rsid w:val="001668AD"/>
    <w:rsid w:val="00167591"/>
    <w:rsid w:val="0016789A"/>
    <w:rsid w:val="00167ADC"/>
    <w:rsid w:val="00171EB1"/>
    <w:rsid w:val="00172FCA"/>
    <w:rsid w:val="00173915"/>
    <w:rsid w:val="0017495A"/>
    <w:rsid w:val="00174A78"/>
    <w:rsid w:val="001763B3"/>
    <w:rsid w:val="0017670B"/>
    <w:rsid w:val="00176EAE"/>
    <w:rsid w:val="0017750A"/>
    <w:rsid w:val="001776EE"/>
    <w:rsid w:val="0018037E"/>
    <w:rsid w:val="001811D3"/>
    <w:rsid w:val="00182FA3"/>
    <w:rsid w:val="00183BB3"/>
    <w:rsid w:val="00185709"/>
    <w:rsid w:val="00185915"/>
    <w:rsid w:val="00185CEF"/>
    <w:rsid w:val="001862AA"/>
    <w:rsid w:val="001865E8"/>
    <w:rsid w:val="001869DC"/>
    <w:rsid w:val="001909D2"/>
    <w:rsid w:val="00190D85"/>
    <w:rsid w:val="0019167D"/>
    <w:rsid w:val="001920F1"/>
    <w:rsid w:val="001928D5"/>
    <w:rsid w:val="00192C9A"/>
    <w:rsid w:val="00193A13"/>
    <w:rsid w:val="00193A62"/>
    <w:rsid w:val="00194A72"/>
    <w:rsid w:val="00195D71"/>
    <w:rsid w:val="00196ACB"/>
    <w:rsid w:val="0019759B"/>
    <w:rsid w:val="00197B77"/>
    <w:rsid w:val="00197E55"/>
    <w:rsid w:val="001A1711"/>
    <w:rsid w:val="001A19DD"/>
    <w:rsid w:val="001A327D"/>
    <w:rsid w:val="001A3DE9"/>
    <w:rsid w:val="001A4304"/>
    <w:rsid w:val="001A4B0B"/>
    <w:rsid w:val="001A5840"/>
    <w:rsid w:val="001A6050"/>
    <w:rsid w:val="001A64F9"/>
    <w:rsid w:val="001A6659"/>
    <w:rsid w:val="001A68B0"/>
    <w:rsid w:val="001A6D2A"/>
    <w:rsid w:val="001A74AC"/>
    <w:rsid w:val="001A7B80"/>
    <w:rsid w:val="001B072A"/>
    <w:rsid w:val="001B22FB"/>
    <w:rsid w:val="001B2ABC"/>
    <w:rsid w:val="001B36B6"/>
    <w:rsid w:val="001B3C0A"/>
    <w:rsid w:val="001B4849"/>
    <w:rsid w:val="001B4C49"/>
    <w:rsid w:val="001B5C9A"/>
    <w:rsid w:val="001B6586"/>
    <w:rsid w:val="001B7881"/>
    <w:rsid w:val="001B7A5A"/>
    <w:rsid w:val="001C0F74"/>
    <w:rsid w:val="001C155E"/>
    <w:rsid w:val="001C4698"/>
    <w:rsid w:val="001C7988"/>
    <w:rsid w:val="001D1F61"/>
    <w:rsid w:val="001D2E01"/>
    <w:rsid w:val="001D3CD5"/>
    <w:rsid w:val="001D4EA4"/>
    <w:rsid w:val="001D55C6"/>
    <w:rsid w:val="001D62F3"/>
    <w:rsid w:val="001D7692"/>
    <w:rsid w:val="001E1AB9"/>
    <w:rsid w:val="001E1C53"/>
    <w:rsid w:val="001E327B"/>
    <w:rsid w:val="001E38FB"/>
    <w:rsid w:val="001E3B01"/>
    <w:rsid w:val="001E3E94"/>
    <w:rsid w:val="001E5518"/>
    <w:rsid w:val="001E67F7"/>
    <w:rsid w:val="001E7833"/>
    <w:rsid w:val="001E7B72"/>
    <w:rsid w:val="001F02E6"/>
    <w:rsid w:val="001F229A"/>
    <w:rsid w:val="001F3526"/>
    <w:rsid w:val="001F3D74"/>
    <w:rsid w:val="001F3F39"/>
    <w:rsid w:val="001F4D0C"/>
    <w:rsid w:val="001F598D"/>
    <w:rsid w:val="001F6878"/>
    <w:rsid w:val="0020013A"/>
    <w:rsid w:val="002006F2"/>
    <w:rsid w:val="00200E49"/>
    <w:rsid w:val="00201BD7"/>
    <w:rsid w:val="00202559"/>
    <w:rsid w:val="002029E1"/>
    <w:rsid w:val="00203527"/>
    <w:rsid w:val="00204BBC"/>
    <w:rsid w:val="002055C7"/>
    <w:rsid w:val="00205B83"/>
    <w:rsid w:val="00206362"/>
    <w:rsid w:val="002066C6"/>
    <w:rsid w:val="002073C6"/>
    <w:rsid w:val="002077AE"/>
    <w:rsid w:val="00207E32"/>
    <w:rsid w:val="00210871"/>
    <w:rsid w:val="00210E12"/>
    <w:rsid w:val="00210F1C"/>
    <w:rsid w:val="002111F2"/>
    <w:rsid w:val="0021122F"/>
    <w:rsid w:val="00211286"/>
    <w:rsid w:val="00211D51"/>
    <w:rsid w:val="00212668"/>
    <w:rsid w:val="0021327A"/>
    <w:rsid w:val="00213BFB"/>
    <w:rsid w:val="0021454D"/>
    <w:rsid w:val="002154EA"/>
    <w:rsid w:val="00215937"/>
    <w:rsid w:val="002159E4"/>
    <w:rsid w:val="00215F15"/>
    <w:rsid w:val="002166E4"/>
    <w:rsid w:val="00216994"/>
    <w:rsid w:val="00217D54"/>
    <w:rsid w:val="00221550"/>
    <w:rsid w:val="00221D10"/>
    <w:rsid w:val="002225C0"/>
    <w:rsid w:val="00223407"/>
    <w:rsid w:val="00223793"/>
    <w:rsid w:val="00223D31"/>
    <w:rsid w:val="00224EF5"/>
    <w:rsid w:val="00225EE8"/>
    <w:rsid w:val="0022633C"/>
    <w:rsid w:val="00226CB2"/>
    <w:rsid w:val="00226F19"/>
    <w:rsid w:val="0022729B"/>
    <w:rsid w:val="0023015B"/>
    <w:rsid w:val="0023017E"/>
    <w:rsid w:val="0023083E"/>
    <w:rsid w:val="00230ECF"/>
    <w:rsid w:val="00233A69"/>
    <w:rsid w:val="00233F99"/>
    <w:rsid w:val="00235291"/>
    <w:rsid w:val="00236204"/>
    <w:rsid w:val="00237968"/>
    <w:rsid w:val="00237C90"/>
    <w:rsid w:val="0024081D"/>
    <w:rsid w:val="00240F50"/>
    <w:rsid w:val="00242B67"/>
    <w:rsid w:val="00242F3E"/>
    <w:rsid w:val="00242FFF"/>
    <w:rsid w:val="00243ACA"/>
    <w:rsid w:val="002440FE"/>
    <w:rsid w:val="00244345"/>
    <w:rsid w:val="00244E84"/>
    <w:rsid w:val="00245F5F"/>
    <w:rsid w:val="00246C0C"/>
    <w:rsid w:val="00247393"/>
    <w:rsid w:val="0025087C"/>
    <w:rsid w:val="0025118A"/>
    <w:rsid w:val="0025196B"/>
    <w:rsid w:val="00251DE9"/>
    <w:rsid w:val="00251FD2"/>
    <w:rsid w:val="0025200D"/>
    <w:rsid w:val="0025254F"/>
    <w:rsid w:val="00252A70"/>
    <w:rsid w:val="002530A3"/>
    <w:rsid w:val="00253499"/>
    <w:rsid w:val="00253C2F"/>
    <w:rsid w:val="0025409D"/>
    <w:rsid w:val="0025590C"/>
    <w:rsid w:val="00255EF9"/>
    <w:rsid w:val="00256B50"/>
    <w:rsid w:val="00256DEF"/>
    <w:rsid w:val="00256E51"/>
    <w:rsid w:val="002574CB"/>
    <w:rsid w:val="00257C29"/>
    <w:rsid w:val="00260E67"/>
    <w:rsid w:val="0026216F"/>
    <w:rsid w:val="002635CB"/>
    <w:rsid w:val="002639D9"/>
    <w:rsid w:val="00263D4F"/>
    <w:rsid w:val="00263E47"/>
    <w:rsid w:val="00263F63"/>
    <w:rsid w:val="00264E8B"/>
    <w:rsid w:val="002653AB"/>
    <w:rsid w:val="002658CD"/>
    <w:rsid w:val="00267510"/>
    <w:rsid w:val="00267E97"/>
    <w:rsid w:val="0027007B"/>
    <w:rsid w:val="00270FBA"/>
    <w:rsid w:val="00272C2F"/>
    <w:rsid w:val="00273779"/>
    <w:rsid w:val="00274919"/>
    <w:rsid w:val="0027541E"/>
    <w:rsid w:val="00275A05"/>
    <w:rsid w:val="00275E21"/>
    <w:rsid w:val="00277A0D"/>
    <w:rsid w:val="002818A8"/>
    <w:rsid w:val="00282284"/>
    <w:rsid w:val="00282EAA"/>
    <w:rsid w:val="0028309F"/>
    <w:rsid w:val="002833B3"/>
    <w:rsid w:val="00285700"/>
    <w:rsid w:val="00287253"/>
    <w:rsid w:val="00287670"/>
    <w:rsid w:val="002879D3"/>
    <w:rsid w:val="00290662"/>
    <w:rsid w:val="00290EDB"/>
    <w:rsid w:val="002915F9"/>
    <w:rsid w:val="00291E2E"/>
    <w:rsid w:val="0029219E"/>
    <w:rsid w:val="002924A2"/>
    <w:rsid w:val="00292A0E"/>
    <w:rsid w:val="00292FA6"/>
    <w:rsid w:val="002934A3"/>
    <w:rsid w:val="00293636"/>
    <w:rsid w:val="00293930"/>
    <w:rsid w:val="00293987"/>
    <w:rsid w:val="002942E4"/>
    <w:rsid w:val="00294DEC"/>
    <w:rsid w:val="00295F7B"/>
    <w:rsid w:val="002966A5"/>
    <w:rsid w:val="00296E4F"/>
    <w:rsid w:val="00296E77"/>
    <w:rsid w:val="00297171"/>
    <w:rsid w:val="002972C9"/>
    <w:rsid w:val="0029779A"/>
    <w:rsid w:val="002A00CF"/>
    <w:rsid w:val="002A06D7"/>
    <w:rsid w:val="002A0D0E"/>
    <w:rsid w:val="002A0E72"/>
    <w:rsid w:val="002A1210"/>
    <w:rsid w:val="002A1857"/>
    <w:rsid w:val="002A2F3F"/>
    <w:rsid w:val="002A314E"/>
    <w:rsid w:val="002A66DD"/>
    <w:rsid w:val="002A719F"/>
    <w:rsid w:val="002A7484"/>
    <w:rsid w:val="002B0F53"/>
    <w:rsid w:val="002B15B1"/>
    <w:rsid w:val="002B2239"/>
    <w:rsid w:val="002B27D8"/>
    <w:rsid w:val="002B2883"/>
    <w:rsid w:val="002B3461"/>
    <w:rsid w:val="002B5BBF"/>
    <w:rsid w:val="002B5E61"/>
    <w:rsid w:val="002B62EC"/>
    <w:rsid w:val="002B6748"/>
    <w:rsid w:val="002C09BC"/>
    <w:rsid w:val="002C1951"/>
    <w:rsid w:val="002C1AA9"/>
    <w:rsid w:val="002C2D9A"/>
    <w:rsid w:val="002C32FD"/>
    <w:rsid w:val="002C352F"/>
    <w:rsid w:val="002C39D7"/>
    <w:rsid w:val="002C4291"/>
    <w:rsid w:val="002C4AED"/>
    <w:rsid w:val="002C4CB5"/>
    <w:rsid w:val="002C519E"/>
    <w:rsid w:val="002C564C"/>
    <w:rsid w:val="002C6AE6"/>
    <w:rsid w:val="002C73B2"/>
    <w:rsid w:val="002C7E26"/>
    <w:rsid w:val="002D0296"/>
    <w:rsid w:val="002D084C"/>
    <w:rsid w:val="002D1925"/>
    <w:rsid w:val="002D1E81"/>
    <w:rsid w:val="002D3B4E"/>
    <w:rsid w:val="002D6A58"/>
    <w:rsid w:val="002E2F4F"/>
    <w:rsid w:val="002E4005"/>
    <w:rsid w:val="002E43B3"/>
    <w:rsid w:val="002E4CB4"/>
    <w:rsid w:val="002E688B"/>
    <w:rsid w:val="002E703A"/>
    <w:rsid w:val="002E707B"/>
    <w:rsid w:val="002E7450"/>
    <w:rsid w:val="002E7556"/>
    <w:rsid w:val="002E7AAF"/>
    <w:rsid w:val="002E7F08"/>
    <w:rsid w:val="002F067A"/>
    <w:rsid w:val="002F0D57"/>
    <w:rsid w:val="002F29DB"/>
    <w:rsid w:val="002F2AD2"/>
    <w:rsid w:val="002F2C16"/>
    <w:rsid w:val="002F3753"/>
    <w:rsid w:val="002F389C"/>
    <w:rsid w:val="002F4BEC"/>
    <w:rsid w:val="002F4FA9"/>
    <w:rsid w:val="002F7385"/>
    <w:rsid w:val="002F78AA"/>
    <w:rsid w:val="00301E4C"/>
    <w:rsid w:val="00301ED3"/>
    <w:rsid w:val="003026BF"/>
    <w:rsid w:val="0030332E"/>
    <w:rsid w:val="00303430"/>
    <w:rsid w:val="00304122"/>
    <w:rsid w:val="003048EC"/>
    <w:rsid w:val="00305D27"/>
    <w:rsid w:val="00305D9A"/>
    <w:rsid w:val="00305F56"/>
    <w:rsid w:val="00306892"/>
    <w:rsid w:val="0031090C"/>
    <w:rsid w:val="00311B92"/>
    <w:rsid w:val="00312306"/>
    <w:rsid w:val="0031290B"/>
    <w:rsid w:val="00312A87"/>
    <w:rsid w:val="0031318F"/>
    <w:rsid w:val="00313A3F"/>
    <w:rsid w:val="00313DFF"/>
    <w:rsid w:val="0031414C"/>
    <w:rsid w:val="00314FB8"/>
    <w:rsid w:val="00315187"/>
    <w:rsid w:val="00315462"/>
    <w:rsid w:val="003162F0"/>
    <w:rsid w:val="003162F4"/>
    <w:rsid w:val="00316F7E"/>
    <w:rsid w:val="00320B04"/>
    <w:rsid w:val="00322013"/>
    <w:rsid w:val="00324190"/>
    <w:rsid w:val="00325A24"/>
    <w:rsid w:val="003270C3"/>
    <w:rsid w:val="003279C9"/>
    <w:rsid w:val="003305C1"/>
    <w:rsid w:val="00331059"/>
    <w:rsid w:val="0033130F"/>
    <w:rsid w:val="003314C8"/>
    <w:rsid w:val="00331716"/>
    <w:rsid w:val="00332643"/>
    <w:rsid w:val="00333413"/>
    <w:rsid w:val="00334DB6"/>
    <w:rsid w:val="0033595D"/>
    <w:rsid w:val="00335FAE"/>
    <w:rsid w:val="00336099"/>
    <w:rsid w:val="003362FC"/>
    <w:rsid w:val="0033671F"/>
    <w:rsid w:val="003368C6"/>
    <w:rsid w:val="00336FE0"/>
    <w:rsid w:val="00337023"/>
    <w:rsid w:val="00337633"/>
    <w:rsid w:val="003402F4"/>
    <w:rsid w:val="00340410"/>
    <w:rsid w:val="003412F4"/>
    <w:rsid w:val="00341930"/>
    <w:rsid w:val="00341D9C"/>
    <w:rsid w:val="00341E33"/>
    <w:rsid w:val="00341F9D"/>
    <w:rsid w:val="00342119"/>
    <w:rsid w:val="003422FA"/>
    <w:rsid w:val="00342B8F"/>
    <w:rsid w:val="0034339B"/>
    <w:rsid w:val="00344A05"/>
    <w:rsid w:val="00344F2A"/>
    <w:rsid w:val="00346BA8"/>
    <w:rsid w:val="00347C6A"/>
    <w:rsid w:val="00351A46"/>
    <w:rsid w:val="00353C16"/>
    <w:rsid w:val="003556B9"/>
    <w:rsid w:val="00355835"/>
    <w:rsid w:val="0035664A"/>
    <w:rsid w:val="003568AE"/>
    <w:rsid w:val="00356AC7"/>
    <w:rsid w:val="00357BE7"/>
    <w:rsid w:val="0036155C"/>
    <w:rsid w:val="00362A90"/>
    <w:rsid w:val="0036389A"/>
    <w:rsid w:val="00364085"/>
    <w:rsid w:val="00364293"/>
    <w:rsid w:val="00364891"/>
    <w:rsid w:val="00365104"/>
    <w:rsid w:val="003657A6"/>
    <w:rsid w:val="003658C9"/>
    <w:rsid w:val="003659B0"/>
    <w:rsid w:val="00366270"/>
    <w:rsid w:val="00366A87"/>
    <w:rsid w:val="00367476"/>
    <w:rsid w:val="00367E21"/>
    <w:rsid w:val="0037085D"/>
    <w:rsid w:val="0037326F"/>
    <w:rsid w:val="00374D23"/>
    <w:rsid w:val="0037621A"/>
    <w:rsid w:val="00377094"/>
    <w:rsid w:val="00381928"/>
    <w:rsid w:val="00381D00"/>
    <w:rsid w:val="00381D68"/>
    <w:rsid w:val="00381E86"/>
    <w:rsid w:val="003843CA"/>
    <w:rsid w:val="003847A0"/>
    <w:rsid w:val="003855F7"/>
    <w:rsid w:val="0038572C"/>
    <w:rsid w:val="003873A3"/>
    <w:rsid w:val="00387BD9"/>
    <w:rsid w:val="00391091"/>
    <w:rsid w:val="00391115"/>
    <w:rsid w:val="00391A55"/>
    <w:rsid w:val="003926E4"/>
    <w:rsid w:val="00392744"/>
    <w:rsid w:val="00393123"/>
    <w:rsid w:val="003931B6"/>
    <w:rsid w:val="00393BBB"/>
    <w:rsid w:val="00394371"/>
    <w:rsid w:val="003967C7"/>
    <w:rsid w:val="00397CC7"/>
    <w:rsid w:val="003A0873"/>
    <w:rsid w:val="003A0AEF"/>
    <w:rsid w:val="003A0F51"/>
    <w:rsid w:val="003A21E8"/>
    <w:rsid w:val="003A2466"/>
    <w:rsid w:val="003A2EEC"/>
    <w:rsid w:val="003A4212"/>
    <w:rsid w:val="003A494C"/>
    <w:rsid w:val="003A4BF0"/>
    <w:rsid w:val="003A4F8C"/>
    <w:rsid w:val="003A50CA"/>
    <w:rsid w:val="003A531C"/>
    <w:rsid w:val="003A6261"/>
    <w:rsid w:val="003A659F"/>
    <w:rsid w:val="003A67EC"/>
    <w:rsid w:val="003A68FE"/>
    <w:rsid w:val="003A754E"/>
    <w:rsid w:val="003A7E05"/>
    <w:rsid w:val="003B01F7"/>
    <w:rsid w:val="003B250F"/>
    <w:rsid w:val="003B2756"/>
    <w:rsid w:val="003B282D"/>
    <w:rsid w:val="003B2ED1"/>
    <w:rsid w:val="003B5F7A"/>
    <w:rsid w:val="003B6096"/>
    <w:rsid w:val="003B6375"/>
    <w:rsid w:val="003B677E"/>
    <w:rsid w:val="003B79DA"/>
    <w:rsid w:val="003C02B4"/>
    <w:rsid w:val="003C09DF"/>
    <w:rsid w:val="003C1A49"/>
    <w:rsid w:val="003C2516"/>
    <w:rsid w:val="003C39D4"/>
    <w:rsid w:val="003C4D1E"/>
    <w:rsid w:val="003C6357"/>
    <w:rsid w:val="003C6EE5"/>
    <w:rsid w:val="003C7E1C"/>
    <w:rsid w:val="003D0626"/>
    <w:rsid w:val="003D12D1"/>
    <w:rsid w:val="003D165E"/>
    <w:rsid w:val="003D1A33"/>
    <w:rsid w:val="003D2725"/>
    <w:rsid w:val="003D2EDC"/>
    <w:rsid w:val="003D3081"/>
    <w:rsid w:val="003D4286"/>
    <w:rsid w:val="003D4CAC"/>
    <w:rsid w:val="003D63D5"/>
    <w:rsid w:val="003D652A"/>
    <w:rsid w:val="003D7D52"/>
    <w:rsid w:val="003D7EA8"/>
    <w:rsid w:val="003E0411"/>
    <w:rsid w:val="003E0FDE"/>
    <w:rsid w:val="003E1120"/>
    <w:rsid w:val="003E12F9"/>
    <w:rsid w:val="003E1B81"/>
    <w:rsid w:val="003E1BD2"/>
    <w:rsid w:val="003E20E4"/>
    <w:rsid w:val="003E4A73"/>
    <w:rsid w:val="003E65E8"/>
    <w:rsid w:val="003E671B"/>
    <w:rsid w:val="003E6792"/>
    <w:rsid w:val="003E6A86"/>
    <w:rsid w:val="003E6BFC"/>
    <w:rsid w:val="003E742C"/>
    <w:rsid w:val="003E7B65"/>
    <w:rsid w:val="003E7BA6"/>
    <w:rsid w:val="003F4596"/>
    <w:rsid w:val="003F5823"/>
    <w:rsid w:val="003F5954"/>
    <w:rsid w:val="003F761D"/>
    <w:rsid w:val="00400100"/>
    <w:rsid w:val="00400D98"/>
    <w:rsid w:val="00403672"/>
    <w:rsid w:val="00403E13"/>
    <w:rsid w:val="00403F5A"/>
    <w:rsid w:val="00404A1B"/>
    <w:rsid w:val="00406C08"/>
    <w:rsid w:val="00406EC2"/>
    <w:rsid w:val="004070D8"/>
    <w:rsid w:val="00407985"/>
    <w:rsid w:val="004122C8"/>
    <w:rsid w:val="004128AD"/>
    <w:rsid w:val="00412BEC"/>
    <w:rsid w:val="00412DE3"/>
    <w:rsid w:val="004136E6"/>
    <w:rsid w:val="00413A73"/>
    <w:rsid w:val="00413DF6"/>
    <w:rsid w:val="00414657"/>
    <w:rsid w:val="00414D3C"/>
    <w:rsid w:val="00415349"/>
    <w:rsid w:val="004162D7"/>
    <w:rsid w:val="004175CE"/>
    <w:rsid w:val="00417AC6"/>
    <w:rsid w:val="004202E4"/>
    <w:rsid w:val="004202F6"/>
    <w:rsid w:val="00420A91"/>
    <w:rsid w:val="00420B48"/>
    <w:rsid w:val="0042213F"/>
    <w:rsid w:val="00424149"/>
    <w:rsid w:val="004242C1"/>
    <w:rsid w:val="004244FD"/>
    <w:rsid w:val="0042479B"/>
    <w:rsid w:val="0042521B"/>
    <w:rsid w:val="004274DC"/>
    <w:rsid w:val="004276CF"/>
    <w:rsid w:val="0043038F"/>
    <w:rsid w:val="00430C63"/>
    <w:rsid w:val="00431373"/>
    <w:rsid w:val="004314DF"/>
    <w:rsid w:val="00433A91"/>
    <w:rsid w:val="004342AA"/>
    <w:rsid w:val="00434810"/>
    <w:rsid w:val="00435F51"/>
    <w:rsid w:val="00435F9D"/>
    <w:rsid w:val="004369D1"/>
    <w:rsid w:val="00436CD4"/>
    <w:rsid w:val="00437382"/>
    <w:rsid w:val="00437A95"/>
    <w:rsid w:val="00437C8F"/>
    <w:rsid w:val="00441C09"/>
    <w:rsid w:val="00442005"/>
    <w:rsid w:val="004428C4"/>
    <w:rsid w:val="0044322B"/>
    <w:rsid w:val="004433B6"/>
    <w:rsid w:val="00443978"/>
    <w:rsid w:val="0044479B"/>
    <w:rsid w:val="00446766"/>
    <w:rsid w:val="00446796"/>
    <w:rsid w:val="0044689C"/>
    <w:rsid w:val="00446D38"/>
    <w:rsid w:val="00451439"/>
    <w:rsid w:val="0045164B"/>
    <w:rsid w:val="00453384"/>
    <w:rsid w:val="00453678"/>
    <w:rsid w:val="004540EE"/>
    <w:rsid w:val="004542A2"/>
    <w:rsid w:val="00454D46"/>
    <w:rsid w:val="00454DD7"/>
    <w:rsid w:val="00456E30"/>
    <w:rsid w:val="00457C2E"/>
    <w:rsid w:val="00460E59"/>
    <w:rsid w:val="0046260D"/>
    <w:rsid w:val="00462CD6"/>
    <w:rsid w:val="00462F42"/>
    <w:rsid w:val="004636EF"/>
    <w:rsid w:val="00463B63"/>
    <w:rsid w:val="00463FC4"/>
    <w:rsid w:val="00464C39"/>
    <w:rsid w:val="0046564F"/>
    <w:rsid w:val="0046624D"/>
    <w:rsid w:val="00467178"/>
    <w:rsid w:val="00467CE1"/>
    <w:rsid w:val="00470803"/>
    <w:rsid w:val="0047106A"/>
    <w:rsid w:val="00471AF6"/>
    <w:rsid w:val="004735EE"/>
    <w:rsid w:val="004740DC"/>
    <w:rsid w:val="00475B93"/>
    <w:rsid w:val="00475D0A"/>
    <w:rsid w:val="00476B2E"/>
    <w:rsid w:val="00481A78"/>
    <w:rsid w:val="004826C8"/>
    <w:rsid w:val="00483024"/>
    <w:rsid w:val="00483409"/>
    <w:rsid w:val="004839BF"/>
    <w:rsid w:val="0048432E"/>
    <w:rsid w:val="00484DA0"/>
    <w:rsid w:val="00484FDB"/>
    <w:rsid w:val="00485079"/>
    <w:rsid w:val="00485288"/>
    <w:rsid w:val="00485402"/>
    <w:rsid w:val="004856E9"/>
    <w:rsid w:val="00486632"/>
    <w:rsid w:val="00486D19"/>
    <w:rsid w:val="00487695"/>
    <w:rsid w:val="00487CAA"/>
    <w:rsid w:val="00490625"/>
    <w:rsid w:val="0049073B"/>
    <w:rsid w:val="00491185"/>
    <w:rsid w:val="004913EC"/>
    <w:rsid w:val="00491A2D"/>
    <w:rsid w:val="00491B14"/>
    <w:rsid w:val="00492392"/>
    <w:rsid w:val="00492C04"/>
    <w:rsid w:val="0049567C"/>
    <w:rsid w:val="004959E8"/>
    <w:rsid w:val="00496EFF"/>
    <w:rsid w:val="004975FD"/>
    <w:rsid w:val="00497CCF"/>
    <w:rsid w:val="004A004D"/>
    <w:rsid w:val="004A0949"/>
    <w:rsid w:val="004A0C7C"/>
    <w:rsid w:val="004A30C9"/>
    <w:rsid w:val="004A3CA9"/>
    <w:rsid w:val="004A61DF"/>
    <w:rsid w:val="004A6410"/>
    <w:rsid w:val="004A6FC1"/>
    <w:rsid w:val="004B0CA1"/>
    <w:rsid w:val="004B24C4"/>
    <w:rsid w:val="004B24E6"/>
    <w:rsid w:val="004B2790"/>
    <w:rsid w:val="004B3302"/>
    <w:rsid w:val="004B45D1"/>
    <w:rsid w:val="004B4F95"/>
    <w:rsid w:val="004B51A9"/>
    <w:rsid w:val="004B5E55"/>
    <w:rsid w:val="004B67B2"/>
    <w:rsid w:val="004C0A8D"/>
    <w:rsid w:val="004C0C74"/>
    <w:rsid w:val="004C1091"/>
    <w:rsid w:val="004C14EB"/>
    <w:rsid w:val="004C15D8"/>
    <w:rsid w:val="004C18AE"/>
    <w:rsid w:val="004C2DBF"/>
    <w:rsid w:val="004C4B13"/>
    <w:rsid w:val="004C5738"/>
    <w:rsid w:val="004C5A33"/>
    <w:rsid w:val="004C5E8E"/>
    <w:rsid w:val="004C5F25"/>
    <w:rsid w:val="004C63C9"/>
    <w:rsid w:val="004C6ED5"/>
    <w:rsid w:val="004C76A8"/>
    <w:rsid w:val="004D02AE"/>
    <w:rsid w:val="004D05B5"/>
    <w:rsid w:val="004D2044"/>
    <w:rsid w:val="004D2A53"/>
    <w:rsid w:val="004D35AE"/>
    <w:rsid w:val="004D4098"/>
    <w:rsid w:val="004D414E"/>
    <w:rsid w:val="004D489D"/>
    <w:rsid w:val="004D6239"/>
    <w:rsid w:val="004D647D"/>
    <w:rsid w:val="004D66A3"/>
    <w:rsid w:val="004D69A0"/>
    <w:rsid w:val="004D6FBF"/>
    <w:rsid w:val="004D76EB"/>
    <w:rsid w:val="004E0D94"/>
    <w:rsid w:val="004E0F7D"/>
    <w:rsid w:val="004E0F98"/>
    <w:rsid w:val="004E1F67"/>
    <w:rsid w:val="004E2088"/>
    <w:rsid w:val="004E2784"/>
    <w:rsid w:val="004E37EA"/>
    <w:rsid w:val="004E37F2"/>
    <w:rsid w:val="004E44B4"/>
    <w:rsid w:val="004E5D6E"/>
    <w:rsid w:val="004E6081"/>
    <w:rsid w:val="004E78EA"/>
    <w:rsid w:val="004E7F58"/>
    <w:rsid w:val="004F0773"/>
    <w:rsid w:val="004F1BC2"/>
    <w:rsid w:val="004F2F9B"/>
    <w:rsid w:val="004F3331"/>
    <w:rsid w:val="004F3819"/>
    <w:rsid w:val="004F41F2"/>
    <w:rsid w:val="004F4839"/>
    <w:rsid w:val="004F49EA"/>
    <w:rsid w:val="004F4A82"/>
    <w:rsid w:val="004F7E49"/>
    <w:rsid w:val="005010D9"/>
    <w:rsid w:val="00501B43"/>
    <w:rsid w:val="00501D35"/>
    <w:rsid w:val="00502600"/>
    <w:rsid w:val="00502EA3"/>
    <w:rsid w:val="0050333C"/>
    <w:rsid w:val="00503FB1"/>
    <w:rsid w:val="00505121"/>
    <w:rsid w:val="005055A8"/>
    <w:rsid w:val="005068D7"/>
    <w:rsid w:val="005069AA"/>
    <w:rsid w:val="0050700F"/>
    <w:rsid w:val="005071A4"/>
    <w:rsid w:val="00507D34"/>
    <w:rsid w:val="00511099"/>
    <w:rsid w:val="005116C2"/>
    <w:rsid w:val="005118A7"/>
    <w:rsid w:val="00511984"/>
    <w:rsid w:val="00511DD2"/>
    <w:rsid w:val="0051314C"/>
    <w:rsid w:val="00513E9B"/>
    <w:rsid w:val="00514292"/>
    <w:rsid w:val="0051473A"/>
    <w:rsid w:val="00514F3E"/>
    <w:rsid w:val="00515B9B"/>
    <w:rsid w:val="00516056"/>
    <w:rsid w:val="0051624F"/>
    <w:rsid w:val="00516AD9"/>
    <w:rsid w:val="00517774"/>
    <w:rsid w:val="00517F01"/>
    <w:rsid w:val="00520223"/>
    <w:rsid w:val="00520918"/>
    <w:rsid w:val="00520A81"/>
    <w:rsid w:val="00520FDB"/>
    <w:rsid w:val="0052114D"/>
    <w:rsid w:val="005212ED"/>
    <w:rsid w:val="00521959"/>
    <w:rsid w:val="005219FD"/>
    <w:rsid w:val="00521D32"/>
    <w:rsid w:val="00522D8E"/>
    <w:rsid w:val="00522EEE"/>
    <w:rsid w:val="00524AED"/>
    <w:rsid w:val="00525A32"/>
    <w:rsid w:val="00525A99"/>
    <w:rsid w:val="00526133"/>
    <w:rsid w:val="005269AA"/>
    <w:rsid w:val="00526AA3"/>
    <w:rsid w:val="005305D3"/>
    <w:rsid w:val="00530EFD"/>
    <w:rsid w:val="00533086"/>
    <w:rsid w:val="005334FE"/>
    <w:rsid w:val="00533535"/>
    <w:rsid w:val="00533738"/>
    <w:rsid w:val="0053384E"/>
    <w:rsid w:val="00533F0A"/>
    <w:rsid w:val="0053438E"/>
    <w:rsid w:val="005344C4"/>
    <w:rsid w:val="00534D1D"/>
    <w:rsid w:val="00536A52"/>
    <w:rsid w:val="00540373"/>
    <w:rsid w:val="005406B1"/>
    <w:rsid w:val="00541CFE"/>
    <w:rsid w:val="00541D13"/>
    <w:rsid w:val="00542077"/>
    <w:rsid w:val="00542FB8"/>
    <w:rsid w:val="00545DE3"/>
    <w:rsid w:val="005478BB"/>
    <w:rsid w:val="00550A94"/>
    <w:rsid w:val="00552322"/>
    <w:rsid w:val="0055256B"/>
    <w:rsid w:val="00554255"/>
    <w:rsid w:val="00555256"/>
    <w:rsid w:val="005562B7"/>
    <w:rsid w:val="00556783"/>
    <w:rsid w:val="005569B7"/>
    <w:rsid w:val="00557F65"/>
    <w:rsid w:val="005612B8"/>
    <w:rsid w:val="005617BA"/>
    <w:rsid w:val="00564FD8"/>
    <w:rsid w:val="00565111"/>
    <w:rsid w:val="0056554D"/>
    <w:rsid w:val="00570F35"/>
    <w:rsid w:val="0057114B"/>
    <w:rsid w:val="00571645"/>
    <w:rsid w:val="00572356"/>
    <w:rsid w:val="00572386"/>
    <w:rsid w:val="00573F95"/>
    <w:rsid w:val="00574178"/>
    <w:rsid w:val="00574545"/>
    <w:rsid w:val="00576B22"/>
    <w:rsid w:val="00576C03"/>
    <w:rsid w:val="005770BD"/>
    <w:rsid w:val="00577DEB"/>
    <w:rsid w:val="00580753"/>
    <w:rsid w:val="005809A9"/>
    <w:rsid w:val="00580F14"/>
    <w:rsid w:val="0058196F"/>
    <w:rsid w:val="00581D02"/>
    <w:rsid w:val="00581D9E"/>
    <w:rsid w:val="005827AC"/>
    <w:rsid w:val="00584C43"/>
    <w:rsid w:val="00585524"/>
    <w:rsid w:val="0058657F"/>
    <w:rsid w:val="00587124"/>
    <w:rsid w:val="00590A39"/>
    <w:rsid w:val="0059175B"/>
    <w:rsid w:val="0059378D"/>
    <w:rsid w:val="005974BE"/>
    <w:rsid w:val="005976F2"/>
    <w:rsid w:val="00597BCA"/>
    <w:rsid w:val="005A00B4"/>
    <w:rsid w:val="005A014B"/>
    <w:rsid w:val="005A0971"/>
    <w:rsid w:val="005A2099"/>
    <w:rsid w:val="005A237B"/>
    <w:rsid w:val="005A3010"/>
    <w:rsid w:val="005A469A"/>
    <w:rsid w:val="005A5025"/>
    <w:rsid w:val="005A5254"/>
    <w:rsid w:val="005A5AF6"/>
    <w:rsid w:val="005A74B4"/>
    <w:rsid w:val="005A7E14"/>
    <w:rsid w:val="005B0283"/>
    <w:rsid w:val="005B2971"/>
    <w:rsid w:val="005B2B59"/>
    <w:rsid w:val="005B364E"/>
    <w:rsid w:val="005B5C34"/>
    <w:rsid w:val="005B62DF"/>
    <w:rsid w:val="005B6C8D"/>
    <w:rsid w:val="005B6D9F"/>
    <w:rsid w:val="005B79ED"/>
    <w:rsid w:val="005B7DE3"/>
    <w:rsid w:val="005B7E9F"/>
    <w:rsid w:val="005C077A"/>
    <w:rsid w:val="005C0B92"/>
    <w:rsid w:val="005C0FD1"/>
    <w:rsid w:val="005C1DE3"/>
    <w:rsid w:val="005C20AB"/>
    <w:rsid w:val="005C2AD5"/>
    <w:rsid w:val="005C2D4C"/>
    <w:rsid w:val="005C43D1"/>
    <w:rsid w:val="005C4683"/>
    <w:rsid w:val="005C50C4"/>
    <w:rsid w:val="005C51EB"/>
    <w:rsid w:val="005C59AF"/>
    <w:rsid w:val="005C60F7"/>
    <w:rsid w:val="005C6A37"/>
    <w:rsid w:val="005C7006"/>
    <w:rsid w:val="005C7037"/>
    <w:rsid w:val="005C7ADF"/>
    <w:rsid w:val="005D0D3D"/>
    <w:rsid w:val="005D34CD"/>
    <w:rsid w:val="005D3E49"/>
    <w:rsid w:val="005D424B"/>
    <w:rsid w:val="005D4E48"/>
    <w:rsid w:val="005D52BA"/>
    <w:rsid w:val="005D6FF0"/>
    <w:rsid w:val="005D7239"/>
    <w:rsid w:val="005D7407"/>
    <w:rsid w:val="005E10FE"/>
    <w:rsid w:val="005E1E18"/>
    <w:rsid w:val="005E1EA3"/>
    <w:rsid w:val="005E1F95"/>
    <w:rsid w:val="005E228F"/>
    <w:rsid w:val="005E2BF0"/>
    <w:rsid w:val="005E2EDA"/>
    <w:rsid w:val="005E3920"/>
    <w:rsid w:val="005E53E2"/>
    <w:rsid w:val="005E552D"/>
    <w:rsid w:val="005E6C7E"/>
    <w:rsid w:val="005F0112"/>
    <w:rsid w:val="005F076A"/>
    <w:rsid w:val="005F0D6E"/>
    <w:rsid w:val="005F0DF0"/>
    <w:rsid w:val="005F1717"/>
    <w:rsid w:val="005F1AA4"/>
    <w:rsid w:val="005F1E0F"/>
    <w:rsid w:val="005F1ECE"/>
    <w:rsid w:val="005F2CE4"/>
    <w:rsid w:val="005F596A"/>
    <w:rsid w:val="005F62A8"/>
    <w:rsid w:val="005F6897"/>
    <w:rsid w:val="005F6CBB"/>
    <w:rsid w:val="005F7331"/>
    <w:rsid w:val="005F7BAB"/>
    <w:rsid w:val="005F7E63"/>
    <w:rsid w:val="006001C4"/>
    <w:rsid w:val="006003ED"/>
    <w:rsid w:val="00602002"/>
    <w:rsid w:val="0060247E"/>
    <w:rsid w:val="00603551"/>
    <w:rsid w:val="0060363B"/>
    <w:rsid w:val="006037BF"/>
    <w:rsid w:val="00603EA6"/>
    <w:rsid w:val="006041BC"/>
    <w:rsid w:val="006050D2"/>
    <w:rsid w:val="00605334"/>
    <w:rsid w:val="006058B7"/>
    <w:rsid w:val="00605B7C"/>
    <w:rsid w:val="00605EC1"/>
    <w:rsid w:val="0060617F"/>
    <w:rsid w:val="00611206"/>
    <w:rsid w:val="00611722"/>
    <w:rsid w:val="0061250A"/>
    <w:rsid w:val="006128A1"/>
    <w:rsid w:val="006135AE"/>
    <w:rsid w:val="00613BE9"/>
    <w:rsid w:val="00614CC6"/>
    <w:rsid w:val="0061518A"/>
    <w:rsid w:val="00615709"/>
    <w:rsid w:val="0061759E"/>
    <w:rsid w:val="006178C7"/>
    <w:rsid w:val="0062047C"/>
    <w:rsid w:val="00623CA8"/>
    <w:rsid w:val="00623D89"/>
    <w:rsid w:val="00624E0A"/>
    <w:rsid w:val="00627205"/>
    <w:rsid w:val="00627285"/>
    <w:rsid w:val="00630139"/>
    <w:rsid w:val="0063032A"/>
    <w:rsid w:val="0063060F"/>
    <w:rsid w:val="00630D9D"/>
    <w:rsid w:val="00632676"/>
    <w:rsid w:val="00634DEC"/>
    <w:rsid w:val="00635F8A"/>
    <w:rsid w:val="00636625"/>
    <w:rsid w:val="0063754A"/>
    <w:rsid w:val="00637CB9"/>
    <w:rsid w:val="00640CEF"/>
    <w:rsid w:val="006410F8"/>
    <w:rsid w:val="006411D6"/>
    <w:rsid w:val="00641D33"/>
    <w:rsid w:val="00642169"/>
    <w:rsid w:val="00645977"/>
    <w:rsid w:val="00646579"/>
    <w:rsid w:val="00650B7A"/>
    <w:rsid w:val="0065128C"/>
    <w:rsid w:val="006512CD"/>
    <w:rsid w:val="00652BE5"/>
    <w:rsid w:val="00653269"/>
    <w:rsid w:val="00653537"/>
    <w:rsid w:val="00653853"/>
    <w:rsid w:val="00654DBD"/>
    <w:rsid w:val="006552A0"/>
    <w:rsid w:val="00656D95"/>
    <w:rsid w:val="006600A4"/>
    <w:rsid w:val="00661228"/>
    <w:rsid w:val="006620DF"/>
    <w:rsid w:val="006623DC"/>
    <w:rsid w:val="0066284F"/>
    <w:rsid w:val="00663449"/>
    <w:rsid w:val="006642A5"/>
    <w:rsid w:val="00664607"/>
    <w:rsid w:val="00665193"/>
    <w:rsid w:val="00665564"/>
    <w:rsid w:val="00665B7D"/>
    <w:rsid w:val="006677EB"/>
    <w:rsid w:val="006719AD"/>
    <w:rsid w:val="00671C27"/>
    <w:rsid w:val="00672C80"/>
    <w:rsid w:val="00673016"/>
    <w:rsid w:val="0067485F"/>
    <w:rsid w:val="006749AF"/>
    <w:rsid w:val="00674E91"/>
    <w:rsid w:val="00676909"/>
    <w:rsid w:val="00676DDE"/>
    <w:rsid w:val="00677521"/>
    <w:rsid w:val="006832A7"/>
    <w:rsid w:val="00683EC8"/>
    <w:rsid w:val="00684453"/>
    <w:rsid w:val="0068484C"/>
    <w:rsid w:val="0068655D"/>
    <w:rsid w:val="00686F2F"/>
    <w:rsid w:val="0069072E"/>
    <w:rsid w:val="0069129E"/>
    <w:rsid w:val="00691404"/>
    <w:rsid w:val="00692942"/>
    <w:rsid w:val="00693877"/>
    <w:rsid w:val="00693C4C"/>
    <w:rsid w:val="00695212"/>
    <w:rsid w:val="0069566D"/>
    <w:rsid w:val="00696135"/>
    <w:rsid w:val="00696C0D"/>
    <w:rsid w:val="00697217"/>
    <w:rsid w:val="00697546"/>
    <w:rsid w:val="006979AB"/>
    <w:rsid w:val="00697C29"/>
    <w:rsid w:val="006A19D2"/>
    <w:rsid w:val="006A1D87"/>
    <w:rsid w:val="006A2408"/>
    <w:rsid w:val="006A3455"/>
    <w:rsid w:val="006A397C"/>
    <w:rsid w:val="006A4029"/>
    <w:rsid w:val="006A71C1"/>
    <w:rsid w:val="006A7A35"/>
    <w:rsid w:val="006B1098"/>
    <w:rsid w:val="006B1336"/>
    <w:rsid w:val="006B212C"/>
    <w:rsid w:val="006B245F"/>
    <w:rsid w:val="006B2599"/>
    <w:rsid w:val="006B2ED3"/>
    <w:rsid w:val="006B4B58"/>
    <w:rsid w:val="006B5DD7"/>
    <w:rsid w:val="006B66D5"/>
    <w:rsid w:val="006C045B"/>
    <w:rsid w:val="006C0B1E"/>
    <w:rsid w:val="006C0D3A"/>
    <w:rsid w:val="006C1216"/>
    <w:rsid w:val="006C38C8"/>
    <w:rsid w:val="006C3948"/>
    <w:rsid w:val="006C3A43"/>
    <w:rsid w:val="006C45B4"/>
    <w:rsid w:val="006C4C4C"/>
    <w:rsid w:val="006C63C9"/>
    <w:rsid w:val="006C6448"/>
    <w:rsid w:val="006C6821"/>
    <w:rsid w:val="006C6BB2"/>
    <w:rsid w:val="006D1BAD"/>
    <w:rsid w:val="006D1E9C"/>
    <w:rsid w:val="006D3233"/>
    <w:rsid w:val="006D4554"/>
    <w:rsid w:val="006D46DF"/>
    <w:rsid w:val="006D4883"/>
    <w:rsid w:val="006D4E75"/>
    <w:rsid w:val="006D5EB4"/>
    <w:rsid w:val="006D6E04"/>
    <w:rsid w:val="006E120D"/>
    <w:rsid w:val="006E1605"/>
    <w:rsid w:val="006E3249"/>
    <w:rsid w:val="006E6F1A"/>
    <w:rsid w:val="006F00C3"/>
    <w:rsid w:val="006F0A3B"/>
    <w:rsid w:val="006F1415"/>
    <w:rsid w:val="006F2C38"/>
    <w:rsid w:val="006F3006"/>
    <w:rsid w:val="006F5705"/>
    <w:rsid w:val="006F5A64"/>
    <w:rsid w:val="006F5DD4"/>
    <w:rsid w:val="006F5F0D"/>
    <w:rsid w:val="006F7EBA"/>
    <w:rsid w:val="00700860"/>
    <w:rsid w:val="00700C4B"/>
    <w:rsid w:val="00700D30"/>
    <w:rsid w:val="007011C6"/>
    <w:rsid w:val="0070159E"/>
    <w:rsid w:val="00701BCB"/>
    <w:rsid w:val="00703625"/>
    <w:rsid w:val="00703900"/>
    <w:rsid w:val="00703D11"/>
    <w:rsid w:val="00704D11"/>
    <w:rsid w:val="00704FC0"/>
    <w:rsid w:val="007058A3"/>
    <w:rsid w:val="0070631D"/>
    <w:rsid w:val="00706B42"/>
    <w:rsid w:val="0071057D"/>
    <w:rsid w:val="00712CE3"/>
    <w:rsid w:val="007134A1"/>
    <w:rsid w:val="00713628"/>
    <w:rsid w:val="007141D4"/>
    <w:rsid w:val="007144C5"/>
    <w:rsid w:val="00714EF4"/>
    <w:rsid w:val="007152BE"/>
    <w:rsid w:val="0071591B"/>
    <w:rsid w:val="00716DAA"/>
    <w:rsid w:val="00717866"/>
    <w:rsid w:val="007212A9"/>
    <w:rsid w:val="007227C6"/>
    <w:rsid w:val="00722ED6"/>
    <w:rsid w:val="007240C7"/>
    <w:rsid w:val="007242FD"/>
    <w:rsid w:val="00725375"/>
    <w:rsid w:val="00725AC3"/>
    <w:rsid w:val="00725B67"/>
    <w:rsid w:val="007260B5"/>
    <w:rsid w:val="00726149"/>
    <w:rsid w:val="00727FD1"/>
    <w:rsid w:val="0073015A"/>
    <w:rsid w:val="00730380"/>
    <w:rsid w:val="00732801"/>
    <w:rsid w:val="0073362A"/>
    <w:rsid w:val="007336E1"/>
    <w:rsid w:val="00734013"/>
    <w:rsid w:val="007343EF"/>
    <w:rsid w:val="00734B6D"/>
    <w:rsid w:val="00736745"/>
    <w:rsid w:val="007370E5"/>
    <w:rsid w:val="0073725B"/>
    <w:rsid w:val="007374E6"/>
    <w:rsid w:val="007376A5"/>
    <w:rsid w:val="00737F7E"/>
    <w:rsid w:val="00740C21"/>
    <w:rsid w:val="007410F9"/>
    <w:rsid w:val="007413C6"/>
    <w:rsid w:val="00741AC1"/>
    <w:rsid w:val="00741FED"/>
    <w:rsid w:val="00743016"/>
    <w:rsid w:val="007445CF"/>
    <w:rsid w:val="0074593F"/>
    <w:rsid w:val="00745ED5"/>
    <w:rsid w:val="007460CF"/>
    <w:rsid w:val="00746FE8"/>
    <w:rsid w:val="00747101"/>
    <w:rsid w:val="007475DD"/>
    <w:rsid w:val="00750B71"/>
    <w:rsid w:val="007527B3"/>
    <w:rsid w:val="00752A52"/>
    <w:rsid w:val="007537AA"/>
    <w:rsid w:val="00753C70"/>
    <w:rsid w:val="00753CDD"/>
    <w:rsid w:val="007553BE"/>
    <w:rsid w:val="007567BE"/>
    <w:rsid w:val="00756C20"/>
    <w:rsid w:val="00757BE6"/>
    <w:rsid w:val="007628BE"/>
    <w:rsid w:val="0076305E"/>
    <w:rsid w:val="00763FA8"/>
    <w:rsid w:val="00764155"/>
    <w:rsid w:val="00764995"/>
    <w:rsid w:val="00765CFA"/>
    <w:rsid w:val="00767A8A"/>
    <w:rsid w:val="00767CA8"/>
    <w:rsid w:val="00767DFE"/>
    <w:rsid w:val="007706C5"/>
    <w:rsid w:val="00771976"/>
    <w:rsid w:val="00771BC0"/>
    <w:rsid w:val="00771E0E"/>
    <w:rsid w:val="00772C92"/>
    <w:rsid w:val="00773E14"/>
    <w:rsid w:val="007748D4"/>
    <w:rsid w:val="00775093"/>
    <w:rsid w:val="0077638B"/>
    <w:rsid w:val="00776A6E"/>
    <w:rsid w:val="00776B89"/>
    <w:rsid w:val="0077706D"/>
    <w:rsid w:val="007775C3"/>
    <w:rsid w:val="007775F8"/>
    <w:rsid w:val="00777A2F"/>
    <w:rsid w:val="00780349"/>
    <w:rsid w:val="007803CA"/>
    <w:rsid w:val="007808EE"/>
    <w:rsid w:val="00780D24"/>
    <w:rsid w:val="007819BA"/>
    <w:rsid w:val="007825DA"/>
    <w:rsid w:val="00782AF0"/>
    <w:rsid w:val="00783A9E"/>
    <w:rsid w:val="0078403B"/>
    <w:rsid w:val="00785D06"/>
    <w:rsid w:val="00785D15"/>
    <w:rsid w:val="00786E8A"/>
    <w:rsid w:val="00787DCF"/>
    <w:rsid w:val="00787EC4"/>
    <w:rsid w:val="00790525"/>
    <w:rsid w:val="00791043"/>
    <w:rsid w:val="00791111"/>
    <w:rsid w:val="00791209"/>
    <w:rsid w:val="00791E4F"/>
    <w:rsid w:val="0079263F"/>
    <w:rsid w:val="007934DB"/>
    <w:rsid w:val="00796105"/>
    <w:rsid w:val="007964A9"/>
    <w:rsid w:val="00796835"/>
    <w:rsid w:val="00796DD2"/>
    <w:rsid w:val="00797166"/>
    <w:rsid w:val="007A02ED"/>
    <w:rsid w:val="007A13F1"/>
    <w:rsid w:val="007A1BC8"/>
    <w:rsid w:val="007A279E"/>
    <w:rsid w:val="007A3BB4"/>
    <w:rsid w:val="007A487A"/>
    <w:rsid w:val="007A6234"/>
    <w:rsid w:val="007A65A2"/>
    <w:rsid w:val="007A73D6"/>
    <w:rsid w:val="007B0428"/>
    <w:rsid w:val="007B0833"/>
    <w:rsid w:val="007B0929"/>
    <w:rsid w:val="007B0A93"/>
    <w:rsid w:val="007B22D1"/>
    <w:rsid w:val="007B2519"/>
    <w:rsid w:val="007B2AA1"/>
    <w:rsid w:val="007B33E1"/>
    <w:rsid w:val="007B36A4"/>
    <w:rsid w:val="007B3F3A"/>
    <w:rsid w:val="007B5487"/>
    <w:rsid w:val="007B59C9"/>
    <w:rsid w:val="007B635E"/>
    <w:rsid w:val="007B64D1"/>
    <w:rsid w:val="007B6FC9"/>
    <w:rsid w:val="007B7553"/>
    <w:rsid w:val="007B79E3"/>
    <w:rsid w:val="007C0221"/>
    <w:rsid w:val="007C2BEB"/>
    <w:rsid w:val="007C2D5D"/>
    <w:rsid w:val="007C317A"/>
    <w:rsid w:val="007C3C70"/>
    <w:rsid w:val="007C441C"/>
    <w:rsid w:val="007C55DF"/>
    <w:rsid w:val="007C5744"/>
    <w:rsid w:val="007C5BC8"/>
    <w:rsid w:val="007C6350"/>
    <w:rsid w:val="007C6C76"/>
    <w:rsid w:val="007C6F97"/>
    <w:rsid w:val="007C702B"/>
    <w:rsid w:val="007C7741"/>
    <w:rsid w:val="007C788F"/>
    <w:rsid w:val="007C7ACC"/>
    <w:rsid w:val="007C7F1A"/>
    <w:rsid w:val="007D0847"/>
    <w:rsid w:val="007D0B2B"/>
    <w:rsid w:val="007D12CF"/>
    <w:rsid w:val="007D1FA6"/>
    <w:rsid w:val="007D246F"/>
    <w:rsid w:val="007D2A03"/>
    <w:rsid w:val="007D31E2"/>
    <w:rsid w:val="007D4439"/>
    <w:rsid w:val="007D533C"/>
    <w:rsid w:val="007D6A51"/>
    <w:rsid w:val="007D79D3"/>
    <w:rsid w:val="007E038F"/>
    <w:rsid w:val="007E0EA0"/>
    <w:rsid w:val="007E141F"/>
    <w:rsid w:val="007E249E"/>
    <w:rsid w:val="007E51B5"/>
    <w:rsid w:val="007E6951"/>
    <w:rsid w:val="007F064B"/>
    <w:rsid w:val="007F399A"/>
    <w:rsid w:val="007F4E1D"/>
    <w:rsid w:val="007F5FCB"/>
    <w:rsid w:val="007F68F6"/>
    <w:rsid w:val="007F7277"/>
    <w:rsid w:val="007F7BE8"/>
    <w:rsid w:val="0080034E"/>
    <w:rsid w:val="00800716"/>
    <w:rsid w:val="008008F5"/>
    <w:rsid w:val="00801ADF"/>
    <w:rsid w:val="008026C5"/>
    <w:rsid w:val="0080277C"/>
    <w:rsid w:val="0080437E"/>
    <w:rsid w:val="00804A23"/>
    <w:rsid w:val="00804CA4"/>
    <w:rsid w:val="00804DF6"/>
    <w:rsid w:val="008058D6"/>
    <w:rsid w:val="00806492"/>
    <w:rsid w:val="00806E5D"/>
    <w:rsid w:val="00807172"/>
    <w:rsid w:val="008105B8"/>
    <w:rsid w:val="00810B49"/>
    <w:rsid w:val="00811015"/>
    <w:rsid w:val="0081288D"/>
    <w:rsid w:val="008130AF"/>
    <w:rsid w:val="00813518"/>
    <w:rsid w:val="00813F9B"/>
    <w:rsid w:val="00817424"/>
    <w:rsid w:val="00820879"/>
    <w:rsid w:val="00820FFC"/>
    <w:rsid w:val="008215D6"/>
    <w:rsid w:val="0082192E"/>
    <w:rsid w:val="00822E46"/>
    <w:rsid w:val="00823FE9"/>
    <w:rsid w:val="008245B8"/>
    <w:rsid w:val="00824AF9"/>
    <w:rsid w:val="00824CEA"/>
    <w:rsid w:val="00824EAB"/>
    <w:rsid w:val="00825248"/>
    <w:rsid w:val="00826456"/>
    <w:rsid w:val="00827117"/>
    <w:rsid w:val="008275C1"/>
    <w:rsid w:val="00827D8A"/>
    <w:rsid w:val="00827DD7"/>
    <w:rsid w:val="008302BC"/>
    <w:rsid w:val="0083033D"/>
    <w:rsid w:val="00830727"/>
    <w:rsid w:val="00831519"/>
    <w:rsid w:val="008331C6"/>
    <w:rsid w:val="00833293"/>
    <w:rsid w:val="00833627"/>
    <w:rsid w:val="00833A57"/>
    <w:rsid w:val="00834F12"/>
    <w:rsid w:val="0083588D"/>
    <w:rsid w:val="0083658E"/>
    <w:rsid w:val="00836646"/>
    <w:rsid w:val="00837E78"/>
    <w:rsid w:val="00840635"/>
    <w:rsid w:val="008407C4"/>
    <w:rsid w:val="00840A58"/>
    <w:rsid w:val="0084346D"/>
    <w:rsid w:val="00844809"/>
    <w:rsid w:val="00844B93"/>
    <w:rsid w:val="00844BE1"/>
    <w:rsid w:val="00845028"/>
    <w:rsid w:val="00845BAF"/>
    <w:rsid w:val="0084798F"/>
    <w:rsid w:val="00847A90"/>
    <w:rsid w:val="00847C5B"/>
    <w:rsid w:val="00851002"/>
    <w:rsid w:val="00851654"/>
    <w:rsid w:val="00851BEB"/>
    <w:rsid w:val="00851FEB"/>
    <w:rsid w:val="00852653"/>
    <w:rsid w:val="00852CBE"/>
    <w:rsid w:val="00852E93"/>
    <w:rsid w:val="00853385"/>
    <w:rsid w:val="0085347A"/>
    <w:rsid w:val="00854F37"/>
    <w:rsid w:val="0085516A"/>
    <w:rsid w:val="008566A2"/>
    <w:rsid w:val="00857B74"/>
    <w:rsid w:val="00857EBC"/>
    <w:rsid w:val="00860CD9"/>
    <w:rsid w:val="00861278"/>
    <w:rsid w:val="0086273F"/>
    <w:rsid w:val="00862C7C"/>
    <w:rsid w:val="00863EE6"/>
    <w:rsid w:val="008652A4"/>
    <w:rsid w:val="0086547E"/>
    <w:rsid w:val="008663B1"/>
    <w:rsid w:val="008665FF"/>
    <w:rsid w:val="00866A63"/>
    <w:rsid w:val="00866DE8"/>
    <w:rsid w:val="00867297"/>
    <w:rsid w:val="00867EA0"/>
    <w:rsid w:val="00870557"/>
    <w:rsid w:val="00870C43"/>
    <w:rsid w:val="00870EEB"/>
    <w:rsid w:val="0087123E"/>
    <w:rsid w:val="00872257"/>
    <w:rsid w:val="00872631"/>
    <w:rsid w:val="00873B16"/>
    <w:rsid w:val="00874D52"/>
    <w:rsid w:val="00874D85"/>
    <w:rsid w:val="00874F32"/>
    <w:rsid w:val="00875B08"/>
    <w:rsid w:val="0087609F"/>
    <w:rsid w:val="008766D1"/>
    <w:rsid w:val="00877FA5"/>
    <w:rsid w:val="008803BE"/>
    <w:rsid w:val="0088175F"/>
    <w:rsid w:val="00881D1E"/>
    <w:rsid w:val="00884254"/>
    <w:rsid w:val="00884754"/>
    <w:rsid w:val="00885E9D"/>
    <w:rsid w:val="008863F6"/>
    <w:rsid w:val="00886D1C"/>
    <w:rsid w:val="008872CE"/>
    <w:rsid w:val="00887925"/>
    <w:rsid w:val="00891CC3"/>
    <w:rsid w:val="008929C7"/>
    <w:rsid w:val="00892EE8"/>
    <w:rsid w:val="00893089"/>
    <w:rsid w:val="008A0688"/>
    <w:rsid w:val="008A077A"/>
    <w:rsid w:val="008A0A24"/>
    <w:rsid w:val="008A11E4"/>
    <w:rsid w:val="008A26FA"/>
    <w:rsid w:val="008A28E3"/>
    <w:rsid w:val="008A2E0D"/>
    <w:rsid w:val="008A2E50"/>
    <w:rsid w:val="008A4F7A"/>
    <w:rsid w:val="008A5104"/>
    <w:rsid w:val="008A5BB6"/>
    <w:rsid w:val="008A5D1E"/>
    <w:rsid w:val="008A621B"/>
    <w:rsid w:val="008B0D4C"/>
    <w:rsid w:val="008B11B5"/>
    <w:rsid w:val="008B1412"/>
    <w:rsid w:val="008B1A6F"/>
    <w:rsid w:val="008B270A"/>
    <w:rsid w:val="008B2E36"/>
    <w:rsid w:val="008B3F8C"/>
    <w:rsid w:val="008B4596"/>
    <w:rsid w:val="008B4F8A"/>
    <w:rsid w:val="008B5092"/>
    <w:rsid w:val="008B52ED"/>
    <w:rsid w:val="008B5329"/>
    <w:rsid w:val="008B61CC"/>
    <w:rsid w:val="008B66F8"/>
    <w:rsid w:val="008B697C"/>
    <w:rsid w:val="008B6CB5"/>
    <w:rsid w:val="008B6E92"/>
    <w:rsid w:val="008B7340"/>
    <w:rsid w:val="008C00C1"/>
    <w:rsid w:val="008C071D"/>
    <w:rsid w:val="008C254B"/>
    <w:rsid w:val="008C32A4"/>
    <w:rsid w:val="008C683C"/>
    <w:rsid w:val="008C6909"/>
    <w:rsid w:val="008C6DC7"/>
    <w:rsid w:val="008C77B4"/>
    <w:rsid w:val="008D0E2E"/>
    <w:rsid w:val="008D176C"/>
    <w:rsid w:val="008D1C2C"/>
    <w:rsid w:val="008D1C4A"/>
    <w:rsid w:val="008D34B1"/>
    <w:rsid w:val="008D48C2"/>
    <w:rsid w:val="008D4B7A"/>
    <w:rsid w:val="008D63AA"/>
    <w:rsid w:val="008D732D"/>
    <w:rsid w:val="008D7702"/>
    <w:rsid w:val="008E10D2"/>
    <w:rsid w:val="008E157E"/>
    <w:rsid w:val="008E25D8"/>
    <w:rsid w:val="008E27B0"/>
    <w:rsid w:val="008E34FA"/>
    <w:rsid w:val="008E3739"/>
    <w:rsid w:val="008E512E"/>
    <w:rsid w:val="008E567B"/>
    <w:rsid w:val="008E5BCB"/>
    <w:rsid w:val="008F1045"/>
    <w:rsid w:val="008F1E04"/>
    <w:rsid w:val="008F2840"/>
    <w:rsid w:val="008F29B0"/>
    <w:rsid w:val="008F45AE"/>
    <w:rsid w:val="008F5535"/>
    <w:rsid w:val="008F5D20"/>
    <w:rsid w:val="008F64E4"/>
    <w:rsid w:val="008F7B0D"/>
    <w:rsid w:val="00901AFB"/>
    <w:rsid w:val="00901EB2"/>
    <w:rsid w:val="00903074"/>
    <w:rsid w:val="009044F5"/>
    <w:rsid w:val="0090491C"/>
    <w:rsid w:val="00905100"/>
    <w:rsid w:val="00905571"/>
    <w:rsid w:val="0090570D"/>
    <w:rsid w:val="00905A81"/>
    <w:rsid w:val="00907080"/>
    <w:rsid w:val="0090731A"/>
    <w:rsid w:val="00907B8E"/>
    <w:rsid w:val="00911FAD"/>
    <w:rsid w:val="0091266B"/>
    <w:rsid w:val="00913294"/>
    <w:rsid w:val="0091462B"/>
    <w:rsid w:val="009149DF"/>
    <w:rsid w:val="0091506E"/>
    <w:rsid w:val="00915779"/>
    <w:rsid w:val="00915852"/>
    <w:rsid w:val="009160F5"/>
    <w:rsid w:val="0091650B"/>
    <w:rsid w:val="00916731"/>
    <w:rsid w:val="00917C8B"/>
    <w:rsid w:val="00917CE5"/>
    <w:rsid w:val="00920B0A"/>
    <w:rsid w:val="00921143"/>
    <w:rsid w:val="009213EB"/>
    <w:rsid w:val="0092390F"/>
    <w:rsid w:val="00923BED"/>
    <w:rsid w:val="00923D88"/>
    <w:rsid w:val="0092411B"/>
    <w:rsid w:val="009244A8"/>
    <w:rsid w:val="00924977"/>
    <w:rsid w:val="00924C5C"/>
    <w:rsid w:val="00925AB6"/>
    <w:rsid w:val="009261B1"/>
    <w:rsid w:val="009274BA"/>
    <w:rsid w:val="00927603"/>
    <w:rsid w:val="00927CCF"/>
    <w:rsid w:val="0093011C"/>
    <w:rsid w:val="00930545"/>
    <w:rsid w:val="00930A06"/>
    <w:rsid w:val="009320D0"/>
    <w:rsid w:val="0093260A"/>
    <w:rsid w:val="00932714"/>
    <w:rsid w:val="009338C6"/>
    <w:rsid w:val="00934585"/>
    <w:rsid w:val="00935655"/>
    <w:rsid w:val="0093566D"/>
    <w:rsid w:val="00940F74"/>
    <w:rsid w:val="00941179"/>
    <w:rsid w:val="0094208B"/>
    <w:rsid w:val="0094265B"/>
    <w:rsid w:val="009429B1"/>
    <w:rsid w:val="00942C69"/>
    <w:rsid w:val="009435B4"/>
    <w:rsid w:val="009435C8"/>
    <w:rsid w:val="00943B30"/>
    <w:rsid w:val="00944E9B"/>
    <w:rsid w:val="00944F6C"/>
    <w:rsid w:val="0094514E"/>
    <w:rsid w:val="00945215"/>
    <w:rsid w:val="00945C0E"/>
    <w:rsid w:val="00947D7E"/>
    <w:rsid w:val="00951EF8"/>
    <w:rsid w:val="0095548D"/>
    <w:rsid w:val="009564D6"/>
    <w:rsid w:val="009569E6"/>
    <w:rsid w:val="00956DA1"/>
    <w:rsid w:val="0095708F"/>
    <w:rsid w:val="009572E1"/>
    <w:rsid w:val="009577E8"/>
    <w:rsid w:val="009578EE"/>
    <w:rsid w:val="00960811"/>
    <w:rsid w:val="009609E2"/>
    <w:rsid w:val="00960DDF"/>
    <w:rsid w:val="009612DE"/>
    <w:rsid w:val="009613FE"/>
    <w:rsid w:val="00961D1D"/>
    <w:rsid w:val="0096436E"/>
    <w:rsid w:val="00964500"/>
    <w:rsid w:val="00964790"/>
    <w:rsid w:val="00966AC8"/>
    <w:rsid w:val="00967ADC"/>
    <w:rsid w:val="00967D8E"/>
    <w:rsid w:val="009707E1"/>
    <w:rsid w:val="00970C03"/>
    <w:rsid w:val="009711AD"/>
    <w:rsid w:val="0097132F"/>
    <w:rsid w:val="009733D3"/>
    <w:rsid w:val="009739F0"/>
    <w:rsid w:val="00975594"/>
    <w:rsid w:val="00975941"/>
    <w:rsid w:val="0097670E"/>
    <w:rsid w:val="009774B1"/>
    <w:rsid w:val="00977548"/>
    <w:rsid w:val="00981BB6"/>
    <w:rsid w:val="00983AB9"/>
    <w:rsid w:val="00984253"/>
    <w:rsid w:val="009849E4"/>
    <w:rsid w:val="00985040"/>
    <w:rsid w:val="009853D4"/>
    <w:rsid w:val="009854F2"/>
    <w:rsid w:val="0098609A"/>
    <w:rsid w:val="009866A7"/>
    <w:rsid w:val="00986B9C"/>
    <w:rsid w:val="00986E6B"/>
    <w:rsid w:val="0098779D"/>
    <w:rsid w:val="00990020"/>
    <w:rsid w:val="00990176"/>
    <w:rsid w:val="0099075D"/>
    <w:rsid w:val="00990AEC"/>
    <w:rsid w:val="009912DA"/>
    <w:rsid w:val="009921D5"/>
    <w:rsid w:val="0099329F"/>
    <w:rsid w:val="00993979"/>
    <w:rsid w:val="0099507C"/>
    <w:rsid w:val="00995595"/>
    <w:rsid w:val="009956CF"/>
    <w:rsid w:val="00995C63"/>
    <w:rsid w:val="00996530"/>
    <w:rsid w:val="0099670C"/>
    <w:rsid w:val="009A0816"/>
    <w:rsid w:val="009A0CCD"/>
    <w:rsid w:val="009A140A"/>
    <w:rsid w:val="009A165A"/>
    <w:rsid w:val="009A1873"/>
    <w:rsid w:val="009A254B"/>
    <w:rsid w:val="009A2865"/>
    <w:rsid w:val="009A3506"/>
    <w:rsid w:val="009A3CA2"/>
    <w:rsid w:val="009A45BD"/>
    <w:rsid w:val="009A4B00"/>
    <w:rsid w:val="009A4E91"/>
    <w:rsid w:val="009A573D"/>
    <w:rsid w:val="009A5946"/>
    <w:rsid w:val="009A607C"/>
    <w:rsid w:val="009A6187"/>
    <w:rsid w:val="009A663F"/>
    <w:rsid w:val="009A6955"/>
    <w:rsid w:val="009A6A1D"/>
    <w:rsid w:val="009A72E4"/>
    <w:rsid w:val="009A72E7"/>
    <w:rsid w:val="009A7415"/>
    <w:rsid w:val="009B17D6"/>
    <w:rsid w:val="009B1F24"/>
    <w:rsid w:val="009B3034"/>
    <w:rsid w:val="009B303B"/>
    <w:rsid w:val="009B339B"/>
    <w:rsid w:val="009B3736"/>
    <w:rsid w:val="009B3F08"/>
    <w:rsid w:val="009B4538"/>
    <w:rsid w:val="009B480B"/>
    <w:rsid w:val="009B4817"/>
    <w:rsid w:val="009B6C1A"/>
    <w:rsid w:val="009B73AF"/>
    <w:rsid w:val="009B76C2"/>
    <w:rsid w:val="009C0991"/>
    <w:rsid w:val="009C1141"/>
    <w:rsid w:val="009C1D27"/>
    <w:rsid w:val="009C48D5"/>
    <w:rsid w:val="009C53FB"/>
    <w:rsid w:val="009D2A9E"/>
    <w:rsid w:val="009D347D"/>
    <w:rsid w:val="009D6482"/>
    <w:rsid w:val="009E02BE"/>
    <w:rsid w:val="009E1933"/>
    <w:rsid w:val="009E4214"/>
    <w:rsid w:val="009E4493"/>
    <w:rsid w:val="009E51B1"/>
    <w:rsid w:val="009E51DF"/>
    <w:rsid w:val="009E5C33"/>
    <w:rsid w:val="009E63B8"/>
    <w:rsid w:val="009E6C04"/>
    <w:rsid w:val="009E6E03"/>
    <w:rsid w:val="009E7353"/>
    <w:rsid w:val="009E7CE6"/>
    <w:rsid w:val="009F01A3"/>
    <w:rsid w:val="009F074B"/>
    <w:rsid w:val="009F1BA2"/>
    <w:rsid w:val="009F5F6B"/>
    <w:rsid w:val="009F6F3C"/>
    <w:rsid w:val="009F7A18"/>
    <w:rsid w:val="009F7EEB"/>
    <w:rsid w:val="00A0020E"/>
    <w:rsid w:val="00A02AA4"/>
    <w:rsid w:val="00A03449"/>
    <w:rsid w:val="00A04FB2"/>
    <w:rsid w:val="00A053E6"/>
    <w:rsid w:val="00A0559A"/>
    <w:rsid w:val="00A059EF"/>
    <w:rsid w:val="00A07606"/>
    <w:rsid w:val="00A07D42"/>
    <w:rsid w:val="00A1080B"/>
    <w:rsid w:val="00A1164F"/>
    <w:rsid w:val="00A124E1"/>
    <w:rsid w:val="00A13218"/>
    <w:rsid w:val="00A137D9"/>
    <w:rsid w:val="00A14391"/>
    <w:rsid w:val="00A15C0C"/>
    <w:rsid w:val="00A1697E"/>
    <w:rsid w:val="00A16D96"/>
    <w:rsid w:val="00A16F1A"/>
    <w:rsid w:val="00A17142"/>
    <w:rsid w:val="00A172B8"/>
    <w:rsid w:val="00A17728"/>
    <w:rsid w:val="00A17789"/>
    <w:rsid w:val="00A2048A"/>
    <w:rsid w:val="00A21223"/>
    <w:rsid w:val="00A22B35"/>
    <w:rsid w:val="00A230EE"/>
    <w:rsid w:val="00A233D4"/>
    <w:rsid w:val="00A235F3"/>
    <w:rsid w:val="00A2393C"/>
    <w:rsid w:val="00A24232"/>
    <w:rsid w:val="00A247CE"/>
    <w:rsid w:val="00A27642"/>
    <w:rsid w:val="00A277C7"/>
    <w:rsid w:val="00A30B02"/>
    <w:rsid w:val="00A3185F"/>
    <w:rsid w:val="00A3212F"/>
    <w:rsid w:val="00A3216B"/>
    <w:rsid w:val="00A322C7"/>
    <w:rsid w:val="00A32446"/>
    <w:rsid w:val="00A32733"/>
    <w:rsid w:val="00A32853"/>
    <w:rsid w:val="00A32910"/>
    <w:rsid w:val="00A32B11"/>
    <w:rsid w:val="00A33D7C"/>
    <w:rsid w:val="00A33EAA"/>
    <w:rsid w:val="00A34D7F"/>
    <w:rsid w:val="00A35350"/>
    <w:rsid w:val="00A3584E"/>
    <w:rsid w:val="00A35AE1"/>
    <w:rsid w:val="00A37523"/>
    <w:rsid w:val="00A4039D"/>
    <w:rsid w:val="00A405BA"/>
    <w:rsid w:val="00A41F19"/>
    <w:rsid w:val="00A425D8"/>
    <w:rsid w:val="00A428D6"/>
    <w:rsid w:val="00A42C91"/>
    <w:rsid w:val="00A42D95"/>
    <w:rsid w:val="00A43369"/>
    <w:rsid w:val="00A438AF"/>
    <w:rsid w:val="00A45ACC"/>
    <w:rsid w:val="00A46215"/>
    <w:rsid w:val="00A4799C"/>
    <w:rsid w:val="00A47ADA"/>
    <w:rsid w:val="00A50942"/>
    <w:rsid w:val="00A50F56"/>
    <w:rsid w:val="00A51B37"/>
    <w:rsid w:val="00A526E7"/>
    <w:rsid w:val="00A54298"/>
    <w:rsid w:val="00A54FA1"/>
    <w:rsid w:val="00A55F8B"/>
    <w:rsid w:val="00A566ED"/>
    <w:rsid w:val="00A60A63"/>
    <w:rsid w:val="00A61385"/>
    <w:rsid w:val="00A62450"/>
    <w:rsid w:val="00A6313E"/>
    <w:rsid w:val="00A65007"/>
    <w:rsid w:val="00A65295"/>
    <w:rsid w:val="00A66D03"/>
    <w:rsid w:val="00A67021"/>
    <w:rsid w:val="00A706BE"/>
    <w:rsid w:val="00A7174E"/>
    <w:rsid w:val="00A717E1"/>
    <w:rsid w:val="00A71851"/>
    <w:rsid w:val="00A72327"/>
    <w:rsid w:val="00A72A88"/>
    <w:rsid w:val="00A72B3D"/>
    <w:rsid w:val="00A7306C"/>
    <w:rsid w:val="00A73958"/>
    <w:rsid w:val="00A74EBE"/>
    <w:rsid w:val="00A75278"/>
    <w:rsid w:val="00A7565C"/>
    <w:rsid w:val="00A76084"/>
    <w:rsid w:val="00A765BC"/>
    <w:rsid w:val="00A77762"/>
    <w:rsid w:val="00A817BB"/>
    <w:rsid w:val="00A81A17"/>
    <w:rsid w:val="00A82C43"/>
    <w:rsid w:val="00A830FD"/>
    <w:rsid w:val="00A839B7"/>
    <w:rsid w:val="00A853F2"/>
    <w:rsid w:val="00A85896"/>
    <w:rsid w:val="00A8599C"/>
    <w:rsid w:val="00A8670A"/>
    <w:rsid w:val="00A86857"/>
    <w:rsid w:val="00A9078B"/>
    <w:rsid w:val="00A91125"/>
    <w:rsid w:val="00A9146D"/>
    <w:rsid w:val="00A91A97"/>
    <w:rsid w:val="00A92BA0"/>
    <w:rsid w:val="00A93531"/>
    <w:rsid w:val="00A9433F"/>
    <w:rsid w:val="00A94A8B"/>
    <w:rsid w:val="00A95540"/>
    <w:rsid w:val="00A95A3F"/>
    <w:rsid w:val="00A9644F"/>
    <w:rsid w:val="00A96474"/>
    <w:rsid w:val="00A969C7"/>
    <w:rsid w:val="00A96B77"/>
    <w:rsid w:val="00AA1113"/>
    <w:rsid w:val="00AA1252"/>
    <w:rsid w:val="00AA22AE"/>
    <w:rsid w:val="00AA2757"/>
    <w:rsid w:val="00AA2C4B"/>
    <w:rsid w:val="00AA537F"/>
    <w:rsid w:val="00AA5D76"/>
    <w:rsid w:val="00AA624C"/>
    <w:rsid w:val="00AA67C2"/>
    <w:rsid w:val="00AB06AC"/>
    <w:rsid w:val="00AB135F"/>
    <w:rsid w:val="00AB1FAE"/>
    <w:rsid w:val="00AB31E7"/>
    <w:rsid w:val="00AB3AB1"/>
    <w:rsid w:val="00AB3F23"/>
    <w:rsid w:val="00AB4282"/>
    <w:rsid w:val="00AB4CB2"/>
    <w:rsid w:val="00AB4E60"/>
    <w:rsid w:val="00AB592F"/>
    <w:rsid w:val="00AB5ADE"/>
    <w:rsid w:val="00AB6FCB"/>
    <w:rsid w:val="00AB7420"/>
    <w:rsid w:val="00AC0B47"/>
    <w:rsid w:val="00AC12A6"/>
    <w:rsid w:val="00AC1715"/>
    <w:rsid w:val="00AC2A50"/>
    <w:rsid w:val="00AC37F6"/>
    <w:rsid w:val="00AC3B38"/>
    <w:rsid w:val="00AC3C77"/>
    <w:rsid w:val="00AC3F63"/>
    <w:rsid w:val="00AC41B9"/>
    <w:rsid w:val="00AC4259"/>
    <w:rsid w:val="00AC4317"/>
    <w:rsid w:val="00AC4766"/>
    <w:rsid w:val="00AC4E65"/>
    <w:rsid w:val="00AC52AC"/>
    <w:rsid w:val="00AC58E8"/>
    <w:rsid w:val="00AC5C14"/>
    <w:rsid w:val="00AC5CC9"/>
    <w:rsid w:val="00AC6234"/>
    <w:rsid w:val="00AC7A7A"/>
    <w:rsid w:val="00AC7AE5"/>
    <w:rsid w:val="00AC7C1B"/>
    <w:rsid w:val="00AD1CE7"/>
    <w:rsid w:val="00AD2D8B"/>
    <w:rsid w:val="00AD7B90"/>
    <w:rsid w:val="00AE0574"/>
    <w:rsid w:val="00AE094A"/>
    <w:rsid w:val="00AE11D3"/>
    <w:rsid w:val="00AE1468"/>
    <w:rsid w:val="00AE320A"/>
    <w:rsid w:val="00AE3FFB"/>
    <w:rsid w:val="00AE4213"/>
    <w:rsid w:val="00AE440A"/>
    <w:rsid w:val="00AE4722"/>
    <w:rsid w:val="00AE4D72"/>
    <w:rsid w:val="00AE4EA5"/>
    <w:rsid w:val="00AE5659"/>
    <w:rsid w:val="00AE586A"/>
    <w:rsid w:val="00AE63A1"/>
    <w:rsid w:val="00AE75BA"/>
    <w:rsid w:val="00AF0679"/>
    <w:rsid w:val="00AF1431"/>
    <w:rsid w:val="00AF21EC"/>
    <w:rsid w:val="00AF27C2"/>
    <w:rsid w:val="00AF359D"/>
    <w:rsid w:val="00AF51AA"/>
    <w:rsid w:val="00AF53F3"/>
    <w:rsid w:val="00AF6A41"/>
    <w:rsid w:val="00AF7B9E"/>
    <w:rsid w:val="00B00E74"/>
    <w:rsid w:val="00B02980"/>
    <w:rsid w:val="00B02B0F"/>
    <w:rsid w:val="00B02B4B"/>
    <w:rsid w:val="00B02EA1"/>
    <w:rsid w:val="00B0328A"/>
    <w:rsid w:val="00B038B8"/>
    <w:rsid w:val="00B03BC9"/>
    <w:rsid w:val="00B03C67"/>
    <w:rsid w:val="00B047A3"/>
    <w:rsid w:val="00B06657"/>
    <w:rsid w:val="00B06B22"/>
    <w:rsid w:val="00B075B9"/>
    <w:rsid w:val="00B10586"/>
    <w:rsid w:val="00B10886"/>
    <w:rsid w:val="00B108F9"/>
    <w:rsid w:val="00B1174A"/>
    <w:rsid w:val="00B1182B"/>
    <w:rsid w:val="00B11E03"/>
    <w:rsid w:val="00B127FD"/>
    <w:rsid w:val="00B14149"/>
    <w:rsid w:val="00B146B6"/>
    <w:rsid w:val="00B15180"/>
    <w:rsid w:val="00B152FA"/>
    <w:rsid w:val="00B161F5"/>
    <w:rsid w:val="00B201D4"/>
    <w:rsid w:val="00B211A6"/>
    <w:rsid w:val="00B21FEE"/>
    <w:rsid w:val="00B24ED1"/>
    <w:rsid w:val="00B25148"/>
    <w:rsid w:val="00B25657"/>
    <w:rsid w:val="00B27402"/>
    <w:rsid w:val="00B3019B"/>
    <w:rsid w:val="00B31BD6"/>
    <w:rsid w:val="00B339CF"/>
    <w:rsid w:val="00B34BEF"/>
    <w:rsid w:val="00B35434"/>
    <w:rsid w:val="00B35BD3"/>
    <w:rsid w:val="00B35E29"/>
    <w:rsid w:val="00B36E83"/>
    <w:rsid w:val="00B402CC"/>
    <w:rsid w:val="00B408E8"/>
    <w:rsid w:val="00B41EEA"/>
    <w:rsid w:val="00B4201A"/>
    <w:rsid w:val="00B42094"/>
    <w:rsid w:val="00B42E32"/>
    <w:rsid w:val="00B42EDF"/>
    <w:rsid w:val="00B431B4"/>
    <w:rsid w:val="00B43A92"/>
    <w:rsid w:val="00B43BD8"/>
    <w:rsid w:val="00B43E07"/>
    <w:rsid w:val="00B46383"/>
    <w:rsid w:val="00B46653"/>
    <w:rsid w:val="00B4667C"/>
    <w:rsid w:val="00B46DA6"/>
    <w:rsid w:val="00B479E7"/>
    <w:rsid w:val="00B51736"/>
    <w:rsid w:val="00B5235F"/>
    <w:rsid w:val="00B526C2"/>
    <w:rsid w:val="00B53690"/>
    <w:rsid w:val="00B53BEF"/>
    <w:rsid w:val="00B54985"/>
    <w:rsid w:val="00B54C6A"/>
    <w:rsid w:val="00B54CF9"/>
    <w:rsid w:val="00B60A5F"/>
    <w:rsid w:val="00B6160E"/>
    <w:rsid w:val="00B62F1A"/>
    <w:rsid w:val="00B63675"/>
    <w:rsid w:val="00B639AF"/>
    <w:rsid w:val="00B63A49"/>
    <w:rsid w:val="00B65F16"/>
    <w:rsid w:val="00B6701A"/>
    <w:rsid w:val="00B703F7"/>
    <w:rsid w:val="00B714A6"/>
    <w:rsid w:val="00B72757"/>
    <w:rsid w:val="00B72AF5"/>
    <w:rsid w:val="00B72C61"/>
    <w:rsid w:val="00B73B68"/>
    <w:rsid w:val="00B76582"/>
    <w:rsid w:val="00B77B72"/>
    <w:rsid w:val="00B80D79"/>
    <w:rsid w:val="00B81800"/>
    <w:rsid w:val="00B82F6C"/>
    <w:rsid w:val="00B8338C"/>
    <w:rsid w:val="00B837BD"/>
    <w:rsid w:val="00B838B8"/>
    <w:rsid w:val="00B844CC"/>
    <w:rsid w:val="00B84BDF"/>
    <w:rsid w:val="00B84F86"/>
    <w:rsid w:val="00B87795"/>
    <w:rsid w:val="00B87FB8"/>
    <w:rsid w:val="00B90218"/>
    <w:rsid w:val="00B9144E"/>
    <w:rsid w:val="00B92269"/>
    <w:rsid w:val="00B925EB"/>
    <w:rsid w:val="00B9297A"/>
    <w:rsid w:val="00B92EE8"/>
    <w:rsid w:val="00B93278"/>
    <w:rsid w:val="00B934D6"/>
    <w:rsid w:val="00B93ACB"/>
    <w:rsid w:val="00B93B76"/>
    <w:rsid w:val="00B94485"/>
    <w:rsid w:val="00B94C30"/>
    <w:rsid w:val="00B95349"/>
    <w:rsid w:val="00B95962"/>
    <w:rsid w:val="00BA06C2"/>
    <w:rsid w:val="00BA1C55"/>
    <w:rsid w:val="00BA2DD2"/>
    <w:rsid w:val="00BA497B"/>
    <w:rsid w:val="00BA68EF"/>
    <w:rsid w:val="00BA7A0B"/>
    <w:rsid w:val="00BA7BFF"/>
    <w:rsid w:val="00BB100F"/>
    <w:rsid w:val="00BB14BC"/>
    <w:rsid w:val="00BB18EA"/>
    <w:rsid w:val="00BB41EC"/>
    <w:rsid w:val="00BB447A"/>
    <w:rsid w:val="00BB4664"/>
    <w:rsid w:val="00BB5323"/>
    <w:rsid w:val="00BB669D"/>
    <w:rsid w:val="00BB77F7"/>
    <w:rsid w:val="00BC087C"/>
    <w:rsid w:val="00BC0E74"/>
    <w:rsid w:val="00BC1C6D"/>
    <w:rsid w:val="00BC1F0D"/>
    <w:rsid w:val="00BC2F9A"/>
    <w:rsid w:val="00BC4B9B"/>
    <w:rsid w:val="00BC57CD"/>
    <w:rsid w:val="00BC6213"/>
    <w:rsid w:val="00BC63E3"/>
    <w:rsid w:val="00BD1FA3"/>
    <w:rsid w:val="00BD374F"/>
    <w:rsid w:val="00BD3D73"/>
    <w:rsid w:val="00BD48F0"/>
    <w:rsid w:val="00BD4AF7"/>
    <w:rsid w:val="00BD4DE8"/>
    <w:rsid w:val="00BE1BD4"/>
    <w:rsid w:val="00BE1BE1"/>
    <w:rsid w:val="00BE2049"/>
    <w:rsid w:val="00BE221B"/>
    <w:rsid w:val="00BE3B74"/>
    <w:rsid w:val="00BE3FD3"/>
    <w:rsid w:val="00BE4CD1"/>
    <w:rsid w:val="00BE5799"/>
    <w:rsid w:val="00BE5964"/>
    <w:rsid w:val="00BE6E4A"/>
    <w:rsid w:val="00BE6F12"/>
    <w:rsid w:val="00BE74BF"/>
    <w:rsid w:val="00BF2CD2"/>
    <w:rsid w:val="00BF388B"/>
    <w:rsid w:val="00BF402A"/>
    <w:rsid w:val="00BF5D56"/>
    <w:rsid w:val="00BF6327"/>
    <w:rsid w:val="00C0069F"/>
    <w:rsid w:val="00C019BA"/>
    <w:rsid w:val="00C03D8B"/>
    <w:rsid w:val="00C04611"/>
    <w:rsid w:val="00C064A6"/>
    <w:rsid w:val="00C06A8B"/>
    <w:rsid w:val="00C07914"/>
    <w:rsid w:val="00C07AF1"/>
    <w:rsid w:val="00C1058A"/>
    <w:rsid w:val="00C111E2"/>
    <w:rsid w:val="00C13A32"/>
    <w:rsid w:val="00C1650A"/>
    <w:rsid w:val="00C1685D"/>
    <w:rsid w:val="00C16896"/>
    <w:rsid w:val="00C16F84"/>
    <w:rsid w:val="00C170D5"/>
    <w:rsid w:val="00C1748B"/>
    <w:rsid w:val="00C177C8"/>
    <w:rsid w:val="00C17E09"/>
    <w:rsid w:val="00C17FF6"/>
    <w:rsid w:val="00C2162E"/>
    <w:rsid w:val="00C21B2B"/>
    <w:rsid w:val="00C21DA3"/>
    <w:rsid w:val="00C232A9"/>
    <w:rsid w:val="00C23A11"/>
    <w:rsid w:val="00C23BE7"/>
    <w:rsid w:val="00C277A3"/>
    <w:rsid w:val="00C30140"/>
    <w:rsid w:val="00C30284"/>
    <w:rsid w:val="00C30B52"/>
    <w:rsid w:val="00C34876"/>
    <w:rsid w:val="00C35930"/>
    <w:rsid w:val="00C36443"/>
    <w:rsid w:val="00C37868"/>
    <w:rsid w:val="00C41339"/>
    <w:rsid w:val="00C41370"/>
    <w:rsid w:val="00C415B8"/>
    <w:rsid w:val="00C423A4"/>
    <w:rsid w:val="00C42DC2"/>
    <w:rsid w:val="00C42ED7"/>
    <w:rsid w:val="00C4373D"/>
    <w:rsid w:val="00C4467B"/>
    <w:rsid w:val="00C447D0"/>
    <w:rsid w:val="00C44885"/>
    <w:rsid w:val="00C45618"/>
    <w:rsid w:val="00C45E11"/>
    <w:rsid w:val="00C467FA"/>
    <w:rsid w:val="00C46A55"/>
    <w:rsid w:val="00C47515"/>
    <w:rsid w:val="00C47941"/>
    <w:rsid w:val="00C47EAC"/>
    <w:rsid w:val="00C50008"/>
    <w:rsid w:val="00C51A89"/>
    <w:rsid w:val="00C520D3"/>
    <w:rsid w:val="00C52247"/>
    <w:rsid w:val="00C5438A"/>
    <w:rsid w:val="00C549E1"/>
    <w:rsid w:val="00C5598E"/>
    <w:rsid w:val="00C55AE0"/>
    <w:rsid w:val="00C56340"/>
    <w:rsid w:val="00C57214"/>
    <w:rsid w:val="00C57840"/>
    <w:rsid w:val="00C57F7E"/>
    <w:rsid w:val="00C60075"/>
    <w:rsid w:val="00C601BA"/>
    <w:rsid w:val="00C60552"/>
    <w:rsid w:val="00C609AC"/>
    <w:rsid w:val="00C60C76"/>
    <w:rsid w:val="00C61590"/>
    <w:rsid w:val="00C6173E"/>
    <w:rsid w:val="00C62432"/>
    <w:rsid w:val="00C62593"/>
    <w:rsid w:val="00C63141"/>
    <w:rsid w:val="00C63630"/>
    <w:rsid w:val="00C64739"/>
    <w:rsid w:val="00C654B5"/>
    <w:rsid w:val="00C656CD"/>
    <w:rsid w:val="00C67771"/>
    <w:rsid w:val="00C67B17"/>
    <w:rsid w:val="00C7003E"/>
    <w:rsid w:val="00C71236"/>
    <w:rsid w:val="00C71247"/>
    <w:rsid w:val="00C71B1F"/>
    <w:rsid w:val="00C72997"/>
    <w:rsid w:val="00C73B43"/>
    <w:rsid w:val="00C73D3F"/>
    <w:rsid w:val="00C74D36"/>
    <w:rsid w:val="00C756B0"/>
    <w:rsid w:val="00C75D8F"/>
    <w:rsid w:val="00C7649A"/>
    <w:rsid w:val="00C7690A"/>
    <w:rsid w:val="00C770D1"/>
    <w:rsid w:val="00C7776A"/>
    <w:rsid w:val="00C80C10"/>
    <w:rsid w:val="00C81607"/>
    <w:rsid w:val="00C82296"/>
    <w:rsid w:val="00C84590"/>
    <w:rsid w:val="00C915C7"/>
    <w:rsid w:val="00C91CD6"/>
    <w:rsid w:val="00C92A77"/>
    <w:rsid w:val="00C93370"/>
    <w:rsid w:val="00C9387D"/>
    <w:rsid w:val="00C93AAB"/>
    <w:rsid w:val="00C94CD2"/>
    <w:rsid w:val="00C95785"/>
    <w:rsid w:val="00C96851"/>
    <w:rsid w:val="00CA00FD"/>
    <w:rsid w:val="00CA1045"/>
    <w:rsid w:val="00CA17BC"/>
    <w:rsid w:val="00CA4FBA"/>
    <w:rsid w:val="00CA56F3"/>
    <w:rsid w:val="00CA61C7"/>
    <w:rsid w:val="00CA66D1"/>
    <w:rsid w:val="00CB0082"/>
    <w:rsid w:val="00CB00CD"/>
    <w:rsid w:val="00CB0555"/>
    <w:rsid w:val="00CB1588"/>
    <w:rsid w:val="00CB1F74"/>
    <w:rsid w:val="00CB2E34"/>
    <w:rsid w:val="00CB3558"/>
    <w:rsid w:val="00CB518F"/>
    <w:rsid w:val="00CB5CB2"/>
    <w:rsid w:val="00CB68D0"/>
    <w:rsid w:val="00CB6C08"/>
    <w:rsid w:val="00CB735C"/>
    <w:rsid w:val="00CC0E43"/>
    <w:rsid w:val="00CC2161"/>
    <w:rsid w:val="00CC3157"/>
    <w:rsid w:val="00CC376F"/>
    <w:rsid w:val="00CC522E"/>
    <w:rsid w:val="00CD0030"/>
    <w:rsid w:val="00CD01D6"/>
    <w:rsid w:val="00CD0D35"/>
    <w:rsid w:val="00CD12A5"/>
    <w:rsid w:val="00CD1971"/>
    <w:rsid w:val="00CD1A03"/>
    <w:rsid w:val="00CD1F9B"/>
    <w:rsid w:val="00CD2AFE"/>
    <w:rsid w:val="00CD3032"/>
    <w:rsid w:val="00CD38BA"/>
    <w:rsid w:val="00CD4835"/>
    <w:rsid w:val="00CD631C"/>
    <w:rsid w:val="00CD67FA"/>
    <w:rsid w:val="00CD7B02"/>
    <w:rsid w:val="00CE0D3D"/>
    <w:rsid w:val="00CE0F97"/>
    <w:rsid w:val="00CE15E9"/>
    <w:rsid w:val="00CE26E9"/>
    <w:rsid w:val="00CE2F2B"/>
    <w:rsid w:val="00CE3947"/>
    <w:rsid w:val="00CE44F8"/>
    <w:rsid w:val="00CE5650"/>
    <w:rsid w:val="00CE580F"/>
    <w:rsid w:val="00CE6B9C"/>
    <w:rsid w:val="00CE7F6F"/>
    <w:rsid w:val="00CF0580"/>
    <w:rsid w:val="00CF0839"/>
    <w:rsid w:val="00CF2992"/>
    <w:rsid w:val="00CF2CD1"/>
    <w:rsid w:val="00CF3B5F"/>
    <w:rsid w:val="00CF66CB"/>
    <w:rsid w:val="00CF6AF5"/>
    <w:rsid w:val="00D0147E"/>
    <w:rsid w:val="00D02440"/>
    <w:rsid w:val="00D027B6"/>
    <w:rsid w:val="00D06A52"/>
    <w:rsid w:val="00D07EB2"/>
    <w:rsid w:val="00D106AD"/>
    <w:rsid w:val="00D11F14"/>
    <w:rsid w:val="00D12BA1"/>
    <w:rsid w:val="00D12D79"/>
    <w:rsid w:val="00D13019"/>
    <w:rsid w:val="00D14FC2"/>
    <w:rsid w:val="00D15E0E"/>
    <w:rsid w:val="00D15EFF"/>
    <w:rsid w:val="00D170DC"/>
    <w:rsid w:val="00D172D0"/>
    <w:rsid w:val="00D2035A"/>
    <w:rsid w:val="00D20651"/>
    <w:rsid w:val="00D20DEC"/>
    <w:rsid w:val="00D21677"/>
    <w:rsid w:val="00D21A73"/>
    <w:rsid w:val="00D22C85"/>
    <w:rsid w:val="00D23360"/>
    <w:rsid w:val="00D23A20"/>
    <w:rsid w:val="00D24123"/>
    <w:rsid w:val="00D258D5"/>
    <w:rsid w:val="00D26BC1"/>
    <w:rsid w:val="00D27225"/>
    <w:rsid w:val="00D2741E"/>
    <w:rsid w:val="00D311D2"/>
    <w:rsid w:val="00D317C2"/>
    <w:rsid w:val="00D31A7E"/>
    <w:rsid w:val="00D31ACE"/>
    <w:rsid w:val="00D31FD0"/>
    <w:rsid w:val="00D32E3B"/>
    <w:rsid w:val="00D3316C"/>
    <w:rsid w:val="00D33B15"/>
    <w:rsid w:val="00D359D2"/>
    <w:rsid w:val="00D36EE6"/>
    <w:rsid w:val="00D37479"/>
    <w:rsid w:val="00D3757B"/>
    <w:rsid w:val="00D379C0"/>
    <w:rsid w:val="00D40F87"/>
    <w:rsid w:val="00D4156D"/>
    <w:rsid w:val="00D4434C"/>
    <w:rsid w:val="00D451A2"/>
    <w:rsid w:val="00D46664"/>
    <w:rsid w:val="00D5049A"/>
    <w:rsid w:val="00D50CDC"/>
    <w:rsid w:val="00D50F46"/>
    <w:rsid w:val="00D5154A"/>
    <w:rsid w:val="00D51F07"/>
    <w:rsid w:val="00D51F36"/>
    <w:rsid w:val="00D52012"/>
    <w:rsid w:val="00D53DA1"/>
    <w:rsid w:val="00D5516F"/>
    <w:rsid w:val="00D55912"/>
    <w:rsid w:val="00D55DC1"/>
    <w:rsid w:val="00D5634F"/>
    <w:rsid w:val="00D577B6"/>
    <w:rsid w:val="00D606DD"/>
    <w:rsid w:val="00D63E4D"/>
    <w:rsid w:val="00D63E85"/>
    <w:rsid w:val="00D645A2"/>
    <w:rsid w:val="00D646CE"/>
    <w:rsid w:val="00D6593D"/>
    <w:rsid w:val="00D65A55"/>
    <w:rsid w:val="00D666A1"/>
    <w:rsid w:val="00D6791D"/>
    <w:rsid w:val="00D7099B"/>
    <w:rsid w:val="00D71410"/>
    <w:rsid w:val="00D715C2"/>
    <w:rsid w:val="00D718B9"/>
    <w:rsid w:val="00D7191F"/>
    <w:rsid w:val="00D71ABE"/>
    <w:rsid w:val="00D729DA"/>
    <w:rsid w:val="00D72DFB"/>
    <w:rsid w:val="00D7430D"/>
    <w:rsid w:val="00D74326"/>
    <w:rsid w:val="00D74382"/>
    <w:rsid w:val="00D75852"/>
    <w:rsid w:val="00D77797"/>
    <w:rsid w:val="00D80879"/>
    <w:rsid w:val="00D812F7"/>
    <w:rsid w:val="00D81BA7"/>
    <w:rsid w:val="00D8336A"/>
    <w:rsid w:val="00D837FF"/>
    <w:rsid w:val="00D86C14"/>
    <w:rsid w:val="00D8716F"/>
    <w:rsid w:val="00D90732"/>
    <w:rsid w:val="00D90E99"/>
    <w:rsid w:val="00D91238"/>
    <w:rsid w:val="00D91B4B"/>
    <w:rsid w:val="00D931D1"/>
    <w:rsid w:val="00D93AB0"/>
    <w:rsid w:val="00D95C25"/>
    <w:rsid w:val="00D96041"/>
    <w:rsid w:val="00D96080"/>
    <w:rsid w:val="00D97E15"/>
    <w:rsid w:val="00DA0856"/>
    <w:rsid w:val="00DA1B93"/>
    <w:rsid w:val="00DA2764"/>
    <w:rsid w:val="00DA2E9D"/>
    <w:rsid w:val="00DA3F6A"/>
    <w:rsid w:val="00DA417B"/>
    <w:rsid w:val="00DA5695"/>
    <w:rsid w:val="00DA6DBD"/>
    <w:rsid w:val="00DA6E70"/>
    <w:rsid w:val="00DA712D"/>
    <w:rsid w:val="00DA756D"/>
    <w:rsid w:val="00DB20D6"/>
    <w:rsid w:val="00DB2235"/>
    <w:rsid w:val="00DB29E9"/>
    <w:rsid w:val="00DB30B3"/>
    <w:rsid w:val="00DB3726"/>
    <w:rsid w:val="00DB55FB"/>
    <w:rsid w:val="00DB62DA"/>
    <w:rsid w:val="00DB67E3"/>
    <w:rsid w:val="00DB77A2"/>
    <w:rsid w:val="00DB783D"/>
    <w:rsid w:val="00DB7F32"/>
    <w:rsid w:val="00DC051B"/>
    <w:rsid w:val="00DC296E"/>
    <w:rsid w:val="00DC32B0"/>
    <w:rsid w:val="00DC5E5A"/>
    <w:rsid w:val="00DC5F41"/>
    <w:rsid w:val="00DC6C3B"/>
    <w:rsid w:val="00DD0366"/>
    <w:rsid w:val="00DD05FA"/>
    <w:rsid w:val="00DD1200"/>
    <w:rsid w:val="00DD213D"/>
    <w:rsid w:val="00DD23C3"/>
    <w:rsid w:val="00DD2D8B"/>
    <w:rsid w:val="00DD2E14"/>
    <w:rsid w:val="00DD486B"/>
    <w:rsid w:val="00DD4909"/>
    <w:rsid w:val="00DD4DC0"/>
    <w:rsid w:val="00DD5849"/>
    <w:rsid w:val="00DD6B79"/>
    <w:rsid w:val="00DD6EAE"/>
    <w:rsid w:val="00DD72DB"/>
    <w:rsid w:val="00DD7BD7"/>
    <w:rsid w:val="00DE01DB"/>
    <w:rsid w:val="00DE0A74"/>
    <w:rsid w:val="00DE17A0"/>
    <w:rsid w:val="00DE1C90"/>
    <w:rsid w:val="00DE220E"/>
    <w:rsid w:val="00DE2A15"/>
    <w:rsid w:val="00DE36F8"/>
    <w:rsid w:val="00DE62A3"/>
    <w:rsid w:val="00DE7B07"/>
    <w:rsid w:val="00DE7C99"/>
    <w:rsid w:val="00DF1939"/>
    <w:rsid w:val="00DF1CA1"/>
    <w:rsid w:val="00DF249C"/>
    <w:rsid w:val="00DF4133"/>
    <w:rsid w:val="00DF539F"/>
    <w:rsid w:val="00DF5778"/>
    <w:rsid w:val="00DF670D"/>
    <w:rsid w:val="00DF678C"/>
    <w:rsid w:val="00DF6D60"/>
    <w:rsid w:val="00DF7394"/>
    <w:rsid w:val="00DF7915"/>
    <w:rsid w:val="00DF7B55"/>
    <w:rsid w:val="00DF7C69"/>
    <w:rsid w:val="00E00B53"/>
    <w:rsid w:val="00E013F4"/>
    <w:rsid w:val="00E018DA"/>
    <w:rsid w:val="00E019B7"/>
    <w:rsid w:val="00E0263D"/>
    <w:rsid w:val="00E036F6"/>
    <w:rsid w:val="00E0470A"/>
    <w:rsid w:val="00E04C9C"/>
    <w:rsid w:val="00E07523"/>
    <w:rsid w:val="00E075FA"/>
    <w:rsid w:val="00E108B4"/>
    <w:rsid w:val="00E10FE2"/>
    <w:rsid w:val="00E1131D"/>
    <w:rsid w:val="00E129C5"/>
    <w:rsid w:val="00E17279"/>
    <w:rsid w:val="00E172A0"/>
    <w:rsid w:val="00E17887"/>
    <w:rsid w:val="00E20A37"/>
    <w:rsid w:val="00E20C1C"/>
    <w:rsid w:val="00E21499"/>
    <w:rsid w:val="00E215E8"/>
    <w:rsid w:val="00E21E90"/>
    <w:rsid w:val="00E2239E"/>
    <w:rsid w:val="00E23382"/>
    <w:rsid w:val="00E23AD3"/>
    <w:rsid w:val="00E24287"/>
    <w:rsid w:val="00E24329"/>
    <w:rsid w:val="00E24DA7"/>
    <w:rsid w:val="00E254DD"/>
    <w:rsid w:val="00E26959"/>
    <w:rsid w:val="00E26A39"/>
    <w:rsid w:val="00E30299"/>
    <w:rsid w:val="00E30795"/>
    <w:rsid w:val="00E316F3"/>
    <w:rsid w:val="00E31A35"/>
    <w:rsid w:val="00E33B84"/>
    <w:rsid w:val="00E34368"/>
    <w:rsid w:val="00E3560A"/>
    <w:rsid w:val="00E362E2"/>
    <w:rsid w:val="00E363A0"/>
    <w:rsid w:val="00E36D67"/>
    <w:rsid w:val="00E406D9"/>
    <w:rsid w:val="00E427D2"/>
    <w:rsid w:val="00E43440"/>
    <w:rsid w:val="00E43A8A"/>
    <w:rsid w:val="00E445E1"/>
    <w:rsid w:val="00E44CCB"/>
    <w:rsid w:val="00E4593E"/>
    <w:rsid w:val="00E46177"/>
    <w:rsid w:val="00E46224"/>
    <w:rsid w:val="00E46C0C"/>
    <w:rsid w:val="00E46DD4"/>
    <w:rsid w:val="00E50BCD"/>
    <w:rsid w:val="00E50EA9"/>
    <w:rsid w:val="00E50ED1"/>
    <w:rsid w:val="00E51635"/>
    <w:rsid w:val="00E51DDD"/>
    <w:rsid w:val="00E5315C"/>
    <w:rsid w:val="00E534E2"/>
    <w:rsid w:val="00E537B7"/>
    <w:rsid w:val="00E53B78"/>
    <w:rsid w:val="00E540CB"/>
    <w:rsid w:val="00E551FB"/>
    <w:rsid w:val="00E55FE1"/>
    <w:rsid w:val="00E56F2E"/>
    <w:rsid w:val="00E5779C"/>
    <w:rsid w:val="00E60A7F"/>
    <w:rsid w:val="00E61EC9"/>
    <w:rsid w:val="00E62719"/>
    <w:rsid w:val="00E63333"/>
    <w:rsid w:val="00E63AEB"/>
    <w:rsid w:val="00E63BE2"/>
    <w:rsid w:val="00E64A1E"/>
    <w:rsid w:val="00E64A78"/>
    <w:rsid w:val="00E65F6C"/>
    <w:rsid w:val="00E670B8"/>
    <w:rsid w:val="00E67D8B"/>
    <w:rsid w:val="00E703BE"/>
    <w:rsid w:val="00E709D9"/>
    <w:rsid w:val="00E70A4C"/>
    <w:rsid w:val="00E70EB8"/>
    <w:rsid w:val="00E713B6"/>
    <w:rsid w:val="00E73024"/>
    <w:rsid w:val="00E734A0"/>
    <w:rsid w:val="00E739DE"/>
    <w:rsid w:val="00E742A6"/>
    <w:rsid w:val="00E74491"/>
    <w:rsid w:val="00E74F64"/>
    <w:rsid w:val="00E753E3"/>
    <w:rsid w:val="00E7582A"/>
    <w:rsid w:val="00E76AA9"/>
    <w:rsid w:val="00E7743E"/>
    <w:rsid w:val="00E806D6"/>
    <w:rsid w:val="00E80C8A"/>
    <w:rsid w:val="00E80D95"/>
    <w:rsid w:val="00E83EEC"/>
    <w:rsid w:val="00E84C0C"/>
    <w:rsid w:val="00E85476"/>
    <w:rsid w:val="00E86497"/>
    <w:rsid w:val="00E87A0F"/>
    <w:rsid w:val="00E87BA4"/>
    <w:rsid w:val="00E90025"/>
    <w:rsid w:val="00E90A74"/>
    <w:rsid w:val="00E90F35"/>
    <w:rsid w:val="00E91F8E"/>
    <w:rsid w:val="00E923D3"/>
    <w:rsid w:val="00E9346E"/>
    <w:rsid w:val="00E9455B"/>
    <w:rsid w:val="00E94D4B"/>
    <w:rsid w:val="00E951BD"/>
    <w:rsid w:val="00E95BE4"/>
    <w:rsid w:val="00E963C6"/>
    <w:rsid w:val="00E96732"/>
    <w:rsid w:val="00E9677A"/>
    <w:rsid w:val="00E96E4D"/>
    <w:rsid w:val="00EA20B4"/>
    <w:rsid w:val="00EA29BF"/>
    <w:rsid w:val="00EA3043"/>
    <w:rsid w:val="00EA6AD8"/>
    <w:rsid w:val="00EA78D2"/>
    <w:rsid w:val="00EB02F2"/>
    <w:rsid w:val="00EB16F5"/>
    <w:rsid w:val="00EB2971"/>
    <w:rsid w:val="00EB2D39"/>
    <w:rsid w:val="00EB3E6D"/>
    <w:rsid w:val="00EB4949"/>
    <w:rsid w:val="00EB55CD"/>
    <w:rsid w:val="00EB6625"/>
    <w:rsid w:val="00EB79BE"/>
    <w:rsid w:val="00EB79D4"/>
    <w:rsid w:val="00EC0659"/>
    <w:rsid w:val="00EC07A7"/>
    <w:rsid w:val="00EC0955"/>
    <w:rsid w:val="00EC1257"/>
    <w:rsid w:val="00EC24A6"/>
    <w:rsid w:val="00EC267C"/>
    <w:rsid w:val="00EC3DBF"/>
    <w:rsid w:val="00EC3F86"/>
    <w:rsid w:val="00EC518F"/>
    <w:rsid w:val="00EC551D"/>
    <w:rsid w:val="00EC588C"/>
    <w:rsid w:val="00EC66C7"/>
    <w:rsid w:val="00EC6A01"/>
    <w:rsid w:val="00EC791A"/>
    <w:rsid w:val="00ED05C6"/>
    <w:rsid w:val="00ED0934"/>
    <w:rsid w:val="00ED1468"/>
    <w:rsid w:val="00ED1506"/>
    <w:rsid w:val="00ED2AFF"/>
    <w:rsid w:val="00ED4A04"/>
    <w:rsid w:val="00ED4E03"/>
    <w:rsid w:val="00ED5689"/>
    <w:rsid w:val="00ED5C14"/>
    <w:rsid w:val="00ED6E28"/>
    <w:rsid w:val="00ED7568"/>
    <w:rsid w:val="00EE077B"/>
    <w:rsid w:val="00EE2E0D"/>
    <w:rsid w:val="00EE5EAA"/>
    <w:rsid w:val="00EE60FD"/>
    <w:rsid w:val="00EE6B72"/>
    <w:rsid w:val="00EE74F3"/>
    <w:rsid w:val="00EE795E"/>
    <w:rsid w:val="00EE7CA7"/>
    <w:rsid w:val="00EF0852"/>
    <w:rsid w:val="00EF1B96"/>
    <w:rsid w:val="00EF2442"/>
    <w:rsid w:val="00EF2D7D"/>
    <w:rsid w:val="00EF5E8B"/>
    <w:rsid w:val="00EF6015"/>
    <w:rsid w:val="00EF6BCB"/>
    <w:rsid w:val="00EF6EBB"/>
    <w:rsid w:val="00EF7763"/>
    <w:rsid w:val="00EF7974"/>
    <w:rsid w:val="00EF7FC8"/>
    <w:rsid w:val="00F007E6"/>
    <w:rsid w:val="00F00F98"/>
    <w:rsid w:val="00F00FF0"/>
    <w:rsid w:val="00F010DE"/>
    <w:rsid w:val="00F01D20"/>
    <w:rsid w:val="00F02059"/>
    <w:rsid w:val="00F020A3"/>
    <w:rsid w:val="00F02E5B"/>
    <w:rsid w:val="00F02ED9"/>
    <w:rsid w:val="00F03C3C"/>
    <w:rsid w:val="00F04014"/>
    <w:rsid w:val="00F0485B"/>
    <w:rsid w:val="00F061D5"/>
    <w:rsid w:val="00F0712E"/>
    <w:rsid w:val="00F07FF0"/>
    <w:rsid w:val="00F103E0"/>
    <w:rsid w:val="00F11A73"/>
    <w:rsid w:val="00F12858"/>
    <w:rsid w:val="00F13248"/>
    <w:rsid w:val="00F13349"/>
    <w:rsid w:val="00F13CD6"/>
    <w:rsid w:val="00F13DB0"/>
    <w:rsid w:val="00F14219"/>
    <w:rsid w:val="00F1444A"/>
    <w:rsid w:val="00F17BF6"/>
    <w:rsid w:val="00F202DA"/>
    <w:rsid w:val="00F20F63"/>
    <w:rsid w:val="00F2100B"/>
    <w:rsid w:val="00F218D8"/>
    <w:rsid w:val="00F2227E"/>
    <w:rsid w:val="00F240FD"/>
    <w:rsid w:val="00F24782"/>
    <w:rsid w:val="00F24A6E"/>
    <w:rsid w:val="00F256E1"/>
    <w:rsid w:val="00F25B9E"/>
    <w:rsid w:val="00F2608D"/>
    <w:rsid w:val="00F26AFF"/>
    <w:rsid w:val="00F26E09"/>
    <w:rsid w:val="00F2722B"/>
    <w:rsid w:val="00F27D1D"/>
    <w:rsid w:val="00F30608"/>
    <w:rsid w:val="00F30D0B"/>
    <w:rsid w:val="00F3167D"/>
    <w:rsid w:val="00F321F7"/>
    <w:rsid w:val="00F32257"/>
    <w:rsid w:val="00F32694"/>
    <w:rsid w:val="00F32F21"/>
    <w:rsid w:val="00F335AB"/>
    <w:rsid w:val="00F33A22"/>
    <w:rsid w:val="00F347F8"/>
    <w:rsid w:val="00F34BEF"/>
    <w:rsid w:val="00F35B0F"/>
    <w:rsid w:val="00F36965"/>
    <w:rsid w:val="00F373AE"/>
    <w:rsid w:val="00F40B40"/>
    <w:rsid w:val="00F41EE2"/>
    <w:rsid w:val="00F42481"/>
    <w:rsid w:val="00F44429"/>
    <w:rsid w:val="00F44E99"/>
    <w:rsid w:val="00F450C8"/>
    <w:rsid w:val="00F45C88"/>
    <w:rsid w:val="00F47BC9"/>
    <w:rsid w:val="00F50274"/>
    <w:rsid w:val="00F51330"/>
    <w:rsid w:val="00F51895"/>
    <w:rsid w:val="00F518D9"/>
    <w:rsid w:val="00F51A9E"/>
    <w:rsid w:val="00F52101"/>
    <w:rsid w:val="00F5238D"/>
    <w:rsid w:val="00F52687"/>
    <w:rsid w:val="00F52C00"/>
    <w:rsid w:val="00F5309E"/>
    <w:rsid w:val="00F530B2"/>
    <w:rsid w:val="00F53550"/>
    <w:rsid w:val="00F53F5E"/>
    <w:rsid w:val="00F54E87"/>
    <w:rsid w:val="00F5574F"/>
    <w:rsid w:val="00F55F1A"/>
    <w:rsid w:val="00F56FEF"/>
    <w:rsid w:val="00F57E97"/>
    <w:rsid w:val="00F60D1C"/>
    <w:rsid w:val="00F60F01"/>
    <w:rsid w:val="00F60F0E"/>
    <w:rsid w:val="00F622A2"/>
    <w:rsid w:val="00F62922"/>
    <w:rsid w:val="00F63E60"/>
    <w:rsid w:val="00F651CA"/>
    <w:rsid w:val="00F6583C"/>
    <w:rsid w:val="00F66624"/>
    <w:rsid w:val="00F66670"/>
    <w:rsid w:val="00F67CAD"/>
    <w:rsid w:val="00F709F9"/>
    <w:rsid w:val="00F70B40"/>
    <w:rsid w:val="00F7141E"/>
    <w:rsid w:val="00F72463"/>
    <w:rsid w:val="00F7334C"/>
    <w:rsid w:val="00F749DF"/>
    <w:rsid w:val="00F750BE"/>
    <w:rsid w:val="00F7722C"/>
    <w:rsid w:val="00F80F93"/>
    <w:rsid w:val="00F810CC"/>
    <w:rsid w:val="00F829C8"/>
    <w:rsid w:val="00F83C12"/>
    <w:rsid w:val="00F83C43"/>
    <w:rsid w:val="00F8459F"/>
    <w:rsid w:val="00F84D96"/>
    <w:rsid w:val="00F85831"/>
    <w:rsid w:val="00F8657F"/>
    <w:rsid w:val="00F879C4"/>
    <w:rsid w:val="00F901EB"/>
    <w:rsid w:val="00F902F2"/>
    <w:rsid w:val="00F90488"/>
    <w:rsid w:val="00F912CE"/>
    <w:rsid w:val="00F91483"/>
    <w:rsid w:val="00F91681"/>
    <w:rsid w:val="00F937A0"/>
    <w:rsid w:val="00F942C1"/>
    <w:rsid w:val="00F9468B"/>
    <w:rsid w:val="00F94BA2"/>
    <w:rsid w:val="00F960BB"/>
    <w:rsid w:val="00F967DB"/>
    <w:rsid w:val="00F97D69"/>
    <w:rsid w:val="00FA06B9"/>
    <w:rsid w:val="00FA0858"/>
    <w:rsid w:val="00FA0920"/>
    <w:rsid w:val="00FA1F90"/>
    <w:rsid w:val="00FA218B"/>
    <w:rsid w:val="00FA22C3"/>
    <w:rsid w:val="00FA2403"/>
    <w:rsid w:val="00FA293F"/>
    <w:rsid w:val="00FA364C"/>
    <w:rsid w:val="00FA3A19"/>
    <w:rsid w:val="00FA3BB2"/>
    <w:rsid w:val="00FA5231"/>
    <w:rsid w:val="00FA67F5"/>
    <w:rsid w:val="00FA6FD5"/>
    <w:rsid w:val="00FA7A05"/>
    <w:rsid w:val="00FB1727"/>
    <w:rsid w:val="00FB1B09"/>
    <w:rsid w:val="00FB33D7"/>
    <w:rsid w:val="00FB4516"/>
    <w:rsid w:val="00FB4710"/>
    <w:rsid w:val="00FB599B"/>
    <w:rsid w:val="00FB5BEE"/>
    <w:rsid w:val="00FB76F3"/>
    <w:rsid w:val="00FC013C"/>
    <w:rsid w:val="00FC0580"/>
    <w:rsid w:val="00FC07E5"/>
    <w:rsid w:val="00FC07F9"/>
    <w:rsid w:val="00FC0CF3"/>
    <w:rsid w:val="00FC2227"/>
    <w:rsid w:val="00FC3085"/>
    <w:rsid w:val="00FC3BA4"/>
    <w:rsid w:val="00FC5854"/>
    <w:rsid w:val="00FC77A0"/>
    <w:rsid w:val="00FC7AD9"/>
    <w:rsid w:val="00FC7D73"/>
    <w:rsid w:val="00FD2482"/>
    <w:rsid w:val="00FD2847"/>
    <w:rsid w:val="00FD2DA8"/>
    <w:rsid w:val="00FD4554"/>
    <w:rsid w:val="00FD4973"/>
    <w:rsid w:val="00FD5521"/>
    <w:rsid w:val="00FD5BCF"/>
    <w:rsid w:val="00FD61B1"/>
    <w:rsid w:val="00FD65AC"/>
    <w:rsid w:val="00FD6B8A"/>
    <w:rsid w:val="00FE2C9D"/>
    <w:rsid w:val="00FE3153"/>
    <w:rsid w:val="00FE3E4B"/>
    <w:rsid w:val="00FE3ED5"/>
    <w:rsid w:val="00FE3F31"/>
    <w:rsid w:val="00FE4191"/>
    <w:rsid w:val="00FE60EE"/>
    <w:rsid w:val="00FE65ED"/>
    <w:rsid w:val="00FE6BA8"/>
    <w:rsid w:val="00FE6C26"/>
    <w:rsid w:val="00FE78D6"/>
    <w:rsid w:val="00FE7CC4"/>
    <w:rsid w:val="00FF1921"/>
    <w:rsid w:val="00FF2204"/>
    <w:rsid w:val="00FF4B0B"/>
    <w:rsid w:val="00FF4D52"/>
    <w:rsid w:val="00FF5874"/>
    <w:rsid w:val="00FF5AF5"/>
    <w:rsid w:val="00FF5E9F"/>
    <w:rsid w:val="00FF66D9"/>
    <w:rsid w:val="00FF6D3B"/>
    <w:rsid w:val="00FF6E1B"/>
    <w:rsid w:val="00FF7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372E"/>
  <w15:chartTrackingRefBased/>
  <w15:docId w15:val="{77A480CD-A90F-44E4-A5D3-B78FD0D1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5F"/>
  </w:style>
  <w:style w:type="paragraph" w:styleId="Heading1">
    <w:name w:val="heading 1"/>
    <w:basedOn w:val="Normal"/>
    <w:next w:val="Normal"/>
    <w:link w:val="Heading1Char"/>
    <w:uiPriority w:val="9"/>
    <w:qFormat/>
    <w:rsid w:val="002C2D9A"/>
    <w:pPr>
      <w:keepNext/>
      <w:keepLines/>
      <w:spacing w:before="480" w:after="120"/>
      <w:outlineLvl w:val="0"/>
    </w:pPr>
    <w:rPr>
      <w:rFonts w:ascii="Calibri" w:eastAsia="Calibri" w:hAnsi="Calibri" w:cs="Calibri"/>
      <w:b/>
      <w:sz w:val="48"/>
      <w:szCs w:val="48"/>
      <w:lang w:eastAsia="en-GB"/>
    </w:rPr>
  </w:style>
  <w:style w:type="paragraph" w:styleId="Heading2">
    <w:name w:val="heading 2"/>
    <w:basedOn w:val="Normal"/>
    <w:next w:val="Normal"/>
    <w:link w:val="Heading2Char"/>
    <w:uiPriority w:val="9"/>
    <w:semiHidden/>
    <w:unhideWhenUsed/>
    <w:qFormat/>
    <w:rsid w:val="002C2D9A"/>
    <w:pPr>
      <w:keepNext/>
      <w:keepLines/>
      <w:spacing w:before="360" w:after="80"/>
      <w:outlineLvl w:val="1"/>
    </w:pPr>
    <w:rPr>
      <w:rFonts w:ascii="Calibri" w:eastAsia="Calibri" w:hAnsi="Calibri" w:cs="Calibri"/>
      <w:b/>
      <w:sz w:val="36"/>
      <w:szCs w:val="36"/>
      <w:lang w:eastAsia="en-GB"/>
    </w:rPr>
  </w:style>
  <w:style w:type="paragraph" w:styleId="Heading3">
    <w:name w:val="heading 3"/>
    <w:basedOn w:val="Normal"/>
    <w:next w:val="Normal"/>
    <w:link w:val="Heading3Char"/>
    <w:uiPriority w:val="9"/>
    <w:semiHidden/>
    <w:unhideWhenUsed/>
    <w:qFormat/>
    <w:rsid w:val="002C2D9A"/>
    <w:pPr>
      <w:keepNext/>
      <w:keepLines/>
      <w:spacing w:before="280" w:after="80"/>
      <w:outlineLvl w:val="2"/>
    </w:pPr>
    <w:rPr>
      <w:rFonts w:ascii="Calibri" w:eastAsia="Calibri" w:hAnsi="Calibri" w:cs="Calibri"/>
      <w:b/>
      <w:sz w:val="28"/>
      <w:szCs w:val="28"/>
      <w:lang w:eastAsia="en-GB"/>
    </w:rPr>
  </w:style>
  <w:style w:type="paragraph" w:styleId="Heading4">
    <w:name w:val="heading 4"/>
    <w:basedOn w:val="Normal"/>
    <w:next w:val="Normal"/>
    <w:link w:val="Heading4Char"/>
    <w:uiPriority w:val="9"/>
    <w:semiHidden/>
    <w:unhideWhenUsed/>
    <w:qFormat/>
    <w:rsid w:val="002C2D9A"/>
    <w:pPr>
      <w:keepNext/>
      <w:keepLines/>
      <w:spacing w:before="240" w:after="40"/>
      <w:outlineLvl w:val="3"/>
    </w:pPr>
    <w:rPr>
      <w:rFonts w:ascii="Calibri" w:eastAsia="Calibri" w:hAnsi="Calibri" w:cs="Calibri"/>
      <w:b/>
      <w:sz w:val="24"/>
      <w:szCs w:val="24"/>
      <w:lang w:eastAsia="en-GB"/>
    </w:rPr>
  </w:style>
  <w:style w:type="paragraph" w:styleId="Heading5">
    <w:name w:val="heading 5"/>
    <w:basedOn w:val="Normal"/>
    <w:next w:val="Normal"/>
    <w:link w:val="Heading5Char"/>
    <w:uiPriority w:val="9"/>
    <w:semiHidden/>
    <w:unhideWhenUsed/>
    <w:qFormat/>
    <w:rsid w:val="002C2D9A"/>
    <w:pPr>
      <w:keepNext/>
      <w:keepLines/>
      <w:spacing w:before="220" w:after="40"/>
      <w:outlineLvl w:val="4"/>
    </w:pPr>
    <w:rPr>
      <w:rFonts w:ascii="Calibri" w:eastAsia="Calibri" w:hAnsi="Calibri" w:cs="Calibri"/>
      <w:b/>
      <w:lang w:eastAsia="en-GB"/>
    </w:rPr>
  </w:style>
  <w:style w:type="paragraph" w:styleId="Heading6">
    <w:name w:val="heading 6"/>
    <w:basedOn w:val="Normal"/>
    <w:next w:val="Normal"/>
    <w:link w:val="Heading6Char"/>
    <w:uiPriority w:val="9"/>
    <w:semiHidden/>
    <w:unhideWhenUsed/>
    <w:qFormat/>
    <w:rsid w:val="002C2D9A"/>
    <w:pPr>
      <w:keepNext/>
      <w:keepLines/>
      <w:spacing w:before="200" w:after="40"/>
      <w:outlineLvl w:val="5"/>
    </w:pPr>
    <w:rPr>
      <w:rFonts w:ascii="Calibri" w:eastAsia="Calibri"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15F9"/>
    <w:rPr>
      <w:sz w:val="16"/>
      <w:szCs w:val="16"/>
    </w:rPr>
  </w:style>
  <w:style w:type="paragraph" w:styleId="CommentText">
    <w:name w:val="annotation text"/>
    <w:basedOn w:val="Normal"/>
    <w:link w:val="CommentTextChar"/>
    <w:uiPriority w:val="99"/>
    <w:unhideWhenUsed/>
    <w:rsid w:val="002915F9"/>
    <w:pPr>
      <w:spacing w:line="240" w:lineRule="auto"/>
    </w:pPr>
    <w:rPr>
      <w:sz w:val="20"/>
      <w:szCs w:val="20"/>
    </w:rPr>
  </w:style>
  <w:style w:type="character" w:customStyle="1" w:styleId="CommentTextChar">
    <w:name w:val="Comment Text Char"/>
    <w:basedOn w:val="DefaultParagraphFont"/>
    <w:link w:val="CommentText"/>
    <w:uiPriority w:val="99"/>
    <w:rsid w:val="002915F9"/>
    <w:rPr>
      <w:sz w:val="20"/>
      <w:szCs w:val="20"/>
    </w:rPr>
  </w:style>
  <w:style w:type="paragraph" w:styleId="CommentSubject">
    <w:name w:val="annotation subject"/>
    <w:basedOn w:val="CommentText"/>
    <w:next w:val="CommentText"/>
    <w:link w:val="CommentSubjectChar"/>
    <w:uiPriority w:val="99"/>
    <w:semiHidden/>
    <w:unhideWhenUsed/>
    <w:rsid w:val="002915F9"/>
    <w:rPr>
      <w:b/>
      <w:bCs/>
    </w:rPr>
  </w:style>
  <w:style w:type="character" w:customStyle="1" w:styleId="CommentSubjectChar">
    <w:name w:val="Comment Subject Char"/>
    <w:basedOn w:val="CommentTextChar"/>
    <w:link w:val="CommentSubject"/>
    <w:uiPriority w:val="99"/>
    <w:semiHidden/>
    <w:rsid w:val="002915F9"/>
    <w:rPr>
      <w:b/>
      <w:bCs/>
      <w:sz w:val="20"/>
      <w:szCs w:val="20"/>
    </w:rPr>
  </w:style>
  <w:style w:type="paragraph" w:styleId="NormalWeb">
    <w:name w:val="Normal (Web)"/>
    <w:basedOn w:val="Normal"/>
    <w:uiPriority w:val="99"/>
    <w:unhideWhenUsed/>
    <w:rsid w:val="00E31A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1A35"/>
    <w:rPr>
      <w:b/>
      <w:bCs/>
    </w:rPr>
  </w:style>
  <w:style w:type="character" w:styleId="Emphasis">
    <w:name w:val="Emphasis"/>
    <w:basedOn w:val="DefaultParagraphFont"/>
    <w:uiPriority w:val="20"/>
    <w:qFormat/>
    <w:rsid w:val="00E31A35"/>
    <w:rPr>
      <w:i/>
      <w:iCs/>
    </w:rPr>
  </w:style>
  <w:style w:type="paragraph" w:customStyle="1" w:styleId="Articletitle">
    <w:name w:val="Article title"/>
    <w:basedOn w:val="Normal"/>
    <w:next w:val="Normal"/>
    <w:qFormat/>
    <w:rsid w:val="00845BAF"/>
    <w:pPr>
      <w:spacing w:after="120" w:line="360" w:lineRule="auto"/>
    </w:pPr>
    <w:rPr>
      <w:rFonts w:ascii="Times New Roman" w:eastAsia="Times New Roman" w:hAnsi="Times New Roman" w:cs="Times New Roman"/>
      <w:b/>
      <w:sz w:val="28"/>
      <w:szCs w:val="24"/>
      <w:lang w:eastAsia="en-GB"/>
    </w:rPr>
  </w:style>
  <w:style w:type="character" w:styleId="Hyperlink">
    <w:name w:val="Hyperlink"/>
    <w:basedOn w:val="DefaultParagraphFont"/>
    <w:uiPriority w:val="99"/>
    <w:unhideWhenUsed/>
    <w:rsid w:val="00123C67"/>
    <w:rPr>
      <w:color w:val="0000FF"/>
      <w:u w:val="single"/>
    </w:rPr>
  </w:style>
  <w:style w:type="paragraph" w:customStyle="1" w:styleId="Correspondencedetails">
    <w:name w:val="Correspondence details"/>
    <w:basedOn w:val="Normal"/>
    <w:qFormat/>
    <w:rsid w:val="00123C67"/>
    <w:pPr>
      <w:spacing w:before="240" w:after="0" w:line="36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22D8E"/>
    <w:rPr>
      <w:color w:val="605E5C"/>
      <w:shd w:val="clear" w:color="auto" w:fill="E1DFDD"/>
    </w:rPr>
  </w:style>
  <w:style w:type="paragraph" w:styleId="ListParagraph">
    <w:name w:val="List Paragraph"/>
    <w:basedOn w:val="Normal"/>
    <w:uiPriority w:val="34"/>
    <w:qFormat/>
    <w:rsid w:val="00BE3B74"/>
    <w:pPr>
      <w:ind w:left="720"/>
      <w:contextualSpacing/>
    </w:pPr>
  </w:style>
  <w:style w:type="table" w:styleId="TableGrid">
    <w:name w:val="Table Grid"/>
    <w:basedOn w:val="TableNormal"/>
    <w:uiPriority w:val="39"/>
    <w:rsid w:val="00515B9B"/>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2D9A"/>
    <w:rPr>
      <w:rFonts w:ascii="Calibri" w:eastAsia="Calibri" w:hAnsi="Calibri" w:cs="Calibri"/>
      <w:b/>
      <w:sz w:val="48"/>
      <w:szCs w:val="48"/>
      <w:lang w:eastAsia="en-GB"/>
    </w:rPr>
  </w:style>
  <w:style w:type="character" w:customStyle="1" w:styleId="Heading2Char">
    <w:name w:val="Heading 2 Char"/>
    <w:basedOn w:val="DefaultParagraphFont"/>
    <w:link w:val="Heading2"/>
    <w:uiPriority w:val="9"/>
    <w:semiHidden/>
    <w:rsid w:val="002C2D9A"/>
    <w:rPr>
      <w:rFonts w:ascii="Calibri" w:eastAsia="Calibri" w:hAnsi="Calibri" w:cs="Calibri"/>
      <w:b/>
      <w:sz w:val="36"/>
      <w:szCs w:val="36"/>
      <w:lang w:eastAsia="en-GB"/>
    </w:rPr>
  </w:style>
  <w:style w:type="character" w:customStyle="1" w:styleId="Heading3Char">
    <w:name w:val="Heading 3 Char"/>
    <w:basedOn w:val="DefaultParagraphFont"/>
    <w:link w:val="Heading3"/>
    <w:uiPriority w:val="9"/>
    <w:semiHidden/>
    <w:rsid w:val="002C2D9A"/>
    <w:rPr>
      <w:rFonts w:ascii="Calibri" w:eastAsia="Calibri" w:hAnsi="Calibri" w:cs="Calibri"/>
      <w:b/>
      <w:sz w:val="28"/>
      <w:szCs w:val="28"/>
      <w:lang w:eastAsia="en-GB"/>
    </w:rPr>
  </w:style>
  <w:style w:type="character" w:customStyle="1" w:styleId="Heading4Char">
    <w:name w:val="Heading 4 Char"/>
    <w:basedOn w:val="DefaultParagraphFont"/>
    <w:link w:val="Heading4"/>
    <w:uiPriority w:val="9"/>
    <w:semiHidden/>
    <w:rsid w:val="002C2D9A"/>
    <w:rPr>
      <w:rFonts w:ascii="Calibri" w:eastAsia="Calibri" w:hAnsi="Calibri" w:cs="Calibri"/>
      <w:b/>
      <w:sz w:val="24"/>
      <w:szCs w:val="24"/>
      <w:lang w:eastAsia="en-GB"/>
    </w:rPr>
  </w:style>
  <w:style w:type="character" w:customStyle="1" w:styleId="Heading5Char">
    <w:name w:val="Heading 5 Char"/>
    <w:basedOn w:val="DefaultParagraphFont"/>
    <w:link w:val="Heading5"/>
    <w:uiPriority w:val="9"/>
    <w:semiHidden/>
    <w:rsid w:val="002C2D9A"/>
    <w:rPr>
      <w:rFonts w:ascii="Calibri" w:eastAsia="Calibri" w:hAnsi="Calibri" w:cs="Calibri"/>
      <w:b/>
      <w:lang w:eastAsia="en-GB"/>
    </w:rPr>
  </w:style>
  <w:style w:type="character" w:customStyle="1" w:styleId="Heading6Char">
    <w:name w:val="Heading 6 Char"/>
    <w:basedOn w:val="DefaultParagraphFont"/>
    <w:link w:val="Heading6"/>
    <w:uiPriority w:val="9"/>
    <w:semiHidden/>
    <w:rsid w:val="002C2D9A"/>
    <w:rPr>
      <w:rFonts w:ascii="Calibri" w:eastAsia="Calibri" w:hAnsi="Calibri" w:cs="Calibri"/>
      <w:b/>
      <w:sz w:val="20"/>
      <w:szCs w:val="20"/>
      <w:lang w:eastAsia="en-GB"/>
    </w:rPr>
  </w:style>
  <w:style w:type="paragraph" w:styleId="Header">
    <w:name w:val="header"/>
    <w:basedOn w:val="Normal"/>
    <w:link w:val="HeaderChar"/>
    <w:uiPriority w:val="99"/>
    <w:unhideWhenUsed/>
    <w:rsid w:val="002C2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D9A"/>
  </w:style>
  <w:style w:type="paragraph" w:styleId="Footer">
    <w:name w:val="footer"/>
    <w:basedOn w:val="Normal"/>
    <w:link w:val="FooterChar"/>
    <w:uiPriority w:val="99"/>
    <w:unhideWhenUsed/>
    <w:rsid w:val="002C2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D9A"/>
  </w:style>
  <w:style w:type="paragraph" w:styleId="Title">
    <w:name w:val="Title"/>
    <w:basedOn w:val="Normal"/>
    <w:next w:val="Normal"/>
    <w:link w:val="TitleChar"/>
    <w:uiPriority w:val="10"/>
    <w:qFormat/>
    <w:rsid w:val="002C2D9A"/>
    <w:pPr>
      <w:keepNext/>
      <w:keepLines/>
      <w:spacing w:before="480" w:after="120"/>
    </w:pPr>
    <w:rPr>
      <w:rFonts w:ascii="Calibri" w:eastAsia="Calibri" w:hAnsi="Calibri" w:cs="Calibri"/>
      <w:b/>
      <w:sz w:val="72"/>
      <w:szCs w:val="72"/>
      <w:lang w:eastAsia="en-GB"/>
    </w:rPr>
  </w:style>
  <w:style w:type="character" w:customStyle="1" w:styleId="TitleChar">
    <w:name w:val="Title Char"/>
    <w:basedOn w:val="DefaultParagraphFont"/>
    <w:link w:val="Title"/>
    <w:uiPriority w:val="10"/>
    <w:rsid w:val="002C2D9A"/>
    <w:rPr>
      <w:rFonts w:ascii="Calibri" w:eastAsia="Calibri" w:hAnsi="Calibri" w:cs="Calibri"/>
      <w:b/>
      <w:sz w:val="72"/>
      <w:szCs w:val="72"/>
      <w:lang w:eastAsia="en-GB"/>
    </w:rPr>
  </w:style>
  <w:style w:type="character" w:styleId="FollowedHyperlink">
    <w:name w:val="FollowedHyperlink"/>
    <w:basedOn w:val="DefaultParagraphFont"/>
    <w:uiPriority w:val="99"/>
    <w:semiHidden/>
    <w:unhideWhenUsed/>
    <w:rsid w:val="002C2D9A"/>
    <w:rPr>
      <w:color w:val="954F72" w:themeColor="followedHyperlink"/>
      <w:u w:val="single"/>
    </w:rPr>
  </w:style>
  <w:style w:type="paragraph" w:styleId="Subtitle">
    <w:name w:val="Subtitle"/>
    <w:basedOn w:val="Normal"/>
    <w:next w:val="Normal"/>
    <w:link w:val="SubtitleChar"/>
    <w:uiPriority w:val="11"/>
    <w:qFormat/>
    <w:rsid w:val="002C2D9A"/>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2C2D9A"/>
    <w:rPr>
      <w:rFonts w:ascii="Georgia" w:eastAsia="Georgia" w:hAnsi="Georgia" w:cs="Georgia"/>
      <w:i/>
      <w:color w:val="666666"/>
      <w:sz w:val="48"/>
      <w:szCs w:val="48"/>
      <w:lang w:eastAsia="en-GB"/>
    </w:rPr>
  </w:style>
  <w:style w:type="paragraph" w:styleId="Caption">
    <w:name w:val="caption"/>
    <w:basedOn w:val="Normal"/>
    <w:next w:val="Normal"/>
    <w:uiPriority w:val="35"/>
    <w:unhideWhenUsed/>
    <w:qFormat/>
    <w:rsid w:val="002C2D9A"/>
    <w:pPr>
      <w:spacing w:after="200" w:line="240" w:lineRule="auto"/>
    </w:pPr>
    <w:rPr>
      <w:rFonts w:ascii="Calibri" w:eastAsia="Calibri" w:hAnsi="Calibri" w:cs="Calibri"/>
      <w:i/>
      <w:iCs/>
      <w:color w:val="44546A" w:themeColor="text2"/>
      <w:sz w:val="18"/>
      <w:szCs w:val="18"/>
      <w:lang w:eastAsia="en-GB"/>
    </w:rPr>
  </w:style>
  <w:style w:type="paragraph" w:styleId="Revision">
    <w:name w:val="Revision"/>
    <w:hidden/>
    <w:uiPriority w:val="99"/>
    <w:semiHidden/>
    <w:rsid w:val="002C2D9A"/>
    <w:pPr>
      <w:spacing w:after="0" w:line="240" w:lineRule="auto"/>
    </w:pPr>
    <w:rPr>
      <w:rFonts w:ascii="Calibri" w:eastAsia="Calibri" w:hAnsi="Calibri" w:cs="Calibri"/>
      <w:lang w:eastAsia="en-GB"/>
    </w:rPr>
  </w:style>
  <w:style w:type="numbering" w:customStyle="1" w:styleId="CurrentList1">
    <w:name w:val="Current List1"/>
    <w:uiPriority w:val="99"/>
    <w:rsid w:val="002C2D9A"/>
    <w:pPr>
      <w:numPr>
        <w:numId w:val="2"/>
      </w:numPr>
    </w:pPr>
  </w:style>
  <w:style w:type="numbering" w:customStyle="1" w:styleId="CurrentList2">
    <w:name w:val="Current List2"/>
    <w:uiPriority w:val="99"/>
    <w:rsid w:val="002C2D9A"/>
    <w:pPr>
      <w:numPr>
        <w:numId w:val="3"/>
      </w:numPr>
    </w:pPr>
  </w:style>
  <w:style w:type="table" w:styleId="ListTable6Colorful">
    <w:name w:val="List Table 6 Colorful"/>
    <w:basedOn w:val="TableNormal"/>
    <w:uiPriority w:val="51"/>
    <w:rsid w:val="002C2D9A"/>
    <w:pPr>
      <w:spacing w:after="0" w:line="240" w:lineRule="auto"/>
    </w:pPr>
    <w:rPr>
      <w:rFonts w:ascii="Calibri" w:eastAsia="Calibri" w:hAnsi="Calibri" w:cs="Calibri"/>
      <w:color w:val="000000" w:themeColor="text1"/>
      <w:lang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2C2D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D9A"/>
    <w:rPr>
      <w:rFonts w:ascii="Segoe UI" w:hAnsi="Segoe UI" w:cs="Segoe UI"/>
      <w:sz w:val="18"/>
      <w:szCs w:val="18"/>
    </w:rPr>
  </w:style>
  <w:style w:type="character" w:styleId="LineNumber">
    <w:name w:val="line number"/>
    <w:basedOn w:val="DefaultParagraphFont"/>
    <w:uiPriority w:val="99"/>
    <w:semiHidden/>
    <w:unhideWhenUsed/>
    <w:rsid w:val="00996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87730">
      <w:bodyDiv w:val="1"/>
      <w:marLeft w:val="0"/>
      <w:marRight w:val="0"/>
      <w:marTop w:val="0"/>
      <w:marBottom w:val="0"/>
      <w:divBdr>
        <w:top w:val="none" w:sz="0" w:space="0" w:color="auto"/>
        <w:left w:val="none" w:sz="0" w:space="0" w:color="auto"/>
        <w:bottom w:val="none" w:sz="0" w:space="0" w:color="auto"/>
        <w:right w:val="none" w:sz="0" w:space="0" w:color="auto"/>
      </w:divBdr>
    </w:div>
    <w:div w:id="546374568">
      <w:bodyDiv w:val="1"/>
      <w:marLeft w:val="0"/>
      <w:marRight w:val="0"/>
      <w:marTop w:val="0"/>
      <w:marBottom w:val="0"/>
      <w:divBdr>
        <w:top w:val="none" w:sz="0" w:space="0" w:color="auto"/>
        <w:left w:val="none" w:sz="0" w:space="0" w:color="auto"/>
        <w:bottom w:val="none" w:sz="0" w:space="0" w:color="auto"/>
        <w:right w:val="none" w:sz="0" w:space="0" w:color="auto"/>
      </w:divBdr>
      <w:divsChild>
        <w:div w:id="2086295789">
          <w:marLeft w:val="0"/>
          <w:marRight w:val="0"/>
          <w:marTop w:val="0"/>
          <w:marBottom w:val="0"/>
          <w:divBdr>
            <w:top w:val="none" w:sz="0" w:space="0" w:color="auto"/>
            <w:left w:val="none" w:sz="0" w:space="0" w:color="auto"/>
            <w:bottom w:val="none" w:sz="0" w:space="0" w:color="auto"/>
            <w:right w:val="none" w:sz="0" w:space="0" w:color="auto"/>
          </w:divBdr>
          <w:divsChild>
            <w:div w:id="450562135">
              <w:marLeft w:val="0"/>
              <w:marRight w:val="0"/>
              <w:marTop w:val="0"/>
              <w:marBottom w:val="0"/>
              <w:divBdr>
                <w:top w:val="none" w:sz="0" w:space="0" w:color="auto"/>
                <w:left w:val="none" w:sz="0" w:space="0" w:color="auto"/>
                <w:bottom w:val="none" w:sz="0" w:space="0" w:color="auto"/>
                <w:right w:val="none" w:sz="0" w:space="0" w:color="auto"/>
              </w:divBdr>
            </w:div>
          </w:divsChild>
        </w:div>
        <w:div w:id="1753159359">
          <w:marLeft w:val="0"/>
          <w:marRight w:val="0"/>
          <w:marTop w:val="0"/>
          <w:marBottom w:val="0"/>
          <w:divBdr>
            <w:top w:val="none" w:sz="0" w:space="0" w:color="auto"/>
            <w:left w:val="none" w:sz="0" w:space="0" w:color="auto"/>
            <w:bottom w:val="none" w:sz="0" w:space="0" w:color="auto"/>
            <w:right w:val="none" w:sz="0" w:space="0" w:color="auto"/>
          </w:divBdr>
          <w:divsChild>
            <w:div w:id="7147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83809">
      <w:bodyDiv w:val="1"/>
      <w:marLeft w:val="0"/>
      <w:marRight w:val="0"/>
      <w:marTop w:val="0"/>
      <w:marBottom w:val="0"/>
      <w:divBdr>
        <w:top w:val="none" w:sz="0" w:space="0" w:color="auto"/>
        <w:left w:val="none" w:sz="0" w:space="0" w:color="auto"/>
        <w:bottom w:val="none" w:sz="0" w:space="0" w:color="auto"/>
        <w:right w:val="none" w:sz="0" w:space="0" w:color="auto"/>
      </w:divBdr>
    </w:div>
    <w:div w:id="1730762076">
      <w:bodyDiv w:val="1"/>
      <w:marLeft w:val="0"/>
      <w:marRight w:val="0"/>
      <w:marTop w:val="0"/>
      <w:marBottom w:val="0"/>
      <w:divBdr>
        <w:top w:val="none" w:sz="0" w:space="0" w:color="auto"/>
        <w:left w:val="none" w:sz="0" w:space="0" w:color="auto"/>
        <w:bottom w:val="none" w:sz="0" w:space="0" w:color="auto"/>
        <w:right w:val="none" w:sz="0" w:space="0" w:color="auto"/>
      </w:divBdr>
    </w:div>
    <w:div w:id="19746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m4jhw/?view_only=1e2fa3e7a86e4463bae563c8d96fed62"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19E2B8AD0FE748A9B80E986B73C3FE" ma:contentTypeVersion="8" ma:contentTypeDescription="Create a new document." ma:contentTypeScope="" ma:versionID="301f4707f5807f0e125fc1a72a8d3fe5">
  <xsd:schema xmlns:xsd="http://www.w3.org/2001/XMLSchema" xmlns:xs="http://www.w3.org/2001/XMLSchema" xmlns:p="http://schemas.microsoft.com/office/2006/metadata/properties" xmlns:ns2="0c59df78-d18e-4768-9863-ec1ff4c06e5d" xmlns:ns3="017a655b-c2d2-454d-8c03-d321f1c11440" targetNamespace="http://schemas.microsoft.com/office/2006/metadata/properties" ma:root="true" ma:fieldsID="e7a75597a18e62bbd19af0d14dadd739" ns2:_="" ns3:_="">
    <xsd:import namespace="0c59df78-d18e-4768-9863-ec1ff4c06e5d"/>
    <xsd:import namespace="017a655b-c2d2-454d-8c03-d321f1c11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9df78-d18e-4768-9863-ec1ff4c06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7a655b-c2d2-454d-8c03-d321f1c114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d339d1-bf3c-4a57-90cc-9c1fa833043c}" ma:internalName="TaxCatchAll" ma:showField="CatchAllData" ma:web="017a655b-c2d2-454d-8c03-d321f1c11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59df78-d18e-4768-9863-ec1ff4c06e5d">
      <Terms xmlns="http://schemas.microsoft.com/office/infopath/2007/PartnerControls"/>
    </lcf76f155ced4ddcb4097134ff3c332f>
    <TaxCatchAll xmlns="017a655b-c2d2-454d-8c03-d321f1c11440" xsi:nil="true"/>
  </documentManagement>
</p:properties>
</file>

<file path=customXml/itemProps1.xml><?xml version="1.0" encoding="utf-8"?>
<ds:datastoreItem xmlns:ds="http://schemas.openxmlformats.org/officeDocument/2006/customXml" ds:itemID="{3CA8ED9D-7D68-48ED-AA25-605EBAD3D2DB}">
  <ds:schemaRefs>
    <ds:schemaRef ds:uri="http://schemas.openxmlformats.org/officeDocument/2006/bibliography"/>
  </ds:schemaRefs>
</ds:datastoreItem>
</file>

<file path=customXml/itemProps2.xml><?xml version="1.0" encoding="utf-8"?>
<ds:datastoreItem xmlns:ds="http://schemas.openxmlformats.org/officeDocument/2006/customXml" ds:itemID="{7BAFB677-2552-42DB-9995-6DA5D0F13A98}"/>
</file>

<file path=customXml/itemProps3.xml><?xml version="1.0" encoding="utf-8"?>
<ds:datastoreItem xmlns:ds="http://schemas.openxmlformats.org/officeDocument/2006/customXml" ds:itemID="{733A2A80-2055-41ED-803B-FC88CFDD6A3C}"/>
</file>

<file path=customXml/itemProps4.xml><?xml version="1.0" encoding="utf-8"?>
<ds:datastoreItem xmlns:ds="http://schemas.openxmlformats.org/officeDocument/2006/customXml" ds:itemID="{EB019839-6421-49AE-B017-D4FD60ADE92F}"/>
</file>

<file path=docProps/app.xml><?xml version="1.0" encoding="utf-8"?>
<Properties xmlns="http://schemas.openxmlformats.org/officeDocument/2006/extended-properties" xmlns:vt="http://schemas.openxmlformats.org/officeDocument/2006/docPropsVTypes">
  <Template>Normal</Template>
  <TotalTime>8</TotalTime>
  <Pages>15</Pages>
  <Words>20147</Words>
  <Characters>114841</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Mcginley</dc:creator>
  <cp:keywords/>
  <dc:description/>
  <cp:lastModifiedBy>Sarah Mcginley</cp:lastModifiedBy>
  <cp:revision>2</cp:revision>
  <dcterms:created xsi:type="dcterms:W3CDTF">2022-12-21T19:47:00Z</dcterms:created>
  <dcterms:modified xsi:type="dcterms:W3CDTF">2022-12-21T19:47:00Z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http://www.zotero.org/styles/harvard-cite-them-right</vt:lpwstr>
  </property>
  <property fmtid="{D5CDD505-2E9C-101B-9397-08002B2CF9AE}" pid="4" name="Mendeley Unique User Id_1">
    <vt:lpwstr>d3fd70df-853c-3a32-a5d4-48c1cdcb236a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0x0101002C19E2B8AD0FE748A9B80E986B73C3FE</vt:lpwstr>
  </property>
</Properties>
</file>