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69EEA" w14:textId="407281EB" w:rsidR="008B16DD" w:rsidRDefault="00AB343E" w:rsidP="008B16DD">
      <w:r>
        <w:t xml:space="preserve">Case note: </w:t>
      </w:r>
      <w:r w:rsidR="00A00C3E">
        <w:t xml:space="preserve">Jepsen v. </w:t>
      </w:r>
      <w:proofErr w:type="spellStart"/>
      <w:r w:rsidR="00A00C3E">
        <w:t>Rakusen</w:t>
      </w:r>
      <w:proofErr w:type="spellEnd"/>
    </w:p>
    <w:p w14:paraId="7844CDE2" w14:textId="3FF98E0B" w:rsidR="006C19F7" w:rsidRDefault="00AB343E" w:rsidP="008B16DD">
      <w:r>
        <w:t xml:space="preserve">Helen </w:t>
      </w:r>
      <w:proofErr w:type="spellStart"/>
      <w:r>
        <w:t>Carr</w:t>
      </w:r>
      <w:proofErr w:type="spellEnd"/>
      <w:r>
        <w:t>, University of Southampton and Edward Kirton-Darling, University of Bristol</w:t>
      </w:r>
    </w:p>
    <w:p w14:paraId="19D07B59" w14:textId="1A5CE82D" w:rsidR="006C19F7" w:rsidRDefault="00BD1ED9" w:rsidP="008B16DD">
      <w:r>
        <w:t xml:space="preserve">In the context of seemingly </w:t>
      </w:r>
      <w:r w:rsidR="00F24062">
        <w:t>intractable</w:t>
      </w:r>
      <w:r>
        <w:t xml:space="preserve"> poor conditions in private rental housing, what weight should the courts give to</w:t>
      </w:r>
      <w:r w:rsidR="006C574E">
        <w:t xml:space="preserve"> </w:t>
      </w:r>
      <w:r w:rsidR="007363FA">
        <w:t>promoting public good</w:t>
      </w:r>
      <w:r w:rsidR="006C574E">
        <w:t xml:space="preserve"> </w:t>
      </w:r>
      <w:r>
        <w:t>when interpreting complex statutory provisions?</w:t>
      </w:r>
      <w:r w:rsidR="006C574E">
        <w:t xml:space="preserve"> </w:t>
      </w:r>
      <w:r w:rsidR="00EB18AA">
        <w:t xml:space="preserve">This </w:t>
      </w:r>
      <w:r>
        <w:t>question is critical to our examination of</w:t>
      </w:r>
      <w:r w:rsidR="006C574E">
        <w:t xml:space="preserve"> </w:t>
      </w:r>
      <w:r w:rsidR="00EB18AA">
        <w:t xml:space="preserve">the decision of the Court of Appeal in </w:t>
      </w:r>
      <w:r w:rsidR="00FE3BB4" w:rsidRPr="00ED74A9">
        <w:rPr>
          <w:i/>
          <w:iCs/>
        </w:rPr>
        <w:t xml:space="preserve">Jepsen v. </w:t>
      </w:r>
      <w:proofErr w:type="spellStart"/>
      <w:r w:rsidR="00FE3BB4" w:rsidRPr="00ED74A9">
        <w:rPr>
          <w:i/>
          <w:iCs/>
        </w:rPr>
        <w:t>Rakusen</w:t>
      </w:r>
      <w:proofErr w:type="spellEnd"/>
      <w:r w:rsidR="00FE3BB4">
        <w:t xml:space="preserve"> [2021] EWCA </w:t>
      </w:r>
      <w:proofErr w:type="spellStart"/>
      <w:r w:rsidR="00FE3BB4">
        <w:t>Civ</w:t>
      </w:r>
      <w:proofErr w:type="spellEnd"/>
      <w:r w:rsidR="00FE3BB4">
        <w:t xml:space="preserve"> 1150</w:t>
      </w:r>
      <w:r w:rsidR="00EB18AA">
        <w:t>,</w:t>
      </w:r>
      <w:r w:rsidR="00B41D45">
        <w:t xml:space="preserve"> </w:t>
      </w:r>
      <w:r w:rsidR="00EB18AA">
        <w:t xml:space="preserve">shortly to be heard on appeal in the Supreme Court. The case </w:t>
      </w:r>
      <w:r w:rsidR="009B15F8">
        <w:t>concerned</w:t>
      </w:r>
      <w:r w:rsidR="00086567">
        <w:t xml:space="preserve"> the Rent Repayment Order </w:t>
      </w:r>
      <w:r w:rsidR="006538E8">
        <w:t xml:space="preserve">(RRO) </w:t>
      </w:r>
      <w:r w:rsidR="00086567">
        <w:t xml:space="preserve">– a novel, </w:t>
      </w:r>
      <w:r w:rsidR="00304E4C">
        <w:t>tenant-oriented</w:t>
      </w:r>
      <w:r w:rsidR="00897A94">
        <w:t xml:space="preserve"> remedy</w:t>
      </w:r>
      <w:r w:rsidR="00304E4C">
        <w:t xml:space="preserve"> for</w:t>
      </w:r>
      <w:r w:rsidR="006C574E">
        <w:t xml:space="preserve"> </w:t>
      </w:r>
      <w:r w:rsidR="00304E4C">
        <w:t>breaches of housing law</w:t>
      </w:r>
      <w:r w:rsidR="00011A9E">
        <w:t xml:space="preserve"> </w:t>
      </w:r>
      <w:r w:rsidR="00897A94">
        <w:t>– and</w:t>
      </w:r>
      <w:r w:rsidR="006C574E">
        <w:t xml:space="preserve"> </w:t>
      </w:r>
      <w:r w:rsidR="00897A94">
        <w:t xml:space="preserve">the question of who is potentially liable to </w:t>
      </w:r>
      <w:r w:rsidR="006538E8">
        <w:t xml:space="preserve">repay </w:t>
      </w:r>
      <w:r w:rsidR="00304E4C">
        <w:t xml:space="preserve">rent under the provisions. </w:t>
      </w:r>
      <w:r w:rsidR="006538E8">
        <w:t xml:space="preserve">This case note examines </w:t>
      </w:r>
      <w:r w:rsidR="00CE291B">
        <w:rPr>
          <w:i/>
          <w:iCs/>
        </w:rPr>
        <w:t>Jepson</w:t>
      </w:r>
      <w:r w:rsidR="00011A9E">
        <w:rPr>
          <w:i/>
          <w:iCs/>
        </w:rPr>
        <w:t xml:space="preserve"> </w:t>
      </w:r>
      <w:r w:rsidR="006538E8">
        <w:t xml:space="preserve">in three parts: firstly setting out the </w:t>
      </w:r>
      <w:r w:rsidR="00602ECD">
        <w:t xml:space="preserve">wider </w:t>
      </w:r>
      <w:r w:rsidR="006538E8">
        <w:t>context</w:t>
      </w:r>
      <w:r w:rsidR="00602ECD">
        <w:t xml:space="preserve">, </w:t>
      </w:r>
      <w:r w:rsidR="00304E4C">
        <w:t>then</w:t>
      </w:r>
      <w:r w:rsidR="00602ECD">
        <w:t xml:space="preserve"> </w:t>
      </w:r>
      <w:r w:rsidR="00137420">
        <w:t xml:space="preserve">critiquing </w:t>
      </w:r>
      <w:r w:rsidR="00602ECD">
        <w:t xml:space="preserve">the reasoning in the Court of Appeal, </w:t>
      </w:r>
      <w:r w:rsidR="00265A9A">
        <w:t>before</w:t>
      </w:r>
      <w:r w:rsidR="00602ECD">
        <w:t xml:space="preserve"> considering ways forward</w:t>
      </w:r>
      <w:r w:rsidR="002061ED">
        <w:t xml:space="preserve"> for the RRO.</w:t>
      </w:r>
    </w:p>
    <w:p w14:paraId="22B0FF70" w14:textId="26F86AC0" w:rsidR="00396601" w:rsidRDefault="00E73B42" w:rsidP="00A27C94">
      <w:r>
        <w:t>I</w:t>
      </w:r>
      <w:r w:rsidR="00F24062">
        <w:t>ntroduced</w:t>
      </w:r>
      <w:r w:rsidR="008C4C6C">
        <w:t xml:space="preserve"> </w:t>
      </w:r>
      <w:r w:rsidR="00DE003F">
        <w:t xml:space="preserve">in the Housing Act 2004, </w:t>
      </w:r>
      <w:r w:rsidR="00D100BF">
        <w:t xml:space="preserve">the original aim was to ensure that local authorities could reclaim housing benefit from criminal landlords. However, during </w:t>
      </w:r>
      <w:r w:rsidR="0031351D">
        <w:t>parliamentary</w:t>
      </w:r>
      <w:r w:rsidR="006C574E">
        <w:t xml:space="preserve"> </w:t>
      </w:r>
      <w:r w:rsidR="00D100BF">
        <w:t xml:space="preserve">debates, </w:t>
      </w:r>
      <w:r w:rsidR="000C54EE" w:rsidRPr="000C54EE">
        <w:t xml:space="preserve">one MP </w:t>
      </w:r>
      <w:r w:rsidR="000C54EE">
        <w:t xml:space="preserve">asked why, </w:t>
      </w:r>
      <w:r w:rsidR="000C54EE" w:rsidRPr="000C54EE">
        <w:t xml:space="preserve">if local authorities could </w:t>
      </w:r>
      <w:r w:rsidR="0031351D">
        <w:t>recoup rent</w:t>
      </w:r>
      <w:r w:rsidR="000C54EE" w:rsidRPr="000C54EE">
        <w:t xml:space="preserve">, tenants </w:t>
      </w:r>
      <w:r w:rsidR="000C54EE">
        <w:t xml:space="preserve">should not </w:t>
      </w:r>
      <w:r w:rsidR="000C54EE" w:rsidRPr="000C54EE">
        <w:t xml:space="preserve">also be able to </w:t>
      </w:r>
      <w:r w:rsidR="0031351D">
        <w:t>do so?</w:t>
      </w:r>
      <w:r w:rsidR="000C54EE">
        <w:t xml:space="preserve"> </w:t>
      </w:r>
      <w:r w:rsidR="00304E4C">
        <w:t>The logic appeared irrefutable, so</w:t>
      </w:r>
      <w:r w:rsidR="006C574E">
        <w:t xml:space="preserve"> </w:t>
      </w:r>
      <w:r w:rsidR="00304E4C">
        <w:t>tenants as well as</w:t>
      </w:r>
      <w:r>
        <w:t xml:space="preserve"> </w:t>
      </w:r>
      <w:r w:rsidR="00704667">
        <w:t xml:space="preserve">local authorities were </w:t>
      </w:r>
      <w:r w:rsidR="00304E4C">
        <w:t>enabled</w:t>
      </w:r>
      <w:r w:rsidR="00704667">
        <w:t xml:space="preserve"> to apply </w:t>
      </w:r>
      <w:r w:rsidR="000E2575">
        <w:t xml:space="preserve">for an RRO to </w:t>
      </w:r>
      <w:r w:rsidR="009B15F8">
        <w:t xml:space="preserve">what is </w:t>
      </w:r>
      <w:r w:rsidR="0079007C">
        <w:t>now the First Tier Tribunal, Property Division</w:t>
      </w:r>
      <w:r w:rsidR="00387A59">
        <w:t xml:space="preserve"> (FTT)</w:t>
      </w:r>
      <w:r w:rsidR="0079007C">
        <w:t xml:space="preserve">. </w:t>
      </w:r>
      <w:r w:rsidR="0031351D">
        <w:t>Because</w:t>
      </w:r>
      <w:r w:rsidR="004840DE">
        <w:t xml:space="preserve"> the 2004 Act</w:t>
      </w:r>
      <w:r w:rsidR="0031351D">
        <w:t xml:space="preserve"> limited</w:t>
      </w:r>
      <w:r w:rsidR="006C574E">
        <w:t xml:space="preserve"> </w:t>
      </w:r>
      <w:r w:rsidR="00304E4C">
        <w:t xml:space="preserve">RROs to </w:t>
      </w:r>
      <w:r w:rsidR="0031351D">
        <w:t>claims against landlords who had been</w:t>
      </w:r>
      <w:r>
        <w:t xml:space="preserve"> c</w:t>
      </w:r>
      <w:r w:rsidR="004840DE">
        <w:t xml:space="preserve">onvicted of a criminal offence, </w:t>
      </w:r>
      <w:r w:rsidR="0031351D">
        <w:t>the provisions were</w:t>
      </w:r>
      <w:r w:rsidR="004840DE">
        <w:t xml:space="preserve"> little used</w:t>
      </w:r>
      <w:r w:rsidR="0031351D">
        <w:t>. However</w:t>
      </w:r>
      <w:r w:rsidR="00BB2BCA">
        <w:t xml:space="preserve"> the Housing &amp; Planning Act 2016</w:t>
      </w:r>
      <w:r w:rsidR="0031351D">
        <w:t xml:space="preserve"> extended the scope of the remedy.</w:t>
      </w:r>
      <w:r w:rsidR="006C574E">
        <w:t xml:space="preserve"> </w:t>
      </w:r>
      <w:r w:rsidR="0031351D">
        <w:t>In particular</w:t>
      </w:r>
      <w:r w:rsidR="006C574E">
        <w:t xml:space="preserve"> </w:t>
      </w:r>
      <w:r w:rsidR="0031351D">
        <w:t>the statute provided</w:t>
      </w:r>
      <w:r w:rsidR="006C574E">
        <w:t xml:space="preserve"> </w:t>
      </w:r>
      <w:r w:rsidR="00F8709F">
        <w:t>that</w:t>
      </w:r>
      <w:r w:rsidR="006C574E">
        <w:t xml:space="preserve"> </w:t>
      </w:r>
      <w:r w:rsidR="0031351D">
        <w:t xml:space="preserve">a tenant could apply for an RRO </w:t>
      </w:r>
      <w:r w:rsidR="00E7376C">
        <w:t xml:space="preserve">where a landlord is found to have committed </w:t>
      </w:r>
      <w:r w:rsidR="0031351D">
        <w:t xml:space="preserve"> of </w:t>
      </w:r>
      <w:r w:rsidR="00E7376C">
        <w:t>a</w:t>
      </w:r>
      <w:r w:rsidR="009B15F8">
        <w:t>n</w:t>
      </w:r>
      <w:r w:rsidR="00E7376C">
        <w:t xml:space="preserve"> offence contained in s.</w:t>
      </w:r>
      <w:r w:rsidR="00396601">
        <w:t>40(3)</w:t>
      </w:r>
      <w:r w:rsidR="00E81122">
        <w:t>, removing the requirement for a conviction</w:t>
      </w:r>
      <w:r w:rsidR="00DB29DA" w:rsidRPr="00DB29DA">
        <w:t>.</w:t>
      </w:r>
      <w:r w:rsidR="00F003D8">
        <w:t xml:space="preserve"> </w:t>
      </w:r>
      <w:r w:rsidR="00A27C94">
        <w:t>A local authority can also apply, but only</w:t>
      </w:r>
      <w:r w:rsidR="006C574E">
        <w:t xml:space="preserve"> </w:t>
      </w:r>
      <w:r w:rsidR="00CE291B">
        <w:t>to recover that element of</w:t>
      </w:r>
      <w:r w:rsidR="006C574E">
        <w:t xml:space="preserve"> </w:t>
      </w:r>
      <w:r w:rsidR="00CE291B">
        <w:t>the rent</w:t>
      </w:r>
      <w:r w:rsidR="00A27C94">
        <w:t xml:space="preserve"> </w:t>
      </w:r>
      <w:r w:rsidR="00CE291B">
        <w:t>paid</w:t>
      </w:r>
      <w:r w:rsidR="00A27C94">
        <w:t xml:space="preserve"> by state benefits</w:t>
      </w:r>
      <w:r w:rsidR="00CE291B">
        <w:t>.</w:t>
      </w:r>
      <w:r w:rsidR="002F4C23">
        <w:t xml:space="preserve"> </w:t>
      </w:r>
      <w:r w:rsidR="00D3040B">
        <w:t>W</w:t>
      </w:r>
      <w:r w:rsidR="00CE291B">
        <w:t>here there is no conviction the applicant must prove before the FTT that the offence was committed beyond reasonable doubt.</w:t>
      </w:r>
      <w:r w:rsidR="006C574E">
        <w:t xml:space="preserve"> </w:t>
      </w:r>
      <w:r w:rsidR="00044399">
        <w:t>The</w:t>
      </w:r>
      <w:r w:rsidR="00A20FFA">
        <w:t>se</w:t>
      </w:r>
      <w:r w:rsidR="00044399">
        <w:t xml:space="preserve"> offences include </w:t>
      </w:r>
      <w:r w:rsidR="00044399" w:rsidRPr="005A269D">
        <w:t>illegally evicting or harassing occupiers, fail</w:t>
      </w:r>
      <w:r w:rsidR="00044399">
        <w:t>ing</w:t>
      </w:r>
      <w:r w:rsidR="00044399" w:rsidRPr="005A269D">
        <w:t xml:space="preserve"> to comply with local authority </w:t>
      </w:r>
      <w:r w:rsidR="00044399">
        <w:t>orders to mitigate</w:t>
      </w:r>
      <w:r w:rsidR="00044399" w:rsidRPr="005A269D">
        <w:t xml:space="preserve"> health and safety risks, </w:t>
      </w:r>
      <w:r w:rsidR="00A20FFA">
        <w:t xml:space="preserve">or </w:t>
      </w:r>
      <w:r w:rsidR="00044399" w:rsidRPr="005A269D">
        <w:t xml:space="preserve">failing to </w:t>
      </w:r>
      <w:r w:rsidR="00044399">
        <w:t>licence properties where required</w:t>
      </w:r>
      <w:r w:rsidR="00044399" w:rsidRPr="005A269D">
        <w:t>.</w:t>
      </w:r>
      <w:r w:rsidR="00044399">
        <w:t xml:space="preserve"> </w:t>
      </w:r>
      <w:r w:rsidR="00265A9A">
        <w:t>If successful</w:t>
      </w:r>
      <w:r w:rsidR="00F072C5">
        <w:t xml:space="preserve">, the </w:t>
      </w:r>
      <w:r w:rsidR="00226464">
        <w:t>applicant</w:t>
      </w:r>
      <w:r w:rsidR="00F072C5">
        <w:t xml:space="preserve"> can receive up to a year’s rent</w:t>
      </w:r>
      <w:r w:rsidR="006C574E">
        <w:t xml:space="preserve"> </w:t>
      </w:r>
      <w:r w:rsidR="00CE291B">
        <w:t>which</w:t>
      </w:r>
      <w:r w:rsidR="00044399">
        <w:t>,</w:t>
      </w:r>
      <w:r w:rsidR="00CE291B">
        <w:t xml:space="preserve"> at a time of spiralling rents, can be substantially higher than fines imposed for equivalent offences in the magistrates court.</w:t>
      </w:r>
      <w:r w:rsidR="006C574E">
        <w:t xml:space="preserve"> </w:t>
      </w:r>
      <w:r w:rsidR="005A269D">
        <w:t>In effect, the RRO turns</w:t>
      </w:r>
      <w:r w:rsidR="00946220">
        <w:t xml:space="preserve"> </w:t>
      </w:r>
      <w:r w:rsidR="008A566E">
        <w:t>individual</w:t>
      </w:r>
      <w:r w:rsidR="00226464">
        <w:t xml:space="preserve"> residents </w:t>
      </w:r>
      <w:r w:rsidR="002C5444">
        <w:t>into prosecutors</w:t>
      </w:r>
      <w:r w:rsidR="009032F1">
        <w:t xml:space="preserve"> </w:t>
      </w:r>
      <w:r w:rsidR="00CE291B">
        <w:t>of poor</w:t>
      </w:r>
      <w:r w:rsidR="00946220">
        <w:t xml:space="preserve"> </w:t>
      </w:r>
      <w:r w:rsidR="009032F1">
        <w:t>standards in the private rented sector</w:t>
      </w:r>
      <w:r w:rsidR="00E87D23">
        <w:t xml:space="preserve">, providing a </w:t>
      </w:r>
      <w:r w:rsidR="0003257E">
        <w:t xml:space="preserve">real </w:t>
      </w:r>
      <w:r w:rsidR="00E87D23">
        <w:t xml:space="preserve">incentive to bring proceedings, </w:t>
      </w:r>
      <w:r w:rsidR="00265A9A" w:rsidRPr="00A152EC">
        <w:t xml:space="preserve">whilst </w:t>
      </w:r>
      <w:r w:rsidR="00E87D23" w:rsidRPr="00265A9A">
        <w:t xml:space="preserve">also </w:t>
      </w:r>
      <w:r w:rsidR="00B30CB2">
        <w:t>requiring them to meet the criminal standard</w:t>
      </w:r>
      <w:r w:rsidR="006C574E">
        <w:t xml:space="preserve"> </w:t>
      </w:r>
      <w:r w:rsidR="00BA1462" w:rsidRPr="00265A9A">
        <w:t xml:space="preserve">of proof </w:t>
      </w:r>
      <w:r w:rsidR="00B30CB2">
        <w:t>and</w:t>
      </w:r>
      <w:r w:rsidR="00B30CB2" w:rsidRPr="00265A9A">
        <w:t xml:space="preserve"> </w:t>
      </w:r>
      <w:r w:rsidR="00F62A5C" w:rsidRPr="00265A9A">
        <w:t>negotiat</w:t>
      </w:r>
      <w:r w:rsidR="00B30CB2">
        <w:t>e</w:t>
      </w:r>
      <w:r w:rsidR="00F62A5C">
        <w:t xml:space="preserve"> </w:t>
      </w:r>
      <w:r w:rsidR="008E4EC7">
        <w:t xml:space="preserve">their way through </w:t>
      </w:r>
      <w:r w:rsidR="00F62A5C">
        <w:t xml:space="preserve">a procedurally and legally </w:t>
      </w:r>
      <w:r w:rsidR="00BA1462">
        <w:t xml:space="preserve">complex </w:t>
      </w:r>
      <w:r w:rsidR="008E4EC7">
        <w:t>process.</w:t>
      </w:r>
    </w:p>
    <w:p w14:paraId="600F65F1" w14:textId="18E00D76" w:rsidR="007B6142" w:rsidRDefault="00ED74A9" w:rsidP="00ED74A9">
      <w:r>
        <w:t xml:space="preserve">The </w:t>
      </w:r>
      <w:r w:rsidR="003D4EC2">
        <w:t>central legal issue</w:t>
      </w:r>
      <w:r w:rsidR="006C574E">
        <w:t xml:space="preserve"> </w:t>
      </w:r>
      <w:r w:rsidR="00806117">
        <w:t>for the Court of Appeal</w:t>
      </w:r>
      <w:r w:rsidR="00EA592A">
        <w:t xml:space="preserve"> </w:t>
      </w:r>
      <w:r w:rsidR="00806117">
        <w:t>was</w:t>
      </w:r>
      <w:r w:rsidR="00B30CB2">
        <w:t xml:space="preserve"> </w:t>
      </w:r>
      <w:r w:rsidR="003D4EC2">
        <w:t xml:space="preserve">whether </w:t>
      </w:r>
      <w:r w:rsidR="001A2F2B">
        <w:t xml:space="preserve">an RRO can only be made against </w:t>
      </w:r>
      <w:r>
        <w:t xml:space="preserve">an </w:t>
      </w:r>
      <w:r w:rsidR="001A2F2B">
        <w:t xml:space="preserve">immediate landlord, or whether a superior landlord might </w:t>
      </w:r>
      <w:r w:rsidR="00806117">
        <w:t>also be</w:t>
      </w:r>
      <w:r w:rsidR="00B56042">
        <w:t xml:space="preserve"> liable</w:t>
      </w:r>
      <w:r w:rsidR="00874792">
        <w:t xml:space="preserve">. </w:t>
      </w:r>
      <w:r w:rsidR="00895607">
        <w:t xml:space="preserve">Mr </w:t>
      </w:r>
      <w:proofErr w:type="spellStart"/>
      <w:r w:rsidR="007B6142">
        <w:t>Rakusen</w:t>
      </w:r>
      <w:proofErr w:type="spellEnd"/>
      <w:r w:rsidR="007B6142">
        <w:t xml:space="preserve"> </w:t>
      </w:r>
      <w:r w:rsidR="00895607">
        <w:t xml:space="preserve">owned a flat in north London. In 2016 he granted a tenancy to </w:t>
      </w:r>
      <w:r w:rsidR="00A24248">
        <w:t>Kensington Property Investment Group Ltd (KPIG)</w:t>
      </w:r>
      <w:r w:rsidR="00D004A7">
        <w:t xml:space="preserve">, granting KPIG the right to sublet. KPIG </w:t>
      </w:r>
      <w:r w:rsidR="007D7197">
        <w:t>purported to grant licences to Jepsen and others to live in the property</w:t>
      </w:r>
      <w:r w:rsidR="00D1736B">
        <w:t xml:space="preserve">. However, </w:t>
      </w:r>
      <w:r w:rsidR="00C66181">
        <w:t xml:space="preserve">despite </w:t>
      </w:r>
      <w:r w:rsidR="000544F2">
        <w:t xml:space="preserve">the property meeting the </w:t>
      </w:r>
      <w:r w:rsidR="00C101C2">
        <w:t xml:space="preserve">legislative </w:t>
      </w:r>
      <w:r w:rsidR="000922CA">
        <w:t xml:space="preserve">definition of </w:t>
      </w:r>
      <w:r w:rsidR="000544F2">
        <w:t>a House in Multiple Occupation</w:t>
      </w:r>
      <w:r w:rsidR="00B579CF">
        <w:t xml:space="preserve"> no application was made to the local authority for </w:t>
      </w:r>
      <w:r w:rsidR="00265A9A">
        <w:t>the requisite</w:t>
      </w:r>
      <w:r w:rsidR="00B579CF">
        <w:t xml:space="preserve"> licence. </w:t>
      </w:r>
      <w:r w:rsidR="008E6D92">
        <w:t xml:space="preserve">Based on this failure, the applicants </w:t>
      </w:r>
      <w:r w:rsidR="00C3091F">
        <w:t>sought an RRO,</w:t>
      </w:r>
      <w:r w:rsidR="00B30CB2">
        <w:t xml:space="preserve"> and the</w:t>
      </w:r>
      <w:r w:rsidR="005607D2">
        <w:t xml:space="preserve"> </w:t>
      </w:r>
      <w:r w:rsidR="001354E4">
        <w:t xml:space="preserve">First Tier Tribunal and the Upper Tribunal </w:t>
      </w:r>
      <w:r w:rsidR="00B7236C">
        <w:t xml:space="preserve">(UT) </w:t>
      </w:r>
      <w:r w:rsidR="001354E4">
        <w:t xml:space="preserve">held that </w:t>
      </w:r>
      <w:r w:rsidR="00F41A72">
        <w:t xml:space="preserve">an RRO could be made against </w:t>
      </w:r>
      <w:r w:rsidR="00C3091F">
        <w:t xml:space="preserve">Mr </w:t>
      </w:r>
      <w:proofErr w:type="spellStart"/>
      <w:r w:rsidR="00F41A72">
        <w:t>Rakusen</w:t>
      </w:r>
      <w:proofErr w:type="spellEnd"/>
      <w:r w:rsidR="00F41A72">
        <w:t>, even though he was not the direct landlord of the applicants.</w:t>
      </w:r>
    </w:p>
    <w:p w14:paraId="300C9FC4" w14:textId="5E20069A" w:rsidR="00F41A72" w:rsidRDefault="00C17264" w:rsidP="00ED74A9">
      <w:r>
        <w:t>The Court of Appeal disagreed.</w:t>
      </w:r>
      <w:r w:rsidR="00ED2CF5">
        <w:t xml:space="preserve"> Central to the reasoning of</w:t>
      </w:r>
      <w:r w:rsidR="006C574E">
        <w:t xml:space="preserve"> </w:t>
      </w:r>
      <w:r w:rsidR="00ED2CF5">
        <w:t xml:space="preserve">Arnold LJ and </w:t>
      </w:r>
      <w:r w:rsidR="00A44633">
        <w:t>Andrews</w:t>
      </w:r>
      <w:r w:rsidR="00304A03">
        <w:t xml:space="preserve"> LJ (Baker LJ agreed with both) was</w:t>
      </w:r>
      <w:r w:rsidR="006C574E">
        <w:t xml:space="preserve"> </w:t>
      </w:r>
      <w:r w:rsidR="00B30CB2">
        <w:t>the statutory powers given to</w:t>
      </w:r>
      <w:r w:rsidR="00304A03">
        <w:t xml:space="preserve"> the local authority</w:t>
      </w:r>
      <w:r w:rsidR="00451607">
        <w:t>.</w:t>
      </w:r>
      <w:r w:rsidR="00FF3450">
        <w:t xml:space="preserve"> The reasoning – and the problem with it – requires close examination of the legislation</w:t>
      </w:r>
      <w:r w:rsidR="00CD067C">
        <w:t>, and the provision in s</w:t>
      </w:r>
      <w:r w:rsidR="008C6F70">
        <w:t xml:space="preserve">.40(2) </w:t>
      </w:r>
      <w:r w:rsidR="00CD067C">
        <w:t xml:space="preserve">in particular. It provides that </w:t>
      </w:r>
    </w:p>
    <w:p w14:paraId="35DBEA9B" w14:textId="54B34044" w:rsidR="005B7ECE" w:rsidRPr="005B7ECE" w:rsidRDefault="005B7ECE" w:rsidP="005B7ECE">
      <w:pPr>
        <w:ind w:left="720"/>
      </w:pPr>
      <w:r>
        <w:t>s.40</w:t>
      </w:r>
      <w:r w:rsidRPr="005B7ECE">
        <w:t>(2)</w:t>
      </w:r>
      <w:r w:rsidR="006C574E">
        <w:t xml:space="preserve"> </w:t>
      </w:r>
      <w:r w:rsidRPr="005B7ECE">
        <w:t xml:space="preserve">A rent repayment order is an order requiring the landlord under </w:t>
      </w:r>
      <w:r w:rsidRPr="00A152EC">
        <w:rPr>
          <w:b/>
          <w:bCs/>
        </w:rPr>
        <w:t>a tenancy of housing</w:t>
      </w:r>
      <w:r w:rsidRPr="005B7ECE">
        <w:t xml:space="preserve"> in England to—</w:t>
      </w:r>
    </w:p>
    <w:p w14:paraId="50C4153F" w14:textId="744FEFCC" w:rsidR="005B7ECE" w:rsidRPr="005B7ECE" w:rsidRDefault="005B7ECE" w:rsidP="005B7ECE">
      <w:pPr>
        <w:ind w:left="720"/>
      </w:pPr>
      <w:r w:rsidRPr="005B7ECE">
        <w:lastRenderedPageBreak/>
        <w:t>(a)</w:t>
      </w:r>
      <w:r w:rsidR="006C574E">
        <w:t xml:space="preserve"> </w:t>
      </w:r>
      <w:r w:rsidRPr="005B7ECE">
        <w:t xml:space="preserve">repay an amount of rent paid by </w:t>
      </w:r>
      <w:r w:rsidRPr="00A152EC">
        <w:rPr>
          <w:b/>
          <w:bCs/>
        </w:rPr>
        <w:t>a tenant</w:t>
      </w:r>
      <w:r w:rsidRPr="005B7ECE">
        <w:t>, or</w:t>
      </w:r>
    </w:p>
    <w:p w14:paraId="5688F2E6" w14:textId="14F1AC4D" w:rsidR="00CD067C" w:rsidRDefault="005B7ECE" w:rsidP="005B7ECE">
      <w:pPr>
        <w:ind w:left="720"/>
      </w:pPr>
      <w:r w:rsidRPr="005B7ECE">
        <w:t>(b)</w:t>
      </w:r>
      <w:r w:rsidR="006C574E">
        <w:t xml:space="preserve"> </w:t>
      </w:r>
      <w:r w:rsidRPr="005B7ECE">
        <w:t xml:space="preserve">pay a local housing authority an amount in respect of a relevant award of universal credit paid (to any person) in respect of rent under </w:t>
      </w:r>
      <w:r w:rsidRPr="00A152EC">
        <w:rPr>
          <w:b/>
          <w:bCs/>
        </w:rPr>
        <w:t>the tenancy</w:t>
      </w:r>
      <w:r w:rsidRPr="005B7ECE">
        <w:t>.</w:t>
      </w:r>
    </w:p>
    <w:p w14:paraId="7C0C5A90" w14:textId="3FA2C4E3" w:rsidR="002952D4" w:rsidRDefault="00CB5FAF" w:rsidP="00ED74A9">
      <w:r>
        <w:t xml:space="preserve">The argument </w:t>
      </w:r>
      <w:r w:rsidR="00821BF0">
        <w:t xml:space="preserve">accepted </w:t>
      </w:r>
      <w:r w:rsidR="00B41D4E">
        <w:t xml:space="preserve">at the FTT and UT </w:t>
      </w:r>
      <w:r w:rsidR="00821BF0">
        <w:t xml:space="preserve">was that references to ‘a’ tenancy and </w:t>
      </w:r>
      <w:r w:rsidR="00F60E3B">
        <w:t xml:space="preserve">‘a’ tenant meant that superior landlords could be caught by the provision. </w:t>
      </w:r>
      <w:r w:rsidR="002604AC">
        <w:t xml:space="preserve">However, in those decisions, it was accepted that </w:t>
      </w:r>
      <w:r w:rsidR="007F6D39">
        <w:t xml:space="preserve">references to </w:t>
      </w:r>
      <w:r w:rsidR="002604AC">
        <w:t xml:space="preserve">‘the’ tenancy in </w:t>
      </w:r>
      <w:r w:rsidR="00C24B6E">
        <w:t xml:space="preserve">part </w:t>
      </w:r>
      <w:r w:rsidR="00BE6CE0">
        <w:t>s.40(2)</w:t>
      </w:r>
      <w:r w:rsidR="00C24B6E">
        <w:t xml:space="preserve">(b) applicant </w:t>
      </w:r>
      <w:r w:rsidR="008B0BCC">
        <w:t xml:space="preserve">meant that a potential local authority applicant could only apply </w:t>
      </w:r>
      <w:r w:rsidR="00197B97">
        <w:t xml:space="preserve">against </w:t>
      </w:r>
      <w:r w:rsidR="00077EC3">
        <w:t>an</w:t>
      </w:r>
      <w:r w:rsidR="00197B97">
        <w:t xml:space="preserve"> immediate landlord</w:t>
      </w:r>
      <w:r w:rsidR="00B638E8">
        <w:t xml:space="preserve">. </w:t>
      </w:r>
      <w:r w:rsidR="00DF7E7D">
        <w:t xml:space="preserve">For the Court of Appeal, this </w:t>
      </w:r>
      <w:r w:rsidR="00553F29">
        <w:t>was crucial</w:t>
      </w:r>
      <w:r w:rsidR="00961F5C">
        <w:t xml:space="preserve">, and necessarily has </w:t>
      </w:r>
      <w:r w:rsidR="00BE6CE0">
        <w:t xml:space="preserve">a </w:t>
      </w:r>
      <w:r w:rsidR="00265A9A">
        <w:t>knock-on</w:t>
      </w:r>
      <w:r w:rsidR="00BE6CE0">
        <w:t xml:space="preserve"> effect for the interpretation of s.40(2) and s.40(2)(a)</w:t>
      </w:r>
      <w:r w:rsidR="00093D29">
        <w:t xml:space="preserve">, because it is ‘a very strong indicator </w:t>
      </w:r>
      <w:r w:rsidR="00B245EB">
        <w:t xml:space="preserve">that for the purposes of construing the section as a whole, the “tenancy of housing” referred to in the </w:t>
      </w:r>
      <w:r w:rsidR="00E731E6">
        <w:t xml:space="preserve">opening lines is a direct tenancy’ </w:t>
      </w:r>
      <w:r w:rsidR="00616969">
        <w:t>(Andrews LJ</w:t>
      </w:r>
      <w:r w:rsidR="002B55CA">
        <w:t>, para 49).</w:t>
      </w:r>
      <w:r w:rsidR="0070129A">
        <w:t xml:space="preserve"> </w:t>
      </w:r>
    </w:p>
    <w:p w14:paraId="68CB8E0B" w14:textId="77309BE2" w:rsidR="00383FE9" w:rsidRDefault="00070B55" w:rsidP="00ED74A9">
      <w:r>
        <w:t>T</w:t>
      </w:r>
      <w:r w:rsidR="0075451A">
        <w:t xml:space="preserve">he judgments suggest this point </w:t>
      </w:r>
      <w:r w:rsidR="008C705F">
        <w:t xml:space="preserve">lacked elaboration in written submissions </w:t>
      </w:r>
      <w:r>
        <w:t>and</w:t>
      </w:r>
      <w:r w:rsidR="006C574E">
        <w:t xml:space="preserve"> </w:t>
      </w:r>
      <w:r>
        <w:t xml:space="preserve">was </w:t>
      </w:r>
      <w:r w:rsidR="0075451A">
        <w:t xml:space="preserve">not </w:t>
      </w:r>
      <w:r>
        <w:t xml:space="preserve">explored until </w:t>
      </w:r>
      <w:r w:rsidR="0075451A">
        <w:t>oral argument</w:t>
      </w:r>
      <w:r>
        <w:t xml:space="preserve">. </w:t>
      </w:r>
      <w:r w:rsidR="008B426E">
        <w:t xml:space="preserve">Given the importance of the point to the </w:t>
      </w:r>
      <w:r w:rsidR="00B30CB2">
        <w:t xml:space="preserve">Court of Appeal’s </w:t>
      </w:r>
      <w:r w:rsidR="008B426E">
        <w:t>reasoning, t</w:t>
      </w:r>
      <w:r>
        <w:t>his is unfortunate</w:t>
      </w:r>
      <w:r w:rsidR="00B30CB2">
        <w:t>. We</w:t>
      </w:r>
      <w:r w:rsidR="003757A7">
        <w:t xml:space="preserve"> </w:t>
      </w:r>
      <w:r w:rsidR="0015241E">
        <w:t xml:space="preserve">would suggest that there are other </w:t>
      </w:r>
      <w:r w:rsidR="00806117">
        <w:t>approaches to</w:t>
      </w:r>
      <w:r w:rsidR="0015241E">
        <w:t xml:space="preserve"> this provision</w:t>
      </w:r>
      <w:r w:rsidR="00232669">
        <w:t xml:space="preserve"> </w:t>
      </w:r>
      <w:r w:rsidR="00B30CB2">
        <w:t>and</w:t>
      </w:r>
      <w:r w:rsidR="006C574E">
        <w:t xml:space="preserve"> </w:t>
      </w:r>
      <w:r w:rsidR="006201E9">
        <w:t xml:space="preserve">it is to be hoped that this will be explored further in the Supreme Court. </w:t>
      </w:r>
    </w:p>
    <w:p w14:paraId="4F6A2C60" w14:textId="203DDCFA" w:rsidR="00333DBA" w:rsidRDefault="00423222" w:rsidP="00333DBA">
      <w:r>
        <w:t xml:space="preserve">For example, </w:t>
      </w:r>
      <w:r w:rsidR="008C01FE">
        <w:t xml:space="preserve">it can be argued that </w:t>
      </w:r>
      <w:r w:rsidR="0090275F">
        <w:t>s.40(2)(b) does not limit local authorities to</w:t>
      </w:r>
      <w:r w:rsidR="006C574E">
        <w:t xml:space="preserve"> </w:t>
      </w:r>
      <w:r w:rsidR="0090275F">
        <w:t>claim</w:t>
      </w:r>
      <w:r w:rsidR="00806117">
        <w:t xml:space="preserve"> only</w:t>
      </w:r>
      <w:r w:rsidR="0090275F">
        <w:t xml:space="preserve"> against direct landlords. </w:t>
      </w:r>
      <w:r w:rsidR="00A75FB5">
        <w:t>The use of ‘the</w:t>
      </w:r>
      <w:r w:rsidR="00F9122C">
        <w:t xml:space="preserve"> tenancy’ </w:t>
      </w:r>
      <w:r w:rsidR="006B7A0F">
        <w:t xml:space="preserve">in this section relates to the liability to pay Universal Credit; a </w:t>
      </w:r>
      <w:r w:rsidR="00D35EE9">
        <w:t xml:space="preserve">duty </w:t>
      </w:r>
      <w:r w:rsidR="006B7A0F">
        <w:t xml:space="preserve">which arises on the State when </w:t>
      </w:r>
      <w:r w:rsidR="00D35EE9">
        <w:t>an application for support is made in relation to a specific tenancy</w:t>
      </w:r>
      <w:r w:rsidR="007C6A47">
        <w:t xml:space="preserve">. </w:t>
      </w:r>
      <w:r w:rsidR="008D0085">
        <w:t>It was therefore necessary for the provision to refer to that specific relationship</w:t>
      </w:r>
      <w:r w:rsidR="002E056D">
        <w:t xml:space="preserve">. </w:t>
      </w:r>
      <w:r w:rsidR="007C6A47">
        <w:t xml:space="preserve">However, </w:t>
      </w:r>
      <w:r w:rsidR="002E056D">
        <w:t xml:space="preserve">it does not necessarily follow that ‘a’ tenancy </w:t>
      </w:r>
      <w:r w:rsidR="00AB46DA">
        <w:t xml:space="preserve">earlier in the provision must also refer to that direct relationship. This is because </w:t>
      </w:r>
      <w:r w:rsidR="007C6A47">
        <w:t xml:space="preserve">the provision </w:t>
      </w:r>
      <w:r w:rsidR="00012EB2">
        <w:t xml:space="preserve">focused on local authority </w:t>
      </w:r>
      <w:r w:rsidR="00452914">
        <w:t xml:space="preserve">applications </w:t>
      </w:r>
      <w:r w:rsidR="007C6A47">
        <w:t xml:space="preserve">is not limited in scope to that relationship, </w:t>
      </w:r>
      <w:r w:rsidR="00485642">
        <w:t xml:space="preserve">as it makes clear </w:t>
      </w:r>
      <w:r w:rsidR="007C6A47">
        <w:t xml:space="preserve">that </w:t>
      </w:r>
      <w:r w:rsidR="00DE4792">
        <w:t>it does not matter who the money is paid to</w:t>
      </w:r>
      <w:r w:rsidR="005B6453">
        <w:t xml:space="preserve">. </w:t>
      </w:r>
      <w:r w:rsidR="00C24242">
        <w:t xml:space="preserve">By expressly </w:t>
      </w:r>
      <w:r w:rsidR="0029463C">
        <w:t>including the reference ‘to any person’ t</w:t>
      </w:r>
      <w:r w:rsidR="00F93FCE">
        <w:t xml:space="preserve">he draftsman sought to overcome any efforts to </w:t>
      </w:r>
      <w:r w:rsidR="005B6453">
        <w:t>create artificial barriers to the ability to reclaim public funds</w:t>
      </w:r>
      <w:r w:rsidR="00BC018C">
        <w:t xml:space="preserve"> and denied the importance of privity of contract</w:t>
      </w:r>
      <w:r w:rsidR="000B2A98">
        <w:t xml:space="preserve">. </w:t>
      </w:r>
    </w:p>
    <w:p w14:paraId="4CD137D1" w14:textId="3CEC8BFF" w:rsidR="009D0F43" w:rsidRDefault="00B30CB2" w:rsidP="00B80B98">
      <w:r>
        <w:t>This</w:t>
      </w:r>
      <w:r w:rsidR="00960849">
        <w:t xml:space="preserve"> makes sense in a context in which </w:t>
      </w:r>
      <w:r w:rsidR="007F5EA8">
        <w:t xml:space="preserve">it was accepted that the legislation </w:t>
      </w:r>
      <w:r w:rsidR="003D6BDF">
        <w:t xml:space="preserve">is clear that </w:t>
      </w:r>
      <w:r w:rsidR="00960849">
        <w:t xml:space="preserve">superior landlords </w:t>
      </w:r>
      <w:r w:rsidR="003D6BDF">
        <w:t xml:space="preserve">can </w:t>
      </w:r>
      <w:r w:rsidR="00960849">
        <w:t>commit offences</w:t>
      </w:r>
      <w:r w:rsidR="00333DBA">
        <w:t xml:space="preserve"> and we suggest t</w:t>
      </w:r>
      <w:r w:rsidR="00333DBA">
        <w:t>he provision is designed to go beyond the private relationship between those two, demonstrating the ability to reclaim the money from whomsoever has received it.</w:t>
      </w:r>
      <w:r w:rsidR="00642423">
        <w:t xml:space="preserve"> </w:t>
      </w:r>
      <w:r w:rsidR="008472D8">
        <w:t>There is</w:t>
      </w:r>
      <w:r w:rsidR="006C574E">
        <w:t xml:space="preserve"> </w:t>
      </w:r>
      <w:r w:rsidR="008472D8">
        <w:t xml:space="preserve">a </w:t>
      </w:r>
      <w:r w:rsidR="00806117">
        <w:t>strong</w:t>
      </w:r>
      <w:r w:rsidR="00960849">
        <w:t xml:space="preserve"> </w:t>
      </w:r>
      <w:r>
        <w:t xml:space="preserve">public </w:t>
      </w:r>
      <w:r w:rsidR="00960849">
        <w:t xml:space="preserve">interest in being able to </w:t>
      </w:r>
      <w:r>
        <w:t>re</w:t>
      </w:r>
      <w:r w:rsidR="00960849">
        <w:t>claim</w:t>
      </w:r>
      <w:r>
        <w:t xml:space="preserve"> state benefits</w:t>
      </w:r>
      <w:r w:rsidR="00960849">
        <w:t xml:space="preserve"> from superior landlords</w:t>
      </w:r>
      <w:r>
        <w:t>.</w:t>
      </w:r>
      <w:r w:rsidR="00960849">
        <w:t xml:space="preserve"> </w:t>
      </w:r>
      <w:r>
        <w:t>The</w:t>
      </w:r>
      <w:r w:rsidR="008472D8">
        <w:t xml:space="preserve"> </w:t>
      </w:r>
      <w:r w:rsidR="00960849">
        <w:t xml:space="preserve">interpretation given by </w:t>
      </w:r>
      <w:r w:rsidR="008472D8">
        <w:t xml:space="preserve">the </w:t>
      </w:r>
      <w:r w:rsidR="00960849">
        <w:t>C</w:t>
      </w:r>
      <w:r w:rsidR="008472D8">
        <w:t xml:space="preserve">ourt of </w:t>
      </w:r>
      <w:r w:rsidR="00960849">
        <w:t>A</w:t>
      </w:r>
      <w:r w:rsidR="008472D8">
        <w:t>ppeal</w:t>
      </w:r>
      <w:r w:rsidR="00960849">
        <w:t>, that ‘the’ tenancy must refer to the tenancy between the UC claimant and their immediate landlord does not engage with this.</w:t>
      </w:r>
      <w:r w:rsidR="006C574E">
        <w:t xml:space="preserve"> </w:t>
      </w:r>
      <w:r w:rsidR="00450D60">
        <w:t xml:space="preserve">The Court of Appeal </w:t>
      </w:r>
      <w:r w:rsidR="00960849">
        <w:t>interpretation assumes that money is not passed on</w:t>
      </w:r>
      <w:r w:rsidR="00450D60">
        <w:t xml:space="preserve"> to a superior landlord</w:t>
      </w:r>
      <w:r w:rsidR="00642423">
        <w:t xml:space="preserve"> (</w:t>
      </w:r>
      <w:r w:rsidR="00450D60">
        <w:t>which ignores commercial reality</w:t>
      </w:r>
      <w:r w:rsidR="00642423">
        <w:t>)</w:t>
      </w:r>
      <w:r w:rsidR="00960849">
        <w:t>, or if it is, it is washed clean and the superior landlord can take it without worrying about the source of those funds.</w:t>
      </w:r>
      <w:r w:rsidR="006C574E">
        <w:t xml:space="preserve"> </w:t>
      </w:r>
      <w:r w:rsidR="00BC018C">
        <w:t>This is t</w:t>
      </w:r>
      <w:r w:rsidR="00960849">
        <w:t>roubling from a policy perspective, and not the necessary interpretation</w:t>
      </w:r>
      <w:r w:rsidR="00BC018C">
        <w:t>.</w:t>
      </w:r>
      <w:r w:rsidR="00232669">
        <w:t xml:space="preserve"> We would urge the Supreme Court not to consider itself restricted by the Court of Appeal’s interpretation of s.40(2) (b). The subsection does not need to be interpreted as a barrier to claims by tenants against superior landlords. </w:t>
      </w:r>
    </w:p>
    <w:p w14:paraId="51EDF935" w14:textId="77777777" w:rsidR="003443DD" w:rsidRDefault="00232669" w:rsidP="008B16DD">
      <w:r>
        <w:t>There are important policy reasons for supporting a more expansive approach to the RRO</w:t>
      </w:r>
      <w:r w:rsidR="00D86021">
        <w:t xml:space="preserve"> and </w:t>
      </w:r>
      <w:r w:rsidR="00D86021">
        <w:t>enabling an order to be made against all landlords benefitting from the letting of the property</w:t>
      </w:r>
      <w:r w:rsidR="00D86021">
        <w:t>,</w:t>
      </w:r>
      <w:r w:rsidR="00D86021">
        <w:t xml:space="preserve"> regardless of contractual arrangements</w:t>
      </w:r>
      <w:r>
        <w:t>.</w:t>
      </w:r>
      <w:r w:rsidR="006C574E">
        <w:t xml:space="preserve"> </w:t>
      </w:r>
      <w:r>
        <w:t>Safer Renting</w:t>
      </w:r>
      <w:r w:rsidR="00E56AEA">
        <w:t>, intervenor in the Court of Appeal,</w:t>
      </w:r>
      <w:r w:rsidR="006C574E">
        <w:t xml:space="preserve"> </w:t>
      </w:r>
      <w:r>
        <w:t xml:space="preserve">provided </w:t>
      </w:r>
      <w:r w:rsidR="00DD2A72">
        <w:t>important experiential</w:t>
      </w:r>
      <w:r>
        <w:t xml:space="preserve"> evidence of poor conditions and poor practices in the private rented sector, particularly </w:t>
      </w:r>
      <w:r w:rsidR="00DD2A72">
        <w:t>at the lower end of the sector where house sharing</w:t>
      </w:r>
      <w:r w:rsidR="006C574E">
        <w:t xml:space="preserve"> </w:t>
      </w:r>
      <w:r w:rsidR="00DD2A72">
        <w:t>and what Luba in</w:t>
      </w:r>
      <w:r w:rsidR="000A0C6F">
        <w:t xml:space="preserve"> </w:t>
      </w:r>
      <w:proofErr w:type="spellStart"/>
      <w:r w:rsidR="000A0C6F" w:rsidRPr="00A152EC">
        <w:t>Sturgiss</w:t>
      </w:r>
      <w:proofErr w:type="spellEnd"/>
      <w:r w:rsidR="000A0C6F" w:rsidRPr="00A152EC">
        <w:t xml:space="preserve"> v Boddy</w:t>
      </w:r>
      <w:r w:rsidR="00FF4101">
        <w:rPr>
          <w:i/>
          <w:iCs/>
        </w:rPr>
        <w:t xml:space="preserve"> </w:t>
      </w:r>
      <w:r w:rsidR="000A0C6F" w:rsidRPr="000A0C6F">
        <w:t xml:space="preserve">(2021) EW </w:t>
      </w:r>
      <w:proofErr w:type="spellStart"/>
      <w:r w:rsidR="000A0C6F" w:rsidRPr="000A0C6F">
        <w:t>Misc</w:t>
      </w:r>
      <w:proofErr w:type="spellEnd"/>
      <w:r w:rsidR="000A0C6F" w:rsidRPr="000A0C6F">
        <w:t xml:space="preserve"> 10 (CC)</w:t>
      </w:r>
      <w:r w:rsidR="006C574E">
        <w:t xml:space="preserve"> </w:t>
      </w:r>
      <w:r w:rsidR="006909CF">
        <w:t>described</w:t>
      </w:r>
      <w:r w:rsidR="00DD2A72">
        <w:t xml:space="preserve"> as </w:t>
      </w:r>
      <w:r w:rsidR="00645867">
        <w:t>‘</w:t>
      </w:r>
      <w:r w:rsidR="00DD2A72">
        <w:t>housing churn</w:t>
      </w:r>
      <w:r w:rsidR="00645867">
        <w:t>’</w:t>
      </w:r>
      <w:r w:rsidR="00DD2A72">
        <w:t xml:space="preserve"> proliferate. </w:t>
      </w:r>
      <w:r w:rsidR="001160D5">
        <w:t>The lack of alternatives makes this a lucrative business</w:t>
      </w:r>
      <w:r w:rsidR="00E56AEA">
        <w:t xml:space="preserve"> which can exploit the young, the vulnerable and the mobile</w:t>
      </w:r>
      <w:r w:rsidR="001160D5">
        <w:t xml:space="preserve">. </w:t>
      </w:r>
      <w:r w:rsidR="00DD2A72">
        <w:t xml:space="preserve">It is clear </w:t>
      </w:r>
      <w:r w:rsidR="00B41D4E">
        <w:t>that ‘rent to rent’</w:t>
      </w:r>
      <w:r w:rsidR="006909CF">
        <w:t xml:space="preserve"> </w:t>
      </w:r>
      <w:r w:rsidR="00B41D4E">
        <w:t>agreements can involve</w:t>
      </w:r>
      <w:r w:rsidR="00DD2A72">
        <w:t xml:space="preserve"> complex and</w:t>
      </w:r>
      <w:r w:rsidR="006C574E">
        <w:t xml:space="preserve"> </w:t>
      </w:r>
      <w:r w:rsidR="00DD2A72">
        <w:t xml:space="preserve">opaque relationships between superior and immediate </w:t>
      </w:r>
      <w:r w:rsidR="00DD2A72">
        <w:lastRenderedPageBreak/>
        <w:t>landlords and</w:t>
      </w:r>
      <w:r w:rsidR="00645867">
        <w:t xml:space="preserve"> indeed</w:t>
      </w:r>
      <w:r w:rsidR="006C574E">
        <w:t xml:space="preserve"> </w:t>
      </w:r>
      <w:r w:rsidR="001160D5">
        <w:t xml:space="preserve">landlords and managing agents. </w:t>
      </w:r>
      <w:r w:rsidR="006909CF">
        <w:t>The person or company presented as the direct landlord</w:t>
      </w:r>
      <w:r w:rsidR="001160D5">
        <w:t xml:space="preserve"> </w:t>
      </w:r>
      <w:r w:rsidR="006909CF">
        <w:t>may be without resources</w:t>
      </w:r>
      <w:r w:rsidR="00535D27">
        <w:t>,</w:t>
      </w:r>
      <w:r w:rsidR="001160D5">
        <w:t xml:space="preserve"> set up</w:t>
      </w:r>
      <w:r w:rsidR="006C574E">
        <w:t xml:space="preserve"> </w:t>
      </w:r>
      <w:r w:rsidR="00FF4101">
        <w:t xml:space="preserve">solely </w:t>
      </w:r>
      <w:r w:rsidR="001160D5">
        <w:t xml:space="preserve">to evade regulation. Individual tenants, whose claims are not mediated through </w:t>
      </w:r>
      <w:r w:rsidR="007363FA">
        <w:t>sta</w:t>
      </w:r>
      <w:r w:rsidR="00B41D4E">
        <w:t>t</w:t>
      </w:r>
      <w:r w:rsidR="007363FA">
        <w:t xml:space="preserve">e </w:t>
      </w:r>
      <w:r w:rsidR="00FF4101">
        <w:t>apparatus</w:t>
      </w:r>
      <w:r w:rsidR="001160D5">
        <w:t xml:space="preserve">, have limited resources to forensically examine those relationships and to track receipt of </w:t>
      </w:r>
      <w:r w:rsidR="00FF4101">
        <w:t>profit.</w:t>
      </w:r>
      <w:r w:rsidR="001160D5">
        <w:t xml:space="preserve"> Nor is it the role of the FTT. The law needs to provide the simplest route to justice for tenants </w:t>
      </w:r>
      <w:r w:rsidR="00B41D4E">
        <w:t>not only to redress the wrong they have suffered but</w:t>
      </w:r>
      <w:r w:rsidR="007363FA">
        <w:t xml:space="preserve"> </w:t>
      </w:r>
      <w:r w:rsidR="004D4088">
        <w:t xml:space="preserve">importantly also </w:t>
      </w:r>
      <w:r w:rsidR="007363FA">
        <w:t xml:space="preserve">because they are </w:t>
      </w:r>
      <w:r w:rsidR="006909CF">
        <w:t>acting in</w:t>
      </w:r>
      <w:r w:rsidR="00645867">
        <w:t xml:space="preserve"> lieu of the state to promote public good. </w:t>
      </w:r>
    </w:p>
    <w:p w14:paraId="2AC59155" w14:textId="3199D0A8" w:rsidR="001E6A45" w:rsidRDefault="00FF4101" w:rsidP="008B16DD">
      <w:r>
        <w:t>Of course,</w:t>
      </w:r>
      <w:r w:rsidR="00645867">
        <w:t xml:space="preserve"> this must be </w:t>
      </w:r>
      <w:r w:rsidR="001160D5">
        <w:t xml:space="preserve">consistent with fairness for landlords. </w:t>
      </w:r>
      <w:r w:rsidR="009B15F8">
        <w:t>The</w:t>
      </w:r>
      <w:r w:rsidR="001160D5">
        <w:t xml:space="preserve"> criminal standard of proof and the defence of ‘reasonable excuse’</w:t>
      </w:r>
      <w:r w:rsidR="006909CF">
        <w:t xml:space="preserve"> are significant</w:t>
      </w:r>
      <w:r>
        <w:t xml:space="preserve"> protections</w:t>
      </w:r>
      <w:r w:rsidR="00F96FBF">
        <w:t>. So</w:t>
      </w:r>
      <w:r>
        <w:t xml:space="preserve"> is the requirement to take tenant behaviour into account when setting the level of the RRO</w:t>
      </w:r>
      <w:r w:rsidR="00F96FBF">
        <w:t xml:space="preserve">, and </w:t>
      </w:r>
      <w:r w:rsidR="009D16CB">
        <w:t xml:space="preserve">it is not </w:t>
      </w:r>
      <w:r>
        <w:t>disproportionate to expect a superior landlord to take steps to check the conditions at the property</w:t>
      </w:r>
      <w:r w:rsidR="009D16CB">
        <w:t xml:space="preserve"> – </w:t>
      </w:r>
      <w:r w:rsidR="00AD61FF">
        <w:t xml:space="preserve">checking </w:t>
      </w:r>
      <w:r>
        <w:t>sub-letting agreements and inspecting regularly</w:t>
      </w:r>
      <w:r w:rsidR="009D16CB">
        <w:t xml:space="preserve"> – </w:t>
      </w:r>
      <w:r>
        <w:t>particularly</w:t>
      </w:r>
      <w:r w:rsidR="009D16CB">
        <w:t xml:space="preserve"> </w:t>
      </w:r>
      <w:r>
        <w:t xml:space="preserve">when the landlord knows that the rent </w:t>
      </w:r>
      <w:r w:rsidR="009B15F8">
        <w:t xml:space="preserve">is higher than the rent for a property in single family occupancy. </w:t>
      </w:r>
      <w:r w:rsidR="002B5008">
        <w:t>Finally</w:t>
      </w:r>
      <w:r w:rsidR="001410C7">
        <w:t xml:space="preserve">, an </w:t>
      </w:r>
      <w:r w:rsidR="00894138">
        <w:t xml:space="preserve">expanded liability </w:t>
      </w:r>
      <w:r w:rsidR="001410C7">
        <w:t xml:space="preserve">could still allow for contractual autonomy, as </w:t>
      </w:r>
      <w:r w:rsidR="009B15F8">
        <w:t>superior and direct landlord</w:t>
      </w:r>
      <w:r w:rsidR="00894138">
        <w:t xml:space="preserve">s </w:t>
      </w:r>
      <w:r w:rsidR="001410C7">
        <w:t xml:space="preserve">could still </w:t>
      </w:r>
      <w:r w:rsidR="000E3F3A">
        <w:t>mak</w:t>
      </w:r>
      <w:r w:rsidR="001410C7">
        <w:t>e</w:t>
      </w:r>
      <w:r w:rsidR="000E3F3A">
        <w:t xml:space="preserve"> </w:t>
      </w:r>
      <w:r w:rsidR="009B15F8">
        <w:t xml:space="preserve">post order arrangements distributing liability. </w:t>
      </w:r>
    </w:p>
    <w:sectPr w:rsidR="001E6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04C8" w14:textId="77777777" w:rsidR="005F3916" w:rsidRDefault="005F3916" w:rsidP="001D6502">
      <w:pPr>
        <w:spacing w:after="0" w:line="240" w:lineRule="auto"/>
      </w:pPr>
      <w:r>
        <w:separator/>
      </w:r>
    </w:p>
  </w:endnote>
  <w:endnote w:type="continuationSeparator" w:id="0">
    <w:p w14:paraId="238381C0" w14:textId="77777777" w:rsidR="005F3916" w:rsidRDefault="005F3916" w:rsidP="001D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DC928" w14:textId="77777777" w:rsidR="005F3916" w:rsidRDefault="005F3916" w:rsidP="001D6502">
      <w:pPr>
        <w:spacing w:after="0" w:line="240" w:lineRule="auto"/>
      </w:pPr>
      <w:r>
        <w:separator/>
      </w:r>
    </w:p>
  </w:footnote>
  <w:footnote w:type="continuationSeparator" w:id="0">
    <w:p w14:paraId="15EB16DF" w14:textId="77777777" w:rsidR="005F3916" w:rsidRDefault="005F3916" w:rsidP="001D65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DD"/>
    <w:rsid w:val="00011A9E"/>
    <w:rsid w:val="00012EB2"/>
    <w:rsid w:val="00016380"/>
    <w:rsid w:val="0003257E"/>
    <w:rsid w:val="000351E8"/>
    <w:rsid w:val="00044399"/>
    <w:rsid w:val="00053F09"/>
    <w:rsid w:val="000544F2"/>
    <w:rsid w:val="00070B55"/>
    <w:rsid w:val="00077EC3"/>
    <w:rsid w:val="000861BF"/>
    <w:rsid w:val="00086567"/>
    <w:rsid w:val="000922CA"/>
    <w:rsid w:val="00093D29"/>
    <w:rsid w:val="000A07E5"/>
    <w:rsid w:val="000A0C6F"/>
    <w:rsid w:val="000B1F54"/>
    <w:rsid w:val="000B2A98"/>
    <w:rsid w:val="000C54EE"/>
    <w:rsid w:val="000E2575"/>
    <w:rsid w:val="000E3F3A"/>
    <w:rsid w:val="000F14BA"/>
    <w:rsid w:val="001160D5"/>
    <w:rsid w:val="0011660D"/>
    <w:rsid w:val="001354E4"/>
    <w:rsid w:val="00137420"/>
    <w:rsid w:val="001410C7"/>
    <w:rsid w:val="0015241E"/>
    <w:rsid w:val="00187BC5"/>
    <w:rsid w:val="00197B97"/>
    <w:rsid w:val="001A2F2B"/>
    <w:rsid w:val="001C73CC"/>
    <w:rsid w:val="001D6502"/>
    <w:rsid w:val="001E066B"/>
    <w:rsid w:val="001E6A45"/>
    <w:rsid w:val="00203CA9"/>
    <w:rsid w:val="002061ED"/>
    <w:rsid w:val="00226464"/>
    <w:rsid w:val="00232669"/>
    <w:rsid w:val="00247E78"/>
    <w:rsid w:val="00252766"/>
    <w:rsid w:val="002604AC"/>
    <w:rsid w:val="00265A9A"/>
    <w:rsid w:val="0029463C"/>
    <w:rsid w:val="00295117"/>
    <w:rsid w:val="002952D4"/>
    <w:rsid w:val="002A0E39"/>
    <w:rsid w:val="002B5008"/>
    <w:rsid w:val="002B55CA"/>
    <w:rsid w:val="002C2079"/>
    <w:rsid w:val="002C5444"/>
    <w:rsid w:val="002E056D"/>
    <w:rsid w:val="002E4756"/>
    <w:rsid w:val="002E5D26"/>
    <w:rsid w:val="002F3276"/>
    <w:rsid w:val="002F4C23"/>
    <w:rsid w:val="003043B6"/>
    <w:rsid w:val="00304A03"/>
    <w:rsid w:val="00304E4C"/>
    <w:rsid w:val="0031351D"/>
    <w:rsid w:val="003262FD"/>
    <w:rsid w:val="00333DBA"/>
    <w:rsid w:val="00335770"/>
    <w:rsid w:val="0033595B"/>
    <w:rsid w:val="00341945"/>
    <w:rsid w:val="003443DD"/>
    <w:rsid w:val="003525C3"/>
    <w:rsid w:val="003561A0"/>
    <w:rsid w:val="00374D8C"/>
    <w:rsid w:val="003757A7"/>
    <w:rsid w:val="00383FE9"/>
    <w:rsid w:val="00387A59"/>
    <w:rsid w:val="00396601"/>
    <w:rsid w:val="003C0D3A"/>
    <w:rsid w:val="003D4EC2"/>
    <w:rsid w:val="003D6BDF"/>
    <w:rsid w:val="003F2642"/>
    <w:rsid w:val="00402F25"/>
    <w:rsid w:val="00423222"/>
    <w:rsid w:val="004300B6"/>
    <w:rsid w:val="00450D60"/>
    <w:rsid w:val="00451607"/>
    <w:rsid w:val="00452914"/>
    <w:rsid w:val="004637D0"/>
    <w:rsid w:val="00470C9E"/>
    <w:rsid w:val="0047379D"/>
    <w:rsid w:val="004840DE"/>
    <w:rsid w:val="00485642"/>
    <w:rsid w:val="004D4088"/>
    <w:rsid w:val="004D5A74"/>
    <w:rsid w:val="004E13EB"/>
    <w:rsid w:val="004F3EA7"/>
    <w:rsid w:val="00535D27"/>
    <w:rsid w:val="00553F29"/>
    <w:rsid w:val="00556CE8"/>
    <w:rsid w:val="005607D2"/>
    <w:rsid w:val="005A269D"/>
    <w:rsid w:val="005B6453"/>
    <w:rsid w:val="005B7ECE"/>
    <w:rsid w:val="005D00F7"/>
    <w:rsid w:val="005D5642"/>
    <w:rsid w:val="005F3916"/>
    <w:rsid w:val="00602ECD"/>
    <w:rsid w:val="00616969"/>
    <w:rsid w:val="006201E9"/>
    <w:rsid w:val="00623ACB"/>
    <w:rsid w:val="006370F9"/>
    <w:rsid w:val="00642423"/>
    <w:rsid w:val="00642DE8"/>
    <w:rsid w:val="00645867"/>
    <w:rsid w:val="006538E8"/>
    <w:rsid w:val="0065501B"/>
    <w:rsid w:val="0068146A"/>
    <w:rsid w:val="00682186"/>
    <w:rsid w:val="006909CF"/>
    <w:rsid w:val="006B0C99"/>
    <w:rsid w:val="006B7A0F"/>
    <w:rsid w:val="006C19F7"/>
    <w:rsid w:val="006C22E7"/>
    <w:rsid w:val="006C574E"/>
    <w:rsid w:val="006C60DB"/>
    <w:rsid w:val="00701279"/>
    <w:rsid w:val="0070129A"/>
    <w:rsid w:val="00704667"/>
    <w:rsid w:val="00705E12"/>
    <w:rsid w:val="00723C65"/>
    <w:rsid w:val="007363FA"/>
    <w:rsid w:val="0075451A"/>
    <w:rsid w:val="00781FF0"/>
    <w:rsid w:val="0079007C"/>
    <w:rsid w:val="007B2049"/>
    <w:rsid w:val="007B6142"/>
    <w:rsid w:val="007B6492"/>
    <w:rsid w:val="007C6A47"/>
    <w:rsid w:val="007D7197"/>
    <w:rsid w:val="007F0B35"/>
    <w:rsid w:val="007F4380"/>
    <w:rsid w:val="007F5EA8"/>
    <w:rsid w:val="007F6D39"/>
    <w:rsid w:val="00801831"/>
    <w:rsid w:val="00806117"/>
    <w:rsid w:val="00817058"/>
    <w:rsid w:val="00821BF0"/>
    <w:rsid w:val="00831075"/>
    <w:rsid w:val="008472D8"/>
    <w:rsid w:val="00854767"/>
    <w:rsid w:val="00874792"/>
    <w:rsid w:val="0088679D"/>
    <w:rsid w:val="00894138"/>
    <w:rsid w:val="00895607"/>
    <w:rsid w:val="00897A94"/>
    <w:rsid w:val="008A566E"/>
    <w:rsid w:val="008B0BCC"/>
    <w:rsid w:val="008B16DD"/>
    <w:rsid w:val="008B426E"/>
    <w:rsid w:val="008C01FE"/>
    <w:rsid w:val="008C4C6C"/>
    <w:rsid w:val="008C6F70"/>
    <w:rsid w:val="008C705F"/>
    <w:rsid w:val="008D0085"/>
    <w:rsid w:val="008D301B"/>
    <w:rsid w:val="008D5C5A"/>
    <w:rsid w:val="008D650A"/>
    <w:rsid w:val="008E2808"/>
    <w:rsid w:val="008E4EC7"/>
    <w:rsid w:val="008E6001"/>
    <w:rsid w:val="008E6D92"/>
    <w:rsid w:val="0090275F"/>
    <w:rsid w:val="009032F1"/>
    <w:rsid w:val="009227C3"/>
    <w:rsid w:val="00922A50"/>
    <w:rsid w:val="0092767E"/>
    <w:rsid w:val="00931F84"/>
    <w:rsid w:val="00946220"/>
    <w:rsid w:val="00960849"/>
    <w:rsid w:val="00961F5C"/>
    <w:rsid w:val="009A65DF"/>
    <w:rsid w:val="009B15F8"/>
    <w:rsid w:val="009B327F"/>
    <w:rsid w:val="009C2E35"/>
    <w:rsid w:val="009D0F43"/>
    <w:rsid w:val="009D16CB"/>
    <w:rsid w:val="00A00C3E"/>
    <w:rsid w:val="00A152EC"/>
    <w:rsid w:val="00A20FFA"/>
    <w:rsid w:val="00A24248"/>
    <w:rsid w:val="00A248DE"/>
    <w:rsid w:val="00A27C94"/>
    <w:rsid w:val="00A44633"/>
    <w:rsid w:val="00A61C21"/>
    <w:rsid w:val="00A75FB5"/>
    <w:rsid w:val="00A961D3"/>
    <w:rsid w:val="00AB343E"/>
    <w:rsid w:val="00AB46DA"/>
    <w:rsid w:val="00AC71AD"/>
    <w:rsid w:val="00AD61FF"/>
    <w:rsid w:val="00AE4367"/>
    <w:rsid w:val="00B04B2D"/>
    <w:rsid w:val="00B11E62"/>
    <w:rsid w:val="00B1728C"/>
    <w:rsid w:val="00B245EB"/>
    <w:rsid w:val="00B30CB2"/>
    <w:rsid w:val="00B41D45"/>
    <w:rsid w:val="00B41D4E"/>
    <w:rsid w:val="00B56042"/>
    <w:rsid w:val="00B579CF"/>
    <w:rsid w:val="00B638E8"/>
    <w:rsid w:val="00B7236C"/>
    <w:rsid w:val="00B80B98"/>
    <w:rsid w:val="00BA1462"/>
    <w:rsid w:val="00BA3DF9"/>
    <w:rsid w:val="00BB2BCA"/>
    <w:rsid w:val="00BC018C"/>
    <w:rsid w:val="00BD1ED9"/>
    <w:rsid w:val="00BE6CE0"/>
    <w:rsid w:val="00C101C2"/>
    <w:rsid w:val="00C14C4D"/>
    <w:rsid w:val="00C16599"/>
    <w:rsid w:val="00C17264"/>
    <w:rsid w:val="00C24242"/>
    <w:rsid w:val="00C24B6E"/>
    <w:rsid w:val="00C3091F"/>
    <w:rsid w:val="00C66181"/>
    <w:rsid w:val="00C73C59"/>
    <w:rsid w:val="00C9211B"/>
    <w:rsid w:val="00CA4ED6"/>
    <w:rsid w:val="00CB5FAF"/>
    <w:rsid w:val="00CC4634"/>
    <w:rsid w:val="00CC7B3E"/>
    <w:rsid w:val="00CD067C"/>
    <w:rsid w:val="00CE291B"/>
    <w:rsid w:val="00CF754E"/>
    <w:rsid w:val="00D004A7"/>
    <w:rsid w:val="00D0745F"/>
    <w:rsid w:val="00D100BF"/>
    <w:rsid w:val="00D1736B"/>
    <w:rsid w:val="00D3040B"/>
    <w:rsid w:val="00D35EE9"/>
    <w:rsid w:val="00D41A0F"/>
    <w:rsid w:val="00D57D87"/>
    <w:rsid w:val="00D57ED2"/>
    <w:rsid w:val="00D621B5"/>
    <w:rsid w:val="00D65882"/>
    <w:rsid w:val="00D80542"/>
    <w:rsid w:val="00D86021"/>
    <w:rsid w:val="00DB29DA"/>
    <w:rsid w:val="00DD2A72"/>
    <w:rsid w:val="00DE003F"/>
    <w:rsid w:val="00DE0599"/>
    <w:rsid w:val="00DE0C35"/>
    <w:rsid w:val="00DE4792"/>
    <w:rsid w:val="00DF7E7D"/>
    <w:rsid w:val="00E225B7"/>
    <w:rsid w:val="00E32F13"/>
    <w:rsid w:val="00E4470D"/>
    <w:rsid w:val="00E52493"/>
    <w:rsid w:val="00E56AEA"/>
    <w:rsid w:val="00E731E6"/>
    <w:rsid w:val="00E7376C"/>
    <w:rsid w:val="00E73B42"/>
    <w:rsid w:val="00E81122"/>
    <w:rsid w:val="00E87D23"/>
    <w:rsid w:val="00EA592A"/>
    <w:rsid w:val="00EB18AA"/>
    <w:rsid w:val="00EB4CE7"/>
    <w:rsid w:val="00ED2CF5"/>
    <w:rsid w:val="00ED74A9"/>
    <w:rsid w:val="00EE599F"/>
    <w:rsid w:val="00F003D8"/>
    <w:rsid w:val="00F05D91"/>
    <w:rsid w:val="00F072C5"/>
    <w:rsid w:val="00F22B04"/>
    <w:rsid w:val="00F22E30"/>
    <w:rsid w:val="00F24062"/>
    <w:rsid w:val="00F26FEB"/>
    <w:rsid w:val="00F31058"/>
    <w:rsid w:val="00F36AA1"/>
    <w:rsid w:val="00F41A72"/>
    <w:rsid w:val="00F5111B"/>
    <w:rsid w:val="00F60E3B"/>
    <w:rsid w:val="00F62A5C"/>
    <w:rsid w:val="00F72D4B"/>
    <w:rsid w:val="00F81725"/>
    <w:rsid w:val="00F8709F"/>
    <w:rsid w:val="00F9122C"/>
    <w:rsid w:val="00F93FCE"/>
    <w:rsid w:val="00F96FBF"/>
    <w:rsid w:val="00FA53A0"/>
    <w:rsid w:val="00FB17EF"/>
    <w:rsid w:val="00FE1868"/>
    <w:rsid w:val="00FE227D"/>
    <w:rsid w:val="00FE3BB4"/>
    <w:rsid w:val="00FE5BA7"/>
    <w:rsid w:val="00FF3450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F6216"/>
  <w15:chartTrackingRefBased/>
  <w15:docId w15:val="{4C512635-640D-4330-A407-969BDA7F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47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E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E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1ED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0C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64926BCEE9D479578E7BFC13729DD" ma:contentTypeVersion="8" ma:contentTypeDescription="Create a new document." ma:contentTypeScope="" ma:versionID="da177a670a2ea310378986f16dd00b15">
  <xsd:schema xmlns:xsd="http://www.w3.org/2001/XMLSchema" xmlns:xs="http://www.w3.org/2001/XMLSchema" xmlns:p="http://schemas.microsoft.com/office/2006/metadata/properties" xmlns:ns3="5fda5b60-7a38-4c00-a17a-7387733e2669" targetNamespace="http://schemas.microsoft.com/office/2006/metadata/properties" ma:root="true" ma:fieldsID="5a240bd03ddd02b45dd1a7e386217c62" ns3:_="">
    <xsd:import namespace="5fda5b60-7a38-4c00-a17a-7387733e26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a5b60-7a38-4c00-a17a-7387733e2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1C18B-FE41-4994-850C-676E98328E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4C7D06-3663-450B-9983-7490C959D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747A6-DBA4-4882-A70C-71B514B17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a5b60-7a38-4c00-a17a-7387733e2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Kirton-Darling</dc:creator>
  <cp:keywords/>
  <dc:description/>
  <cp:lastModifiedBy>Edward Kirton-Darling</cp:lastModifiedBy>
  <cp:revision>43</cp:revision>
  <dcterms:created xsi:type="dcterms:W3CDTF">2022-10-23T09:22:00Z</dcterms:created>
  <dcterms:modified xsi:type="dcterms:W3CDTF">2022-10-23T10:00:00Z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0x0101007FF64926BCEE9D479578E7BFC13729DD</vt:lpwstr>
  </property>
</Properties>
</file>