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BED57E" w14:textId="69EFFD10" w:rsidR="007F00AD" w:rsidRPr="00E14F7D" w:rsidRDefault="007F00AD" w:rsidP="00B961DD">
      <w:pPr>
        <w:pStyle w:val="NoSpacing"/>
        <w:rPr>
          <w:rFonts w:ascii="Times New Roman" w:hAnsi="Times New Roman" w:cs="Times New Roman"/>
          <w:b/>
          <w:bCs/>
        </w:rPr>
      </w:pPr>
      <w:r w:rsidRPr="00E14F7D">
        <w:rPr>
          <w:rFonts w:ascii="Times New Roman" w:hAnsi="Times New Roman" w:cs="Times New Roman"/>
          <w:b/>
          <w:bCs/>
        </w:rPr>
        <w:t>T</w:t>
      </w:r>
      <w:r w:rsidR="007441CF" w:rsidRPr="00E14F7D">
        <w:rPr>
          <w:rFonts w:ascii="Times New Roman" w:hAnsi="Times New Roman" w:cs="Times New Roman"/>
          <w:b/>
          <w:bCs/>
        </w:rPr>
        <w:t>ITLE</w:t>
      </w:r>
    </w:p>
    <w:p w14:paraId="36CC3D7C" w14:textId="77777777" w:rsidR="009E409C" w:rsidRPr="00E14F7D" w:rsidRDefault="009E409C" w:rsidP="00B961DD">
      <w:pPr>
        <w:pStyle w:val="NoSpacing"/>
        <w:rPr>
          <w:rFonts w:ascii="Times New Roman" w:hAnsi="Times New Roman" w:cs="Times New Roman"/>
          <w:b/>
          <w:bCs/>
        </w:rPr>
      </w:pPr>
    </w:p>
    <w:p w14:paraId="38ACE5AF" w14:textId="5F7007FD" w:rsidR="00221BE0" w:rsidRPr="00E14F7D" w:rsidRDefault="762EE3AF" w:rsidP="007F00AD">
      <w:pPr>
        <w:spacing w:line="240" w:lineRule="auto"/>
        <w:rPr>
          <w:rFonts w:ascii="Times New Roman" w:hAnsi="Times New Roman" w:cs="Times New Roman"/>
        </w:rPr>
      </w:pPr>
      <w:r w:rsidRPr="00E14F7D">
        <w:rPr>
          <w:rFonts w:ascii="Times New Roman" w:hAnsi="Times New Roman" w:cs="Times New Roman"/>
        </w:rPr>
        <w:t>Recommendations on the use of item libraries for patient-reported outcome measurement in oncology</w:t>
      </w:r>
      <w:r w:rsidR="009A3EF3" w:rsidRPr="00E14F7D">
        <w:rPr>
          <w:rFonts w:ascii="Times New Roman" w:hAnsi="Times New Roman" w:cs="Times New Roman"/>
        </w:rPr>
        <w:t xml:space="preserve"> trials</w:t>
      </w:r>
      <w:r w:rsidRPr="00E14F7D">
        <w:rPr>
          <w:rFonts w:ascii="Times New Roman" w:hAnsi="Times New Roman" w:cs="Times New Roman"/>
        </w:rPr>
        <w:t>: Findings from an international, multidisciplinary working group</w:t>
      </w:r>
    </w:p>
    <w:p w14:paraId="43A6D70D" w14:textId="2F414070" w:rsidR="00221BE0" w:rsidRPr="00E14F7D" w:rsidRDefault="00012673" w:rsidP="00012673">
      <w:pPr>
        <w:spacing w:line="240" w:lineRule="auto"/>
        <w:rPr>
          <w:rFonts w:ascii="Times New Roman" w:hAnsi="Times New Roman" w:cs="Times New Roman"/>
          <w:b/>
          <w:bCs/>
        </w:rPr>
      </w:pPr>
      <w:r w:rsidRPr="00E14F7D">
        <w:rPr>
          <w:rFonts w:ascii="Times New Roman" w:hAnsi="Times New Roman" w:cs="Times New Roman"/>
          <w:b/>
          <w:bCs/>
        </w:rPr>
        <w:t>AUTHORS</w:t>
      </w:r>
    </w:p>
    <w:p w14:paraId="577B5A5A" w14:textId="358B224A" w:rsidR="00221BE0" w:rsidRPr="00E14F7D" w:rsidRDefault="7EFBCF47" w:rsidP="004E45E5">
      <w:pPr>
        <w:spacing w:line="240" w:lineRule="auto"/>
        <w:rPr>
          <w:rFonts w:ascii="Times New Roman" w:hAnsi="Times New Roman" w:cs="Times New Roman"/>
        </w:rPr>
      </w:pPr>
      <w:r w:rsidRPr="00E14F7D">
        <w:rPr>
          <w:rFonts w:ascii="Times New Roman" w:hAnsi="Times New Roman" w:cs="Times New Roman"/>
        </w:rPr>
        <w:t>Claire Piccinin</w:t>
      </w:r>
      <w:r w:rsidRPr="00E14F7D">
        <w:rPr>
          <w:rFonts w:ascii="Times New Roman" w:hAnsi="Times New Roman" w:cs="Times New Roman"/>
          <w:vertAlign w:val="superscript"/>
        </w:rPr>
        <w:t>1</w:t>
      </w:r>
      <w:r w:rsidR="005A295A" w:rsidRPr="00E14F7D">
        <w:rPr>
          <w:rFonts w:ascii="Times New Roman" w:hAnsi="Times New Roman" w:cs="Times New Roman"/>
        </w:rPr>
        <w:t xml:space="preserve"> MSc</w:t>
      </w:r>
      <w:r w:rsidRPr="00E14F7D">
        <w:rPr>
          <w:rFonts w:ascii="Times New Roman" w:hAnsi="Times New Roman" w:cs="Times New Roman"/>
        </w:rPr>
        <w:t>, Ethan Basch</w:t>
      </w:r>
      <w:r w:rsidRPr="00E14F7D">
        <w:rPr>
          <w:rFonts w:ascii="Times New Roman" w:hAnsi="Times New Roman" w:cs="Times New Roman"/>
          <w:vertAlign w:val="superscript"/>
        </w:rPr>
        <w:t>2</w:t>
      </w:r>
      <w:r w:rsidR="005A295A" w:rsidRPr="00E14F7D">
        <w:rPr>
          <w:rFonts w:ascii="Times New Roman" w:hAnsi="Times New Roman" w:cs="Times New Roman"/>
        </w:rPr>
        <w:t xml:space="preserve"> MD</w:t>
      </w:r>
      <w:r w:rsidRPr="00E14F7D">
        <w:rPr>
          <w:rFonts w:ascii="Times New Roman" w:hAnsi="Times New Roman" w:cs="Times New Roman"/>
        </w:rPr>
        <w:t>, Vishal Bhatnagar</w:t>
      </w:r>
      <w:r w:rsidRPr="00E14F7D">
        <w:rPr>
          <w:rFonts w:ascii="Times New Roman" w:hAnsi="Times New Roman" w:cs="Times New Roman"/>
          <w:vertAlign w:val="superscript"/>
        </w:rPr>
        <w:t>3</w:t>
      </w:r>
      <w:r w:rsidR="005A295A" w:rsidRPr="00E14F7D">
        <w:rPr>
          <w:rFonts w:ascii="Times New Roman" w:hAnsi="Times New Roman" w:cs="Times New Roman"/>
        </w:rPr>
        <w:t xml:space="preserve"> MD</w:t>
      </w:r>
      <w:r w:rsidRPr="00E14F7D">
        <w:rPr>
          <w:rFonts w:ascii="Times New Roman" w:hAnsi="Times New Roman" w:cs="Times New Roman"/>
        </w:rPr>
        <w:t>, Melanie Calvert</w:t>
      </w:r>
      <w:r w:rsidRPr="00E14F7D">
        <w:rPr>
          <w:rFonts w:ascii="Times New Roman" w:hAnsi="Times New Roman" w:cs="Times New Roman"/>
          <w:vertAlign w:val="superscript"/>
        </w:rPr>
        <w:t>4,5,6,7,8</w:t>
      </w:r>
      <w:r w:rsidR="005A295A" w:rsidRPr="00E14F7D">
        <w:rPr>
          <w:rFonts w:ascii="Times New Roman" w:hAnsi="Times New Roman" w:cs="Times New Roman"/>
        </w:rPr>
        <w:t xml:space="preserve"> PhD</w:t>
      </w:r>
      <w:r w:rsidRPr="00E14F7D">
        <w:rPr>
          <w:rFonts w:ascii="Times New Roman" w:hAnsi="Times New Roman" w:cs="Times New Roman"/>
        </w:rPr>
        <w:t>, Alicyn Campbell</w:t>
      </w:r>
      <w:r w:rsidRPr="00E14F7D">
        <w:rPr>
          <w:rFonts w:ascii="Times New Roman" w:hAnsi="Times New Roman" w:cs="Times New Roman"/>
          <w:vertAlign w:val="superscript"/>
        </w:rPr>
        <w:t>9</w:t>
      </w:r>
      <w:r w:rsidR="005A295A" w:rsidRPr="00E14F7D">
        <w:rPr>
          <w:rFonts w:ascii="Times New Roman" w:hAnsi="Times New Roman" w:cs="Times New Roman"/>
        </w:rPr>
        <w:t xml:space="preserve"> MPh</w:t>
      </w:r>
      <w:r w:rsidRPr="00E14F7D">
        <w:rPr>
          <w:rFonts w:ascii="Times New Roman" w:hAnsi="Times New Roman" w:cs="Times New Roman"/>
        </w:rPr>
        <w:t>, David Cella</w:t>
      </w:r>
      <w:r w:rsidRPr="00E14F7D">
        <w:rPr>
          <w:rFonts w:ascii="Times New Roman" w:hAnsi="Times New Roman" w:cs="Times New Roman"/>
          <w:vertAlign w:val="superscript"/>
        </w:rPr>
        <w:t>10</w:t>
      </w:r>
      <w:r w:rsidR="005A295A" w:rsidRPr="00E14F7D">
        <w:rPr>
          <w:rFonts w:ascii="Times New Roman" w:hAnsi="Times New Roman" w:cs="Times New Roman"/>
        </w:rPr>
        <w:t xml:space="preserve"> PhD</w:t>
      </w:r>
      <w:r w:rsidRPr="00E14F7D">
        <w:rPr>
          <w:rFonts w:ascii="Times New Roman" w:hAnsi="Times New Roman" w:cs="Times New Roman"/>
        </w:rPr>
        <w:t>, Charles</w:t>
      </w:r>
      <w:r w:rsidR="005D753C">
        <w:rPr>
          <w:rFonts w:ascii="Times New Roman" w:hAnsi="Times New Roman" w:cs="Times New Roman"/>
        </w:rPr>
        <w:t xml:space="preserve"> S.</w:t>
      </w:r>
      <w:r w:rsidRPr="00E14F7D">
        <w:rPr>
          <w:rFonts w:ascii="Times New Roman" w:hAnsi="Times New Roman" w:cs="Times New Roman"/>
        </w:rPr>
        <w:t xml:space="preserve"> Cleeland</w:t>
      </w:r>
      <w:r w:rsidRPr="00E14F7D">
        <w:rPr>
          <w:rFonts w:ascii="Times New Roman" w:hAnsi="Times New Roman" w:cs="Times New Roman"/>
          <w:vertAlign w:val="superscript"/>
        </w:rPr>
        <w:t>11</w:t>
      </w:r>
      <w:r w:rsidR="005A295A" w:rsidRPr="00E14F7D">
        <w:rPr>
          <w:rFonts w:ascii="Times New Roman" w:hAnsi="Times New Roman" w:cs="Times New Roman"/>
        </w:rPr>
        <w:t xml:space="preserve"> PhD</w:t>
      </w:r>
      <w:r w:rsidRPr="00E14F7D">
        <w:rPr>
          <w:rFonts w:ascii="Times New Roman" w:hAnsi="Times New Roman" w:cs="Times New Roman"/>
        </w:rPr>
        <w:t>, Corneel Coens</w:t>
      </w:r>
      <w:r w:rsidRPr="00E14F7D">
        <w:rPr>
          <w:rFonts w:ascii="Times New Roman" w:hAnsi="Times New Roman" w:cs="Times New Roman"/>
          <w:vertAlign w:val="superscript"/>
        </w:rPr>
        <w:t>1</w:t>
      </w:r>
      <w:r w:rsidR="005A295A" w:rsidRPr="00E14F7D">
        <w:rPr>
          <w:rFonts w:ascii="Times New Roman" w:hAnsi="Times New Roman" w:cs="Times New Roman"/>
        </w:rPr>
        <w:t xml:space="preserve"> MSc</w:t>
      </w:r>
      <w:r w:rsidRPr="00E14F7D">
        <w:rPr>
          <w:rFonts w:ascii="Times New Roman" w:hAnsi="Times New Roman" w:cs="Times New Roman"/>
        </w:rPr>
        <w:t>, Anne-Sophie Darlington</w:t>
      </w:r>
      <w:r w:rsidRPr="00E14F7D">
        <w:rPr>
          <w:rFonts w:ascii="Times New Roman" w:hAnsi="Times New Roman" w:cs="Times New Roman"/>
          <w:vertAlign w:val="superscript"/>
        </w:rPr>
        <w:t>12</w:t>
      </w:r>
      <w:r w:rsidR="005A295A" w:rsidRPr="00E14F7D">
        <w:rPr>
          <w:rFonts w:ascii="Times New Roman" w:hAnsi="Times New Roman" w:cs="Times New Roman"/>
        </w:rPr>
        <w:t xml:space="preserve"> PhD</w:t>
      </w:r>
      <w:r w:rsidRPr="00E14F7D">
        <w:rPr>
          <w:rFonts w:ascii="Times New Roman" w:hAnsi="Times New Roman" w:cs="Times New Roman"/>
        </w:rPr>
        <w:t>, Amylou C. Dueck</w:t>
      </w:r>
      <w:r w:rsidRPr="00E14F7D">
        <w:rPr>
          <w:rFonts w:ascii="Times New Roman" w:hAnsi="Times New Roman" w:cs="Times New Roman"/>
          <w:vertAlign w:val="superscript"/>
        </w:rPr>
        <w:t>13</w:t>
      </w:r>
      <w:r w:rsidR="005A295A" w:rsidRPr="00E14F7D">
        <w:rPr>
          <w:rFonts w:ascii="Times New Roman" w:hAnsi="Times New Roman" w:cs="Times New Roman"/>
        </w:rPr>
        <w:t xml:space="preserve"> PhD</w:t>
      </w:r>
      <w:r w:rsidRPr="00E14F7D">
        <w:rPr>
          <w:rFonts w:ascii="Times New Roman" w:hAnsi="Times New Roman" w:cs="Times New Roman"/>
        </w:rPr>
        <w:t>, Mogens Groenvold</w:t>
      </w:r>
      <w:r w:rsidRPr="00E14F7D">
        <w:rPr>
          <w:rFonts w:ascii="Times New Roman" w:hAnsi="Times New Roman" w:cs="Times New Roman"/>
          <w:vertAlign w:val="superscript"/>
        </w:rPr>
        <w:t>14,15</w:t>
      </w:r>
      <w:r w:rsidR="005A295A" w:rsidRPr="00E14F7D">
        <w:rPr>
          <w:rFonts w:ascii="Times New Roman" w:hAnsi="Times New Roman" w:cs="Times New Roman"/>
        </w:rPr>
        <w:t xml:space="preserve"> MD</w:t>
      </w:r>
      <w:r w:rsidRPr="00E14F7D">
        <w:rPr>
          <w:rFonts w:ascii="Times New Roman" w:hAnsi="Times New Roman" w:cs="Times New Roman"/>
        </w:rPr>
        <w:t>, Ralf Herold</w:t>
      </w:r>
      <w:r w:rsidRPr="00E14F7D">
        <w:rPr>
          <w:rFonts w:ascii="Times New Roman" w:hAnsi="Times New Roman" w:cs="Times New Roman"/>
          <w:vertAlign w:val="superscript"/>
        </w:rPr>
        <w:t>16</w:t>
      </w:r>
      <w:r w:rsidR="005A295A" w:rsidRPr="00E14F7D">
        <w:rPr>
          <w:rFonts w:ascii="Times New Roman" w:hAnsi="Times New Roman" w:cs="Times New Roman"/>
        </w:rPr>
        <w:t xml:space="preserve"> MD</w:t>
      </w:r>
      <w:r w:rsidRPr="00E14F7D">
        <w:rPr>
          <w:rFonts w:ascii="Times New Roman" w:hAnsi="Times New Roman" w:cs="Times New Roman"/>
        </w:rPr>
        <w:t>, Bellinda L. King-Kallimanis</w:t>
      </w:r>
      <w:r w:rsidRPr="00E14F7D">
        <w:rPr>
          <w:rFonts w:ascii="Times New Roman" w:hAnsi="Times New Roman" w:cs="Times New Roman"/>
          <w:vertAlign w:val="superscript"/>
        </w:rPr>
        <w:t>17</w:t>
      </w:r>
      <w:r w:rsidR="005A295A" w:rsidRPr="00E14F7D">
        <w:rPr>
          <w:rFonts w:ascii="Times New Roman" w:hAnsi="Times New Roman" w:cs="Times New Roman"/>
        </w:rPr>
        <w:t xml:space="preserve"> PhD</w:t>
      </w:r>
      <w:r w:rsidRPr="00E14F7D">
        <w:rPr>
          <w:rFonts w:ascii="Times New Roman" w:hAnsi="Times New Roman" w:cs="Times New Roman"/>
        </w:rPr>
        <w:t>, Paul G. Kluetz</w:t>
      </w:r>
      <w:r w:rsidRPr="00E14F7D">
        <w:rPr>
          <w:rFonts w:ascii="Times New Roman" w:hAnsi="Times New Roman" w:cs="Times New Roman"/>
          <w:vertAlign w:val="superscript"/>
        </w:rPr>
        <w:t>3</w:t>
      </w:r>
      <w:r w:rsidR="005A295A" w:rsidRPr="00E14F7D">
        <w:rPr>
          <w:rFonts w:ascii="Times New Roman" w:hAnsi="Times New Roman" w:cs="Times New Roman"/>
        </w:rPr>
        <w:t xml:space="preserve"> MD</w:t>
      </w:r>
      <w:r w:rsidRPr="00E14F7D">
        <w:rPr>
          <w:rFonts w:ascii="Times New Roman" w:hAnsi="Times New Roman" w:cs="Times New Roman"/>
        </w:rPr>
        <w:t>, Dagmara Kuliś</w:t>
      </w:r>
      <w:r w:rsidRPr="00E14F7D">
        <w:rPr>
          <w:rFonts w:ascii="Times New Roman" w:hAnsi="Times New Roman" w:cs="Times New Roman"/>
          <w:vertAlign w:val="superscript"/>
        </w:rPr>
        <w:t>1</w:t>
      </w:r>
      <w:r w:rsidR="005A295A" w:rsidRPr="00E14F7D">
        <w:rPr>
          <w:rFonts w:ascii="Times New Roman" w:hAnsi="Times New Roman" w:cs="Times New Roman"/>
        </w:rPr>
        <w:t xml:space="preserve"> MA</w:t>
      </w:r>
      <w:r w:rsidRPr="00E14F7D">
        <w:rPr>
          <w:rFonts w:ascii="Times New Roman" w:hAnsi="Times New Roman" w:cs="Times New Roman"/>
        </w:rPr>
        <w:t>, Daniel O’Connor</w:t>
      </w:r>
      <w:r w:rsidRPr="00E14F7D">
        <w:rPr>
          <w:rFonts w:ascii="Times New Roman" w:hAnsi="Times New Roman" w:cs="Times New Roman"/>
          <w:vertAlign w:val="superscript"/>
        </w:rPr>
        <w:t>18</w:t>
      </w:r>
      <w:r w:rsidR="003B6313" w:rsidRPr="00E14F7D">
        <w:rPr>
          <w:rFonts w:ascii="Times New Roman" w:hAnsi="Times New Roman" w:cs="Times New Roman"/>
        </w:rPr>
        <w:t xml:space="preserve"> MBChB</w:t>
      </w:r>
      <w:r w:rsidRPr="00E14F7D">
        <w:rPr>
          <w:rFonts w:ascii="Times New Roman" w:hAnsi="Times New Roman" w:cs="Times New Roman"/>
        </w:rPr>
        <w:t>, Kathy Oliver</w:t>
      </w:r>
      <w:r w:rsidRPr="00E14F7D">
        <w:rPr>
          <w:rFonts w:ascii="Times New Roman" w:hAnsi="Times New Roman" w:cs="Times New Roman"/>
          <w:vertAlign w:val="superscript"/>
        </w:rPr>
        <w:t>19</w:t>
      </w:r>
      <w:r w:rsidR="003B6313" w:rsidRPr="00E14F7D">
        <w:rPr>
          <w:rFonts w:ascii="Times New Roman" w:hAnsi="Times New Roman" w:cs="Times New Roman"/>
        </w:rPr>
        <w:t xml:space="preserve"> BA</w:t>
      </w:r>
      <w:r w:rsidRPr="00E14F7D">
        <w:rPr>
          <w:rFonts w:ascii="Times New Roman" w:hAnsi="Times New Roman" w:cs="Times New Roman"/>
        </w:rPr>
        <w:t>, Madeline Pe</w:t>
      </w:r>
      <w:r w:rsidRPr="00E14F7D">
        <w:rPr>
          <w:rFonts w:ascii="Times New Roman" w:hAnsi="Times New Roman" w:cs="Times New Roman"/>
          <w:vertAlign w:val="superscript"/>
        </w:rPr>
        <w:t>1</w:t>
      </w:r>
      <w:r w:rsidR="003B6313" w:rsidRPr="00E14F7D">
        <w:rPr>
          <w:rFonts w:ascii="Times New Roman" w:hAnsi="Times New Roman" w:cs="Times New Roman"/>
        </w:rPr>
        <w:t xml:space="preserve"> PhD</w:t>
      </w:r>
      <w:r w:rsidRPr="00E14F7D">
        <w:rPr>
          <w:rFonts w:ascii="Times New Roman" w:hAnsi="Times New Roman" w:cs="Times New Roman"/>
        </w:rPr>
        <w:t>, Bryce B. Reeve</w:t>
      </w:r>
      <w:r w:rsidRPr="00E14F7D">
        <w:rPr>
          <w:rFonts w:ascii="Times New Roman" w:hAnsi="Times New Roman" w:cs="Times New Roman"/>
          <w:vertAlign w:val="superscript"/>
        </w:rPr>
        <w:t>20</w:t>
      </w:r>
      <w:r w:rsidR="003B6313" w:rsidRPr="00E14F7D">
        <w:rPr>
          <w:rFonts w:ascii="Times New Roman" w:hAnsi="Times New Roman" w:cs="Times New Roman"/>
        </w:rPr>
        <w:t xml:space="preserve"> PhD</w:t>
      </w:r>
      <w:r w:rsidRPr="00E14F7D">
        <w:rPr>
          <w:rFonts w:ascii="Times New Roman" w:hAnsi="Times New Roman" w:cs="Times New Roman"/>
        </w:rPr>
        <w:t>, Jaap C. Reijneveld</w:t>
      </w:r>
      <w:r w:rsidRPr="00E14F7D">
        <w:rPr>
          <w:rFonts w:ascii="Times New Roman" w:hAnsi="Times New Roman" w:cs="Times New Roman"/>
          <w:vertAlign w:val="superscript"/>
        </w:rPr>
        <w:t>21</w:t>
      </w:r>
      <w:r w:rsidR="003B6313" w:rsidRPr="00E14F7D">
        <w:rPr>
          <w:rFonts w:ascii="Times New Roman" w:hAnsi="Times New Roman" w:cs="Times New Roman"/>
        </w:rPr>
        <w:t xml:space="preserve"> MD</w:t>
      </w:r>
      <w:r w:rsidRPr="00E14F7D">
        <w:rPr>
          <w:rFonts w:ascii="Times New Roman" w:hAnsi="Times New Roman" w:cs="Times New Roman"/>
        </w:rPr>
        <w:t>, Xin Shelley Wang</w:t>
      </w:r>
      <w:r w:rsidRPr="00E14F7D">
        <w:rPr>
          <w:rFonts w:ascii="Times New Roman" w:hAnsi="Times New Roman" w:cs="Times New Roman"/>
          <w:vertAlign w:val="superscript"/>
        </w:rPr>
        <w:t>11</w:t>
      </w:r>
      <w:r w:rsidR="003B6313" w:rsidRPr="00E14F7D">
        <w:rPr>
          <w:rFonts w:ascii="Times New Roman" w:hAnsi="Times New Roman" w:cs="Times New Roman"/>
        </w:rPr>
        <w:t xml:space="preserve"> MD</w:t>
      </w:r>
      <w:r w:rsidRPr="00E14F7D">
        <w:rPr>
          <w:rFonts w:ascii="Times New Roman" w:hAnsi="Times New Roman" w:cs="Times New Roman"/>
        </w:rPr>
        <w:t>, &amp; Andrew Bottomley</w:t>
      </w:r>
      <w:r w:rsidRPr="00E14F7D">
        <w:rPr>
          <w:rFonts w:ascii="Times New Roman" w:hAnsi="Times New Roman" w:cs="Times New Roman"/>
          <w:vertAlign w:val="superscript"/>
        </w:rPr>
        <w:t>1</w:t>
      </w:r>
      <w:r w:rsidR="003B6313" w:rsidRPr="00E14F7D">
        <w:rPr>
          <w:rFonts w:ascii="Times New Roman" w:hAnsi="Times New Roman" w:cs="Times New Roman"/>
        </w:rPr>
        <w:t xml:space="preserve"> PhD</w:t>
      </w:r>
    </w:p>
    <w:p w14:paraId="5DF3EEAD" w14:textId="002DA867" w:rsidR="00012673" w:rsidRPr="00E14F7D" w:rsidRDefault="00012673" w:rsidP="004E45E5">
      <w:pPr>
        <w:spacing w:line="240" w:lineRule="auto"/>
        <w:rPr>
          <w:rFonts w:ascii="Times New Roman" w:hAnsi="Times New Roman" w:cs="Times New Roman"/>
          <w:b/>
          <w:bCs/>
        </w:rPr>
      </w:pPr>
      <w:r w:rsidRPr="00E14F7D">
        <w:rPr>
          <w:rFonts w:ascii="Times New Roman" w:hAnsi="Times New Roman" w:cs="Times New Roman"/>
          <w:b/>
          <w:bCs/>
        </w:rPr>
        <w:t>AFFILIATIONS</w:t>
      </w:r>
    </w:p>
    <w:p w14:paraId="44DBF4C4" w14:textId="20F70A37" w:rsidR="00221BE0" w:rsidRPr="00E14F7D" w:rsidRDefault="00012673" w:rsidP="00B66B7A">
      <w:pPr>
        <w:spacing w:after="0" w:line="240" w:lineRule="auto"/>
        <w:rPr>
          <w:rFonts w:ascii="Times New Roman" w:hAnsi="Times New Roman" w:cs="Times New Roman"/>
        </w:rPr>
      </w:pPr>
      <w:r w:rsidRPr="00E14F7D">
        <w:rPr>
          <w:rFonts w:ascii="Times New Roman" w:hAnsi="Times New Roman" w:cs="Times New Roman"/>
          <w:vertAlign w:val="superscript"/>
        </w:rPr>
        <w:t>1</w:t>
      </w:r>
      <w:r w:rsidRPr="00E14F7D">
        <w:rPr>
          <w:rFonts w:ascii="Times New Roman" w:hAnsi="Times New Roman" w:cs="Times New Roman"/>
        </w:rPr>
        <w:t>Quality of Life Department, E</w:t>
      </w:r>
      <w:r w:rsidR="00BC5EB0" w:rsidRPr="00E14F7D">
        <w:rPr>
          <w:rFonts w:ascii="Times New Roman" w:hAnsi="Times New Roman" w:cs="Times New Roman"/>
        </w:rPr>
        <w:t>uropean Organisation for Research and Treatment of Cancer</w:t>
      </w:r>
      <w:r w:rsidRPr="00E14F7D">
        <w:rPr>
          <w:rFonts w:ascii="Times New Roman" w:hAnsi="Times New Roman" w:cs="Times New Roman"/>
        </w:rPr>
        <w:t>, Brussels, Belgium</w:t>
      </w:r>
    </w:p>
    <w:p w14:paraId="57E7C283" w14:textId="3D53F675" w:rsidR="0078178F" w:rsidRPr="00E14F7D" w:rsidRDefault="0078178F" w:rsidP="00B66B7A">
      <w:pPr>
        <w:spacing w:after="0" w:line="240" w:lineRule="auto"/>
        <w:rPr>
          <w:rFonts w:ascii="Times New Roman" w:hAnsi="Times New Roman" w:cs="Times New Roman"/>
        </w:rPr>
      </w:pPr>
      <w:r w:rsidRPr="00E14F7D">
        <w:rPr>
          <w:rFonts w:ascii="Times New Roman" w:hAnsi="Times New Roman" w:cs="Times New Roman"/>
          <w:vertAlign w:val="superscript"/>
        </w:rPr>
        <w:t>2</w:t>
      </w:r>
      <w:r w:rsidRPr="00E14F7D">
        <w:rPr>
          <w:rFonts w:ascii="Times New Roman" w:hAnsi="Times New Roman" w:cs="Times New Roman"/>
        </w:rPr>
        <w:t>Department of Medicine, University of North Carolina, Chapel Hill, North Carolina</w:t>
      </w:r>
      <w:r w:rsidR="00BC5EB0" w:rsidRPr="00E14F7D">
        <w:rPr>
          <w:rFonts w:ascii="Times New Roman" w:hAnsi="Times New Roman" w:cs="Times New Roman"/>
        </w:rPr>
        <w:t>, USA</w:t>
      </w:r>
    </w:p>
    <w:p w14:paraId="315485AE" w14:textId="56694162" w:rsidR="0078178F" w:rsidRPr="00E14F7D" w:rsidRDefault="0078178F" w:rsidP="00B66B7A">
      <w:pPr>
        <w:spacing w:after="0" w:line="240" w:lineRule="auto"/>
        <w:rPr>
          <w:rFonts w:ascii="Times New Roman" w:hAnsi="Times New Roman" w:cs="Times New Roman"/>
        </w:rPr>
      </w:pPr>
      <w:r w:rsidRPr="00E14F7D">
        <w:rPr>
          <w:rFonts w:ascii="Times New Roman" w:hAnsi="Times New Roman" w:cs="Times New Roman"/>
          <w:vertAlign w:val="superscript"/>
        </w:rPr>
        <w:t>3</w:t>
      </w:r>
      <w:r w:rsidRPr="00E14F7D">
        <w:rPr>
          <w:rFonts w:ascii="Times New Roman" w:hAnsi="Times New Roman" w:cs="Times New Roman"/>
        </w:rPr>
        <w:t>Oncology Center of Excellence, U.S. Food and Drug Administration</w:t>
      </w:r>
      <w:r w:rsidR="00BC5EB0" w:rsidRPr="00E14F7D">
        <w:rPr>
          <w:rFonts w:ascii="Times New Roman" w:hAnsi="Times New Roman" w:cs="Times New Roman"/>
        </w:rPr>
        <w:t>, Silver Spring, Maryland, USA</w:t>
      </w:r>
    </w:p>
    <w:p w14:paraId="0088F5D6" w14:textId="7A040ABD" w:rsidR="00BC5EB0" w:rsidRPr="00E14F7D" w:rsidRDefault="294B4561" w:rsidP="00B66B7A">
      <w:pPr>
        <w:spacing w:after="0" w:line="240" w:lineRule="auto"/>
        <w:rPr>
          <w:rFonts w:ascii="Times New Roman" w:hAnsi="Times New Roman" w:cs="Times New Roman"/>
        </w:rPr>
      </w:pPr>
      <w:r w:rsidRPr="00E14F7D">
        <w:rPr>
          <w:rFonts w:ascii="Times New Roman" w:hAnsi="Times New Roman" w:cs="Times New Roman"/>
          <w:vertAlign w:val="superscript"/>
        </w:rPr>
        <w:t>4</w:t>
      </w:r>
      <w:r w:rsidRPr="00E14F7D">
        <w:rPr>
          <w:rFonts w:ascii="Times New Roman" w:hAnsi="Times New Roman" w:cs="Times New Roman"/>
        </w:rPr>
        <w:t>Centre for Patient-Reported Outcomes Research, Institute of Applied Health Research, University of Birmingham, Birmingham, UK</w:t>
      </w:r>
    </w:p>
    <w:p w14:paraId="7BDEA82A" w14:textId="35A413E1" w:rsidR="009E409C" w:rsidRPr="00E14F7D" w:rsidRDefault="294B4561" w:rsidP="00B66B7A">
      <w:pPr>
        <w:spacing w:after="0" w:line="240" w:lineRule="auto"/>
        <w:rPr>
          <w:rFonts w:ascii="Times New Roman" w:hAnsi="Times New Roman" w:cs="Times New Roman"/>
        </w:rPr>
      </w:pPr>
      <w:r w:rsidRPr="00E14F7D">
        <w:rPr>
          <w:rFonts w:ascii="Times New Roman" w:hAnsi="Times New Roman" w:cs="Times New Roman"/>
          <w:vertAlign w:val="superscript"/>
        </w:rPr>
        <w:t>5</w:t>
      </w:r>
      <w:r w:rsidRPr="00E14F7D">
        <w:rPr>
          <w:rFonts w:ascii="Times New Roman" w:hAnsi="Times New Roman" w:cs="Times New Roman"/>
        </w:rPr>
        <w:t>National Institute for Health</w:t>
      </w:r>
      <w:r w:rsidR="00171256">
        <w:rPr>
          <w:rFonts w:ascii="Times New Roman" w:hAnsi="Times New Roman" w:cs="Times New Roman"/>
        </w:rPr>
        <w:t xml:space="preserve"> and Care</w:t>
      </w:r>
      <w:r w:rsidRPr="00E14F7D">
        <w:rPr>
          <w:rFonts w:ascii="Times New Roman" w:hAnsi="Times New Roman" w:cs="Times New Roman"/>
        </w:rPr>
        <w:t xml:space="preserve"> Research (NIHR) Applied Research Collaboration West Midlands, Birmingham, UK</w:t>
      </w:r>
    </w:p>
    <w:p w14:paraId="757ECD0D" w14:textId="19E60008" w:rsidR="009E409C" w:rsidRPr="00E14F7D" w:rsidRDefault="004B3720" w:rsidP="00B66B7A">
      <w:pPr>
        <w:spacing w:after="0" w:line="240" w:lineRule="auto"/>
        <w:rPr>
          <w:rFonts w:ascii="Times New Roman" w:hAnsi="Times New Roman" w:cs="Times New Roman"/>
        </w:rPr>
      </w:pPr>
      <w:r w:rsidRPr="00E14F7D">
        <w:rPr>
          <w:rFonts w:ascii="Times New Roman" w:hAnsi="Times New Roman" w:cs="Times New Roman"/>
          <w:vertAlign w:val="superscript"/>
        </w:rPr>
        <w:t>6</w:t>
      </w:r>
      <w:r w:rsidR="009E409C" w:rsidRPr="00E14F7D">
        <w:rPr>
          <w:rFonts w:ascii="Times New Roman" w:hAnsi="Times New Roman" w:cs="Times New Roman"/>
        </w:rPr>
        <w:t>Birmingham Health Partners Centre for Regulatory Science and Innovation, University of Birmingham, Birmingham, UK</w:t>
      </w:r>
    </w:p>
    <w:p w14:paraId="582E8295" w14:textId="279BF12C" w:rsidR="009E409C" w:rsidRPr="00E14F7D" w:rsidRDefault="004B3720" w:rsidP="00B66B7A">
      <w:pPr>
        <w:spacing w:after="0" w:line="240" w:lineRule="auto"/>
        <w:rPr>
          <w:rFonts w:ascii="Times New Roman" w:hAnsi="Times New Roman" w:cs="Times New Roman"/>
        </w:rPr>
      </w:pPr>
      <w:r w:rsidRPr="00E14F7D">
        <w:rPr>
          <w:rFonts w:ascii="Times New Roman" w:hAnsi="Times New Roman" w:cs="Times New Roman"/>
          <w:vertAlign w:val="superscript"/>
        </w:rPr>
        <w:t>7</w:t>
      </w:r>
      <w:r w:rsidR="009E409C" w:rsidRPr="00E14F7D">
        <w:rPr>
          <w:rFonts w:ascii="Times New Roman" w:hAnsi="Times New Roman" w:cs="Times New Roman"/>
        </w:rPr>
        <w:t>NIHR Birmingham Biomedical Research Centre, University of Birmingham, Birmingham, UK</w:t>
      </w:r>
    </w:p>
    <w:p w14:paraId="1B97F1A1" w14:textId="4C8BB6AC" w:rsidR="009E409C" w:rsidRPr="00E14F7D" w:rsidRDefault="00801DE3" w:rsidP="00B66B7A">
      <w:pPr>
        <w:spacing w:after="0" w:line="240" w:lineRule="auto"/>
        <w:rPr>
          <w:rFonts w:ascii="Times New Roman" w:hAnsi="Times New Roman" w:cs="Times New Roman"/>
        </w:rPr>
      </w:pPr>
      <w:r w:rsidRPr="00E14F7D">
        <w:rPr>
          <w:rFonts w:ascii="Times New Roman" w:hAnsi="Times New Roman" w:cs="Times New Roman"/>
          <w:vertAlign w:val="superscript"/>
        </w:rPr>
        <w:t>8</w:t>
      </w:r>
      <w:r w:rsidR="009E409C" w:rsidRPr="00E14F7D">
        <w:rPr>
          <w:rFonts w:ascii="Times New Roman" w:hAnsi="Times New Roman" w:cs="Times New Roman"/>
        </w:rPr>
        <w:t>NIHR Surgical Reconstruction and Microbiology Research Centre, University of Birmingham, Birmingham, UK</w:t>
      </w:r>
    </w:p>
    <w:p w14:paraId="1B09D26C" w14:textId="36B73A99" w:rsidR="00801DE3" w:rsidRPr="00E14F7D" w:rsidRDefault="00801DE3" w:rsidP="00B66B7A">
      <w:pPr>
        <w:spacing w:after="0" w:line="240" w:lineRule="auto"/>
        <w:rPr>
          <w:rFonts w:ascii="Times New Roman" w:hAnsi="Times New Roman" w:cs="Times New Roman"/>
        </w:rPr>
      </w:pPr>
      <w:r w:rsidRPr="00E14F7D">
        <w:rPr>
          <w:rFonts w:ascii="Times New Roman" w:hAnsi="Times New Roman" w:cs="Times New Roman"/>
          <w:vertAlign w:val="superscript"/>
        </w:rPr>
        <w:t>9</w:t>
      </w:r>
      <w:r w:rsidRPr="00E14F7D">
        <w:rPr>
          <w:rFonts w:ascii="Times New Roman" w:hAnsi="Times New Roman" w:cs="Times New Roman"/>
        </w:rPr>
        <w:t>Digital Health Oncology R&amp;D, AstraZeneca, Gaithersburg, Maryland, USA</w:t>
      </w:r>
    </w:p>
    <w:p w14:paraId="79EFCCC3" w14:textId="3CFFC183" w:rsidR="00B66B7A" w:rsidRPr="00E14F7D" w:rsidRDefault="00801DE3" w:rsidP="00B66B7A">
      <w:pPr>
        <w:spacing w:after="0" w:line="240" w:lineRule="auto"/>
        <w:rPr>
          <w:rFonts w:ascii="Times New Roman" w:hAnsi="Times New Roman" w:cs="Times New Roman"/>
        </w:rPr>
      </w:pPr>
      <w:r w:rsidRPr="00E14F7D">
        <w:rPr>
          <w:rFonts w:ascii="Times New Roman" w:hAnsi="Times New Roman" w:cs="Times New Roman"/>
          <w:vertAlign w:val="superscript"/>
        </w:rPr>
        <w:t>10</w:t>
      </w:r>
      <w:r w:rsidR="00B66B7A" w:rsidRPr="00E14F7D">
        <w:rPr>
          <w:rFonts w:ascii="Times New Roman" w:hAnsi="Times New Roman" w:cs="Times New Roman"/>
        </w:rPr>
        <w:t>Department of Medical Social Sciences, Feinberg School of Medicine, Northwestern University, Evanston, Illinois, USA</w:t>
      </w:r>
    </w:p>
    <w:p w14:paraId="17C1ACD4" w14:textId="4E93D387" w:rsidR="00B66B7A" w:rsidRPr="00E14F7D" w:rsidRDefault="00801DE3" w:rsidP="00B66B7A">
      <w:pPr>
        <w:spacing w:after="0" w:line="240" w:lineRule="auto"/>
        <w:rPr>
          <w:rFonts w:ascii="Times New Roman" w:hAnsi="Times New Roman" w:cs="Times New Roman"/>
        </w:rPr>
      </w:pPr>
      <w:r w:rsidRPr="00E14F7D">
        <w:rPr>
          <w:rFonts w:ascii="Times New Roman" w:hAnsi="Times New Roman" w:cs="Times New Roman"/>
          <w:vertAlign w:val="superscript"/>
        </w:rPr>
        <w:t>11</w:t>
      </w:r>
      <w:r w:rsidR="0033442B" w:rsidRPr="00E14F7D">
        <w:rPr>
          <w:rFonts w:ascii="Times New Roman" w:hAnsi="Times New Roman" w:cs="Times New Roman"/>
        </w:rPr>
        <w:t xml:space="preserve">Department of Symptom Research, </w:t>
      </w:r>
      <w:r w:rsidR="00B66B7A" w:rsidRPr="00E14F7D">
        <w:rPr>
          <w:rFonts w:ascii="Times New Roman" w:hAnsi="Times New Roman" w:cs="Times New Roman"/>
        </w:rPr>
        <w:t>M.D. Anderson Cancer Center, University of Texas, Houston, Texas, USA</w:t>
      </w:r>
    </w:p>
    <w:p w14:paraId="2B729556" w14:textId="001A45AC" w:rsidR="00B66B7A" w:rsidRPr="00E14F7D" w:rsidRDefault="00801DE3" w:rsidP="00B66B7A">
      <w:pPr>
        <w:spacing w:after="0" w:line="240" w:lineRule="auto"/>
        <w:rPr>
          <w:rFonts w:ascii="Times New Roman" w:hAnsi="Times New Roman" w:cs="Times New Roman"/>
        </w:rPr>
      </w:pPr>
      <w:r w:rsidRPr="00E14F7D">
        <w:rPr>
          <w:rFonts w:ascii="Times New Roman" w:hAnsi="Times New Roman" w:cs="Times New Roman"/>
          <w:vertAlign w:val="superscript"/>
        </w:rPr>
        <w:t>12</w:t>
      </w:r>
      <w:r w:rsidR="00B66B7A" w:rsidRPr="00E14F7D">
        <w:rPr>
          <w:rFonts w:ascii="Times New Roman" w:hAnsi="Times New Roman" w:cs="Times New Roman"/>
        </w:rPr>
        <w:t>School of Health Sciences, University of Southampton, Southampton, UK</w:t>
      </w:r>
    </w:p>
    <w:p w14:paraId="6959F81F" w14:textId="3ECC5097" w:rsidR="00B66B7A" w:rsidRPr="00E14F7D" w:rsidRDefault="00801DE3" w:rsidP="00B66B7A">
      <w:pPr>
        <w:spacing w:after="0" w:line="240" w:lineRule="auto"/>
        <w:rPr>
          <w:rFonts w:ascii="Times New Roman" w:hAnsi="Times New Roman" w:cs="Times New Roman"/>
        </w:rPr>
      </w:pPr>
      <w:r w:rsidRPr="00E14F7D">
        <w:rPr>
          <w:rFonts w:ascii="Times New Roman" w:hAnsi="Times New Roman" w:cs="Times New Roman"/>
          <w:vertAlign w:val="superscript"/>
        </w:rPr>
        <w:t>13</w:t>
      </w:r>
      <w:r w:rsidR="00B66B7A" w:rsidRPr="00E14F7D">
        <w:rPr>
          <w:rFonts w:ascii="Times New Roman" w:hAnsi="Times New Roman" w:cs="Times New Roman"/>
        </w:rPr>
        <w:t xml:space="preserve">Department of </w:t>
      </w:r>
      <w:r w:rsidR="007B2588">
        <w:rPr>
          <w:rFonts w:ascii="Times New Roman" w:hAnsi="Times New Roman" w:cs="Times New Roman"/>
        </w:rPr>
        <w:t xml:space="preserve">Quantitative </w:t>
      </w:r>
      <w:r w:rsidR="00B66B7A" w:rsidRPr="00E14F7D">
        <w:rPr>
          <w:rFonts w:ascii="Times New Roman" w:hAnsi="Times New Roman" w:cs="Times New Roman"/>
        </w:rPr>
        <w:t>Health Sciences, Mayo Clinic, Scottsdale, Arizona, USA</w:t>
      </w:r>
    </w:p>
    <w:p w14:paraId="1414F294" w14:textId="6ED37F50" w:rsidR="00B66B7A" w:rsidRPr="002A7FB7" w:rsidRDefault="00801DE3" w:rsidP="00B66B7A">
      <w:pPr>
        <w:spacing w:after="0" w:line="240" w:lineRule="auto"/>
        <w:rPr>
          <w:rFonts w:ascii="Times New Roman" w:hAnsi="Times New Roman" w:cs="Times New Roman"/>
          <w:lang w:val="da-DK"/>
        </w:rPr>
      </w:pPr>
      <w:r w:rsidRPr="002A7FB7">
        <w:rPr>
          <w:rFonts w:ascii="Times New Roman" w:hAnsi="Times New Roman" w:cs="Times New Roman"/>
          <w:vertAlign w:val="superscript"/>
          <w:lang w:val="da-DK"/>
        </w:rPr>
        <w:t>14</w:t>
      </w:r>
      <w:r w:rsidR="00386B9A" w:rsidRPr="002A7FB7">
        <w:rPr>
          <w:rFonts w:ascii="Times New Roman" w:hAnsi="Times New Roman" w:cs="Times New Roman"/>
          <w:lang w:val="da-DK"/>
        </w:rPr>
        <w:t>Bispebjerg and Frederiksberg Hospital, Copenhagen, Denmark</w:t>
      </w:r>
    </w:p>
    <w:p w14:paraId="00D432A5" w14:textId="0F6006EC" w:rsidR="00386B9A" w:rsidRPr="00E14F7D" w:rsidRDefault="00801DE3" w:rsidP="00B66B7A">
      <w:pPr>
        <w:spacing w:after="0" w:line="240" w:lineRule="auto"/>
        <w:rPr>
          <w:rFonts w:ascii="Times New Roman" w:hAnsi="Times New Roman" w:cs="Times New Roman"/>
        </w:rPr>
      </w:pPr>
      <w:r w:rsidRPr="00E14F7D">
        <w:rPr>
          <w:rFonts w:ascii="Times New Roman" w:hAnsi="Times New Roman" w:cs="Times New Roman"/>
          <w:vertAlign w:val="superscript"/>
        </w:rPr>
        <w:t>15</w:t>
      </w:r>
      <w:r w:rsidR="00386B9A" w:rsidRPr="00E14F7D">
        <w:rPr>
          <w:rFonts w:ascii="Times New Roman" w:hAnsi="Times New Roman" w:cs="Times New Roman"/>
        </w:rPr>
        <w:t>University of Copenhagen, Copenhagen, Denmark</w:t>
      </w:r>
    </w:p>
    <w:p w14:paraId="0DB74F80" w14:textId="2089C795" w:rsidR="00386B9A" w:rsidRPr="00E14F7D" w:rsidRDefault="00801DE3" w:rsidP="00B66B7A">
      <w:pPr>
        <w:spacing w:after="0" w:line="240" w:lineRule="auto"/>
        <w:rPr>
          <w:rFonts w:ascii="Times New Roman" w:hAnsi="Times New Roman" w:cs="Times New Roman"/>
        </w:rPr>
      </w:pPr>
      <w:r w:rsidRPr="00E14F7D">
        <w:rPr>
          <w:rFonts w:ascii="Times New Roman" w:hAnsi="Times New Roman" w:cs="Times New Roman"/>
          <w:vertAlign w:val="superscript"/>
        </w:rPr>
        <w:t>16</w:t>
      </w:r>
      <w:r w:rsidR="00386B9A" w:rsidRPr="00E14F7D">
        <w:rPr>
          <w:rFonts w:ascii="Times New Roman" w:hAnsi="Times New Roman" w:cs="Times New Roman"/>
        </w:rPr>
        <w:t>European Medicines Agency, Amsterdam, Netherlands</w:t>
      </w:r>
    </w:p>
    <w:p w14:paraId="7075F0BC" w14:textId="3E270100" w:rsidR="00386B9A" w:rsidRPr="00E14F7D" w:rsidRDefault="00801DE3" w:rsidP="00B66B7A">
      <w:pPr>
        <w:spacing w:after="0" w:line="240" w:lineRule="auto"/>
        <w:rPr>
          <w:rFonts w:ascii="Times New Roman" w:hAnsi="Times New Roman" w:cs="Times New Roman"/>
        </w:rPr>
      </w:pPr>
      <w:r w:rsidRPr="00E14F7D">
        <w:rPr>
          <w:rFonts w:ascii="Times New Roman" w:hAnsi="Times New Roman" w:cs="Times New Roman"/>
          <w:vertAlign w:val="superscript"/>
        </w:rPr>
        <w:t>17</w:t>
      </w:r>
      <w:r w:rsidR="00386B9A" w:rsidRPr="00E14F7D">
        <w:rPr>
          <w:rFonts w:ascii="Times New Roman" w:hAnsi="Times New Roman" w:cs="Times New Roman"/>
        </w:rPr>
        <w:t>LUNGevity Foundation, Chicago, Illinois, USA</w:t>
      </w:r>
    </w:p>
    <w:p w14:paraId="1905B3AD" w14:textId="0C19FDEA" w:rsidR="00386B9A" w:rsidRPr="00E14F7D" w:rsidRDefault="00801DE3" w:rsidP="00B66B7A">
      <w:pPr>
        <w:spacing w:after="0" w:line="240" w:lineRule="auto"/>
        <w:rPr>
          <w:rFonts w:ascii="Times New Roman" w:hAnsi="Times New Roman" w:cs="Times New Roman"/>
        </w:rPr>
      </w:pPr>
      <w:r w:rsidRPr="00E14F7D">
        <w:rPr>
          <w:rFonts w:ascii="Times New Roman" w:hAnsi="Times New Roman" w:cs="Times New Roman"/>
          <w:vertAlign w:val="superscript"/>
        </w:rPr>
        <w:t>18</w:t>
      </w:r>
      <w:r w:rsidR="00386B9A" w:rsidRPr="00E14F7D">
        <w:rPr>
          <w:rFonts w:ascii="Times New Roman" w:hAnsi="Times New Roman" w:cs="Times New Roman"/>
        </w:rPr>
        <w:t>Medicines and Healthcare Products Regulatory Agency, London, UK</w:t>
      </w:r>
    </w:p>
    <w:p w14:paraId="649816B0" w14:textId="62A68718" w:rsidR="00386B9A" w:rsidRPr="00A21614" w:rsidRDefault="00801DE3" w:rsidP="00B66B7A">
      <w:pPr>
        <w:spacing w:after="0" w:line="240" w:lineRule="auto"/>
        <w:rPr>
          <w:rFonts w:ascii="Times New Roman" w:hAnsi="Times New Roman" w:cs="Times New Roman"/>
          <w:lang w:val="fr-FR"/>
        </w:rPr>
      </w:pPr>
      <w:r w:rsidRPr="00A21614">
        <w:rPr>
          <w:rFonts w:ascii="Times New Roman" w:hAnsi="Times New Roman" w:cs="Times New Roman"/>
          <w:vertAlign w:val="superscript"/>
          <w:lang w:val="fr-FR"/>
        </w:rPr>
        <w:t>19</w:t>
      </w:r>
      <w:r w:rsidR="00386B9A" w:rsidRPr="00A21614">
        <w:rPr>
          <w:rFonts w:ascii="Times New Roman" w:hAnsi="Times New Roman" w:cs="Times New Roman"/>
          <w:lang w:val="fr-FR"/>
        </w:rPr>
        <w:t xml:space="preserve">International Brain </w:t>
      </w:r>
      <w:proofErr w:type="spellStart"/>
      <w:r w:rsidR="00386B9A" w:rsidRPr="00A21614">
        <w:rPr>
          <w:rFonts w:ascii="Times New Roman" w:hAnsi="Times New Roman" w:cs="Times New Roman"/>
          <w:lang w:val="fr-FR"/>
        </w:rPr>
        <w:t>Tumour</w:t>
      </w:r>
      <w:proofErr w:type="spellEnd"/>
      <w:r w:rsidR="00386B9A" w:rsidRPr="00A21614">
        <w:rPr>
          <w:rFonts w:ascii="Times New Roman" w:hAnsi="Times New Roman" w:cs="Times New Roman"/>
          <w:lang w:val="fr-FR"/>
        </w:rPr>
        <w:t xml:space="preserve"> Alliance, </w:t>
      </w:r>
      <w:r w:rsidR="00F23E37" w:rsidRPr="00A21614">
        <w:rPr>
          <w:rFonts w:ascii="Times New Roman" w:hAnsi="Times New Roman" w:cs="Times New Roman"/>
          <w:lang w:val="fr-FR"/>
        </w:rPr>
        <w:t>Surrey, UK</w:t>
      </w:r>
    </w:p>
    <w:p w14:paraId="6174CBC6" w14:textId="5579B65E" w:rsidR="00F23E37" w:rsidRPr="00E14F7D" w:rsidRDefault="7EF6502E" w:rsidP="00B66B7A">
      <w:pPr>
        <w:spacing w:after="0" w:line="240" w:lineRule="auto"/>
        <w:rPr>
          <w:rFonts w:ascii="Times New Roman" w:hAnsi="Times New Roman" w:cs="Times New Roman"/>
        </w:rPr>
      </w:pPr>
      <w:r w:rsidRPr="00E14F7D">
        <w:rPr>
          <w:rFonts w:ascii="Times New Roman" w:hAnsi="Times New Roman" w:cs="Times New Roman"/>
          <w:vertAlign w:val="superscript"/>
        </w:rPr>
        <w:t>20</w:t>
      </w:r>
      <w:r w:rsidRPr="00E14F7D">
        <w:rPr>
          <w:rFonts w:ascii="Times New Roman" w:hAnsi="Times New Roman" w:cs="Times New Roman"/>
        </w:rPr>
        <w:t>Department of Population Health Sciences, Duke University School of Medicine, Durham, North Carolina, USA</w:t>
      </w:r>
    </w:p>
    <w:p w14:paraId="29BDB833" w14:textId="2732C80D" w:rsidR="00F23E37" w:rsidRPr="00A21614" w:rsidRDefault="00801DE3" w:rsidP="00B66B7A">
      <w:pPr>
        <w:spacing w:after="0" w:line="240" w:lineRule="auto"/>
        <w:rPr>
          <w:rFonts w:ascii="Times New Roman" w:hAnsi="Times New Roman" w:cs="Times New Roman"/>
          <w:lang w:val="nl-NL"/>
        </w:rPr>
      </w:pPr>
      <w:r w:rsidRPr="00A21614">
        <w:rPr>
          <w:rFonts w:ascii="Times New Roman" w:hAnsi="Times New Roman" w:cs="Times New Roman"/>
          <w:vertAlign w:val="superscript"/>
          <w:lang w:val="nl-NL"/>
        </w:rPr>
        <w:t>21</w:t>
      </w:r>
      <w:r w:rsidR="00F23E37" w:rsidRPr="00A21614">
        <w:rPr>
          <w:rFonts w:ascii="Times New Roman" w:hAnsi="Times New Roman" w:cs="Times New Roman"/>
          <w:lang w:val="nl-NL"/>
        </w:rPr>
        <w:t xml:space="preserve">Brain Tumor Center Amsterdam, Amsterdam University </w:t>
      </w:r>
      <w:proofErr w:type="spellStart"/>
      <w:r w:rsidR="00F23E37" w:rsidRPr="00A21614">
        <w:rPr>
          <w:rFonts w:ascii="Times New Roman" w:hAnsi="Times New Roman" w:cs="Times New Roman"/>
          <w:lang w:val="nl-NL"/>
        </w:rPr>
        <w:t>Medical</w:t>
      </w:r>
      <w:proofErr w:type="spellEnd"/>
      <w:r w:rsidR="00F23E37" w:rsidRPr="00A21614">
        <w:rPr>
          <w:rFonts w:ascii="Times New Roman" w:hAnsi="Times New Roman" w:cs="Times New Roman"/>
          <w:lang w:val="nl-NL"/>
        </w:rPr>
        <w:t xml:space="preserve"> Center, Amsterdam, Netherlands</w:t>
      </w:r>
    </w:p>
    <w:p w14:paraId="623156AA" w14:textId="19D69D97" w:rsidR="00794D7A" w:rsidRPr="00A21614" w:rsidRDefault="00794D7A" w:rsidP="00B66B7A">
      <w:pPr>
        <w:spacing w:after="0" w:line="240" w:lineRule="auto"/>
        <w:rPr>
          <w:rFonts w:ascii="Times New Roman" w:hAnsi="Times New Roman" w:cs="Times New Roman"/>
          <w:lang w:val="nl-NL"/>
        </w:rPr>
      </w:pPr>
    </w:p>
    <w:p w14:paraId="5968578F" w14:textId="50958F80" w:rsidR="00794D7A" w:rsidRPr="00E14F7D" w:rsidRDefault="00794D7A" w:rsidP="00B66B7A">
      <w:pPr>
        <w:spacing w:after="0" w:line="240" w:lineRule="auto"/>
        <w:rPr>
          <w:rFonts w:ascii="Times New Roman" w:hAnsi="Times New Roman" w:cs="Times New Roman"/>
          <w:b/>
          <w:bCs/>
        </w:rPr>
      </w:pPr>
      <w:r w:rsidRPr="00E14F7D">
        <w:rPr>
          <w:rFonts w:ascii="Times New Roman" w:hAnsi="Times New Roman" w:cs="Times New Roman"/>
          <w:b/>
          <w:bCs/>
        </w:rPr>
        <w:t>CORRESPONDING AUTHOR</w:t>
      </w:r>
    </w:p>
    <w:p w14:paraId="72D7363A" w14:textId="77777777" w:rsidR="00AA4104" w:rsidRPr="00E14F7D" w:rsidRDefault="00AA4104" w:rsidP="00B66B7A">
      <w:pPr>
        <w:spacing w:after="0" w:line="240" w:lineRule="auto"/>
        <w:rPr>
          <w:rFonts w:ascii="Times New Roman" w:hAnsi="Times New Roman" w:cs="Times New Roman"/>
        </w:rPr>
      </w:pPr>
    </w:p>
    <w:p w14:paraId="14AEFF8A" w14:textId="7C480AE7" w:rsidR="00794D7A" w:rsidRPr="00E14F7D" w:rsidRDefault="00794D7A" w:rsidP="00B66B7A">
      <w:pPr>
        <w:spacing w:after="0" w:line="240" w:lineRule="auto"/>
        <w:rPr>
          <w:rFonts w:ascii="Times New Roman" w:hAnsi="Times New Roman" w:cs="Times New Roman"/>
        </w:rPr>
      </w:pPr>
      <w:r w:rsidRPr="00E14F7D">
        <w:rPr>
          <w:rFonts w:ascii="Times New Roman" w:hAnsi="Times New Roman" w:cs="Times New Roman"/>
        </w:rPr>
        <w:t>Claire Piccinin</w:t>
      </w:r>
    </w:p>
    <w:p w14:paraId="204AB5F2" w14:textId="60BB4505" w:rsidR="00794D7A" w:rsidRPr="00E14F7D" w:rsidRDefault="00794D7A" w:rsidP="00B66B7A">
      <w:pPr>
        <w:spacing w:after="0" w:line="240" w:lineRule="auto"/>
        <w:rPr>
          <w:rFonts w:ascii="Times New Roman" w:hAnsi="Times New Roman" w:cs="Times New Roman"/>
        </w:rPr>
      </w:pPr>
      <w:r w:rsidRPr="00E14F7D">
        <w:rPr>
          <w:rFonts w:ascii="Times New Roman" w:hAnsi="Times New Roman" w:cs="Times New Roman"/>
        </w:rPr>
        <w:t>Quality of Life Department, European Organisation for Research and Treatment of Cancer</w:t>
      </w:r>
    </w:p>
    <w:p w14:paraId="0B53B4ED" w14:textId="75EF081E" w:rsidR="00794D7A" w:rsidRPr="00E14F7D" w:rsidRDefault="00794D7A" w:rsidP="00B66B7A">
      <w:pPr>
        <w:spacing w:after="0" w:line="240" w:lineRule="auto"/>
        <w:rPr>
          <w:rFonts w:ascii="Times New Roman" w:hAnsi="Times New Roman" w:cs="Times New Roman"/>
          <w:lang w:val="fr-FR"/>
        </w:rPr>
      </w:pPr>
      <w:r w:rsidRPr="00E14F7D">
        <w:rPr>
          <w:rFonts w:ascii="Times New Roman" w:hAnsi="Times New Roman" w:cs="Times New Roman"/>
          <w:lang w:val="fr-FR"/>
        </w:rPr>
        <w:t>Avenue E. Mounier 83/11, 1200 Brussels, Belgium</w:t>
      </w:r>
    </w:p>
    <w:p w14:paraId="6E17618E" w14:textId="0ED7DF6B" w:rsidR="00794D7A" w:rsidRPr="00E14F7D" w:rsidRDefault="006074D0" w:rsidP="00B66B7A">
      <w:pPr>
        <w:spacing w:after="0" w:line="240" w:lineRule="auto"/>
        <w:rPr>
          <w:rFonts w:ascii="Times New Roman" w:hAnsi="Times New Roman" w:cs="Times New Roman"/>
          <w:lang w:val="fr-BE"/>
        </w:rPr>
      </w:pPr>
      <w:hyperlink r:id="rId10" w:history="1">
        <w:r w:rsidR="00794D7A" w:rsidRPr="00E14F7D">
          <w:rPr>
            <w:rStyle w:val="Hyperlink"/>
            <w:rFonts w:ascii="Times New Roman" w:hAnsi="Times New Roman" w:cs="Times New Roman"/>
            <w:lang w:val="fr-BE"/>
          </w:rPr>
          <w:t>claire.piccinin@eortc.org</w:t>
        </w:r>
      </w:hyperlink>
      <w:r w:rsidR="00794D7A" w:rsidRPr="00E14F7D">
        <w:rPr>
          <w:rFonts w:ascii="Times New Roman" w:hAnsi="Times New Roman" w:cs="Times New Roman"/>
          <w:lang w:val="fr-BE"/>
        </w:rPr>
        <w:t xml:space="preserve"> </w:t>
      </w:r>
    </w:p>
    <w:p w14:paraId="212DFCCD" w14:textId="1B6616D8" w:rsidR="00AA4104" w:rsidRPr="00850FD1" w:rsidRDefault="00AA4104" w:rsidP="002A362A">
      <w:pPr>
        <w:spacing w:after="0" w:line="240" w:lineRule="auto"/>
        <w:rPr>
          <w:rFonts w:ascii="Times New Roman" w:hAnsi="Times New Roman" w:cs="Times New Roman"/>
          <w:b/>
          <w:bCs/>
        </w:rPr>
      </w:pPr>
      <w:r w:rsidRPr="00850FD1">
        <w:rPr>
          <w:rFonts w:ascii="Times New Roman" w:hAnsi="Times New Roman" w:cs="Times New Roman"/>
        </w:rPr>
        <w:t>+32 2 774 1592</w:t>
      </w:r>
    </w:p>
    <w:p w14:paraId="2719E0BA" w14:textId="77777777" w:rsidR="008F5243" w:rsidRPr="00850FD1" w:rsidRDefault="008F5243" w:rsidP="002A362A">
      <w:pPr>
        <w:spacing w:after="0" w:line="240" w:lineRule="auto"/>
        <w:rPr>
          <w:rFonts w:ascii="Times New Roman" w:hAnsi="Times New Roman" w:cs="Times New Roman"/>
          <w:b/>
          <w:bCs/>
        </w:rPr>
      </w:pPr>
    </w:p>
    <w:p w14:paraId="6ED887CD" w14:textId="77777777" w:rsidR="008F5243" w:rsidRPr="00850FD1" w:rsidRDefault="008F5243" w:rsidP="002A362A">
      <w:pPr>
        <w:spacing w:after="0" w:line="240" w:lineRule="auto"/>
        <w:rPr>
          <w:rFonts w:ascii="Times New Roman" w:hAnsi="Times New Roman" w:cs="Times New Roman"/>
          <w:b/>
          <w:bCs/>
        </w:rPr>
      </w:pPr>
    </w:p>
    <w:p w14:paraId="125C28BD" w14:textId="77777777" w:rsidR="008F5243" w:rsidRPr="00850FD1" w:rsidRDefault="008F5243" w:rsidP="002A362A">
      <w:pPr>
        <w:spacing w:after="0" w:line="240" w:lineRule="auto"/>
        <w:rPr>
          <w:rFonts w:ascii="Times New Roman" w:hAnsi="Times New Roman" w:cs="Times New Roman"/>
          <w:b/>
          <w:bCs/>
        </w:rPr>
      </w:pPr>
    </w:p>
    <w:p w14:paraId="70087FB7" w14:textId="7912209E" w:rsidR="00AC38AC" w:rsidRPr="00E14F7D" w:rsidRDefault="00AC38AC" w:rsidP="009E409C">
      <w:pPr>
        <w:spacing w:line="240" w:lineRule="auto"/>
        <w:rPr>
          <w:rFonts w:ascii="Times New Roman" w:hAnsi="Times New Roman" w:cs="Times New Roman"/>
          <w:b/>
          <w:bCs/>
        </w:rPr>
        <w:sectPr w:rsidR="00AC38AC" w:rsidRPr="00E14F7D" w:rsidSect="00471739">
          <w:headerReference w:type="default" r:id="rId11"/>
          <w:footerReference w:type="default" r:id="rId12"/>
          <w:pgSz w:w="11906" w:h="16838"/>
          <w:pgMar w:top="1440" w:right="1440" w:bottom="1440" w:left="1440" w:header="708" w:footer="708" w:gutter="0"/>
          <w:cols w:space="708"/>
          <w:docGrid w:linePitch="360"/>
        </w:sectPr>
      </w:pPr>
    </w:p>
    <w:p w14:paraId="4E597476" w14:textId="3F3F4A01" w:rsidR="00191036" w:rsidRPr="00E14F7D" w:rsidRDefault="00306109" w:rsidP="009E409C">
      <w:pPr>
        <w:spacing w:line="240" w:lineRule="auto"/>
        <w:rPr>
          <w:rFonts w:ascii="Times New Roman" w:hAnsi="Times New Roman" w:cs="Times New Roman"/>
          <w:b/>
          <w:bCs/>
        </w:rPr>
      </w:pPr>
      <w:r w:rsidRPr="00E14F7D">
        <w:rPr>
          <w:rFonts w:ascii="Times New Roman" w:hAnsi="Times New Roman" w:cs="Times New Roman"/>
          <w:b/>
          <w:bCs/>
        </w:rPr>
        <w:lastRenderedPageBreak/>
        <w:t>SUMMARY</w:t>
      </w:r>
    </w:p>
    <w:p w14:paraId="7C4AFB7B" w14:textId="77A67E8D" w:rsidR="00DA64FB" w:rsidRPr="00E14F7D" w:rsidRDefault="762EE3AF" w:rsidP="00DA64FB">
      <w:pPr>
        <w:spacing w:line="360" w:lineRule="auto"/>
        <w:rPr>
          <w:rFonts w:ascii="Times New Roman" w:hAnsi="Times New Roman" w:cs="Times New Roman"/>
        </w:rPr>
        <w:sectPr w:rsidR="00DA64FB" w:rsidRPr="00E14F7D" w:rsidSect="003D47CF">
          <w:headerReference w:type="default" r:id="rId13"/>
          <w:pgSz w:w="11906" w:h="16838"/>
          <w:pgMar w:top="1440" w:right="1440" w:bottom="1440" w:left="1440" w:header="708" w:footer="708" w:gutter="0"/>
          <w:cols w:space="708"/>
          <w:docGrid w:linePitch="360"/>
        </w:sectPr>
      </w:pPr>
      <w:r w:rsidRPr="00E14F7D">
        <w:rPr>
          <w:rFonts w:ascii="Times New Roman" w:hAnsi="Times New Roman" w:cs="Times New Roman"/>
        </w:rPr>
        <w:t>The use of item libraries for</w:t>
      </w:r>
      <w:r w:rsidR="002A4998" w:rsidRPr="00E14F7D">
        <w:rPr>
          <w:rFonts w:ascii="Times New Roman" w:hAnsi="Times New Roman" w:cs="Times New Roman"/>
        </w:rPr>
        <w:t xml:space="preserve"> patient-reported outcome</w:t>
      </w:r>
      <w:r w:rsidRPr="00E14F7D">
        <w:rPr>
          <w:rFonts w:ascii="Times New Roman" w:hAnsi="Times New Roman" w:cs="Times New Roman"/>
        </w:rPr>
        <w:t xml:space="preserve"> </w:t>
      </w:r>
      <w:r w:rsidR="00290032" w:rsidRPr="00E14F7D">
        <w:rPr>
          <w:rFonts w:ascii="Times New Roman" w:hAnsi="Times New Roman" w:cs="Times New Roman"/>
        </w:rPr>
        <w:t>(</w:t>
      </w:r>
      <w:r w:rsidRPr="00E14F7D">
        <w:rPr>
          <w:rFonts w:ascii="Times New Roman" w:hAnsi="Times New Roman" w:cs="Times New Roman"/>
        </w:rPr>
        <w:t>PRO</w:t>
      </w:r>
      <w:r w:rsidR="00290032" w:rsidRPr="00E14F7D">
        <w:rPr>
          <w:rFonts w:ascii="Times New Roman" w:hAnsi="Times New Roman" w:cs="Times New Roman"/>
        </w:rPr>
        <w:t>)</w:t>
      </w:r>
      <w:r w:rsidRPr="00E14F7D">
        <w:rPr>
          <w:rFonts w:ascii="Times New Roman" w:hAnsi="Times New Roman" w:cs="Times New Roman"/>
        </w:rPr>
        <w:t xml:space="preserve"> assessment in oncology</w:t>
      </w:r>
      <w:r w:rsidR="0078168C" w:rsidRPr="00E14F7D">
        <w:rPr>
          <w:rFonts w:ascii="Times New Roman" w:hAnsi="Times New Roman" w:cs="Times New Roman"/>
        </w:rPr>
        <w:t xml:space="preserve"> allows for the customization of PRO assessment to </w:t>
      </w:r>
      <w:r w:rsidR="00E3607D" w:rsidRPr="00E14F7D">
        <w:rPr>
          <w:rFonts w:ascii="Times New Roman" w:hAnsi="Times New Roman" w:cs="Times New Roman"/>
        </w:rPr>
        <w:t>measure</w:t>
      </w:r>
      <w:r w:rsidR="0078168C" w:rsidRPr="00E14F7D">
        <w:rPr>
          <w:rFonts w:ascii="Times New Roman" w:hAnsi="Times New Roman" w:cs="Times New Roman"/>
        </w:rPr>
        <w:t xml:space="preserve"> key</w:t>
      </w:r>
      <w:r w:rsidR="000B5877" w:rsidRPr="00E14F7D">
        <w:rPr>
          <w:rFonts w:ascii="Times New Roman" w:hAnsi="Times New Roman" w:cs="Times New Roman"/>
        </w:rPr>
        <w:t xml:space="preserve"> health-related quality of life (HRQOL)</w:t>
      </w:r>
      <w:r w:rsidR="0078168C" w:rsidRPr="00E14F7D">
        <w:rPr>
          <w:rFonts w:ascii="Times New Roman" w:hAnsi="Times New Roman" w:cs="Times New Roman"/>
        </w:rPr>
        <w:t xml:space="preserve"> concepts of relevance to the target population and intervention</w:t>
      </w:r>
      <w:r w:rsidRPr="00E14F7D">
        <w:rPr>
          <w:rFonts w:ascii="Times New Roman" w:hAnsi="Times New Roman" w:cs="Times New Roman"/>
        </w:rPr>
        <w:t>. However, no</w:t>
      </w:r>
      <w:r w:rsidR="000B5877" w:rsidRPr="00E14F7D">
        <w:rPr>
          <w:rFonts w:ascii="Times New Roman" w:hAnsi="Times New Roman" w:cs="Times New Roman"/>
        </w:rPr>
        <w:t xml:space="preserve"> high-level</w:t>
      </w:r>
      <w:r w:rsidRPr="00E14F7D">
        <w:rPr>
          <w:rFonts w:ascii="Times New Roman" w:hAnsi="Times New Roman" w:cs="Times New Roman"/>
        </w:rPr>
        <w:t xml:space="preserve"> recommendations exist to guide users on the design and implementation of these</w:t>
      </w:r>
      <w:r w:rsidR="000B5877" w:rsidRPr="00E14F7D">
        <w:rPr>
          <w:rFonts w:ascii="Times New Roman" w:hAnsi="Times New Roman" w:cs="Times New Roman"/>
        </w:rPr>
        <w:t xml:space="preserve"> customized PRO measures</w:t>
      </w:r>
      <w:r w:rsidRPr="00E14F7D">
        <w:rPr>
          <w:rFonts w:ascii="Times New Roman" w:hAnsi="Times New Roman" w:cs="Times New Roman"/>
        </w:rPr>
        <w:t xml:space="preserve"> </w:t>
      </w:r>
      <w:r w:rsidR="000B5877" w:rsidRPr="00E14F7D">
        <w:rPr>
          <w:rFonts w:ascii="Times New Roman" w:hAnsi="Times New Roman" w:cs="Times New Roman"/>
        </w:rPr>
        <w:t>(</w:t>
      </w:r>
      <w:r w:rsidRPr="00E14F7D">
        <w:rPr>
          <w:rFonts w:ascii="Times New Roman" w:hAnsi="Times New Roman" w:cs="Times New Roman"/>
        </w:rPr>
        <w:t>item lists</w:t>
      </w:r>
      <w:r w:rsidR="000B5877" w:rsidRPr="00E14F7D">
        <w:rPr>
          <w:rFonts w:ascii="Times New Roman" w:hAnsi="Times New Roman" w:cs="Times New Roman"/>
        </w:rPr>
        <w:t>) across different PRO measurement systems</w:t>
      </w:r>
      <w:r w:rsidRPr="00E14F7D">
        <w:rPr>
          <w:rFonts w:ascii="Times New Roman" w:hAnsi="Times New Roman" w:cs="Times New Roman"/>
        </w:rPr>
        <w:t>. To address this issue, a working group</w:t>
      </w:r>
      <w:r w:rsidR="00B75D69" w:rsidRPr="00E14F7D">
        <w:rPr>
          <w:rFonts w:ascii="Times New Roman" w:hAnsi="Times New Roman" w:cs="Times New Roman"/>
        </w:rPr>
        <w:t xml:space="preserve"> </w:t>
      </w:r>
      <w:r w:rsidRPr="00E14F7D">
        <w:rPr>
          <w:rFonts w:ascii="Times New Roman" w:hAnsi="Times New Roman" w:cs="Times New Roman"/>
        </w:rPr>
        <w:t xml:space="preserve">was set up, including international stakeholders (academic, independent, </w:t>
      </w:r>
      <w:r w:rsidR="00290032" w:rsidRPr="00E14F7D">
        <w:rPr>
          <w:rFonts w:ascii="Times New Roman" w:hAnsi="Times New Roman" w:cs="Times New Roman"/>
        </w:rPr>
        <w:t>industry</w:t>
      </w:r>
      <w:r w:rsidRPr="00E14F7D">
        <w:rPr>
          <w:rFonts w:ascii="Times New Roman" w:hAnsi="Times New Roman" w:cs="Times New Roman"/>
        </w:rPr>
        <w:t xml:space="preserve">, </w:t>
      </w:r>
      <w:r w:rsidR="00290032" w:rsidRPr="00E14F7D">
        <w:rPr>
          <w:rFonts w:ascii="Times New Roman" w:hAnsi="Times New Roman" w:cs="Times New Roman"/>
        </w:rPr>
        <w:t xml:space="preserve">health technology assessment, </w:t>
      </w:r>
      <w:r w:rsidRPr="00E14F7D">
        <w:rPr>
          <w:rFonts w:ascii="Times New Roman" w:hAnsi="Times New Roman" w:cs="Times New Roman"/>
        </w:rPr>
        <w:t xml:space="preserve">regulatory, and patient </w:t>
      </w:r>
      <w:r w:rsidR="00DA703B" w:rsidRPr="00E14F7D">
        <w:rPr>
          <w:rFonts w:ascii="Times New Roman" w:hAnsi="Times New Roman" w:cs="Times New Roman"/>
        </w:rPr>
        <w:t>adv</w:t>
      </w:r>
      <w:r w:rsidR="00DA703B">
        <w:rPr>
          <w:rFonts w:ascii="Times New Roman" w:hAnsi="Times New Roman" w:cs="Times New Roman"/>
        </w:rPr>
        <w:t>ocacy</w:t>
      </w:r>
      <w:r w:rsidRPr="00E14F7D">
        <w:rPr>
          <w:rFonts w:ascii="Times New Roman" w:hAnsi="Times New Roman" w:cs="Times New Roman"/>
        </w:rPr>
        <w:t xml:space="preserve">), with the goal of creating recommendations for the use of item libraries in oncology trials. A scoping review was carried out to identify </w:t>
      </w:r>
      <w:r w:rsidR="00651A42" w:rsidRPr="00E14F7D">
        <w:rPr>
          <w:rFonts w:ascii="Times New Roman" w:hAnsi="Times New Roman" w:cs="Times New Roman"/>
        </w:rPr>
        <w:t>relevant publications</w:t>
      </w:r>
      <w:r w:rsidRPr="00E14F7D">
        <w:rPr>
          <w:rFonts w:ascii="Times New Roman" w:hAnsi="Times New Roman" w:cs="Times New Roman"/>
        </w:rPr>
        <w:t xml:space="preserve"> and highlight any gaps. Stakeholders commented on the available guidance for each research question, proposed recommendations on gaps, and came to</w:t>
      </w:r>
      <w:r w:rsidR="00651A42" w:rsidRPr="00E14F7D">
        <w:rPr>
          <w:rFonts w:ascii="Times New Roman" w:hAnsi="Times New Roman" w:cs="Times New Roman"/>
        </w:rPr>
        <w:t xml:space="preserve"> an agreement</w:t>
      </w:r>
      <w:r w:rsidRPr="00E14F7D">
        <w:rPr>
          <w:rFonts w:ascii="Times New Roman" w:hAnsi="Times New Roman" w:cs="Times New Roman"/>
        </w:rPr>
        <w:t xml:space="preserve"> using discussion-based methods. Nine primary research questions were identified that formed the scope and structure of the recommendations on how to select items and implement item lists created from item libraries. These recommendations address methods to drive item selection, plan the structure and analysis of item lists, and facilitate their use in conjunction with other measures. The findings resulted in high-level, instrument-agnostic recommendations on the use of item library-derived item lists </w:t>
      </w:r>
      <w:r w:rsidR="00651A42" w:rsidRPr="00E14F7D">
        <w:rPr>
          <w:rFonts w:ascii="Times New Roman" w:hAnsi="Times New Roman" w:cs="Times New Roman"/>
        </w:rPr>
        <w:t>in oncology trials</w:t>
      </w:r>
      <w:r w:rsidRPr="00E14F7D">
        <w:rPr>
          <w:rFonts w:ascii="Times New Roman" w:hAnsi="Times New Roman" w:cs="Times New Roman"/>
        </w:rPr>
        <w:t xml:space="preserve">. </w:t>
      </w:r>
    </w:p>
    <w:p w14:paraId="131F6030" w14:textId="10563DE0" w:rsidR="00BA51BF" w:rsidRPr="00E14F7D" w:rsidRDefault="00BC771B" w:rsidP="009E409C">
      <w:pPr>
        <w:spacing w:line="240" w:lineRule="auto"/>
        <w:rPr>
          <w:rFonts w:ascii="Times New Roman" w:hAnsi="Times New Roman" w:cs="Times New Roman"/>
          <w:b/>
          <w:bCs/>
        </w:rPr>
      </w:pPr>
      <w:r w:rsidRPr="00E14F7D">
        <w:rPr>
          <w:rFonts w:ascii="Times New Roman" w:hAnsi="Times New Roman" w:cs="Times New Roman"/>
          <w:b/>
          <w:bCs/>
        </w:rPr>
        <w:lastRenderedPageBreak/>
        <w:t>BACKGROUND</w:t>
      </w:r>
    </w:p>
    <w:p w14:paraId="65411856" w14:textId="63ECF488" w:rsidR="00502214" w:rsidRPr="00E14F7D" w:rsidRDefault="762EE3AF" w:rsidP="294B4561">
      <w:pPr>
        <w:spacing w:line="360" w:lineRule="auto"/>
        <w:rPr>
          <w:rFonts w:ascii="Times New Roman" w:hAnsi="Times New Roman" w:cs="Times New Roman"/>
        </w:rPr>
      </w:pPr>
      <w:r w:rsidRPr="00E14F7D">
        <w:rPr>
          <w:rFonts w:ascii="Times New Roman" w:hAnsi="Times New Roman" w:cs="Times New Roman"/>
        </w:rPr>
        <w:t>It is increasingly recognized that patient-reported outcome (PRO) measures designed to assess patients’ symptoms, functioning, and general health status are critical for capturing the impact of disease and treatment on patients’ lives</w:t>
      </w:r>
      <w:r w:rsidR="006D5821" w:rsidRPr="00E14F7D">
        <w:rPr>
          <w:rFonts w:ascii="Times New Roman" w:hAnsi="Times New Roman" w:cs="Times New Roman"/>
        </w:rPr>
        <w:t>.</w:t>
      </w:r>
      <w:r w:rsidR="00C06A77" w:rsidRPr="00E14F7D">
        <w:rPr>
          <w:rFonts w:ascii="Times New Roman" w:hAnsi="Times New Roman" w:cs="Times New Roman"/>
        </w:rPr>
        <w:t xml:space="preserve"> </w:t>
      </w:r>
      <w:r w:rsidR="00C80125" w:rsidRPr="00E14F7D">
        <w:rPr>
          <w:rFonts w:ascii="Times New Roman" w:hAnsi="Times New Roman" w:cs="Times New Roman"/>
        </w:rPr>
        <w:fldChar w:fldCharType="begin" w:fldLock="1"/>
      </w:r>
      <w:r w:rsidR="00350920">
        <w:rPr>
          <w:rFonts w:ascii="Times New Roman" w:hAnsi="Times New Roman" w:cs="Times New Roman"/>
        </w:rPr>
        <w:instrText>ADDIN CSL_CITATION {"citationItems":[{"id":"ITEM-1","itemData":{"DOI":"10.1186/1472-6963-13-211","ISSN":"14726963","PMID":"23758898","abstract":"Background: Despite growing interest and urges by leading experts for the routine collection of patient reported outcome (PRO) measures in all general care patients, and in particular cancer patients, there has not been an updated comprehensive review of the evidence regarding the impact of adopting such a strategy on patients, service providers and organisations in an oncologic setting. Methods. Based on a critical analysis of the three most recent systematic reviews, the current systematic review developed a six-method strategy in searching and reviewing the most relevant quantitative studies between January 2000 and October 2011 using a set of pre-determined inclusion criteria and theory-based outcome indicators. The Grading of Recommendations, Assessment, Development, and Evaluation (GRADE) system was used to rate the quality and importance of the identified publications, and the synthesis of the evidence was conducted. Results: The 27 identified studies showed strong evidence that the well-implemented PROs improved patient-provider communication and patient satisfaction. There was also growing evidence that it improved the monitoring of treatment response and the detection of unrecognised problems. However, there was a weak or non-existent evidence-base regarding the impact on changes to patient management and improved health outcomes, changes to patient health behaviour, the effectiveness of quality improvement of organisations, and on transparency, accountability, public reporting activities, and performance of the health care system. Conclusions: Despite the existence of significant gaps in the evidence-base, there is growing evidence in support of routine PRO collection in enabling better and patient-centred care in cancer settings. © 2013 Chen et al.; licensee BioMed Central Ltd.","author":[{"dropping-particle":"","family":"Chen","given":"Jack","non-dropping-particle":"","parse-names":false,"suffix":""},{"dropping-particle":"","family":"Ou","given":"Lixin","non-dropping-particle":"","parse-names":false,"suffix":""},{"dropping-particle":"","family":"Hollis","given":"Stephanie J.","non-dropping-particle":"","parse-names":false,"suffix":""}],"container-title":"BMC Health Services Research","id":"ITEM-1","issued":{"date-parts":[["2013"]]},"title":"A systematic review of the impact of routine collection of patient reported outcome measures on patients, providers and health organisations in an oncologic setting","type":"article"},"uris":["http://www.mendeley.com/documents/?uuid=80cc2de0-9856-48e5-ae89-89d6d7302fc0"]},{"id":"ITEM-2","itemData":{"DOI":"10.1186/1477-7525-4-79","ISSN":"14777525","PMID":"17034633","abstract":"This guidance describes how the FDA evaluates patient-reported outcome (PRO) instruments used as effectiveness endpoints in clinical trials. It also describes our current thinking on how sponsors can develop and use study results measured by PRO instruments to support claims in approved product labeling (see appendix point I). It does not address the use of PRO instruments for purposes beyond evaluation of claims made about a drug or medical product in its labeling. By explicitly addressing the review issues identified in this guidance, sponsors can increase the efficiency of their endpoint discussions with the FDA during the product development process, streamline the FDA's review of PRO endpoint adequacy, and provide optimal information about the patient's perspective of treatment benefit at the time of product approval. A PRO is a measurement of any aspect of a patient's health status that comes directly from the patient (i.e., without the interpretation of the patient's responses by a physician or anyone else). In clinical trials, a PRO instrument can be used to measure the impact of an intervention on one or more aspects of patients' health status, hereafter referred to as PRO concepts, ranging from the purely symptomatic (response of a headache) to more complex concepts (e.g., ability to carry out activities of daily living), to extremely complex concepts such as quality of life, which is widely understood to be a multidomain concept with physical, psychological, and social components. Data generated by a PRO instrument can provide evidence of a treatment benefit from the patient perspective. For this data to be meaningful, however, there should be evidence that the PRO instrument effectively measures the particular concept that is studied. Generally, findings measured by PRO instruments may be used to support claims in approved product labeling if the claims are derived from adequate and well-controlled investigations that use PRO instruments that reliably and validly measure the specific concepts at issue. The glossary defines many of the terms used in this guidance. In particular, the term instrument refers to the actual questions or items contained in a questionnaire or interview schedule along with all the additional information and documentation that supports the use of these items in producing a PRO measure (e.g., interviewer training and instructions, scoring and interpretation manual). The term conceptual framework refers to how items are…","author":[{"dropping-particle":"","family":"FDA","given":"","non-dropping-particle":"","parse-names":false,"suffix":""}],"container-title":"Health and Quality of Life Outcomes","id":"ITEM-2","issued":{"date-parts":[["2006"]]},"title":"Guidance for industry: Patient-reported outcome measures: Use in medical product development to support labeling claims: Draft guidance","type":"article-journal"},"uris":["http://www.mendeley.com/documents/?uuid=df4429b6-06bf-4b78-ae76-b10b94abcdef"]},{"id":"ITEM-3","itemData":{"DOI":"10.1007/s00520-017-3865-7","ISSN":"14337339","PMID":"28849277","abstract":"Purpose: Patient-reported outcomes (PROs) are an increasingly popular tool to optimize care and bridge the gap between patient experience and clinician understanding. The aim of this review was to identify mechanisms through which PROs facilitate patient-clinician communication in the adult oncology population. Methods: We conducted a systematic review of the published literature using the following data sources: MEDLINE, EMBASE, CINAHL, PsycINFO, Cab Direct, and CDSR. Studies included in this review reported on the outcomes of PRO use, used PROs as an intervention and not as a study outcome measurement tool, included cancer patients or survivors as study participants, and analyzed patient-clinician communication. Results: We identified 610 unique records, of which 43 publications met the inclusion and exclusion criteria. Synthesis of the reviewed studies provided evidence of the usefulness of PROs in facilitating patient-clinician communication on a variety of topics. We identified mechanisms though which PROs influenced patient-clinician communication to include increasing symptom awareness, prompting discussion, streamlining consultations, and facilitating inter-professional communication. Barriers to PRO use in communication improvement include technical problems impeding its administration and completion, compliance issues due to lack of incentive or forgetfulness, and use of PROs that do not appropriately assess issues relevant to the patient. Facilitators include increased education on PRO use, using PRO tools that patients find more acceptable, and providing patient data summaries in an easily accessible format for clinicians. Conclusions: Our review suggests that PROs facilitate patient-clinician communication through various mechanisms that could perhaps contribute to improvements in symptom management and survival. The impact of PROs on clinical outcomes, however, remains poorly studied.","author":[{"dropping-particle":"","family":"Yang","given":"L. Y.","non-dropping-particle":"","parse-names":false,"suffix":""},{"dropping-particle":"","family":"Manhas","given":"D. S.","non-dropping-particle":"","parse-names":false,"suffix":""},{"dropping-particle":"","family":"Howard","given":"A. F.","non-dropping-particle":"","parse-names":false,"suffix":""},{"dropping-particle":"","family":"Olson","given":"R. A.","non-dropping-particle":"","parse-names":false,"suffix":""}],"container-title":"Supportive Care in Cancer","id":"ITEM-3","issued":{"date-parts":[["2018"]]},"title":"Patient-reported outcome use in oncology: a systematic review of the impact on patient-clinician communication","type":"article"},"uris":["http://www.mendeley.com/documents/?uuid=2ba073b6-5e30-492f-9ad9-06fd93dd48de"]}],"mendeley":{"formattedCitation":"&lt;sup&gt;1–3&lt;/sup&gt;","plainTextFormattedCitation":"1–3","previouslyFormattedCitation":"&lt;sup&gt;1–3&lt;/sup&gt;"},"properties":{"noteIndex":0},"schema":"https://github.com/citation-style-language/schema/raw/master/csl-citation.json"}</w:instrText>
      </w:r>
      <w:r w:rsidR="00C80125" w:rsidRPr="00E14F7D">
        <w:rPr>
          <w:rFonts w:ascii="Times New Roman" w:hAnsi="Times New Roman" w:cs="Times New Roman"/>
        </w:rPr>
        <w:fldChar w:fldCharType="separate"/>
      </w:r>
      <w:r w:rsidR="00401A53" w:rsidRPr="00401A53">
        <w:rPr>
          <w:rFonts w:ascii="Times New Roman" w:hAnsi="Times New Roman" w:cs="Times New Roman"/>
          <w:noProof/>
          <w:vertAlign w:val="superscript"/>
        </w:rPr>
        <w:t>1–3</w:t>
      </w:r>
      <w:r w:rsidR="00C80125" w:rsidRPr="00E14F7D">
        <w:rPr>
          <w:rFonts w:ascii="Times New Roman" w:hAnsi="Times New Roman" w:cs="Times New Roman"/>
        </w:rPr>
        <w:fldChar w:fldCharType="end"/>
      </w:r>
      <w:r w:rsidRPr="00E14F7D">
        <w:rPr>
          <w:rFonts w:ascii="Times New Roman" w:hAnsi="Times New Roman" w:cs="Times New Roman"/>
        </w:rPr>
        <w:t xml:space="preserve"> Most standard PRO measure</w:t>
      </w:r>
      <w:r w:rsidR="004242CE" w:rsidRPr="00E14F7D">
        <w:rPr>
          <w:rFonts w:ascii="Times New Roman" w:hAnsi="Times New Roman" w:cs="Times New Roman"/>
        </w:rPr>
        <w:t>s</w:t>
      </w:r>
      <w:r w:rsidRPr="00E14F7D">
        <w:rPr>
          <w:rFonts w:ascii="Times New Roman" w:hAnsi="Times New Roman" w:cs="Times New Roman"/>
        </w:rPr>
        <w:t xml:space="preserve"> are static, i</w:t>
      </w:r>
      <w:r w:rsidR="00687B20" w:rsidRPr="00E14F7D">
        <w:rPr>
          <w:rFonts w:ascii="Times New Roman" w:hAnsi="Times New Roman" w:cs="Times New Roman"/>
        </w:rPr>
        <w:t>.</w:t>
      </w:r>
      <w:r w:rsidRPr="00E14F7D">
        <w:rPr>
          <w:rFonts w:ascii="Times New Roman" w:hAnsi="Times New Roman" w:cs="Times New Roman"/>
        </w:rPr>
        <w:t>e.</w:t>
      </w:r>
      <w:r w:rsidR="00687B20" w:rsidRPr="00E14F7D">
        <w:rPr>
          <w:rFonts w:ascii="Times New Roman" w:hAnsi="Times New Roman" w:cs="Times New Roman"/>
        </w:rPr>
        <w:t>,</w:t>
      </w:r>
      <w:r w:rsidRPr="00E14F7D">
        <w:rPr>
          <w:rFonts w:ascii="Times New Roman" w:hAnsi="Times New Roman" w:cs="Times New Roman"/>
        </w:rPr>
        <w:t xml:space="preserve"> they present the same set of </w:t>
      </w:r>
      <w:r w:rsidR="003B4F14" w:rsidRPr="00E14F7D">
        <w:rPr>
          <w:rFonts w:ascii="Times New Roman" w:hAnsi="Times New Roman" w:cs="Times New Roman"/>
        </w:rPr>
        <w:t>items</w:t>
      </w:r>
      <w:r w:rsidR="00687B20" w:rsidRPr="00E14F7D">
        <w:rPr>
          <w:rFonts w:ascii="Times New Roman" w:hAnsi="Times New Roman" w:cs="Times New Roman"/>
        </w:rPr>
        <w:t xml:space="preserve"> (</w:t>
      </w:r>
      <w:r w:rsidR="003B4F14" w:rsidRPr="00E14F7D">
        <w:rPr>
          <w:rFonts w:ascii="Times New Roman" w:hAnsi="Times New Roman" w:cs="Times New Roman"/>
        </w:rPr>
        <w:t>questions</w:t>
      </w:r>
      <w:r w:rsidR="00687B20" w:rsidRPr="00E14F7D">
        <w:rPr>
          <w:rFonts w:ascii="Times New Roman" w:hAnsi="Times New Roman" w:cs="Times New Roman"/>
        </w:rPr>
        <w:t>)</w:t>
      </w:r>
      <w:r w:rsidRPr="00E14F7D">
        <w:rPr>
          <w:rFonts w:ascii="Times New Roman" w:hAnsi="Times New Roman" w:cs="Times New Roman"/>
        </w:rPr>
        <w:t xml:space="preserve"> at every assessment </w:t>
      </w:r>
      <w:r w:rsidR="004242CE" w:rsidRPr="00E14F7D">
        <w:rPr>
          <w:rFonts w:ascii="Times New Roman" w:hAnsi="Times New Roman" w:cs="Times New Roman"/>
        </w:rPr>
        <w:t>for</w:t>
      </w:r>
      <w:r w:rsidRPr="00E14F7D">
        <w:rPr>
          <w:rFonts w:ascii="Times New Roman" w:hAnsi="Times New Roman" w:cs="Times New Roman"/>
        </w:rPr>
        <w:t xml:space="preserve"> all patients. However, as the use of PRO measures becomes more widespread, there is also an increasing recognition that standard</w:t>
      </w:r>
      <w:r w:rsidR="00C06A77" w:rsidRPr="00E14F7D">
        <w:rPr>
          <w:rFonts w:ascii="Times New Roman" w:hAnsi="Times New Roman" w:cs="Times New Roman"/>
        </w:rPr>
        <w:t>, static</w:t>
      </w:r>
      <w:r w:rsidRPr="00E14F7D">
        <w:rPr>
          <w:rFonts w:ascii="Times New Roman" w:hAnsi="Times New Roman" w:cs="Times New Roman"/>
        </w:rPr>
        <w:t xml:space="preserve"> PRO measures sometimes fail to measure key health domains that are relevant for specific studies, contexts, populations</w:t>
      </w:r>
      <w:r w:rsidR="00DA7102">
        <w:rPr>
          <w:rFonts w:ascii="Times New Roman" w:hAnsi="Times New Roman" w:cs="Times New Roman"/>
        </w:rPr>
        <w:t>, and stakeholders</w:t>
      </w:r>
      <w:r w:rsidRPr="00E14F7D">
        <w:rPr>
          <w:rFonts w:ascii="Times New Roman" w:hAnsi="Times New Roman" w:cs="Times New Roman"/>
        </w:rPr>
        <w:t>. This may be especially true for innovative treatments, given faster evaluation and approval times or for rare cancer groups</w:t>
      </w:r>
      <w:r w:rsidR="00DA703B">
        <w:rPr>
          <w:rFonts w:ascii="Times New Roman" w:hAnsi="Times New Roman" w:cs="Times New Roman"/>
        </w:rPr>
        <w:t>,</w:t>
      </w:r>
      <w:r w:rsidRPr="00E14F7D">
        <w:rPr>
          <w:rFonts w:ascii="Times New Roman" w:hAnsi="Times New Roman" w:cs="Times New Roman"/>
        </w:rPr>
        <w:t xml:space="preserve"> </w:t>
      </w:r>
      <w:r w:rsidR="00687B20" w:rsidRPr="00E14F7D">
        <w:rPr>
          <w:rFonts w:ascii="Times New Roman" w:hAnsi="Times New Roman" w:cs="Times New Roman"/>
        </w:rPr>
        <w:t>for whom</w:t>
      </w:r>
      <w:r w:rsidRPr="00E14F7D">
        <w:rPr>
          <w:rFonts w:ascii="Times New Roman" w:hAnsi="Times New Roman" w:cs="Times New Roman"/>
        </w:rPr>
        <w:t xml:space="preserve"> questionnaire development may be challenging.</w:t>
      </w:r>
      <w:r w:rsidR="002F4AD5" w:rsidRPr="00E14F7D">
        <w:rPr>
          <w:rFonts w:ascii="Times New Roman" w:hAnsi="Times New Roman" w:cs="Times New Roman"/>
        </w:rPr>
        <w:t xml:space="preserve"> </w:t>
      </w:r>
      <w:r w:rsidRPr="00E14F7D">
        <w:rPr>
          <w:rFonts w:ascii="Times New Roman" w:hAnsi="Times New Roman" w:cs="Times New Roman"/>
        </w:rPr>
        <w:t xml:space="preserve">The rise in the availability of item libraries addresses the need for a flexible approach to assess </w:t>
      </w:r>
      <w:r w:rsidR="00E3607D" w:rsidRPr="00E14F7D">
        <w:rPr>
          <w:rFonts w:ascii="Times New Roman" w:hAnsi="Times New Roman" w:cs="Times New Roman"/>
        </w:rPr>
        <w:t>specific</w:t>
      </w:r>
      <w:r w:rsidRPr="00E14F7D">
        <w:rPr>
          <w:rFonts w:ascii="Times New Roman" w:hAnsi="Times New Roman" w:cs="Times New Roman"/>
        </w:rPr>
        <w:t xml:space="preserve"> symptoms, functioning, health status, and other health-related quality of life (HRQOL) domains </w:t>
      </w:r>
      <w:r w:rsidR="7EF6502E" w:rsidRPr="00E14F7D">
        <w:rPr>
          <w:rFonts w:ascii="Times New Roman" w:hAnsi="Times New Roman" w:cs="Times New Roman"/>
        </w:rPr>
        <w:fldChar w:fldCharType="begin" w:fldLock="1"/>
      </w:r>
      <w:r w:rsidR="00350920">
        <w:rPr>
          <w:rFonts w:ascii="Times New Roman" w:hAnsi="Times New Roman" w:cs="Times New Roman"/>
        </w:rPr>
        <w:instrText>ADDIN CSL_CITATION {"citationItems":[{"id":"ITEM-1","itemData":{"DOI":"10.1001/jama.1995.03520250075037","ISSN":"15383598","PMID":"7996652","author":[{"dropping-particle":"","family":"Wilson","given":"Ira B.","non-dropping-particle":"","parse-names":false,"suffix":""},{"dropping-particle":"","family":"Cleary","given":"Paul D.","non-dropping-particle":"","parse-names":false,"suffix":""}],"container-title":"JAMA: The Journal of the American Medical Association","id":"ITEM-1","issued":{"date-parts":[["1995"]]},"title":"Linking Clinical Variables With Health-Related Quality of Life: A Conceptual Model of Patient Outcomes","type":"article-journal"},"uris":["http://www.mendeley.com/documents/?uuid=3cccf184-bc74-490a-8229-2156077b7391"]}],"mendeley":{"formattedCitation":"&lt;sup&gt;4&lt;/sup&gt;","plainTextFormattedCitation":"4","previouslyFormattedCitation":"&lt;sup&gt;4&lt;/sup&gt;"},"properties":{"noteIndex":0},"schema":"https://github.com/citation-style-language/schema/raw/master/csl-citation.json"}</w:instrText>
      </w:r>
      <w:r w:rsidR="7EF6502E" w:rsidRPr="00E14F7D">
        <w:rPr>
          <w:rFonts w:ascii="Times New Roman" w:hAnsi="Times New Roman" w:cs="Times New Roman"/>
        </w:rPr>
        <w:fldChar w:fldCharType="separate"/>
      </w:r>
      <w:r w:rsidR="00401A53" w:rsidRPr="00401A53">
        <w:rPr>
          <w:rFonts w:ascii="Times New Roman" w:hAnsi="Times New Roman" w:cs="Times New Roman"/>
          <w:noProof/>
          <w:vertAlign w:val="superscript"/>
        </w:rPr>
        <w:t>4</w:t>
      </w:r>
      <w:r w:rsidR="7EF6502E" w:rsidRPr="00E14F7D">
        <w:rPr>
          <w:rFonts w:ascii="Times New Roman" w:hAnsi="Times New Roman" w:cs="Times New Roman"/>
        </w:rPr>
        <w:fldChar w:fldCharType="end"/>
      </w:r>
      <w:r w:rsidRPr="00E14F7D">
        <w:rPr>
          <w:rFonts w:ascii="Times New Roman" w:hAnsi="Times New Roman" w:cs="Times New Roman"/>
        </w:rPr>
        <w:t xml:space="preserve"> for oncology research and clinical care. </w:t>
      </w:r>
    </w:p>
    <w:p w14:paraId="1F2E84A0" w14:textId="44B8EAAC" w:rsidR="00290032" w:rsidRPr="00E14F7D" w:rsidRDefault="00290032" w:rsidP="00290032">
      <w:pPr>
        <w:spacing w:line="360" w:lineRule="auto"/>
        <w:rPr>
          <w:rFonts w:ascii="Times New Roman" w:hAnsi="Times New Roman" w:cs="Times New Roman"/>
        </w:rPr>
      </w:pPr>
      <w:r w:rsidRPr="00E14F7D">
        <w:rPr>
          <w:rFonts w:ascii="Times New Roman" w:hAnsi="Times New Roman" w:cs="Times New Roman"/>
        </w:rPr>
        <w:t xml:space="preserve">PRO item libraries </w:t>
      </w:r>
      <w:r w:rsidR="00E3607D" w:rsidRPr="00E14F7D">
        <w:rPr>
          <w:rFonts w:ascii="Times New Roman" w:hAnsi="Times New Roman" w:cs="Times New Roman"/>
        </w:rPr>
        <w:t>are collections of</w:t>
      </w:r>
      <w:r w:rsidRPr="00E14F7D">
        <w:rPr>
          <w:rFonts w:ascii="Times New Roman" w:hAnsi="Times New Roman" w:cs="Times New Roman"/>
        </w:rPr>
        <w:t xml:space="preserve"> single items </w:t>
      </w:r>
      <w:r w:rsidR="00E3607D" w:rsidRPr="00E14F7D">
        <w:rPr>
          <w:rFonts w:ascii="Times New Roman" w:hAnsi="Times New Roman" w:cs="Times New Roman"/>
        </w:rPr>
        <w:t>and/</w:t>
      </w:r>
      <w:r w:rsidRPr="00E14F7D">
        <w:rPr>
          <w:rFonts w:ascii="Times New Roman" w:hAnsi="Times New Roman" w:cs="Times New Roman"/>
        </w:rPr>
        <w:t xml:space="preserve">or multi-item scales that measure HRQOL domains including disease-related symptoms, symptomatic adverse events (AE), functioning, and overall health status. </w:t>
      </w:r>
      <w:r w:rsidR="00E3607D" w:rsidRPr="00E14F7D">
        <w:rPr>
          <w:rFonts w:ascii="Times New Roman" w:hAnsi="Times New Roman" w:cs="Times New Roman"/>
        </w:rPr>
        <w:t>I</w:t>
      </w:r>
      <w:r w:rsidRPr="00E14F7D">
        <w:rPr>
          <w:rFonts w:ascii="Times New Roman" w:hAnsi="Times New Roman" w:cs="Times New Roman"/>
        </w:rPr>
        <w:t>n contrast to static questionnaires, researchers and clinicians can select specific items from the library to measure only relevant PRO domains for a given context or target population</w:t>
      </w:r>
      <w:r w:rsidR="0065005D">
        <w:rPr>
          <w:rFonts w:ascii="Times New Roman" w:hAnsi="Times New Roman" w:cs="Times New Roman"/>
        </w:rPr>
        <w:t xml:space="preserve"> (glossary of keywords in web appendix, page 1)</w:t>
      </w:r>
      <w:r w:rsidRPr="00E14F7D">
        <w:rPr>
          <w:rFonts w:ascii="Times New Roman" w:hAnsi="Times New Roman" w:cs="Times New Roman"/>
        </w:rPr>
        <w:t>.</w:t>
      </w:r>
      <w:r w:rsidR="00FC35CE" w:rsidRPr="00E14F7D">
        <w:rPr>
          <w:rFonts w:ascii="Times New Roman" w:hAnsi="Times New Roman" w:cs="Times New Roman"/>
        </w:rPr>
        <w:t xml:space="preserve"> In case of administration of multiple PRO measures, the flexibility afforded by item libraries may help to minimize patient burden through use of customized measures.</w:t>
      </w:r>
      <w:r w:rsidRPr="00E14F7D">
        <w:rPr>
          <w:rFonts w:ascii="Times New Roman" w:hAnsi="Times New Roman" w:cs="Times New Roman"/>
        </w:rPr>
        <w:t xml:space="preserve"> </w:t>
      </w:r>
      <w:r w:rsidR="00E51A92" w:rsidRPr="00E14F7D">
        <w:rPr>
          <w:rFonts w:ascii="Times New Roman" w:hAnsi="Times New Roman" w:cs="Times New Roman"/>
        </w:rPr>
        <w:t>In</w:t>
      </w:r>
      <w:r w:rsidRPr="00E14F7D">
        <w:rPr>
          <w:rFonts w:ascii="Times New Roman" w:hAnsi="Times New Roman" w:cs="Times New Roman"/>
        </w:rPr>
        <w:t xml:space="preserve"> this publication, we refer to this customized</w:t>
      </w:r>
      <w:r w:rsidR="00FB3FD2" w:rsidRPr="00E14F7D">
        <w:rPr>
          <w:rFonts w:ascii="Times New Roman" w:hAnsi="Times New Roman" w:cs="Times New Roman"/>
        </w:rPr>
        <w:t xml:space="preserve"> item</w:t>
      </w:r>
      <w:r w:rsidRPr="00E14F7D">
        <w:rPr>
          <w:rFonts w:ascii="Times New Roman" w:hAnsi="Times New Roman" w:cs="Times New Roman"/>
        </w:rPr>
        <w:t xml:space="preserve"> selection as an item list. While some item libraries are derived from existing, validated questionnaires (e.g.,</w:t>
      </w:r>
      <w:r w:rsidR="00CA6372">
        <w:rPr>
          <w:rFonts w:ascii="Times New Roman" w:hAnsi="Times New Roman" w:cs="Times New Roman"/>
        </w:rPr>
        <w:t xml:space="preserve"> European Organisation for Research and Treatment of Cancer (EORTC) Item Library, </w:t>
      </w:r>
      <w:r w:rsidR="00CA6372">
        <w:rPr>
          <w:rFonts w:ascii="Times New Roman" w:hAnsi="Times New Roman" w:cs="Times New Roman"/>
        </w:rPr>
        <w:fldChar w:fldCharType="begin" w:fldLock="1"/>
      </w:r>
      <w:r w:rsidR="00350920">
        <w:rPr>
          <w:rFonts w:ascii="Times New Roman" w:hAnsi="Times New Roman" w:cs="Times New Roman"/>
        </w:rPr>
        <w:instrText>ADDIN CSL_CITATION {"citationItems":[{"id":"ITEM-1","itemData":{"URL":"https://www.eortc.be/itemlibrary/","accessed":{"date-parts":[["2021","6","14"]]},"author":[{"dropping-particle":"","family":"EORTC","given":"","non-dropping-particle":"","parse-names":false,"suffix":""}],"id":"ITEM-1","issued":{"date-parts":[["0"]]},"title":"EORTC Item Library","type":"webpage"},"uris":["http://www.mendeley.com/documents/?uuid=77f81d9e-4212-4f9e-8f2c-c63050e12d7c"]}],"mendeley":{"formattedCitation":"&lt;sup&gt;5&lt;/sup&gt;","plainTextFormattedCitation":"5","previouslyFormattedCitation":"&lt;sup&gt;5&lt;/sup&gt;"},"properties":{"noteIndex":0},"schema":"https://github.com/citation-style-language/schema/raw/master/csl-citation.json"}</w:instrText>
      </w:r>
      <w:r w:rsidR="00CA6372">
        <w:rPr>
          <w:rFonts w:ascii="Times New Roman" w:hAnsi="Times New Roman" w:cs="Times New Roman"/>
        </w:rPr>
        <w:fldChar w:fldCharType="separate"/>
      </w:r>
      <w:r w:rsidR="00401A53" w:rsidRPr="00401A53">
        <w:rPr>
          <w:rFonts w:ascii="Times New Roman" w:hAnsi="Times New Roman" w:cs="Times New Roman"/>
          <w:noProof/>
          <w:vertAlign w:val="superscript"/>
        </w:rPr>
        <w:t>5</w:t>
      </w:r>
      <w:r w:rsidR="00CA6372">
        <w:rPr>
          <w:rFonts w:ascii="Times New Roman" w:hAnsi="Times New Roman" w:cs="Times New Roman"/>
        </w:rPr>
        <w:fldChar w:fldCharType="end"/>
      </w:r>
      <w:r w:rsidR="00CA6372">
        <w:rPr>
          <w:rFonts w:ascii="Times New Roman" w:hAnsi="Times New Roman" w:cs="Times New Roman"/>
        </w:rPr>
        <w:t xml:space="preserve"> Functional Assessment of Chronic Illness Therapy (FACIT) Searchable Library, </w:t>
      </w:r>
      <w:r w:rsidR="00CA6372">
        <w:rPr>
          <w:rFonts w:ascii="Times New Roman" w:hAnsi="Times New Roman" w:cs="Times New Roman"/>
        </w:rPr>
        <w:fldChar w:fldCharType="begin" w:fldLock="1"/>
      </w:r>
      <w:r w:rsidR="00350920">
        <w:rPr>
          <w:rFonts w:ascii="Times New Roman" w:hAnsi="Times New Roman" w:cs="Times New Roman"/>
        </w:rPr>
        <w:instrText>ADDIN CSL_CITATION {"citationItems":[{"id":"ITEM-1","itemData":{"URL":"https://wizard.facit.org/","author":[{"dropping-particle":"","family":"FACIT","given":"","non-dropping-particle":"","parse-names":false,"suffix":""}],"id":"ITEM-1","issued":{"date-parts":[["0"]]},"title":"FACIT Searchable Library and Custom Form Developer (Build-a-PRO)","type":"webpage"},"uris":["http://www.mendeley.com/documents/?uuid=48e24294-5496-4430-b433-0beaf4809c8a"]}],"mendeley":{"formattedCitation":"&lt;sup&gt;6&lt;/sup&gt;","plainTextFormattedCitation":"6","previouslyFormattedCitation":"&lt;sup&gt;6&lt;/sup&gt;"},"properties":{"noteIndex":0},"schema":"https://github.com/citation-style-language/schema/raw/master/csl-citation.json"}</w:instrText>
      </w:r>
      <w:r w:rsidR="00CA6372">
        <w:rPr>
          <w:rFonts w:ascii="Times New Roman" w:hAnsi="Times New Roman" w:cs="Times New Roman"/>
        </w:rPr>
        <w:fldChar w:fldCharType="separate"/>
      </w:r>
      <w:r w:rsidR="00401A53" w:rsidRPr="00401A53">
        <w:rPr>
          <w:rFonts w:ascii="Times New Roman" w:hAnsi="Times New Roman" w:cs="Times New Roman"/>
          <w:noProof/>
          <w:vertAlign w:val="superscript"/>
        </w:rPr>
        <w:t>6</w:t>
      </w:r>
      <w:r w:rsidR="00CA6372">
        <w:rPr>
          <w:rFonts w:ascii="Times New Roman" w:hAnsi="Times New Roman" w:cs="Times New Roman"/>
        </w:rPr>
        <w:fldChar w:fldCharType="end"/>
      </w:r>
      <w:r w:rsidR="000168B6">
        <w:rPr>
          <w:rFonts w:ascii="Times New Roman" w:hAnsi="Times New Roman" w:cs="Times New Roman"/>
        </w:rPr>
        <w:t xml:space="preserve"> MD Anderson Symptom Inventory (MDASI) Symptom Library </w:t>
      </w:r>
      <w:r w:rsidR="000168B6">
        <w:rPr>
          <w:rFonts w:ascii="Times New Roman" w:hAnsi="Times New Roman" w:cs="Times New Roman"/>
        </w:rPr>
        <w:fldChar w:fldCharType="begin" w:fldLock="1"/>
      </w:r>
      <w:r w:rsidR="00350920">
        <w:rPr>
          <w:rFonts w:ascii="Times New Roman" w:hAnsi="Times New Roman" w:cs="Times New Roman"/>
        </w:rPr>
        <w:instrText>ADDIN CSL_CITATION {"citationItems":[{"id":"ITEM-1","itemData":{"URL":"https://www.mdanderson.org/content/dam/mdanderson/documents/Departments-and-Divisions/Symptom-Research/MDASI symptom library.pdf","author":[{"dropping-particle":"","family":"MDASI","given":"","non-dropping-particle":"","parse-names":false,"suffix":""}],"id":"ITEM-1","issued":{"date-parts":[["0"]]},"title":"MDASI Symptom Library","type":"webpage"},"uris":["http://www.mendeley.com/documents/?uuid=45c08c48-7bca-4ecb-b05d-daa82c80a8f4"]}],"mendeley":{"formattedCitation":"&lt;sup&gt;7&lt;/sup&gt;","plainTextFormattedCitation":"7","previouslyFormattedCitation":"&lt;sup&gt;7&lt;/sup&gt;"},"properties":{"noteIndex":0},"schema":"https://github.com/citation-style-language/schema/raw/master/csl-citation.json"}</w:instrText>
      </w:r>
      <w:r w:rsidR="000168B6">
        <w:rPr>
          <w:rFonts w:ascii="Times New Roman" w:hAnsi="Times New Roman" w:cs="Times New Roman"/>
        </w:rPr>
        <w:fldChar w:fldCharType="separate"/>
      </w:r>
      <w:r w:rsidR="00401A53" w:rsidRPr="00401A53">
        <w:rPr>
          <w:rFonts w:ascii="Times New Roman" w:hAnsi="Times New Roman" w:cs="Times New Roman"/>
          <w:noProof/>
          <w:vertAlign w:val="superscript"/>
        </w:rPr>
        <w:t>7</w:t>
      </w:r>
      <w:r w:rsidR="000168B6">
        <w:rPr>
          <w:rFonts w:ascii="Times New Roman" w:hAnsi="Times New Roman" w:cs="Times New Roman"/>
        </w:rPr>
        <w:fldChar w:fldCharType="end"/>
      </w:r>
      <w:r w:rsidRPr="00E14F7D">
        <w:rPr>
          <w:rFonts w:ascii="Times New Roman" w:hAnsi="Times New Roman" w:cs="Times New Roman"/>
        </w:rPr>
        <w:t>), and allow for the flexible use of items originally validated within the scope of standard questionnaire development, others have been designed with the specific aim of creating a flexible library of items (e.g.,</w:t>
      </w:r>
      <w:r w:rsidR="000168B6">
        <w:rPr>
          <w:rFonts w:ascii="Times New Roman" w:hAnsi="Times New Roman" w:cs="Times New Roman"/>
        </w:rPr>
        <w:t xml:space="preserve"> </w:t>
      </w:r>
      <w:r w:rsidR="000168B6" w:rsidRPr="000168B6">
        <w:rPr>
          <w:rFonts w:ascii="Times New Roman" w:hAnsi="Times New Roman" w:cs="Times New Roman"/>
        </w:rPr>
        <w:t>Patient-Reported Outcomes version of the Common Terminology Criteria for Adverse Events (PRO-CTCAE)</w:t>
      </w:r>
      <w:r w:rsidRPr="00E14F7D">
        <w:rPr>
          <w:rFonts w:ascii="Times New Roman" w:hAnsi="Times New Roman" w:cs="Times New Roman"/>
        </w:rPr>
        <w:t xml:space="preserve"> </w:t>
      </w:r>
      <w:r w:rsidRPr="00E14F7D">
        <w:rPr>
          <w:rFonts w:ascii="Times New Roman" w:hAnsi="Times New Roman" w:cs="Times New Roman"/>
        </w:rPr>
        <w:fldChar w:fldCharType="begin" w:fldLock="1"/>
      </w:r>
      <w:r w:rsidR="00350920">
        <w:rPr>
          <w:rFonts w:ascii="Times New Roman" w:hAnsi="Times New Roman" w:cs="Times New Roman"/>
        </w:rPr>
        <w:instrText>ADDIN CSL_CITATION {"citationItems":[{"id":"ITEM-1","itemData":{"URL":"https://healthcaredelivery.cancer.gov/pro-ctcae/instrument.html","accessed":{"date-parts":[["2021","6","14"]]},"author":[{"dropping-particle":"","family":"PRO-CTCAE","given":"","non-dropping-particle":"","parse-names":false,"suffix":""}],"id":"ITEM-1","issued":{"date-parts":[["0"]]},"title":"PRO-CTCAE Instruments &amp; Form Builders","type":"webpage"},"uris":["http://www.mendeley.com/documents/?uuid=f48f3eff-730e-45e2-9e01-058fd0e9b7ab"]}],"mendeley":{"formattedCitation":"&lt;sup&gt;8&lt;/sup&gt;","plainTextFormattedCitation":"8","previouslyFormattedCitation":"&lt;sup&gt;8&lt;/sup&gt;"},"properties":{"noteIndex":0},"schema":"https://github.com/citation-style-language/schema/raw/master/csl-citation.json"}</w:instrText>
      </w:r>
      <w:r w:rsidRPr="00E14F7D">
        <w:rPr>
          <w:rFonts w:ascii="Times New Roman" w:hAnsi="Times New Roman" w:cs="Times New Roman"/>
        </w:rPr>
        <w:fldChar w:fldCharType="separate"/>
      </w:r>
      <w:r w:rsidR="00401A53" w:rsidRPr="00401A53">
        <w:rPr>
          <w:rFonts w:ascii="Times New Roman" w:hAnsi="Times New Roman" w:cs="Times New Roman"/>
          <w:noProof/>
          <w:vertAlign w:val="superscript"/>
        </w:rPr>
        <w:t>8</w:t>
      </w:r>
      <w:r w:rsidRPr="00E14F7D">
        <w:rPr>
          <w:rFonts w:ascii="Times New Roman" w:hAnsi="Times New Roman" w:cs="Times New Roman"/>
        </w:rPr>
        <w:fldChar w:fldCharType="end"/>
      </w:r>
      <w:r w:rsidRPr="00E14F7D">
        <w:rPr>
          <w:rFonts w:ascii="Times New Roman" w:hAnsi="Times New Roman" w:cs="Times New Roman"/>
        </w:rPr>
        <w:t xml:space="preserve">). </w:t>
      </w:r>
    </w:p>
    <w:p w14:paraId="56A2B3BB" w14:textId="42912A4F" w:rsidR="00290032" w:rsidRPr="00E14F7D" w:rsidRDefault="00290032" w:rsidP="00290032">
      <w:pPr>
        <w:spacing w:line="360" w:lineRule="auto"/>
        <w:rPr>
          <w:rFonts w:ascii="Times New Roman" w:hAnsi="Times New Roman" w:cs="Times New Roman"/>
        </w:rPr>
      </w:pPr>
      <w:r w:rsidRPr="00E14F7D">
        <w:rPr>
          <w:rFonts w:ascii="Times New Roman" w:hAnsi="Times New Roman" w:cs="Times New Roman"/>
        </w:rPr>
        <w:t>Item banks (e.g.,</w:t>
      </w:r>
      <w:r w:rsidR="000168B6" w:rsidRPr="000168B6">
        <w:rPr>
          <w:rFonts w:ascii="Times New Roman" w:hAnsi="Times New Roman" w:cs="Times New Roman"/>
        </w:rPr>
        <w:t xml:space="preserve"> Patient-Reported Outcomes Measurement Information System (PROMIS)</w:t>
      </w:r>
      <w:r w:rsidRPr="00E14F7D">
        <w:rPr>
          <w:rFonts w:ascii="Times New Roman" w:hAnsi="Times New Roman" w:cs="Times New Roman"/>
        </w:rPr>
        <w:t xml:space="preserve"> </w:t>
      </w:r>
      <w:r w:rsidRPr="00E14F7D">
        <w:rPr>
          <w:rFonts w:ascii="Times New Roman" w:hAnsi="Times New Roman" w:cs="Times New Roman"/>
        </w:rPr>
        <w:fldChar w:fldCharType="begin" w:fldLock="1"/>
      </w:r>
      <w:r w:rsidR="00350920">
        <w:rPr>
          <w:rFonts w:ascii="Times New Roman" w:hAnsi="Times New Roman" w:cs="Times New Roman"/>
        </w:rPr>
        <w:instrText>ADDIN CSL_CITATION {"citationItems":[{"id":"ITEM-1","itemData":{"URL":"https://www.healthmeasures.net/explore-measurement-systems/promis?AspxAutoDetectCookieSup=","accessed":{"date-parts":[["2021","6","14"]]},"author":[{"dropping-particle":"","family":"PROMIS","given":"","non-dropping-particle":"","parse-names":false,"suffix":""}],"id":"ITEM-1","issued":{"date-parts":[["0"]]},"title":"PROMIS Health Measures","type":"webpage"},"uris":["http://www.mendeley.com/documents/?uuid=cddd82fa-91f1-4c97-983d-118f363ba3cc"]}],"mendeley":{"formattedCitation":"&lt;sup&gt;9&lt;/sup&gt;","plainTextFormattedCitation":"9","previouslyFormattedCitation":"&lt;sup&gt;9&lt;/sup&gt;"},"properties":{"noteIndex":0},"schema":"https://github.com/citation-style-language/schema/raw/master/csl-citation.json"}</w:instrText>
      </w:r>
      <w:r w:rsidRPr="00E14F7D">
        <w:rPr>
          <w:rFonts w:ascii="Times New Roman" w:hAnsi="Times New Roman" w:cs="Times New Roman"/>
        </w:rPr>
        <w:fldChar w:fldCharType="separate"/>
      </w:r>
      <w:r w:rsidR="00401A53" w:rsidRPr="00401A53">
        <w:rPr>
          <w:rFonts w:ascii="Times New Roman" w:hAnsi="Times New Roman" w:cs="Times New Roman"/>
          <w:noProof/>
          <w:vertAlign w:val="superscript"/>
        </w:rPr>
        <w:t>9</w:t>
      </w:r>
      <w:r w:rsidRPr="00E14F7D">
        <w:rPr>
          <w:rFonts w:ascii="Times New Roman" w:hAnsi="Times New Roman" w:cs="Times New Roman"/>
        </w:rPr>
        <w:fldChar w:fldCharType="end"/>
      </w:r>
      <w:r w:rsidR="00C80125" w:rsidRPr="00E14F7D">
        <w:rPr>
          <w:rFonts w:ascii="Times New Roman" w:hAnsi="Times New Roman" w:cs="Times New Roman"/>
        </w:rPr>
        <w:t>,</w:t>
      </w:r>
      <w:r w:rsidR="000168B6">
        <w:rPr>
          <w:rFonts w:ascii="Times New Roman" w:hAnsi="Times New Roman" w:cs="Times New Roman"/>
        </w:rPr>
        <w:t xml:space="preserve"> EORTC Computerized Adaptive Testing (CAT) Core </w:t>
      </w:r>
      <w:r w:rsidRPr="00E14F7D">
        <w:rPr>
          <w:rFonts w:ascii="Times New Roman" w:hAnsi="Times New Roman" w:cs="Times New Roman"/>
        </w:rPr>
        <w:fldChar w:fldCharType="begin" w:fldLock="1"/>
      </w:r>
      <w:r w:rsidR="00350920">
        <w:rPr>
          <w:rFonts w:ascii="Times New Roman" w:hAnsi="Times New Roman" w:cs="Times New Roman"/>
        </w:rPr>
        <w:instrText>ADDIN CSL_CITATION {"citationItems":[{"id":"ITEM-1","itemData":{"DOI":"10.1007/s11136-020-02421-9","ISSN":"15732649","PMID":"31955374","abstract":"Background: The European Organisation for Research and Treatment of Cancer (EORTC) Quality of Life Group (QLG) has developed computerised adaptive tests (CATs) for the 14 functional and symptom domains of the EORTC QLQ-C30 quality of life questionnaire. This is expected to optimise measurement precision, relevance to patients and flexibility. Here, we present the first international validation of the EORTC CAT Core. Methods: A heterogeneous sample of 699 cancer patients scheduled for chemotherapy and/or radiotherapy was recruited across seven European countries. The EORTC CAT Core and all QLQ-C30 items were administered to participants before and after initiating treatment. Correlations between CAT and QLQ-C30 scores and floor/ceiling effects were calculated. Using several grouping variables, relative validity (cross-sectional known groups difference), responsiveness (changes over time) and relative sample size requirements of the CAT compared to the QLQ-C30 were estimated. Results: Correlations of the CAT and QLQ-C30 ranged from 0.81 to 0.93 across domains. The mean relative reduction in floor and ceiling effects using the CAT was 42% (range 3–99%). Analyses of known groups validity and responsiveness indicated that, across domains, mean sample size requirements for the CAT were 72% and 70%, respectively, of those using the QLQ-C30. Conclusions: The EORTC CAT Core measures the same domains as the QLQ-C30 with reduced floor/ceiling effects. The CAT generally facilitated the use of smaller samples (about 30% smaller on average) without loss of power compared to the QLQ-C30. Based on this study, the EORTC QLG will release the EORTC CAT Core for general use.","author":[{"dropping-particle":"","family":"Petersen","given":"Morten Aa","non-dropping-particle":"","parse-names":false,"suffix":""},{"dropping-particle":"","family":"Aaronson","given":"Neil K.","non-dropping-particle":"","parse-names":false,"suffix":""},{"dropping-particle":"","family":"Conroy","given":"Thierry","non-dropping-particle":"","parse-names":false,"suffix":""},{"dropping-particle":"","family":"Costantini","given":"Anna","non-dropping-particle":"","parse-names":false,"suffix":""},{"dropping-particle":"","family":"Giesinger","given":"Johannes M.","non-dropping-particle":"","parse-names":false,"suffix":""},{"dropping-particle":"","family":"Hammerlid","given":"Eva","non-dropping-particle":"","parse-names":false,"suffix":""},{"dropping-particle":"","family":"Holzner","given":"Bernhard","non-dropping-particle":"","parse-names":false,"suffix":""},{"dropping-particle":"","family":"Johnson","given":"Colin D.","non-dropping-particle":"","parse-names":false,"suffix":""},{"dropping-particle":"","family":"Kieffer","given":"Jacobien M.","non-dropping-particle":"","parse-names":false,"suffix":""},{"dropping-particle":"","family":"Leeuwen","given":"Marieke","non-dropping-particle":"van","parse-names":false,"suffix":""},{"dropping-particle":"","family":"Nolte","given":"Sandra","non-dropping-particle":"","parse-names":false,"suffix":""},{"dropping-particle":"","family":"Ramage","given":"John K.","non-dropping-particle":"","parse-names":false,"suffix":""},{"dropping-particle":"","family":"Tomaszewski","given":"Krzysztof A.","non-dropping-particle":"","parse-names":false,"suffix":""},{"dropping-particle":"","family":"Waldmann","given":"Annika","non-dropping-particle":"","parse-names":false,"suffix":""},{"dropping-particle":"","family":"Young","given":"Teresa","non-dropping-particle":"","parse-names":false,"suffix":""},{"dropping-particle":"","family":"Zotti","given":"Paola","non-dropping-particle":"","parse-names":false,"suffix":""},{"dropping-particle":"","family":"Groenvold","given":"Mogens","non-dropping-particle":"","parse-names":false,"suffix":""}],"container-title":"Quality of Life Research","id":"ITEM-1","issued":{"date-parts":[["2020"]]},"title":"International validation of the EORTC CAT Core: a new adaptive instrument for measuring core quality of life domains in cancer","type":"article-journal"},"uris":["http://www.mendeley.com/documents/?uuid=b9cad202-8f2f-47ee-a928-8644dced65e5"]}],"mendeley":{"formattedCitation":"&lt;sup&gt;10&lt;/sup&gt;","plainTextFormattedCitation":"10","previouslyFormattedCitation":"&lt;sup&gt;10&lt;/sup&gt;"},"properties":{"noteIndex":0},"schema":"https://github.com/citation-style-language/schema/raw/master/csl-citation.json"}</w:instrText>
      </w:r>
      <w:r w:rsidRPr="00E14F7D">
        <w:rPr>
          <w:rFonts w:ascii="Times New Roman" w:hAnsi="Times New Roman" w:cs="Times New Roman"/>
        </w:rPr>
        <w:fldChar w:fldCharType="separate"/>
      </w:r>
      <w:r w:rsidR="00401A53" w:rsidRPr="00401A53">
        <w:rPr>
          <w:rFonts w:ascii="Times New Roman" w:hAnsi="Times New Roman" w:cs="Times New Roman"/>
          <w:noProof/>
          <w:vertAlign w:val="superscript"/>
        </w:rPr>
        <w:t>10</w:t>
      </w:r>
      <w:r w:rsidRPr="00E14F7D">
        <w:rPr>
          <w:rFonts w:ascii="Times New Roman" w:hAnsi="Times New Roman" w:cs="Times New Roman"/>
        </w:rPr>
        <w:fldChar w:fldCharType="end"/>
      </w:r>
      <w:r w:rsidRPr="00E14F7D">
        <w:rPr>
          <w:rFonts w:ascii="Times New Roman" w:hAnsi="Times New Roman" w:cs="Times New Roman"/>
        </w:rPr>
        <w:t>) are a special case of item libraries in that all the items included for each HRQOL domain have been calibrated with an item response theory (IRT) model. Item banks allow investigators to generate multiple short forms from the same item bank and they allow for CAT</w:t>
      </w:r>
      <w:r w:rsidR="00DA703B">
        <w:rPr>
          <w:rFonts w:ascii="Times New Roman" w:hAnsi="Times New Roman" w:cs="Times New Roman"/>
        </w:rPr>
        <w:t>, which tailors the PRO measure based on how a patient answers each item</w:t>
      </w:r>
      <w:r w:rsidRPr="00E14F7D">
        <w:rPr>
          <w:rFonts w:ascii="Times New Roman" w:hAnsi="Times New Roman" w:cs="Times New Roman"/>
        </w:rPr>
        <w:t xml:space="preserve">. CAT measures or short forms derived from the same item bank can be compared or combined with each other. </w:t>
      </w:r>
      <w:r w:rsidR="00832FA3" w:rsidRPr="00E14F7D">
        <w:rPr>
          <w:rFonts w:ascii="Times New Roman" w:hAnsi="Times New Roman" w:cs="Times New Roman"/>
        </w:rPr>
        <w:t>Within</w:t>
      </w:r>
      <w:r w:rsidRPr="00E14F7D">
        <w:rPr>
          <w:rFonts w:ascii="Times New Roman" w:hAnsi="Times New Roman" w:cs="Times New Roman"/>
        </w:rPr>
        <w:t xml:space="preserve"> these recommendations, we distinguish item libraries from item banks. Although higher level recommendations related to outcome and tool selection/implementation may also be applicable for CAT-derived measures, CAT-specific recommendations are beyond the scope of this work. </w:t>
      </w:r>
    </w:p>
    <w:p w14:paraId="32409141" w14:textId="6CF0AFF2" w:rsidR="00221BE0" w:rsidRPr="00E14F7D" w:rsidRDefault="762EE3AF" w:rsidP="00221BE0">
      <w:pPr>
        <w:spacing w:line="360" w:lineRule="auto"/>
        <w:rPr>
          <w:rFonts w:ascii="Times New Roman" w:hAnsi="Times New Roman" w:cs="Times New Roman"/>
        </w:rPr>
      </w:pPr>
      <w:r w:rsidRPr="00E14F7D">
        <w:rPr>
          <w:rFonts w:ascii="Times New Roman" w:hAnsi="Times New Roman" w:cs="Times New Roman"/>
        </w:rPr>
        <w:lastRenderedPageBreak/>
        <w:t>Inclusion of PRO measures with the goal of captur</w:t>
      </w:r>
      <w:r w:rsidR="002F4AD5" w:rsidRPr="00E14F7D">
        <w:rPr>
          <w:rFonts w:ascii="Times New Roman" w:hAnsi="Times New Roman" w:cs="Times New Roman"/>
        </w:rPr>
        <w:t xml:space="preserve">ing </w:t>
      </w:r>
      <w:r w:rsidRPr="00E14F7D">
        <w:rPr>
          <w:rFonts w:ascii="Times New Roman" w:hAnsi="Times New Roman" w:cs="Times New Roman"/>
        </w:rPr>
        <w:t>patient views can provide insight into the assessment of endpoints like safety, efficacy, and tolerability</w:t>
      </w:r>
      <w:r w:rsidR="006D5821" w:rsidRPr="00E14F7D">
        <w:rPr>
          <w:rFonts w:ascii="Times New Roman" w:hAnsi="Times New Roman" w:cs="Times New Roman"/>
        </w:rPr>
        <w:t>.</w:t>
      </w:r>
      <w:r w:rsidR="003B4F14" w:rsidRPr="00E14F7D">
        <w:rPr>
          <w:rFonts w:ascii="Times New Roman" w:hAnsi="Times New Roman" w:cs="Times New Roman"/>
        </w:rPr>
        <w:t xml:space="preserve"> </w:t>
      </w:r>
      <w:r w:rsidR="003B4F14" w:rsidRPr="00E14F7D">
        <w:rPr>
          <w:rFonts w:ascii="Times New Roman" w:hAnsi="Times New Roman" w:cs="Times New Roman"/>
        </w:rPr>
        <w:fldChar w:fldCharType="begin" w:fldLock="1"/>
      </w:r>
      <w:r w:rsidR="00350920">
        <w:rPr>
          <w:rFonts w:ascii="Times New Roman" w:hAnsi="Times New Roman" w:cs="Times New Roman"/>
        </w:rPr>
        <w:instrText>ADDIN CSL_CITATION {"citationItems":[{"id":"ITEM-1","itemData":{"DOI":"10.1016/S1470-2045(18)30097-4","ISSN":"14745488","PMID":"29726391","abstract":"The clinical development of cancer therapeutics is a global undertaking, and incorporation of the patient experience into the clinical decision-making process is of increasing interest to the international regulatory and health policy community. Disease and treatment-related symptoms and their effect on patient function and health-related quality of life are important outcomes to consider. The identification of methods to scientifically assess, analyse, interpret, and present these clinical outcomes requires sustained international collaboration by multiple stakeholders including patients, clinicians, scientists, and policy makers. Several data sources can be considered to capture the patient experience, including patient-reported outcome (PRO) measures, performance measures, wearable devices, and biosensors, as well as the careful collection and analysis of clinical events and supportive care medications. In this Policy Review, we focus on PRO measures and present the perspectives of three international regulatory scientists to identify areas of common ground regarding opportunities to incorporate rigorous PRO data into the regulatory decision-making process.","author":[{"dropping-particle":"","family":"Kluetz","given":"Paul G.","non-dropping-particle":"","parse-names":false,"suffix":""},{"dropping-particle":"","family":"O'Connor","given":"Daniel J.","non-dropping-particle":"","parse-names":false,"suffix":""},{"dropping-particle":"","family":"Soltys","given":"Katherine","non-dropping-particle":"","parse-names":false,"suffix":""}],"container-title":"The Lancet Oncology","id":"ITEM-1","issued":{"date-parts":[["2018"]]},"title":"Incorporating the patient experience into regulatory decision making in the USA, Europe, and Canada","type":"article"},"uris":["http://www.mendeley.com/documents/?uuid=9681f576-b8dc-4429-8be6-76739b41f97a"]}],"mendeley":{"formattedCitation":"&lt;sup&gt;11&lt;/sup&gt;","plainTextFormattedCitation":"11","previouslyFormattedCitation":"&lt;sup&gt;11&lt;/sup&gt;"},"properties":{"noteIndex":0},"schema":"https://github.com/citation-style-language/schema/raw/master/csl-citation.json"}</w:instrText>
      </w:r>
      <w:r w:rsidR="003B4F14" w:rsidRPr="00E14F7D">
        <w:rPr>
          <w:rFonts w:ascii="Times New Roman" w:hAnsi="Times New Roman" w:cs="Times New Roman"/>
        </w:rPr>
        <w:fldChar w:fldCharType="separate"/>
      </w:r>
      <w:r w:rsidR="00401A53" w:rsidRPr="00401A53">
        <w:rPr>
          <w:rFonts w:ascii="Times New Roman" w:hAnsi="Times New Roman" w:cs="Times New Roman"/>
          <w:noProof/>
          <w:vertAlign w:val="superscript"/>
        </w:rPr>
        <w:t>11</w:t>
      </w:r>
      <w:r w:rsidR="003B4F14" w:rsidRPr="00E14F7D">
        <w:rPr>
          <w:rFonts w:ascii="Times New Roman" w:hAnsi="Times New Roman" w:cs="Times New Roman"/>
        </w:rPr>
        <w:fldChar w:fldCharType="end"/>
      </w:r>
      <w:r w:rsidRPr="00E14F7D">
        <w:rPr>
          <w:rFonts w:ascii="Times New Roman" w:hAnsi="Times New Roman" w:cs="Times New Roman"/>
        </w:rPr>
        <w:t xml:space="preserve"> </w:t>
      </w:r>
      <w:r w:rsidR="00B06DBE">
        <w:rPr>
          <w:rFonts w:ascii="Times New Roman" w:hAnsi="Times New Roman" w:cs="Times New Roman"/>
        </w:rPr>
        <w:t>F</w:t>
      </w:r>
      <w:r w:rsidRPr="00E14F7D">
        <w:rPr>
          <w:rFonts w:ascii="Times New Roman" w:hAnsi="Times New Roman" w:cs="Times New Roman"/>
        </w:rPr>
        <w:t xml:space="preserve">lexible approaches </w:t>
      </w:r>
      <w:r w:rsidR="00B06DBE">
        <w:rPr>
          <w:rFonts w:ascii="Times New Roman" w:hAnsi="Times New Roman" w:cs="Times New Roman"/>
        </w:rPr>
        <w:t xml:space="preserve">such as item libraries </w:t>
      </w:r>
      <w:r w:rsidRPr="00E14F7D">
        <w:rPr>
          <w:rFonts w:ascii="Times New Roman" w:hAnsi="Times New Roman" w:cs="Times New Roman"/>
        </w:rPr>
        <w:t xml:space="preserve">can help capture outcomes of importance to different stakeholders that may be missing from static PRO measures. Given the number of choices end users face regarding which item libraries to use, how to select and analyse items, and how to combine these with other measures, there is an important need for guidance. </w:t>
      </w:r>
    </w:p>
    <w:p w14:paraId="1FC063AE" w14:textId="5610F349" w:rsidR="002C44F1" w:rsidRPr="00E14F7D" w:rsidRDefault="00CF0897" w:rsidP="00AF0675">
      <w:pPr>
        <w:spacing w:line="360" w:lineRule="auto"/>
        <w:rPr>
          <w:rFonts w:ascii="Times New Roman" w:hAnsi="Times New Roman" w:cs="Times New Roman"/>
        </w:rPr>
      </w:pPr>
      <w:r>
        <w:rPr>
          <w:rFonts w:ascii="Times New Roman" w:hAnsi="Times New Roman" w:cs="Times New Roman"/>
        </w:rPr>
        <w:t>T</w:t>
      </w:r>
      <w:r w:rsidR="294B4561" w:rsidRPr="00E14F7D">
        <w:rPr>
          <w:rFonts w:ascii="Times New Roman" w:hAnsi="Times New Roman" w:cs="Times New Roman"/>
        </w:rPr>
        <w:t>o address the issue of implementing PRO assessment with fit-for-purpose item selection from item libraries in oncology</w:t>
      </w:r>
      <w:r w:rsidR="006D3C60">
        <w:rPr>
          <w:rFonts w:ascii="Times New Roman" w:hAnsi="Times New Roman" w:cs="Times New Roman"/>
        </w:rPr>
        <w:t xml:space="preserve"> trials</w:t>
      </w:r>
      <w:r w:rsidR="294B4561" w:rsidRPr="00E14F7D">
        <w:rPr>
          <w:rFonts w:ascii="Times New Roman" w:hAnsi="Times New Roman" w:cs="Times New Roman"/>
        </w:rPr>
        <w:t xml:space="preserve">, an </w:t>
      </w:r>
      <w:bookmarkStart w:id="0" w:name="_Hlk89344141"/>
      <w:r w:rsidR="294B4561" w:rsidRPr="00E14F7D">
        <w:rPr>
          <w:rFonts w:ascii="Times New Roman" w:hAnsi="Times New Roman" w:cs="Times New Roman"/>
        </w:rPr>
        <w:t>international</w:t>
      </w:r>
      <w:r w:rsidR="00AC76C3" w:rsidRPr="00E14F7D">
        <w:rPr>
          <w:rFonts w:ascii="Times New Roman" w:hAnsi="Times New Roman" w:cs="Times New Roman"/>
        </w:rPr>
        <w:t>,</w:t>
      </w:r>
      <w:r w:rsidR="294B4561" w:rsidRPr="00E14F7D">
        <w:rPr>
          <w:rFonts w:ascii="Times New Roman" w:hAnsi="Times New Roman" w:cs="Times New Roman"/>
        </w:rPr>
        <w:t xml:space="preserve"> multidisciplinary group was established, including various key developers of </w:t>
      </w:r>
      <w:r w:rsidR="00FC35CE" w:rsidRPr="00E14F7D">
        <w:rPr>
          <w:rFonts w:ascii="Times New Roman" w:hAnsi="Times New Roman" w:cs="Times New Roman"/>
        </w:rPr>
        <w:t>i</w:t>
      </w:r>
      <w:r w:rsidR="294B4561" w:rsidRPr="00E14F7D">
        <w:rPr>
          <w:rFonts w:ascii="Times New Roman" w:hAnsi="Times New Roman" w:cs="Times New Roman"/>
        </w:rPr>
        <w:t>tem libraries along with representatives from industry, academia, regulatory</w:t>
      </w:r>
      <w:r w:rsidR="00B75D69" w:rsidRPr="00E14F7D">
        <w:rPr>
          <w:rFonts w:ascii="Times New Roman" w:hAnsi="Times New Roman" w:cs="Times New Roman"/>
        </w:rPr>
        <w:t xml:space="preserve">, health technology assessment, </w:t>
      </w:r>
      <w:r w:rsidR="294B4561" w:rsidRPr="00E14F7D">
        <w:rPr>
          <w:rFonts w:ascii="Times New Roman" w:hAnsi="Times New Roman" w:cs="Times New Roman"/>
        </w:rPr>
        <w:t xml:space="preserve">and patient advocacy organizations. The primary goal of the working group (WG) was to develop best practice recommendations for the use of oncology-specific item libraries </w:t>
      </w:r>
      <w:r w:rsidR="008F38B1" w:rsidRPr="00E14F7D">
        <w:rPr>
          <w:rFonts w:ascii="Times New Roman" w:hAnsi="Times New Roman" w:cs="Times New Roman"/>
        </w:rPr>
        <w:t xml:space="preserve">in </w:t>
      </w:r>
      <w:r w:rsidR="00FE0312">
        <w:rPr>
          <w:rFonts w:ascii="Times New Roman" w:hAnsi="Times New Roman" w:cs="Times New Roman"/>
        </w:rPr>
        <w:t>controlled clinical</w:t>
      </w:r>
      <w:r w:rsidR="00FE0312" w:rsidRPr="00E14F7D">
        <w:rPr>
          <w:rFonts w:ascii="Times New Roman" w:hAnsi="Times New Roman" w:cs="Times New Roman"/>
        </w:rPr>
        <w:t xml:space="preserve"> </w:t>
      </w:r>
      <w:r w:rsidR="008F38B1" w:rsidRPr="00E14F7D">
        <w:rPr>
          <w:rFonts w:ascii="Times New Roman" w:hAnsi="Times New Roman" w:cs="Times New Roman"/>
        </w:rPr>
        <w:t xml:space="preserve">trials </w:t>
      </w:r>
      <w:r w:rsidR="294B4561" w:rsidRPr="00E14F7D">
        <w:rPr>
          <w:rFonts w:ascii="Times New Roman" w:hAnsi="Times New Roman" w:cs="Times New Roman"/>
        </w:rPr>
        <w:t xml:space="preserve">through a combination of evidence- and discussion-based methods. </w:t>
      </w:r>
    </w:p>
    <w:bookmarkEnd w:id="0"/>
    <w:p w14:paraId="76051257" w14:textId="7219D74C" w:rsidR="00BC771B" w:rsidRPr="00E14F7D" w:rsidRDefault="00671A08" w:rsidP="00AF0675">
      <w:pPr>
        <w:spacing w:line="360" w:lineRule="auto"/>
        <w:rPr>
          <w:rFonts w:ascii="Times New Roman" w:hAnsi="Times New Roman" w:cs="Times New Roman"/>
          <w:b/>
          <w:bCs/>
        </w:rPr>
      </w:pPr>
      <w:r w:rsidRPr="00E14F7D">
        <w:rPr>
          <w:rFonts w:ascii="Times New Roman" w:hAnsi="Times New Roman" w:cs="Times New Roman"/>
          <w:b/>
          <w:bCs/>
        </w:rPr>
        <w:t xml:space="preserve">DEVELOPMENT OF </w:t>
      </w:r>
      <w:r w:rsidR="001B7C9C" w:rsidRPr="00E14F7D">
        <w:rPr>
          <w:rFonts w:ascii="Times New Roman" w:hAnsi="Times New Roman" w:cs="Times New Roman"/>
          <w:b/>
          <w:bCs/>
        </w:rPr>
        <w:t>RECOMMENDATIONS</w:t>
      </w:r>
    </w:p>
    <w:p w14:paraId="09030D79" w14:textId="422DB18F" w:rsidR="00ED2BDC" w:rsidRPr="00E14F7D" w:rsidRDefault="7EF6502E" w:rsidP="00AF0675">
      <w:pPr>
        <w:spacing w:line="360" w:lineRule="auto"/>
        <w:rPr>
          <w:rFonts w:ascii="Times New Roman" w:hAnsi="Times New Roman" w:cs="Times New Roman"/>
        </w:rPr>
      </w:pPr>
      <w:r w:rsidRPr="00E14F7D">
        <w:rPr>
          <w:rFonts w:ascii="Times New Roman" w:hAnsi="Times New Roman" w:cs="Times New Roman"/>
          <w:i/>
          <w:iCs/>
        </w:rPr>
        <w:t xml:space="preserve">Identifying relevant stakeholders and scope of work. </w:t>
      </w:r>
      <w:r w:rsidRPr="00E14F7D">
        <w:rPr>
          <w:rFonts w:ascii="Times New Roman" w:hAnsi="Times New Roman" w:cs="Times New Roman"/>
        </w:rPr>
        <w:t>A WG was convened by the</w:t>
      </w:r>
      <w:r w:rsidR="00FC35CE" w:rsidRPr="00E14F7D">
        <w:rPr>
          <w:rFonts w:ascii="Times New Roman" w:hAnsi="Times New Roman" w:cs="Times New Roman"/>
        </w:rPr>
        <w:t xml:space="preserve"> </w:t>
      </w:r>
      <w:r w:rsidRPr="00E14F7D">
        <w:rPr>
          <w:rFonts w:ascii="Times New Roman" w:hAnsi="Times New Roman" w:cs="Times New Roman"/>
        </w:rPr>
        <w:t xml:space="preserve">EORTC </w:t>
      </w:r>
      <w:r w:rsidR="00B75D69" w:rsidRPr="00E14F7D">
        <w:rPr>
          <w:rFonts w:ascii="Times New Roman" w:hAnsi="Times New Roman" w:cs="Times New Roman"/>
        </w:rPr>
        <w:t xml:space="preserve">members, with the aim of creating a balanced group of stakeholders and ensuring representation from the key PRO item libraries (EORTC Item Library, FACIT Searchable Library, </w:t>
      </w:r>
      <w:r w:rsidR="00FC35CE" w:rsidRPr="00E14F7D">
        <w:rPr>
          <w:rFonts w:ascii="Times New Roman" w:hAnsi="Times New Roman" w:cs="Times New Roman"/>
        </w:rPr>
        <w:t>MDA</w:t>
      </w:r>
      <w:r w:rsidR="00B75D69" w:rsidRPr="00E14F7D">
        <w:rPr>
          <w:rFonts w:ascii="Times New Roman" w:hAnsi="Times New Roman" w:cs="Times New Roman"/>
        </w:rPr>
        <w:t>SI Symptom Library,</w:t>
      </w:r>
      <w:r w:rsidR="00FC35CE" w:rsidRPr="00E14F7D">
        <w:rPr>
          <w:rFonts w:ascii="Times New Roman" w:hAnsi="Times New Roman" w:cs="Times New Roman"/>
        </w:rPr>
        <w:t xml:space="preserve"> </w:t>
      </w:r>
      <w:bookmarkStart w:id="1" w:name="_Hlk116290174"/>
      <w:r w:rsidR="00B75D69" w:rsidRPr="00E14F7D">
        <w:rPr>
          <w:rFonts w:ascii="Times New Roman" w:hAnsi="Times New Roman" w:cs="Times New Roman"/>
        </w:rPr>
        <w:t>PRO-CTCAE</w:t>
      </w:r>
      <w:bookmarkEnd w:id="1"/>
      <w:r w:rsidR="00B75D69" w:rsidRPr="00E14F7D">
        <w:rPr>
          <w:rFonts w:ascii="Times New Roman" w:hAnsi="Times New Roman" w:cs="Times New Roman"/>
        </w:rPr>
        <w:t>, and</w:t>
      </w:r>
      <w:r w:rsidR="000168B6">
        <w:rPr>
          <w:rFonts w:ascii="Times New Roman" w:hAnsi="Times New Roman" w:cs="Times New Roman"/>
        </w:rPr>
        <w:t xml:space="preserve"> </w:t>
      </w:r>
      <w:bookmarkStart w:id="2" w:name="_Hlk116290228"/>
      <w:r w:rsidR="00B75D69" w:rsidRPr="00E14F7D">
        <w:rPr>
          <w:rFonts w:ascii="Times New Roman" w:hAnsi="Times New Roman" w:cs="Times New Roman"/>
        </w:rPr>
        <w:t>PROMIS</w:t>
      </w:r>
      <w:bookmarkEnd w:id="2"/>
      <w:r w:rsidR="00FC35CE" w:rsidRPr="00E14F7D">
        <w:rPr>
          <w:rFonts w:ascii="Times New Roman" w:hAnsi="Times New Roman" w:cs="Times New Roman"/>
        </w:rPr>
        <w:t>)</w:t>
      </w:r>
      <w:r w:rsidR="00B75D69" w:rsidRPr="00E14F7D">
        <w:rPr>
          <w:rFonts w:ascii="Times New Roman" w:hAnsi="Times New Roman" w:cs="Times New Roman"/>
        </w:rPr>
        <w:t xml:space="preserve">. </w:t>
      </w:r>
      <w:r w:rsidR="005B59C1" w:rsidRPr="00E14F7D">
        <w:rPr>
          <w:rFonts w:ascii="Times New Roman" w:hAnsi="Times New Roman" w:cs="Times New Roman"/>
        </w:rPr>
        <w:t xml:space="preserve">Seventeen external (i.e., non-EORTC) members were invited to collaborate and all joined the WG. The final group included representatives </w:t>
      </w:r>
      <w:r w:rsidR="00FC35CE" w:rsidRPr="00E14F7D">
        <w:rPr>
          <w:rFonts w:ascii="Times New Roman" w:hAnsi="Times New Roman" w:cs="Times New Roman"/>
        </w:rPr>
        <w:t>with various backgrounds</w:t>
      </w:r>
      <w:r w:rsidR="00DA7102">
        <w:rPr>
          <w:rFonts w:ascii="Times New Roman" w:hAnsi="Times New Roman" w:cs="Times New Roman"/>
        </w:rPr>
        <w:t xml:space="preserve">: </w:t>
      </w:r>
      <w:r w:rsidR="00B75D69" w:rsidRPr="00E14F7D">
        <w:rPr>
          <w:rFonts w:ascii="Times New Roman" w:hAnsi="Times New Roman" w:cs="Times New Roman"/>
        </w:rPr>
        <w:t>health technology assessment</w:t>
      </w:r>
      <w:r w:rsidR="00113D5A" w:rsidRPr="00E14F7D">
        <w:rPr>
          <w:rFonts w:ascii="Times New Roman" w:hAnsi="Times New Roman" w:cs="Times New Roman"/>
        </w:rPr>
        <w:t>/</w:t>
      </w:r>
      <w:r w:rsidR="00B75D69" w:rsidRPr="00E14F7D">
        <w:rPr>
          <w:rFonts w:ascii="Times New Roman" w:hAnsi="Times New Roman" w:cs="Times New Roman"/>
        </w:rPr>
        <w:t>regulatory</w:t>
      </w:r>
      <w:r w:rsidR="005B59C1" w:rsidRPr="00E14F7D">
        <w:rPr>
          <w:rFonts w:ascii="Times New Roman" w:hAnsi="Times New Roman" w:cs="Times New Roman"/>
        </w:rPr>
        <w:t xml:space="preserve"> (</w:t>
      </w:r>
      <w:r w:rsidR="00113D5A" w:rsidRPr="00E14F7D">
        <w:rPr>
          <w:rFonts w:ascii="Times New Roman" w:hAnsi="Times New Roman" w:cs="Times New Roman"/>
        </w:rPr>
        <w:t>4</w:t>
      </w:r>
      <w:r w:rsidR="005B59C1" w:rsidRPr="00E14F7D">
        <w:rPr>
          <w:rFonts w:ascii="Times New Roman" w:hAnsi="Times New Roman" w:cs="Times New Roman"/>
        </w:rPr>
        <w:t>)</w:t>
      </w:r>
      <w:r w:rsidR="00B75D69" w:rsidRPr="00E14F7D">
        <w:rPr>
          <w:rFonts w:ascii="Times New Roman" w:hAnsi="Times New Roman" w:cs="Times New Roman"/>
        </w:rPr>
        <w:t>, academic</w:t>
      </w:r>
      <w:r w:rsidR="005B59C1" w:rsidRPr="00E14F7D">
        <w:rPr>
          <w:rFonts w:ascii="Times New Roman" w:hAnsi="Times New Roman" w:cs="Times New Roman"/>
        </w:rPr>
        <w:t>/independent</w:t>
      </w:r>
      <w:r w:rsidR="00113D5A" w:rsidRPr="00E14F7D">
        <w:rPr>
          <w:rFonts w:ascii="Times New Roman" w:hAnsi="Times New Roman" w:cs="Times New Roman"/>
        </w:rPr>
        <w:t xml:space="preserve"> (15)</w:t>
      </w:r>
      <w:r w:rsidR="00B75D69" w:rsidRPr="00E14F7D">
        <w:rPr>
          <w:rFonts w:ascii="Times New Roman" w:hAnsi="Times New Roman" w:cs="Times New Roman"/>
        </w:rPr>
        <w:t>, industry</w:t>
      </w:r>
      <w:r w:rsidR="00113D5A" w:rsidRPr="00E14F7D">
        <w:rPr>
          <w:rFonts w:ascii="Times New Roman" w:hAnsi="Times New Roman" w:cs="Times New Roman"/>
        </w:rPr>
        <w:t xml:space="preserve"> (1)</w:t>
      </w:r>
      <w:r w:rsidR="00B75D69" w:rsidRPr="00E14F7D">
        <w:rPr>
          <w:rFonts w:ascii="Times New Roman" w:hAnsi="Times New Roman" w:cs="Times New Roman"/>
        </w:rPr>
        <w:t>, and patient adv</w:t>
      </w:r>
      <w:r w:rsidR="006F3A21" w:rsidRPr="00E14F7D">
        <w:rPr>
          <w:rFonts w:ascii="Times New Roman" w:hAnsi="Times New Roman" w:cs="Times New Roman"/>
        </w:rPr>
        <w:t>ocacy</w:t>
      </w:r>
      <w:r w:rsidR="005B59C1" w:rsidRPr="00E14F7D">
        <w:rPr>
          <w:rFonts w:ascii="Times New Roman" w:hAnsi="Times New Roman" w:cs="Times New Roman"/>
        </w:rPr>
        <w:t xml:space="preserve"> (2)</w:t>
      </w:r>
      <w:r w:rsidR="00113D5A" w:rsidRPr="00E14F7D">
        <w:rPr>
          <w:rFonts w:ascii="Times New Roman" w:hAnsi="Times New Roman" w:cs="Times New Roman"/>
        </w:rPr>
        <w:t xml:space="preserve">. </w:t>
      </w:r>
      <w:r w:rsidRPr="00E14F7D">
        <w:rPr>
          <w:rFonts w:ascii="Times New Roman" w:hAnsi="Times New Roman" w:cs="Times New Roman"/>
        </w:rPr>
        <w:t xml:space="preserve">Two meetings were held with WG members to plan the scope, refine aims, and determine topics for recommendations. </w:t>
      </w:r>
    </w:p>
    <w:p w14:paraId="54050BEB" w14:textId="68E56464" w:rsidR="00D10ABD" w:rsidRPr="00E14F7D" w:rsidRDefault="7EF6502E" w:rsidP="15F87ACF">
      <w:pPr>
        <w:spacing w:line="360" w:lineRule="auto"/>
        <w:rPr>
          <w:rFonts w:ascii="Times New Roman" w:hAnsi="Times New Roman" w:cs="Times New Roman"/>
        </w:rPr>
      </w:pPr>
      <w:r w:rsidRPr="00E14F7D">
        <w:rPr>
          <w:rFonts w:ascii="Times New Roman" w:hAnsi="Times New Roman" w:cs="Times New Roman"/>
          <w:i/>
          <w:iCs/>
        </w:rPr>
        <w:t xml:space="preserve">Scoping review. </w:t>
      </w:r>
      <w:r w:rsidRPr="00E14F7D">
        <w:rPr>
          <w:rFonts w:ascii="Times New Roman" w:hAnsi="Times New Roman" w:cs="Times New Roman"/>
        </w:rPr>
        <w:t>Once the specific aims were identified and agreed upon, a scoping review was carried out to identify relevant publications and other sources for the recommendations, and to highlight any gaps in the literature</w:t>
      </w:r>
      <w:r w:rsidR="00D10ABD" w:rsidRPr="00E14F7D">
        <w:rPr>
          <w:rFonts w:ascii="Times New Roman" w:hAnsi="Times New Roman" w:cs="Times New Roman"/>
        </w:rPr>
        <w:t>.</w:t>
      </w:r>
      <w:r w:rsidRPr="00E14F7D">
        <w:rPr>
          <w:rFonts w:ascii="Times New Roman" w:hAnsi="Times New Roman" w:cs="Times New Roman"/>
        </w:rPr>
        <w:t xml:space="preserve"> </w:t>
      </w:r>
      <w:r w:rsidR="00D10ABD" w:rsidRPr="00E14F7D">
        <w:rPr>
          <w:rFonts w:ascii="Times New Roman" w:hAnsi="Times New Roman" w:cs="Times New Roman"/>
        </w:rPr>
        <w:fldChar w:fldCharType="begin" w:fldLock="1"/>
      </w:r>
      <w:r w:rsidR="00350920">
        <w:rPr>
          <w:rFonts w:ascii="Times New Roman" w:hAnsi="Times New Roman" w:cs="Times New Roman"/>
        </w:rPr>
        <w:instrText>ADDIN CSL_CITATION {"citationItems":[{"id":"ITEM-1","itemData":{"DOI":"10.1111/j.1471-1842.2009.00848.x","ISSN":"14711834","PMID":"19490148","abstract":"Background and objectives: The expansion of evidence-based practice across sectors has lead to an increasing variety of review types. However, the diversity of terminology used means that the full potential of these review types may be lost amongst a confusion of indistinct and misapplied terms. The objective of this study is to provide descriptive insight into the most common types of reviews, with illustrative examples from health and health information domains. Methods: Following scoping searches, an examination was made of the vocabulary associated with the literature of review and synthesis (literary warrant). A simple analytical framework - Search, AppraisaL, Synthesis and Analysis (SALSA) - was used to examine the main review types. Results: Fourteen review types and associated methodologies were analysed against the SALSA framework, illustrating the inputs and processes of each review type. A description of the key characteristics is given, together with perceived strengths and weaknesses. A limited number of review types are currently utilized within the health information domain. Conclusions: Few review types possess prescribed and explicit methodologies and many fall short of being mutually exclusive. Notwithstanding such limitations, this typology provides a valuable reference point for those commissioning, conducting, supporting or interpreting reviews, both within health information and the wider health care domain. © 2009 Health Libraries Group.","author":[{"dropping-particle":"","family":"Grant","given":"Maria J.","non-dropping-particle":"","parse-names":false,"suffix":""},{"dropping-particle":"","family":"Booth","given":"Andrew","non-dropping-particle":"","parse-names":false,"suffix":""}],"container-title":"Health Information and Libraries Journal","id":"ITEM-1","issued":{"date-parts":[["2009"]]},"title":"A typology of reviews: An analysis of 14 review types and associated methodologies","type":"article"},"uris":["http://www.mendeley.com/documents/?uuid=c211a2d2-4825-4070-accd-25de0c186e03"]},{"id":"ITEM-2","itemData":{"DOI":"10.1186/s12874-018-0611-x","ISSN":"14712288","PMID":"30453902","abstract":"Background: Scoping reviews are a relatively new approach to evidence synthesis and currently there exists little guidance regarding the decision to choose between a systematic review or scoping review approach when synthesising evidence. The purpose of this article is to clearly describe the differences in indications between scoping reviews and systematic reviews and to provide guidance for when a scoping review is (and is not) appropriate. Results: Researchers may conduct scoping reviews instead of systematic reviews where the purpose of the review is to identify knowledge gaps, scope a body of literature, clarify concepts or to investigate research conduct. While useful in their own right, scoping reviews may also be helpful precursors to systematic reviews and can be used to confirm the relevance of inclusion criteria and potential questions. Conclusions: Scoping reviews are a useful tool in the ever increasing arsenal of evidence synthesis approaches. Although conducted for different purposes compared to systematic reviews, scoping reviews still require rigorous and transparent methods in their conduct to ensure that the results are trustworthy. Our hope is that with clear guidance available regarding whether to conduct a scoping review or a systematic review, there will be less scoping reviews being performed for inappropriate indications better served by a systematic review, and vice-versa.","author":[{"dropping-particle":"","family":"Munn","given":"Zachary","non-dropping-particle":"","parse-names":false,"suffix":""},{"dropping-particle":"","family":"Peters","given":"Micah D.J.","non-dropping-particle":"","parse-names":false,"suffix":""},{"dropping-particle":"","family":"Stern","given":"Cindy","non-dropping-particle":"","parse-names":false,"suffix":""},{"dropping-particle":"","family":"Tufanaru","given":"Catalin","non-dropping-particle":"","parse-names":false,"suffix":""},{"dropping-particle":"","family":"McArthur","given":"Alexa","non-dropping-particle":"","parse-names":false,"suffix":""},{"dropping-particle":"","family":"Aromataris","given":"Edoardo","non-dropping-particle":"","parse-names":false,"suffix":""}],"container-title":"BMC Medical Research Methodology","id":"ITEM-2","issued":{"date-parts":[["2018"]]},"title":"Systematic review or scoping review? Guidance for authors when choosing between a systematic or scoping review approach","type":"article-journal"},"uris":["http://www.mendeley.com/documents/?uuid=b5ce6667-f2bd-4a89-827b-4452337247c0"]}],"mendeley":{"formattedCitation":"&lt;sup&gt;12,13&lt;/sup&gt;","plainTextFormattedCitation":"12,13","previouslyFormattedCitation":"&lt;sup&gt;12,13&lt;/sup&gt;"},"properties":{"noteIndex":0},"schema":"https://github.com/citation-style-language/schema/raw/master/csl-citation.json"}</w:instrText>
      </w:r>
      <w:r w:rsidR="00D10ABD" w:rsidRPr="00E14F7D">
        <w:rPr>
          <w:rFonts w:ascii="Times New Roman" w:hAnsi="Times New Roman" w:cs="Times New Roman"/>
        </w:rPr>
        <w:fldChar w:fldCharType="separate"/>
      </w:r>
      <w:r w:rsidR="00401A53" w:rsidRPr="00401A53">
        <w:rPr>
          <w:rFonts w:ascii="Times New Roman" w:hAnsi="Times New Roman" w:cs="Times New Roman"/>
          <w:noProof/>
          <w:vertAlign w:val="superscript"/>
        </w:rPr>
        <w:t>12,13</w:t>
      </w:r>
      <w:r w:rsidR="00D10ABD" w:rsidRPr="00E14F7D">
        <w:rPr>
          <w:rFonts w:ascii="Times New Roman" w:hAnsi="Times New Roman" w:cs="Times New Roman"/>
        </w:rPr>
        <w:fldChar w:fldCharType="end"/>
      </w:r>
      <w:r w:rsidRPr="00E14F7D">
        <w:rPr>
          <w:rFonts w:ascii="Times New Roman" w:hAnsi="Times New Roman" w:cs="Times New Roman"/>
        </w:rPr>
        <w:t xml:space="preserve"> </w:t>
      </w:r>
    </w:p>
    <w:p w14:paraId="22E3E033" w14:textId="2839154D" w:rsidR="00ED4C6D" w:rsidRPr="00E14F7D" w:rsidRDefault="00D10ABD" w:rsidP="15F87ACF">
      <w:pPr>
        <w:spacing w:line="360" w:lineRule="auto"/>
        <w:rPr>
          <w:rFonts w:ascii="Times New Roman" w:hAnsi="Times New Roman" w:cs="Times New Roman"/>
        </w:rPr>
      </w:pPr>
      <w:r w:rsidRPr="00E14F7D">
        <w:rPr>
          <w:rFonts w:ascii="Times New Roman" w:hAnsi="Times New Roman" w:cs="Times New Roman"/>
          <w:u w:val="single"/>
        </w:rPr>
        <w:t>Search strategy and selection criteria.</w:t>
      </w:r>
      <w:r w:rsidRPr="00E14F7D">
        <w:rPr>
          <w:rFonts w:ascii="Times New Roman" w:hAnsi="Times New Roman" w:cs="Times New Roman"/>
        </w:rPr>
        <w:t xml:space="preserve"> </w:t>
      </w:r>
      <w:r w:rsidR="00C14771" w:rsidRPr="00E14F7D">
        <w:rPr>
          <w:rFonts w:ascii="Times New Roman" w:hAnsi="Times New Roman" w:cs="Times New Roman"/>
        </w:rPr>
        <w:t>The initial search was performed</w:t>
      </w:r>
      <w:r w:rsidR="7EF6502E" w:rsidRPr="00E14F7D">
        <w:rPr>
          <w:rFonts w:ascii="Times New Roman" w:hAnsi="Times New Roman" w:cs="Times New Roman"/>
        </w:rPr>
        <w:t xml:space="preserve"> in PubMed® (using the terms “cancer”, “patient-reported outcome”, “item library”), </w:t>
      </w:r>
      <w:r w:rsidR="00C14771" w:rsidRPr="00E14F7D">
        <w:rPr>
          <w:rFonts w:ascii="Times New Roman" w:hAnsi="Times New Roman" w:cs="Times New Roman"/>
        </w:rPr>
        <w:t>and publications (up until 01 December 2020) were retained if they provided explicit</w:t>
      </w:r>
      <w:r w:rsidR="009D23E4" w:rsidRPr="00E14F7D">
        <w:rPr>
          <w:rFonts w:ascii="Times New Roman" w:hAnsi="Times New Roman" w:cs="Times New Roman"/>
        </w:rPr>
        <w:t xml:space="preserve"> high-level</w:t>
      </w:r>
      <w:r w:rsidR="00C14771" w:rsidRPr="00E14F7D">
        <w:rPr>
          <w:rFonts w:ascii="Times New Roman" w:hAnsi="Times New Roman" w:cs="Times New Roman"/>
        </w:rPr>
        <w:t xml:space="preserve"> recommendations</w:t>
      </w:r>
      <w:r w:rsidR="009D23E4" w:rsidRPr="00E14F7D">
        <w:rPr>
          <w:rFonts w:ascii="Times New Roman" w:hAnsi="Times New Roman" w:cs="Times New Roman"/>
        </w:rPr>
        <w:t xml:space="preserve"> (i.e., not simply reporting an example of use)</w:t>
      </w:r>
      <w:r w:rsidR="00C14771" w:rsidRPr="00E14F7D">
        <w:rPr>
          <w:rFonts w:ascii="Times New Roman" w:hAnsi="Times New Roman" w:cs="Times New Roman"/>
        </w:rPr>
        <w:t xml:space="preserve"> on creating PRO measures derived from item libraries</w:t>
      </w:r>
      <w:r w:rsidR="00224C4E">
        <w:rPr>
          <w:rFonts w:ascii="Times New Roman" w:hAnsi="Times New Roman" w:cs="Times New Roman"/>
        </w:rPr>
        <w:t xml:space="preserve"> in oncology populations</w:t>
      </w:r>
      <w:r w:rsidR="00C14771" w:rsidRPr="00E14F7D">
        <w:rPr>
          <w:rFonts w:ascii="Times New Roman" w:hAnsi="Times New Roman" w:cs="Times New Roman"/>
        </w:rPr>
        <w:t xml:space="preserve">. </w:t>
      </w:r>
      <w:r w:rsidR="00CC5F5F" w:rsidRPr="00E14F7D">
        <w:rPr>
          <w:rFonts w:ascii="Times New Roman" w:hAnsi="Times New Roman" w:cs="Times New Roman"/>
        </w:rPr>
        <w:t xml:space="preserve">Given the paucity of existing </w:t>
      </w:r>
      <w:r w:rsidR="00757DE2" w:rsidRPr="00E14F7D">
        <w:rPr>
          <w:rFonts w:ascii="Times New Roman" w:hAnsi="Times New Roman" w:cs="Times New Roman"/>
        </w:rPr>
        <w:t xml:space="preserve">published </w:t>
      </w:r>
      <w:r w:rsidR="00CC5F5F" w:rsidRPr="00E14F7D">
        <w:rPr>
          <w:rFonts w:ascii="Times New Roman" w:hAnsi="Times New Roman" w:cs="Times New Roman"/>
        </w:rPr>
        <w:t>recommendations, the criteria were broadened to include recommendations for PRO measurement in general, that could also be applicable to item libraries</w:t>
      </w:r>
      <w:r w:rsidR="00385FC0" w:rsidRPr="00E14F7D">
        <w:rPr>
          <w:rFonts w:ascii="Times New Roman" w:hAnsi="Times New Roman" w:cs="Times New Roman"/>
        </w:rPr>
        <w:t xml:space="preserve"> (up until 01 May 2022)</w:t>
      </w:r>
      <w:r w:rsidR="00CC5F5F" w:rsidRPr="00E14F7D">
        <w:rPr>
          <w:rFonts w:ascii="Times New Roman" w:hAnsi="Times New Roman" w:cs="Times New Roman"/>
        </w:rPr>
        <w:t xml:space="preserve">. </w:t>
      </w:r>
      <w:r w:rsidR="00757DE2" w:rsidRPr="00E14F7D">
        <w:rPr>
          <w:rFonts w:ascii="Times New Roman" w:hAnsi="Times New Roman" w:cs="Times New Roman"/>
        </w:rPr>
        <w:t>I</w:t>
      </w:r>
      <w:r w:rsidR="7EF6502E" w:rsidRPr="00E14F7D">
        <w:rPr>
          <w:rFonts w:ascii="Times New Roman" w:hAnsi="Times New Roman" w:cs="Times New Roman"/>
        </w:rPr>
        <w:t>tem library websites and platforms were searched for available resources and recommendations</w:t>
      </w:r>
      <w:r w:rsidR="00757DE2" w:rsidRPr="00E14F7D">
        <w:rPr>
          <w:rFonts w:ascii="Times New Roman" w:hAnsi="Times New Roman" w:cs="Times New Roman"/>
        </w:rPr>
        <w:t xml:space="preserve"> (including grey literature) and additional publications</w:t>
      </w:r>
      <w:r w:rsidR="00E232E3">
        <w:rPr>
          <w:rFonts w:ascii="Times New Roman" w:hAnsi="Times New Roman" w:cs="Times New Roman"/>
        </w:rPr>
        <w:t>/</w:t>
      </w:r>
      <w:r w:rsidR="00757DE2" w:rsidRPr="00E14F7D">
        <w:rPr>
          <w:rFonts w:ascii="Times New Roman" w:hAnsi="Times New Roman" w:cs="Times New Roman"/>
        </w:rPr>
        <w:t>sources were shared by WG members</w:t>
      </w:r>
      <w:r w:rsidR="7EF6502E" w:rsidRPr="00E14F7D">
        <w:rPr>
          <w:rFonts w:ascii="Times New Roman" w:hAnsi="Times New Roman" w:cs="Times New Roman"/>
        </w:rPr>
        <w:t>. Data were then extracted and compiled into a matrix highlighting research question</w:t>
      </w:r>
      <w:r w:rsidR="00832FA3" w:rsidRPr="00E14F7D">
        <w:rPr>
          <w:rFonts w:ascii="Times New Roman" w:hAnsi="Times New Roman" w:cs="Times New Roman"/>
        </w:rPr>
        <w:t>/topic</w:t>
      </w:r>
      <w:r w:rsidR="7EF6502E" w:rsidRPr="00E14F7D">
        <w:rPr>
          <w:rFonts w:ascii="Times New Roman" w:hAnsi="Times New Roman" w:cs="Times New Roman"/>
        </w:rPr>
        <w:t xml:space="preserve">, available recommendation, and source (reference). In the first version of the matrix, data were listed </w:t>
      </w:r>
      <w:r w:rsidR="7EF6502E" w:rsidRPr="00E14F7D">
        <w:rPr>
          <w:rFonts w:ascii="Times New Roman" w:hAnsi="Times New Roman" w:cs="Times New Roman"/>
        </w:rPr>
        <w:lastRenderedPageBreak/>
        <w:t xml:space="preserve">per unique source (or research group), </w:t>
      </w:r>
      <w:r w:rsidR="00F40367" w:rsidRPr="00E14F7D">
        <w:rPr>
          <w:rFonts w:ascii="Times New Roman" w:hAnsi="Times New Roman" w:cs="Times New Roman"/>
        </w:rPr>
        <w:t>for transparency</w:t>
      </w:r>
      <w:r w:rsidR="7EF6502E" w:rsidRPr="00E14F7D">
        <w:rPr>
          <w:rFonts w:ascii="Times New Roman" w:hAnsi="Times New Roman" w:cs="Times New Roman"/>
        </w:rPr>
        <w:t xml:space="preserve">. In a second version, overlapping pieces of evidence and recommendations were merged, with the relevant source(s) listed alongside. Recommendations deemed likely to require more detailed review and agreement (e.g., </w:t>
      </w:r>
      <w:r w:rsidR="00AC7A55" w:rsidRPr="00E14F7D">
        <w:rPr>
          <w:rFonts w:ascii="Times New Roman" w:hAnsi="Times New Roman" w:cs="Times New Roman"/>
        </w:rPr>
        <w:t>missing and/or conflicting evidence</w:t>
      </w:r>
      <w:r w:rsidR="7EF6502E" w:rsidRPr="00E14F7D">
        <w:rPr>
          <w:rFonts w:ascii="Times New Roman" w:hAnsi="Times New Roman" w:cs="Times New Roman"/>
        </w:rPr>
        <w:t>) were highlighted.</w:t>
      </w:r>
    </w:p>
    <w:p w14:paraId="6E775AF0" w14:textId="2BCE9C24" w:rsidR="002D5605" w:rsidRPr="00E14F7D" w:rsidRDefault="7EF6502E" w:rsidP="00AF0675">
      <w:pPr>
        <w:spacing w:line="360" w:lineRule="auto"/>
        <w:rPr>
          <w:rFonts w:ascii="Times New Roman" w:hAnsi="Times New Roman" w:cs="Times New Roman"/>
        </w:rPr>
      </w:pPr>
      <w:r w:rsidRPr="00E14F7D">
        <w:rPr>
          <w:rFonts w:ascii="Times New Roman" w:hAnsi="Times New Roman" w:cs="Times New Roman"/>
          <w:i/>
          <w:iCs/>
        </w:rPr>
        <w:t xml:space="preserve">Stakeholders’ feedback on current recommendations. </w:t>
      </w:r>
      <w:r w:rsidRPr="00E14F7D">
        <w:rPr>
          <w:rFonts w:ascii="Times New Roman" w:hAnsi="Times New Roman" w:cs="Times New Roman"/>
        </w:rPr>
        <w:t>Data from the second version of the matrix were inserted into a table with an additional column for feedback. Recommendations identified in the previous stage as requiring additional review remained highlighted. The table was circulated to all WG members for comments (e.g., support or disagreement with a suggested recommendation), questions, and additional references. Online cloud storage was utilised to encourage simultaneous collaboration.</w:t>
      </w:r>
    </w:p>
    <w:p w14:paraId="2FA1FAA8" w14:textId="7380EF54" w:rsidR="00BB2982" w:rsidRPr="00E14F7D" w:rsidRDefault="7EF6502E" w:rsidP="00AF0675">
      <w:pPr>
        <w:spacing w:line="360" w:lineRule="auto"/>
        <w:rPr>
          <w:rFonts w:ascii="Times New Roman" w:hAnsi="Times New Roman" w:cs="Times New Roman"/>
        </w:rPr>
      </w:pPr>
      <w:r w:rsidRPr="00E14F7D">
        <w:rPr>
          <w:rFonts w:ascii="Times New Roman" w:hAnsi="Times New Roman" w:cs="Times New Roman"/>
        </w:rPr>
        <w:t xml:space="preserve">Following review by WG members, comments were analysed and merged, with recommendations adapted accordingly. </w:t>
      </w:r>
      <w:r w:rsidR="00F77FDD" w:rsidRPr="00E14F7D">
        <w:rPr>
          <w:rFonts w:ascii="Times New Roman" w:hAnsi="Times New Roman" w:cs="Times New Roman"/>
        </w:rPr>
        <w:t>Given the lack of existing recommendations, the less formal approach, which relied on discussion to reach agreement (instead of formal consensus) was deemed appropriate</w:t>
      </w:r>
      <w:r w:rsidR="006D5821" w:rsidRPr="00E14F7D">
        <w:rPr>
          <w:rFonts w:ascii="Times New Roman" w:hAnsi="Times New Roman" w:cs="Times New Roman"/>
        </w:rPr>
        <w:t>.</w:t>
      </w:r>
      <w:r w:rsidR="00F77FDD" w:rsidRPr="00E14F7D">
        <w:rPr>
          <w:rFonts w:ascii="Times New Roman" w:hAnsi="Times New Roman" w:cs="Times New Roman"/>
        </w:rPr>
        <w:t xml:space="preserve"> </w:t>
      </w:r>
      <w:r w:rsidR="00F77FDD" w:rsidRPr="00E14F7D">
        <w:rPr>
          <w:rFonts w:ascii="Times New Roman" w:hAnsi="Times New Roman" w:cs="Times New Roman"/>
        </w:rPr>
        <w:fldChar w:fldCharType="begin" w:fldLock="1"/>
      </w:r>
      <w:r w:rsidR="00350920">
        <w:rPr>
          <w:rFonts w:ascii="Times New Roman" w:hAnsi="Times New Roman" w:cs="Times New Roman"/>
        </w:rPr>
        <w:instrText>ADDIN CSL_CITATION {"citationItems":[{"id":"ITEM-1","itemData":{"DOI":"10.1200/JCO.2017.77.6385","ISSN":"15277755","PMID":"29442540","abstract":"Purpose: To increase awareness, outline strategies, and offer guidance on the recommended management of immune-related adverse events in patients treated with immune checkpoint inhibitor (ICPi) therapy. Methods: A multidisciplinary, multi-organizational panel of experts in medical oncology, dermatology, gastroenterology, rheumatology, pulmonology, endocrinology, urology, neurology, hematology, emergency medicine, nursing, trialist, and advocacy was convened to develop the clinical practice guideline. Guideline development involved a systematic review of the literature and an informal consensus process. The systematic review focused on guidelines, systematic reviews and meta-analyses, randomized controlled trials, and case series published from 2000 through 2017. Results: The systematic review identified 204 eligible publications. Much of the evidence consisted of systematic reviews of observational data, consensus guidelines, case series, and case reports. Due to the paucity of high-quality evidence on management of immune-related adverse events, recommendations are based on expert consensus. Recommendations: Recommendations for specific organ system-based toxicity diagnosis and management are presented. While management varies according to organ system affected, in general, ICPi therapy should be continued with close monitoring for grade 1 toxicities, with the exception of some neurologic, hematologic, and cardiac toxicities. ICPi therapy may be suspended for most grade 2 toxicities, with consideration of resuming when symptoms revert to grade 1 or less. Corticosteroids may be administered. Grade 3 toxicities generally warrant suspension of ICPis and the initiation of high-dose corticosteroids (prednisone 1 to 2 mg/kg/d or methylprednisolone 1 to 2 mg/kg/d). Corticosteroids should be tapered over the course of at least 4 to 6 weeks. Some refractory cases may require infliximab or other immunosuppressive therapy. In general, permanent discontinuation of ICPis is recommended with grade 4 toxicities, with the exception of endocrinopathies that have been controlled by hormone replacement.","author":[{"dropping-particle":"","family":"Brahmer","given":"Julie R.","non-dropping-particle":"","parse-names":false,"suffix":""},{"dropping-particle":"","family":"Lacchetti","given":"Christina","non-dropping-particle":"","parse-names":false,"suffix":""},{"dropping-particle":"","family":"Schneider","given":"Bryan J.","non-dropping-particle":"","parse-names":false,"suffix":""},{"dropping-particle":"","family":"Atkins","given":"Michael B.","non-dropping-particle":"","parse-names":false,"suffix":""},{"dropping-particle":"","family":"Brassil","given":"Kelly J.","non-dropping-particle":"","parse-names":false,"suffix":""},{"dropping-particle":"","family":"Caterino","given":"Jeffrey M.","non-dropping-particle":"","parse-names":false,"suffix":""},{"dropping-particle":"","family":"Chau","given":"Ian","non-dropping-particle":"","parse-names":false,"suffix":""},{"dropping-particle":"","family":"Ernstoff","given":"Marc S.","non-dropping-particle":"","parse-names":false,"suffix":""},{"dropping-particle":"","family":"Gardner","given":"Jennifer M.","non-dropping-particle":"","parse-names":false,"suffix":""},{"dropping-particle":"","family":"Ginex","given":"Pamela","non-dropping-particle":"","parse-names":false,"suffix":""},{"dropping-particle":"","family":"Hallmeyer","given":"Sigrun","non-dropping-particle":"","parse-names":false,"suffix":""},{"dropping-particle":"","family":"Chakrabarty","given":"Jennifer Holter","non-dropping-particle":"","parse-names":false,"suffix":""},{"dropping-particle":"","family":"Leighl","given":"Natasha B.","non-dropping-particle":"","parse-names":false,"suffix":""},{"dropping-particle":"","family":"Mammen","given":"Jennifer S.","non-dropping-particle":"","parse-names":false,"suffix":""},{"dropping-particle":"","family":"McDermott","given":"David F.","non-dropping-particle":"","parse-names":false,"suffix":""},{"dropping-particle":"","family":"Naing","given":"Aung","non-dropping-particle":"","parse-names":false,"suffix":""},{"dropping-particle":"","family":"Nastoupil","given":"Loretta J.","non-dropping-particle":"","parse-names":false,"suffix":""},{"dropping-particle":"","family":"Phillips","given":"Tanyanika","non-dropping-particle":"","parse-names":false,"suffix":""},{"dropping-particle":"","family":"Porter","given":"Laura D.","non-dropping-particle":"","parse-names":false,"suffix":""},{"dropping-particle":"","family":"Puzanov","given":"Igor","non-dropping-particle":"","parse-names":false,"suffix":""},{"dropping-particle":"","family":"Reichner","given":"Cristina A.","non-dropping-particle":"","parse-names":false,"suffix":""},{"dropping-particle":"","family":"Santomasso","given":"Bianca D.","non-dropping-particle":"","parse-names":false,"suffix":""},{"dropping-particle":"","family":"Seigel","given":"Carole","non-dropping-particle":"","parse-names":false,"suffix":""},{"dropping-particle":"","family":"Spira","given":"Alexander","non-dropping-particle":"","parse-names":false,"suffix":""},{"dropping-particle":"","family":"Suarez-Almazor","given":"Maria E.","non-dropping-particle":"","parse-names":false,"suffix":""},{"dropping-particle":"","family":"Wang","given":"Yinghong","non-dropping-particle":"","parse-names":false,"suffix":""},{"dropping-particle":"","family":"Weber","given":"Jeffrey S.","non-dropping-particle":"","parse-names":false,"suffix":""},{"dropping-particle":"","family":"Wolchok","given":"Jedd D.","non-dropping-particle":"","parse-names":false,"suffix":""},{"dropping-particle":"","family":"Thompson","given":"John A.","non-dropping-particle":"","parse-names":false,"suffix":""}],"container-title":"Journal of Clinical Oncology","id":"ITEM-1","issued":{"date-parts":[["2018"]]},"title":"Management of immune-related adverse events in patients treated with immune checkpoint inhibitor therapy: American society of clinical oncology clinical practice guideline","type":"article-journal"},"uris":["http://www.mendeley.com/documents/?uuid=b6ec3298-044b-44ad-a415-b6310a2d1765"]}],"mendeley":{"formattedCitation":"&lt;sup&gt;14&lt;/sup&gt;","plainTextFormattedCitation":"14","previouslyFormattedCitation":"&lt;sup&gt;14&lt;/sup&gt;"},"properties":{"noteIndex":0},"schema":"https://github.com/citation-style-language/schema/raw/master/csl-citation.json"}</w:instrText>
      </w:r>
      <w:r w:rsidR="00F77FDD" w:rsidRPr="00E14F7D">
        <w:rPr>
          <w:rFonts w:ascii="Times New Roman" w:hAnsi="Times New Roman" w:cs="Times New Roman"/>
        </w:rPr>
        <w:fldChar w:fldCharType="separate"/>
      </w:r>
      <w:r w:rsidR="00401A53" w:rsidRPr="00401A53">
        <w:rPr>
          <w:rFonts w:ascii="Times New Roman" w:hAnsi="Times New Roman" w:cs="Times New Roman"/>
          <w:noProof/>
          <w:vertAlign w:val="superscript"/>
        </w:rPr>
        <w:t>14</w:t>
      </w:r>
      <w:r w:rsidR="00F77FDD" w:rsidRPr="00E14F7D">
        <w:rPr>
          <w:rFonts w:ascii="Times New Roman" w:hAnsi="Times New Roman" w:cs="Times New Roman"/>
        </w:rPr>
        <w:fldChar w:fldCharType="end"/>
      </w:r>
      <w:r w:rsidR="00F77FDD" w:rsidRPr="00E14F7D">
        <w:rPr>
          <w:rFonts w:ascii="Times New Roman" w:hAnsi="Times New Roman" w:cs="Times New Roman"/>
        </w:rPr>
        <w:t xml:space="preserve"> </w:t>
      </w:r>
      <w:r w:rsidRPr="00E14F7D">
        <w:rPr>
          <w:rFonts w:ascii="Times New Roman" w:hAnsi="Times New Roman" w:cs="Times New Roman"/>
        </w:rPr>
        <w:t>The results</w:t>
      </w:r>
      <w:r w:rsidR="00F77FDD" w:rsidRPr="00E14F7D">
        <w:rPr>
          <w:rFonts w:ascii="Times New Roman" w:hAnsi="Times New Roman" w:cs="Times New Roman"/>
        </w:rPr>
        <w:t xml:space="preserve"> then</w:t>
      </w:r>
      <w:r w:rsidRPr="00E14F7D">
        <w:rPr>
          <w:rFonts w:ascii="Times New Roman" w:hAnsi="Times New Roman" w:cs="Times New Roman"/>
        </w:rPr>
        <w:t xml:space="preserve"> formed the basis for the content of </w:t>
      </w:r>
      <w:r w:rsidR="00E232E3" w:rsidRPr="00E14F7D">
        <w:rPr>
          <w:rFonts w:ascii="Times New Roman" w:hAnsi="Times New Roman" w:cs="Times New Roman"/>
        </w:rPr>
        <w:t>th</w:t>
      </w:r>
      <w:r w:rsidR="00E232E3">
        <w:rPr>
          <w:rFonts w:ascii="Times New Roman" w:hAnsi="Times New Roman" w:cs="Times New Roman"/>
        </w:rPr>
        <w:t>e</w:t>
      </w:r>
      <w:r w:rsidR="00E232E3" w:rsidRPr="00E14F7D">
        <w:rPr>
          <w:rFonts w:ascii="Times New Roman" w:hAnsi="Times New Roman" w:cs="Times New Roman"/>
        </w:rPr>
        <w:t xml:space="preserve"> </w:t>
      </w:r>
      <w:r w:rsidRPr="00E14F7D">
        <w:rPr>
          <w:rFonts w:ascii="Times New Roman" w:hAnsi="Times New Roman" w:cs="Times New Roman"/>
        </w:rPr>
        <w:t xml:space="preserve">manuscript. A third meeting was held to agree upon the overall structure and contents of the manuscript and address comments and edits. </w:t>
      </w:r>
    </w:p>
    <w:p w14:paraId="32CF8FA9" w14:textId="59A72F32" w:rsidR="00AF0675" w:rsidRPr="00E14F7D" w:rsidRDefault="762EE3AF" w:rsidP="00AF0675">
      <w:pPr>
        <w:spacing w:line="360" w:lineRule="auto"/>
        <w:rPr>
          <w:rFonts w:ascii="Times New Roman" w:hAnsi="Times New Roman" w:cs="Times New Roman"/>
          <w:b/>
          <w:bCs/>
        </w:rPr>
      </w:pPr>
      <w:r w:rsidRPr="00E14F7D">
        <w:rPr>
          <w:rFonts w:ascii="Times New Roman" w:hAnsi="Times New Roman" w:cs="Times New Roman"/>
          <w:b/>
          <w:bCs/>
        </w:rPr>
        <w:t>RECOMMENDATIONS FROM THE WORKING GROUP</w:t>
      </w:r>
    </w:p>
    <w:p w14:paraId="1B3A301B" w14:textId="4BEF6FA6" w:rsidR="00724EEA" w:rsidRPr="00E14F7D" w:rsidRDefault="008F38B1" w:rsidP="00AF0675">
      <w:pPr>
        <w:spacing w:line="360" w:lineRule="auto"/>
        <w:rPr>
          <w:rFonts w:ascii="Times New Roman" w:hAnsi="Times New Roman" w:cs="Times New Roman"/>
        </w:rPr>
      </w:pPr>
      <w:r w:rsidRPr="00E14F7D">
        <w:rPr>
          <w:rFonts w:ascii="Times New Roman" w:hAnsi="Times New Roman" w:cs="Times New Roman"/>
        </w:rPr>
        <w:t>The WG identified 9 primary research questions (Table 1) to guide recommendations on how to select items and implement item lists from item libraries in oncology trials. Results of the</w:t>
      </w:r>
      <w:r w:rsidR="00455B5D" w:rsidRPr="00E14F7D">
        <w:rPr>
          <w:rFonts w:ascii="Times New Roman" w:hAnsi="Times New Roman" w:cs="Times New Roman"/>
        </w:rPr>
        <w:t xml:space="preserve"> scoping review confirmed the lack of high-level item library-specific guidelines, with only one article initially retained and </w:t>
      </w:r>
      <w:r w:rsidR="00BD3D69" w:rsidRPr="00E14F7D">
        <w:rPr>
          <w:rFonts w:ascii="Times New Roman" w:hAnsi="Times New Roman" w:cs="Times New Roman"/>
        </w:rPr>
        <w:t>5</w:t>
      </w:r>
      <w:r w:rsidR="00375FC3">
        <w:rPr>
          <w:rFonts w:ascii="Times New Roman" w:hAnsi="Times New Roman" w:cs="Times New Roman"/>
        </w:rPr>
        <w:t>1</w:t>
      </w:r>
      <w:r w:rsidR="00BD3D69" w:rsidRPr="00E14F7D">
        <w:rPr>
          <w:rFonts w:ascii="Times New Roman" w:hAnsi="Times New Roman" w:cs="Times New Roman"/>
        </w:rPr>
        <w:t xml:space="preserve"> </w:t>
      </w:r>
      <w:r w:rsidR="00455B5D" w:rsidRPr="00E14F7D">
        <w:rPr>
          <w:rFonts w:ascii="Times New Roman" w:hAnsi="Times New Roman" w:cs="Times New Roman"/>
        </w:rPr>
        <w:t>articles/sources added following the use of broader inclusion criteria and review by WG members (Figure 1)</w:t>
      </w:r>
      <w:r w:rsidRPr="00E14F7D">
        <w:rPr>
          <w:rFonts w:ascii="Times New Roman" w:hAnsi="Times New Roman" w:cs="Times New Roman"/>
        </w:rPr>
        <w:t xml:space="preserve"> (full list in </w:t>
      </w:r>
      <w:r w:rsidR="0065005D">
        <w:rPr>
          <w:rFonts w:ascii="Times New Roman" w:hAnsi="Times New Roman" w:cs="Times New Roman"/>
        </w:rPr>
        <w:t>web appendix, pages 2-5</w:t>
      </w:r>
      <w:r w:rsidRPr="00E14F7D">
        <w:rPr>
          <w:rFonts w:ascii="Times New Roman" w:hAnsi="Times New Roman" w:cs="Times New Roman"/>
        </w:rPr>
        <w:t>)</w:t>
      </w:r>
      <w:r w:rsidR="00455B5D" w:rsidRPr="00E14F7D">
        <w:rPr>
          <w:rFonts w:ascii="Times New Roman" w:hAnsi="Times New Roman" w:cs="Times New Roman"/>
        </w:rPr>
        <w:t xml:space="preserve">. </w:t>
      </w:r>
      <w:r w:rsidR="7EF6502E" w:rsidRPr="00E14F7D">
        <w:rPr>
          <w:rFonts w:ascii="Times New Roman" w:hAnsi="Times New Roman" w:cs="Times New Roman"/>
        </w:rPr>
        <w:t xml:space="preserve">The research questions and accompanying recommendations are ordered to reflect a </w:t>
      </w:r>
      <w:r w:rsidR="006F3A21" w:rsidRPr="00E14F7D">
        <w:rPr>
          <w:rFonts w:ascii="Times New Roman" w:hAnsi="Times New Roman" w:cs="Times New Roman"/>
        </w:rPr>
        <w:t xml:space="preserve">chronological </w:t>
      </w:r>
      <w:r w:rsidR="7EF6502E" w:rsidRPr="00E14F7D">
        <w:rPr>
          <w:rFonts w:ascii="Times New Roman" w:hAnsi="Times New Roman" w:cs="Times New Roman"/>
        </w:rPr>
        <w:t>course of events, starting with methods to drive item selection, followed by the structure and analysis of item lists</w:t>
      </w:r>
      <w:r w:rsidR="00F40367" w:rsidRPr="00E14F7D">
        <w:rPr>
          <w:rFonts w:ascii="Times New Roman" w:hAnsi="Times New Roman" w:cs="Times New Roman"/>
        </w:rPr>
        <w:t>,</w:t>
      </w:r>
      <w:r w:rsidR="7EF6502E" w:rsidRPr="00E14F7D">
        <w:rPr>
          <w:rFonts w:ascii="Times New Roman" w:hAnsi="Times New Roman" w:cs="Times New Roman"/>
        </w:rPr>
        <w:t xml:space="preserve"> and ending with the use of item lists in conjunction with other measures and measurement systems</w:t>
      </w:r>
      <w:r w:rsidRPr="00E14F7D">
        <w:rPr>
          <w:rFonts w:ascii="Times New Roman" w:hAnsi="Times New Roman" w:cs="Times New Roman"/>
        </w:rPr>
        <w:t>.</w:t>
      </w:r>
    </w:p>
    <w:p w14:paraId="467FD902" w14:textId="7C0BF012" w:rsidR="00552623" w:rsidRPr="00E14F7D" w:rsidRDefault="00552623" w:rsidP="00AF0675">
      <w:pPr>
        <w:spacing w:line="360" w:lineRule="auto"/>
        <w:rPr>
          <w:rFonts w:ascii="Times New Roman" w:hAnsi="Times New Roman" w:cs="Times New Roman"/>
        </w:rPr>
      </w:pPr>
      <w:r w:rsidRPr="00E14F7D">
        <w:rPr>
          <w:rFonts w:ascii="Times New Roman" w:hAnsi="Times New Roman" w:cs="Times New Roman"/>
        </w:rPr>
        <w:t>INSERT TABLE 1</w:t>
      </w:r>
    </w:p>
    <w:p w14:paraId="2912CD3A" w14:textId="749390C1" w:rsidR="003A3234" w:rsidRPr="00E14F7D" w:rsidRDefault="008F38B1" w:rsidP="00AF0675">
      <w:pPr>
        <w:spacing w:line="360" w:lineRule="auto"/>
        <w:rPr>
          <w:rFonts w:ascii="Times New Roman" w:hAnsi="Times New Roman" w:cs="Times New Roman"/>
        </w:rPr>
      </w:pPr>
      <w:r w:rsidRPr="00E14F7D">
        <w:rPr>
          <w:rFonts w:ascii="Times New Roman" w:hAnsi="Times New Roman" w:cs="Times New Roman"/>
        </w:rPr>
        <w:t>INSERT FIGURE 1</w:t>
      </w:r>
    </w:p>
    <w:p w14:paraId="145EF867" w14:textId="18B1AF4D" w:rsidR="002D5605" w:rsidRPr="00E14F7D" w:rsidRDefault="4732125D" w:rsidP="00E14F7D">
      <w:pPr>
        <w:pStyle w:val="ListParagraph"/>
        <w:numPr>
          <w:ilvl w:val="0"/>
          <w:numId w:val="7"/>
        </w:numPr>
        <w:spacing w:line="360" w:lineRule="auto"/>
        <w:rPr>
          <w:rFonts w:ascii="Times New Roman" w:hAnsi="Times New Roman" w:cs="Times New Roman"/>
          <w:i/>
          <w:iCs/>
        </w:rPr>
      </w:pPr>
      <w:r w:rsidRPr="00E14F7D">
        <w:rPr>
          <w:rFonts w:ascii="Times New Roman" w:hAnsi="Times New Roman" w:cs="Times New Roman"/>
          <w:i/>
          <w:iCs/>
        </w:rPr>
        <w:t>Which methods should be used to drive item selection?</w:t>
      </w:r>
    </w:p>
    <w:p w14:paraId="60C1C732" w14:textId="74A7B539" w:rsidR="00070CCF" w:rsidRPr="00E14F7D" w:rsidRDefault="762EE3AF" w:rsidP="294B4561">
      <w:pPr>
        <w:spacing w:line="360" w:lineRule="auto"/>
        <w:rPr>
          <w:rFonts w:ascii="Times New Roman" w:hAnsi="Times New Roman" w:cs="Times New Roman"/>
        </w:rPr>
      </w:pPr>
      <w:r w:rsidRPr="00E14F7D">
        <w:rPr>
          <w:rFonts w:ascii="Times New Roman" w:hAnsi="Times New Roman" w:cs="Times New Roman"/>
        </w:rPr>
        <w:t>In general, clinical trial investigators should assess key issues (i.e., PROs) that inform the evaluation of treatment safety</w:t>
      </w:r>
      <w:r w:rsidR="00CB203B" w:rsidRPr="00E14F7D">
        <w:rPr>
          <w:rFonts w:ascii="Times New Roman" w:hAnsi="Times New Roman" w:cs="Times New Roman"/>
        </w:rPr>
        <w:t>, tolerability</w:t>
      </w:r>
      <w:r w:rsidR="006F3A21" w:rsidRPr="00E14F7D">
        <w:rPr>
          <w:rFonts w:ascii="Times New Roman" w:hAnsi="Times New Roman" w:cs="Times New Roman"/>
        </w:rPr>
        <w:t>,</w:t>
      </w:r>
      <w:r w:rsidRPr="00E14F7D">
        <w:rPr>
          <w:rFonts w:ascii="Times New Roman" w:hAnsi="Times New Roman" w:cs="Times New Roman"/>
        </w:rPr>
        <w:t xml:space="preserve"> and efficacy. Selection should focus on clinically meaningful disease- and treatment-specific concepts that inform treatment decision-making and patient care, including symptom management. Sources for selecting items</w:t>
      </w:r>
      <w:r w:rsidR="00224C4E">
        <w:rPr>
          <w:rFonts w:ascii="Times New Roman" w:hAnsi="Times New Roman" w:cs="Times New Roman"/>
        </w:rPr>
        <w:t xml:space="preserve"> </w:t>
      </w:r>
      <w:r w:rsidRPr="00E14F7D">
        <w:rPr>
          <w:rFonts w:ascii="Times New Roman" w:hAnsi="Times New Roman" w:cs="Times New Roman"/>
        </w:rPr>
        <w:t>can come from the published literature, formal interviews with stakeholders (including patients), and expert input, including patient and public involvement</w:t>
      </w:r>
      <w:r w:rsidR="008B00BD" w:rsidRPr="00E14F7D">
        <w:rPr>
          <w:rFonts w:ascii="Times New Roman" w:hAnsi="Times New Roman" w:cs="Times New Roman"/>
        </w:rPr>
        <w:t xml:space="preserve"> (PPI)</w:t>
      </w:r>
      <w:r w:rsidRPr="00E14F7D">
        <w:rPr>
          <w:rFonts w:ascii="Times New Roman" w:hAnsi="Times New Roman" w:cs="Times New Roman"/>
        </w:rPr>
        <w:t xml:space="preserve">. The use of clinically meaningful items based on evidence from similar cohorts in </w:t>
      </w:r>
      <w:r w:rsidRPr="00E14F7D">
        <w:rPr>
          <w:rFonts w:ascii="Times New Roman" w:hAnsi="Times New Roman" w:cs="Times New Roman"/>
        </w:rPr>
        <w:lastRenderedPageBreak/>
        <w:t>oncology practice may also be considered. Selection of relevant items within an item library should have face validity with regard to the study’s aims and research questions and be suitable for the patient population under investigation</w:t>
      </w:r>
      <w:r w:rsidR="006D5821" w:rsidRPr="00E14F7D">
        <w:rPr>
          <w:rFonts w:ascii="Times New Roman" w:hAnsi="Times New Roman" w:cs="Times New Roman"/>
        </w:rPr>
        <w:t>.</w:t>
      </w:r>
      <w:r w:rsidRPr="00E14F7D">
        <w:rPr>
          <w:rFonts w:ascii="Times New Roman" w:hAnsi="Times New Roman" w:cs="Times New Roman"/>
        </w:rPr>
        <w:t xml:space="preserve"> </w:t>
      </w:r>
      <w:r w:rsidR="7EF6502E" w:rsidRPr="00E14F7D">
        <w:rPr>
          <w:rFonts w:ascii="Times New Roman" w:hAnsi="Times New Roman" w:cs="Times New Roman"/>
        </w:rPr>
        <w:fldChar w:fldCharType="begin" w:fldLock="1"/>
      </w:r>
      <w:r w:rsidR="00350920">
        <w:rPr>
          <w:rFonts w:ascii="Times New Roman" w:hAnsi="Times New Roman" w:cs="Times New Roman"/>
        </w:rPr>
        <w:instrText>ADDIN CSL_CITATION {"citationItems":[{"id":"ITEM-1","itemData":{"URL":"https://wizard.facit.org/","author":[{"dropping-particle":"","family":"FACIT","given":"","non-dropping-particle":"","parse-names":false,"suffix":""}],"id":"ITEM-1","issued":{"date-parts":[["0"]]},"title":"FACIT Searchable Library and Custom Form Developer (Build-a-PRO)","type":"webpage"},"uris":["http://www.mendeley.com/documents/?uuid=48e24294-5496-4430-b433-0beaf4809c8a"]}],"mendeley":{"formattedCitation":"&lt;sup&gt;6&lt;/sup&gt;","plainTextFormattedCitation":"6","previouslyFormattedCitation":"&lt;sup&gt;6&lt;/sup&gt;"},"properties":{"noteIndex":0},"schema":"https://github.com/citation-style-language/schema/raw/master/csl-citation.json"}</w:instrText>
      </w:r>
      <w:r w:rsidR="7EF6502E" w:rsidRPr="00E14F7D">
        <w:rPr>
          <w:rFonts w:ascii="Times New Roman" w:hAnsi="Times New Roman" w:cs="Times New Roman"/>
        </w:rPr>
        <w:fldChar w:fldCharType="separate"/>
      </w:r>
      <w:r w:rsidR="00401A53" w:rsidRPr="00401A53">
        <w:rPr>
          <w:rFonts w:ascii="Times New Roman" w:hAnsi="Times New Roman" w:cs="Times New Roman"/>
          <w:noProof/>
          <w:vertAlign w:val="superscript"/>
        </w:rPr>
        <w:t>6</w:t>
      </w:r>
      <w:r w:rsidR="7EF6502E" w:rsidRPr="00E14F7D">
        <w:rPr>
          <w:rFonts w:ascii="Times New Roman" w:hAnsi="Times New Roman" w:cs="Times New Roman"/>
        </w:rPr>
        <w:fldChar w:fldCharType="end"/>
      </w:r>
      <w:r w:rsidRPr="00E14F7D">
        <w:rPr>
          <w:rFonts w:ascii="Times New Roman" w:hAnsi="Times New Roman" w:cs="Times New Roman"/>
        </w:rPr>
        <w:t xml:space="preserve"> Although items may be derived from validated questionnaires and measurement systems, pilot testing of the selected items is recommended, to ensure </w:t>
      </w:r>
      <w:r w:rsidR="005B7C37" w:rsidRPr="00E14F7D">
        <w:rPr>
          <w:rFonts w:ascii="Times New Roman" w:hAnsi="Times New Roman" w:cs="Times New Roman"/>
        </w:rPr>
        <w:t>relevance</w:t>
      </w:r>
      <w:r w:rsidRPr="00E14F7D">
        <w:rPr>
          <w:rFonts w:ascii="Times New Roman" w:hAnsi="Times New Roman" w:cs="Times New Roman"/>
        </w:rPr>
        <w:t xml:space="preserve"> and </w:t>
      </w:r>
      <w:r w:rsidR="005B7C37" w:rsidRPr="00E14F7D">
        <w:rPr>
          <w:rFonts w:ascii="Times New Roman" w:hAnsi="Times New Roman" w:cs="Times New Roman"/>
        </w:rPr>
        <w:t>comprehensibility for</w:t>
      </w:r>
      <w:r w:rsidRPr="00E14F7D">
        <w:rPr>
          <w:rFonts w:ascii="Times New Roman" w:hAnsi="Times New Roman" w:cs="Times New Roman"/>
        </w:rPr>
        <w:t xml:space="preserve"> the target population</w:t>
      </w:r>
      <w:r w:rsidR="006D5821" w:rsidRPr="00E14F7D">
        <w:rPr>
          <w:rFonts w:ascii="Times New Roman" w:hAnsi="Times New Roman" w:cs="Times New Roman"/>
        </w:rPr>
        <w:t>.</w:t>
      </w:r>
      <w:r w:rsidRPr="00E14F7D">
        <w:rPr>
          <w:rFonts w:ascii="Times New Roman" w:hAnsi="Times New Roman" w:cs="Times New Roman"/>
        </w:rPr>
        <w:t xml:space="preserve"> </w:t>
      </w:r>
      <w:r w:rsidR="7EF6502E" w:rsidRPr="00E14F7D">
        <w:rPr>
          <w:rFonts w:ascii="Times New Roman" w:hAnsi="Times New Roman" w:cs="Times New Roman"/>
        </w:rPr>
        <w:fldChar w:fldCharType="begin" w:fldLock="1"/>
      </w:r>
      <w:r w:rsidR="00350920">
        <w:rPr>
          <w:rFonts w:ascii="Times New Roman" w:hAnsi="Times New Roman" w:cs="Times New Roman"/>
        </w:rPr>
        <w:instrText>ADDIN CSL_CITATION {"citationItems":[{"id":"ITEM-1","itemData":{"DOI":"10.1097/01.mlr.0000254567.79743.e2","ISSN":"00257079","PMID":"17443114","abstract":"One of the PROMIS (Patient-Reported Outcome Measurement Information System) networkĝ€™s primary goals is the development of a comprehensive item bank for patient-reported outcomes of chronic diseases. For its first set of item banks, PROMIS chose to focus on pain, fatigue, emotional distress, physical function, and social function. An essential step for the development of an item pool is the identification, evaluation, and revision of extant questionnaire items for the core item pool. In this work, we also describe the systematic process wherein items are classified for subsequent statistical processing by the PROMIS investigators. Six phases of item development are documented: identification of extant items, item classification and selection, item review and revision, focus group input on domain coverage, cognitive interviews with individual items, and final revision before field testing. Identification of items refers to the systematic search for existing items in currently available scales. Expert item review and revision was conducted by trained professionals who reviewed the wording of each item and revised as appropriate for conventions adopted by the PROMIS network. Focus groups were used to confirm domain definitions and to identify new areas of item development for future PROMIS item banks. Cognitive interviews were used to examine individual items. Items successfully screened through this process were sent to field testing and will be subjected to innovative scale construction procedures. Copyright © 2007 by Lippincott Williams &amp; Wilkins.","author":[{"dropping-particle":"","family":"DeWalt","given":"Darren A.","non-dropping-particle":"","parse-names":false,"suffix":""},{"dropping-particle":"","family":"Rothrock","given":"Nan","non-dropping-particle":"","parse-names":false,"suffix":""},{"dropping-particle":"","family":"Yount","given":"Susan","non-dropping-particle":"","parse-names":false,"suffix":""},{"dropping-particle":"","family":"Stone","given":"Arthur A.","non-dropping-particle":"","parse-names":false,"suffix":""}],"container-title":"Medical Care","id":"ITEM-1","issued":{"date-parts":[["2007"]]},"title":"Evaluation of item candidates: The PROMIS qualitative item review","type":"article-journal"},"uris":["http://www.mendeley.com/documents/?uuid=173f2ca2-f7dd-44fe-8389-fa6d7dc5fb17"]}],"mendeley":{"formattedCitation":"&lt;sup&gt;15&lt;/sup&gt;","plainTextFormattedCitation":"15","previouslyFormattedCitation":"&lt;sup&gt;15&lt;/sup&gt;"},"properties":{"noteIndex":0},"schema":"https://github.com/citation-style-language/schema/raw/master/csl-citation.json"}</w:instrText>
      </w:r>
      <w:r w:rsidR="7EF6502E" w:rsidRPr="00E14F7D">
        <w:rPr>
          <w:rFonts w:ascii="Times New Roman" w:hAnsi="Times New Roman" w:cs="Times New Roman"/>
        </w:rPr>
        <w:fldChar w:fldCharType="separate"/>
      </w:r>
      <w:r w:rsidR="00401A53" w:rsidRPr="00401A53">
        <w:rPr>
          <w:rFonts w:ascii="Times New Roman" w:hAnsi="Times New Roman" w:cs="Times New Roman"/>
          <w:noProof/>
          <w:vertAlign w:val="superscript"/>
        </w:rPr>
        <w:t>15</w:t>
      </w:r>
      <w:r w:rsidR="7EF6502E" w:rsidRPr="00E14F7D">
        <w:rPr>
          <w:rFonts w:ascii="Times New Roman" w:hAnsi="Times New Roman" w:cs="Times New Roman"/>
        </w:rPr>
        <w:fldChar w:fldCharType="end"/>
      </w:r>
      <w:r w:rsidRPr="00E14F7D">
        <w:rPr>
          <w:rFonts w:ascii="Times New Roman" w:hAnsi="Times New Roman" w:cs="Times New Roman"/>
        </w:rPr>
        <w:t xml:space="preserve"> When a large list of items is identified, an approach to reduce the full list, involving prioritization by both patients and</w:t>
      </w:r>
      <w:r w:rsidR="00F40367" w:rsidRPr="00E14F7D">
        <w:rPr>
          <w:rFonts w:ascii="Times New Roman" w:hAnsi="Times New Roman" w:cs="Times New Roman"/>
        </w:rPr>
        <w:t xml:space="preserve"> healthcare professionals</w:t>
      </w:r>
      <w:r w:rsidRPr="00E14F7D">
        <w:rPr>
          <w:rFonts w:ascii="Times New Roman" w:hAnsi="Times New Roman" w:cs="Times New Roman"/>
        </w:rPr>
        <w:t xml:space="preserve"> </w:t>
      </w:r>
      <w:r w:rsidR="00F40367" w:rsidRPr="00E14F7D">
        <w:rPr>
          <w:rFonts w:ascii="Times New Roman" w:hAnsi="Times New Roman" w:cs="Times New Roman"/>
        </w:rPr>
        <w:t>(</w:t>
      </w:r>
      <w:r w:rsidRPr="00E14F7D">
        <w:rPr>
          <w:rFonts w:ascii="Times New Roman" w:hAnsi="Times New Roman" w:cs="Times New Roman"/>
        </w:rPr>
        <w:t>HCPs</w:t>
      </w:r>
      <w:r w:rsidR="00F40367" w:rsidRPr="00E14F7D">
        <w:rPr>
          <w:rFonts w:ascii="Times New Roman" w:hAnsi="Times New Roman" w:cs="Times New Roman"/>
        </w:rPr>
        <w:t>)</w:t>
      </w:r>
      <w:r w:rsidRPr="00E14F7D">
        <w:rPr>
          <w:rFonts w:ascii="Times New Roman" w:hAnsi="Times New Roman" w:cs="Times New Roman"/>
        </w:rPr>
        <w:t xml:space="preserve"> may be required</w:t>
      </w:r>
      <w:r w:rsidR="006D5821" w:rsidRPr="00E14F7D">
        <w:rPr>
          <w:rFonts w:ascii="Times New Roman" w:hAnsi="Times New Roman" w:cs="Times New Roman"/>
        </w:rPr>
        <w:t>.</w:t>
      </w:r>
      <w:r w:rsidRPr="00E14F7D">
        <w:rPr>
          <w:rFonts w:ascii="Times New Roman" w:hAnsi="Times New Roman" w:cs="Times New Roman"/>
        </w:rPr>
        <w:t xml:space="preserve"> </w:t>
      </w:r>
      <w:r w:rsidR="7EF6502E" w:rsidRPr="00E14F7D">
        <w:rPr>
          <w:rFonts w:ascii="Times New Roman" w:hAnsi="Times New Roman" w:cs="Times New Roman"/>
        </w:rPr>
        <w:fldChar w:fldCharType="begin" w:fldLock="1"/>
      </w:r>
      <w:r w:rsidR="00350920">
        <w:rPr>
          <w:rFonts w:ascii="Times New Roman" w:hAnsi="Times New Roman" w:cs="Times New Roman"/>
        </w:rPr>
        <w:instrText>ADDIN CSL_CITATION {"citationItems":[{"id":"ITEM-1","itemData":{"DOI":"10.1007/s11136-018-1982-5","ISSN":"15732649","PMID":"30187393","abstract":"Purpose: Malignant pleural mesothelioma (MPM) is an aggressive cancer of the lung pleura. The MD Anderson Symptom Inventory (MDASI) is a patient-reported outcome (PRO) measure of symptom burden, the combined impact of disease-related and treatment-related symptoms on functioning. Validated PRO measures may require modification for use in specific study populations. We sought to modify the MDASI for patients with MPM and create a fit-for-purpose symptom-burden measure for use in a clinical trial, according to US Food and Drug Administration guidance on PRO utilization to support labeling claims. Methods: A literature review for MPM symptoms was conducted. Patients with MPM were qualitatively interviewed about experiences of disease and treatment. Descriptive analysis identified symptoms and interference with functioning to define MPM-related symptom burden. An expert panel rated the relevance of identified symptoms to patients with MPM. Patients who received the investigational drug in a previous Phase I study were interviewed for drug-specific symptoms. Results: Literature review and interviews of 20 patients identified 31 MPM-related symptoms. A conceptual model of MPM-related symptom burden was developed. After expert-panel relevance review, five MPM-specific items and the 13 core MDASI symptoms met criteria for inclusion in a provisional MDASI-MPM for psychometric testing. Interviews with six patients identified six drug-specific symptoms; three were mentioned by multiple patients. Of these three, one was not in the core MDASI. Conclusions: The MDASI-MPM has established content validity and, with the addition of one symptom item, is ready for psychometric testing as fit-for-purpose for a clinical trial of an investigational agent.","author":[{"dropping-particle":"","family":"Williams","given":"Loretta A.","non-dropping-particle":"","parse-names":false,"suffix":""},{"dropping-particle":"","family":"Whisenant","given":"Meagan S.","non-dropping-particle":"","parse-names":false,"suffix":""},{"dropping-particle":"","family":"Mendoza","given":"Tito R.","non-dropping-particle":"","parse-names":false,"suffix":""},{"dropping-particle":"","family":"Haq","given":"Shireen","non-dropping-particle":"","parse-names":false,"suffix":""},{"dropping-particle":"","family":"Keating","given":"Karen N.","non-dropping-particle":"","parse-names":false,"suffix":""},{"dropping-particle":"","family":"Cuffel","given":"Brian","non-dropping-particle":"","parse-names":false,"suffix":""},{"dropping-particle":"","family":"Cleeland","given":"Charles S.","non-dropping-particle":"","parse-names":false,"suffix":""}],"container-title":"Quality of Life Research","id":"ITEM-1","issued":{"date-parts":[["2018"]]},"title":"Modification of existing patient-reported outcome measures: qualitative development of the MD Anderson Symptom Inventory for malignant pleural mesothelioma (MDASI-MPM)","type":"article-journal"},"uris":["http://www.mendeley.com/documents/?uuid=3366ca00-693d-4df8-9e55-5b72514722ad"]}],"mendeley":{"formattedCitation":"&lt;sup&gt;16&lt;/sup&gt;","plainTextFormattedCitation":"16","previouslyFormattedCitation":"&lt;sup&gt;16&lt;/sup&gt;"},"properties":{"noteIndex":0},"schema":"https://github.com/citation-style-language/schema/raw/master/csl-citation.json"}</w:instrText>
      </w:r>
      <w:r w:rsidR="7EF6502E" w:rsidRPr="00E14F7D">
        <w:rPr>
          <w:rFonts w:ascii="Times New Roman" w:hAnsi="Times New Roman" w:cs="Times New Roman"/>
        </w:rPr>
        <w:fldChar w:fldCharType="separate"/>
      </w:r>
      <w:r w:rsidR="00401A53" w:rsidRPr="00401A53">
        <w:rPr>
          <w:rFonts w:ascii="Times New Roman" w:hAnsi="Times New Roman" w:cs="Times New Roman"/>
          <w:noProof/>
          <w:vertAlign w:val="superscript"/>
        </w:rPr>
        <w:t>16</w:t>
      </w:r>
      <w:r w:rsidR="7EF6502E" w:rsidRPr="00E14F7D">
        <w:rPr>
          <w:rFonts w:ascii="Times New Roman" w:hAnsi="Times New Roman" w:cs="Times New Roman"/>
        </w:rPr>
        <w:fldChar w:fldCharType="end"/>
      </w:r>
    </w:p>
    <w:p w14:paraId="524B84D3" w14:textId="0503B9C9" w:rsidR="000A0380" w:rsidRPr="00E14F7D" w:rsidRDefault="000A0380" w:rsidP="000A0380">
      <w:pPr>
        <w:spacing w:line="360" w:lineRule="auto"/>
        <w:rPr>
          <w:rFonts w:ascii="Times New Roman" w:hAnsi="Times New Roman" w:cs="Times New Roman"/>
        </w:rPr>
      </w:pPr>
      <w:r w:rsidRPr="00E14F7D">
        <w:rPr>
          <w:rFonts w:ascii="Times New Roman" w:hAnsi="Times New Roman" w:cs="Times New Roman"/>
        </w:rPr>
        <w:t xml:space="preserve">In cases where items are missing and may need to be generated, it is important to liaise with the relevant instrument developers. </w:t>
      </w:r>
    </w:p>
    <w:p w14:paraId="136DC3A9" w14:textId="3633691F" w:rsidR="003A4C24" w:rsidRPr="00E14F7D" w:rsidRDefault="7EF6502E" w:rsidP="00AF0675">
      <w:pPr>
        <w:spacing w:line="360" w:lineRule="auto"/>
        <w:rPr>
          <w:rFonts w:ascii="Times New Roman" w:hAnsi="Times New Roman" w:cs="Times New Roman"/>
        </w:rPr>
      </w:pPr>
      <w:r w:rsidRPr="00E14F7D">
        <w:rPr>
          <w:rFonts w:ascii="Times New Roman" w:hAnsi="Times New Roman" w:cs="Times New Roman"/>
        </w:rPr>
        <w:t xml:space="preserve">The approaches listed below can help guide item selection: </w:t>
      </w:r>
    </w:p>
    <w:p w14:paraId="62B40113" w14:textId="10544477" w:rsidR="00C465AD" w:rsidRPr="00E14F7D" w:rsidRDefault="00825CA8" w:rsidP="00AF0675">
      <w:pPr>
        <w:spacing w:line="360" w:lineRule="auto"/>
        <w:rPr>
          <w:rFonts w:ascii="Times New Roman" w:hAnsi="Times New Roman" w:cs="Times New Roman"/>
        </w:rPr>
      </w:pPr>
      <w:r w:rsidRPr="00E14F7D">
        <w:rPr>
          <w:rFonts w:ascii="Times New Roman" w:hAnsi="Times New Roman" w:cs="Times New Roman"/>
          <w:u w:val="single"/>
        </w:rPr>
        <w:t>L</w:t>
      </w:r>
      <w:r w:rsidR="7EF6502E" w:rsidRPr="00E14F7D">
        <w:rPr>
          <w:rFonts w:ascii="Times New Roman" w:hAnsi="Times New Roman" w:cs="Times New Roman"/>
          <w:u w:val="single"/>
        </w:rPr>
        <w:t>iterature reviews.</w:t>
      </w:r>
      <w:r w:rsidR="7EF6502E" w:rsidRPr="00E14F7D">
        <w:rPr>
          <w:rFonts w:ascii="Times New Roman" w:hAnsi="Times New Roman" w:cs="Times New Roman"/>
          <w:i/>
          <w:iCs/>
        </w:rPr>
        <w:t xml:space="preserve"> </w:t>
      </w:r>
      <w:r w:rsidR="7EF6502E" w:rsidRPr="00E14F7D">
        <w:rPr>
          <w:rFonts w:ascii="Times New Roman" w:hAnsi="Times New Roman" w:cs="Times New Roman"/>
        </w:rPr>
        <w:t xml:space="preserve"> Systematic literature reviews of HRQOL impact in the study population, including reviews of existing questionnaires and PRO tools, should be carried out to identify possible issues and symptoms.</w:t>
      </w:r>
      <w:r w:rsidRPr="00E14F7D">
        <w:rPr>
          <w:rFonts w:ascii="Times New Roman" w:hAnsi="Times New Roman" w:cs="Times New Roman"/>
        </w:rPr>
        <w:t xml:space="preserve"> When systematic reviews are not feasible, scoping reviews may be considered. </w:t>
      </w:r>
    </w:p>
    <w:p w14:paraId="01B4D0B9" w14:textId="595EF302" w:rsidR="004B7964" w:rsidRPr="00E14F7D" w:rsidRDefault="294B4561" w:rsidP="00AF0675">
      <w:pPr>
        <w:spacing w:line="360" w:lineRule="auto"/>
        <w:rPr>
          <w:rFonts w:ascii="Times New Roman" w:hAnsi="Times New Roman" w:cs="Times New Roman"/>
        </w:rPr>
      </w:pPr>
      <w:r w:rsidRPr="00E14F7D">
        <w:rPr>
          <w:rFonts w:ascii="Times New Roman" w:hAnsi="Times New Roman" w:cs="Times New Roman"/>
        </w:rPr>
        <w:t xml:space="preserve"> </w:t>
      </w:r>
      <w:r w:rsidRPr="00E14F7D">
        <w:rPr>
          <w:rFonts w:ascii="Times New Roman" w:hAnsi="Times New Roman" w:cs="Times New Roman"/>
          <w:u w:val="single"/>
        </w:rPr>
        <w:t>Interviews and focus groups.</w:t>
      </w:r>
      <w:r w:rsidRPr="00E14F7D">
        <w:rPr>
          <w:rFonts w:ascii="Times New Roman" w:hAnsi="Times New Roman" w:cs="Times New Roman"/>
          <w:i/>
          <w:iCs/>
        </w:rPr>
        <w:t xml:space="preserve"> </w:t>
      </w:r>
      <w:r w:rsidRPr="00E14F7D">
        <w:rPr>
          <w:rFonts w:ascii="Times New Roman" w:hAnsi="Times New Roman" w:cs="Times New Roman"/>
        </w:rPr>
        <w:t xml:space="preserve">One-to-one structured and semi-structured interviews with patients, and specifically patients with the relevant condition(s) and stage(s) of disease and treatment (if possible), should be conducted to elicit relevant issues and ensure patient centricity. </w:t>
      </w:r>
      <w:r w:rsidR="00E232E3">
        <w:rPr>
          <w:rFonts w:ascii="Times New Roman" w:hAnsi="Times New Roman" w:cs="Times New Roman"/>
        </w:rPr>
        <w:t>A</w:t>
      </w:r>
      <w:r w:rsidRPr="00E14F7D">
        <w:rPr>
          <w:rFonts w:ascii="Times New Roman" w:hAnsi="Times New Roman" w:cs="Times New Roman"/>
        </w:rPr>
        <w:t xml:space="preserve"> variety of different demographic characteristics (e.g., gender, age, ethnicity, nationality, literacy level) </w:t>
      </w:r>
      <w:r w:rsidR="00E232E3">
        <w:rPr>
          <w:rFonts w:ascii="Times New Roman" w:hAnsi="Times New Roman" w:cs="Times New Roman"/>
        </w:rPr>
        <w:t>should be</w:t>
      </w:r>
      <w:r w:rsidR="00E232E3" w:rsidRPr="00E14F7D">
        <w:rPr>
          <w:rFonts w:ascii="Times New Roman" w:hAnsi="Times New Roman" w:cs="Times New Roman"/>
        </w:rPr>
        <w:t xml:space="preserve"> </w:t>
      </w:r>
      <w:r w:rsidRPr="00E14F7D">
        <w:rPr>
          <w:rFonts w:ascii="Times New Roman" w:hAnsi="Times New Roman" w:cs="Times New Roman"/>
        </w:rPr>
        <w:t>covered, to ensure representativeness and wide-spread applicability</w:t>
      </w:r>
      <w:r w:rsidR="006D5821" w:rsidRPr="00E14F7D">
        <w:rPr>
          <w:rFonts w:ascii="Times New Roman" w:hAnsi="Times New Roman" w:cs="Times New Roman"/>
        </w:rPr>
        <w:t>.</w:t>
      </w:r>
      <w:r w:rsidRPr="00E14F7D">
        <w:rPr>
          <w:rFonts w:ascii="Times New Roman" w:hAnsi="Times New Roman" w:cs="Times New Roman"/>
        </w:rPr>
        <w:t xml:space="preserve"> </w:t>
      </w:r>
      <w:r w:rsidR="00C80125" w:rsidRPr="00E14F7D">
        <w:rPr>
          <w:rFonts w:ascii="Times New Roman" w:hAnsi="Times New Roman" w:cs="Times New Roman"/>
        </w:rPr>
        <w:fldChar w:fldCharType="begin" w:fldLock="1"/>
      </w:r>
      <w:r w:rsidR="00350920">
        <w:rPr>
          <w:rFonts w:ascii="Times New Roman" w:hAnsi="Times New Roman" w:cs="Times New Roman"/>
        </w:rPr>
        <w:instrText>ADDIN CSL_CITATION {"citationItems":[{"id":"ITEM-1","itemData":{"URL":"https://www.healthmeasures.net/explore-measurement-systems/promis/measure-development-research","author":[{"dropping-particle":"","family":"PROMIS","given":"","non-dropping-particle":"","parse-names":false,"suffix":""}],"id":"ITEM-1","issued":{"date-parts":[["0"]]},"title":"PROMIS Measure Development &amp; Research","type":"webpage"},"uris":["http://www.mendeley.com/documents/?uuid=87cad372-9f45-4e8b-b880-a1f190cc9ef1"]},{"id":"ITEM-2","itemData":{"DOI":"10.1007/s11136-009-9498-7","ISSN":"09629343","PMID":"19548118","abstract":"Purpose: There is growing interest in the use of item response theory (IRT) for creation of measures of health-related quality of life (HRQOL). A first step in IRT modeling is development of item banks. Our aim is to describe the value of including librarians and to describe processes used by librarians, in the creation of such banks. Method: Working collaboratively with PROMIS researchers at the University of Pittsburgh, a team of librarians designed and implemented comprehensive literature searches in a selected set of information resources, for the purpose of identifying existing measures of patient-reported emotional distress. Results: A step-by-step search protocol developed by librarians produced a set of 525 keywords and controlled vocabulary terms for use in search statements in 3 bibliographic databases. These searches produced 6,169 literature citations, allowing investigators to add 444 measurement scales to their item banks. Conclusion: Inclusion of librarians on the Pittsburgh PROMIS research team allowed investigators to create large initial item banks, increasing the likelihood that the banks would attain high measurement precision during subsequent psychometric analyses. In addition, a comprehensive literature search protocol was developed that can now serve as a guide for other investigators in the creation of IRT item banks. © 2009 Springer Science+Business Media B.V.","author":[{"dropping-particle":"","family":"Klem","given":"Mary","non-dropping-particle":"","parse-names":false,"suffix":""},{"dropping-particle":"","family":"Saghafi","given":"Ester","non-dropping-particle":"","parse-names":false,"suffix":""},{"dropping-particle":"","family":"Abromitis","given":"Rebecca","non-dropping-particle":"","parse-names":false,"suffix":""},{"dropping-particle":"","family":"Stover","given":"Angela","non-dropping-particle":"","parse-names":false,"suffix":""},{"dropping-particle":"","family":"Dew","given":"Mary Amanda","non-dropping-particle":"","parse-names":false,"suffix":""},{"dropping-particle":"","family":"Pilkonis","given":"Paul","non-dropping-particle":"","parse-names":false,"suffix":""}],"container-title":"Quality of Life Research","id":"ITEM-2","issued":{"date-parts":[["2009"]]},"title":"Building PROMIS item banks: Librarians as co-investigators","type":"article-journal"},"uris":["http://www.mendeley.com/documents/?uuid=7f28f1c1-a5e9-41a8-87a1-cc46bfc9143e"]},{"id":"ITEM-3","itemData":{"DOI":"10.1097/01.mlr.0000254567.79743.e2","ISSN":"00257079","PMID":"17443114","abstract":"One of the PROMIS (Patient-Reported Outcome Measurement Information System) networkĝ€™s primary goals is the development of a comprehensive item bank for patient-reported outcomes of chronic diseases. For its first set of item banks, PROMIS chose to focus on pain, fatigue, emotional distress, physical function, and social function. An essential step for the development of an item pool is the identification, evaluation, and revision of extant questionnaire items for the core item pool. In this work, we also describe the systematic process wherein items are classified for subsequent statistical processing by the PROMIS investigators. Six phases of item development are documented: identification of extant items, item classification and selection, item review and revision, focus group input on domain coverage, cognitive interviews with individual items, and final revision before field testing. Identification of items refers to the systematic search for existing items in currently available scales. Expert item review and revision was conducted by trained professionals who reviewed the wording of each item and revised as appropriate for conventions adopted by the PROMIS network. Focus groups were used to confirm domain definitions and to identify new areas of item development for future PROMIS item banks. Cognitive interviews were used to examine individual items. Items successfully screened through this process were sent to field testing and will be subjected to innovative scale construction procedures. Copyright © 2007 by Lippincott Williams &amp; Wilkins.","author":[{"dropping-particle":"","family":"DeWalt","given":"Darren A.","non-dropping-particle":"","parse-names":false,"suffix":""},{"dropping-particle":"","family":"Rothrock","given":"Nan","non-dropping-particle":"","parse-names":false,"suffix":""},{"dropping-particle":"","family":"Yount","given":"Susan","non-dropping-particle":"","parse-names":false,"suffix":""},{"dropping-particle":"","family":"Stone","given":"Arthur A.","non-dropping-particle":"","parse-names":false,"suffix":""}],"container-title":"Medical Care","id":"ITEM-3","issued":{"date-parts":[["2007"]]},"title":"Evaluation of item candidates: The PROMIS qualitative item review","type":"article-journal"},"uris":["http://www.mendeley.com/documents/?uuid=173f2ca2-f7dd-44fe-8389-fa6d7dc5fb17"]},{"id":"ITEM-4","itemData":{"DOI":"10.1038/s41591-022-01781-8","ISSN":"1546170X","PMID":"35513530","author":[{"dropping-particle":"","family":"Calvert","given":"Melanie J.","non-dropping-particle":"","parse-names":false,"suffix":""},{"dropping-particle":"","family":"Cruz Rivera","given":"Samantha","non-dropping-particle":"","parse-names":false,"suffix":""},{"dropping-particle":"","family":"Retzer","given":"Ameeta","non-dropping-particle":"","parse-names":false,"suffix":""},{"dropping-particle":"","family":"Hughes","given":"Sarah E.","non-dropping-particle":"","parse-names":false,"suffix":""},{"dropping-particle":"","family":"Campbell","given":"Lisa","non-dropping-particle":"","parse-names":false,"suffix":""},{"dropping-particle":"","family":"Molony-Oates","given":"Barbara","non-dropping-particle":"","parse-names":false,"suffix":""},{"dropping-particle":"","family":"Aiyegbusi","given":"Olalekan Lee","non-dropping-particle":"","parse-names":false,"suffix":""},{"dropping-particle":"","family":"Stover","given":"Angela M.","non-dropping-particle":"","parse-names":false,"suffix":""},{"dropping-particle":"","family":"Wilson","given":"Roger","non-dropping-particle":"","parse-names":false,"suffix":""},{"dropping-particle":"","family":"McMullan","given":"Christel","non-dropping-particle":"","parse-names":false,"suffix":""},{"dropping-particle":"","family":"Anderson","given":"Nicola E.","non-dropping-particle":"","parse-names":false,"suffix":""},{"dropping-particle":"","family":"Turner","given":"Grace M.","non-dropping-particle":"","parse-names":false,"suffix":""},{"dropping-particle":"","family":"Davies","given":"Elin Haf","non-dropping-particle":"","parse-names":false,"suffix":""},{"dropping-particle":"","family":"Verdi","given":"Rav","non-dropping-particle":"","parse-names":false,"suffix":""},{"dropping-particle":"","family":"Velikova","given":"Galina","non-dropping-particle":"","parse-names":false,"suffix":""},{"dropping-particle":"","family":"Kamudoni","given":"Paul","non-dropping-particle":"","parse-names":false,"suffix":""},{"dropping-particle":"","family":"Muslim","given":"Syed","non-dropping-particle":"","parse-names":false,"suffix":""},{"dropping-particle":"","family":"Gheorghe","given":"Adrian","non-dropping-particle":"","parse-names":false,"suffix":""},{"dropping-particle":"","family":"O’Connor","given":"Daniel","non-dropping-particle":"","parse-names":false,"suffix":""},{"dropping-particle":"","family":"Liu","given":"Xiaoxuan","non-dropping-particle":"","parse-names":false,"suffix":""},{"dropping-particle":"","family":"Wu","given":"Albert W.","non-dropping-particle":"","parse-names":false,"suffix":""},{"dropping-particle":"","family":"Denniston","given":"Alastair K.","non-dropping-particle":"","parse-names":false,"suffix":""}],"container-title":"Nature Medicine","id":"ITEM-4","issued":{"date-parts":[["2022"]]},"title":"Patient reported outcome assessment must be inclusive and equitable","type":"article-journal"},"uris":["http://www.mendeley.com/documents/?uuid=6a0f1fef-20e3-42df-a072-e0a431247fa9"]}],"mendeley":{"formattedCitation":"&lt;sup&gt;15,17–19&lt;/sup&gt;","plainTextFormattedCitation":"15,17–19","previouslyFormattedCitation":"&lt;sup&gt;15,17–19&lt;/sup&gt;"},"properties":{"noteIndex":0},"schema":"https://github.com/citation-style-language/schema/raw/master/csl-citation.json"}</w:instrText>
      </w:r>
      <w:r w:rsidR="00C80125" w:rsidRPr="00E14F7D">
        <w:rPr>
          <w:rFonts w:ascii="Times New Roman" w:hAnsi="Times New Roman" w:cs="Times New Roman"/>
        </w:rPr>
        <w:fldChar w:fldCharType="separate"/>
      </w:r>
      <w:r w:rsidR="00401A53" w:rsidRPr="00401A53">
        <w:rPr>
          <w:rFonts w:ascii="Times New Roman" w:hAnsi="Times New Roman" w:cs="Times New Roman"/>
          <w:noProof/>
          <w:vertAlign w:val="superscript"/>
        </w:rPr>
        <w:t>15,17–19</w:t>
      </w:r>
      <w:r w:rsidR="00C80125" w:rsidRPr="00E14F7D">
        <w:rPr>
          <w:rFonts w:ascii="Times New Roman" w:hAnsi="Times New Roman" w:cs="Times New Roman"/>
        </w:rPr>
        <w:fldChar w:fldCharType="end"/>
      </w:r>
      <w:r w:rsidRPr="00E14F7D">
        <w:rPr>
          <w:rFonts w:ascii="Times New Roman" w:hAnsi="Times New Roman" w:cs="Times New Roman"/>
        </w:rPr>
        <w:t xml:space="preserve"> Structured and semi-structured interviews with HCPs (e.g., physicians, nurses, and psychologists) with the relevant clinical expertise </w:t>
      </w:r>
      <w:r w:rsidR="00C80125" w:rsidRPr="00E14F7D">
        <w:rPr>
          <w:rFonts w:ascii="Times New Roman" w:hAnsi="Times New Roman" w:cs="Times New Roman"/>
        </w:rPr>
        <w:fldChar w:fldCharType="begin" w:fldLock="1"/>
      </w:r>
      <w:r w:rsidR="00350920">
        <w:rPr>
          <w:rFonts w:ascii="Times New Roman" w:hAnsi="Times New Roman" w:cs="Times New Roman"/>
        </w:rPr>
        <w:instrText>ADDIN CSL_CITATION {"citationItems":[{"id":"ITEM-1","itemData":{"author":[{"dropping-particle":"","family":"Johnson","given":"Colin","non-dropping-particle":"","parse-names":false,"suffix":""},{"dropping-particle":"","family":"Aaronson","given":"Neil","non-dropping-particle":"","parse-names":false,"suffix":""},{"dropping-particle":"","family":"Blazeby","given":"Jane M","non-dropping-particle":"","parse-names":false,"suffix":""},{"dropping-particle":"","family":"Bottomley","given":"Andrew","non-dropping-particle":"","parse-names":false,"suffix":""},{"dropping-particle":"","family":"Fayers","given":"Peter","non-dropping-particle":"","parse-names":false,"suffix":""},{"dropping-particle":"","family":"Koller","given":"Michael","non-dropping-particle":"","parse-names":false,"suffix":""},{"dropping-particle":"","family":"Kuliś","given":"Dagmara","non-dropping-particle":"","parse-names":false,"suffix":""},{"dropping-particle":"","family":"Ramage","given":"John","non-dropping-particle":"","parse-names":false,"suffix":""},{"dropping-particle":"","family":"Sprangers","given":"Mirjam","non-dropping-particle":"","parse-names":false,"suffix":""},{"dropping-particle":"","family":"Velikova","given":"Galina","non-dropping-particle":"","parse-names":false,"suffix":""},{"dropping-particle":"","family":"Young","given":"Teresa","non-dropping-particle":"","parse-names":false,"suffix":""}],"id":"ITEM-1","issue":"April","issued":{"date-parts":[["2011"]]},"title":"EORTC Quality of Life Group Guidelines for Developing Questionnaire Modules","type":"article-journal","volume":"4th Ed."},"uris":["http://www.mendeley.com/documents/?uuid=a32af972-9ad3-4cd2-9163-40b3d1e3a9ff"]},{"id":"ITEM-2","itemData":{"author":[{"dropping-particle":"","family":"Bjordal","given":"Kristin;","non-dropping-particle":"","parse-names":false,"suffix":""},{"dropping-particle":"","family":"Bottomley","given":"Andrew;","non-dropping-particle":"","parse-names":false,"suffix":""},{"dropping-particle":"","family":"Gilbert","given":"Alexandra;","non-dropping-particle":"","parse-names":false,"suffix":""},{"dropping-particle":"","family":"Martinelli","given":"Francesca;","non-dropping-particle":"","parse-names":false,"suffix":""},{"dropping-particle":"","family":"Pe","given":"Madeline;","non-dropping-particle":"","parse-names":false,"suffix":""},{"dropping-particle":"","family":"Sztankay","given":"Monika;","non-dropping-particle":"","parse-names":false,"suffix":""},{"dropping-particle":"","family":"Wheelright","given":"Sally;","non-dropping-particle":"","parse-names":false,"suffix":""},{"dropping-particle":"","family":"Cocks","given":"Kim;","non-dropping-particle":"","parse-names":false,"suffix":""},{"dropping-particle":"","family":"Coens","given":"Corneel;","non-dropping-particle":"","parse-names":false,"suffix":""},{"dropping-particle":"","family":"Darlington","given":"Anne-Sophie;","non-dropping-particle":"","parse-names":false,"suffix":""},{"dropping-particle":"","family":"Fayers","given":"Peter;","non-dropping-particle":"","parse-names":false,"suffix":""},{"dropping-particle":"","family":"Fitzsimmons","given":"Deborah;","non-dropping-particle":"","parse-names":false,"suffix":""},{"dropping-particle":"","family":"Giesinger","given":"Johannes;","non-dropping-particle":"","parse-names":false,"suffix":""},{"dropping-particle":"","family":"Koller","given":"Michael;","non-dropping-particle":"","parse-names":false,"suffix":""},{"dropping-particle":"","family":"Kuliś","given":"Dagmara;","non-dropping-particle":"","parse-names":false,"suffix":""},{"dropping-particle":"","family":"Petersen","given":"Morten Aa.;","non-dropping-particle":"","parse-names":false,"suffix":""},{"dropping-particle":"","family":"Reijneveld","given":"Jaap;","non-dropping-particle":"","parse-names":false,"suffix":""},{"dropping-particle":"","family":"Singer","given":"Susanne;","non-dropping-particle":"","parse-names":false,"suffix":""},{"dropping-particle":"","family":"Tomaszewski","given":"Krzysztof","non-dropping-particle":"","parse-names":false,"suffix":""}],"edition":"5th","id":"ITEM-2","issued":{"date-parts":[["2021"]]},"publisher":"EORTC","publisher-place":"Brussels, Belgium","title":"EORTC Quality of Life Group Module Development Guidelines","type":"book"},"uris":["http://www.mendeley.com/documents/?uuid=6264adc3-2683-40f3-996a-ff2e83ca05b4"]},{"id":"ITEM-3","itemData":{"abstract":"This guidance describes how the Food and Drug Administration (FDA) reviews and evaluates existing, modified, or newly created patient-reported outcome (PRO) instruments used to support claims in approved medical product labeling.2 A PRO instrument (i.e., a questionnaire plus the information and documentation that support its use) is a means to capture PRO data used to measure treatment benefit or risk in medical product clinical trials. This guidance does not address the use of PRO instruments for purposes beyond evaluation of claims made about a medical product in labeling. This guidance also does not address disease-specific issues. Guidance on clinical trial endpoints for specific diseases can be found on various FDA Web sites.3","author":[{"dropping-particle":"","family":"FDA","given":"","non-dropping-particle":"","parse-names":false,"suffix":""}],"container-title":"Clinical/Medical Federal Register","id":"ITEM-3","issued":{"date-parts":[["2009"]]},"title":"Guidance for Industry; Patient-Reported Outcome Measures: Use in Medical Product Development to Support Labeling Claims","type":"article-journal"},"uris":["http://www.mendeley.com/documents/?uuid=b4434c61-aed6-44e3-a841-400209a5d501"]}],"mendeley":{"formattedCitation":"&lt;sup&gt;20–22&lt;/sup&gt;","plainTextFormattedCitation":"20–22","previouslyFormattedCitation":"&lt;sup&gt;20–22&lt;/sup&gt;"},"properties":{"noteIndex":0},"schema":"https://github.com/citation-style-language/schema/raw/master/csl-citation.json"}</w:instrText>
      </w:r>
      <w:r w:rsidR="00C80125" w:rsidRPr="00E14F7D">
        <w:rPr>
          <w:rFonts w:ascii="Times New Roman" w:hAnsi="Times New Roman" w:cs="Times New Roman"/>
        </w:rPr>
        <w:fldChar w:fldCharType="separate"/>
      </w:r>
      <w:r w:rsidR="00401A53" w:rsidRPr="00401A53">
        <w:rPr>
          <w:rFonts w:ascii="Times New Roman" w:hAnsi="Times New Roman" w:cs="Times New Roman"/>
          <w:noProof/>
          <w:vertAlign w:val="superscript"/>
        </w:rPr>
        <w:t>20–22</w:t>
      </w:r>
      <w:r w:rsidR="00C80125" w:rsidRPr="00E14F7D">
        <w:rPr>
          <w:rFonts w:ascii="Times New Roman" w:hAnsi="Times New Roman" w:cs="Times New Roman"/>
        </w:rPr>
        <w:fldChar w:fldCharType="end"/>
      </w:r>
      <w:r w:rsidR="00701631" w:rsidRPr="00E14F7D">
        <w:rPr>
          <w:rFonts w:ascii="Times New Roman" w:hAnsi="Times New Roman" w:cs="Times New Roman"/>
        </w:rPr>
        <w:t xml:space="preserve"> along with f</w:t>
      </w:r>
      <w:r w:rsidRPr="00E14F7D">
        <w:rPr>
          <w:rFonts w:ascii="Times New Roman" w:hAnsi="Times New Roman" w:cs="Times New Roman"/>
        </w:rPr>
        <w:t xml:space="preserve">ocus groups with HCPs, patients, </w:t>
      </w:r>
      <w:r w:rsidR="00095D75" w:rsidRPr="00E14F7D">
        <w:rPr>
          <w:rFonts w:ascii="Times New Roman" w:hAnsi="Times New Roman" w:cs="Times New Roman"/>
        </w:rPr>
        <w:t xml:space="preserve">and </w:t>
      </w:r>
      <w:r w:rsidRPr="00E14F7D">
        <w:rPr>
          <w:rFonts w:ascii="Times New Roman" w:hAnsi="Times New Roman" w:cs="Times New Roman"/>
        </w:rPr>
        <w:t xml:space="preserve">patient advocacy organizations, and early meetings with relevant stakeholders (e.g., regulators) may also generate valuable information regarding PROs of interest. </w:t>
      </w:r>
    </w:p>
    <w:p w14:paraId="7EC270F5" w14:textId="06D047D2" w:rsidR="004405FA" w:rsidRPr="00E14F7D" w:rsidRDefault="762EE3AF" w:rsidP="00AF0675">
      <w:pPr>
        <w:spacing w:line="360" w:lineRule="auto"/>
        <w:rPr>
          <w:rFonts w:ascii="Times New Roman" w:hAnsi="Times New Roman" w:cs="Times New Roman"/>
        </w:rPr>
      </w:pPr>
      <w:r w:rsidRPr="00E14F7D">
        <w:rPr>
          <w:rFonts w:ascii="Times New Roman" w:hAnsi="Times New Roman" w:cs="Times New Roman"/>
          <w:u w:val="single"/>
        </w:rPr>
        <w:t>Patient and public involvement.</w:t>
      </w:r>
      <w:r w:rsidRPr="00E14F7D">
        <w:rPr>
          <w:rFonts w:ascii="Times New Roman" w:hAnsi="Times New Roman" w:cs="Times New Roman"/>
        </w:rPr>
        <w:t xml:space="preserve"> The  need to obtain input through PPI should be considered during all stages of research design</w:t>
      </w:r>
      <w:r w:rsidR="006D5821" w:rsidRPr="00E14F7D">
        <w:rPr>
          <w:rFonts w:ascii="Times New Roman" w:hAnsi="Times New Roman" w:cs="Times New Roman"/>
        </w:rPr>
        <w:t>.</w:t>
      </w:r>
      <w:r w:rsidRPr="00E14F7D">
        <w:rPr>
          <w:rFonts w:ascii="Times New Roman" w:hAnsi="Times New Roman" w:cs="Times New Roman"/>
        </w:rPr>
        <w:t xml:space="preserve"> </w:t>
      </w:r>
      <w:r w:rsidR="00C80125" w:rsidRPr="00E14F7D">
        <w:rPr>
          <w:rFonts w:ascii="Times New Roman" w:hAnsi="Times New Roman" w:cs="Times New Roman"/>
        </w:rPr>
        <w:fldChar w:fldCharType="begin" w:fldLock="1"/>
      </w:r>
      <w:r w:rsidR="00350920">
        <w:rPr>
          <w:rFonts w:ascii="Times New Roman" w:hAnsi="Times New Roman" w:cs="Times New Roman"/>
        </w:rPr>
        <w:instrText>ADDIN CSL_CITATION {"citationItems":[{"id":"ITEM-1","itemData":{"DOI":"10.1177/0141076819890551","ISSN":"01410768","PMID":"31922447","author":[{"dropping-particle":"","family":"Turner","given":"Grace","non-dropping-particle":"","parse-names":false,"suffix":""},{"dropping-particle":"","family":"Aiyegbusi","given":"Olalekan Lee","non-dropping-particle":"","parse-names":false,"suffix":""},{"dropping-particle":"","family":"Price","given":"Gary","non-dropping-particle":"","parse-names":false,"suffix":""},{"dropping-particle":"","family":"Skrybant","given":"Magdalena","non-dropping-particle":"","parse-names":false,"suffix":""},{"dropping-particle":"","family":"Calvert","given":"Melanie","non-dropping-particle":"","parse-names":false,"suffix":""}],"container-title":"Journal of the Royal Society of Medicine","id":"ITEM-1","issued":{"date-parts":[["2020"]]},"title":"Moving beyond project-specific patient and public involvement in research","type":"article"},"uris":["http://www.mendeley.com/documents/?uuid=f809f0cb-1498-47fc-a2e9-c4e40dba3b2b"]},{"id":"ITEM-2","itemData":{"DOI":"10.1136/bmjopen-2020-046450","ISSN":"20446055","PMID":"34193492","abstract":"Objectives (a) To adapt the Standard Protocol Items: Recommendations for Interventional Trials (SPIRIT)-patient-reported outcome (PRO) Extension guidance to a user-friendly format for patient partners and (b) to codesign a web-based tool to support the dissemination and uptake of the SPIRIT-PRO Extension by patient partners. Design A 1-day patient and public involvement session. Participants Seven patient partners. Methods A patient partner produced an initial lay summary of the SPIRIT-PRO guideline and a glossary. We held a 1-day PPI session in November 2019 at the University of Birmingham. Five patient partners discussed the draft lay summary, agreed on the final wording, codesigned and agreed the final content for both tools. Two additional patient partners were involved in writing the manuscript. The study compiled with INVOLVE guidelines and was reported according to the Guidance for Reporting Involvement of Patients and the Public 2 checklist. Results Two user-friendly tools were developed to help patients and members of the public be involved in the codesign of clinical trials collecting PROs. The first tool presents a lay version of the SPIRIT-PRO Extension guidance. The second depicts the most relevant points, identified by the patient partners, of the guidance through an interactive flow diagram. Conclusions These tools have the potential to support the involvement of patient partners in making informed contributions to the development of PRO aspects of clinical trial protocols, in accordance with the SPIRIT-PRO Extension guidelines. The involvement of patient partners ensured the tools focused on issues most relevant to them.","author":[{"dropping-particle":"","family":"Cruz Rivera","given":"Samantha","non-dropping-particle":"","parse-names":false,"suffix":""},{"dropping-particle":"","family":"Stephens","given":"Richard","non-dropping-particle":"","parse-names":false,"suffix":""},{"dropping-particle":"","family":"Mercieca-Bebber","given":"Rebecca","non-dropping-particle":"","parse-names":false,"suffix":""},{"dropping-particle":"","family":"Retzer","given":"Ameeta","non-dropping-particle":"","parse-names":false,"suffix":""},{"dropping-particle":"","family":"Rutherford","given":"Claudia","non-dropping-particle":"","parse-names":false,"suffix":""},{"dropping-particle":"","family":"Price","given":"Gary","non-dropping-particle":"","parse-names":false,"suffix":""},{"dropping-particle":"","family":"Slade","given":"Anita","non-dropping-particle":"","parse-names":false,"suffix":""},{"dropping-particle":"","family":"Aiyegbusi","given":"Olalekan Lee","non-dropping-particle":"","parse-names":false,"suffix":""},{"dropping-particle":"","family":"Edge","given":"Philip","non-dropping-particle":"","parse-names":false,"suffix":""},{"dropping-particle":"","family":"Roberts","given":"Lesley","non-dropping-particle":"","parse-names":false,"suffix":""},{"dropping-particle":"","family":"Gosden","given":"Lesley","non-dropping-particle":"","parse-names":false,"suffix":""},{"dropping-particle":"","family":"Verdi","given":"Rav","non-dropping-particle":"","parse-names":false,"suffix":""},{"dropping-particle":"","family":"Wilson","given":"Roger","non-dropping-particle":"","parse-names":false,"suffix":""},{"dropping-particle":"","family":"Calvert","given":"Melanie","non-dropping-particle":"","parse-names":false,"suffix":""}],"container-title":"BMJ Open","id":"ITEM-2","issued":{"date-parts":[["2021"]]},"title":"'Give Us the Tools!': development of knowledge transfer tools to support the involvement of patient partners in the development of clinical trial protocols with patient-reported outcomes (PROs), in accordance with SPIRIT-PRO Extension","type":"article-journal"},"uris":["http://www.mendeley.com/documents/?uuid=c1d6612b-f881-4b35-a97d-182b48fe1cf3"]},{"id":"ITEM-3","itemData":{"DOI":"10.1007/s11136-016-1465-5","ISSN":"15732649","PMID":"27933429","abstract":"Purpose: Active patient engagement is increasingly viewed as essential to ensuring that patient-driven perspectives are considered throughout the research process. However, guidance for patient engagement (PE) in HRQoL research does not exist, the evidence-base for practice is limited, and we know relatively little about underpinning values that can impact on PE practice. This is the first study to explore the values that should underpin PE in contemporary HRQoL research to help inform future good practice guidance. Methods: A modified ‘World Café’ was hosted as a collaborative activity between patient partners, clinicians and researchers: self-nominated conference delegates participated in group discussions to explore values associated with the conduct and consequences of PE. Values were captured via post-it notes and by nominated note-takers. Data were thematically analysed: emergent themes were coded and agreement checked. Association between emergent themes, values and the Public Involvement Impact Assessment Framework were explored. Results: Eighty participants, including 12 patient partners, participated in the 90-min event. Three core values were defined: (1) building relationships; (2) improving research quality and impact; and (3) developing best practice. Participants valued the importance of building genuine, collaborative and deliberative relationships—underpinned by honesty, respect, co-learning and equity—and the impact of effective PE on research quality and relevance. Conclusions: An explicit statement of values seeks to align all stakeholders on the purpose, practice and credibility of PE activities. An innovative, flexible and transparent research environment was valued as essential to developing a trustworthy evidence-base with which to underpin future guidance for good PE practice.","author":[{"dropping-particle":"","family":"Haywood","given":"Kirstie","non-dropping-particle":"","parse-names":false,"suffix":""},{"dropping-particle":"","family":"Lyddiatt","given":"Anne","non-dropping-particle":"","parse-names":false,"suffix":""},{"dropping-particle":"","family":"Brace-McDonnell","given":"Samantha J.","non-dropping-particle":"","parse-names":false,"suffix":""},{"dropping-particle":"","family":"Staniszewska","given":"Sophie","non-dropping-particle":"","parse-names":false,"suffix":""},{"dropping-particle":"","family":"Salek","given":"Sam","non-dropping-particle":"","parse-names":false,"suffix":""}],"container-title":"Quality of Life Research","id":"ITEM-3","issued":{"date-parts":[["2017"]]},"title":"Establishing the values for patient engagement (PE) in health-related quality of life (HRQoL) research: an international, multiple-stakeholder perspective","type":"article-journal"},"uris":["http://www.mendeley.com/documents/?uuid=57e957fb-99f3-4f83-b864-749b654c41ae"]},{"id":"ITEM-4","itemData":{"URL":"https://www.fda.gov/drugs/development-approval-process-drugs/cder-patient-focused-drug-development","accessed":{"date-parts":[["2021","12","2"]]},"author":[{"dropping-particle":"","family":"FDA","given":"","non-dropping-particle":"","parse-names":false,"suffix":""}],"id":"ITEM-4","issued":{"date-parts":[["0"]]},"title":"CDER Patient-Focused Drug Development","type":"webpage"},"uris":["http://www.mendeley.com/documents/?uuid=e37f412e-e583-4a89-93d1-e88c59b19066"]},{"id":"ITEM-5","itemData":{"URL":"https://www.fda.gov/industry/prescription-drug-user-fee-amendments/fda-led-patient-focused-drug-development-pfdd-public-meetings","accessed":{"date-parts":[["2021","12","2"]]},"author":[{"dropping-particle":"","family":"FDA","given":"","non-dropping-particle":"","parse-names":false,"suffix":""}],"id":"ITEM-5","issued":{"date-parts":[["0"]]},"title":"FDA-led Patient-Focused Drug Development (PFDD) Public Meetings","type":"webpage"},"uris":["http://www.mendeley.com/documents/?uuid=6dcafeaf-ebe5-46f2-bb9d-9c3028c797bb"]},{"id":"ITEM-6","itemData":{"ISSN":"13500961","author":[{"dropping-particle":"","family":"European Medicines Agency &amp; Committee for Human Medicinal Products.","given":"","non-dropping-particle":"","parse-names":false,"suffix":""}],"container-title":"Ema/Chmp/Ich/544570/1998","id":"ITEM-6","issue":"October 2021","issued":{"date-parts":[["2019"]]},"page":"1-25","title":"ICH guideline E8 (R1) on general considerations for clinical studies","type":"article-journal","volume":"8"},"uris":["http://www.mendeley.com/documents/?uuid=83abe7d6-eef7-4bb0-8f24-74682fce6a3c"]}],"mendeley":{"formattedCitation":"&lt;sup&gt;23–28&lt;/sup&gt;","plainTextFormattedCitation":"23–28","previouslyFormattedCitation":"&lt;sup&gt;23–28&lt;/sup&gt;"},"properties":{"noteIndex":0},"schema":"https://github.com/citation-style-language/schema/raw/master/csl-citation.json"}</w:instrText>
      </w:r>
      <w:r w:rsidR="00C80125" w:rsidRPr="00E14F7D">
        <w:rPr>
          <w:rFonts w:ascii="Times New Roman" w:hAnsi="Times New Roman" w:cs="Times New Roman"/>
        </w:rPr>
        <w:fldChar w:fldCharType="separate"/>
      </w:r>
      <w:r w:rsidR="00401A53" w:rsidRPr="00401A53">
        <w:rPr>
          <w:rFonts w:ascii="Times New Roman" w:hAnsi="Times New Roman" w:cs="Times New Roman"/>
          <w:noProof/>
          <w:vertAlign w:val="superscript"/>
        </w:rPr>
        <w:t>23–28</w:t>
      </w:r>
      <w:r w:rsidR="00C80125" w:rsidRPr="00E14F7D">
        <w:rPr>
          <w:rFonts w:ascii="Times New Roman" w:hAnsi="Times New Roman" w:cs="Times New Roman"/>
        </w:rPr>
        <w:fldChar w:fldCharType="end"/>
      </w:r>
      <w:r w:rsidRPr="00E14F7D">
        <w:rPr>
          <w:rFonts w:ascii="Times New Roman" w:hAnsi="Times New Roman" w:cs="Times New Roman"/>
        </w:rPr>
        <w:t xml:space="preserve"> </w:t>
      </w:r>
    </w:p>
    <w:p w14:paraId="3A80D240" w14:textId="254AB956" w:rsidR="00CC47E6" w:rsidRPr="00E14F7D" w:rsidRDefault="4732125D" w:rsidP="00AF0675">
      <w:pPr>
        <w:spacing w:line="360" w:lineRule="auto"/>
        <w:rPr>
          <w:rFonts w:ascii="Times New Roman" w:hAnsi="Times New Roman" w:cs="Times New Roman"/>
        </w:rPr>
      </w:pPr>
      <w:r w:rsidRPr="00E14F7D">
        <w:rPr>
          <w:rFonts w:ascii="Times New Roman" w:hAnsi="Times New Roman" w:cs="Times New Roman"/>
          <w:u w:val="single"/>
        </w:rPr>
        <w:t>Publicly available data and registries.</w:t>
      </w:r>
      <w:r w:rsidRPr="00E14F7D">
        <w:rPr>
          <w:rFonts w:ascii="Times New Roman" w:hAnsi="Times New Roman" w:cs="Times New Roman"/>
        </w:rPr>
        <w:t xml:space="preserve"> Where available, public sources of PRO data may also provide insight as to </w:t>
      </w:r>
      <w:r w:rsidR="004405FA" w:rsidRPr="00E14F7D">
        <w:rPr>
          <w:rFonts w:ascii="Times New Roman" w:hAnsi="Times New Roman" w:cs="Times New Roman"/>
        </w:rPr>
        <w:t>the prevalence of symptomatic AEs</w:t>
      </w:r>
      <w:r w:rsidR="00FE29A4" w:rsidRPr="00E14F7D">
        <w:rPr>
          <w:rFonts w:ascii="Times New Roman" w:hAnsi="Times New Roman" w:cs="Times New Roman"/>
        </w:rPr>
        <w:t xml:space="preserve"> and disease-related HRQOL issues</w:t>
      </w:r>
      <w:r w:rsidRPr="00E14F7D">
        <w:rPr>
          <w:rFonts w:ascii="Times New Roman" w:hAnsi="Times New Roman" w:cs="Times New Roman"/>
        </w:rPr>
        <w:t xml:space="preserve"> for specific patient groups</w:t>
      </w:r>
      <w:r w:rsidR="006D5821" w:rsidRPr="00E14F7D">
        <w:rPr>
          <w:rFonts w:ascii="Times New Roman" w:hAnsi="Times New Roman" w:cs="Times New Roman"/>
        </w:rPr>
        <w:t>.</w:t>
      </w:r>
      <w:r w:rsidRPr="00E14F7D">
        <w:rPr>
          <w:rFonts w:ascii="Times New Roman" w:hAnsi="Times New Roman" w:cs="Times New Roman"/>
        </w:rPr>
        <w:t xml:space="preserve"> </w:t>
      </w:r>
      <w:r w:rsidR="004405FA" w:rsidRPr="00E14F7D">
        <w:rPr>
          <w:rFonts w:ascii="Times New Roman" w:hAnsi="Times New Roman" w:cs="Times New Roman"/>
        </w:rPr>
        <w:fldChar w:fldCharType="begin" w:fldLock="1"/>
      </w:r>
      <w:r w:rsidR="00350920">
        <w:rPr>
          <w:rFonts w:ascii="Times New Roman" w:hAnsi="Times New Roman" w:cs="Times New Roman"/>
        </w:rPr>
        <w:instrText>ADDIN CSL_CITATION {"citationItems":[{"id":"ITEM-1","itemData":{"URL":"https://www.fda.gov/about-fda/oncology-center-excellence/project-patient-voice","author":[{"dropping-particle":"","family":"FDA","given":"","non-dropping-particle":"","parse-names":false,"suffix":""}],"id":"ITEM-1","issued":{"date-parts":[["0"]]},"title":"FDA Project Patient Voice","type":"webpage"},"uris":["http://www.mendeley.com/documents/?uuid=bfafceb8-cd17-4579-af86-72d2054b3462"]}],"mendeley":{"formattedCitation":"&lt;sup&gt;29&lt;/sup&gt;","plainTextFormattedCitation":"29","previouslyFormattedCitation":"&lt;sup&gt;29&lt;/sup&gt;"},"properties":{"noteIndex":0},"schema":"https://github.com/citation-style-language/schema/raw/master/csl-citation.json"}</w:instrText>
      </w:r>
      <w:r w:rsidR="004405FA" w:rsidRPr="00E14F7D">
        <w:rPr>
          <w:rFonts w:ascii="Times New Roman" w:hAnsi="Times New Roman" w:cs="Times New Roman"/>
        </w:rPr>
        <w:fldChar w:fldCharType="separate"/>
      </w:r>
      <w:r w:rsidR="00401A53" w:rsidRPr="00401A53">
        <w:rPr>
          <w:rFonts w:ascii="Times New Roman" w:hAnsi="Times New Roman" w:cs="Times New Roman"/>
          <w:noProof/>
          <w:vertAlign w:val="superscript"/>
        </w:rPr>
        <w:t>29</w:t>
      </w:r>
      <w:r w:rsidR="004405FA" w:rsidRPr="00E14F7D">
        <w:rPr>
          <w:rFonts w:ascii="Times New Roman" w:hAnsi="Times New Roman" w:cs="Times New Roman"/>
        </w:rPr>
        <w:fldChar w:fldCharType="end"/>
      </w:r>
      <w:r w:rsidRPr="00E14F7D">
        <w:rPr>
          <w:rFonts w:ascii="Times New Roman" w:hAnsi="Times New Roman" w:cs="Times New Roman"/>
        </w:rPr>
        <w:t xml:space="preserve"> </w:t>
      </w:r>
      <w:r w:rsidR="000A1BBE" w:rsidRPr="00E14F7D">
        <w:rPr>
          <w:rFonts w:ascii="Times New Roman" w:hAnsi="Times New Roman" w:cs="Times New Roman"/>
        </w:rPr>
        <w:t xml:space="preserve">Investigator brochures and existing drug labelling (if applicable) can serve as valuable sources of safety information. </w:t>
      </w:r>
      <w:r w:rsidRPr="00E14F7D">
        <w:rPr>
          <w:rFonts w:ascii="Times New Roman" w:hAnsi="Times New Roman" w:cs="Times New Roman"/>
        </w:rPr>
        <w:t>Registries maintained by patient advocacy organisations may also highlight important issues.</w:t>
      </w:r>
    </w:p>
    <w:p w14:paraId="3E69FFC6" w14:textId="04D14B2E" w:rsidR="004405FA" w:rsidRPr="00E14F7D" w:rsidRDefault="229642BE" w:rsidP="00AF0675">
      <w:pPr>
        <w:spacing w:line="360" w:lineRule="auto"/>
        <w:rPr>
          <w:rFonts w:ascii="Times New Roman" w:hAnsi="Times New Roman" w:cs="Times New Roman"/>
        </w:rPr>
      </w:pPr>
      <w:r w:rsidRPr="00E14F7D">
        <w:rPr>
          <w:rFonts w:ascii="Times New Roman" w:hAnsi="Times New Roman" w:cs="Times New Roman"/>
          <w:u w:val="single"/>
        </w:rPr>
        <w:t>Retrospective chart reviews.</w:t>
      </w:r>
      <w:r w:rsidRPr="00E14F7D">
        <w:rPr>
          <w:rFonts w:ascii="Times New Roman" w:hAnsi="Times New Roman" w:cs="Times New Roman"/>
        </w:rPr>
        <w:t xml:space="preserve"> In cases where data are available from prior trials involving human subjects, retrospective chart reviews can be carried out to identify concepts of interest.</w:t>
      </w:r>
    </w:p>
    <w:p w14:paraId="218611ED" w14:textId="68AFE0BE" w:rsidR="00C12FC5" w:rsidRPr="00E14F7D" w:rsidRDefault="7EFBCF47" w:rsidP="00AF0675">
      <w:pPr>
        <w:spacing w:line="360" w:lineRule="auto"/>
        <w:rPr>
          <w:rFonts w:ascii="Times New Roman" w:hAnsi="Times New Roman" w:cs="Times New Roman"/>
        </w:rPr>
      </w:pPr>
      <w:r w:rsidRPr="00E14F7D">
        <w:rPr>
          <w:rFonts w:ascii="Times New Roman" w:hAnsi="Times New Roman" w:cs="Times New Roman"/>
        </w:rPr>
        <w:t>The symptoms and HRQOL issues identified using these</w:t>
      </w:r>
      <w:r w:rsidR="00070CCF" w:rsidRPr="00E14F7D">
        <w:rPr>
          <w:rFonts w:ascii="Times New Roman" w:hAnsi="Times New Roman" w:cs="Times New Roman"/>
        </w:rPr>
        <w:t xml:space="preserve"> various</w:t>
      </w:r>
      <w:r w:rsidRPr="00E14F7D">
        <w:rPr>
          <w:rFonts w:ascii="Times New Roman" w:hAnsi="Times New Roman" w:cs="Times New Roman"/>
        </w:rPr>
        <w:t xml:space="preserve"> approaches can then inform the selection of relevant items. </w:t>
      </w:r>
      <w:bookmarkStart w:id="3" w:name="_Hlk98345072"/>
    </w:p>
    <w:bookmarkEnd w:id="3"/>
    <w:p w14:paraId="15CDA18C" w14:textId="50CE35C3" w:rsidR="005602C7" w:rsidRPr="00E14F7D" w:rsidRDefault="294B4561" w:rsidP="00AF0675">
      <w:pPr>
        <w:spacing w:line="360" w:lineRule="auto"/>
        <w:rPr>
          <w:rFonts w:ascii="Times New Roman" w:hAnsi="Times New Roman" w:cs="Times New Roman"/>
        </w:rPr>
      </w:pPr>
      <w:r w:rsidRPr="00E14F7D">
        <w:rPr>
          <w:rFonts w:ascii="Times New Roman" w:hAnsi="Times New Roman" w:cs="Times New Roman"/>
          <w:u w:val="single"/>
        </w:rPr>
        <w:lastRenderedPageBreak/>
        <w:t>Specifications for interventional research: early phase trials.</w:t>
      </w:r>
      <w:r w:rsidRPr="00E14F7D">
        <w:rPr>
          <w:rFonts w:ascii="Times New Roman" w:hAnsi="Times New Roman" w:cs="Times New Roman"/>
        </w:rPr>
        <w:t xml:space="preserve"> In addition to the above-mentioned examples, during early phase (I/II) trials, prior phase I studies and data from compounds using the same mechanism of action should be considered. Symptomatic AEs associated with the most common treatments for the disease, those identified by multi-stakeholder groups, and those that are known to be relevant and burdensome to patients should be considered</w:t>
      </w:r>
      <w:r w:rsidR="006D5821" w:rsidRPr="00E14F7D">
        <w:rPr>
          <w:rFonts w:ascii="Times New Roman" w:hAnsi="Times New Roman" w:cs="Times New Roman"/>
        </w:rPr>
        <w:t>.</w:t>
      </w:r>
      <w:r w:rsidR="00520189" w:rsidRPr="00E14F7D">
        <w:rPr>
          <w:rFonts w:ascii="Times New Roman" w:hAnsi="Times New Roman" w:cs="Times New Roman"/>
        </w:rPr>
        <w:t xml:space="preserve"> </w:t>
      </w:r>
      <w:r w:rsidR="00520189" w:rsidRPr="00E14F7D">
        <w:rPr>
          <w:rFonts w:ascii="Times New Roman" w:hAnsi="Times New Roman" w:cs="Times New Roman"/>
        </w:rPr>
        <w:fldChar w:fldCharType="begin" w:fldLock="1"/>
      </w:r>
      <w:r w:rsidR="00350920">
        <w:rPr>
          <w:rFonts w:ascii="Times New Roman" w:hAnsi="Times New Roman" w:cs="Times New Roman"/>
        </w:rPr>
        <w:instrText>ADDIN CSL_CITATION {"citationItems":[{"id":"ITEM-1","itemData":{"DOI":"10.1038/s41591-021-01648-4","ISSN":"1546170X","PMID":"35039659","author":[{"dropping-particle":"","family":"Retzer","given":"Ameeta","non-dropping-particle":"","parse-names":false,"suffix":""},{"dropping-particle":"","family":"Aiyegbusi","given":"Olalekan Lee","non-dropping-particle":"","parse-names":false,"suffix":""},{"dropping-particle":"","family":"Rowe","given":"Anna","non-dropping-particle":"","parse-names":false,"suffix":""},{"dropping-particle":"","family":"Newsome","given":"Philip N.","non-dropping-particle":"","parse-names":false,"suffix":""},{"dropping-particle":"","family":"Douglas-Pugh","given":"Jessica","non-dropping-particle":"","parse-names":false,"suffix":""},{"dropping-particle":"","family":"Khan","given":"Sheeba","non-dropping-particle":"","parse-names":false,"suffix":""},{"dropping-particle":"","family":"Mittal","given":"Saloni","non-dropping-particle":"","parse-names":false,"suffix":""},{"dropping-particle":"","family":"Wilson","given":"Roger","non-dropping-particle":"","parse-names":false,"suffix":""},{"dropping-particle":"","family":"O’Connor","given":"Daniel","non-dropping-particle":"","parse-names":false,"suffix":""},{"dropping-particle":"","family":"Campbell","given":"Lisa","non-dropping-particle":"","parse-names":false,"suffix":""},{"dropping-particle":"","family":"Mitchell","given":"Sandra A.","non-dropping-particle":"","parse-names":false,"suffix":""},{"dropping-particle":"","family":"Calvert","given":"Melanie","non-dropping-particle":"","parse-names":false,"suffix":""}],"container-title":"Nature Medicine","id":"ITEM-1","issued":{"date-parts":[["2022"]]},"title":"The value of patient-reported outcomes in early-phase clinical trials","type":"article"},"uris":["http://www.mendeley.com/documents/?uuid=e006f8b8-2d01-4617-8e06-1cb77542e5ed"]}],"mendeley":{"formattedCitation":"&lt;sup&gt;30&lt;/sup&gt;","plainTextFormattedCitation":"30","previouslyFormattedCitation":"&lt;sup&gt;30&lt;/sup&gt;"},"properties":{"noteIndex":0},"schema":"https://github.com/citation-style-language/schema/raw/master/csl-citation.json"}</w:instrText>
      </w:r>
      <w:r w:rsidR="00520189" w:rsidRPr="00E14F7D">
        <w:rPr>
          <w:rFonts w:ascii="Times New Roman" w:hAnsi="Times New Roman" w:cs="Times New Roman"/>
        </w:rPr>
        <w:fldChar w:fldCharType="separate"/>
      </w:r>
      <w:r w:rsidR="00401A53" w:rsidRPr="00401A53">
        <w:rPr>
          <w:rFonts w:ascii="Times New Roman" w:hAnsi="Times New Roman" w:cs="Times New Roman"/>
          <w:noProof/>
          <w:vertAlign w:val="superscript"/>
        </w:rPr>
        <w:t>30</w:t>
      </w:r>
      <w:r w:rsidR="00520189" w:rsidRPr="00E14F7D">
        <w:rPr>
          <w:rFonts w:ascii="Times New Roman" w:hAnsi="Times New Roman" w:cs="Times New Roman"/>
        </w:rPr>
        <w:fldChar w:fldCharType="end"/>
      </w:r>
      <w:r w:rsidRPr="00E14F7D">
        <w:rPr>
          <w:rFonts w:ascii="Times New Roman" w:hAnsi="Times New Roman" w:cs="Times New Roman"/>
        </w:rPr>
        <w:t xml:space="preserve"> Where available, the use of preclinical data may also be relevant. </w:t>
      </w:r>
      <w:r w:rsidR="00701631" w:rsidRPr="00E14F7D">
        <w:rPr>
          <w:rFonts w:ascii="Times New Roman" w:hAnsi="Times New Roman" w:cs="Times New Roman"/>
        </w:rPr>
        <w:t>The</w:t>
      </w:r>
      <w:r w:rsidRPr="00E14F7D">
        <w:rPr>
          <w:rFonts w:ascii="Times New Roman" w:hAnsi="Times New Roman" w:cs="Times New Roman"/>
        </w:rPr>
        <w:t xml:space="preserve"> use of free text reporting may help to capture unexpected</w:t>
      </w:r>
      <w:r w:rsidR="00E93774" w:rsidRPr="00E14F7D">
        <w:rPr>
          <w:rFonts w:ascii="Times New Roman" w:hAnsi="Times New Roman" w:cs="Times New Roman"/>
        </w:rPr>
        <w:t xml:space="preserve"> or previously unidentified symptomatic</w:t>
      </w:r>
      <w:r w:rsidRPr="00E14F7D">
        <w:rPr>
          <w:rFonts w:ascii="Times New Roman" w:hAnsi="Times New Roman" w:cs="Times New Roman"/>
        </w:rPr>
        <w:t xml:space="preserve"> AEs</w:t>
      </w:r>
      <w:r w:rsidR="006D5821" w:rsidRPr="00E14F7D">
        <w:rPr>
          <w:rFonts w:ascii="Times New Roman" w:hAnsi="Times New Roman" w:cs="Times New Roman"/>
        </w:rPr>
        <w:t>.</w:t>
      </w:r>
      <w:r w:rsidRPr="00E14F7D">
        <w:rPr>
          <w:rFonts w:ascii="Times New Roman" w:hAnsi="Times New Roman" w:cs="Times New Roman"/>
        </w:rPr>
        <w:t xml:space="preserve"> </w:t>
      </w:r>
      <w:r w:rsidR="7EFBCF47" w:rsidRPr="00E14F7D">
        <w:rPr>
          <w:rFonts w:ascii="Times New Roman" w:hAnsi="Times New Roman" w:cs="Times New Roman"/>
        </w:rPr>
        <w:fldChar w:fldCharType="begin" w:fldLock="1"/>
      </w:r>
      <w:r w:rsidR="00350920">
        <w:rPr>
          <w:rFonts w:ascii="Times New Roman" w:hAnsi="Times New Roman" w:cs="Times New Roman"/>
        </w:rPr>
        <w:instrText>ADDIN CSL_CITATION {"citationItems":[{"id":"ITEM-1","itemData":{"DOI":"10.1177/1740774518799985","ISSN":"17407753","abstract":"As new cancer treatment regimens demonstrate increased potential to improve patients’ survival, more focus is directed toward the quality of that extension of life and to obtaining additional information from patients regarding their experience with treatment. The utility of capturing patient-reported treatment-related symptoms to complement traditional clinician-rated symptomatic adverse event reporting is well-documented. The National Cancer Institute’s Patient-Reported Outcomes version of the Common Terminology Criteria for Adverse Events is an item library aimed at capturing patient-reported symptoms to inform the patient perspective on a treatment’s tolerability. The U.S. Food and Drug Administration has recommended using the Patient-Reported Outcomes version of the Common Terminology Criteria for Adverse Events in clinical trials. A practical guideline is needed to inform a priori selection of specific Patient-Reported Outcomes version of the Common Terminology Criteria for Adverse Events items for use in any given industry-sponsored oncology clinical trial. Standardizing this selection process will foster systematic and consistent data collection as part of drug development and enhance our knowledge on how to use patient-relevant information as part of a treatment’s risk/benefit assessment. This article presents methods and consensus recommendations for selecting specific Patient-Reported Outcomes version of the Common Terminology Criteria for Adverse Events items to include in early-phase and late-phase oncology clinical trials.","author":[{"dropping-particle":"","family":"Trask","given":"Peter C.","non-dropping-particle":"","parse-names":false,"suffix":""},{"dropping-particle":"","family":"Dueck","given":"Amylou C.","non-dropping-particle":"","parse-names":false,"suffix":""},{"dropping-particle":"","family":"Piault","given":"Elisabeth","non-dropping-particle":"","parse-names":false,"suffix":""},{"dropping-particle":"","family":"Campbell","given":"Alicyn","non-dropping-particle":"","parse-names":false,"suffix":""}],"container-title":"Clinical Trials","id":"ITEM-1","issue":"6","issued":{"date-parts":[["2018"]]},"page":"616-623","title":"Patient-Reported Outcomes version of the Common Terminology Criteria for Adverse Events: Methods for item selection in industry-sponsored oncology clinical trials","type":"article-journal","volume":"15"},"uris":["http://www.mendeley.com/documents/?uuid=f69f5dd4-b4d2-45c3-9c53-eaa2bbcbedbf"]}],"mendeley":{"formattedCitation":"&lt;sup&gt;31&lt;/sup&gt;","plainTextFormattedCitation":"31","previouslyFormattedCitation":"&lt;sup&gt;31&lt;/sup&gt;"},"properties":{"noteIndex":0},"schema":"https://github.com/citation-style-language/schema/raw/master/csl-citation.json"}</w:instrText>
      </w:r>
      <w:r w:rsidR="7EFBCF47" w:rsidRPr="00E14F7D">
        <w:rPr>
          <w:rFonts w:ascii="Times New Roman" w:hAnsi="Times New Roman" w:cs="Times New Roman"/>
        </w:rPr>
        <w:fldChar w:fldCharType="separate"/>
      </w:r>
      <w:r w:rsidR="00401A53" w:rsidRPr="00401A53">
        <w:rPr>
          <w:rFonts w:ascii="Times New Roman" w:hAnsi="Times New Roman" w:cs="Times New Roman"/>
          <w:noProof/>
          <w:vertAlign w:val="superscript"/>
        </w:rPr>
        <w:t>31</w:t>
      </w:r>
      <w:r w:rsidR="7EFBCF47" w:rsidRPr="00E14F7D">
        <w:rPr>
          <w:rFonts w:ascii="Times New Roman" w:hAnsi="Times New Roman" w:cs="Times New Roman"/>
        </w:rPr>
        <w:fldChar w:fldCharType="end"/>
      </w:r>
      <w:r w:rsidRPr="00E14F7D">
        <w:rPr>
          <w:rFonts w:ascii="Times New Roman" w:hAnsi="Times New Roman" w:cs="Times New Roman"/>
        </w:rPr>
        <w:t xml:space="preserve"> Moreover, at this stage, a broader set of items may be needed to help capture the range of possible symptomatic AEs and issues. It is also important to consider symptomatic AEs which may be specifically linked to the mode of treatment administration (e.g., injection)</w:t>
      </w:r>
      <w:r w:rsidR="006D5821" w:rsidRPr="00E14F7D">
        <w:rPr>
          <w:rFonts w:ascii="Times New Roman" w:hAnsi="Times New Roman" w:cs="Times New Roman"/>
        </w:rPr>
        <w:t>.</w:t>
      </w:r>
      <w:r w:rsidRPr="00E14F7D">
        <w:rPr>
          <w:rFonts w:ascii="Times New Roman" w:hAnsi="Times New Roman" w:cs="Times New Roman"/>
        </w:rPr>
        <w:t xml:space="preserve"> </w:t>
      </w:r>
      <w:r w:rsidR="7EFBCF47" w:rsidRPr="00E14F7D">
        <w:rPr>
          <w:rFonts w:ascii="Times New Roman" w:hAnsi="Times New Roman" w:cs="Times New Roman"/>
        </w:rPr>
        <w:fldChar w:fldCharType="begin" w:fldLock="1"/>
      </w:r>
      <w:r w:rsidR="00350920">
        <w:rPr>
          <w:rFonts w:ascii="Times New Roman" w:hAnsi="Times New Roman" w:cs="Times New Roman"/>
        </w:rPr>
        <w:instrText>ADDIN CSL_CITATION {"citationItems":[{"id":"ITEM-1","itemData":{"DOI":"10.1634/theoncologist.2018-0332","ISSN":"1083-7159","PMID":"30728278","abstract":"© AlphaMed Press 2019 The patient-reported outcomes version of the Common Terminology Criteria for Adverse Events (PRO-CTCAE) complements capture of symptomatic adverse events (AEs) by clinicians. Previous trials have typically used a limited subset of relevant symptomatic AEs to reduce patient burden. We aimed to determine the feasibility of administering all 80 AEs included in the PRO-CTCAE library by approaching consecutive patients enrolled in a large academic phase I program at three points in time. Here, we report a preplanned analysis after enrolling the first 20 patients. All items were answered on 51 of 56 potential visits (adherence 91%). Three (5%) additional PRO-CTCAE assessments were partially completed, and two (4%) were missed because of conflicting appointments. No patient withdrew consent or chose not to complete the assessments once enrolled on study. Future trials of experimental drugs that incorporate the PRO-CTCAE should consider using this unselected approach to identify adverse events more completely.","author":[{"dropping-particle":"","family":"Shepshelovich","given":"Daniel","non-dropping-particle":"","parse-names":false,"suffix":""},{"dropping-particle":"","family":"McDonald","given":"Kate","non-dropping-particle":"","parse-names":false,"suffix":""},{"dropping-particle":"","family":"Spreafico","given":"Anna","non-dropping-particle":"","parse-names":false,"suffix":""},{"dropping-particle":"","family":"Razak","given":"Albiruni R.A.","non-dropping-particle":"","parse-names":false,"suffix":""},{"dropping-particle":"","family":"Bedard","given":"Philippe L.","non-dropping-particle":"","parse-names":false,"suffix":""},{"dropping-particle":"","family":"Siu","given":"Lillian L.","non-dropping-particle":"","parse-names":false,"suffix":""},{"dropping-particle":"","family":"Minasian","given":"Lori","non-dropping-particle":"","parse-names":false,"suffix":""},{"dropping-particle":"","family":"Hansen","given":"Aaron R.","non-dropping-particle":"","parse-names":false,"suffix":""}],"container-title":"The Oncologist","id":"ITEM-1","issued":{"date-parts":[["2019"]]},"title":"Feasibility Assessment of Using the Complete Patient‐Reported Outcomes Version of the Common Terminology Criteria for Adverse Events (PRO‐CTCAE) Item Library","type":"article-journal"},"uris":["http://www.mendeley.com/documents/?uuid=7ff97d9b-e369-4ef7-ba3f-aec7e6f7d327"]}],"mendeley":{"formattedCitation":"&lt;sup&gt;32&lt;/sup&gt;","plainTextFormattedCitation":"32","previouslyFormattedCitation":"&lt;sup&gt;32&lt;/sup&gt;"},"properties":{"noteIndex":0},"schema":"https://github.com/citation-style-language/schema/raw/master/csl-citation.json"}</w:instrText>
      </w:r>
      <w:r w:rsidR="7EFBCF47" w:rsidRPr="00E14F7D">
        <w:rPr>
          <w:rFonts w:ascii="Times New Roman" w:hAnsi="Times New Roman" w:cs="Times New Roman"/>
        </w:rPr>
        <w:fldChar w:fldCharType="separate"/>
      </w:r>
      <w:r w:rsidR="00401A53" w:rsidRPr="00401A53">
        <w:rPr>
          <w:rFonts w:ascii="Times New Roman" w:hAnsi="Times New Roman" w:cs="Times New Roman"/>
          <w:noProof/>
          <w:vertAlign w:val="superscript"/>
        </w:rPr>
        <w:t>32</w:t>
      </w:r>
      <w:r w:rsidR="7EFBCF47" w:rsidRPr="00E14F7D">
        <w:rPr>
          <w:rFonts w:ascii="Times New Roman" w:hAnsi="Times New Roman" w:cs="Times New Roman"/>
        </w:rPr>
        <w:fldChar w:fldCharType="end"/>
      </w:r>
    </w:p>
    <w:p w14:paraId="5CFC9ED3" w14:textId="2F3CF041" w:rsidR="00D0246E" w:rsidRPr="00E14F7D" w:rsidRDefault="762EE3AF" w:rsidP="00AF0675">
      <w:pPr>
        <w:spacing w:line="360" w:lineRule="auto"/>
        <w:rPr>
          <w:rFonts w:ascii="Times New Roman" w:hAnsi="Times New Roman" w:cs="Times New Roman"/>
        </w:rPr>
      </w:pPr>
      <w:r w:rsidRPr="00E14F7D">
        <w:rPr>
          <w:rFonts w:ascii="Times New Roman" w:hAnsi="Times New Roman" w:cs="Times New Roman"/>
          <w:u w:val="single"/>
        </w:rPr>
        <w:t>Specification for interventional research: late phase trials</w:t>
      </w:r>
      <w:r w:rsidRPr="00E14F7D">
        <w:rPr>
          <w:rFonts w:ascii="Times New Roman" w:hAnsi="Times New Roman" w:cs="Times New Roman"/>
        </w:rPr>
        <w:t xml:space="preserve">. During late phase trials (III/IV), inclusion of symptomatic AEs, disease-related symptoms, and HRQOL issues identified during earlier phase trials is recommended. Consultation of investigator brochures and recommendations derived from multi-stakeholder groups may also be considered. During these stages, assessment of overall impact and burden of symptomatic AEs is advised. As in </w:t>
      </w:r>
      <w:r w:rsidR="00095D75" w:rsidRPr="00E14F7D">
        <w:rPr>
          <w:rFonts w:ascii="Times New Roman" w:hAnsi="Times New Roman" w:cs="Times New Roman"/>
        </w:rPr>
        <w:t xml:space="preserve">early </w:t>
      </w:r>
      <w:r w:rsidRPr="00E14F7D">
        <w:rPr>
          <w:rFonts w:ascii="Times New Roman" w:hAnsi="Times New Roman" w:cs="Times New Roman"/>
        </w:rPr>
        <w:t>phase research, the use of free text reporting</w:t>
      </w:r>
      <w:r w:rsidR="00DF2C94" w:rsidRPr="00E14F7D">
        <w:rPr>
          <w:rFonts w:ascii="Times New Roman" w:hAnsi="Times New Roman" w:cs="Times New Roman"/>
        </w:rPr>
        <w:t xml:space="preserve"> may be considered</w:t>
      </w:r>
      <w:r w:rsidRPr="00E14F7D">
        <w:rPr>
          <w:rFonts w:ascii="Times New Roman" w:hAnsi="Times New Roman" w:cs="Times New Roman"/>
        </w:rPr>
        <w:t xml:space="preserve">. For trials that may be submitted to regulatory agencies, it is important to take available regulatory guidance into account (e.g., </w:t>
      </w:r>
      <w:r w:rsidR="00CE6224">
        <w:rPr>
          <w:rFonts w:ascii="Times New Roman" w:hAnsi="Times New Roman" w:cs="Times New Roman"/>
        </w:rPr>
        <w:fldChar w:fldCharType="begin" w:fldLock="1"/>
      </w:r>
      <w:r w:rsidR="00350920">
        <w:rPr>
          <w:rFonts w:ascii="Times New Roman" w:hAnsi="Times New Roman" w:cs="Times New Roman"/>
        </w:rPr>
        <w:instrText>ADDIN CSL_CITATION {"citationItems":[{"id":"ITEM-1","itemData":{"author":[{"dropping-particle":"","family":"FDA","given":"","non-dropping-particle":"","parse-names":false,"suffix":""}],"id":"ITEM-1","issue":"June 2021","issued":{"date-parts":[["2021"]]},"title":"Core Patient-Reported Outcomes in Cancer Clinical Trials Guidance for Industry DRAFT GUIDANCE","type":"article-journal"},"uris":["http://www.mendeley.com/documents/?uuid=0e21d377-8840-4acc-9968-f8b2a6923e54"]},{"id":"ITEM-2","itemData":{"URL":"https://www.ema.europa.eu/en/documents/other/appendix-2-guideline-evaluation-anticancer-medicinal-products-man_en.pdf","accessed":{"date-parts":[["2021","11","4"]]},"author":[{"dropping-particle":"","family":"European Medicines Agency Committee for Medicinal Products for Human Use (CHMP)","given":"","non-dropping-particle":"","parse-names":false,"suffix":""}],"id":"ITEM-2","issued":{"date-parts":[["2016"]]},"title":"Appendix 2 to the guideline on the evaluation of anticancer medicinal products in man: The use of patient-reported outcome (PRO) measures in oncology studies","type":"webpage"},"uris":["http://www.mendeley.com/documents/?uuid=1d372be5-99a6-477b-9282-c099a2d860cf"]}],"mendeley":{"formattedCitation":"&lt;sup&gt;33,34&lt;/sup&gt;","plainTextFormattedCitation":"33,34","previouslyFormattedCitation":"&lt;sup&gt;33,34&lt;/sup&gt;"},"properties":{"noteIndex":0},"schema":"https://github.com/citation-style-language/schema/raw/master/csl-citation.json"}</w:instrText>
      </w:r>
      <w:r w:rsidR="00CE6224">
        <w:rPr>
          <w:rFonts w:ascii="Times New Roman" w:hAnsi="Times New Roman" w:cs="Times New Roman"/>
        </w:rPr>
        <w:fldChar w:fldCharType="separate"/>
      </w:r>
      <w:r w:rsidR="00401A53" w:rsidRPr="00401A53">
        <w:rPr>
          <w:rFonts w:ascii="Times New Roman" w:hAnsi="Times New Roman" w:cs="Times New Roman"/>
          <w:noProof/>
          <w:vertAlign w:val="superscript"/>
        </w:rPr>
        <w:t>33,34</w:t>
      </w:r>
      <w:r w:rsidR="00CE6224">
        <w:rPr>
          <w:rFonts w:ascii="Times New Roman" w:hAnsi="Times New Roman" w:cs="Times New Roman"/>
        </w:rPr>
        <w:fldChar w:fldCharType="end"/>
      </w:r>
      <w:r w:rsidRPr="00E14F7D">
        <w:rPr>
          <w:rFonts w:ascii="Times New Roman" w:hAnsi="Times New Roman" w:cs="Times New Roman"/>
        </w:rPr>
        <w:t>) and to consider engaging with regulators</w:t>
      </w:r>
      <w:r w:rsidR="00A76B2B" w:rsidRPr="00E14F7D">
        <w:rPr>
          <w:rFonts w:ascii="Times New Roman" w:hAnsi="Times New Roman" w:cs="Times New Roman"/>
        </w:rPr>
        <w:t xml:space="preserve"> </w:t>
      </w:r>
      <w:r w:rsidR="00AC7A55" w:rsidRPr="00E14F7D">
        <w:rPr>
          <w:rFonts w:ascii="Times New Roman" w:hAnsi="Times New Roman" w:cs="Times New Roman"/>
        </w:rPr>
        <w:t>in</w:t>
      </w:r>
      <w:r w:rsidRPr="00E14F7D">
        <w:rPr>
          <w:rFonts w:ascii="Times New Roman" w:hAnsi="Times New Roman" w:cs="Times New Roman"/>
        </w:rPr>
        <w:t xml:space="preserve"> seeking scientific </w:t>
      </w:r>
      <w:r w:rsidR="00A76B2B" w:rsidRPr="00E14F7D">
        <w:rPr>
          <w:rFonts w:ascii="Times New Roman" w:hAnsi="Times New Roman" w:cs="Times New Roman"/>
        </w:rPr>
        <w:t>input</w:t>
      </w:r>
      <w:r w:rsidRPr="00E14F7D">
        <w:rPr>
          <w:rFonts w:ascii="Times New Roman" w:hAnsi="Times New Roman" w:cs="Times New Roman"/>
        </w:rPr>
        <w:t xml:space="preserve"> on item library</w:t>
      </w:r>
      <w:r w:rsidR="00A76B2B" w:rsidRPr="00E14F7D">
        <w:rPr>
          <w:rFonts w:ascii="Times New Roman" w:hAnsi="Times New Roman" w:cs="Times New Roman"/>
        </w:rPr>
        <w:t xml:space="preserve"> use</w:t>
      </w:r>
      <w:r w:rsidRPr="00E14F7D">
        <w:rPr>
          <w:rFonts w:ascii="Times New Roman" w:hAnsi="Times New Roman" w:cs="Times New Roman"/>
        </w:rPr>
        <w:t xml:space="preserve"> </w:t>
      </w:r>
      <w:r w:rsidR="00DF2C94" w:rsidRPr="00E14F7D">
        <w:rPr>
          <w:rFonts w:ascii="Times New Roman" w:hAnsi="Times New Roman" w:cs="Times New Roman"/>
        </w:rPr>
        <w:t>for the</w:t>
      </w:r>
      <w:r w:rsidRPr="00E14F7D">
        <w:rPr>
          <w:rFonts w:ascii="Times New Roman" w:hAnsi="Times New Roman" w:cs="Times New Roman"/>
        </w:rPr>
        <w:t xml:space="preserve"> concerned trial. </w:t>
      </w:r>
    </w:p>
    <w:p w14:paraId="19EE14B0" w14:textId="07A69255" w:rsidR="00724EEA" w:rsidRPr="00E14F7D" w:rsidRDefault="7EFBCF47" w:rsidP="00E14F7D">
      <w:pPr>
        <w:pStyle w:val="ListParagraph"/>
        <w:numPr>
          <w:ilvl w:val="0"/>
          <w:numId w:val="7"/>
        </w:numPr>
        <w:spacing w:line="240" w:lineRule="auto"/>
        <w:rPr>
          <w:rFonts w:ascii="Times New Roman" w:hAnsi="Times New Roman" w:cs="Times New Roman"/>
          <w:i/>
          <w:iCs/>
        </w:rPr>
      </w:pPr>
      <w:r w:rsidRPr="00E14F7D">
        <w:rPr>
          <w:rFonts w:ascii="Times New Roman" w:hAnsi="Times New Roman" w:cs="Times New Roman"/>
          <w:i/>
          <w:iCs/>
        </w:rPr>
        <w:t>When should single items vs. multi-item scales be used and what are the benefits and limitations of both?</w:t>
      </w:r>
    </w:p>
    <w:p w14:paraId="602C8874" w14:textId="0C695304" w:rsidR="00F6786F" w:rsidRPr="00E14F7D" w:rsidRDefault="7EF6502E" w:rsidP="008D1A96">
      <w:pPr>
        <w:spacing w:line="360" w:lineRule="auto"/>
        <w:rPr>
          <w:rFonts w:ascii="Times New Roman" w:hAnsi="Times New Roman" w:cs="Times New Roman"/>
        </w:rPr>
      </w:pPr>
      <w:r w:rsidRPr="00E14F7D">
        <w:rPr>
          <w:rFonts w:ascii="Times New Roman" w:hAnsi="Times New Roman" w:cs="Times New Roman"/>
        </w:rPr>
        <w:t xml:space="preserve">When it comes to psychometric properties, there is </w:t>
      </w:r>
      <w:r w:rsidR="00EB2159" w:rsidRPr="00E14F7D">
        <w:rPr>
          <w:rFonts w:ascii="Times New Roman" w:hAnsi="Times New Roman" w:cs="Times New Roman"/>
        </w:rPr>
        <w:t>considerable</w:t>
      </w:r>
      <w:r w:rsidRPr="00E14F7D">
        <w:rPr>
          <w:rFonts w:ascii="Times New Roman" w:hAnsi="Times New Roman" w:cs="Times New Roman"/>
        </w:rPr>
        <w:t xml:space="preserve"> evidence suggesting that multi-item scales generally outperform single items</w:t>
      </w:r>
      <w:bookmarkStart w:id="4" w:name="_Hlk98238864"/>
      <w:r w:rsidRPr="00E14F7D">
        <w:rPr>
          <w:rFonts w:ascii="Times New Roman" w:hAnsi="Times New Roman" w:cs="Times New Roman"/>
        </w:rPr>
        <w:t xml:space="preserve">. </w:t>
      </w:r>
      <w:bookmarkEnd w:id="4"/>
      <w:r w:rsidRPr="00E14F7D">
        <w:rPr>
          <w:rFonts w:ascii="Times New Roman" w:hAnsi="Times New Roman" w:cs="Times New Roman"/>
        </w:rPr>
        <w:t>In general, multi-item scales have a higher level of precision and are more informative</w:t>
      </w:r>
      <w:r w:rsidR="006D5821" w:rsidRPr="00E14F7D">
        <w:rPr>
          <w:rFonts w:ascii="Times New Roman" w:hAnsi="Times New Roman" w:cs="Times New Roman"/>
        </w:rPr>
        <w:t>.</w:t>
      </w:r>
      <w:r w:rsidR="00E1686A" w:rsidRPr="00E14F7D">
        <w:rPr>
          <w:rFonts w:ascii="Times New Roman" w:hAnsi="Times New Roman" w:cs="Times New Roman"/>
        </w:rPr>
        <w:t xml:space="preserve"> </w:t>
      </w:r>
      <w:r w:rsidR="00CE6224">
        <w:rPr>
          <w:rFonts w:ascii="Times New Roman" w:hAnsi="Times New Roman" w:cs="Times New Roman"/>
        </w:rPr>
        <w:fldChar w:fldCharType="begin" w:fldLock="1"/>
      </w:r>
      <w:r w:rsidR="00350920">
        <w:rPr>
          <w:rFonts w:ascii="Times New Roman" w:hAnsi="Times New Roman" w:cs="Times New Roman"/>
        </w:rPr>
        <w:instrText>ADDIN CSL_CITATION {"citationItems":[{"id":"ITEM-1","itemData":{"DOI":"10.1007/s11747-011-0300-3","ISSN":"00920703","abstract":"Establishing predictive validity of measures is a major concern in marketing research. This paper investigates the conditions favoring the use of single items versus multi-item scales in terms of predictive validity. A series of complementary studies reveals that the predictive validity of single items varies considerably across different (concrete) constructs and stimuli objects. In an attempt to explain the observed instability, a comprehensive simulation study is conducted aimed at identifying the influence of different factors on the predictive validity of single versus multi-item measures. These include the average inter-item correlations in the predictor and criterion constructs, the number of items measuring these constructs, as well as the correlation patterns of multiple and single items between the predictor and criterion constructs. The simulation results show that, under most conditions typically encountered in practical applications, multi-item scales clearly outperform single items in terms of predictive validity. Only under very specific conditions do single items perform equally well as multi-item scales. Therefore, the use of single-item measures in empirical research should be approached with caution, and the use of such measures should be limited to special circumstances. © 2012 The Author(s).","author":[{"dropping-particle":"","family":"Diamantopoulos","given":"Adamantios","non-dropping-particle":"","parse-names":false,"suffix":""},{"dropping-particle":"","family":"Sarstedt","given":"Marko","non-dropping-particle":"","parse-names":false,"suffix":""},{"dropping-particle":"","family":"Fuchs","given":"Christoph","non-dropping-particle":"","parse-names":false,"suffix":""},{"dropping-particle":"","family":"Wilczynski","given":"Petra","non-dropping-particle":"","parse-names":false,"suffix":""},{"dropping-particle":"","family":"Kaiser","given":"Sebastian","non-dropping-particle":"","parse-names":false,"suffix":""}],"container-title":"Journal of the Academy of Marketing Science","id":"ITEM-1","issued":{"date-parts":[["2012"]]},"title":"Guidelines for choosing between multi-item and single-item scales for construct measurement: A predictive validity perspective","type":"article-journal"},"uris":["http://www.mendeley.com/documents/?uuid=f037c0c0-a373-4f0d-bdd4-aabab385106f"]},{"id":"ITEM-2","itemData":{"DOI":"10.3389/fpubh.2018.00149","ISSN":"22962565","abstract":"Scale development and validation are critical to much of the work in the health, social, and behavioral sciences. However, the constellation of techniques required for scale development and evaluation can be onerous, jargon-filled, unfamiliar, and resource-intensive. Further, it is often not a part of graduate training. Therefore, our goal was to concisely review the process of scale development in as straightforward a manner as possible, both to facilitate the development of new, valid, and reliable scales, and to help improve existing ones. To do this, we have created a primer for best practices for scale development in measuring complex phenomena. This is not a systematic review, but rather the amalgamation of technical literature and lessons learned from our experiences spent creating or adapting a number of scales over the past several decades. We identified three phases that span nine steps. In the first phase, items are generated and the validity of their content is assessed. In the second phase, the scale is constructed. Steps in scale construction include pre-testing the questions, administering the survey, reducing the number of items, and understanding how many factors the scale captures. In the third phase, scale evaluation, the number of dimensions is tested, reliability is tested, and validity is assessed. We have also added examples of best practices to each step. In sum, this primer will equip both scientists and practitioners to understand the ontology and methodology of scale development and validation, thereby facilitating the advancement of our understanding of a range of health, social, and behavioral outcomes.","author":[{"dropping-particle":"","family":"Boateng","given":"Godfred O.","non-dropping-particle":"","parse-names":false,"suffix":""},{"dropping-particle":"","family":"Neilands","given":"Torsten B.","non-dropping-particle":"","parse-names":false,"suffix":""},{"dropping-particle":"","family":"Frongillo","given":"Edward A.","non-dropping-particle":"","parse-names":false,"suffix":""},{"dropping-particle":"","family":"Melgar-Quiñonez","given":"Hugo R.","non-dropping-particle":"","parse-names":false,"suffix":""},{"dropping-particle":"","family":"Young","given":"Sera L.","non-dropping-particle":"","parse-names":false,"suffix":""}],"container-title":"Frontiers in Public Health","id":"ITEM-2","issued":{"date-parts":[["2018"]]},"title":"Best Practices for Developing and Validating Scales for Health, Social, and Behavioral Research: A Primer","type":"article"},"uris":["http://www.mendeley.com/documents/?uuid=faa75aa8-efcb-458e-94ca-4d63c7b186bd"]},{"id":"ITEM-3","itemData":{"author":[{"dropping-particle":"","family":"Fayers","given":"Peter M.","non-dropping-particle":"","parse-names":false,"suffix":""},{"dropping-particle":"","family":"Machin","given":"David","non-dropping-particle":"","parse-names":false,"suffix":""}],"edition":"3rd Ed.","id":"ITEM-3","issued":{"date-parts":[["2016"]]},"publisher":"John Wiley &amp; Sons","title":"Quality of Life: The Assessment, Analysis and Interpretation of Patient-reported Outcomes","type":"book"},"uris":["http://www.mendeley.com/documents/?uuid=a2fa40bc-4968-4af2-b8db-bed278212b2c"]}],"mendeley":{"formattedCitation":"&lt;sup&gt;35–37&lt;/sup&gt;","plainTextFormattedCitation":"35–37","previouslyFormattedCitation":"&lt;sup&gt;35–37&lt;/sup&gt;"},"properties":{"noteIndex":0},"schema":"https://github.com/citation-style-language/schema/raw/master/csl-citation.json"}</w:instrText>
      </w:r>
      <w:r w:rsidR="00CE6224">
        <w:rPr>
          <w:rFonts w:ascii="Times New Roman" w:hAnsi="Times New Roman" w:cs="Times New Roman"/>
        </w:rPr>
        <w:fldChar w:fldCharType="separate"/>
      </w:r>
      <w:r w:rsidR="00401A53" w:rsidRPr="00401A53">
        <w:rPr>
          <w:rFonts w:ascii="Times New Roman" w:hAnsi="Times New Roman" w:cs="Times New Roman"/>
          <w:noProof/>
          <w:vertAlign w:val="superscript"/>
        </w:rPr>
        <w:t>35–37</w:t>
      </w:r>
      <w:r w:rsidR="00CE6224">
        <w:rPr>
          <w:rFonts w:ascii="Times New Roman" w:hAnsi="Times New Roman" w:cs="Times New Roman"/>
        </w:rPr>
        <w:fldChar w:fldCharType="end"/>
      </w:r>
      <w:r w:rsidRPr="00E14F7D">
        <w:rPr>
          <w:rFonts w:ascii="Times New Roman" w:hAnsi="Times New Roman" w:cs="Times New Roman"/>
        </w:rPr>
        <w:t xml:space="preserve"> They tend to demonstrate better reliability and content validity and are less prone to floor/ceiling effects, compared to single items. In cases where a concept is intended to discriminate between patients, a multi-item scale may be better suited to capture differences</w:t>
      </w:r>
      <w:r w:rsidR="006D5821" w:rsidRPr="00E14F7D">
        <w:rPr>
          <w:rFonts w:ascii="Times New Roman" w:hAnsi="Times New Roman" w:cs="Times New Roman"/>
        </w:rPr>
        <w:t>.</w:t>
      </w:r>
      <w:r w:rsidRPr="00E14F7D">
        <w:rPr>
          <w:rFonts w:ascii="Times New Roman" w:hAnsi="Times New Roman" w:cs="Times New Roman"/>
        </w:rPr>
        <w:t xml:space="preserve"> </w:t>
      </w:r>
      <w:r w:rsidR="006D5821" w:rsidRPr="00E14F7D">
        <w:rPr>
          <w:rFonts w:ascii="Times New Roman" w:hAnsi="Times New Roman" w:cs="Times New Roman"/>
        </w:rPr>
        <w:fldChar w:fldCharType="begin" w:fldLock="1"/>
      </w:r>
      <w:r w:rsidR="00350920">
        <w:rPr>
          <w:rFonts w:ascii="Times New Roman" w:hAnsi="Times New Roman" w:cs="Times New Roman"/>
        </w:rPr>
        <w:instrText>ADDIN CSL_CITATION {"citationItems":[{"id":"ITEM-1","itemData":{"DOI":"10.1016/j.jval.2019.04.415","ISSN":"10983015","author":[{"dropping-particle":"","family":"Piccinin","given":"C.","non-dropping-particle":"","parse-names":false,"suffix":""},{"dropping-particle":"","family":"Kulis","given":"D.","non-dropping-particle":"","parse-names":false,"suffix":""},{"dropping-particle":"","family":"Bottomley","given":"A.","non-dropping-particle":"","parse-names":false,"suffix":""},{"dropping-particle":"","family":"Bjordal","given":"K.","non-dropping-particle":"","parse-names":false,"suffix":""},{"dropping-particle":"","family":"Coens","given":"C.","non-dropping-particle":"","parse-names":false,"suffix":""},{"dropping-particle":"","family":"Darlington","given":"A.S.","non-dropping-particle":"","parse-names":false,"suffix":""},{"dropping-particle":"","family":"Johnson","given":"C.D.","non-dropping-particle":"","parse-names":false,"suffix":""},{"dropping-particle":"","family":"Velikova","given":"G.","non-dropping-particle":"","parse-names":false,"suffix":""},{"dropping-particle":"","family":"Grønvold","given":"M.","non-dropping-particle":"","parse-names":false,"suffix":""}],"container-title":"Value in Health","id":"ITEM-1","issued":{"date-parts":[["2019"]]},"title":"PCN296 Development of scientific guidelines for use of the EORTC Item Library in cancer clinical trials","type":"article-journal"},"uris":["http://www.mendeley.com/documents/?uuid=65b81525-6bbe-4933-bde8-a35e733979a8"]},{"id":"ITEM-2","itemData":{"author":[{"dropping-particle":"","family":"Piccinin","given":"Claire","non-dropping-particle":"","parse-names":false,"suffix":""},{"dropping-particle":"","family":"Kuliś","given":"Dagmara","non-dropping-particle":"","parse-names":false,"suffix":""},{"dropping-particle":"","family":"Bottomley","given":"Andrew","non-dropping-particle":"","parse-names":false,"suffix":""},{"dropping-particle":"","family":"Bjordal","given":"Kristin","non-dropping-particle":"","parse-names":false,"suffix":""},{"dropping-particle":"","family":"Coens","given":"Corneel","non-dropping-particle":"","parse-names":false,"suffix":""},{"dropping-particle":"","family":"Darlington","given":"Anne-Sophie","non-dropping-particle":"","parse-names":false,"suffix":""},{"dropping-particle":"","family":"Johnson","given":"Colin","non-dropping-particle":"","parse-names":false,"suffix":""},{"dropping-particle":"","family":"Velikova","given":"Galina","non-dropping-particle":"","parse-names":false,"suffix":""},{"dropping-particle":"","family":"Groenvold","given":"Mogens","non-dropping-particle":"","parse-names":false,"suffix":""}],"edition":"1st Ed.","id":"ITEM-2","issued":{"date-parts":[["2022"]]},"publisher":"EORTC","publisher-place":"Brussels","title":"EORTC Quality of Life Group Item Library User Guidelines","type":"book"},"uris":["http://www.mendeley.com/documents/?uuid=c2ffac46-5781-4e63-a060-ada79f67400b"]}],"mendeley":{"formattedCitation":"&lt;sup&gt;38,39&lt;/sup&gt;","plainTextFormattedCitation":"38,39","previouslyFormattedCitation":"&lt;sup&gt;38,39&lt;/sup&gt;"},"properties":{"noteIndex":0},"schema":"https://github.com/citation-style-language/schema/raw/master/csl-citation.json"}</w:instrText>
      </w:r>
      <w:r w:rsidR="006D5821" w:rsidRPr="00E14F7D">
        <w:rPr>
          <w:rFonts w:ascii="Times New Roman" w:hAnsi="Times New Roman" w:cs="Times New Roman"/>
        </w:rPr>
        <w:fldChar w:fldCharType="separate"/>
      </w:r>
      <w:r w:rsidR="00401A53" w:rsidRPr="00401A53">
        <w:rPr>
          <w:rFonts w:ascii="Times New Roman" w:hAnsi="Times New Roman" w:cs="Times New Roman"/>
          <w:noProof/>
          <w:vertAlign w:val="superscript"/>
        </w:rPr>
        <w:t>38,39</w:t>
      </w:r>
      <w:r w:rsidR="006D5821" w:rsidRPr="00E14F7D">
        <w:rPr>
          <w:rFonts w:ascii="Times New Roman" w:hAnsi="Times New Roman" w:cs="Times New Roman"/>
        </w:rPr>
        <w:fldChar w:fldCharType="end"/>
      </w:r>
      <w:r w:rsidRPr="00E14F7D">
        <w:rPr>
          <w:rFonts w:ascii="Times New Roman" w:hAnsi="Times New Roman" w:cs="Times New Roman"/>
        </w:rPr>
        <w:t xml:space="preserve"> Complex types of functioning and multi-domain concepts (e.g., physical functioning)</w:t>
      </w:r>
      <w:r w:rsidR="00EB2159" w:rsidRPr="00E14F7D">
        <w:rPr>
          <w:rFonts w:ascii="Times New Roman" w:hAnsi="Times New Roman" w:cs="Times New Roman"/>
        </w:rPr>
        <w:t xml:space="preserve"> with different attributes</w:t>
      </w:r>
      <w:r w:rsidRPr="00E14F7D">
        <w:rPr>
          <w:rFonts w:ascii="Times New Roman" w:hAnsi="Times New Roman" w:cs="Times New Roman"/>
        </w:rPr>
        <w:t xml:space="preserve"> generally require several items to ensure content validity, in the form of a multi-item scale</w:t>
      </w:r>
      <w:r w:rsidR="006D5821" w:rsidRPr="00E14F7D">
        <w:rPr>
          <w:rFonts w:ascii="Times New Roman" w:hAnsi="Times New Roman" w:cs="Times New Roman"/>
        </w:rPr>
        <w:t>.</w:t>
      </w:r>
      <w:r w:rsidRPr="00E14F7D">
        <w:rPr>
          <w:rFonts w:ascii="Times New Roman" w:hAnsi="Times New Roman" w:cs="Times New Roman"/>
        </w:rPr>
        <w:t xml:space="preserve"> </w:t>
      </w:r>
      <w:r w:rsidR="005457ED" w:rsidRPr="00E14F7D">
        <w:rPr>
          <w:rFonts w:ascii="Times New Roman" w:hAnsi="Times New Roman" w:cs="Times New Roman"/>
        </w:rPr>
        <w:fldChar w:fldCharType="begin" w:fldLock="1"/>
      </w:r>
      <w:r w:rsidR="00350920">
        <w:rPr>
          <w:rFonts w:ascii="Times New Roman" w:hAnsi="Times New Roman" w:cs="Times New Roman"/>
        </w:rPr>
        <w:instrText>ADDIN CSL_CITATION {"citationItems":[{"id":"ITEM-1","itemData":{"abstract":"This guidance describes how the Food and Drug Administration (FDA) reviews and evaluates existing, modified, or newly created patient-reported outcome (PRO) instruments used to support claims in approved medical product labeling.2 A PRO instrument (i.e., a questionnaire plus the information and documentation that support its use) is a means to capture PRO data used to measure treatment benefit or risk in medical product clinical trials. This guidance does not address the use of PRO instruments for purposes beyond evaluation of claims made about a medical product in labeling. This guidance also does not address disease-specific issues. Guidance on clinical trial endpoints for specific diseases can be found on various FDA Web sites.3","author":[{"dropping-particle":"","family":"FDA","given":"","non-dropping-particle":"","parse-names":false,"suffix":""}],"container-title":"Clinical/Medical Federal Register","id":"ITEM-1","issued":{"date-parts":[["2009"]]},"title":"Guidance for Industry; Patient-Reported Outcome Measures: Use in Medical Product Development to Support Labeling Claims","type":"article-journal"},"uris":["http://www.mendeley.com/documents/?uuid=b4434c61-aed6-44e3-a841-400209a5d501"]},{"id":"ITEM-2","itemData":{"DOI":"10.1158/1078-0432.CCR-15-2035","ISSN":"15573265","PMID":"26758559","abstract":"Cancer clinical trials have relied on overall survival and measures of tumor growth or reduction to assess the efficacy of a drug. However, benefits are often accompanied by significant symptomatic toxicities. The degree to which a therapy improves disease symptoms and introduces symptomatic toxicity affects how patients function in their daily lives. These concepts are important contributors to health-related quality of life (HRQOL). In this article, we discuss patient-reported outcome (PRO) assessment in cancer trials and challenges relying solely on static multi-item HRQOL instruments. We propose focusing on three separate measures of well-defined concepts: symptomatic adverse events, physical function, and disease-related symptoms, which are key contributors to the effect of a therapy on HRQOL. Separate measures of these three concepts may facilitate the incorporation of emerging contemporary instruments that can tailor the PRO assessment strategy to different trial contexts. Irrespective of the PRO measures used, continued improvement in trial design and conduct is crucial to decrease missing data and optimize the quality of PRO information. International stakeholder collaboration and continued research into optimal practices for PRO and other clinical outcome assessments are necessary to advance a common framework for generating and reporting rigorous patient-centered data from cancer clinical trials.","author":[{"dropping-particle":"","family":"Kluetz","given":"Paul G.","non-dropping-particle":"","parse-names":false,"suffix":""},{"dropping-particle":"","family":"Slagle","given":"Ashley","non-dropping-particle":"","parse-names":false,"suffix":""},{"dropping-particle":"","family":"Papadopoulos","given":"Elektra J.","non-dropping-particle":"","parse-names":false,"suffix":""},{"dropping-particle":"","family":"Johnson","given":"Laura Lee","non-dropping-particle":"","parse-names":false,"suffix":""},{"dropping-particle":"","family":"Donoghue","given":"Martha","non-dropping-particle":"","parse-names":false,"suffix":""},{"dropping-particle":"","family":"Kwitkowski","given":"Virginia E.","non-dropping-particle":"","parse-names":false,"suffix":""},{"dropping-particle":"","family":"Chen","given":"Wen Hung","non-dropping-particle":"","parse-names":false,"suffix":""},{"dropping-particle":"","family":"Sridhara","given":"Rajeshwari","non-dropping-particle":"","parse-names":false,"suffix":""},{"dropping-particle":"","family":"Farrell","given":"Ann T.","non-dropping-particle":"","parse-names":false,"suffix":""},{"dropping-particle":"","family":"Keegan","given":"Patricia","non-dropping-particle":"","parse-names":false,"suffix":""},{"dropping-particle":"","family":"Kim","given":"Geoffrey","non-dropping-particle":"","parse-names":false,"suffix":""},{"dropping-particle":"","family":"Pazdur","given":"Richard","non-dropping-particle":"","parse-names":false,"suffix":""}],"container-title":"Clinical Cancer Research","id":"ITEM-2","issued":{"date-parts":[["2016"]]},"title":"Focusing on core patient-reported outcomes in cancer clinical trials: Symptomatic adverse events, physical function, and disease-related symptoms","type":"article-journal"},"uris":["http://www.mendeley.com/documents/?uuid=4aaf2549-f3d9-4550-8cf8-5d5734a8371a"]},{"id":"ITEM-3","itemData":{"DOI":"10.1158/1078-0432.CCR-16-2140","ISSN":"15573265","PMID":"28151715","author":[{"dropping-particle":"","family":"Kluetz","given":"Paul G.","non-dropping-particle":"","parse-names":false,"suffix":""},{"dropping-particle":"","family":"Papadopoulos","given":"Elektra J.","non-dropping-particle":"","parse-names":false,"suffix":""},{"dropping-particle":"","family":"Johnson","given":"Laura Lee","non-dropping-particle":"","parse-names":false,"suffix":""},{"dropping-particle":"","family":"Donoghue","given":"Martha","non-dropping-particle":"","parse-names":false,"suffix":""},{"dropping-particle":"","family":"Kwitkowski","given":"Virginia E.","non-dropping-particle":"","parse-names":false,"suffix":""},{"dropping-particle":"","family":"Chen","given":"Wen Hung","non-dropping-particle":"","parse-names":false,"suffix":""},{"dropping-particle":"","family":"Sridhara","given":"Rajeshwari","non-dropping-particle":"","parse-names":false,"suffix":""},{"dropping-particle":"","family":"Farrell","given":"Ann T.","non-dropping-particle":"","parse-names":false,"suffix":""},{"dropping-particle":"","family":"Keegan","given":"Patricia","non-dropping-particle":"","parse-names":false,"suffix":""},{"dropping-particle":"","family":"Kim","given":"Geoffrey","non-dropping-particle":"","parse-names":false,"suffix":""},{"dropping-particle":"","family":"Pazdur","given":"Richard","non-dropping-particle":"","parse-names":false,"suffix":""}],"container-title":"Clinical Cancer Research","id":"ITEM-3","issued":{"date-parts":[["2016"]]},"title":"Focusing on core patient-reported outcomes in cancer clinical trials - Response","type":"article"},"uris":["http://www.mendeley.com/documents/?uuid=d2589c4b-6164-4ad4-a38f-649e45178186"]}],"mendeley":{"formattedCitation":"&lt;sup&gt;20,40,41&lt;/sup&gt;","plainTextFormattedCitation":"20,40,41","previouslyFormattedCitation":"&lt;sup&gt;20,40,41&lt;/sup&gt;"},"properties":{"noteIndex":0},"schema":"https://github.com/citation-style-language/schema/raw/master/csl-citation.json"}</w:instrText>
      </w:r>
      <w:r w:rsidR="005457ED" w:rsidRPr="00E14F7D">
        <w:rPr>
          <w:rFonts w:ascii="Times New Roman" w:hAnsi="Times New Roman" w:cs="Times New Roman"/>
        </w:rPr>
        <w:fldChar w:fldCharType="separate"/>
      </w:r>
      <w:r w:rsidR="00401A53" w:rsidRPr="00401A53">
        <w:rPr>
          <w:rFonts w:ascii="Times New Roman" w:hAnsi="Times New Roman" w:cs="Times New Roman"/>
          <w:noProof/>
          <w:vertAlign w:val="superscript"/>
        </w:rPr>
        <w:t>20,40,41</w:t>
      </w:r>
      <w:r w:rsidR="005457ED" w:rsidRPr="00E14F7D">
        <w:rPr>
          <w:rFonts w:ascii="Times New Roman" w:hAnsi="Times New Roman" w:cs="Times New Roman"/>
        </w:rPr>
        <w:fldChar w:fldCharType="end"/>
      </w:r>
      <w:r w:rsidRPr="00E14F7D">
        <w:rPr>
          <w:rFonts w:ascii="Times New Roman" w:hAnsi="Times New Roman" w:cs="Times New Roman"/>
        </w:rPr>
        <w:t xml:space="preserve"> </w:t>
      </w:r>
      <w:r w:rsidR="00701631" w:rsidRPr="00E14F7D">
        <w:rPr>
          <w:rFonts w:ascii="Times New Roman" w:hAnsi="Times New Roman" w:cs="Times New Roman"/>
        </w:rPr>
        <w:t>Moreover, i</w:t>
      </w:r>
      <w:r w:rsidRPr="00E14F7D">
        <w:rPr>
          <w:rFonts w:ascii="Times New Roman" w:hAnsi="Times New Roman" w:cs="Times New Roman"/>
        </w:rPr>
        <w:t xml:space="preserve">f the symptom or issue represents a key aspect of the disease or treatment, </w:t>
      </w:r>
      <w:r w:rsidR="00A76B2B" w:rsidRPr="00E14F7D">
        <w:rPr>
          <w:rFonts w:ascii="Times New Roman" w:hAnsi="Times New Roman" w:cs="Times New Roman"/>
        </w:rPr>
        <w:t xml:space="preserve">or if in-depth knowledge of the domain(s) is required, </w:t>
      </w:r>
      <w:r w:rsidRPr="00E14F7D">
        <w:rPr>
          <w:rFonts w:ascii="Times New Roman" w:hAnsi="Times New Roman" w:cs="Times New Roman"/>
        </w:rPr>
        <w:t xml:space="preserve">it may be favourable to include a multi-item scale to ensure robust assessment. </w:t>
      </w:r>
    </w:p>
    <w:p w14:paraId="0FC7640A" w14:textId="67C8EC28" w:rsidR="00F6786F" w:rsidRPr="00E14F7D" w:rsidRDefault="7EF6502E" w:rsidP="00F6786F">
      <w:pPr>
        <w:spacing w:line="360" w:lineRule="auto"/>
        <w:rPr>
          <w:rFonts w:ascii="Times New Roman" w:hAnsi="Times New Roman" w:cs="Times New Roman"/>
        </w:rPr>
      </w:pPr>
      <w:r w:rsidRPr="00E14F7D">
        <w:rPr>
          <w:rFonts w:ascii="Times New Roman" w:hAnsi="Times New Roman" w:cs="Times New Roman"/>
        </w:rPr>
        <w:t>However, for pragmatic reasons (e.g., when screening multiple symptoms simultaneously and frequently), to minimize the likelihood of patient burden due to large item lists, it is important to consider which concepts may be sufficiently captured by single items. For example, when assessment of multiple symptoms is the goal, then single items may suffice for most symptoms</w:t>
      </w:r>
      <w:r w:rsidR="00304CF3" w:rsidRPr="00E14F7D">
        <w:rPr>
          <w:rFonts w:ascii="Times New Roman" w:hAnsi="Times New Roman" w:cs="Times New Roman"/>
        </w:rPr>
        <w:t xml:space="preserve"> and may be easier to interpret than complex multi-item scales</w:t>
      </w:r>
      <w:r w:rsidRPr="00E14F7D">
        <w:rPr>
          <w:rFonts w:ascii="Times New Roman" w:hAnsi="Times New Roman" w:cs="Times New Roman"/>
        </w:rPr>
        <w:t xml:space="preserve">. In addition to research questions, the study endpoint (e.g., primary, secondary, exploratory) should also be considered. </w:t>
      </w:r>
    </w:p>
    <w:p w14:paraId="2F07871B" w14:textId="112E6331" w:rsidR="00937957" w:rsidRPr="00E14F7D" w:rsidRDefault="7EF6502E" w:rsidP="008D1A96">
      <w:pPr>
        <w:spacing w:line="360" w:lineRule="auto"/>
        <w:rPr>
          <w:rFonts w:ascii="Times New Roman" w:hAnsi="Times New Roman" w:cs="Times New Roman"/>
        </w:rPr>
      </w:pPr>
      <w:r w:rsidRPr="00E14F7D">
        <w:rPr>
          <w:rFonts w:ascii="Times New Roman" w:hAnsi="Times New Roman" w:cs="Times New Roman"/>
        </w:rPr>
        <w:lastRenderedPageBreak/>
        <w:t xml:space="preserve"> In cases where burden linked to instrument length is an issue, single items may be favourable given that a broader set of concepts can be covered with fewer items. Ultimately, the choice of single versus multiple items depends on the symptom or domain under investigation, as well as the specific research questions and study design. While some concepts might be captured by one item alone (e.g., symptom presence), others may require more, especially if symptom severity, </w:t>
      </w:r>
      <w:r w:rsidR="00224C4E">
        <w:rPr>
          <w:rFonts w:ascii="Times New Roman" w:hAnsi="Times New Roman" w:cs="Times New Roman"/>
        </w:rPr>
        <w:t xml:space="preserve">functional </w:t>
      </w:r>
      <w:r w:rsidRPr="00E14F7D">
        <w:rPr>
          <w:rFonts w:ascii="Times New Roman" w:hAnsi="Times New Roman" w:cs="Times New Roman"/>
        </w:rPr>
        <w:t xml:space="preserve">impact, and interference with daily activities are also </w:t>
      </w:r>
      <w:r w:rsidR="006F3A21" w:rsidRPr="00E14F7D">
        <w:rPr>
          <w:rFonts w:ascii="Times New Roman" w:hAnsi="Times New Roman" w:cs="Times New Roman"/>
        </w:rPr>
        <w:t>targeted</w:t>
      </w:r>
      <w:r w:rsidRPr="00E14F7D">
        <w:rPr>
          <w:rFonts w:ascii="Times New Roman" w:hAnsi="Times New Roman" w:cs="Times New Roman"/>
        </w:rPr>
        <w:t xml:space="preserve">. </w:t>
      </w:r>
      <w:bookmarkStart w:id="5" w:name="_Hlk98240103"/>
    </w:p>
    <w:bookmarkEnd w:id="5"/>
    <w:p w14:paraId="55E0007E" w14:textId="5D2509BA" w:rsidR="00724EEA" w:rsidRPr="00E14F7D" w:rsidRDefault="7EFBCF47" w:rsidP="00E14F7D">
      <w:pPr>
        <w:pStyle w:val="ListParagraph"/>
        <w:numPr>
          <w:ilvl w:val="0"/>
          <w:numId w:val="7"/>
        </w:numPr>
        <w:spacing w:line="240" w:lineRule="auto"/>
        <w:rPr>
          <w:rFonts w:ascii="Times New Roman" w:hAnsi="Times New Roman" w:cs="Times New Roman"/>
          <w:i/>
          <w:iCs/>
        </w:rPr>
      </w:pPr>
      <w:r w:rsidRPr="00E14F7D">
        <w:rPr>
          <w:rFonts w:ascii="Times New Roman" w:hAnsi="Times New Roman" w:cs="Times New Roman"/>
          <w:i/>
          <w:iCs/>
        </w:rPr>
        <w:t>How should different types of psychometric properties be considered and tested, based on the item list/measure and the context of its use?</w:t>
      </w:r>
    </w:p>
    <w:p w14:paraId="646E1982" w14:textId="2A539F64" w:rsidR="009C3515" w:rsidRPr="00E14F7D" w:rsidRDefault="009C3515" w:rsidP="00EE0F94">
      <w:pPr>
        <w:spacing w:line="360" w:lineRule="auto"/>
        <w:rPr>
          <w:rFonts w:ascii="Times New Roman" w:hAnsi="Times New Roman" w:cs="Times New Roman"/>
        </w:rPr>
      </w:pPr>
      <w:r w:rsidRPr="00E14F7D">
        <w:rPr>
          <w:rFonts w:ascii="Times New Roman" w:hAnsi="Times New Roman" w:cs="Times New Roman"/>
        </w:rPr>
        <w:t xml:space="preserve">When item lists are derived from item libraries that contain validated questionnaires, it may not be necessary to conduct additional psychometric testing. Instead, it is recommended that single items be treated as such and multi-item scales remain intact, unless there is a strong rationale for removing items. We caution against the creation of new multi-item </w:t>
      </w:r>
      <w:r w:rsidR="00386437" w:rsidRPr="00E14F7D">
        <w:rPr>
          <w:rFonts w:ascii="Times New Roman" w:hAnsi="Times New Roman" w:cs="Times New Roman"/>
        </w:rPr>
        <w:t>scales unless</w:t>
      </w:r>
      <w:r w:rsidRPr="00E14F7D">
        <w:rPr>
          <w:rFonts w:ascii="Times New Roman" w:hAnsi="Times New Roman" w:cs="Times New Roman"/>
        </w:rPr>
        <w:t xml:space="preserve"> such work is carried out in close collaboration with the item library developers.</w:t>
      </w:r>
      <w:r w:rsidR="00386437" w:rsidRPr="00E14F7D">
        <w:rPr>
          <w:rFonts w:ascii="Times New Roman" w:hAnsi="Times New Roman" w:cs="Times New Roman"/>
        </w:rPr>
        <w:t xml:space="preserve"> </w:t>
      </w:r>
      <w:r w:rsidR="00147506" w:rsidRPr="00E14F7D">
        <w:rPr>
          <w:rFonts w:ascii="Times New Roman" w:hAnsi="Times New Roman" w:cs="Times New Roman"/>
        </w:rPr>
        <w:t>If</w:t>
      </w:r>
      <w:r w:rsidR="00D10AC9" w:rsidRPr="00E14F7D">
        <w:rPr>
          <w:rFonts w:ascii="Times New Roman" w:hAnsi="Times New Roman" w:cs="Times New Roman"/>
        </w:rPr>
        <w:t xml:space="preserve"> the item list is intended to be administered in a new population, further </w:t>
      </w:r>
      <w:r w:rsidR="00DA0B9D" w:rsidRPr="00E14F7D">
        <w:rPr>
          <w:rFonts w:ascii="Times New Roman" w:hAnsi="Times New Roman" w:cs="Times New Roman"/>
        </w:rPr>
        <w:t xml:space="preserve">comparative </w:t>
      </w:r>
      <w:r w:rsidR="00D10AC9" w:rsidRPr="00E14F7D">
        <w:rPr>
          <w:rFonts w:ascii="Times New Roman" w:hAnsi="Times New Roman" w:cs="Times New Roman"/>
        </w:rPr>
        <w:t xml:space="preserve">validation testing may be required to ensure that the psychometric properties are retained. </w:t>
      </w:r>
      <w:r w:rsidR="009D2F1D" w:rsidRPr="00E14F7D">
        <w:rPr>
          <w:rFonts w:ascii="Times New Roman" w:hAnsi="Times New Roman" w:cs="Times New Roman"/>
        </w:rPr>
        <w:t>Relevant scores can then be compared to those in the published literature.</w:t>
      </w:r>
    </w:p>
    <w:p w14:paraId="284AD364" w14:textId="1CB09583" w:rsidR="00992517" w:rsidRPr="00E14F7D" w:rsidRDefault="00EE0F94" w:rsidP="00EE0F94">
      <w:pPr>
        <w:spacing w:line="360" w:lineRule="auto"/>
        <w:rPr>
          <w:rFonts w:ascii="Times New Roman" w:hAnsi="Times New Roman" w:cs="Times New Roman"/>
        </w:rPr>
      </w:pPr>
      <w:r w:rsidRPr="00E14F7D">
        <w:rPr>
          <w:rFonts w:ascii="Times New Roman" w:hAnsi="Times New Roman" w:cs="Times New Roman"/>
        </w:rPr>
        <w:t xml:space="preserve">A </w:t>
      </w:r>
      <w:r w:rsidR="009C3515" w:rsidRPr="00E14F7D">
        <w:rPr>
          <w:rFonts w:ascii="Times New Roman" w:hAnsi="Times New Roman" w:cs="Times New Roman"/>
        </w:rPr>
        <w:t xml:space="preserve">general </w:t>
      </w:r>
      <w:r w:rsidRPr="00E14F7D">
        <w:rPr>
          <w:rFonts w:ascii="Times New Roman" w:hAnsi="Times New Roman" w:cs="Times New Roman"/>
        </w:rPr>
        <w:t xml:space="preserve">list of psychometric properties and tests for consideration in evaluating validity, reliability, and responsiveness to change is provided in Table </w:t>
      </w:r>
      <w:r w:rsidR="00552623" w:rsidRPr="00E14F7D">
        <w:rPr>
          <w:rFonts w:ascii="Times New Roman" w:hAnsi="Times New Roman" w:cs="Times New Roman"/>
        </w:rPr>
        <w:t>2</w:t>
      </w:r>
      <w:r w:rsidR="00386437" w:rsidRPr="00E14F7D">
        <w:rPr>
          <w:rFonts w:ascii="Times New Roman" w:hAnsi="Times New Roman" w:cs="Times New Roman"/>
        </w:rPr>
        <w:t>. Users should refer to the various sources for more information where necessary</w:t>
      </w:r>
      <w:r w:rsidR="006D5821" w:rsidRPr="00E14F7D">
        <w:rPr>
          <w:rFonts w:ascii="Times New Roman" w:hAnsi="Times New Roman" w:cs="Times New Roman"/>
        </w:rPr>
        <w:t>.</w:t>
      </w:r>
      <w:r w:rsidRPr="00E14F7D">
        <w:rPr>
          <w:rFonts w:ascii="Times New Roman" w:hAnsi="Times New Roman" w:cs="Times New Roman"/>
        </w:rPr>
        <w:t xml:space="preserve"> </w:t>
      </w:r>
      <w:r w:rsidR="002E43D5" w:rsidRPr="00E14F7D">
        <w:rPr>
          <w:rFonts w:ascii="Times New Roman" w:hAnsi="Times New Roman" w:cs="Times New Roman"/>
          <w:noProof/>
        </w:rPr>
        <w:fldChar w:fldCharType="begin" w:fldLock="1"/>
      </w:r>
      <w:r w:rsidR="00350920">
        <w:rPr>
          <w:rFonts w:ascii="Times New Roman" w:hAnsi="Times New Roman" w:cs="Times New Roman"/>
          <w:noProof/>
        </w:rPr>
        <w:instrText>ADDIN CSL_CITATION {"citationItems":[{"id":"ITEM-1","itemData":{"abstract":"This guidance describes how the Food and Drug Administration (FDA) reviews and evaluates existing, modified, or newly created patient-reported outcome (PRO) instruments used to support claims in approved medical product labeling.2 A PRO instrument (i.e., a questionnaire plus the information and documentation that support its use) is a means to capture PRO data used to measure treatment benefit or risk in medical product clinical trials. This guidance does not address the use of PRO instruments for purposes beyond evaluation of claims made about a medical product in labeling. This guidance also does not address disease-specific issues. Guidance on clinical trial endpoints for specific diseases can be found on various FDA Web sites.3","author":[{"dropping-particle":"","family":"FDA","given":"","non-dropping-particle":"","parse-names":false,"suffix":""}],"container-title":"Clinical/Medical Federal Register","id":"ITEM-1","issued":{"date-parts":[["2009"]]},"title":"Guidance for Industry; Patient-Reported Outcome Measures: Use in Medical Product Development to Support Labeling Claims","type":"article-journal"},"uris":["http://www.mendeley.com/documents/?uuid=b4434c61-aed6-44e3-a841-400209a5d501"]},{"id":"ITEM-2","itemData":{"author":[{"dropping-particle":"","family":"Johnson","given":"Colin","non-dropping-particle":"","parse-names":false,"suffix":""},{"dropping-particle":"","family":"Aaronson","given":"Neil","non-dropping-particle":"","parse-names":false,"suffix":""},{"dropping-particle":"","family":"Blazeby","given":"Jane M","non-dropping-particle":"","parse-names":false,"suffix":""},{"dropping-particle":"","family":"Bottomley","given":"Andrew","non-dropping-particle":"","parse-names":false,"suffix":""},{"dropping-particle":"","family":"Fayers","given":"Peter","non-dropping-particle":"","parse-names":false,"suffix":""},{"dropping-particle":"","family":"Koller","given":"Michael","non-dropping-particle":"","parse-names":false,"suffix":""},{"dropping-particle":"","family":"Kuliś","given":"Dagmara","non-dropping-particle":"","parse-names":false,"suffix":""},{"dropping-particle":"","family":"Ramage","given":"John","non-dropping-particle":"","parse-names":false,"suffix":""},{"dropping-particle":"","family":"Sprangers","given":"Mirjam","non-dropping-particle":"","parse-names":false,"suffix":""},{"dropping-particle":"","family":"Velikova","given":"Galina","non-dropping-particle":"","parse-names":false,"suffix":""},{"dropping-particle":"","family":"Young","given":"Teresa","non-dropping-particle":"","parse-names":false,"suffix":""}],"id":"ITEM-2","issue":"April","issued":{"date-parts":[["2011"]]},"title":"EORTC Quality of Life Group Guidelines for Developing Questionnaire Modules","type":"article-journal","volume":"4th Ed."},"uris":["http://www.mendeley.com/documents/?uuid=a32af972-9ad3-4cd2-9163-40b3d1e3a9ff"]},{"id":"ITEM-3","itemData":{"author":[{"dropping-particle":"","family":"Bjordal","given":"Kristin;","non-dropping-particle":"","parse-names":false,"suffix":""},{"dropping-particle":"","family":"Bottomley","given":"Andrew;","non-dropping-particle":"","parse-names":false,"suffix":""},{"dropping-particle":"","family":"Gilbert","given":"Alexandra;","non-dropping-particle":"","parse-names":false,"suffix":""},{"dropping-particle":"","family":"Martinelli","given":"Francesca;","non-dropping-particle":"","parse-names":false,"suffix":""},{"dropping-particle":"","family":"Pe","given":"Madeline;","non-dropping-particle":"","parse-names":false,"suffix":""},{"dropping-particle":"","family":"Sztankay","given":"Monika;","non-dropping-particle":"","parse-names":false,"suffix":""},{"dropping-particle":"","family":"Wheelright","given":"Sally;","non-dropping-particle":"","parse-names":false,"suffix":""},{"dropping-particle":"","family":"Cocks","given":"Kim;","non-dropping-particle":"","parse-names":false,"suffix":""},{"dropping-particle":"","family":"Coens","given":"Corneel;","non-dropping-particle":"","parse-names":false,"suffix":""},{"dropping-particle":"","family":"Darlington","given":"Anne-Sophie;","non-dropping-particle":"","parse-names":false,"suffix":""},{"dropping-particle":"","family":"Fayers","given":"Peter;","non-dropping-particle":"","parse-names":false,"suffix":""},{"dropping-particle":"","family":"Fitzsimmons","given":"Deborah;","non-dropping-particle":"","parse-names":false,"suffix":""},{"dropping-particle":"","family":"Giesinger","given":"Johannes;","non-dropping-particle":"","parse-names":false,"suffix":""},{"dropping-particle":"","family":"Koller","given":"Michael;","non-dropping-particle":"","parse-names":false,"suffix":""},{"dropping-particle":"","family":"Kuliś","given":"Dagmara;","non-dropping-particle":"","parse-names":false,"suffix":""},{"dropping-particle":"","family":"Petersen","given":"Morten Aa.;","non-dropping-particle":"","parse-names":false,"suffix":""},{"dropping-particle":"","family":"Reijneveld","given":"Jaap;","non-dropping-particle":"","parse-names":false,"suffix":""},{"dropping-particle":"","family":"Singer","given":"Susanne;","non-dropping-particle":"","parse-names":false,"suffix":""},{"dropping-particle":"","family":"Tomaszewski","given":"Krzysztof","non-dropping-particle":"","parse-names":false,"suffix":""}],"edition":"5th","id":"ITEM-3","issued":{"date-parts":[["2021"]]},"publisher":"EORTC","publisher-place":"Brussels, Belgium","title":"EORTC Quality of Life Group Module Development Guidelines","type":"book"},"uris":["http://www.mendeley.com/documents/?uuid=6264adc3-2683-40f3-996a-ff2e83ca05b4"]},{"id":"ITEM-4","itemData":{"DOI":"10.1007/s11136-018-1829-0","ISSN":"15732649","PMID":"29550964","abstract":"Background: Content validity is the most important measurement property of a patient-reported outcome measure (PROM) and the most challenging to assess. Our aims were to: (1) develop standards for evaluating the quality of PROM development; (2) update the original COSMIN standards for assessing the quality of content validity studies of PROMs; (3) develop criteria for what constitutes good content validity of PROMs, and (4) develop a rating system for summarizing the evidence on a PROM’s content validity and grading the quality of the evidence in systematic reviews of PROMs. Methods: An online 4-round Delphi study was performed among 159 experts from 21 countries. Panelists rated the degree to which they (dis)agreed to proposed standards, criteria, and rating issues on 5-point rating scales (‘strongly disagree’ to ‘strongly agree’), and provided arguments for their ratings. Results: Discussion focused on sample size requirements, recording and field notes, transcribing cognitive interviews, and data coding. After four rounds, the required 67% consensus was reached on all standards, criteria, and rating issues. After pilot-testing, the steering committee made some final changes. Ten criteria for good content validity were defined regarding item relevance, appropriateness of response options and recall period, comprehensiveness, and comprehensibility of the PROM. Discussion: The consensus-based COSMIN methodology for content validity is more detailed, standardized, and transparent than earlier published guidelines, including the previous COSMIN standards. This methodology can contribute to the selection and use of high-quality PROMs in research and clinical practice.","author":[{"dropping-particle":"","family":"Terwee","given":"C. B.","non-dropping-particle":"","parse-names":false,"suffix":""},{"dropping-particle":"","family":"Prinsen","given":"C. A.C.","non-dropping-particle":"","parse-names":false,"suffix":""},{"dropping-particle":"","family":"Chiarotto","given":"A.","non-dropping-particle":"","parse-names":false,"suffix":""},{"dropping-particle":"","family":"Westerman","given":"M. J.","non-dropping-particle":"","parse-names":false,"suffix":""},{"dropping-particle":"","family":"Patrick","given":"D. L.","non-dropping-particle":"","parse-names":false,"suffix":""},{"dropping-particle":"","family":"Alonso","given":"J.","non-dropping-particle":"","parse-names":false,"suffix":""},{"dropping-particle":"","family":"Bouter","given":"L. M.","non-dropping-particle":"","parse-names":false,"suffix":""},{"dropping-particle":"","family":"Vet","given":"H. C.W.","non-dropping-particle":"de","parse-names":false,"suffix":""},{"dropping-particle":"","family":"Mokkink","given":"L. B.","non-dropping-particle":"","parse-names":false,"suffix":""}],"container-title":"Quality of Life Research","id":"ITEM-4","issued":{"date-parts":[["2018"]]},"title":"COSMIN methodology for evaluating the content validity of patient-reported outcome measures: a Delphi study","type":"article"},"uris":["http://www.mendeley.com/documents/?uuid=34d62391-23ee-4a2f-a663-2858723fad81"]},{"id":"ITEM-5","itemData":{"author":[{"dropping-particle":"","family":"Fayers","given":"Peter M.","non-dropping-particle":"","parse-names":false,"suffix":""},{"dropping-particle":"","family":"Machin","given":"David","non-dropping-particle":"","parse-names":false,"suffix":""}],"edition":"3rd Ed.","id":"ITEM-5","issued":{"date-parts":[["2016"]]},"publisher":"John Wiley &amp; Sons","title":"Quality of Life: The Assessment, Analysis and Interpretation of Patient-reported Outcomes","type":"book"},"uris":["http://www.mendeley.com/documents/?uuid=a2fa40bc-4968-4af2-b8db-bed278212b2c"]},{"id":"ITEM-6","itemData":{"author":[{"dropping-particle":"","family":"Nunnally","given":"J.C.","non-dropping-particle":"","parse-names":false,"suffix":""},{"dropping-particle":"","family":"Bernstein","given":"I.H.","non-dropping-particle":"","parse-names":false,"suffix":""}],"edition":"3rd Ed.","id":"ITEM-6","issued":{"date-parts":[["1994"]]},"publisher":"McGraw-Hill","publisher-place":"New York","title":"Psychometric Theory","type":"book"},"uris":["http://www.mendeley.com/documents/?uuid=d44ebb29-d798-44e3-ad71-fe0c58561d00"]},{"id":"ITEM-7","itemData":{"author":[{"dropping-particle":"","family":"Portney","given":"Leslie G.","non-dropping-particle":"","parse-names":false,"suffix":""},{"dropping-particle":"","family":"Watkins","given":"Mary P.","non-dropping-particle":"","parse-names":false,"suffix":""}],"edition":"3rd Ed.","id":"ITEM-7","issued":{"date-parts":[["2009"]]},"publisher":"Pearson/Prentice Hall","publisher-place":"Upper Saddle River, New Jersey","title":"Foundations of Clinical Research: Applications to Practice","type":"book"},"uris":["http://www.mendeley.com/documents/?uuid=90a5513a-a8cb-4481-83a0-2c82e741aa0c"]},{"id":"ITEM-8","itemData":{"DOI":"10.1001/jamaoncol.2015.2639","ISSN":"23742445","abstract":"IMPORTANCE To integrate the patient perspective into adverse event reporting, the National Cancer Institute developed a patient-reported outcomes version of the Common Terminology Criteria for Adverse Events (PRO-CTCAE). OBJECTIVE To assess the construct validity, test-retest reliability, and responsiveness of PRO-CTCAE items. DESIGN, SETTING, AND PARTICIPANTS A total of 975 adults with cancer undergoing outpatient chemotherapy and/or radiation therapy enrolled in this questionnaire-based study between January 2011 and February 2012. Eligible participants could read English and had no clinically significant cognitive impairment. They completed PRO-CTCAE items on tablet computers in clinic waiting rooms at 9 US cancer centers and community oncology practices at 2 visits 1 to 6 weeks apart. A subset completed PRO-CTCAE items during an additional visit 1 business day after the first visit. MAIN OUTCOMES AND MEASURES Primary comparators were clinician-reported Eastern Cooperative Oncology Group Performance Status (ECOG PS) and the European Organisation for Research and Treatment of Cancer Core Quality of Life Questionnaire (QLQ-C30). RESULTS A total of 940 of 975 (96.4%) and 852 of 940 (90.6%) participants completed PRO-CTCAE items at visits 1 and 2, respectively. At least 1 symptom was reported by 938 of 940 (99.8%) participants. Participants' median age was 59 years; 57.3% were female, 32.4% had a high school education or less, and 17.1% had an ECOG PS of 2 to 4. All PRO-CTCAE items had at least 1 correlation in the expected direction with a QLQ-C30 scale (111 of 124, P &lt;.05 for all). Stronger correlations were seen between PRO-CTCAE items and conceptually related QLQ-C30 domains. Scores for 94 of 124 PRO-CTCAE items were higher in the ECOG PS 2 to 4 vs 0 to 1 group (58 of 124, P &lt;.05 for all). Overall, 119 of 124 items met at least 1 construct validity criterion. Test-retest reliability was 0.7 or greater for 36 of 49 prespecified items (median [range] intraclass correlation coefficient, 0.76 [0.53-.96]). Correlations between PRO-CTCAE item changes and corresponding QLQ-C30 scale changes were statistically significant for 27 prespecified items (median [range] r = 0.43 [0.10-.56]; all P.006). CONCLUSIONS AND RELEVANCE Evidence demonstrates favorable validity, reliability, and responsiveness of PRO-CTCAE in a large, heterogeneous US sample of patients undergoing cancer treatment. Studies evaluating other measurement properties of PRO-CTCAE are under way to…","author":[{"dropping-particle":"","family":"Dueck","given":"Amylou C.","non-dropping-particle":"","parse-names":false,"suffix":""},{"dropping-particle":"","family":"Mendoza","given":"Tito R.","non-dropping-particle":"","parse-names":false,"suffix":""},{"dropping-particle":"","family":"Mitchell","given":"Sandra A.","non-dropping-particle":"","parse-names":false,"suffix":""},{"dropping-particle":"","family":"Reeve","given":"Bryce B.","non-dropping-particle":"","parse-names":false,"suffix":""},{"dropping-particle":"","family":"Castro","given":"Kathleen M.","non-dropping-particle":"","parse-names":false,"suffix":""},{"dropping-particle":"","family":"Rogak","given":"Lauren J.","non-dropping-particle":"","parse-names":false,"suffix":""},{"dropping-particle":"","family":"Atkinson","given":"Thomas M.","non-dropping-particle":"","parse-names":false,"suffix":""},{"dropping-particle":"V.","family":"Bennett","given":"Antonia","non-dropping-particle":"","parse-names":false,"suffix":""},{"dropping-particle":"","family":"Denicoff","given":"Andrea M.","non-dropping-particle":"","parse-names":false,"suffix":""},{"dropping-particle":"","family":"O'Mara","given":"Ann M.","non-dropping-particle":"","parse-names":false,"suffix":""},{"dropping-particle":"","family":"Li","given":"Yuelin","non-dropping-particle":"","parse-names":false,"suffix":""},{"dropping-particle":"","family":"Clauser","given":"Steven B.","non-dropping-particle":"","parse-names":false,"suffix":""},{"dropping-particle":"","family":"Bryant","given":"Donna M.","non-dropping-particle":"","parse-names":false,"suffix":""},{"dropping-particle":"","family":"Bearden","given":"James D.","non-dropping-particle":"","parse-names":false,"suffix":""},{"dropping-particle":"","family":"Gillis","given":"Theresa A.","non-dropping-particle":"","parse-names":false,"suffix":""},{"dropping-particle":"","family":"Harness","given":"Jay K.","non-dropping-particle":"","parse-names":false,"suffix":""},{"dropping-particle":"","family":"Siegel","given":"Robert D.","non-dropping-particle":"","parse-names":false,"suffix":""},{"dropping-particle":"","family":"Paul","given":"Diane B.","non-dropping-particle":"","parse-names":false,"suffix":""},{"dropping-particle":"","family":"Cleeland","given":"Charles S.","non-dropping-particle":"","parse-names":false,"suffix":""},{"dropping-particle":"","family":"Schrag","given":"Deborah","non-dropping-particle":"","parse-names":false,"suffix":""},{"dropping-particle":"","family":"Sloan","given":"Jeff A.","non-dropping-particle":"","parse-names":false,"suffix":""},{"dropping-particle":"","family":"Abernethy","given":"Amy P.","non-dropping-particle":"","parse-names":false,"suffix":""},{"dropping-particle":"","family":"Bruner","given":"Deborah W.","non-dropping-particle":"","parse-names":false,"suffix":""},{"dropping-particle":"","family":"Minasian","given":"Lori M.","non-dropping-particle":"","parse-names":false,"suffix":""},{"dropping-particle":"","family":"Basch","given":"Ethan","non-dropping-particle":"","parse-names":false,"suffix":""}],"container-title":"JAMA Oncology","id":"ITEM-8","issue":"8","issued":{"date-parts":[["2015"]]},"page":"1051-1059","title":"Validity and reliability of the us national cancer institute's patient-reported outcomes version of the common terminology criteria for adverse events (PRO-CTCAE)","type":"article-journal","volume":"1"},"uris":["http://www.mendeley.com/documents/?uuid=e68f6a7f-2527-4ee1-94b3-980f86940d27"]}],"mendeley":{"formattedCitation":"&lt;sup&gt;20–22,37,42–45&lt;/sup&gt;","plainTextFormattedCitation":"20–22,37,42–45","previouslyFormattedCitation":"&lt;sup&gt;20–22,37,42–45&lt;/sup&gt;"},"properties":{"noteIndex":0},"schema":"https://github.com/citation-style-language/schema/raw/master/csl-citation.json"}</w:instrText>
      </w:r>
      <w:r w:rsidR="002E43D5" w:rsidRPr="00E14F7D">
        <w:rPr>
          <w:rFonts w:ascii="Times New Roman" w:hAnsi="Times New Roman" w:cs="Times New Roman"/>
          <w:noProof/>
        </w:rPr>
        <w:fldChar w:fldCharType="separate"/>
      </w:r>
      <w:r w:rsidR="00401A53" w:rsidRPr="00401A53">
        <w:rPr>
          <w:rFonts w:ascii="Times New Roman" w:hAnsi="Times New Roman" w:cs="Times New Roman"/>
          <w:noProof/>
          <w:vertAlign w:val="superscript"/>
        </w:rPr>
        <w:t>20–22,37,42–45</w:t>
      </w:r>
      <w:r w:rsidR="002E43D5" w:rsidRPr="00E14F7D">
        <w:rPr>
          <w:rFonts w:ascii="Times New Roman" w:hAnsi="Times New Roman" w:cs="Times New Roman"/>
          <w:noProof/>
        </w:rPr>
        <w:fldChar w:fldCharType="end"/>
      </w:r>
    </w:p>
    <w:p w14:paraId="1AED8C72" w14:textId="0A1350D2" w:rsidR="00552623" w:rsidRPr="00E14F7D" w:rsidRDefault="00552623" w:rsidP="00EE0F94">
      <w:pPr>
        <w:spacing w:line="360" w:lineRule="auto"/>
        <w:rPr>
          <w:rFonts w:ascii="Times New Roman" w:hAnsi="Times New Roman" w:cs="Times New Roman"/>
          <w:i/>
          <w:iCs/>
        </w:rPr>
      </w:pPr>
      <w:r w:rsidRPr="00E14F7D">
        <w:rPr>
          <w:rFonts w:ascii="Times New Roman" w:hAnsi="Times New Roman" w:cs="Times New Roman"/>
        </w:rPr>
        <w:t>INSERT TABLE 2</w:t>
      </w:r>
    </w:p>
    <w:p w14:paraId="696F9F73" w14:textId="60937F1A" w:rsidR="002D5605" w:rsidRPr="00E14F7D" w:rsidRDefault="7EFBCF47" w:rsidP="00E14F7D">
      <w:pPr>
        <w:pStyle w:val="ListParagraph"/>
        <w:numPr>
          <w:ilvl w:val="0"/>
          <w:numId w:val="7"/>
        </w:numPr>
        <w:spacing w:line="360" w:lineRule="auto"/>
        <w:rPr>
          <w:rFonts w:ascii="Times New Roman" w:hAnsi="Times New Roman" w:cs="Times New Roman"/>
          <w:i/>
          <w:iCs/>
        </w:rPr>
      </w:pPr>
      <w:bookmarkStart w:id="6" w:name="_Hlk116308681"/>
      <w:r w:rsidRPr="00E14F7D">
        <w:rPr>
          <w:rFonts w:ascii="Times New Roman" w:hAnsi="Times New Roman" w:cs="Times New Roman"/>
          <w:i/>
          <w:iCs/>
        </w:rPr>
        <w:t>How can bias be minimized in the design of item lists?</w:t>
      </w:r>
    </w:p>
    <w:bookmarkEnd w:id="6"/>
    <w:p w14:paraId="157FEC2E" w14:textId="6A29110B" w:rsidR="00FD5CC8" w:rsidRPr="00E14F7D" w:rsidRDefault="294B4561" w:rsidP="00AF0675">
      <w:pPr>
        <w:spacing w:line="360" w:lineRule="auto"/>
        <w:rPr>
          <w:rFonts w:ascii="Times New Roman" w:hAnsi="Times New Roman" w:cs="Times New Roman"/>
        </w:rPr>
      </w:pPr>
      <w:r w:rsidRPr="00E14F7D">
        <w:rPr>
          <w:rFonts w:ascii="Times New Roman" w:hAnsi="Times New Roman" w:cs="Times New Roman"/>
        </w:rPr>
        <w:t xml:space="preserve">Although flexibility in item selection helps to ensure that important </w:t>
      </w:r>
      <w:r w:rsidR="00467CF1">
        <w:rPr>
          <w:rFonts w:ascii="Times New Roman" w:hAnsi="Times New Roman" w:cs="Times New Roman"/>
        </w:rPr>
        <w:t xml:space="preserve">symptoms and HRQOL concepts </w:t>
      </w:r>
      <w:r w:rsidRPr="00E14F7D">
        <w:rPr>
          <w:rFonts w:ascii="Times New Roman" w:hAnsi="Times New Roman" w:cs="Times New Roman"/>
        </w:rPr>
        <w:t>are included, there is also the possibility to omit</w:t>
      </w:r>
      <w:r w:rsidR="00C96E0E">
        <w:rPr>
          <w:rFonts w:ascii="Times New Roman" w:hAnsi="Times New Roman" w:cs="Times New Roman"/>
        </w:rPr>
        <w:t xml:space="preserve"> these</w:t>
      </w:r>
      <w:r w:rsidR="00EB2159" w:rsidRPr="00E14F7D">
        <w:rPr>
          <w:rFonts w:ascii="Times New Roman" w:hAnsi="Times New Roman" w:cs="Times New Roman"/>
        </w:rPr>
        <w:t xml:space="preserve">, </w:t>
      </w:r>
      <w:r w:rsidRPr="00E14F7D">
        <w:rPr>
          <w:rFonts w:ascii="Times New Roman" w:hAnsi="Times New Roman" w:cs="Times New Roman"/>
        </w:rPr>
        <w:t>lead</w:t>
      </w:r>
      <w:r w:rsidR="00EB2159" w:rsidRPr="00E14F7D">
        <w:rPr>
          <w:rFonts w:ascii="Times New Roman" w:hAnsi="Times New Roman" w:cs="Times New Roman"/>
        </w:rPr>
        <w:t>ing</w:t>
      </w:r>
      <w:r w:rsidRPr="00E14F7D">
        <w:rPr>
          <w:rFonts w:ascii="Times New Roman" w:hAnsi="Times New Roman" w:cs="Times New Roman"/>
        </w:rPr>
        <w:t xml:space="preserve"> to underreporting of symptomatic AEs and other HRQOL </w:t>
      </w:r>
      <w:r w:rsidR="00C96E0E">
        <w:rPr>
          <w:rFonts w:ascii="Times New Roman" w:hAnsi="Times New Roman" w:cs="Times New Roman"/>
        </w:rPr>
        <w:t>concerns</w:t>
      </w:r>
      <w:r w:rsidRPr="00E14F7D">
        <w:rPr>
          <w:rFonts w:ascii="Times New Roman" w:hAnsi="Times New Roman" w:cs="Times New Roman"/>
        </w:rPr>
        <w:t>. Adopting a rigorous approach to item selection using the methods detailed above can help to minimize bias by incorporating various perspectives and types of evidence. Transparency regarding the item selection process is crucial. Investigators and other item library users should carefully document their methods for item selection, including how the literature was reviewed and which decision rules were applied</w:t>
      </w:r>
      <w:r w:rsidR="006D5821" w:rsidRPr="00E14F7D">
        <w:rPr>
          <w:rFonts w:ascii="Times New Roman" w:hAnsi="Times New Roman" w:cs="Times New Roman"/>
        </w:rPr>
        <w:t>.</w:t>
      </w:r>
      <w:r w:rsidR="00304CF3" w:rsidRPr="00E14F7D">
        <w:rPr>
          <w:rFonts w:ascii="Times New Roman" w:hAnsi="Times New Roman" w:cs="Times New Roman"/>
        </w:rPr>
        <w:t xml:space="preserve"> </w:t>
      </w:r>
      <w:r w:rsidR="00304CF3" w:rsidRPr="00E14F7D">
        <w:rPr>
          <w:rFonts w:ascii="Times New Roman" w:hAnsi="Times New Roman" w:cs="Times New Roman"/>
        </w:rPr>
        <w:fldChar w:fldCharType="begin" w:fldLock="1"/>
      </w:r>
      <w:r w:rsidR="00350920">
        <w:rPr>
          <w:rFonts w:ascii="Times New Roman" w:hAnsi="Times New Roman" w:cs="Times New Roman"/>
        </w:rPr>
        <w:instrText>ADDIN CSL_CITATION {"citationItems":[{"id":"ITEM-1","itemData":{"DOI":"10.1038/s41591-021-01648-4","ISSN":"1546170X","PMID":"35039659","author":[{"dropping-particle":"","family":"Retzer","given":"Ameeta","non-dropping-particle":"","parse-names":false,"suffix":""},{"dropping-particle":"","family":"Aiyegbusi","given":"Olalekan Lee","non-dropping-particle":"","parse-names":false,"suffix":""},{"dropping-particle":"","family":"Rowe","given":"Anna","non-dropping-particle":"","parse-names":false,"suffix":""},{"dropping-particle":"","family":"Newsome","given":"Philip N.","non-dropping-particle":"","parse-names":false,"suffix":""},{"dropping-particle":"","family":"Douglas-Pugh","given":"Jessica","non-dropping-particle":"","parse-names":false,"suffix":""},{"dropping-particle":"","family":"Khan","given":"Sheeba","non-dropping-particle":"","parse-names":false,"suffix":""},{"dropping-particle":"","family":"Mittal","given":"Saloni","non-dropping-particle":"","parse-names":false,"suffix":""},{"dropping-particle":"","family":"Wilson","given":"Roger","non-dropping-particle":"","parse-names":false,"suffix":""},{"dropping-particle":"","family":"O’Connor","given":"Daniel","non-dropping-particle":"","parse-names":false,"suffix":""},{"dropping-particle":"","family":"Campbell","given":"Lisa","non-dropping-particle":"","parse-names":false,"suffix":""},{"dropping-particle":"","family":"Mitchell","given":"Sandra A.","non-dropping-particle":"","parse-names":false,"suffix":""},{"dropping-particle":"","family":"Calvert","given":"Melanie","non-dropping-particle":"","parse-names":false,"suffix":""}],"container-title":"Nature Medicine","id":"ITEM-1","issued":{"date-parts":[["2022"]]},"title":"The value of patient-reported outcomes in early-phase clinical trials","type":"article"},"uris":["http://www.mendeley.com/documents/?uuid=e006f8b8-2d01-4617-8e06-1cb77542e5ed"]}],"mendeley":{"formattedCitation":"&lt;sup&gt;30&lt;/sup&gt;","plainTextFormattedCitation":"30","previouslyFormattedCitation":"&lt;sup&gt;30&lt;/sup&gt;"},"properties":{"noteIndex":0},"schema":"https://github.com/citation-style-language/schema/raw/master/csl-citation.json"}</w:instrText>
      </w:r>
      <w:r w:rsidR="00304CF3" w:rsidRPr="00E14F7D">
        <w:rPr>
          <w:rFonts w:ascii="Times New Roman" w:hAnsi="Times New Roman" w:cs="Times New Roman"/>
        </w:rPr>
        <w:fldChar w:fldCharType="separate"/>
      </w:r>
      <w:r w:rsidR="00401A53" w:rsidRPr="00401A53">
        <w:rPr>
          <w:rFonts w:ascii="Times New Roman" w:hAnsi="Times New Roman" w:cs="Times New Roman"/>
          <w:noProof/>
          <w:vertAlign w:val="superscript"/>
        </w:rPr>
        <w:t>30</w:t>
      </w:r>
      <w:r w:rsidR="00304CF3" w:rsidRPr="00E14F7D">
        <w:rPr>
          <w:rFonts w:ascii="Times New Roman" w:hAnsi="Times New Roman" w:cs="Times New Roman"/>
        </w:rPr>
        <w:fldChar w:fldCharType="end"/>
      </w:r>
      <w:r w:rsidRPr="00E14F7D">
        <w:rPr>
          <w:rFonts w:ascii="Times New Roman" w:hAnsi="Times New Roman" w:cs="Times New Roman"/>
        </w:rPr>
        <w:t xml:space="preserve"> Statistical and psychometric methods (e.g., differential item functioning) can also help to address the issue by evaluating whether a measure performs similarly across different subgroups.</w:t>
      </w:r>
    </w:p>
    <w:p w14:paraId="2D975EB5" w14:textId="19963984" w:rsidR="00945365" w:rsidRPr="00E14F7D" w:rsidRDefault="7EF6502E" w:rsidP="00AF0675">
      <w:pPr>
        <w:spacing w:line="360" w:lineRule="auto"/>
        <w:rPr>
          <w:rFonts w:ascii="Times New Roman" w:hAnsi="Times New Roman" w:cs="Times New Roman"/>
        </w:rPr>
      </w:pPr>
      <w:r w:rsidRPr="00E14F7D">
        <w:rPr>
          <w:rFonts w:ascii="Times New Roman" w:hAnsi="Times New Roman" w:cs="Times New Roman"/>
        </w:rPr>
        <w:t xml:space="preserve">For multi-arm </w:t>
      </w:r>
      <w:r w:rsidR="00F76D1F">
        <w:rPr>
          <w:rFonts w:ascii="Times New Roman" w:hAnsi="Times New Roman" w:cs="Times New Roman"/>
        </w:rPr>
        <w:t xml:space="preserve">treatment </w:t>
      </w:r>
      <w:r w:rsidRPr="00E14F7D">
        <w:rPr>
          <w:rFonts w:ascii="Times New Roman" w:hAnsi="Times New Roman" w:cs="Times New Roman"/>
        </w:rPr>
        <w:t xml:space="preserve">clinical trials, researchers should ensure transparency by describing how the selected items relate to each of the study arms and which symptomatic AEs are attributed to each of the study regimens. It is important that the same items (or </w:t>
      </w:r>
      <w:r w:rsidR="00032782">
        <w:rPr>
          <w:rFonts w:ascii="Times New Roman" w:hAnsi="Times New Roman" w:cs="Times New Roman"/>
        </w:rPr>
        <w:t>the same item banks for</w:t>
      </w:r>
      <w:r w:rsidRPr="00E14F7D">
        <w:rPr>
          <w:rFonts w:ascii="Times New Roman" w:hAnsi="Times New Roman" w:cs="Times New Roman"/>
        </w:rPr>
        <w:t xml:space="preserve"> CAT) be included in all treatment arms in order to minimize the potential for bias, avoid underreporting of symptomatic </w:t>
      </w:r>
      <w:r w:rsidRPr="00E14F7D">
        <w:rPr>
          <w:rFonts w:ascii="Times New Roman" w:hAnsi="Times New Roman" w:cs="Times New Roman"/>
        </w:rPr>
        <w:lastRenderedPageBreak/>
        <w:t>AEs, and ensure comparability</w:t>
      </w:r>
      <w:r w:rsidR="006D5821" w:rsidRPr="00E14F7D">
        <w:rPr>
          <w:rFonts w:ascii="Times New Roman" w:hAnsi="Times New Roman" w:cs="Times New Roman"/>
        </w:rPr>
        <w:t>.</w:t>
      </w:r>
      <w:r w:rsidRPr="00E14F7D">
        <w:rPr>
          <w:rFonts w:ascii="Times New Roman" w:hAnsi="Times New Roman" w:cs="Times New Roman"/>
        </w:rPr>
        <w:t xml:space="preserve"> </w:t>
      </w:r>
      <w:r w:rsidR="005457ED" w:rsidRPr="00E14F7D">
        <w:rPr>
          <w:rFonts w:ascii="Times New Roman" w:hAnsi="Times New Roman" w:cs="Times New Roman"/>
        </w:rPr>
        <w:fldChar w:fldCharType="begin" w:fldLock="1"/>
      </w:r>
      <w:r w:rsidR="00350920">
        <w:rPr>
          <w:rFonts w:ascii="Times New Roman" w:hAnsi="Times New Roman" w:cs="Times New Roman"/>
        </w:rPr>
        <w:instrText>ADDIN CSL_CITATION {"citationItems":[{"id":"ITEM-1","itemData":{"DOI":"10.1016/j.jval.2019.04.415","ISSN":"10983015","author":[{"dropping-particle":"","family":"Piccinin","given":"C.","non-dropping-particle":"","parse-names":false,"suffix":""},{"dropping-particle":"","family":"Kulis","given":"D.","non-dropping-particle":"","parse-names":false,"suffix":""},{"dropping-particle":"","family":"Bottomley","given":"A.","non-dropping-particle":"","parse-names":false,"suffix":""},{"dropping-particle":"","family":"Bjordal","given":"K.","non-dropping-particle":"","parse-names":false,"suffix":""},{"dropping-particle":"","family":"Coens","given":"C.","non-dropping-particle":"","parse-names":false,"suffix":""},{"dropping-particle":"","family":"Darlington","given":"A.S.","non-dropping-particle":"","parse-names":false,"suffix":""},{"dropping-particle":"","family":"Johnson","given":"C.D.","non-dropping-particle":"","parse-names":false,"suffix":""},{"dropping-particle":"","family":"Velikova","given":"G.","non-dropping-particle":"","parse-names":false,"suffix":""},{"dropping-particle":"","family":"Grønvold","given":"M.","non-dropping-particle":"","parse-names":false,"suffix":""}],"container-title":"Value in Health","id":"ITEM-1","issued":{"date-parts":[["2019"]]},"title":"PCN296 Development of scientific guidelines for use of the EORTC Item Library in cancer clinical trials","type":"article-journal"},"uris":["http://www.mendeley.com/documents/?uuid=65b81525-6bbe-4933-bde8-a35e733979a8"]},{"id":"ITEM-2","itemData":{"author":[{"dropping-particle":"","family":"Piccinin","given":"Claire","non-dropping-particle":"","parse-names":false,"suffix":""},{"dropping-particle":"","family":"Kuliś","given":"Dagmara","non-dropping-particle":"","parse-names":false,"suffix":""},{"dropping-particle":"","family":"Bottomley","given":"Andrew","non-dropping-particle":"","parse-names":false,"suffix":""},{"dropping-particle":"","family":"Bjordal","given":"Kristin","non-dropping-particle":"","parse-names":false,"suffix":""},{"dropping-particle":"","family":"Coens","given":"Corneel","non-dropping-particle":"","parse-names":false,"suffix":""},{"dropping-particle":"","family":"Darlington","given":"Anne-Sophie","non-dropping-particle":"","parse-names":false,"suffix":""},{"dropping-particle":"","family":"Johnson","given":"Colin","non-dropping-particle":"","parse-names":false,"suffix":""},{"dropping-particle":"","family":"Velikova","given":"Galina","non-dropping-particle":"","parse-names":false,"suffix":""},{"dropping-particle":"","family":"Groenvold","given":"Mogens","non-dropping-particle":"","parse-names":false,"suffix":""}],"edition":"1st Ed.","id":"ITEM-2","issued":{"date-parts":[["2022"]]},"publisher":"EORTC","publisher-place":"Brussels","title":"EORTC Quality of Life Group Item Library User Guidelines","type":"book"},"uris":["http://www.mendeley.com/documents/?uuid=c2ffac46-5781-4e63-a060-ada79f67400b"]},{"id":"ITEM-3","itemData":{"DOI":"10.1016/j.clinthera.2016.03.011","ISSN":"1879114X","PMID":"27045992","abstract":"Purpose There is increasing interest to use patient-reported outcome (PRO) measures to evaluate symptomatic adverse events (AEs) in cancer treatment trials. However, there are currently no standard recommended approaches for integrating patient-reported AE measures into trials. Methods Approaches are identified from previous trials for selecting AEs for solicited patient reporting, administering patient-reported AE measures, and analyzing and reporting results. Findings Approaches for integrating patient-reported AE measures into cancer trials generally combine current standard methods for clinician-reported AEs and established best practices for using PRO measures. Specific AEs can be selected for a PRO questionnaire based on common and expected reactions in a given trial context, derived from literature review and qualitative/mixed-methods evaluations and should be the same set administered across all arms of a trial. A mechanism for collecting unsolicited patient-reported AEs will also ideally be included. Patients will preferably report at baseline and at the end of active treatment as well as on a frequent standardized schedule during active treatment, such as weekly from home, with a recall period corresponding to the frequency of reporting (eg, past 7 days). Less frequent reporting may be considered after an initial intensive monitoring period for trials of prolonged treatments and during long-term follow-up. Electronic PRO data collection is preferred. Backup data collection for missed PRO reports is advisable to boost response rates. Analysis can use a combination of approaches to AE and PRO data. If a high proportion of patients is experiencing baseline symptoms, systematic subtraction of these from on-study AEs should be considered to improve reporting of symptoms related to treatment. More granular longitudinal analyses of individual symptoms can also be useful. Implications Methods are evolving for integrating patient-reported symptomatic AEs into cancer trials. These methods are expected to further evolve as more data from trials become available.","author":[{"dropping-particle":"","family":"Basch","given":"Ethan","non-dropping-particle":"","parse-names":false,"suffix":""},{"dropping-particle":"","family":"Rogak","given":"Lauren J.","non-dropping-particle":"","parse-names":false,"suffix":""},{"dropping-particle":"","family":"Dueck","given":"Amylou C.","non-dropping-particle":"","parse-names":false,"suffix":""}],"container-title":"Clinical Therapeutics","id":"ITEM-3","issued":{"date-parts":[["2016"]]},"title":"Methods for Implementing and Reporting Patient-reported Outcome (PRO) Measures of Symptomatic Adverse Events in Cancer Clinical Trials","type":"article-journal"},"uris":["http://www.mendeley.com/documents/?uuid=c6ca5dfb-6bc2-4584-ac95-a0ca511dc2d2"]},{"id":"ITEM-4","itemData":{"DOI":"10.1093/jamia/ocy169","ISSN":"1527974X","PMID":"30840079","abstract":"Objective: The study sought to describe patient-entered supplemental information on symptomatic adverse events (AEs) in cancer clinical research reported via a National Cancer Institute software system and examine the feasibility of mapping these entries to established terminologies. Materials and Methods: Patients in 3 multicenter trials electronically completed surveys during cancer treatment. Each survey included a prespecified subset of items from the National Cancer Institute's Patient-Reported Outcomes version of the Common Terminology Criteria for Adverse Events (PRO-CTCAE). Upon completion of the survey items, patients could add supplemental symptomatic AE information in a free text box. As patients typed into the box, structured dropdown terms could be selected from the PRO-CTCAE item library or Medical Dictionary for Regulatory Activities (MedDRA), or patients could type unstructured free text for submission. Results: Data were pooled from 1760 participants (48% women; 78% White) who completed 8892 surveys, of which 2387 (26.8%) included supplemental symptomatic AE information. Overall, 1024 (58%) patients entered supplemental information at least once, with an average of 2.3 per patient per study. This encompassed 1474 of 8892 (16.6%) dropdowns and 913 of 8892 (10.3%) unstructured free text entries. One-third of the unstructured free text entries (32%) could be mapped post hoc to a PRO-CTCAE term and 68% to a MedDRA term. Discussion: Participants frequently added supplemental information beyond study-specific survey items. Almost half selected a structured dropdown term, although many opted to submit unstructured free text entries. Most free text entries could be mapped post hoc to PRO-CTCAE or MedDRA terms, suggesting opportunities to enhance the system to perform real-time mapping for AE reporting. Conclusions: Patient reporting of symptomatic AEs using a text box functionality with mapping to existing terminologies is both feasible and informative.","author":[{"dropping-particle":"","family":"Chung","given":"Arlene E.","non-dropping-particle":"","parse-names":false,"suffix":""},{"dropping-particle":"","family":"Shoenbill","given":"Kimberly","non-dropping-particle":"","parse-names":false,"suffix":""},{"dropping-particle":"","family":"Mitchell","given":"Sandra A.","non-dropping-particle":"","parse-names":false,"suffix":""},{"dropping-particle":"","family":"Dueck","given":"Amylou C.","non-dropping-particle":"","parse-names":false,"suffix":""},{"dropping-particle":"","family":"Schrag","given":"Deborah","non-dropping-particle":"","parse-names":false,"suffix":""},{"dropping-particle":"","family":"Bruner","given":"Deborah W.","non-dropping-particle":"","parse-names":false,"suffix":""},{"dropping-particle":"","family":"Minasian","given":"Lori M.","non-dropping-particle":"","parse-names":false,"suffix":""},{"dropping-particle":"","family":"St Germain","given":"Diane","non-dropping-particle":"","parse-names":false,"suffix":""},{"dropping-particle":"","family":"O'Mara","given":"Ann M.","non-dropping-particle":"","parse-names":false,"suffix":""},{"dropping-particle":"","family":"Baumgartner","given":"Paul","non-dropping-particle":"","parse-names":false,"suffix":""},{"dropping-particle":"","family":"Rogak","given":"Lauren J.","non-dropping-particle":"","parse-names":false,"suffix":""},{"dropping-particle":"","family":"Abernethy","given":"Amy P.","non-dropping-particle":"","parse-names":false,"suffix":""},{"dropping-particle":"","family":"Griffin","given":"Ashley C.","non-dropping-particle":"","parse-names":false,"suffix":""},{"dropping-particle":"","family":"Basch","given":"Ethan M.","non-dropping-particle":"","parse-names":false,"suffix":""}],"container-title":"Journal of the American Medical Informatics Association","id":"ITEM-4","issued":{"date-parts":[["2019"]]},"title":"Patient free text reporting of symptomatic adverse events in cancer clinical research using the National Cancer Institute's Patient-Reported Outcomes version of the Common Terminology Criteria for Adverse Events (PRO-CTCAE)","type":"article-journal"},"uris":["http://www.mendeley.com/documents/?uuid=5d9b1921-5be5-4d6c-854a-b329602a09cc"]}],"mendeley":{"formattedCitation":"&lt;sup&gt;38,39,46,47&lt;/sup&gt;","plainTextFormattedCitation":"38,39,46,47","previouslyFormattedCitation":"&lt;sup&gt;38,39,46,47&lt;/sup&gt;"},"properties":{"noteIndex":0},"schema":"https://github.com/citation-style-language/schema/raw/master/csl-citation.json"}</w:instrText>
      </w:r>
      <w:r w:rsidR="005457ED" w:rsidRPr="00E14F7D">
        <w:rPr>
          <w:rFonts w:ascii="Times New Roman" w:hAnsi="Times New Roman" w:cs="Times New Roman"/>
        </w:rPr>
        <w:fldChar w:fldCharType="separate"/>
      </w:r>
      <w:r w:rsidR="00401A53" w:rsidRPr="00401A53">
        <w:rPr>
          <w:rFonts w:ascii="Times New Roman" w:hAnsi="Times New Roman" w:cs="Times New Roman"/>
          <w:noProof/>
          <w:vertAlign w:val="superscript"/>
        </w:rPr>
        <w:t>38,39,46,47</w:t>
      </w:r>
      <w:r w:rsidR="005457ED" w:rsidRPr="00E14F7D">
        <w:rPr>
          <w:rFonts w:ascii="Times New Roman" w:hAnsi="Times New Roman" w:cs="Times New Roman"/>
        </w:rPr>
        <w:fldChar w:fldCharType="end"/>
      </w:r>
      <w:r w:rsidRPr="00E14F7D">
        <w:rPr>
          <w:rFonts w:ascii="Times New Roman" w:hAnsi="Times New Roman" w:cs="Times New Roman"/>
        </w:rPr>
        <w:t xml:space="preserve"> Researchers should also describe how the selected item list compares to those used in other studies investigating the same treatment regimen. </w:t>
      </w:r>
    </w:p>
    <w:p w14:paraId="422DB4E2" w14:textId="5E22278D" w:rsidR="002D5605" w:rsidRPr="00E14F7D" w:rsidRDefault="002D5605" w:rsidP="00E14F7D">
      <w:pPr>
        <w:pStyle w:val="ListParagraph"/>
        <w:numPr>
          <w:ilvl w:val="0"/>
          <w:numId w:val="7"/>
        </w:numPr>
        <w:spacing w:line="360" w:lineRule="auto"/>
        <w:rPr>
          <w:rFonts w:ascii="Times New Roman" w:hAnsi="Times New Roman" w:cs="Times New Roman"/>
          <w:i/>
          <w:iCs/>
        </w:rPr>
      </w:pPr>
      <w:r w:rsidRPr="00E14F7D">
        <w:rPr>
          <w:rFonts w:ascii="Times New Roman" w:hAnsi="Times New Roman" w:cs="Times New Roman"/>
          <w:i/>
          <w:iCs/>
        </w:rPr>
        <w:t>How can unexpected issues be measured?</w:t>
      </w:r>
    </w:p>
    <w:p w14:paraId="6D0B9742" w14:textId="0D839AB8" w:rsidR="00EA09FD" w:rsidRPr="00E14F7D" w:rsidRDefault="7EFBCF47" w:rsidP="00AF0675">
      <w:pPr>
        <w:spacing w:line="360" w:lineRule="auto"/>
        <w:rPr>
          <w:rFonts w:ascii="Times New Roman" w:hAnsi="Times New Roman" w:cs="Times New Roman"/>
        </w:rPr>
      </w:pPr>
      <w:r w:rsidRPr="00E14F7D">
        <w:rPr>
          <w:rFonts w:ascii="Times New Roman" w:hAnsi="Times New Roman" w:cs="Times New Roman"/>
          <w:u w:val="single"/>
        </w:rPr>
        <w:t>Free text reporting.</w:t>
      </w:r>
      <w:r w:rsidRPr="00E14F7D">
        <w:rPr>
          <w:rFonts w:ascii="Times New Roman" w:hAnsi="Times New Roman" w:cs="Times New Roman"/>
        </w:rPr>
        <w:t xml:space="preserve"> The use of free text response options can help to elicit unexpected </w:t>
      </w:r>
      <w:r w:rsidR="00CC18F8" w:rsidRPr="00E14F7D">
        <w:rPr>
          <w:rFonts w:ascii="Times New Roman" w:hAnsi="Times New Roman" w:cs="Times New Roman"/>
        </w:rPr>
        <w:t xml:space="preserve">symptomatic </w:t>
      </w:r>
      <w:r w:rsidRPr="00E14F7D">
        <w:rPr>
          <w:rFonts w:ascii="Times New Roman" w:hAnsi="Times New Roman" w:cs="Times New Roman"/>
        </w:rPr>
        <w:t>AEs</w:t>
      </w:r>
      <w:r w:rsidR="00CC18F8" w:rsidRPr="00E14F7D">
        <w:rPr>
          <w:rFonts w:ascii="Times New Roman" w:hAnsi="Times New Roman" w:cs="Times New Roman"/>
        </w:rPr>
        <w:t xml:space="preserve"> </w:t>
      </w:r>
      <w:r w:rsidRPr="00E14F7D">
        <w:rPr>
          <w:rFonts w:ascii="Times New Roman" w:hAnsi="Times New Roman" w:cs="Times New Roman"/>
        </w:rPr>
        <w:t>and issues, which may be particularly useful in certain study contexts and populations</w:t>
      </w:r>
      <w:r w:rsidR="00EB2159" w:rsidRPr="00E14F7D">
        <w:rPr>
          <w:rFonts w:ascii="Times New Roman" w:hAnsi="Times New Roman" w:cs="Times New Roman"/>
        </w:rPr>
        <w:t xml:space="preserve"> (e.g., early phase trials)</w:t>
      </w:r>
      <w:r w:rsidR="006D5821" w:rsidRPr="00E14F7D">
        <w:rPr>
          <w:rFonts w:ascii="Times New Roman" w:hAnsi="Times New Roman" w:cs="Times New Roman"/>
        </w:rPr>
        <w:t>.</w:t>
      </w:r>
      <w:r w:rsidR="002B6503" w:rsidRPr="00E14F7D">
        <w:rPr>
          <w:rFonts w:ascii="Times New Roman" w:hAnsi="Times New Roman" w:cs="Times New Roman"/>
        </w:rPr>
        <w:t xml:space="preserve"> </w:t>
      </w:r>
      <w:r w:rsidR="002B6503" w:rsidRPr="00E14F7D">
        <w:rPr>
          <w:rFonts w:ascii="Times New Roman" w:hAnsi="Times New Roman" w:cs="Times New Roman"/>
        </w:rPr>
        <w:fldChar w:fldCharType="begin" w:fldLock="1"/>
      </w:r>
      <w:r w:rsidR="00FA4747">
        <w:rPr>
          <w:rFonts w:ascii="Times New Roman" w:hAnsi="Times New Roman" w:cs="Times New Roman"/>
        </w:rPr>
        <w:instrText>ADDIN CSL_CITATION {"citationItems":[{"id":"ITEM-1","itemData":{"URL":"https://www.fda.gov/drugs/development-approval-process-drugs/fda-patient-focused-drug-development-guidance-series-enhancing-incorporation-patients-voice-medical","abstract":"This guidance document is being distributed for comment purposes only. Comments and suggestions regarding this draft document should be submitted within 90 days of publication in the Federal Register of the notice announcing the availability of the draft guidance. Submit electronic comments to https://www.regulations.gov. Submit written comments to the Dockets Management Staff (HFA-305), Food and Drug Administration, 5630 Fishers Lane, Rm. 1061, Rockville, MD 20852. All comments should be identified with the docket number listed in the notice of availability that publishes in the Federal Register. For questions regarding this draft document, contact (CDER) Office of Communications, Division of Drug Information at druginfo@fda.hhs.gov, (855) 543-3784, or (301) 796-3400 or (CBER) Office of Communication, Outreach and Development at ocod@fda.hhs.gov, 800-835-4709 or 240-402-8010.","author":[{"dropping-particle":"","family":"FDA","given":"","non-dropping-particle":"","parse-names":false,"suffix":""}],"id":"ITEM-1","issued":{"date-parts":[["2022"]]},"title":"Patient-Focused Drug Development: Methods to Identify What Is Important to Patients","type":"webpage"},"uris":["http://www.mendeley.com/documents/?uuid=dcc223f6-efd1-470b-aa81-74eef70acd19"]}],"mendeley":{"formattedCitation":"&lt;sup&gt;48&lt;/sup&gt;","plainTextFormattedCitation":"48","previouslyFormattedCitation":"&lt;sup&gt;48&lt;/sup&gt;"},"properties":{"noteIndex":0},"schema":"https://github.com/citation-style-language/schema/raw/master/csl-citation.json"}</w:instrText>
      </w:r>
      <w:r w:rsidR="002B6503" w:rsidRPr="00E14F7D">
        <w:rPr>
          <w:rFonts w:ascii="Times New Roman" w:hAnsi="Times New Roman" w:cs="Times New Roman"/>
        </w:rPr>
        <w:fldChar w:fldCharType="separate"/>
      </w:r>
      <w:r w:rsidR="00401A53" w:rsidRPr="00401A53">
        <w:rPr>
          <w:rFonts w:ascii="Times New Roman" w:hAnsi="Times New Roman" w:cs="Times New Roman"/>
          <w:noProof/>
          <w:vertAlign w:val="superscript"/>
        </w:rPr>
        <w:t>48</w:t>
      </w:r>
      <w:r w:rsidR="002B6503" w:rsidRPr="00E14F7D">
        <w:rPr>
          <w:rFonts w:ascii="Times New Roman" w:hAnsi="Times New Roman" w:cs="Times New Roman"/>
        </w:rPr>
        <w:fldChar w:fldCharType="end"/>
      </w:r>
      <w:r w:rsidRPr="00E14F7D">
        <w:rPr>
          <w:rFonts w:ascii="Times New Roman" w:hAnsi="Times New Roman" w:cs="Times New Roman"/>
        </w:rPr>
        <w:t xml:space="preserve"> The newly generated issues can then be translated to item(s) that can be included in PROs in future trials of the same intervention, pending appropriate testing. Within the scope of real-world evidence and in the assessment of novel treatments when longer-term follow-up is required, free text response options can help to ensure that important </w:t>
      </w:r>
      <w:r w:rsidR="00EB2159" w:rsidRPr="00E14F7D">
        <w:rPr>
          <w:rFonts w:ascii="Times New Roman" w:hAnsi="Times New Roman" w:cs="Times New Roman"/>
        </w:rPr>
        <w:t xml:space="preserve">symptomatic </w:t>
      </w:r>
      <w:r w:rsidRPr="00E14F7D">
        <w:rPr>
          <w:rFonts w:ascii="Times New Roman" w:hAnsi="Times New Roman" w:cs="Times New Roman"/>
        </w:rPr>
        <w:t>AEs and issues are captured, while avoiding potentially lengthy test batteries</w:t>
      </w:r>
      <w:r w:rsidR="006D5821" w:rsidRPr="00E14F7D">
        <w:rPr>
          <w:rFonts w:ascii="Times New Roman" w:hAnsi="Times New Roman" w:cs="Times New Roman"/>
        </w:rPr>
        <w:t>.</w:t>
      </w:r>
      <w:r w:rsidRPr="00E14F7D">
        <w:rPr>
          <w:rFonts w:ascii="Times New Roman" w:hAnsi="Times New Roman" w:cs="Times New Roman"/>
        </w:rPr>
        <w:t xml:space="preserve"> </w:t>
      </w:r>
      <w:r w:rsidR="00F31AD4" w:rsidRPr="00E14F7D">
        <w:rPr>
          <w:rFonts w:ascii="Times New Roman" w:hAnsi="Times New Roman" w:cs="Times New Roman"/>
        </w:rPr>
        <w:fldChar w:fldCharType="begin" w:fldLock="1"/>
      </w:r>
      <w:r w:rsidR="00350920">
        <w:rPr>
          <w:rFonts w:ascii="Times New Roman" w:hAnsi="Times New Roman" w:cs="Times New Roman"/>
        </w:rPr>
        <w:instrText>ADDIN CSL_CITATION {"citationItems":[{"id":"ITEM-1","itemData":{"DOI":"10.1038/d41573-019-00088-7","ISBN":"4157301900","ISSN":"14741784","PMID":"31570837","abstract":"Real-world evidence is increasingly valued by regulators and payers. Central to this evidence base is patient-reported outcome data describing the impact of drugs on quality of life, daily activities and symptoms. Here, we highlight key challenges with current real-world, patient-reported outcome data and describe collaborative next steps for international stakeholders to overcome these issues.","author":[{"dropping-particle":"","family":"Calvert","given":"Melanie J.","non-dropping-particle":"","parse-names":false,"suffix":""},{"dropping-particle":"","family":"O’Connor","given":"Daniel J.","non-dropping-particle":"","parse-names":false,"suffix":""},{"dropping-particle":"","family":"Basch","given":"Ethan M.","non-dropping-particle":"","parse-names":false,"suffix":""}],"container-title":"Nature Reviews Drug Discovery","id":"ITEM-1","issue":"10","issued":{"date-parts":[["2019"]]},"page":"731-732","title":"Harnessing the patient voice in real-world evidence: the essential role of patient-reported outcomes","type":"article-journal","volume":"18"},"uris":["http://www.mendeley.com/documents/?uuid=7814725e-0c35-4d40-a9ae-84dd90841644"]}],"mendeley":{"formattedCitation":"&lt;sup&gt;49&lt;/sup&gt;","plainTextFormattedCitation":"49","previouslyFormattedCitation":"&lt;sup&gt;49&lt;/sup&gt;"},"properties":{"noteIndex":0},"schema":"https://github.com/citation-style-language/schema/raw/master/csl-citation.json"}</w:instrText>
      </w:r>
      <w:r w:rsidR="00F31AD4" w:rsidRPr="00E14F7D">
        <w:rPr>
          <w:rFonts w:ascii="Times New Roman" w:hAnsi="Times New Roman" w:cs="Times New Roman"/>
        </w:rPr>
        <w:fldChar w:fldCharType="separate"/>
      </w:r>
      <w:r w:rsidR="00401A53" w:rsidRPr="00401A53">
        <w:rPr>
          <w:rFonts w:ascii="Times New Roman" w:hAnsi="Times New Roman" w:cs="Times New Roman"/>
          <w:noProof/>
          <w:vertAlign w:val="superscript"/>
        </w:rPr>
        <w:t>49</w:t>
      </w:r>
      <w:r w:rsidR="00F31AD4" w:rsidRPr="00E14F7D">
        <w:rPr>
          <w:rFonts w:ascii="Times New Roman" w:hAnsi="Times New Roman" w:cs="Times New Roman"/>
        </w:rPr>
        <w:fldChar w:fldCharType="end"/>
      </w:r>
      <w:r w:rsidRPr="00E14F7D">
        <w:rPr>
          <w:rFonts w:ascii="Times New Roman" w:hAnsi="Times New Roman" w:cs="Times New Roman"/>
        </w:rPr>
        <w:t xml:space="preserve"> In specific populations for whom standard questionnaires </w:t>
      </w:r>
      <w:r w:rsidR="005B41E4">
        <w:rPr>
          <w:rFonts w:ascii="Times New Roman" w:hAnsi="Times New Roman" w:cs="Times New Roman"/>
        </w:rPr>
        <w:t>must be kept short</w:t>
      </w:r>
      <w:r w:rsidRPr="00E14F7D">
        <w:rPr>
          <w:rFonts w:ascii="Times New Roman" w:hAnsi="Times New Roman" w:cs="Times New Roman"/>
        </w:rPr>
        <w:t xml:space="preserve"> (e.g., palliative care), the use of free text response options may be particularly relevant</w:t>
      </w:r>
      <w:r w:rsidR="006D5821" w:rsidRPr="00E14F7D">
        <w:rPr>
          <w:rFonts w:ascii="Times New Roman" w:hAnsi="Times New Roman" w:cs="Times New Roman"/>
        </w:rPr>
        <w:t>.</w:t>
      </w:r>
      <w:r w:rsidRPr="00E14F7D">
        <w:rPr>
          <w:rFonts w:ascii="Times New Roman" w:hAnsi="Times New Roman" w:cs="Times New Roman"/>
        </w:rPr>
        <w:t xml:space="preserve"> </w:t>
      </w:r>
      <w:r w:rsidR="00F31AD4" w:rsidRPr="00E14F7D">
        <w:rPr>
          <w:rFonts w:ascii="Times New Roman" w:hAnsi="Times New Roman" w:cs="Times New Roman"/>
        </w:rPr>
        <w:fldChar w:fldCharType="begin" w:fldLock="1"/>
      </w:r>
      <w:r w:rsidR="00350920">
        <w:rPr>
          <w:rFonts w:ascii="Times New Roman" w:hAnsi="Times New Roman" w:cs="Times New Roman"/>
        </w:rPr>
        <w:instrText>ADDIN CSL_CITATION {"citationItems":[{"id":"ITEM-1","itemData":{"DOI":"10.1007/s00520-019-04976-x","ISSN":"14337339","PMID":"31297593","abstract":"Purpose: Patients in palliative care are willing to answer short questionnaires, like the EORTC QLQ-C15-PAL; however, patients may suffer from other symptoms and problems (S/Ps) not covered by such questionnaires. Therefore, to identify which other S/Ps patients experience, in addition to those already included in the EORTC QLQ-C15-PAL, we developed a brief instrument to supplement this questionnaire named WISP (Write In three Symptoms/Problems), permitting patients to report 1–3 additional S/Ps and their severity. We aim to investigate the nature, prevalence, and severity of S/Ps reported on WISP. Methods: A register-based study with data obtained from the Danish Palliative Care Database. This study included adults with advanced cancer admitted to specialized palliative care in Denmark, who reported S/Ps on WISP. S/Ps were categorized qualitatively, and their prevalence and severity were calculated. Results: Of the 5447 patients who completed the EORTC QLQ-C15-PAL, 1788 (32.8%) reported at least one symptom/problem using WISP. In total, 2796 S/Ps were reported; 24.8% were already covered by EORTC QLQ-C15-PAL; 63.6% were new, 10.1% were diagnoses and 1.6% could not be coded. S/Ps already covered and new were grouped into 61 categories. The most prevalent S/Ps reported were (in decreasing order) pain, edema, dizziness, impaired physical or emotional function, cough, and sweats. Overall, 85% of the S/Ps were rated as moderate to severe. Conclusions: The WISP instrument strongly improves the recognition of S/Ps by combining standardization with individualization. We recommend its use for comprehensive symptom assessment alongside the EORTC QLQ-C15-PAL, and potentially also alongside the EORTC QLQ-C30.","author":[{"dropping-particle":"","family":"Rojas-Concha","given":"Leslye","non-dropping-particle":"","parse-names":false,"suffix":""},{"dropping-particle":"","family":"Hansen","given":"Maiken Bang","non-dropping-particle":"","parse-names":false,"suffix":""},{"dropping-particle":"","family":"Petersen","given":"Morten Aagaard","non-dropping-particle":"","parse-names":false,"suffix":""},{"dropping-particle":"","family":"Groenvold","given":"Mogens","non-dropping-particle":"","parse-names":false,"suffix":""}],"container-title":"Supportive Care in Cancer","id":"ITEM-1","issued":{"date-parts":[["2020"]]},"title":"Which symptoms and problems do advanced cancer patients admitted to specialized palliative care report in addition to those included in the EORTC QLQ-C15-PAL? A register-based national study","type":"article-journal"},"uris":["http://www.mendeley.com/documents/?uuid=e0f68689-d70a-495a-8f9c-679cd1ad02b1"]}],"mendeley":{"formattedCitation":"&lt;sup&gt;50&lt;/sup&gt;","plainTextFormattedCitation":"50","previouslyFormattedCitation":"&lt;sup&gt;50&lt;/sup&gt;"},"properties":{"noteIndex":0},"schema":"https://github.com/citation-style-language/schema/raw/master/csl-citation.json"}</w:instrText>
      </w:r>
      <w:r w:rsidR="00F31AD4" w:rsidRPr="00E14F7D">
        <w:rPr>
          <w:rFonts w:ascii="Times New Roman" w:hAnsi="Times New Roman" w:cs="Times New Roman"/>
        </w:rPr>
        <w:fldChar w:fldCharType="separate"/>
      </w:r>
      <w:r w:rsidR="00401A53" w:rsidRPr="00401A53">
        <w:rPr>
          <w:rFonts w:ascii="Times New Roman" w:hAnsi="Times New Roman" w:cs="Times New Roman"/>
          <w:noProof/>
          <w:vertAlign w:val="superscript"/>
        </w:rPr>
        <w:t>50</w:t>
      </w:r>
      <w:r w:rsidR="00F31AD4" w:rsidRPr="00E14F7D">
        <w:rPr>
          <w:rFonts w:ascii="Times New Roman" w:hAnsi="Times New Roman" w:cs="Times New Roman"/>
        </w:rPr>
        <w:fldChar w:fldCharType="end"/>
      </w:r>
    </w:p>
    <w:p w14:paraId="4F92E22C" w14:textId="452735DD" w:rsidR="00BC1BA5" w:rsidRPr="00E14F7D" w:rsidRDefault="00EA09FD" w:rsidP="00AF0675">
      <w:pPr>
        <w:spacing w:line="360" w:lineRule="auto"/>
        <w:rPr>
          <w:rFonts w:ascii="Times New Roman" w:hAnsi="Times New Roman" w:cs="Times New Roman"/>
        </w:rPr>
      </w:pPr>
      <w:r w:rsidRPr="00E14F7D">
        <w:rPr>
          <w:rFonts w:ascii="Times New Roman" w:hAnsi="Times New Roman" w:cs="Times New Roman"/>
          <w:u w:val="single"/>
        </w:rPr>
        <w:t>Predictive text reporting.</w:t>
      </w:r>
      <w:r w:rsidR="006A49D6" w:rsidRPr="00E14F7D">
        <w:rPr>
          <w:rFonts w:ascii="Times New Roman" w:hAnsi="Times New Roman" w:cs="Times New Roman"/>
        </w:rPr>
        <w:t xml:space="preserve"> </w:t>
      </w:r>
      <w:r w:rsidR="00464EF7" w:rsidRPr="00E14F7D">
        <w:rPr>
          <w:rFonts w:ascii="Times New Roman" w:hAnsi="Times New Roman" w:cs="Times New Roman"/>
        </w:rPr>
        <w:t xml:space="preserve">Studies of some measurement systems, like the PRO-CTCAE, have incorporated drop-down menus using terms </w:t>
      </w:r>
      <w:r w:rsidR="00D62A3E" w:rsidRPr="00E14F7D">
        <w:rPr>
          <w:rFonts w:ascii="Times New Roman" w:hAnsi="Times New Roman" w:cs="Times New Roman"/>
        </w:rPr>
        <w:t>from</w:t>
      </w:r>
      <w:r w:rsidR="00464EF7" w:rsidRPr="00E14F7D">
        <w:rPr>
          <w:rFonts w:ascii="Times New Roman" w:hAnsi="Times New Roman" w:cs="Times New Roman"/>
        </w:rPr>
        <w:t xml:space="preserve"> the PRO-CTCAE and</w:t>
      </w:r>
      <w:r w:rsidR="00D07AE3">
        <w:rPr>
          <w:rFonts w:ascii="Times New Roman" w:hAnsi="Times New Roman" w:cs="Times New Roman"/>
        </w:rPr>
        <w:t xml:space="preserve"> the Medical Dictionary for Regulatory Activities</w:t>
      </w:r>
      <w:r w:rsidR="00464EF7" w:rsidRPr="00E14F7D">
        <w:rPr>
          <w:rFonts w:ascii="Times New Roman" w:hAnsi="Times New Roman" w:cs="Times New Roman"/>
        </w:rPr>
        <w:t xml:space="preserve"> </w:t>
      </w:r>
      <w:r w:rsidR="00D07AE3">
        <w:rPr>
          <w:rFonts w:ascii="Times New Roman" w:hAnsi="Times New Roman" w:cs="Times New Roman"/>
        </w:rPr>
        <w:t>(</w:t>
      </w:r>
      <w:r w:rsidR="00464EF7" w:rsidRPr="00E14F7D">
        <w:rPr>
          <w:rFonts w:ascii="Times New Roman" w:hAnsi="Times New Roman" w:cs="Times New Roman"/>
        </w:rPr>
        <w:t>MedDRA</w:t>
      </w:r>
      <w:r w:rsidR="00D07AE3">
        <w:rPr>
          <w:rFonts w:ascii="Times New Roman" w:hAnsi="Times New Roman" w:cs="Times New Roman"/>
        </w:rPr>
        <w:t>)</w:t>
      </w:r>
      <w:r w:rsidR="00464EF7" w:rsidRPr="00E14F7D">
        <w:rPr>
          <w:rFonts w:ascii="Times New Roman" w:hAnsi="Times New Roman" w:cs="Times New Roman"/>
        </w:rPr>
        <w:t xml:space="preserve"> to ensure meaningfulness of concepts and comparability</w:t>
      </w:r>
      <w:r w:rsidR="006D5821" w:rsidRPr="00E14F7D">
        <w:rPr>
          <w:rFonts w:ascii="Times New Roman" w:hAnsi="Times New Roman" w:cs="Times New Roman"/>
        </w:rPr>
        <w:t>.</w:t>
      </w:r>
      <w:r w:rsidR="00464EF7" w:rsidRPr="00E14F7D">
        <w:rPr>
          <w:rFonts w:ascii="Times New Roman" w:hAnsi="Times New Roman" w:cs="Times New Roman"/>
        </w:rPr>
        <w:t xml:space="preserve"> </w:t>
      </w:r>
      <w:r w:rsidR="00464EF7" w:rsidRPr="00E14F7D">
        <w:rPr>
          <w:rFonts w:ascii="Times New Roman" w:hAnsi="Times New Roman" w:cs="Times New Roman"/>
        </w:rPr>
        <w:fldChar w:fldCharType="begin" w:fldLock="1"/>
      </w:r>
      <w:r w:rsidR="00350920">
        <w:rPr>
          <w:rFonts w:ascii="Times New Roman" w:hAnsi="Times New Roman" w:cs="Times New Roman"/>
        </w:rPr>
        <w:instrText>ADDIN CSL_CITATION {"citationItems":[{"id":"ITEM-1","itemData":{"DOI":"10.1093/jamia/ocy169","ISSN":"1527974X","PMID":"30840079","abstract":"Objective: The study sought to describe patient-entered supplemental information on symptomatic adverse events (AEs) in cancer clinical research reported via a National Cancer Institute software system and examine the feasibility of mapping these entries to established terminologies. Materials and Methods: Patients in 3 multicenter trials electronically completed surveys during cancer treatment. Each survey included a prespecified subset of items from the National Cancer Institute's Patient-Reported Outcomes version of the Common Terminology Criteria for Adverse Events (PRO-CTCAE). Upon completion of the survey items, patients could add supplemental symptomatic AE information in a free text box. As patients typed into the box, structured dropdown terms could be selected from the PRO-CTCAE item library or Medical Dictionary for Regulatory Activities (MedDRA), or patients could type unstructured free text for submission. Results: Data were pooled from 1760 participants (48% women; 78% White) who completed 8892 surveys, of which 2387 (26.8%) included supplemental symptomatic AE information. Overall, 1024 (58%) patients entered supplemental information at least once, with an average of 2.3 per patient per study. This encompassed 1474 of 8892 (16.6%) dropdowns and 913 of 8892 (10.3%) unstructured free text entries. One-third of the unstructured free text entries (32%) could be mapped post hoc to a PRO-CTCAE term and 68% to a MedDRA term. Discussion: Participants frequently added supplemental information beyond study-specific survey items. Almost half selected a structured dropdown term, although many opted to submit unstructured free text entries. Most free text entries could be mapped post hoc to PRO-CTCAE or MedDRA terms, suggesting opportunities to enhance the system to perform real-time mapping for AE reporting. Conclusions: Patient reporting of symptomatic AEs using a text box functionality with mapping to existing terminologies is both feasible and informative.","author":[{"dropping-particle":"","family":"Chung","given":"Arlene E.","non-dropping-particle":"","parse-names":false,"suffix":""},{"dropping-particle":"","family":"Shoenbill","given":"Kimberly","non-dropping-particle":"","parse-names":false,"suffix":""},{"dropping-particle":"","family":"Mitchell","given":"Sandra A.","non-dropping-particle":"","parse-names":false,"suffix":""},{"dropping-particle":"","family":"Dueck","given":"Amylou C.","non-dropping-particle":"","parse-names":false,"suffix":""},{"dropping-particle":"","family":"Schrag","given":"Deborah","non-dropping-particle":"","parse-names":false,"suffix":""},{"dropping-particle":"","family":"Bruner","given":"Deborah W.","non-dropping-particle":"","parse-names":false,"suffix":""},{"dropping-particle":"","family":"Minasian","given":"Lori M.","non-dropping-particle":"","parse-names":false,"suffix":""},{"dropping-particle":"","family":"St Germain","given":"Diane","non-dropping-particle":"","parse-names":false,"suffix":""},{"dropping-particle":"","family":"O'Mara","given":"Ann M.","non-dropping-particle":"","parse-names":false,"suffix":""},{"dropping-particle":"","family":"Baumgartner","given":"Paul","non-dropping-particle":"","parse-names":false,"suffix":""},{"dropping-particle":"","family":"Rogak","given":"Lauren J.","non-dropping-particle":"","parse-names":false,"suffix":""},{"dropping-particle":"","family":"Abernethy","given":"Amy P.","non-dropping-particle":"","parse-names":false,"suffix":""},{"dropping-particle":"","family":"Griffin","given":"Ashley C.","non-dropping-particle":"","parse-names":false,"suffix":""},{"dropping-particle":"","family":"Basch","given":"Ethan M.","non-dropping-particle":"","parse-names":false,"suffix":""}],"container-title":"Journal of the American Medical Informatics Association","id":"ITEM-1","issued":{"date-parts":[["2019"]]},"title":"Patient free text reporting of symptomatic adverse events in cancer clinical research using the National Cancer Institute's Patient-Reported Outcomes version of the Common Terminology Criteria for Adverse Events (PRO-CTCAE)","type":"article-journal"},"uris":["http://www.mendeley.com/documents/?uuid=5d9b1921-5be5-4d6c-854a-b329602a09cc"]}],"mendeley":{"formattedCitation":"&lt;sup&gt;47&lt;/sup&gt;","plainTextFormattedCitation":"47","previouslyFormattedCitation":"&lt;sup&gt;47&lt;/sup&gt;"},"properties":{"noteIndex":0},"schema":"https://github.com/citation-style-language/schema/raw/master/csl-citation.json"}</w:instrText>
      </w:r>
      <w:r w:rsidR="00464EF7" w:rsidRPr="00E14F7D">
        <w:rPr>
          <w:rFonts w:ascii="Times New Roman" w:hAnsi="Times New Roman" w:cs="Times New Roman"/>
        </w:rPr>
        <w:fldChar w:fldCharType="separate"/>
      </w:r>
      <w:r w:rsidR="00401A53" w:rsidRPr="00401A53">
        <w:rPr>
          <w:rFonts w:ascii="Times New Roman" w:hAnsi="Times New Roman" w:cs="Times New Roman"/>
          <w:noProof/>
          <w:vertAlign w:val="superscript"/>
        </w:rPr>
        <w:t>47</w:t>
      </w:r>
      <w:r w:rsidR="00464EF7" w:rsidRPr="00E14F7D">
        <w:rPr>
          <w:rFonts w:ascii="Times New Roman" w:hAnsi="Times New Roman" w:cs="Times New Roman"/>
        </w:rPr>
        <w:fldChar w:fldCharType="end"/>
      </w:r>
    </w:p>
    <w:p w14:paraId="41771FFD" w14:textId="74F63123" w:rsidR="0079647B" w:rsidRPr="00E14F7D" w:rsidRDefault="7EFBCF47" w:rsidP="00AF0675">
      <w:pPr>
        <w:spacing w:line="360" w:lineRule="auto"/>
        <w:rPr>
          <w:rFonts w:ascii="Times New Roman" w:hAnsi="Times New Roman" w:cs="Times New Roman"/>
        </w:rPr>
      </w:pPr>
      <w:r w:rsidRPr="00E14F7D">
        <w:rPr>
          <w:rFonts w:ascii="Times New Roman" w:hAnsi="Times New Roman" w:cs="Times New Roman"/>
        </w:rPr>
        <w:t xml:space="preserve">Even in PRO-CTCAE studies where unstructured free text entries are used, the majority of these </w:t>
      </w:r>
      <w:r w:rsidR="00EB2159" w:rsidRPr="00E14F7D">
        <w:rPr>
          <w:rFonts w:ascii="Times New Roman" w:hAnsi="Times New Roman" w:cs="Times New Roman"/>
        </w:rPr>
        <w:t xml:space="preserve">can </w:t>
      </w:r>
      <w:r w:rsidR="00454C23" w:rsidRPr="00E14F7D">
        <w:rPr>
          <w:rFonts w:ascii="Times New Roman" w:hAnsi="Times New Roman" w:cs="Times New Roman"/>
        </w:rPr>
        <w:t xml:space="preserve">be </w:t>
      </w:r>
      <w:r w:rsidRPr="00E14F7D">
        <w:rPr>
          <w:rFonts w:ascii="Times New Roman" w:hAnsi="Times New Roman" w:cs="Times New Roman"/>
        </w:rPr>
        <w:t xml:space="preserve">mapped onto the PRO-CTCAE and MedDRA terminology, but this does add additional </w:t>
      </w:r>
      <w:r w:rsidR="00454C23" w:rsidRPr="00E14F7D">
        <w:rPr>
          <w:rFonts w:ascii="Times New Roman" w:hAnsi="Times New Roman" w:cs="Times New Roman"/>
        </w:rPr>
        <w:t xml:space="preserve">work </w:t>
      </w:r>
      <w:r w:rsidRPr="00E14F7D">
        <w:rPr>
          <w:rFonts w:ascii="Times New Roman" w:hAnsi="Times New Roman" w:cs="Times New Roman"/>
        </w:rPr>
        <w:t>for the researchers involved</w:t>
      </w:r>
      <w:r w:rsidR="006D5821" w:rsidRPr="00E14F7D">
        <w:rPr>
          <w:rFonts w:ascii="Times New Roman" w:hAnsi="Times New Roman" w:cs="Times New Roman"/>
        </w:rPr>
        <w:t>.</w:t>
      </w:r>
      <w:r w:rsidRPr="00E14F7D">
        <w:rPr>
          <w:rFonts w:ascii="Times New Roman" w:hAnsi="Times New Roman" w:cs="Times New Roman"/>
        </w:rPr>
        <w:t xml:space="preserve"> </w:t>
      </w:r>
      <w:r w:rsidR="00464EF7" w:rsidRPr="00E14F7D">
        <w:rPr>
          <w:rFonts w:ascii="Times New Roman" w:hAnsi="Times New Roman" w:cs="Times New Roman"/>
        </w:rPr>
        <w:fldChar w:fldCharType="begin" w:fldLock="1"/>
      </w:r>
      <w:r w:rsidR="00350920">
        <w:rPr>
          <w:rFonts w:ascii="Times New Roman" w:hAnsi="Times New Roman" w:cs="Times New Roman"/>
        </w:rPr>
        <w:instrText>ADDIN CSL_CITATION {"citationItems":[{"id":"ITEM-1","itemData":{"DOI":"10.1093/jamia/ocy169","ISSN":"1527974X","PMID":"30840079","abstract":"Objective: The study sought to describe patient-entered supplemental information on symptomatic adverse events (AEs) in cancer clinical research reported via a National Cancer Institute software system and examine the feasibility of mapping these entries to established terminologies. Materials and Methods: Patients in 3 multicenter trials electronically completed surveys during cancer treatment. Each survey included a prespecified subset of items from the National Cancer Institute's Patient-Reported Outcomes version of the Common Terminology Criteria for Adverse Events (PRO-CTCAE). Upon completion of the survey items, patients could add supplemental symptomatic AE information in a free text box. As patients typed into the box, structured dropdown terms could be selected from the PRO-CTCAE item library or Medical Dictionary for Regulatory Activities (MedDRA), or patients could type unstructured free text for submission. Results: Data were pooled from 1760 participants (48% women; 78% White) who completed 8892 surveys, of which 2387 (26.8%) included supplemental symptomatic AE information. Overall, 1024 (58%) patients entered supplemental information at least once, with an average of 2.3 per patient per study. This encompassed 1474 of 8892 (16.6%) dropdowns and 913 of 8892 (10.3%) unstructured free text entries. One-third of the unstructured free text entries (32%) could be mapped post hoc to a PRO-CTCAE term and 68% to a MedDRA term. Discussion: Participants frequently added supplemental information beyond study-specific survey items. Almost half selected a structured dropdown term, although many opted to submit unstructured free text entries. Most free text entries could be mapped post hoc to PRO-CTCAE or MedDRA terms, suggesting opportunities to enhance the system to perform real-time mapping for AE reporting. Conclusions: Patient reporting of symptomatic AEs using a text box functionality with mapping to existing terminologies is both feasible and informative.","author":[{"dropping-particle":"","family":"Chung","given":"Arlene E.","non-dropping-particle":"","parse-names":false,"suffix":""},{"dropping-particle":"","family":"Shoenbill","given":"Kimberly","non-dropping-particle":"","parse-names":false,"suffix":""},{"dropping-particle":"","family":"Mitchell","given":"Sandra A.","non-dropping-particle":"","parse-names":false,"suffix":""},{"dropping-particle":"","family":"Dueck","given":"Amylou C.","non-dropping-particle":"","parse-names":false,"suffix":""},{"dropping-particle":"","family":"Schrag","given":"Deborah","non-dropping-particle":"","parse-names":false,"suffix":""},{"dropping-particle":"","family":"Bruner","given":"Deborah W.","non-dropping-particle":"","parse-names":false,"suffix":""},{"dropping-particle":"","family":"Minasian","given":"Lori M.","non-dropping-particle":"","parse-names":false,"suffix":""},{"dropping-particle":"","family":"St Germain","given":"Diane","non-dropping-particle":"","parse-names":false,"suffix":""},{"dropping-particle":"","family":"O'Mara","given":"Ann M.","non-dropping-particle":"","parse-names":false,"suffix":""},{"dropping-particle":"","family":"Baumgartner","given":"Paul","non-dropping-particle":"","parse-names":false,"suffix":""},{"dropping-particle":"","family":"Rogak","given":"Lauren J.","non-dropping-particle":"","parse-names":false,"suffix":""},{"dropping-particle":"","family":"Abernethy","given":"Amy P.","non-dropping-particle":"","parse-names":false,"suffix":""},{"dropping-particle":"","family":"Griffin","given":"Ashley C.","non-dropping-particle":"","parse-names":false,"suffix":""},{"dropping-particle":"","family":"Basch","given":"Ethan M.","non-dropping-particle":"","parse-names":false,"suffix":""}],"container-title":"Journal of the American Medical Informatics Association","id":"ITEM-1","issued":{"date-parts":[["2019"]]},"title":"Patient free text reporting of symptomatic adverse events in cancer clinical research using the National Cancer Institute's Patient-Reported Outcomes version of the Common Terminology Criteria for Adverse Events (PRO-CTCAE)","type":"article-journal"},"uris":["http://www.mendeley.com/documents/?uuid=5d9b1921-5be5-4d6c-854a-b329602a09cc"]}],"mendeley":{"formattedCitation":"&lt;sup&gt;47&lt;/sup&gt;","plainTextFormattedCitation":"47","previouslyFormattedCitation":"&lt;sup&gt;47&lt;/sup&gt;"},"properties":{"noteIndex":0},"schema":"https://github.com/citation-style-language/schema/raw/master/csl-citation.json"}</w:instrText>
      </w:r>
      <w:r w:rsidR="00464EF7" w:rsidRPr="00E14F7D">
        <w:rPr>
          <w:rFonts w:ascii="Times New Roman" w:hAnsi="Times New Roman" w:cs="Times New Roman"/>
        </w:rPr>
        <w:fldChar w:fldCharType="separate"/>
      </w:r>
      <w:r w:rsidR="00401A53" w:rsidRPr="00401A53">
        <w:rPr>
          <w:rFonts w:ascii="Times New Roman" w:hAnsi="Times New Roman" w:cs="Times New Roman"/>
          <w:noProof/>
          <w:vertAlign w:val="superscript"/>
        </w:rPr>
        <w:t>47</w:t>
      </w:r>
      <w:r w:rsidR="00464EF7" w:rsidRPr="00E14F7D">
        <w:rPr>
          <w:rFonts w:ascii="Times New Roman" w:hAnsi="Times New Roman" w:cs="Times New Roman"/>
        </w:rPr>
        <w:fldChar w:fldCharType="end"/>
      </w:r>
      <w:r w:rsidRPr="00E14F7D">
        <w:rPr>
          <w:rFonts w:ascii="Times New Roman" w:hAnsi="Times New Roman" w:cs="Times New Roman"/>
        </w:rPr>
        <w:t xml:space="preserve"> Research on the use of the write-in three symptoms/problems (WISP) has also shown that additional symptoms and problems reported by patients using unstructured free text reporting can be qualitatively coded and summarized</w:t>
      </w:r>
      <w:r w:rsidR="006D5821" w:rsidRPr="00E14F7D">
        <w:rPr>
          <w:rFonts w:ascii="Times New Roman" w:hAnsi="Times New Roman" w:cs="Times New Roman"/>
        </w:rPr>
        <w:t>.</w:t>
      </w:r>
      <w:r w:rsidRPr="00E14F7D">
        <w:rPr>
          <w:rFonts w:ascii="Times New Roman" w:hAnsi="Times New Roman" w:cs="Times New Roman"/>
        </w:rPr>
        <w:t xml:space="preserve"> </w:t>
      </w:r>
      <w:r w:rsidR="00464EF7" w:rsidRPr="00E14F7D">
        <w:rPr>
          <w:rFonts w:ascii="Times New Roman" w:hAnsi="Times New Roman" w:cs="Times New Roman"/>
        </w:rPr>
        <w:fldChar w:fldCharType="begin" w:fldLock="1"/>
      </w:r>
      <w:r w:rsidR="00350920">
        <w:rPr>
          <w:rFonts w:ascii="Times New Roman" w:hAnsi="Times New Roman" w:cs="Times New Roman"/>
        </w:rPr>
        <w:instrText>ADDIN CSL_CITATION {"citationItems":[{"id":"ITEM-1","itemData":{"DOI":"10.1007/s00520-019-04976-x","ISSN":"14337339","PMID":"31297593","abstract":"Purpose: Patients in palliative care are willing to answer short questionnaires, like the EORTC QLQ-C15-PAL; however, patients may suffer from other symptoms and problems (S/Ps) not covered by such questionnaires. Therefore, to identify which other S/Ps patients experience, in addition to those already included in the EORTC QLQ-C15-PAL, we developed a brief instrument to supplement this questionnaire named WISP (Write In three Symptoms/Problems), permitting patients to report 1–3 additional S/Ps and their severity. We aim to investigate the nature, prevalence, and severity of S/Ps reported on WISP. Methods: A register-based study with data obtained from the Danish Palliative Care Database. This study included adults with advanced cancer admitted to specialized palliative care in Denmark, who reported S/Ps on WISP. S/Ps were categorized qualitatively, and their prevalence and severity were calculated. Results: Of the 5447 patients who completed the EORTC QLQ-C15-PAL, 1788 (32.8%) reported at least one symptom/problem using WISP. In total, 2796 S/Ps were reported; 24.8% were already covered by EORTC QLQ-C15-PAL; 63.6% were new, 10.1% were diagnoses and 1.6% could not be coded. S/Ps already covered and new were grouped into 61 categories. The most prevalent S/Ps reported were (in decreasing order) pain, edema, dizziness, impaired physical or emotional function, cough, and sweats. Overall, 85% of the S/Ps were rated as moderate to severe. Conclusions: The WISP instrument strongly improves the recognition of S/Ps by combining standardization with individualization. We recommend its use for comprehensive symptom assessment alongside the EORTC QLQ-C15-PAL, and potentially also alongside the EORTC QLQ-C30.","author":[{"dropping-particle":"","family":"Rojas-Concha","given":"Leslye","non-dropping-particle":"","parse-names":false,"suffix":""},{"dropping-particle":"","family":"Hansen","given":"Maiken Bang","non-dropping-particle":"","parse-names":false,"suffix":""},{"dropping-particle":"","family":"Petersen","given":"Morten Aagaard","non-dropping-particle":"","parse-names":false,"suffix":""},{"dropping-particle":"","family":"Groenvold","given":"Mogens","non-dropping-particle":"","parse-names":false,"suffix":""}],"container-title":"Supportive Care in Cancer","id":"ITEM-1","issued":{"date-parts":[["2020"]]},"title":"Which symptoms and problems do advanced cancer patients admitted to specialized palliative care report in addition to those included in the EORTC QLQ-C15-PAL? A register-based national study","type":"article-journal"},"uris":["http://www.mendeley.com/documents/?uuid=e0f68689-d70a-495a-8f9c-679cd1ad02b1"]}],"mendeley":{"formattedCitation":"&lt;sup&gt;50&lt;/sup&gt;","plainTextFormattedCitation":"50","previouslyFormattedCitation":"&lt;sup&gt;50&lt;/sup&gt;"},"properties":{"noteIndex":0},"schema":"https://github.com/citation-style-language/schema/raw/master/csl-citation.json"}</w:instrText>
      </w:r>
      <w:r w:rsidR="00464EF7" w:rsidRPr="00E14F7D">
        <w:rPr>
          <w:rFonts w:ascii="Times New Roman" w:hAnsi="Times New Roman" w:cs="Times New Roman"/>
        </w:rPr>
        <w:fldChar w:fldCharType="separate"/>
      </w:r>
      <w:r w:rsidR="00401A53" w:rsidRPr="00401A53">
        <w:rPr>
          <w:rFonts w:ascii="Times New Roman" w:hAnsi="Times New Roman" w:cs="Times New Roman"/>
          <w:noProof/>
          <w:vertAlign w:val="superscript"/>
        </w:rPr>
        <w:t>50</w:t>
      </w:r>
      <w:r w:rsidR="00464EF7" w:rsidRPr="00E14F7D">
        <w:rPr>
          <w:rFonts w:ascii="Times New Roman" w:hAnsi="Times New Roman" w:cs="Times New Roman"/>
        </w:rPr>
        <w:fldChar w:fldCharType="end"/>
      </w:r>
    </w:p>
    <w:p w14:paraId="5636EB1C" w14:textId="1042B2E7" w:rsidR="00E66BBC" w:rsidRPr="00E14F7D" w:rsidRDefault="00E66BBC" w:rsidP="00AF0675">
      <w:pPr>
        <w:spacing w:line="360" w:lineRule="auto"/>
        <w:rPr>
          <w:rFonts w:ascii="Times New Roman" w:hAnsi="Times New Roman" w:cs="Times New Roman"/>
        </w:rPr>
      </w:pPr>
      <w:r w:rsidRPr="00E14F7D">
        <w:rPr>
          <w:rFonts w:ascii="Times New Roman" w:hAnsi="Times New Roman" w:cs="Times New Roman"/>
        </w:rPr>
        <w:t>It is important to note that free text reporting may be more feasible within the context of measures that assess symptom</w:t>
      </w:r>
      <w:r w:rsidR="009D2F1D" w:rsidRPr="00E14F7D">
        <w:rPr>
          <w:rFonts w:ascii="Times New Roman" w:hAnsi="Times New Roman" w:cs="Times New Roman"/>
        </w:rPr>
        <w:t xml:space="preserve">atic </w:t>
      </w:r>
      <w:r w:rsidRPr="00E14F7D">
        <w:rPr>
          <w:rFonts w:ascii="Times New Roman" w:hAnsi="Times New Roman" w:cs="Times New Roman"/>
        </w:rPr>
        <w:t>AEs alone</w:t>
      </w:r>
      <w:r w:rsidR="00865017" w:rsidRPr="00E14F7D">
        <w:rPr>
          <w:rFonts w:ascii="Times New Roman" w:hAnsi="Times New Roman" w:cs="Times New Roman"/>
        </w:rPr>
        <w:t xml:space="preserve"> (versus psychosocial impact and functioning)</w:t>
      </w:r>
      <w:r w:rsidRPr="00E14F7D">
        <w:rPr>
          <w:rFonts w:ascii="Times New Roman" w:hAnsi="Times New Roman" w:cs="Times New Roman"/>
        </w:rPr>
        <w:t>, given that these are easier to map onto standardized medical terminology and frameworks. Moreover, in large-scale international studies, the analysis of data generated from free text response</w:t>
      </w:r>
      <w:r w:rsidR="00D62A3E" w:rsidRPr="00E14F7D">
        <w:rPr>
          <w:rFonts w:ascii="Times New Roman" w:hAnsi="Times New Roman" w:cs="Times New Roman"/>
        </w:rPr>
        <w:t>s</w:t>
      </w:r>
      <w:r w:rsidRPr="00E14F7D">
        <w:rPr>
          <w:rFonts w:ascii="Times New Roman" w:hAnsi="Times New Roman" w:cs="Times New Roman"/>
        </w:rPr>
        <w:t xml:space="preserve"> may be complicated by translation issues and a lack of standardization.</w:t>
      </w:r>
    </w:p>
    <w:p w14:paraId="5F80ABAD" w14:textId="29329686" w:rsidR="002D5605" w:rsidRPr="00E14F7D" w:rsidRDefault="002D5605" w:rsidP="00E14F7D">
      <w:pPr>
        <w:pStyle w:val="ListParagraph"/>
        <w:numPr>
          <w:ilvl w:val="0"/>
          <w:numId w:val="7"/>
        </w:numPr>
        <w:spacing w:line="360" w:lineRule="auto"/>
        <w:rPr>
          <w:rFonts w:ascii="Times New Roman" w:hAnsi="Times New Roman" w:cs="Times New Roman"/>
          <w:i/>
          <w:iCs/>
        </w:rPr>
      </w:pPr>
      <w:r w:rsidRPr="00E14F7D">
        <w:rPr>
          <w:rFonts w:ascii="Times New Roman" w:hAnsi="Times New Roman" w:cs="Times New Roman"/>
          <w:i/>
          <w:iCs/>
        </w:rPr>
        <w:t>How should item lists be ordered?</w:t>
      </w:r>
    </w:p>
    <w:p w14:paraId="2CE7B918" w14:textId="5BBA114B" w:rsidR="00471739" w:rsidRPr="00E14F7D" w:rsidRDefault="7EF6502E" w:rsidP="00AF0675">
      <w:pPr>
        <w:spacing w:line="360" w:lineRule="auto"/>
        <w:rPr>
          <w:rFonts w:ascii="Times New Roman" w:hAnsi="Times New Roman" w:cs="Times New Roman"/>
        </w:rPr>
      </w:pPr>
      <w:r w:rsidRPr="00E14F7D">
        <w:rPr>
          <w:rFonts w:ascii="Times New Roman" w:hAnsi="Times New Roman" w:cs="Times New Roman"/>
          <w:u w:val="single"/>
        </w:rPr>
        <w:t>Grouping similar items and response formats together.</w:t>
      </w:r>
      <w:r w:rsidRPr="00E14F7D">
        <w:rPr>
          <w:rFonts w:ascii="Times New Roman" w:hAnsi="Times New Roman" w:cs="Times New Roman"/>
        </w:rPr>
        <w:t xml:space="preserve"> As with standard </w:t>
      </w:r>
      <w:r w:rsidR="00701631" w:rsidRPr="00E14F7D">
        <w:rPr>
          <w:rFonts w:ascii="Times New Roman" w:hAnsi="Times New Roman" w:cs="Times New Roman"/>
        </w:rPr>
        <w:t>questionnaires</w:t>
      </w:r>
      <w:r w:rsidRPr="00E14F7D">
        <w:rPr>
          <w:rFonts w:ascii="Times New Roman" w:hAnsi="Times New Roman" w:cs="Times New Roman"/>
        </w:rPr>
        <w:t>, items should be integrated such that similar formats (with matching response/time scales) remain grouped together</w:t>
      </w:r>
      <w:r w:rsidR="006D5821" w:rsidRPr="00E14F7D">
        <w:rPr>
          <w:rFonts w:ascii="Times New Roman" w:hAnsi="Times New Roman" w:cs="Times New Roman"/>
        </w:rPr>
        <w:t>.</w:t>
      </w:r>
      <w:r w:rsidR="00B97249" w:rsidRPr="00E14F7D">
        <w:rPr>
          <w:rFonts w:ascii="Times New Roman" w:hAnsi="Times New Roman" w:cs="Times New Roman"/>
        </w:rPr>
        <w:t xml:space="preserve"> </w:t>
      </w:r>
      <w:r w:rsidR="00B97249" w:rsidRPr="00E14F7D">
        <w:rPr>
          <w:rFonts w:ascii="Times New Roman" w:hAnsi="Times New Roman" w:cs="Times New Roman"/>
        </w:rPr>
        <w:fldChar w:fldCharType="begin" w:fldLock="1"/>
      </w:r>
      <w:r w:rsidR="00350920">
        <w:rPr>
          <w:rFonts w:ascii="Times New Roman" w:hAnsi="Times New Roman" w:cs="Times New Roman"/>
        </w:rPr>
        <w:instrText>ADDIN CSL_CITATION {"citationItems":[{"id":"ITEM-1","itemData":{"author":[{"dropping-particle":"","family":"Piccinin","given":"Claire","non-dropping-particle":"","parse-names":false,"suffix":""},{"dropping-particle":"","family":"Kuliś","given":"Dagmara","non-dropping-particle":"","parse-names":false,"suffix":""},{"dropping-particle":"","family":"Bottomley","given":"Andrew","non-dropping-particle":"","parse-names":false,"suffix":""},{"dropping-particle":"","family":"Bjordal","given":"Kristin","non-dropping-particle":"","parse-names":false,"suffix":""},{"dropping-particle":"","family":"Coens","given":"Corneel","non-dropping-particle":"","parse-names":false,"suffix":""},{"dropping-particle":"","family":"Darlington","given":"Anne-Sophie","non-dropping-particle":"","parse-names":false,"suffix":""},{"dropping-particle":"","family":"Johnson","given":"Colin","non-dropping-particle":"","parse-names":false,"suffix":""},{"dropping-particle":"","family":"Velikova","given":"Galina","non-dropping-particle":"","parse-names":false,"suffix":""},{"dropping-particle":"","family":"Groenvold","given":"Mogens","non-dropping-particle":"","parse-names":false,"suffix":""}],"edition":"1st Ed.","id":"ITEM-1","issued":{"date-parts":[["2022"]]},"publisher":"EORTC","publisher-place":"Brussels","title":"EORTC Quality of Life Group Item Library User Guidelines","type":"book"},"uris":["http://www.mendeley.com/documents/?uuid=c2ffac46-5781-4e63-a060-ada79f67400b"]}],"mendeley":{"formattedCitation":"&lt;sup&gt;39&lt;/sup&gt;","plainTextFormattedCitation":"39","previouslyFormattedCitation":"&lt;sup&gt;39&lt;/sup&gt;"},"properties":{"noteIndex":0},"schema":"https://github.com/citation-style-language/schema/raw/master/csl-citation.json"}</w:instrText>
      </w:r>
      <w:r w:rsidR="00B97249" w:rsidRPr="00E14F7D">
        <w:rPr>
          <w:rFonts w:ascii="Times New Roman" w:hAnsi="Times New Roman" w:cs="Times New Roman"/>
        </w:rPr>
        <w:fldChar w:fldCharType="separate"/>
      </w:r>
      <w:r w:rsidR="00401A53" w:rsidRPr="00401A53">
        <w:rPr>
          <w:rFonts w:ascii="Times New Roman" w:hAnsi="Times New Roman" w:cs="Times New Roman"/>
          <w:noProof/>
          <w:vertAlign w:val="superscript"/>
        </w:rPr>
        <w:t>39</w:t>
      </w:r>
      <w:r w:rsidR="00B97249" w:rsidRPr="00E14F7D">
        <w:rPr>
          <w:rFonts w:ascii="Times New Roman" w:hAnsi="Times New Roman" w:cs="Times New Roman"/>
        </w:rPr>
        <w:fldChar w:fldCharType="end"/>
      </w:r>
      <w:r w:rsidRPr="00E14F7D">
        <w:rPr>
          <w:rFonts w:ascii="Times New Roman" w:hAnsi="Times New Roman" w:cs="Times New Roman"/>
        </w:rPr>
        <w:t xml:space="preserve"> Items should generally be grouped within a single HRQOL domain and not intermixed across multiple domains. In many cases, it may be worth considering whether key constructs and issues should be included first to ensure completeness of data. </w:t>
      </w:r>
    </w:p>
    <w:p w14:paraId="14C56DF2" w14:textId="7923BBE6" w:rsidR="00E66BBC" w:rsidRPr="00E14F7D" w:rsidRDefault="762EE3AF" w:rsidP="00AF0675">
      <w:pPr>
        <w:spacing w:line="360" w:lineRule="auto"/>
        <w:rPr>
          <w:rFonts w:ascii="Times New Roman" w:hAnsi="Times New Roman" w:cs="Times New Roman"/>
        </w:rPr>
      </w:pPr>
      <w:r w:rsidRPr="00E14F7D">
        <w:rPr>
          <w:rFonts w:ascii="Times New Roman" w:hAnsi="Times New Roman" w:cs="Times New Roman"/>
          <w:u w:val="single"/>
        </w:rPr>
        <w:t>Controlling for possible priming effects.</w:t>
      </w:r>
      <w:r w:rsidRPr="00E14F7D">
        <w:rPr>
          <w:rFonts w:ascii="Times New Roman" w:hAnsi="Times New Roman" w:cs="Times New Roman"/>
        </w:rPr>
        <w:t xml:space="preserve"> Items should be ordered in such a way that they avoid influencing subsequent responses. Items which are sensitive in nature (e.g., those capturing sexual </w:t>
      </w:r>
      <w:r w:rsidRPr="00E14F7D">
        <w:rPr>
          <w:rFonts w:ascii="Times New Roman" w:hAnsi="Times New Roman" w:cs="Times New Roman"/>
        </w:rPr>
        <w:lastRenderedPageBreak/>
        <w:t>functioning) should generally be placed at the end of a measure in the event that they might upset patients in such a way that subsequent responses could be impacted</w:t>
      </w:r>
      <w:r w:rsidR="006D5821" w:rsidRPr="00E14F7D">
        <w:rPr>
          <w:rFonts w:ascii="Times New Roman" w:hAnsi="Times New Roman" w:cs="Times New Roman"/>
        </w:rPr>
        <w:t>.</w:t>
      </w:r>
      <w:r w:rsidRPr="00E14F7D">
        <w:rPr>
          <w:rFonts w:ascii="Times New Roman" w:hAnsi="Times New Roman" w:cs="Times New Roman"/>
        </w:rPr>
        <w:t xml:space="preserve"> </w:t>
      </w:r>
      <w:r w:rsidR="005457ED" w:rsidRPr="00E14F7D">
        <w:rPr>
          <w:rFonts w:ascii="Times New Roman" w:hAnsi="Times New Roman" w:cs="Times New Roman"/>
        </w:rPr>
        <w:fldChar w:fldCharType="begin" w:fldLock="1"/>
      </w:r>
      <w:r w:rsidR="00350920">
        <w:rPr>
          <w:rFonts w:ascii="Times New Roman" w:hAnsi="Times New Roman" w:cs="Times New Roman"/>
        </w:rPr>
        <w:instrText>ADDIN CSL_CITATION {"citationItems":[{"id":"ITEM-1","itemData":{"DOI":"10.1016/j.jval.2019.04.415","ISSN":"10983015","author":[{"dropping-particle":"","family":"Piccinin","given":"C.","non-dropping-particle":"","parse-names":false,"suffix":""},{"dropping-particle":"","family":"Kulis","given":"D.","non-dropping-particle":"","parse-names":false,"suffix":""},{"dropping-particle":"","family":"Bottomley","given":"A.","non-dropping-particle":"","parse-names":false,"suffix":""},{"dropping-particle":"","family":"Bjordal","given":"K.","non-dropping-particle":"","parse-names":false,"suffix":""},{"dropping-particle":"","family":"Coens","given":"C.","non-dropping-particle":"","parse-names":false,"suffix":""},{"dropping-particle":"","family":"Darlington","given":"A.S.","non-dropping-particle":"","parse-names":false,"suffix":""},{"dropping-particle":"","family":"Johnson","given":"C.D.","non-dropping-particle":"","parse-names":false,"suffix":""},{"dropping-particle":"","family":"Velikova","given":"G.","non-dropping-particle":"","parse-names":false,"suffix":""},{"dropping-particle":"","family":"Grønvold","given":"M.","non-dropping-particle":"","parse-names":false,"suffix":""}],"container-title":"Value in Health","id":"ITEM-1","issued":{"date-parts":[["2019"]]},"title":"PCN296 Development of scientific guidelines for use of the EORTC Item Library in cancer clinical trials","type":"article-journal"},"uris":["http://www.mendeley.com/documents/?uuid=65b81525-6bbe-4933-bde8-a35e733979a8"]},{"id":"ITEM-2","itemData":{"author":[{"dropping-particle":"","family":"Piccinin","given":"Claire","non-dropping-particle":"","parse-names":false,"suffix":""},{"dropping-particle":"","family":"Kuliś","given":"Dagmara","non-dropping-particle":"","parse-names":false,"suffix":""},{"dropping-particle":"","family":"Bottomley","given":"Andrew","non-dropping-particle":"","parse-names":false,"suffix":""},{"dropping-particle":"","family":"Bjordal","given":"Kristin","non-dropping-particle":"","parse-names":false,"suffix":""},{"dropping-particle":"","family":"Coens","given":"Corneel","non-dropping-particle":"","parse-names":false,"suffix":""},{"dropping-particle":"","family":"Darlington","given":"Anne-Sophie","non-dropping-particle":"","parse-names":false,"suffix":""},{"dropping-particle":"","family":"Johnson","given":"Colin","non-dropping-particle":"","parse-names":false,"suffix":""},{"dropping-particle":"","family":"Velikova","given":"Galina","non-dropping-particle":"","parse-names":false,"suffix":""},{"dropping-particle":"","family":"Groenvold","given":"Mogens","non-dropping-particle":"","parse-names":false,"suffix":""}],"edition":"1st Ed.","id":"ITEM-2","issued":{"date-parts":[["2022"]]},"publisher":"EORTC","publisher-place":"Brussels","title":"EORTC Quality of Life Group Item Library User Guidelines","type":"book"},"uris":["http://www.mendeley.com/documents/?uuid=c2ffac46-5781-4e63-a060-ada79f67400b"]},{"id":"ITEM-3","itemData":{"DOI":"10.1016/j.psym.2015.09.005","ISSN":"15457206","PMID":"26683347","abstract":"Background: Patient-reported outcome measures (PROMs) are influenced by psychosocial factors, but it is unknown whether we can influence PROM scores by modifying the mindset of the patient. Purpose: We assessed whether priming affects scores on PROMs. Methods: In all, 168 patients with musculoskeletal illness participated in this double-blinded, randomized, controlled, parallel study between July 2014 and October 2014 in a level I trauma center. Inclusion criteria were patients aged 18 years or older with English fluency and literacy and the ability to provide informed consent. Priming was performed by means of the Pain Catastrophizing Scale (PCS). The patients were randomized (1:1:1) into 3 groups: intervention group I was negatively primed with the original PCS; intervention group II was positively primed with a positively phrased PCS group; and control group III was not primed. Assessments were performed using PROMs on the domain of physical function, depression, and pain. Bivariate and multivariable regression analyses were conducted. Results: The intervention and control groups were well balanced in demographic and condition-specific characteristics. The positive PCS was independently associated with higher PROM scores in the physical function domain (Patient-Reported Outcome Measurement Information System Upper Extremity Function: coefficient = 4.7, partial R2 = 0.042; CI: 1.2-8.2; p &lt; 0.010). Conclusions: Patients primed with a positively phrased version of the PCS reported less functional disability as compared with patients who were either negatively primed or not primed at all. This suggests that by influencing the mindset, PROMs can be influenced, resulting in better outcome if positively primed. Level of evidence: Level 1 therapeutic study. Trial registration: NCT02209259.","author":[{"dropping-particle":"","family":"Claessen","given":"Femke M.A.P.","non-dropping-particle":"","parse-names":false,"suffix":""},{"dropping-particle":"","family":"Mellema","given":"Jos J.","non-dropping-particle":"","parse-names":false,"suffix":""},{"dropping-particle":"","family":"Stoop","given":"Nicky","non-dropping-particle":"","parse-names":false,"suffix":""},{"dropping-particle":"","family":"Lubberts","given":"Bart","non-dropping-particle":"","parse-names":false,"suffix":""},{"dropping-particle":"","family":"Ring","given":"David","non-dropping-particle":"","parse-names":false,"suffix":""},{"dropping-particle":"","family":"Poolman","given":"Rudolf W.","non-dropping-particle":"","parse-names":false,"suffix":""}],"container-title":"Psychosomatics","id":"ITEM-3","issued":{"date-parts":[["2016"]]},"title":"Influence of Priming on Patient-Reported Outcome Measures: A Randomized Controlled Trial","type":"article-journal"},"uris":["http://www.mendeley.com/documents/?uuid=0cadca68-9393-42b7-b730-59f67b8fbbf8"]}],"mendeley":{"formattedCitation":"&lt;sup&gt;38,39,51&lt;/sup&gt;","plainTextFormattedCitation":"38,39,51","previouslyFormattedCitation":"&lt;sup&gt;38,39,51&lt;/sup&gt;"},"properties":{"noteIndex":0},"schema":"https://github.com/citation-style-language/schema/raw/master/csl-citation.json"}</w:instrText>
      </w:r>
      <w:r w:rsidR="005457ED" w:rsidRPr="00E14F7D">
        <w:rPr>
          <w:rFonts w:ascii="Times New Roman" w:hAnsi="Times New Roman" w:cs="Times New Roman"/>
        </w:rPr>
        <w:fldChar w:fldCharType="separate"/>
      </w:r>
      <w:r w:rsidR="00401A53" w:rsidRPr="00401A53">
        <w:rPr>
          <w:rFonts w:ascii="Times New Roman" w:hAnsi="Times New Roman" w:cs="Times New Roman"/>
          <w:noProof/>
          <w:vertAlign w:val="superscript"/>
        </w:rPr>
        <w:t>38,39,51</w:t>
      </w:r>
      <w:r w:rsidR="005457ED" w:rsidRPr="00E14F7D">
        <w:rPr>
          <w:rFonts w:ascii="Times New Roman" w:hAnsi="Times New Roman" w:cs="Times New Roman"/>
        </w:rPr>
        <w:fldChar w:fldCharType="end"/>
      </w:r>
    </w:p>
    <w:p w14:paraId="5B35A32F" w14:textId="2AFB884E" w:rsidR="00F0404F" w:rsidRPr="00E14F7D" w:rsidRDefault="4732125D" w:rsidP="00AF0675">
      <w:pPr>
        <w:spacing w:line="360" w:lineRule="auto"/>
        <w:rPr>
          <w:rFonts w:ascii="Times New Roman" w:hAnsi="Times New Roman" w:cs="Times New Roman"/>
        </w:rPr>
      </w:pPr>
      <w:r w:rsidRPr="00E14F7D">
        <w:rPr>
          <w:rFonts w:ascii="Times New Roman" w:hAnsi="Times New Roman" w:cs="Times New Roman"/>
          <w:u w:val="single"/>
        </w:rPr>
        <w:t>Preserving psychometric properties.</w:t>
      </w:r>
      <w:r w:rsidRPr="00E14F7D">
        <w:rPr>
          <w:rFonts w:ascii="Times New Roman" w:hAnsi="Times New Roman" w:cs="Times New Roman"/>
        </w:rPr>
        <w:t xml:space="preserve"> When administered in conjunction with a standard </w:t>
      </w:r>
      <w:r w:rsidR="006F3A21" w:rsidRPr="00E14F7D">
        <w:rPr>
          <w:rFonts w:ascii="Times New Roman" w:hAnsi="Times New Roman" w:cs="Times New Roman"/>
        </w:rPr>
        <w:t xml:space="preserve">static </w:t>
      </w:r>
      <w:r w:rsidRPr="00E14F7D">
        <w:rPr>
          <w:rFonts w:ascii="Times New Roman" w:hAnsi="Times New Roman" w:cs="Times New Roman"/>
        </w:rPr>
        <w:t xml:space="preserve">questionnaire or questionnaires, item lists should be </w:t>
      </w:r>
      <w:r w:rsidR="006F3A21" w:rsidRPr="00E14F7D">
        <w:rPr>
          <w:rFonts w:ascii="Times New Roman" w:hAnsi="Times New Roman" w:cs="Times New Roman"/>
        </w:rPr>
        <w:t xml:space="preserve">presented in a </w:t>
      </w:r>
      <w:r w:rsidRPr="00E14F7D">
        <w:rPr>
          <w:rFonts w:ascii="Times New Roman" w:hAnsi="Times New Roman" w:cs="Times New Roman"/>
        </w:rPr>
        <w:t xml:space="preserve">distinct </w:t>
      </w:r>
      <w:r w:rsidR="006F3A21" w:rsidRPr="00E14F7D">
        <w:rPr>
          <w:rFonts w:ascii="Times New Roman" w:hAnsi="Times New Roman" w:cs="Times New Roman"/>
        </w:rPr>
        <w:t xml:space="preserve">manner </w:t>
      </w:r>
      <w:r w:rsidRPr="00E14F7D">
        <w:rPr>
          <w:rFonts w:ascii="Times New Roman" w:hAnsi="Times New Roman" w:cs="Times New Roman"/>
        </w:rPr>
        <w:t xml:space="preserve">from the </w:t>
      </w:r>
      <w:r w:rsidR="006F3A21" w:rsidRPr="00E14F7D">
        <w:rPr>
          <w:rFonts w:ascii="Times New Roman" w:hAnsi="Times New Roman" w:cs="Times New Roman"/>
        </w:rPr>
        <w:t>former</w:t>
      </w:r>
      <w:r w:rsidRPr="00E14F7D">
        <w:rPr>
          <w:rFonts w:ascii="Times New Roman" w:hAnsi="Times New Roman" w:cs="Times New Roman"/>
        </w:rPr>
        <w:t xml:space="preserve"> to preserve the psychometric properties of the </w:t>
      </w:r>
      <w:r w:rsidR="006F3A21" w:rsidRPr="00E14F7D">
        <w:rPr>
          <w:rFonts w:ascii="Times New Roman" w:hAnsi="Times New Roman" w:cs="Times New Roman"/>
        </w:rPr>
        <w:t xml:space="preserve">static measure(s) </w:t>
      </w:r>
      <w:r w:rsidRPr="00E14F7D">
        <w:rPr>
          <w:rFonts w:ascii="Times New Roman" w:hAnsi="Times New Roman" w:cs="Times New Roman"/>
        </w:rPr>
        <w:t>and clearly distinguish the item lists</w:t>
      </w:r>
      <w:r w:rsidR="006D5821" w:rsidRPr="00E14F7D">
        <w:rPr>
          <w:rFonts w:ascii="Times New Roman" w:hAnsi="Times New Roman" w:cs="Times New Roman"/>
        </w:rPr>
        <w:t>.</w:t>
      </w:r>
      <w:r w:rsidRPr="00E14F7D">
        <w:rPr>
          <w:rFonts w:ascii="Times New Roman" w:hAnsi="Times New Roman" w:cs="Times New Roman"/>
        </w:rPr>
        <w:t xml:space="preserve"> </w:t>
      </w:r>
      <w:r w:rsidR="005457ED" w:rsidRPr="00E14F7D">
        <w:rPr>
          <w:rFonts w:ascii="Times New Roman" w:hAnsi="Times New Roman" w:cs="Times New Roman"/>
        </w:rPr>
        <w:fldChar w:fldCharType="begin" w:fldLock="1"/>
      </w:r>
      <w:r w:rsidR="00350920">
        <w:rPr>
          <w:rFonts w:ascii="Times New Roman" w:hAnsi="Times New Roman" w:cs="Times New Roman"/>
        </w:rPr>
        <w:instrText>ADDIN CSL_CITATION {"citationItems":[{"id":"ITEM-1","itemData":{"DOI":"10.1016/j.jval.2019.04.415","ISSN":"10983015","author":[{"dropping-particle":"","family":"Piccinin","given":"C.","non-dropping-particle":"","parse-names":false,"suffix":""},{"dropping-particle":"","family":"Kulis","given":"D.","non-dropping-particle":"","parse-names":false,"suffix":""},{"dropping-particle":"","family":"Bottomley","given":"A.","non-dropping-particle":"","parse-names":false,"suffix":""},{"dropping-particle":"","family":"Bjordal","given":"K.","non-dropping-particle":"","parse-names":false,"suffix":""},{"dropping-particle":"","family":"Coens","given":"C.","non-dropping-particle":"","parse-names":false,"suffix":""},{"dropping-particle":"","family":"Darlington","given":"A.S.","non-dropping-particle":"","parse-names":false,"suffix":""},{"dropping-particle":"","family":"Johnson","given":"C.D.","non-dropping-particle":"","parse-names":false,"suffix":""},{"dropping-particle":"","family":"Velikova","given":"G.","non-dropping-particle":"","parse-names":false,"suffix":""},{"dropping-particle":"","family":"Grønvold","given":"M.","non-dropping-particle":"","parse-names":false,"suffix":""}],"container-title":"Value in Health","id":"ITEM-1","issued":{"date-parts":[["2019"]]},"title":"PCN296 Development of scientific guidelines for use of the EORTC Item Library in cancer clinical trials","type":"article-journal"},"uris":["http://www.mendeley.com/documents/?uuid=65b81525-6bbe-4933-bde8-a35e733979a8"]},{"id":"ITEM-2","itemData":{"author":[{"dropping-particle":"","family":"Piccinin","given":"Claire","non-dropping-particle":"","parse-names":false,"suffix":""},{"dropping-particle":"","family":"Kuliś","given":"Dagmara","non-dropping-particle":"","parse-names":false,"suffix":""},{"dropping-particle":"","family":"Bottomley","given":"Andrew","non-dropping-particle":"","parse-names":false,"suffix":""},{"dropping-particle":"","family":"Bjordal","given":"Kristin","non-dropping-particle":"","parse-names":false,"suffix":""},{"dropping-particle":"","family":"Coens","given":"Corneel","non-dropping-particle":"","parse-names":false,"suffix":""},{"dropping-particle":"","family":"Darlington","given":"Anne-Sophie","non-dropping-particle":"","parse-names":false,"suffix":""},{"dropping-particle":"","family":"Johnson","given":"Colin","non-dropping-particle":"","parse-names":false,"suffix":""},{"dropping-particle":"","family":"Velikova","given":"Galina","non-dropping-particle":"","parse-names":false,"suffix":""},{"dropping-particle":"","family":"Groenvold","given":"Mogens","non-dropping-particle":"","parse-names":false,"suffix":""}],"edition":"1st Ed.","id":"ITEM-2","issued":{"date-parts":[["2022"]]},"publisher":"EORTC","publisher-place":"Brussels","title":"EORTC Quality of Life Group Item Library User Guidelines","type":"book"},"uris":["http://www.mendeley.com/documents/?uuid=c2ffac46-5781-4e63-a060-ada79f67400b"]},{"id":"ITEM-3","itemData":{"URL":"https://www.mdanderson.org/content/dam/mdanderson/documents/Departments-and-Divisions/Symptom-Research/MDASI symptom library.pdf","author":[{"dropping-particle":"","family":"MDASI","given":"","non-dropping-particle":"","parse-names":false,"suffix":""}],"id":"ITEM-3","issued":{"date-parts":[["0"]]},"title":"MDASI Symptom Library","type":"webpage"},"uris":["http://www.mendeley.com/documents/?uuid=45c08c48-7bca-4ecb-b05d-daa82c80a8f4"]}],"mendeley":{"formattedCitation":"&lt;sup&gt;7,38,39&lt;/sup&gt;","plainTextFormattedCitation":"7,38,39","previouslyFormattedCitation":"&lt;sup&gt;7,38,39&lt;/sup&gt;"},"properties":{"noteIndex":0},"schema":"https://github.com/citation-style-language/schema/raw/master/csl-citation.json"}</w:instrText>
      </w:r>
      <w:r w:rsidR="005457ED" w:rsidRPr="00E14F7D">
        <w:rPr>
          <w:rFonts w:ascii="Times New Roman" w:hAnsi="Times New Roman" w:cs="Times New Roman"/>
        </w:rPr>
        <w:fldChar w:fldCharType="separate"/>
      </w:r>
      <w:r w:rsidR="00401A53" w:rsidRPr="00401A53">
        <w:rPr>
          <w:rFonts w:ascii="Times New Roman" w:hAnsi="Times New Roman" w:cs="Times New Roman"/>
          <w:noProof/>
          <w:vertAlign w:val="superscript"/>
        </w:rPr>
        <w:t>7,38,39</w:t>
      </w:r>
      <w:r w:rsidR="005457ED" w:rsidRPr="00E14F7D">
        <w:rPr>
          <w:rFonts w:ascii="Times New Roman" w:hAnsi="Times New Roman" w:cs="Times New Roman"/>
        </w:rPr>
        <w:fldChar w:fldCharType="end"/>
      </w:r>
    </w:p>
    <w:p w14:paraId="774A1B94" w14:textId="6D98EB7E" w:rsidR="002D5605" w:rsidRPr="00E14F7D" w:rsidRDefault="7EF6502E" w:rsidP="00E14F7D">
      <w:pPr>
        <w:pStyle w:val="ListParagraph"/>
        <w:numPr>
          <w:ilvl w:val="0"/>
          <w:numId w:val="7"/>
        </w:numPr>
        <w:spacing w:line="360" w:lineRule="auto"/>
        <w:rPr>
          <w:rFonts w:ascii="Times New Roman" w:hAnsi="Times New Roman" w:cs="Times New Roman"/>
          <w:i/>
          <w:iCs/>
        </w:rPr>
      </w:pPr>
      <w:r w:rsidRPr="00E14F7D">
        <w:rPr>
          <w:rFonts w:ascii="Times New Roman" w:hAnsi="Times New Roman" w:cs="Times New Roman"/>
          <w:i/>
          <w:iCs/>
        </w:rPr>
        <w:t>How should appropriate recall periods be selected?</w:t>
      </w:r>
    </w:p>
    <w:p w14:paraId="55F50956" w14:textId="125BF303" w:rsidR="00F0404F" w:rsidRPr="00E14F7D" w:rsidRDefault="4732125D" w:rsidP="00AF0675">
      <w:pPr>
        <w:spacing w:line="360" w:lineRule="auto"/>
        <w:rPr>
          <w:rFonts w:ascii="Times New Roman" w:hAnsi="Times New Roman" w:cs="Times New Roman"/>
        </w:rPr>
      </w:pPr>
      <w:r w:rsidRPr="00E14F7D">
        <w:rPr>
          <w:rFonts w:ascii="Times New Roman" w:hAnsi="Times New Roman" w:cs="Times New Roman"/>
        </w:rPr>
        <w:t xml:space="preserve">In general, it is recommended that items be administered with the </w:t>
      </w:r>
      <w:r w:rsidR="009D2F1D" w:rsidRPr="00E14F7D">
        <w:rPr>
          <w:rFonts w:ascii="Times New Roman" w:hAnsi="Times New Roman" w:cs="Times New Roman"/>
        </w:rPr>
        <w:t>recall periods</w:t>
      </w:r>
      <w:r w:rsidRPr="00E14F7D">
        <w:rPr>
          <w:rFonts w:ascii="Times New Roman" w:hAnsi="Times New Roman" w:cs="Times New Roman"/>
        </w:rPr>
        <w:t xml:space="preserve"> with which they were developed and validated. In cases where more flexibility is sought</w:t>
      </w:r>
      <w:r w:rsidR="001F64C8" w:rsidRPr="00E14F7D">
        <w:rPr>
          <w:rFonts w:ascii="Times New Roman" w:hAnsi="Times New Roman" w:cs="Times New Roman"/>
        </w:rPr>
        <w:t xml:space="preserve"> and alternative recall periods are selected</w:t>
      </w:r>
      <w:r w:rsidRPr="00E14F7D">
        <w:rPr>
          <w:rFonts w:ascii="Times New Roman" w:hAnsi="Times New Roman" w:cs="Times New Roman"/>
        </w:rPr>
        <w:t xml:space="preserve">, it is important to consider research questions and available evidence. </w:t>
      </w:r>
      <w:r w:rsidR="009D2A75" w:rsidRPr="00E14F7D">
        <w:rPr>
          <w:rFonts w:ascii="Times New Roman" w:hAnsi="Times New Roman" w:cs="Times New Roman"/>
        </w:rPr>
        <w:t>It should be noted that the use of alternative response scales/categories is beyond the scope of this paper, given that such modifications alter the item</w:t>
      </w:r>
      <w:r w:rsidR="00D22A9D" w:rsidRPr="00E14F7D">
        <w:rPr>
          <w:rFonts w:ascii="Times New Roman" w:hAnsi="Times New Roman" w:cs="Times New Roman"/>
        </w:rPr>
        <w:t>s</w:t>
      </w:r>
      <w:r w:rsidR="009D2A75" w:rsidRPr="00E14F7D">
        <w:rPr>
          <w:rFonts w:ascii="Times New Roman" w:hAnsi="Times New Roman" w:cs="Times New Roman"/>
        </w:rPr>
        <w:t xml:space="preserve"> </w:t>
      </w:r>
      <w:r w:rsidR="00D22A9D" w:rsidRPr="00E14F7D">
        <w:rPr>
          <w:rFonts w:ascii="Times New Roman" w:hAnsi="Times New Roman" w:cs="Times New Roman"/>
        </w:rPr>
        <w:t>themselves</w:t>
      </w:r>
      <w:r w:rsidR="009D2A75" w:rsidRPr="00E14F7D">
        <w:rPr>
          <w:rFonts w:ascii="Times New Roman" w:hAnsi="Times New Roman" w:cs="Times New Roman"/>
        </w:rPr>
        <w:t>.</w:t>
      </w:r>
    </w:p>
    <w:p w14:paraId="48B8A1DC" w14:textId="1338ACB3" w:rsidR="00956790" w:rsidRPr="00E14F7D" w:rsidRDefault="00CF59AC" w:rsidP="00AF0675">
      <w:pPr>
        <w:spacing w:line="360" w:lineRule="auto"/>
        <w:rPr>
          <w:rFonts w:ascii="Times New Roman" w:hAnsi="Times New Roman" w:cs="Times New Roman"/>
        </w:rPr>
      </w:pPr>
      <w:r w:rsidRPr="00E14F7D">
        <w:rPr>
          <w:rFonts w:ascii="Times New Roman" w:hAnsi="Times New Roman" w:cs="Times New Roman"/>
        </w:rPr>
        <w:t>I</w:t>
      </w:r>
      <w:r w:rsidR="4732125D" w:rsidRPr="00E14F7D">
        <w:rPr>
          <w:rFonts w:ascii="Times New Roman" w:hAnsi="Times New Roman" w:cs="Times New Roman"/>
        </w:rPr>
        <w:t xml:space="preserve">t is generally recommended to use </w:t>
      </w:r>
      <w:r w:rsidRPr="00E14F7D">
        <w:rPr>
          <w:rFonts w:ascii="Times New Roman" w:hAnsi="Times New Roman" w:cs="Times New Roman"/>
        </w:rPr>
        <w:t xml:space="preserve">recall periods </w:t>
      </w:r>
      <w:r w:rsidR="4732125D" w:rsidRPr="00E14F7D">
        <w:rPr>
          <w:rFonts w:ascii="Times New Roman" w:hAnsi="Times New Roman" w:cs="Times New Roman"/>
        </w:rPr>
        <w:t>that capture events and symptoms occurring within the last week</w:t>
      </w:r>
      <w:r w:rsidR="00615BB3" w:rsidRPr="00E14F7D">
        <w:rPr>
          <w:rFonts w:ascii="Times New Roman" w:hAnsi="Times New Roman" w:cs="Times New Roman"/>
        </w:rPr>
        <w:t xml:space="preserve">. </w:t>
      </w:r>
      <w:r w:rsidR="4732125D" w:rsidRPr="00E14F7D">
        <w:rPr>
          <w:rFonts w:ascii="Times New Roman" w:hAnsi="Times New Roman" w:cs="Times New Roman"/>
        </w:rPr>
        <w:t>Responses are likely to be influenced by the patient's overall state during recall and measures which rely heavily on memory may undermine content validity and reliability</w:t>
      </w:r>
      <w:r w:rsidR="006D5821" w:rsidRPr="00E14F7D">
        <w:rPr>
          <w:rFonts w:ascii="Times New Roman" w:hAnsi="Times New Roman" w:cs="Times New Roman"/>
        </w:rPr>
        <w:t>.</w:t>
      </w:r>
      <w:r w:rsidR="00117618" w:rsidRPr="00E14F7D">
        <w:rPr>
          <w:rFonts w:ascii="Times New Roman" w:hAnsi="Times New Roman" w:cs="Times New Roman"/>
        </w:rPr>
        <w:t xml:space="preserve"> </w:t>
      </w:r>
      <w:r w:rsidR="00117618" w:rsidRPr="00E14F7D">
        <w:rPr>
          <w:rFonts w:ascii="Times New Roman" w:hAnsi="Times New Roman" w:cs="Times New Roman"/>
        </w:rPr>
        <w:fldChar w:fldCharType="begin" w:fldLock="1"/>
      </w:r>
      <w:r w:rsidR="00350920">
        <w:rPr>
          <w:rFonts w:ascii="Times New Roman" w:hAnsi="Times New Roman" w:cs="Times New Roman"/>
        </w:rPr>
        <w:instrText>ADDIN CSL_CITATION {"citationItems":[{"id":"ITEM-1","itemData":{"DOI":"10.1177/1740774517698645","ISSN":"17407753","PMID":"28545337","abstract":"Aims: The US National Cancer Institute recently developed the PRO-CTCAE (Patient-Reported Outcomes version of the Common Terminology Criteria for Adverse Events). PRO-CTCAE is a library of questions for clinical trial participants to self-report symptomatic adverse events (e.g. nausea). The objective of this study is to inform evidence-based selection of a recall period when PRO-CTCAE is included in a trial. We evaluated differences between 1-, 2-, 3-, and 4-week recall periods, using daily reporting as the reference. Methods: English-speaking patients with cancer receiving chemotherapy and/or radiotherapy were enrolled at four US cancer centers and affiliated community clinics. Participants completed 27 PRO-CTCAE items electronically daily for 28 days, and then weekly over 4 weeks, using 1-, 2-, 3-, and 4-week recall periods. For each recall period, mean differences, effect sizes, and intraclass correlation coefficients were calculated to evaluate agreement between the maximum of daily ratings and the corresponding ratings obtained using longer recall periods (e.g. maximum of daily scores over 7 days vs 1-week recall). Analyses were repeated using the average of daily scores within each recall period rather than the maximum of daily scores. Results: A total of 127 subjects completed questionnaires (57% male; median age: 57). The median of the 27 mean differences in scores on the PRO-CTCAE 5-point response scale comparing the maximum daily versus the longer recall period (and corresponding effect size) was -0.20 (-0.20) for 1-week recall, -0.36 (-0.31) for 2-week recall, -0.45 (-0.39) for 3-week recall, and -0.47 (-0.40) for 4-week recall. The median intraclass correlation across 27 items between the maximum of daily ratings and the corresponding longer recall ratings for 1-week recall was 0.70 (range: 0.54-0.82), for 2-week recall was 0.74 (range: 0.58-0.83), for 3-week recall was 0.72 (range: 0.61-0.84), and for 4-week recall was 0.72 (range: 0.64-0.86). Similar results were observed for all analyses using the average of daily scores rather than the maximum of daily scores. Conclusion: A 1-week recall corresponds best to daily reporting. Although intraclass correlations remain stable over time, there are small but progressively larger differences between daily and longer recall periods at 2, 3, and 4 weeks, respectively. The preferred recall period for the PRO-CTCAE is the past 7 days, although investigators may opt for recall periods of 2, 3, or 4 we…","author":[{"dropping-particle":"","family":"Mendoza","given":"Tito R.","non-dropping-particle":"","parse-names":false,"suffix":""},{"dropping-particle":"","family":"Dueck","given":"Amylou C.","non-dropping-particle":"","parse-names":false,"suffix":""},{"dropping-particle":"V.","family":"Bennett","given":"Antonia","non-dropping-particle":"","parse-names":false,"suffix":""},{"dropping-particle":"","family":"Mitchell","given":"Sandra A.","non-dropping-particle":"","parse-names":false,"suffix":""},{"dropping-particle":"","family":"Reeve","given":"Bryce B.","non-dropping-particle":"","parse-names":false,"suffix":""},{"dropping-particle":"","family":"Atkinson","given":"Thomas M.","non-dropping-particle":"","parse-names":false,"suffix":""},{"dropping-particle":"","family":"Li","given":"Yuelin","non-dropping-particle":"","parse-names":false,"suffix":""},{"dropping-particle":"","family":"Castro","given":"Kathleen M.","non-dropping-particle":"","parse-names":false,"suffix":""},{"dropping-particle":"","family":"Denicoff","given":"Andrea","non-dropping-particle":"","parse-names":false,"suffix":""},{"dropping-particle":"","family":"Rogak","given":"Lauren J.","non-dropping-particle":"","parse-names":false,"suffix":""},{"dropping-particle":"","family":"Piekarz","given":"Richard L.","non-dropping-particle":"","parse-names":false,"suffix":""},{"dropping-particle":"","family":"Cleeland","given":"Charles S.","non-dropping-particle":"","parse-names":false,"suffix":""},{"dropping-particle":"","family":"Sloan","given":"Jeff A.","non-dropping-particle":"","parse-names":false,"suffix":""},{"dropping-particle":"","family":"Schrag","given":"Deborah","non-dropping-particle":"","parse-names":false,"suffix":""},{"dropping-particle":"","family":"Basch","given":"Ethan","non-dropping-particle":"","parse-names":false,"suffix":""}],"container-title":"Clinical Trials","id":"ITEM-1","issued":{"date-parts":[["2017"]]},"title":"Evaluation of different recall periods for the US National Cancer Institute's PRO-CTCAE","type":"article-journal"},"uris":["http://www.mendeley.com/documents/?uuid=9c40b459-7eeb-434a-9758-19ebca39e034"]}],"mendeley":{"formattedCitation":"&lt;sup&gt;52&lt;/sup&gt;","plainTextFormattedCitation":"52","previouslyFormattedCitation":"&lt;sup&gt;52&lt;/sup&gt;"},"properties":{"noteIndex":0},"schema":"https://github.com/citation-style-language/schema/raw/master/csl-citation.json"}</w:instrText>
      </w:r>
      <w:r w:rsidR="00117618" w:rsidRPr="00E14F7D">
        <w:rPr>
          <w:rFonts w:ascii="Times New Roman" w:hAnsi="Times New Roman" w:cs="Times New Roman"/>
        </w:rPr>
        <w:fldChar w:fldCharType="separate"/>
      </w:r>
      <w:r w:rsidR="00401A53" w:rsidRPr="00401A53">
        <w:rPr>
          <w:rFonts w:ascii="Times New Roman" w:hAnsi="Times New Roman" w:cs="Times New Roman"/>
          <w:noProof/>
          <w:vertAlign w:val="superscript"/>
        </w:rPr>
        <w:t>52</w:t>
      </w:r>
      <w:r w:rsidR="00117618" w:rsidRPr="00E14F7D">
        <w:rPr>
          <w:rFonts w:ascii="Times New Roman" w:hAnsi="Times New Roman" w:cs="Times New Roman"/>
        </w:rPr>
        <w:fldChar w:fldCharType="end"/>
      </w:r>
      <w:r w:rsidR="4732125D" w:rsidRPr="00E14F7D">
        <w:rPr>
          <w:rFonts w:ascii="Times New Roman" w:hAnsi="Times New Roman" w:cs="Times New Roman"/>
        </w:rPr>
        <w:t xml:space="preserve"> However, </w:t>
      </w:r>
      <w:r w:rsidR="00DF2C94" w:rsidRPr="00E14F7D">
        <w:rPr>
          <w:rFonts w:ascii="Times New Roman" w:hAnsi="Times New Roman" w:cs="Times New Roman"/>
        </w:rPr>
        <w:t xml:space="preserve">in </w:t>
      </w:r>
      <w:r w:rsidR="00225770" w:rsidRPr="00E14F7D">
        <w:rPr>
          <w:rFonts w:ascii="Times New Roman" w:hAnsi="Times New Roman" w:cs="Times New Roman"/>
        </w:rPr>
        <w:t xml:space="preserve">some trial settings, specific symptoms (e.g., pain) may be best measured daily, particularly when these symptoms </w:t>
      </w:r>
      <w:r w:rsidR="00DF2C94" w:rsidRPr="00E14F7D">
        <w:rPr>
          <w:rFonts w:ascii="Times New Roman" w:hAnsi="Times New Roman" w:cs="Times New Roman"/>
        </w:rPr>
        <w:t>represent</w:t>
      </w:r>
      <w:r w:rsidR="00225770" w:rsidRPr="00E14F7D">
        <w:rPr>
          <w:rFonts w:ascii="Times New Roman" w:hAnsi="Times New Roman" w:cs="Times New Roman"/>
        </w:rPr>
        <w:t xml:space="preserve"> endpoints</w:t>
      </w:r>
      <w:r w:rsidR="006D5821" w:rsidRPr="00E14F7D">
        <w:rPr>
          <w:rFonts w:ascii="Times New Roman" w:hAnsi="Times New Roman" w:cs="Times New Roman"/>
        </w:rPr>
        <w:t>.</w:t>
      </w:r>
      <w:r w:rsidR="00225770" w:rsidRPr="00E14F7D">
        <w:rPr>
          <w:rFonts w:ascii="Times New Roman" w:hAnsi="Times New Roman" w:cs="Times New Roman"/>
        </w:rPr>
        <w:t xml:space="preserve"> </w:t>
      </w:r>
      <w:r w:rsidR="00225770" w:rsidRPr="00E14F7D">
        <w:rPr>
          <w:rFonts w:ascii="Times New Roman" w:hAnsi="Times New Roman" w:cs="Times New Roman"/>
        </w:rPr>
        <w:fldChar w:fldCharType="begin" w:fldLock="1"/>
      </w:r>
      <w:r w:rsidR="00350920">
        <w:rPr>
          <w:rFonts w:ascii="Times New Roman" w:hAnsi="Times New Roman" w:cs="Times New Roman"/>
        </w:rPr>
        <w:instrText>ADDIN CSL_CITATION {"citationItems":[{"id":"ITEM-1","itemData":{"DOI":"10.1016/j.eururo.2018.11.033","ISSN":"18737560","PMID":"30528222","abstract":"Background: Bone metastases in patients with metastatic castration-resistant prostate cancer (mCRPC) are associated with debilitating pain and functional compromise. Objective: To compare pain palliation as the primary endpoint for cabozantinib versus mitoxantrone-prednisone in men with mCRPC and symptomatic bone metastases using patient-reported outcome measures. Design, setting, and participants: A randomized, double-blind phase 3 trial (COMET-2; NCT01522443) in men with mCRPC and narcotic-dependent pain from bone metastases who had progressed after treatment with docetaxel and either abiraterone or enzalutamide. Intervention: Cabozantinib 60 mg once daily orally versus mitoxantrone 12 mg/m2 every 3 wk plus prednisone 5 mg twice daily orally. Outcome measurements and statistical analysis: The primary endpoint was pain response at week 6 confirmed at week 12 (≥30% decrease from baseline in patient-reported average daily worst pain score via the Brief Pain Inventory without increased narcotic use). The planned sample size was 246 to achieve ≥90% power. Results and limitations: Enrollment was terminated early because cabozantinib did not demonstrate a survival benefit in the companion COMET-1 trial. At study closure, 119 participants were randomized (cabozantinib: N = 61; mitoxantrone-prednisone: N = 58). Complete pain and narcotic use data were available at baseline, week 6, and week 12 for 73/106 (69%) patients. There was no significant difference in the pain response with cabozantinib versus mitoxantrone-prednisone: the proportions of responders were 15% versus 17%, a −2% difference (95% confidence interval: −16% to 11%, p = 0.8). Barriers to accrual included pretreatment requirements for a washout period of prior anticancer therapy and a narcotic optimization period to maximize analgesic dosing. Conclusions: Cabozantinib treatment did not demonstrate better pain palliation than mitoxantrone-prednisone in heavily pretreated patients with mCRPC and symptomatic bone metastases. Future pain-palliation trials should incorporate briefer timelines from enrollment to treatment initiation. Patient summary: Cabozantinib was not better than mitoxantrone-prednisone for pain relief in patients with castration-resistant prostate cancer and debilitating pain from bone metastases. Control of debilitating pain is an unmet need for men with metastatic castration-resistant prostate cancer (mCRPC). This phase 3 trial failed to show an improved pain response for cabozant…","author":[{"dropping-particle":"","family":"Basch","given":"Ethan M.","non-dropping-particle":"","parse-names":false,"suffix":""},{"dropping-particle":"","family":"Scholz","given":"Mark","non-dropping-particle":"","parse-names":false,"suffix":""},{"dropping-particle":"","family":"Bono","given":"Johann S.","non-dropping-particle":"de","parse-names":false,"suffix":""},{"dropping-particle":"","family":"Vogelzang","given":"Nicholas","non-dropping-particle":"","parse-names":false,"suffix":""},{"dropping-particle":"","family":"Souza","given":"Paul","non-dropping-particle":"de","parse-names":false,"suffix":""},{"dropping-particle":"","family":"Marx","given":"Gavin","non-dropping-particle":"","parse-names":false,"suffix":""},{"dropping-particle":"","family":"Vaishampayan","given":"Ulka","non-dropping-particle":"","parse-names":false,"suffix":""},{"dropping-particle":"","family":"George","given":"Saby","non-dropping-particle":"","parse-names":false,"suffix":""},{"dropping-particle":"","family":"Schwarz","given":"James K.","non-dropping-particle":"","parse-names":false,"suffix":""},{"dropping-particle":"","family":"Antonarakis","given":"Emmanuel S.","non-dropping-particle":"","parse-names":false,"suffix":""},{"dropping-particle":"","family":"O'Sullivan","given":"Joseph M.","non-dropping-particle":"","parse-names":false,"suffix":""},{"dropping-particle":"","family":"Kalebasty","given":"Arash Rezazadeh","non-dropping-particle":"","parse-names":false,"suffix":""},{"dropping-particle":"","family":"Chi","given":"Kim N.","non-dropping-particle":"","parse-names":false,"suffix":""},{"dropping-particle":"","family":"Dreicer","given":"Robert","non-dropping-particle":"","parse-names":false,"suffix":""},{"dropping-particle":"","family":"Hutson","given":"Thomas E.","non-dropping-particle":"","parse-names":false,"suffix":""},{"dropping-particle":"","family":"Dueck","given":"Amylou C.","non-dropping-particle":"","parse-names":false,"suffix":""},{"dropping-particle":"V.","family":"Bennett","given":"Antonia","non-dropping-particle":"","parse-names":false,"suffix":""},{"dropping-particle":"","family":"Dayan","given":"Erica","non-dropping-particle":"","parse-names":false,"suffix":""},{"dropping-particle":"","family":"Mangeshkar","given":"Milan","non-dropping-particle":"","parse-names":false,"suffix":""},{"dropping-particle":"","family":"Holland","given":"Jaymes","non-dropping-particle":"","parse-names":false,"suffix":""},{"dropping-particle":"","family":"Weitzman","given":"Aaron L.","non-dropping-particle":"","parse-names":false,"suffix":""},{"dropping-particle":"","family":"Scher","given":"Howard I.","non-dropping-particle":"","parse-names":false,"suffix":""}],"container-title":"European Urology","id":"ITEM-1","issued":{"date-parts":[["2019"]]},"title":"Cabozantinib Versus Mitoxantrone-prednisone in Symptomatic Metastatic Castration-resistant Prostate Cancer: A Randomized Phase 3 Trial with a Primary Pain Endpoint","type":"article-journal"},"uris":["http://www.mendeley.com/documents/?uuid=d11ad331-e2e0-401f-ad63-d6f161ef67b9"]}],"mendeley":{"formattedCitation":"&lt;sup&gt;53&lt;/sup&gt;","plainTextFormattedCitation":"53","previouslyFormattedCitation":"&lt;sup&gt;53&lt;/sup&gt;"},"properties":{"noteIndex":0},"schema":"https://github.com/citation-style-language/schema/raw/master/csl-citation.json"}</w:instrText>
      </w:r>
      <w:r w:rsidR="00225770" w:rsidRPr="00E14F7D">
        <w:rPr>
          <w:rFonts w:ascii="Times New Roman" w:hAnsi="Times New Roman" w:cs="Times New Roman"/>
        </w:rPr>
        <w:fldChar w:fldCharType="separate"/>
      </w:r>
      <w:r w:rsidR="00401A53" w:rsidRPr="00401A53">
        <w:rPr>
          <w:rFonts w:ascii="Times New Roman" w:hAnsi="Times New Roman" w:cs="Times New Roman"/>
          <w:noProof/>
          <w:vertAlign w:val="superscript"/>
        </w:rPr>
        <w:t>53</w:t>
      </w:r>
      <w:r w:rsidR="00225770" w:rsidRPr="00E14F7D">
        <w:rPr>
          <w:rFonts w:ascii="Times New Roman" w:hAnsi="Times New Roman" w:cs="Times New Roman"/>
        </w:rPr>
        <w:fldChar w:fldCharType="end"/>
      </w:r>
      <w:r w:rsidR="00225770" w:rsidRPr="00E14F7D">
        <w:rPr>
          <w:rFonts w:ascii="Times New Roman" w:hAnsi="Times New Roman" w:cs="Times New Roman"/>
        </w:rPr>
        <w:t xml:space="preserve"> </w:t>
      </w:r>
      <w:r w:rsidR="00DF2C94" w:rsidRPr="00E14F7D">
        <w:rPr>
          <w:rFonts w:ascii="Times New Roman" w:hAnsi="Times New Roman" w:cs="Times New Roman"/>
        </w:rPr>
        <w:t>Also f</w:t>
      </w:r>
      <w:r w:rsidR="00FC6028" w:rsidRPr="00E14F7D">
        <w:rPr>
          <w:rFonts w:ascii="Times New Roman" w:hAnsi="Times New Roman" w:cs="Times New Roman"/>
        </w:rPr>
        <w:t>or clinical monitoring</w:t>
      </w:r>
      <w:r w:rsidR="005B41E4">
        <w:rPr>
          <w:rFonts w:ascii="Times New Roman" w:hAnsi="Times New Roman" w:cs="Times New Roman"/>
        </w:rPr>
        <w:t>,</w:t>
      </w:r>
      <w:r w:rsidR="00FC6028" w:rsidRPr="00E14F7D">
        <w:rPr>
          <w:rFonts w:ascii="Times New Roman" w:hAnsi="Times New Roman" w:cs="Times New Roman"/>
        </w:rPr>
        <w:t xml:space="preserve"> for example, in patients with acute conditions or undergoing aggressive therapies, capturing daily changes using a 24-hour recall period may be most appropriate. Although longer recall periods (e.g., 2-4 weeks) tend to be associated with increasing rates of recall bias,</w:t>
      </w:r>
      <w:r w:rsidR="4732125D" w:rsidRPr="00E14F7D">
        <w:rPr>
          <w:rFonts w:ascii="Times New Roman" w:hAnsi="Times New Roman" w:cs="Times New Roman"/>
        </w:rPr>
        <w:t xml:space="preserve"> some</w:t>
      </w:r>
      <w:r w:rsidR="00FC6028" w:rsidRPr="00E14F7D">
        <w:rPr>
          <w:rFonts w:ascii="Times New Roman" w:hAnsi="Times New Roman" w:cs="Times New Roman"/>
        </w:rPr>
        <w:t xml:space="preserve"> domains and types of functioning, especially those that may not</w:t>
      </w:r>
      <w:r w:rsidR="00AC76C3" w:rsidRPr="00E14F7D">
        <w:rPr>
          <w:rFonts w:ascii="Times New Roman" w:hAnsi="Times New Roman" w:cs="Times New Roman"/>
        </w:rPr>
        <w:t xml:space="preserve"> be expected to</w:t>
      </w:r>
      <w:r w:rsidR="00FC6028" w:rsidRPr="00E14F7D">
        <w:rPr>
          <w:rFonts w:ascii="Times New Roman" w:hAnsi="Times New Roman" w:cs="Times New Roman"/>
        </w:rPr>
        <w:t xml:space="preserve"> occur daily</w:t>
      </w:r>
      <w:r w:rsidR="4732125D" w:rsidRPr="00E14F7D">
        <w:rPr>
          <w:rFonts w:ascii="Times New Roman" w:hAnsi="Times New Roman" w:cs="Times New Roman"/>
        </w:rPr>
        <w:t xml:space="preserve"> (e.g., </w:t>
      </w:r>
      <w:r w:rsidR="00231B88" w:rsidRPr="00E14F7D">
        <w:rPr>
          <w:rFonts w:ascii="Times New Roman" w:hAnsi="Times New Roman" w:cs="Times New Roman"/>
        </w:rPr>
        <w:t>sexual functioning</w:t>
      </w:r>
      <w:r w:rsidR="4732125D" w:rsidRPr="00E14F7D">
        <w:rPr>
          <w:rFonts w:ascii="Times New Roman" w:hAnsi="Times New Roman" w:cs="Times New Roman"/>
        </w:rPr>
        <w:t>) may be best measured by a longer recall period</w:t>
      </w:r>
      <w:r w:rsidR="006D5821" w:rsidRPr="00E14F7D">
        <w:rPr>
          <w:rFonts w:ascii="Times New Roman" w:hAnsi="Times New Roman" w:cs="Times New Roman"/>
        </w:rPr>
        <w:t>.</w:t>
      </w:r>
      <w:r w:rsidR="4732125D" w:rsidRPr="00E14F7D">
        <w:rPr>
          <w:rFonts w:ascii="Times New Roman" w:hAnsi="Times New Roman" w:cs="Times New Roman"/>
        </w:rPr>
        <w:t xml:space="preserve"> </w:t>
      </w:r>
      <w:r w:rsidR="006D5821" w:rsidRPr="00E14F7D">
        <w:rPr>
          <w:rFonts w:ascii="Times New Roman" w:hAnsi="Times New Roman" w:cs="Times New Roman"/>
        </w:rPr>
        <w:fldChar w:fldCharType="begin" w:fldLock="1"/>
      </w:r>
      <w:r w:rsidR="00350920">
        <w:rPr>
          <w:rFonts w:ascii="Times New Roman" w:hAnsi="Times New Roman" w:cs="Times New Roman"/>
        </w:rPr>
        <w:instrText>ADDIN CSL_CITATION {"citationItems":[{"id":"ITEM-1","itemData":{"DOI":"10.1016/j.jval.2019.04.415","ISSN":"10983015","author":[{"dropping-particle":"","family":"Piccinin","given":"C.","non-dropping-particle":"","parse-names":false,"suffix":""},{"dropping-particle":"","family":"Kulis","given":"D.","non-dropping-particle":"","parse-names":false,"suffix":""},{"dropping-particle":"","family":"Bottomley","given":"A.","non-dropping-particle":"","parse-names":false,"suffix":""},{"dropping-particle":"","family":"Bjordal","given":"K.","non-dropping-particle":"","parse-names":false,"suffix":""},{"dropping-particle":"","family":"Coens","given":"C.","non-dropping-particle":"","parse-names":false,"suffix":""},{"dropping-particle":"","family":"Darlington","given":"A.S.","non-dropping-particle":"","parse-names":false,"suffix":""},{"dropping-particle":"","family":"Johnson","given":"C.D.","non-dropping-particle":"","parse-names":false,"suffix":""},{"dropping-particle":"","family":"Velikova","given":"G.","non-dropping-particle":"","parse-names":false,"suffix":""},{"dropping-particle":"","family":"Grønvold","given":"M.","non-dropping-particle":"","parse-names":false,"suffix":""}],"container-title":"Value in Health","id":"ITEM-1","issued":{"date-parts":[["2019"]]},"title":"PCN296 Development of scientific guidelines for use of the EORTC Item Library in cancer clinical trials","type":"article-journal"},"uris":["http://www.mendeley.com/documents/?uuid=65b81525-6bbe-4933-bde8-a35e733979a8"]},{"id":"ITEM-2","itemData":{"author":[{"dropping-particle":"","family":"Piccinin","given":"Claire","non-dropping-particle":"","parse-names":false,"suffix":""},{"dropping-particle":"","family":"Kuliś","given":"Dagmara","non-dropping-particle":"","parse-names":false,"suffix":""},{"dropping-particle":"","family":"Bottomley","given":"Andrew","non-dropping-particle":"","parse-names":false,"suffix":""},{"dropping-particle":"","family":"Bjordal","given":"Kristin","non-dropping-particle":"","parse-names":false,"suffix":""},{"dropping-particle":"","family":"Coens","given":"Corneel","non-dropping-particle":"","parse-names":false,"suffix":""},{"dropping-particle":"","family":"Darlington","given":"Anne-Sophie","non-dropping-particle":"","parse-names":false,"suffix":""},{"dropping-particle":"","family":"Johnson","given":"Colin","non-dropping-particle":"","parse-names":false,"suffix":""},{"dropping-particle":"","family":"Velikova","given":"Galina","non-dropping-particle":"","parse-names":false,"suffix":""},{"dropping-particle":"","family":"Groenvold","given":"Mogens","non-dropping-particle":"","parse-names":false,"suffix":""}],"edition":"1st Ed.","id":"ITEM-2","issued":{"date-parts":[["2022"]]},"publisher":"EORTC","publisher-place":"Brussels","title":"EORTC Quality of Life Group Item Library User Guidelines","type":"book"},"uris":["http://www.mendeley.com/documents/?uuid=c2ffac46-5781-4e63-a060-ada79f67400b"]}],"mendeley":{"formattedCitation":"&lt;sup&gt;38,39&lt;/sup&gt;","plainTextFormattedCitation":"38,39","previouslyFormattedCitation":"&lt;sup&gt;38,39&lt;/sup&gt;"},"properties":{"noteIndex":0},"schema":"https://github.com/citation-style-language/schema/raw/master/csl-citation.json"}</w:instrText>
      </w:r>
      <w:r w:rsidR="006D5821" w:rsidRPr="00E14F7D">
        <w:rPr>
          <w:rFonts w:ascii="Times New Roman" w:hAnsi="Times New Roman" w:cs="Times New Roman"/>
        </w:rPr>
        <w:fldChar w:fldCharType="separate"/>
      </w:r>
      <w:r w:rsidR="00401A53" w:rsidRPr="00401A53">
        <w:rPr>
          <w:rFonts w:ascii="Times New Roman" w:hAnsi="Times New Roman" w:cs="Times New Roman"/>
          <w:noProof/>
          <w:vertAlign w:val="superscript"/>
        </w:rPr>
        <w:t>38,39</w:t>
      </w:r>
      <w:r w:rsidR="006D5821" w:rsidRPr="00E14F7D">
        <w:rPr>
          <w:rFonts w:ascii="Times New Roman" w:hAnsi="Times New Roman" w:cs="Times New Roman"/>
        </w:rPr>
        <w:fldChar w:fldCharType="end"/>
      </w:r>
    </w:p>
    <w:p w14:paraId="1F1F4A14" w14:textId="0B5EB4D6" w:rsidR="008F5243" w:rsidRPr="00E14F7D" w:rsidRDefault="00225770" w:rsidP="002B6503">
      <w:pPr>
        <w:spacing w:line="360" w:lineRule="auto"/>
        <w:rPr>
          <w:rFonts w:ascii="Times New Roman" w:hAnsi="Times New Roman" w:cs="Times New Roman"/>
        </w:rPr>
      </w:pPr>
      <w:r w:rsidRPr="00E14F7D">
        <w:rPr>
          <w:rFonts w:ascii="Times New Roman" w:hAnsi="Times New Roman" w:cs="Times New Roman"/>
        </w:rPr>
        <w:t>Moreover, studies of some PRO measures and measurement systems have found little impact of recall period</w:t>
      </w:r>
      <w:r w:rsidR="006D5821" w:rsidRPr="00E14F7D">
        <w:rPr>
          <w:rFonts w:ascii="Times New Roman" w:hAnsi="Times New Roman" w:cs="Times New Roman"/>
        </w:rPr>
        <w:t>.</w:t>
      </w:r>
      <w:r w:rsidRPr="00E14F7D">
        <w:rPr>
          <w:rFonts w:ascii="Times New Roman" w:hAnsi="Times New Roman" w:cs="Times New Roman"/>
        </w:rPr>
        <w:t xml:space="preserve"> </w:t>
      </w:r>
      <w:r w:rsidR="005457ED" w:rsidRPr="00E14F7D">
        <w:rPr>
          <w:rFonts w:ascii="Times New Roman" w:hAnsi="Times New Roman" w:cs="Times New Roman"/>
        </w:rPr>
        <w:fldChar w:fldCharType="begin" w:fldLock="1"/>
      </w:r>
      <w:r w:rsidR="00350920">
        <w:rPr>
          <w:rFonts w:ascii="Times New Roman" w:hAnsi="Times New Roman" w:cs="Times New Roman"/>
        </w:rPr>
        <w:instrText>ADDIN CSL_CITATION {"citationItems":[{"id":"ITEM-1","itemData":{"DOI":"10.1016/j.jclinepi.2008.10.007","ISSN":"08954356","PMID":"19216054","abstract":"Objective: This study compared self-reported fatigue between 7-day and 4-week time frames and explored factors that affect patients' responses. Study Design and Setting: Two hundred and sixteen cancer patients completed either 7-day or 4-week version of the Functional Assessment of Chronic Illness Therapy-Fatigue (FACIT-F). Cochran-Mantel-Haenszel statistics and Cochran-Armitage trend tests were used to assess the association between time frame and item scores. Information function curves at both item and scale levels were depicted to evaluate the precision along the fatigue continuum. Differential item functioning (DIF) was used to examine the stability of the psychometric properties between time frames. Results: Time frame did not influence patients' item responses. Examination of information function curves at item level did not clearly favor either time frame. At the scale level, the 7-day time frame was slightly more precise overall than the 4-week time frame. No item demonstrated DIF between time frames. Neither gender nor fatigue severity had an impact on above results. Conclusion: This study suggests 7-day and 4-week time frame are equally appropriate in measuring fatigue, preference might be given to the more informative 7-day time frame. However, substantive considerations regarding the appropriate time frame should outweigh statistical ones. © 2009 Elsevier Inc. All rights reserved.","author":[{"dropping-particle":"","family":"Lai","given":"Jin Shei","non-dropping-particle":"","parse-names":false,"suffix":""},{"dropping-particle":"","family":"Cook","given":"Karon","non-dropping-particle":"","parse-names":false,"suffix":""},{"dropping-particle":"","family":"Stone","given":"Arthur","non-dropping-particle":"","parse-names":false,"suffix":""},{"dropping-particle":"","family":"Beaumont","given":"Jennifer","non-dropping-particle":"","parse-names":false,"suffix":""},{"dropping-particle":"","family":"Cella","given":"David","non-dropping-particle":"","parse-names":false,"suffix":""}],"container-title":"Journal of Clinical Epidemiology","id":"ITEM-1","issued":{"date-parts":[["2009"]]},"title":"Classical test theory and item response theory/Rasch model to assess differences between patient-reported fatigue using 7-day and 4-week recall periods","type":"article-journal"},"uris":["http://www.mendeley.com/documents/?uuid=b6c9fde9-57d2-483a-a5cd-802172f49234"]},{"id":"ITEM-2","itemData":{"ISSN":"19395914","abstract":"To assess the use of the Functional Assessment of Cancer Therapy - Brain (FACT-Br) to assess quality of life (QOL) in patients with brain metastases based on a recall period of 24 hours by assessing its predictive value of the past seven days. Brain metastases patients were interviewed using the FACT-General (FACT-G) and FACT-Br one week prior to treatment, and completed a follow-up assessment one month post treatment. Patients completed the questionnaires by rating items simultaneously based on the past seven days, as well as the past 24 hours. Forty patients had complete one month follow-up data and were included in the analyses. The median age of patients was 64 years, median Eastern Cooperative Oncology Group performance status (ECOG) was 1, and the median Karnofsky Performance Status (KPS) was 80. Pearson correlations between the FACT-Br subscale scores for the past seven days and past 24 hours were all highly correlated (0.95 or greater). There was no statistically significant difference between the past seven day and past 24 hour subscale scores at both baseline and one month follow-up (p &gt; 0.05). The past 24 hour subscale scores were significantly predictive of the past seven days for all FACT-G and FACT-Br subscales at baseline and one month follow-up. Thus, the FACT-G and FACT-Br can successfully be used to assess QOL based on the past 24 hours in brain metastases patients. Future clinical trials should use a 24 hour recall period for the FACT-G and FACT-Br for patients with poor neurocognitive and/or performance status, or for daily assessments based on the needs of the study. © Nova Science Publishers, Inc.","author":[{"dropping-particle":"","family":"Thavarajah","given":"Nemica","non-dropping-particle":"","parse-names":false,"suffix":""},{"dropping-particle":"","family":"Bedard","given":"Gillian","non-dropping-particle":"","parse-names":false,"suffix":""},{"dropping-particle":"","family":"Zhang","given":"Liying","non-dropping-particle":"","parse-names":false,"suffix":""},{"dropping-particle":"","family":"Cella","given":"David","non-dropping-particle":"","parse-names":false,"suffix":""},{"dropping-particle":"","family":"Beaumont","given":"Jennifer L.","non-dropping-particle":"","parse-names":false,"suffix":""},{"dropping-particle":"","family":"Tsao","given":"May","non-dropping-particle":"","parse-names":false,"suffix":""},{"dropping-particle":"","family":"Barnes","given":"Elizabeth","non-dropping-particle":"","parse-names":false,"suffix":""},{"dropping-particle":"","family":"Danjoux","given":"Cyril","non-dropping-particle":"","parse-names":false,"suffix":""},{"dropping-particle":"","family":"Sahgal","given":"Arjun","non-dropping-particle":"","parse-names":false,"suffix":""},{"dropping-particle":"","family":"Soliman","given":"Hany","non-dropping-particle":"","parse-names":false,"suffix":""},{"dropping-particle":"","family":"Chow","given":"Edward","non-dropping-particle":"","parse-names":false,"suffix":""}],"container-title":"Journal of Pain Management","id":"ITEM-2","issued":{"date-parts":[["2013"]]},"title":"The Functional Assessment of Cancer Therapy - Brain (FACT-Br) for assessing quality of life in patients with brain metastases: A comparison of recall periods","type":"article-journal"},"uris":["http://www.mendeley.com/documents/?uuid=fe1ad3fe-35a9-4036-b04c-884f13d87ef8"]},{"id":"ITEM-3","itemData":{"DOI":"10.1007/s11136-019-02344-0","ISSN":"15732649","PMID":"31701432","abstract":"Purpose: To evaluate the influence of recall periods on the assessment of physical function, we compared, in cancer and general population samples, the standard administration of PROMIS Physical Function items without a recall period to administrations with 24-hour and 7-day recall periods. Methods: We administered 31 items from the PROMIS Physical Function v2.0 item bank to 2400 respondents (n = 1001 with cancer; n = 1399 from the general population). Respondents were randomly assigned to one of three recall conditions (no recall, 24-hours, or 7-days) and one of two “reminder” conditions (with recall periods presented only at the start of the survey or with every item). We assessed items for potential differential item functioning (DIF) by recall time period. We then tested recall and reminder effects with analysis of variance controlling for demographics, English fluency, and co-morbidities. Results: Based on conservative pre-set criteria, no items were flagged for recall time period-related DIF. Using analysis of variance, each condition was compared to the standard PROMIS administration for Physical Function (no recall period). There was no evidence of significant differences among groups in the cancer sample. In the general population sample, only the 24-hour recall condition with reminders was significantly different from the “no recall” PROMIS standard. At the item level, for both samples, the number of items with non-trivial effect size differences across conditions was minimal. Conclusions: Compared to no recall, the use of a recall period has little to no effect upon PROMIS physical function responses or scores. We recommend that PROMIS Physical Function be administered with the standard PROMIS “no recall” period.","author":[{"dropping-particle":"","family":"Condon","given":"David M.","non-dropping-particle":"","parse-names":false,"suffix":""},{"dropping-particle":"","family":"Chapman","given":"Robert","non-dropping-particle":"","parse-names":false,"suffix":""},{"dropping-particle":"","family":"Shaunfield","given":"Sara","non-dropping-particle":"","parse-names":false,"suffix":""},{"dropping-particle":"","family":"Kallen","given":"Michael A.","non-dropping-particle":"","parse-names":false,"suffix":""},{"dropping-particle":"","family":"Beaumont","given":"Jennifer L.","non-dropping-particle":"","parse-names":false,"suffix":""},{"dropping-particle":"","family":"Eek","given":"Daniel","non-dropping-particle":"","parse-names":false,"suffix":""},{"dropping-particle":"","family":"Mitra","given":"Debanjali","non-dropping-particle":"","parse-names":false,"suffix":""},{"dropping-particle":"","family":"Benjamin","given":"Katy L.","non-dropping-particle":"","parse-names":false,"suffix":""},{"dropping-particle":"","family":"McQuarrie","given":"Kelly","non-dropping-particle":"","parse-names":false,"suffix":""},{"dropping-particle":"","family":"Liu","given":"Jamae","non-dropping-particle":"","parse-names":false,"suffix":""},{"dropping-particle":"","family":"Shaw","given":"James W.","non-dropping-particle":"","parse-names":false,"suffix":""},{"dropping-particle":"","family":"Martin Nguyen","given":"Allison","non-dropping-particle":"","parse-names":false,"suffix":""},{"dropping-particle":"","family":"Keating","given":"Karen","non-dropping-particle":"","parse-names":false,"suffix":""},{"dropping-particle":"","family":"Cella","given":"David","non-dropping-particle":"","parse-names":false,"suffix":""}],"container-title":"Quality of Life Research","id":"ITEM-3","issued":{"date-parts":[["2020"]]},"title":"Does recall period matter? Comparing PROMIS® physical function with no recall, 24-hr recall, and 7-day recall","type":"article-journal"},"uris":["http://www.mendeley.com/documents/?uuid=8ae1a70d-6cd5-4ca5-a4c6-19d9fafeabc7"]},{"id":"ITEM-4","itemData":{"DOI":"10.1016/j.jval.2021.08.011","ISSN":"15244733","PMID":"35094787","abstract":"Objectives: This study aimed to determine whether responses to Patient-Reported Outcomes Measurement Information System Short Form v2.0 – Physical Function 8c (PROMIS PF8c) items differed when the use of a 7-day recall period was compared with no specified recall period. Methods: Using a within-subject design, we surveyed 1810 individuals from the US general population, administering PROMIS PF8c at survey beginning and end. The order of measure presentation was randomly assigned. We calculated recall difference scores (RDSs) as no recall score minus 7-day recall score using both item response theory-based T scores and raw summed scores. We examined the distribution and created Bland-Altman plots for both RDSTscore and RDSRaw. We also calculated correlations between no recall versus 7-day recall T score and raw scores. Finally, we determined whether differences in no recall versus 7-day recall scores were associated with patient-reported PF. Results: RDSTscore and RDSRaw had means (root mean square differences) of 0.00 (5.43) and −0.04 (3.79), respectively. The vast majority (%) of RDSTscore and RDSRaw values fell between the Bland-Altman limits of agreement (−10.65 to 10.66 and −7.46 to 7.38, respectively). Pearson's correlations between no recall and 7-day recall for T scores and raw scores were 0.88 and 0.87, respectively. Effect sizes for mean RDSTscore and RDSRaw compared across level of Eastern Oncology Cooperative Group performance status, patient global impression of PF severity, and single PF items were near 0. Conclusions: We did not find any significant recall period effect on PF8c responses. Therefore, we recommend the use of the PROMIS physical function standard, with no specified recall time period.","author":[{"dropping-particle":"","family":"Peipert","given":"John Devin","non-dropping-particle":"","parse-names":false,"suffix":""},{"dropping-particle":"","family":"Chapman","given":"Robert","non-dropping-particle":"","parse-names":false,"suffix":""},{"dropping-particle":"","family":"Shaunfield","given":"Sara","non-dropping-particle":"","parse-names":false,"suffix":""},{"dropping-particle":"","family":"Kallen","given":"Michael A.","non-dropping-particle":"","parse-names":false,"suffix":""},{"dropping-particle":"","family":"Schalet","given":"Benjamin D.","non-dropping-particle":"","parse-names":false,"suffix":""},{"dropping-particle":"","family":"Cella","given":"David","non-dropping-particle":"","parse-names":false,"suffix":""}],"container-title":"Value in Health","id":"ITEM-4","issued":{"date-parts":[["2022"]]},"title":"Do You Recall?: Results From a Within-Person Recall Study of the Patient-Reported Outcomes Measurement Information System (PROMIS) Short Form v2.0 – Physical Function 8c","type":"article-journal"},"uris":["http://www.mendeley.com/documents/?uuid=cc0614aa-2cce-4a8e-af89-327b7f808666"]}],"mendeley":{"formattedCitation":"&lt;sup&gt;54–57&lt;/sup&gt;","plainTextFormattedCitation":"54–57","previouslyFormattedCitation":"&lt;sup&gt;54–57&lt;/sup&gt;"},"properties":{"noteIndex":0},"schema":"https://github.com/citation-style-language/schema/raw/master/csl-citation.json"}</w:instrText>
      </w:r>
      <w:r w:rsidR="005457ED" w:rsidRPr="00E14F7D">
        <w:rPr>
          <w:rFonts w:ascii="Times New Roman" w:hAnsi="Times New Roman" w:cs="Times New Roman"/>
        </w:rPr>
        <w:fldChar w:fldCharType="separate"/>
      </w:r>
      <w:r w:rsidR="00401A53" w:rsidRPr="00401A53">
        <w:rPr>
          <w:rFonts w:ascii="Times New Roman" w:hAnsi="Times New Roman" w:cs="Times New Roman"/>
          <w:noProof/>
          <w:vertAlign w:val="superscript"/>
        </w:rPr>
        <w:t>54–57</w:t>
      </w:r>
      <w:r w:rsidR="005457ED" w:rsidRPr="00E14F7D">
        <w:rPr>
          <w:rFonts w:ascii="Times New Roman" w:hAnsi="Times New Roman" w:cs="Times New Roman"/>
        </w:rPr>
        <w:fldChar w:fldCharType="end"/>
      </w:r>
      <w:r w:rsidR="002B6503" w:rsidRPr="00E14F7D">
        <w:rPr>
          <w:rFonts w:ascii="Times New Roman" w:hAnsi="Times New Roman" w:cs="Times New Roman"/>
        </w:rPr>
        <w:t xml:space="preserve"> As such, it is important to consider the available evidence for the specific item library, as well as s</w:t>
      </w:r>
      <w:r w:rsidR="4BF257C8" w:rsidRPr="00E14F7D">
        <w:rPr>
          <w:rFonts w:ascii="Times New Roman" w:hAnsi="Times New Roman" w:cs="Times New Roman"/>
        </w:rPr>
        <w:t>tudy design and timing of instrument/item list administration</w:t>
      </w:r>
      <w:r w:rsidR="00AD1A9F" w:rsidRPr="00E14F7D">
        <w:rPr>
          <w:rFonts w:ascii="Times New Roman" w:hAnsi="Times New Roman" w:cs="Times New Roman"/>
        </w:rPr>
        <w:t>.</w:t>
      </w:r>
      <w:r w:rsidR="4BF257C8" w:rsidRPr="00E14F7D">
        <w:rPr>
          <w:rFonts w:ascii="Times New Roman" w:hAnsi="Times New Roman" w:cs="Times New Roman"/>
        </w:rPr>
        <w:t xml:space="preserve"> </w:t>
      </w:r>
      <w:r w:rsidR="004E3BF3">
        <w:rPr>
          <w:rFonts w:ascii="Times New Roman" w:hAnsi="Times New Roman" w:cs="Times New Roman"/>
        </w:rPr>
        <w:t>I</w:t>
      </w:r>
      <w:r w:rsidR="4BF257C8" w:rsidRPr="00E14F7D">
        <w:rPr>
          <w:rFonts w:ascii="Times New Roman" w:hAnsi="Times New Roman" w:cs="Times New Roman"/>
        </w:rPr>
        <w:t xml:space="preserve">f investigators need to capture the patient experience over the entire time course of treatment, it is important </w:t>
      </w:r>
      <w:r w:rsidR="003D2B03" w:rsidRPr="00E14F7D">
        <w:rPr>
          <w:rFonts w:ascii="Times New Roman" w:hAnsi="Times New Roman" w:cs="Times New Roman"/>
        </w:rPr>
        <w:t>for</w:t>
      </w:r>
      <w:r w:rsidR="4BF257C8" w:rsidRPr="00E14F7D">
        <w:rPr>
          <w:rFonts w:ascii="Times New Roman" w:hAnsi="Times New Roman" w:cs="Times New Roman"/>
        </w:rPr>
        <w:t xml:space="preserve"> frequency of assessment </w:t>
      </w:r>
      <w:r w:rsidR="003D2B03" w:rsidRPr="00E14F7D">
        <w:rPr>
          <w:rFonts w:ascii="Times New Roman" w:hAnsi="Times New Roman" w:cs="Times New Roman"/>
        </w:rPr>
        <w:t xml:space="preserve">to </w:t>
      </w:r>
      <w:r w:rsidR="4BF257C8" w:rsidRPr="00E14F7D">
        <w:rPr>
          <w:rFonts w:ascii="Times New Roman" w:hAnsi="Times New Roman" w:cs="Times New Roman"/>
        </w:rPr>
        <w:t xml:space="preserve">coincide with recall periods. In general, the choice of recall period depends on several factors, including the measure's intended use, the study’s research questions, </w:t>
      </w:r>
      <w:r w:rsidR="00A77A61" w:rsidRPr="00E14F7D">
        <w:rPr>
          <w:rFonts w:ascii="Times New Roman" w:hAnsi="Times New Roman" w:cs="Times New Roman"/>
        </w:rPr>
        <w:t>the schedule of events</w:t>
      </w:r>
      <w:r w:rsidR="004E3BF3">
        <w:rPr>
          <w:rFonts w:ascii="Times New Roman" w:hAnsi="Times New Roman" w:cs="Times New Roman"/>
        </w:rPr>
        <w:t>,</w:t>
      </w:r>
      <w:r w:rsidR="00A77A61" w:rsidRPr="00E14F7D">
        <w:rPr>
          <w:rFonts w:ascii="Times New Roman" w:hAnsi="Times New Roman" w:cs="Times New Roman"/>
        </w:rPr>
        <w:t xml:space="preserve"> </w:t>
      </w:r>
      <w:r w:rsidR="00A77A61" w:rsidRPr="00E14F7D">
        <w:rPr>
          <w:rFonts w:ascii="Times New Roman" w:hAnsi="Times New Roman" w:cs="Times New Roman"/>
        </w:rPr>
        <w:fldChar w:fldCharType="begin" w:fldLock="1"/>
      </w:r>
      <w:r w:rsidR="00350920">
        <w:rPr>
          <w:rFonts w:ascii="Times New Roman" w:hAnsi="Times New Roman" w:cs="Times New Roman"/>
        </w:rPr>
        <w:instrText>ADDIN CSL_CITATION {"citationItems":[{"id":"ITEM-1","itemData":{"author":[{"dropping-particle":"","family":"FDA","given":"","non-dropping-particle":"","parse-names":false,"suffix":""}],"id":"ITEM-1","issue":"June 2021","issued":{"date-parts":[["2021"]]},"title":"Core Patient-Reported Outcomes in Cancer Clinical Trials Guidance for Industry DRAFT GUIDANCE","type":"article-journal"},"uris":["http://www.mendeley.com/documents/?uuid=0e21d377-8840-4acc-9968-f8b2a6923e54"]}],"mendeley":{"formattedCitation":"&lt;sup&gt;33&lt;/sup&gt;","plainTextFormattedCitation":"33","previouslyFormattedCitation":"&lt;sup&gt;33&lt;/sup&gt;"},"properties":{"noteIndex":0},"schema":"https://github.com/citation-style-language/schema/raw/master/csl-citation.json"}</w:instrText>
      </w:r>
      <w:r w:rsidR="00A77A61" w:rsidRPr="00E14F7D">
        <w:rPr>
          <w:rFonts w:ascii="Times New Roman" w:hAnsi="Times New Roman" w:cs="Times New Roman"/>
        </w:rPr>
        <w:fldChar w:fldCharType="separate"/>
      </w:r>
      <w:r w:rsidR="00401A53" w:rsidRPr="00401A53">
        <w:rPr>
          <w:rFonts w:ascii="Times New Roman" w:hAnsi="Times New Roman" w:cs="Times New Roman"/>
          <w:noProof/>
          <w:vertAlign w:val="superscript"/>
        </w:rPr>
        <w:t>33</w:t>
      </w:r>
      <w:r w:rsidR="00A77A61" w:rsidRPr="00E14F7D">
        <w:rPr>
          <w:rFonts w:ascii="Times New Roman" w:hAnsi="Times New Roman" w:cs="Times New Roman"/>
        </w:rPr>
        <w:fldChar w:fldCharType="end"/>
      </w:r>
      <w:r w:rsidR="00A77A61" w:rsidRPr="00E14F7D">
        <w:rPr>
          <w:rFonts w:ascii="Times New Roman" w:hAnsi="Times New Roman" w:cs="Times New Roman"/>
        </w:rPr>
        <w:t xml:space="preserve"> </w:t>
      </w:r>
      <w:r w:rsidR="4BF257C8" w:rsidRPr="00E14F7D">
        <w:rPr>
          <w:rFonts w:ascii="Times New Roman" w:hAnsi="Times New Roman" w:cs="Times New Roman"/>
        </w:rPr>
        <w:t>and the timing of PRO administration</w:t>
      </w:r>
      <w:r w:rsidR="000870CB" w:rsidRPr="00E14F7D">
        <w:rPr>
          <w:rFonts w:ascii="Times New Roman" w:hAnsi="Times New Roman" w:cs="Times New Roman"/>
        </w:rPr>
        <w:t>. Depending</w:t>
      </w:r>
      <w:r w:rsidR="4BF257C8" w:rsidRPr="00E14F7D">
        <w:rPr>
          <w:rFonts w:ascii="Times New Roman" w:hAnsi="Times New Roman" w:cs="Times New Roman"/>
        </w:rPr>
        <w:t xml:space="preserve"> on the specific outcome of interest (e.g., </w:t>
      </w:r>
      <w:r w:rsidR="004E3BF3">
        <w:rPr>
          <w:rFonts w:ascii="Times New Roman" w:hAnsi="Times New Roman" w:cs="Times New Roman"/>
        </w:rPr>
        <w:t xml:space="preserve">symptom </w:t>
      </w:r>
      <w:r w:rsidR="4BF257C8" w:rsidRPr="00E14F7D">
        <w:rPr>
          <w:rFonts w:ascii="Times New Roman" w:hAnsi="Times New Roman" w:cs="Times New Roman"/>
        </w:rPr>
        <w:t>variability vs. overall assessment of impact)</w:t>
      </w:r>
      <w:r w:rsidR="000870CB" w:rsidRPr="00E14F7D">
        <w:rPr>
          <w:rFonts w:ascii="Times New Roman" w:hAnsi="Times New Roman" w:cs="Times New Roman"/>
        </w:rPr>
        <w:t>, different recall periods may be relevant</w:t>
      </w:r>
      <w:r w:rsidR="006D5821" w:rsidRPr="00E14F7D">
        <w:rPr>
          <w:rFonts w:ascii="Times New Roman" w:hAnsi="Times New Roman" w:cs="Times New Roman"/>
        </w:rPr>
        <w:t>.</w:t>
      </w:r>
      <w:r w:rsidR="4BF257C8" w:rsidRPr="00E14F7D">
        <w:rPr>
          <w:rFonts w:ascii="Times New Roman" w:hAnsi="Times New Roman" w:cs="Times New Roman"/>
        </w:rPr>
        <w:t xml:space="preserve"> </w:t>
      </w:r>
      <w:r w:rsidR="00956790" w:rsidRPr="00E14F7D">
        <w:rPr>
          <w:rFonts w:ascii="Times New Roman" w:hAnsi="Times New Roman" w:cs="Times New Roman"/>
        </w:rPr>
        <w:fldChar w:fldCharType="begin" w:fldLock="1"/>
      </w:r>
      <w:r w:rsidR="00350920">
        <w:rPr>
          <w:rFonts w:ascii="Times New Roman" w:hAnsi="Times New Roman" w:cs="Times New Roman"/>
        </w:rPr>
        <w:instrText>ADDIN CSL_CITATION {"citationItems":[{"id":"ITEM-1","itemData":{"DOI":"10.1185/03007990902774765","ISSN":"03007995","PMID":"19257798","abstract":"Objectives: As the role and importance of patient-reported outcomes (PROs) increase, the validity and reliability of PRO measures come under greater scientific and regulatory scrutiny. One key issue is selecting the 'most appropriate' recall period for capturing PROs in clinical trials. This paper draws on survey research, health-specific literature, and results from clinical trials to summarize factors that can influence recall and provide guidance on selecting an optimal recall period. Methods: We conducted a systematic review of six databases and additional literature drawn from bibliographies of the selected articles. Results: Six major factors can influence recall; these can be classified into two broad areas: characteristics of the recalled phenomenon (recency, attributes, complexity) and context or meaning of the recalled phenomenon (salience, patient experience, mood). Results of different recall periods for three classes of PROs are presented: health behaviors, symptoms, and health-related quality of life. We present findings on the effect of alternative recall periods for three commonly used PROs. Finally, we propose a heuristic model to link the concept under investigation with an optimal recall period. Conclusions: No single recall period is best for all measures or all phenomena. The recall period must correspond to the characteristics of the phenomenon of interest and the purpose of the assessment. Recall period is an issue of internal validity. An incorrect recall period introduces measurement error that may reduce the chances of detecting a treatment effect. Researchers should consider recall period as seriously as they do other measurement properties. © 2009 Informa UK Ltd. All rights reserved.","author":[{"dropping-particle":"","family":"Stull","given":"Donald E.","non-dropping-particle":"","parse-names":false,"suffix":""},{"dropping-particle":"","family":"Leidy","given":"Nancy Kline","non-dropping-particle":"","parse-names":false,"suffix":""},{"dropping-particle":"","family":"Parasuraman","given":"Bhash","non-dropping-particle":"","parse-names":false,"suffix":""},{"dropping-particle":"","family":"Chassany","given":"Olivier","non-dropping-particle":"","parse-names":false,"suffix":""}],"container-title":"Current Medical Research and Opinion","id":"ITEM-1","issued":{"date-parts":[["2009"]]},"title":"Optimal recall periods for patient-reported outcomes: Challenges and potential solutions","type":"article"},"uris":["http://www.mendeley.com/documents/?uuid=0b209d0b-edc4-4a2d-910f-24f38f66ea8b"]}],"mendeley":{"formattedCitation":"&lt;sup&gt;58&lt;/sup&gt;","plainTextFormattedCitation":"58","previouslyFormattedCitation":"&lt;sup&gt;58&lt;/sup&gt;"},"properties":{"noteIndex":0},"schema":"https://github.com/citation-style-language/schema/raw/master/csl-citation.json"}</w:instrText>
      </w:r>
      <w:r w:rsidR="00956790" w:rsidRPr="00E14F7D">
        <w:rPr>
          <w:rFonts w:ascii="Times New Roman" w:hAnsi="Times New Roman" w:cs="Times New Roman"/>
        </w:rPr>
        <w:fldChar w:fldCharType="separate"/>
      </w:r>
      <w:r w:rsidR="00401A53" w:rsidRPr="00401A53">
        <w:rPr>
          <w:rFonts w:ascii="Times New Roman" w:hAnsi="Times New Roman" w:cs="Times New Roman"/>
          <w:noProof/>
          <w:vertAlign w:val="superscript"/>
        </w:rPr>
        <w:t>58</w:t>
      </w:r>
      <w:r w:rsidR="00956790" w:rsidRPr="00E14F7D">
        <w:rPr>
          <w:rFonts w:ascii="Times New Roman" w:hAnsi="Times New Roman" w:cs="Times New Roman"/>
        </w:rPr>
        <w:fldChar w:fldCharType="end"/>
      </w:r>
      <w:r w:rsidR="000870CB" w:rsidRPr="00E14F7D">
        <w:rPr>
          <w:rFonts w:ascii="Times New Roman" w:hAnsi="Times New Roman" w:cs="Times New Roman"/>
        </w:rPr>
        <w:t xml:space="preserve"> </w:t>
      </w:r>
      <w:r w:rsidR="00C10872" w:rsidRPr="00E14F7D">
        <w:rPr>
          <w:rFonts w:ascii="Times New Roman" w:hAnsi="Times New Roman" w:cs="Times New Roman"/>
        </w:rPr>
        <w:t>While</w:t>
      </w:r>
      <w:r w:rsidR="001E4DF5" w:rsidRPr="00E14F7D">
        <w:rPr>
          <w:rFonts w:ascii="Times New Roman" w:hAnsi="Times New Roman" w:cs="Times New Roman"/>
        </w:rPr>
        <w:t xml:space="preserve"> the use of new recall periods may complicate comparability across studies, such an approach may still be necessary </w:t>
      </w:r>
      <w:r w:rsidR="00EC6687" w:rsidRPr="00E14F7D">
        <w:rPr>
          <w:rFonts w:ascii="Times New Roman" w:hAnsi="Times New Roman" w:cs="Times New Roman"/>
        </w:rPr>
        <w:t>in some cases</w:t>
      </w:r>
      <w:r w:rsidR="001E4DF5" w:rsidRPr="00E14F7D">
        <w:rPr>
          <w:rFonts w:ascii="Times New Roman" w:hAnsi="Times New Roman" w:cs="Times New Roman"/>
        </w:rPr>
        <w:t xml:space="preserve">. </w:t>
      </w:r>
    </w:p>
    <w:p w14:paraId="3C19D88B" w14:textId="2C6DDFDD" w:rsidR="002D5605" w:rsidRPr="00E14F7D" w:rsidRDefault="002D5605" w:rsidP="00E14F7D">
      <w:pPr>
        <w:pStyle w:val="ListParagraph"/>
        <w:numPr>
          <w:ilvl w:val="0"/>
          <w:numId w:val="7"/>
        </w:numPr>
        <w:spacing w:line="360" w:lineRule="auto"/>
        <w:rPr>
          <w:rFonts w:ascii="Times New Roman" w:hAnsi="Times New Roman" w:cs="Times New Roman"/>
          <w:i/>
          <w:iCs/>
        </w:rPr>
      </w:pPr>
      <w:r w:rsidRPr="00E14F7D">
        <w:rPr>
          <w:rFonts w:ascii="Times New Roman" w:hAnsi="Times New Roman" w:cs="Times New Roman"/>
          <w:i/>
          <w:iCs/>
        </w:rPr>
        <w:t>What are some of the determinants of patient burden and how can it be minimized?</w:t>
      </w:r>
    </w:p>
    <w:p w14:paraId="0E31FD86" w14:textId="0F619B5A" w:rsidR="006F27FA" w:rsidRPr="00E14F7D" w:rsidRDefault="7EF6502E" w:rsidP="00AF0675">
      <w:pPr>
        <w:spacing w:line="360" w:lineRule="auto"/>
        <w:rPr>
          <w:rFonts w:ascii="Times New Roman" w:hAnsi="Times New Roman" w:cs="Times New Roman"/>
        </w:rPr>
      </w:pPr>
      <w:r w:rsidRPr="00E14F7D">
        <w:rPr>
          <w:rFonts w:ascii="Times New Roman" w:hAnsi="Times New Roman" w:cs="Times New Roman"/>
        </w:rPr>
        <w:lastRenderedPageBreak/>
        <w:t xml:space="preserve">Although length of measures may be linked to patient burden, the issue of burden is more complex than a simple threshold for number of items. When multiple instruments are administered, it is important to avoid duplication of concepts, which may be frustrating to patients. Completion time should also be considered, as longer completion may lead to higher burden. Timing of questionnaire administration is also relevant. For example, patients may be more willing to complete a longer questionnaire if they know that it will not occur frequently. </w:t>
      </w:r>
      <w:r w:rsidR="009E6A3B">
        <w:rPr>
          <w:rFonts w:ascii="Times New Roman" w:hAnsi="Times New Roman" w:cs="Times New Roman"/>
        </w:rPr>
        <w:t>W</w:t>
      </w:r>
      <w:r w:rsidRPr="00E14F7D">
        <w:rPr>
          <w:rFonts w:ascii="Times New Roman" w:hAnsi="Times New Roman" w:cs="Times New Roman"/>
        </w:rPr>
        <w:t>hen frequent (e.g., weekly) administration is planned, then measures should generally be relatively short</w:t>
      </w:r>
      <w:r w:rsidR="006D5821" w:rsidRPr="00E14F7D">
        <w:rPr>
          <w:rFonts w:ascii="Times New Roman" w:hAnsi="Times New Roman" w:cs="Times New Roman"/>
        </w:rPr>
        <w:t>.</w:t>
      </w:r>
      <w:r w:rsidRPr="00E14F7D">
        <w:rPr>
          <w:rFonts w:ascii="Times New Roman" w:hAnsi="Times New Roman" w:cs="Times New Roman"/>
        </w:rPr>
        <w:t xml:space="preserve"> </w:t>
      </w:r>
      <w:r w:rsidR="005457ED" w:rsidRPr="00E14F7D">
        <w:rPr>
          <w:rFonts w:ascii="Times New Roman" w:hAnsi="Times New Roman" w:cs="Times New Roman"/>
        </w:rPr>
        <w:fldChar w:fldCharType="begin" w:fldLock="1"/>
      </w:r>
      <w:r w:rsidR="00350920">
        <w:rPr>
          <w:rFonts w:ascii="Times New Roman" w:hAnsi="Times New Roman" w:cs="Times New Roman"/>
        </w:rPr>
        <w:instrText>ADDIN CSL_CITATION {"citationItems":[{"id":"ITEM-1","itemData":{"abstract":"This guidance describes how the Food and Drug Administration (FDA) reviews and evaluates existing, modified, or newly created patient-reported outcome (PRO) instruments used to support claims in approved medical product labeling.2 A PRO instrument (i.e., a questionnaire plus the information and documentation that support its use) is a means to capture PRO data used to measure treatment benefit or risk in medical product clinical trials. This guidance does not address the use of PRO instruments for purposes beyond evaluation of claims made about a medical product in labeling. This guidance also does not address disease-specific issues. Guidance on clinical trial endpoints for specific diseases can be found on various FDA Web sites.3","author":[{"dropping-particle":"","family":"FDA","given":"","non-dropping-particle":"","parse-names":false,"suffix":""}],"container-title":"Clinical/Medical Federal Register","id":"ITEM-1","issued":{"date-parts":[["2009"]]},"title":"Guidance for Industry; Patient-Reported Outcome Measures: Use in Medical Product Development to Support Labeling Claims","type":"article-journal"},"uris":["http://www.mendeley.com/documents/?uuid=b4434c61-aed6-44e3-a841-400209a5d501"]},{"id":"ITEM-2","itemData":{"DOI":"10.1016/j.jval.2019.04.415","ISSN":"10983015","author":[{"dropping-particle":"","family":"Piccinin","given":"C.","non-dropping-particle":"","parse-names":false,"suffix":""},{"dropping-particle":"","family":"Kulis","given":"D.","non-dropping-particle":"","parse-names":false,"suffix":""},{"dropping-particle":"","family":"Bottomley","given":"A.","non-dropping-particle":"","parse-names":false,"suffix":""},{"dropping-particle":"","family":"Bjordal","given":"K.","non-dropping-particle":"","parse-names":false,"suffix":""},{"dropping-particle":"","family":"Coens","given":"C.","non-dropping-particle":"","parse-names":false,"suffix":""},{"dropping-particle":"","family":"Darlington","given":"A.S.","non-dropping-particle":"","parse-names":false,"suffix":""},{"dropping-particle":"","family":"Johnson","given":"C.D.","non-dropping-particle":"","parse-names":false,"suffix":""},{"dropping-particle":"","family":"Velikova","given":"G.","non-dropping-particle":"","parse-names":false,"suffix":""},{"dropping-particle":"","family":"Grønvold","given":"M.","non-dropping-particle":"","parse-names":false,"suffix":""}],"container-title":"Value in Health","id":"ITEM-2","issued":{"date-parts":[["2019"]]},"title":"PCN296 Development of scientific guidelines for use of the EORTC Item Library in cancer clinical trials","type":"article-journal"},"uris":["http://www.mendeley.com/documents/?uuid=65b81525-6bbe-4933-bde8-a35e733979a8"]},{"id":"ITEM-3","itemData":{"author":[{"dropping-particle":"","family":"Piccinin","given":"Claire","non-dropping-particle":"","parse-names":false,"suffix":""},{"dropping-particle":"","family":"Kuliś","given":"Dagmara","non-dropping-particle":"","parse-names":false,"suffix":""},{"dropping-particle":"","family":"Bottomley","given":"Andrew","non-dropping-particle":"","parse-names":false,"suffix":""},{"dropping-particle":"","family":"Bjordal","given":"Kristin","non-dropping-particle":"","parse-names":false,"suffix":""},{"dropping-particle":"","family":"Coens","given":"Corneel","non-dropping-particle":"","parse-names":false,"suffix":""},{"dropping-particle":"","family":"Darlington","given":"Anne-Sophie","non-dropping-particle":"","parse-names":false,"suffix":""},{"dropping-particle":"","family":"Johnson","given":"Colin","non-dropping-particle":"","parse-names":false,"suffix":""},{"dropping-particle":"","family":"Velikova","given":"Galina","non-dropping-particle":"","parse-names":false,"suffix":""},{"dropping-particle":"","family":"Groenvold","given":"Mogens","non-dropping-particle":"","parse-names":false,"suffix":""}],"edition":"1st Ed.","id":"ITEM-3","issued":{"date-parts":[["2022"]]},"publisher":"EORTC","publisher-place":"Brussels","title":"EORTC Quality of Life Group Item Library User Guidelines","type":"book"},"uris":["http://www.mendeley.com/documents/?uuid=c2ffac46-5781-4e63-a060-ada79f67400b"]}],"mendeley":{"formattedCitation":"&lt;sup&gt;20,38,39&lt;/sup&gt;","plainTextFormattedCitation":"20,38,39","previouslyFormattedCitation":"&lt;sup&gt;20,38,39&lt;/sup&gt;"},"properties":{"noteIndex":0},"schema":"https://github.com/citation-style-language/schema/raw/master/csl-citation.json"}</w:instrText>
      </w:r>
      <w:r w:rsidR="005457ED" w:rsidRPr="00E14F7D">
        <w:rPr>
          <w:rFonts w:ascii="Times New Roman" w:hAnsi="Times New Roman" w:cs="Times New Roman"/>
        </w:rPr>
        <w:fldChar w:fldCharType="separate"/>
      </w:r>
      <w:r w:rsidR="00401A53" w:rsidRPr="00401A53">
        <w:rPr>
          <w:rFonts w:ascii="Times New Roman" w:hAnsi="Times New Roman" w:cs="Times New Roman"/>
          <w:noProof/>
          <w:vertAlign w:val="superscript"/>
        </w:rPr>
        <w:t>20,38,39</w:t>
      </w:r>
      <w:r w:rsidR="005457ED" w:rsidRPr="00E14F7D">
        <w:rPr>
          <w:rFonts w:ascii="Times New Roman" w:hAnsi="Times New Roman" w:cs="Times New Roman"/>
        </w:rPr>
        <w:fldChar w:fldCharType="end"/>
      </w:r>
    </w:p>
    <w:p w14:paraId="1E717340" w14:textId="1C3F1D7F" w:rsidR="00471739" w:rsidRPr="00E14F7D" w:rsidRDefault="762EE3AF" w:rsidP="00AF0675">
      <w:pPr>
        <w:spacing w:line="360" w:lineRule="auto"/>
        <w:rPr>
          <w:rFonts w:ascii="Times New Roman" w:hAnsi="Times New Roman" w:cs="Times New Roman"/>
        </w:rPr>
      </w:pPr>
      <w:r w:rsidRPr="00E14F7D">
        <w:rPr>
          <w:rFonts w:ascii="Times New Roman" w:hAnsi="Times New Roman" w:cs="Times New Roman"/>
        </w:rPr>
        <w:t>Formatting of the questionnaire</w:t>
      </w:r>
      <w:r w:rsidR="007B2588">
        <w:rPr>
          <w:rFonts w:ascii="Times New Roman" w:hAnsi="Times New Roman" w:cs="Times New Roman"/>
        </w:rPr>
        <w:t>,</w:t>
      </w:r>
      <w:r w:rsidR="007B2588" w:rsidRPr="00E14F7D">
        <w:rPr>
          <w:rFonts w:ascii="Times New Roman" w:hAnsi="Times New Roman" w:cs="Times New Roman"/>
        </w:rPr>
        <w:t xml:space="preserve"> </w:t>
      </w:r>
      <w:r w:rsidRPr="00E14F7D">
        <w:rPr>
          <w:rFonts w:ascii="Times New Roman" w:hAnsi="Times New Roman" w:cs="Times New Roman"/>
        </w:rPr>
        <w:t>patients' literacy levels</w:t>
      </w:r>
      <w:r w:rsidR="007B2588">
        <w:rPr>
          <w:rFonts w:ascii="Times New Roman" w:hAnsi="Times New Roman" w:cs="Times New Roman"/>
        </w:rPr>
        <w:t>,</w:t>
      </w:r>
      <w:r w:rsidR="007B2588" w:rsidRPr="00E14F7D">
        <w:rPr>
          <w:rFonts w:ascii="Times New Roman" w:hAnsi="Times New Roman" w:cs="Times New Roman"/>
        </w:rPr>
        <w:t xml:space="preserve"> </w:t>
      </w:r>
      <w:r w:rsidRPr="00E14F7D">
        <w:rPr>
          <w:rFonts w:ascii="Times New Roman" w:hAnsi="Times New Roman" w:cs="Times New Roman"/>
        </w:rPr>
        <w:t>administration mode (e.g., paper, phone, electronic</w:t>
      </w:r>
      <w:r w:rsidR="007B2588" w:rsidRPr="00E14F7D">
        <w:rPr>
          <w:rFonts w:ascii="Times New Roman" w:hAnsi="Times New Roman" w:cs="Times New Roman"/>
        </w:rPr>
        <w:t>)</w:t>
      </w:r>
      <w:r w:rsidR="007B2588">
        <w:rPr>
          <w:rFonts w:ascii="Times New Roman" w:hAnsi="Times New Roman" w:cs="Times New Roman"/>
        </w:rPr>
        <w:t>,</w:t>
      </w:r>
      <w:r w:rsidR="007B2588" w:rsidRPr="00E14F7D">
        <w:rPr>
          <w:rFonts w:ascii="Times New Roman" w:hAnsi="Times New Roman" w:cs="Times New Roman"/>
        </w:rPr>
        <w:t xml:space="preserve"> </w:t>
      </w:r>
      <w:r w:rsidRPr="00E14F7D">
        <w:rPr>
          <w:rFonts w:ascii="Times New Roman" w:hAnsi="Times New Roman" w:cs="Times New Roman"/>
        </w:rPr>
        <w:t>and sensitive content; may all be linked to burden</w:t>
      </w:r>
      <w:r w:rsidR="00FB688A" w:rsidRPr="00E14F7D">
        <w:rPr>
          <w:rFonts w:ascii="Times New Roman" w:hAnsi="Times New Roman" w:cs="Times New Roman"/>
        </w:rPr>
        <w:t>.</w:t>
      </w:r>
      <w:r w:rsidRPr="00E14F7D">
        <w:rPr>
          <w:rFonts w:ascii="Times New Roman" w:hAnsi="Times New Roman" w:cs="Times New Roman"/>
        </w:rPr>
        <w:t xml:space="preserve"> </w:t>
      </w:r>
      <w:r w:rsidR="7EF6502E" w:rsidRPr="00E14F7D">
        <w:rPr>
          <w:rFonts w:ascii="Times New Roman" w:hAnsi="Times New Roman" w:cs="Times New Roman"/>
        </w:rPr>
        <w:fldChar w:fldCharType="begin" w:fldLock="1"/>
      </w:r>
      <w:r w:rsidR="00350920">
        <w:rPr>
          <w:rFonts w:ascii="Times New Roman" w:hAnsi="Times New Roman" w:cs="Times New Roman"/>
        </w:rPr>
        <w:instrText>ADDIN CSL_CITATION {"citationItems":[{"id":"ITEM-1","itemData":{"abstract":"This guidance describes how the Food and Drug Administration (FDA) reviews and evaluates existing, modified, or newly created patient-reported outcome (PRO) instruments used to support claims in approved medical product labeling.2 A PRO instrument (i.e., a questionnaire plus the information and documentation that support its use) is a means to capture PRO data used to measure treatment benefit or risk in medical product clinical trials. This guidance does not address the use of PRO instruments for purposes beyond evaluation of claims made about a medical product in labeling. This guidance also does not address disease-specific issues. Guidance on clinical trial endpoints for specific diseases can be found on various FDA Web sites.3","author":[{"dropping-particle":"","family":"FDA","given":"","non-dropping-particle":"","parse-names":false,"suffix":""}],"container-title":"Clinical/Medical Federal Register","id":"ITEM-1","issued":{"date-parts":[["2009"]]},"title":"Guidance for Industry; Patient-Reported Outcome Measures: Use in Medical Product Development to Support Labeling Claims","type":"article-journal"},"uris":["http://www.mendeley.com/documents/?uuid=b4434c61-aed6-44e3-a841-400209a5d501"]}],"mendeley":{"formattedCitation":"&lt;sup&gt;20&lt;/sup&gt;","plainTextFormattedCitation":"20","previouslyFormattedCitation":"&lt;sup&gt;20&lt;/sup&gt;"},"properties":{"noteIndex":0},"schema":"https://github.com/citation-style-language/schema/raw/master/csl-citation.json"}</w:instrText>
      </w:r>
      <w:r w:rsidR="7EF6502E" w:rsidRPr="00E14F7D">
        <w:rPr>
          <w:rFonts w:ascii="Times New Roman" w:hAnsi="Times New Roman" w:cs="Times New Roman"/>
        </w:rPr>
        <w:fldChar w:fldCharType="separate"/>
      </w:r>
      <w:r w:rsidR="00401A53" w:rsidRPr="00401A53">
        <w:rPr>
          <w:rFonts w:ascii="Times New Roman" w:hAnsi="Times New Roman" w:cs="Times New Roman"/>
          <w:noProof/>
          <w:vertAlign w:val="superscript"/>
        </w:rPr>
        <w:t>20</w:t>
      </w:r>
      <w:r w:rsidR="7EF6502E" w:rsidRPr="00E14F7D">
        <w:rPr>
          <w:rFonts w:ascii="Times New Roman" w:hAnsi="Times New Roman" w:cs="Times New Roman"/>
        </w:rPr>
        <w:fldChar w:fldCharType="end"/>
      </w:r>
      <w:r w:rsidRPr="00E14F7D">
        <w:rPr>
          <w:rFonts w:ascii="Times New Roman" w:hAnsi="Times New Roman" w:cs="Times New Roman"/>
        </w:rPr>
        <w:t xml:space="preserve"> Other underlying factors like perceived difficulty of measure(s)</w:t>
      </w:r>
      <w:r w:rsidR="007B2588">
        <w:rPr>
          <w:rFonts w:ascii="Times New Roman" w:hAnsi="Times New Roman" w:cs="Times New Roman"/>
        </w:rPr>
        <w:t>,</w:t>
      </w:r>
      <w:r w:rsidRPr="00E14F7D">
        <w:rPr>
          <w:rFonts w:ascii="Times New Roman" w:hAnsi="Times New Roman" w:cs="Times New Roman"/>
        </w:rPr>
        <w:t xml:space="preserve"> </w:t>
      </w:r>
      <w:r w:rsidR="00EC6687" w:rsidRPr="00E14F7D">
        <w:rPr>
          <w:rFonts w:ascii="Times New Roman" w:hAnsi="Times New Roman" w:cs="Times New Roman"/>
        </w:rPr>
        <w:t>lower cognitive functioning and dexterity problems</w:t>
      </w:r>
      <w:r w:rsidR="007B2588">
        <w:rPr>
          <w:rFonts w:ascii="Times New Roman" w:hAnsi="Times New Roman" w:cs="Times New Roman"/>
        </w:rPr>
        <w:t>,</w:t>
      </w:r>
      <w:r w:rsidR="007B2588" w:rsidRPr="00E14F7D">
        <w:rPr>
          <w:rFonts w:ascii="Times New Roman" w:hAnsi="Times New Roman" w:cs="Times New Roman"/>
        </w:rPr>
        <w:t xml:space="preserve"> </w:t>
      </w:r>
      <w:r w:rsidRPr="00E14F7D">
        <w:rPr>
          <w:rFonts w:ascii="Times New Roman" w:hAnsi="Times New Roman" w:cs="Times New Roman"/>
        </w:rPr>
        <w:t xml:space="preserve">cognitive demands related to </w:t>
      </w:r>
      <w:r w:rsidR="00832FA3" w:rsidRPr="00E14F7D">
        <w:rPr>
          <w:rFonts w:ascii="Times New Roman" w:hAnsi="Times New Roman" w:cs="Times New Roman"/>
        </w:rPr>
        <w:t>PRO administration</w:t>
      </w:r>
      <w:r w:rsidR="007B2588">
        <w:rPr>
          <w:rFonts w:ascii="Times New Roman" w:hAnsi="Times New Roman" w:cs="Times New Roman"/>
        </w:rPr>
        <w:t>,</w:t>
      </w:r>
      <w:r w:rsidR="007B2588" w:rsidRPr="00E14F7D">
        <w:rPr>
          <w:rFonts w:ascii="Times New Roman" w:hAnsi="Times New Roman" w:cs="Times New Roman"/>
        </w:rPr>
        <w:t xml:space="preserve"> </w:t>
      </w:r>
      <w:r w:rsidRPr="00E14F7D">
        <w:rPr>
          <w:rFonts w:ascii="Times New Roman" w:hAnsi="Times New Roman" w:cs="Times New Roman"/>
        </w:rPr>
        <w:t>as well as disease stage and severity may all play a role in contributing to burden. However, for relevant issues, patients may specify that additional items are required</w:t>
      </w:r>
      <w:r w:rsidR="00FB688A" w:rsidRPr="00E14F7D">
        <w:rPr>
          <w:rFonts w:ascii="Times New Roman" w:hAnsi="Times New Roman" w:cs="Times New Roman"/>
        </w:rPr>
        <w:t>.</w:t>
      </w:r>
      <w:r w:rsidRPr="00E14F7D">
        <w:rPr>
          <w:rFonts w:ascii="Times New Roman" w:hAnsi="Times New Roman" w:cs="Times New Roman"/>
        </w:rPr>
        <w:t xml:space="preserve"> </w:t>
      </w:r>
      <w:r w:rsidR="006D5821" w:rsidRPr="00E14F7D">
        <w:rPr>
          <w:rFonts w:ascii="Times New Roman" w:hAnsi="Times New Roman" w:cs="Times New Roman"/>
        </w:rPr>
        <w:fldChar w:fldCharType="begin" w:fldLock="1"/>
      </w:r>
      <w:r w:rsidR="00350920">
        <w:rPr>
          <w:rFonts w:ascii="Times New Roman" w:hAnsi="Times New Roman" w:cs="Times New Roman"/>
        </w:rPr>
        <w:instrText>ADDIN CSL_CITATION {"citationItems":[{"id":"ITEM-1","itemData":{"DOI":"10.1016/j.jval.2011.06.003","ISSN":"10983015","PMID":"22152180","abstract":"Response burden is often defined as the effort required by the patient to answer a questionnaire. A factor that has been proposed to affect the response burden is questionnaire length, and this burden is manifested in, for example, response rate. Even though response burden is frequently mentioned as a reason for abridging questionnaires, evidence to support the notion that shorter instruments are preferable is limited. This study aimed to accumulate, analyze, and discuss evidence regarding the association between response burden, as measured by response rate, and questionnaire length. A systematic literature review and meta-analysis of studies reporting response rates in relation to questionnaire length was performed. A Cochran-Mantel-Haenszel test stratified by study using the Breslow-Day test was undertaken to investigate homogeneity of the odds ratios. Thirty-two reports were identified, of which 20 were eligible for inclusion in the meta-analysis. Three studies used patient input as main outcome when evaluating response burden. In the meta-analysis, a general association between response rate and questionnaire length was found (P ≤ 0.0001). Response rates were lower for longer questionnaires, but because the P value for test of homogeneity was P = 0.03, this association should be interpreted with caution because it is impossible to separate the impact of content from length of the questionnaires. Given the inherently problematic nature of comparing questionnaires of various lengths, it is preferable to base decisions on use of instruments on the content rather than the length per se. © 2011 International Society for Pharmacoeconomics and Outcomes Research (ISPOR).","author":[{"dropping-particle":"","family":"Rolstad","given":"Sindre","non-dropping-particle":"","parse-names":false,"suffix":""},{"dropping-particle":"","family":"Adler","given":"John","non-dropping-particle":"","parse-names":false,"suffix":""},{"dropping-particle":"","family":"Rydén","given":"Anna","non-dropping-particle":"","parse-names":false,"suffix":""}],"container-title":"Value in Health","id":"ITEM-1","issued":{"date-parts":[["2011"]]},"title":"Response burden and questionnaire length: Is shorter better? A review and meta-analysis","type":"article-journal"},"uris":["http://www.mendeley.com/documents/?uuid=f8b69cb7-fa28-4ce6-82ea-25a647846c27"]},{"id":"ITEM-2","itemData":{"DOI":"10.1016/j.jval.2018.07.875","ISSN":"15244733","PMID":"30711068","abstract":"Background: Patient response burden is often raised as a human subject concern in consideration of the length or complexity of patient-reported outcome (PRO) instruments used in oncology. Objectives: To quantify patient response burden and identify its predictive factors. Methods: Data were collected presurgically during a prospective trial that used a comprehensive symptom and health-related quality-of-life (HRQOL) PRO assessment. A subset of patients also completed HRQOL interviews. Response burden was captured using an internally developed six-item instrument. Demographic and clinical characteristics as well as HRQOL scores were examined as potential predictors using hierarchical regression. Response burden was used to predict participant dropout at the first follow-up interval. Results: A total of 275 patients (mean age 67.5 years; 23.6% female) completed surveys (n = 126) or surveys in addition to interviews (n = 149). Patients experienced low response burden (mean 12.19 ± 11.65). Repetitive questions were identified by 60 patients (21.8%), whereas 31.6% indicated that additional information should be gathered; 35 patients (12.7%) identified repetitive questions and expressed a desire for additional items. Low self-reported cognitive function was a significant predictor of higher response burden (β = −0.20; t(270) = −3.38; P = 0.01; model-adjusted R 2 = 0.04). Response burden was not a significant predictor of study dropout. Conclusions: Despite completing a large battery of PRO measures and interviews, patients reported minimal response burden, with nearly one-third expressing that more questions should have been asked. Patients with lower cognitive function are more likely to report higher response burden when completing PRO measures. Further examination of patient characteristics related to response burden may reveal useful pathways for tailoring patient-centered interventions.","author":[{"dropping-particle":"","family":"Atkinson","given":"Thomas M.","non-dropping-particle":"","parse-names":false,"suffix":""},{"dropping-particle":"","family":"Schwartz","given":"Carolyn E.","non-dropping-particle":"","parse-names":false,"suffix":""},{"dropping-particle":"","family":"Goldstein","given":"Leah","non-dropping-particle":"","parse-names":false,"suffix":""},{"dropping-particle":"","family":"Garcia","given":"Iliana","non-dropping-particle":"","parse-names":false,"suffix":""},{"dropping-particle":"","family":"Storfer","given":"Daniel F.","non-dropping-particle":"","parse-names":false,"suffix":""},{"dropping-particle":"","family":"Li","given":"Yuelin","non-dropping-particle":"","parse-names":false,"suffix":""},{"dropping-particle":"","family":"Zhang","given":"Jie","non-dropping-particle":"","parse-names":false,"suffix":""},{"dropping-particle":"","family":"Bochner","given":"Bernard H.","non-dropping-particle":"","parse-names":false,"suffix":""},{"dropping-particle":"","family":"Rapkin","given":"Bruce D.","non-dropping-particle":"","parse-names":false,"suffix":""}],"container-title":"Value in Health","id":"ITEM-2","issued":{"date-parts":[["2019"]]},"title":"Perceptions of Response Burden Associated with Completion of Patient-Reported Outcome Assessments in Oncology","type":"article-journal"},"uris":["http://www.mendeley.com/documents/?uuid=94ab00ee-32d2-426c-a19f-f5230d03546b"]}],"mendeley":{"formattedCitation":"&lt;sup&gt;59,60&lt;/sup&gt;","plainTextFormattedCitation":"59,60","previouslyFormattedCitation":"&lt;sup&gt;59,60&lt;/sup&gt;"},"properties":{"noteIndex":0},"schema":"https://github.com/citation-style-language/schema/raw/master/csl-citation.json"}</w:instrText>
      </w:r>
      <w:r w:rsidR="006D5821" w:rsidRPr="00E14F7D">
        <w:rPr>
          <w:rFonts w:ascii="Times New Roman" w:hAnsi="Times New Roman" w:cs="Times New Roman"/>
        </w:rPr>
        <w:fldChar w:fldCharType="separate"/>
      </w:r>
      <w:r w:rsidR="00401A53" w:rsidRPr="00401A53">
        <w:rPr>
          <w:rFonts w:ascii="Times New Roman" w:hAnsi="Times New Roman" w:cs="Times New Roman"/>
          <w:noProof/>
          <w:vertAlign w:val="superscript"/>
        </w:rPr>
        <w:t>59,60</w:t>
      </w:r>
      <w:r w:rsidR="006D5821" w:rsidRPr="00E14F7D">
        <w:rPr>
          <w:rFonts w:ascii="Times New Roman" w:hAnsi="Times New Roman" w:cs="Times New Roman"/>
        </w:rPr>
        <w:fldChar w:fldCharType="end"/>
      </w:r>
      <w:r w:rsidRPr="00E14F7D">
        <w:rPr>
          <w:rFonts w:ascii="Times New Roman" w:hAnsi="Times New Roman" w:cs="Times New Roman"/>
        </w:rPr>
        <w:t xml:space="preserve"> When patients are assured that their responses </w:t>
      </w:r>
      <w:r w:rsidR="00005E87" w:rsidRPr="00E14F7D">
        <w:rPr>
          <w:rFonts w:ascii="Times New Roman" w:hAnsi="Times New Roman" w:cs="Times New Roman"/>
        </w:rPr>
        <w:t>provide</w:t>
      </w:r>
      <w:r w:rsidRPr="00E14F7D">
        <w:rPr>
          <w:rFonts w:ascii="Times New Roman" w:hAnsi="Times New Roman" w:cs="Times New Roman"/>
        </w:rPr>
        <w:t xml:space="preserve"> a meaningful contribution, completion of measures may be perceived</w:t>
      </w:r>
      <w:r w:rsidR="00005E87" w:rsidRPr="00E14F7D">
        <w:rPr>
          <w:rFonts w:ascii="Times New Roman" w:hAnsi="Times New Roman" w:cs="Times New Roman"/>
        </w:rPr>
        <w:t xml:space="preserve"> as</w:t>
      </w:r>
      <w:r w:rsidRPr="00E14F7D">
        <w:rPr>
          <w:rFonts w:ascii="Times New Roman" w:hAnsi="Times New Roman" w:cs="Times New Roman"/>
        </w:rPr>
        <w:t xml:space="preserve"> less burdensome. The following approaches are recommended for minimizing patient burden:</w:t>
      </w:r>
    </w:p>
    <w:p w14:paraId="68056CA5" w14:textId="5361A791" w:rsidR="00F56B2B" w:rsidRPr="00E14F7D" w:rsidRDefault="762EE3AF" w:rsidP="00AF0675">
      <w:pPr>
        <w:spacing w:line="360" w:lineRule="auto"/>
        <w:rPr>
          <w:rFonts w:ascii="Times New Roman" w:hAnsi="Times New Roman" w:cs="Times New Roman"/>
        </w:rPr>
      </w:pPr>
      <w:r w:rsidRPr="00E14F7D">
        <w:rPr>
          <w:rFonts w:ascii="Times New Roman" w:hAnsi="Times New Roman" w:cs="Times New Roman"/>
          <w:u w:val="single"/>
        </w:rPr>
        <w:t>Considering PPI.</w:t>
      </w:r>
      <w:r w:rsidRPr="00E14F7D">
        <w:rPr>
          <w:rFonts w:ascii="Times New Roman" w:hAnsi="Times New Roman" w:cs="Times New Roman"/>
        </w:rPr>
        <w:t xml:space="preserve"> The need to obtain input through PPI should also be considered when assessing possible determinants of burden.</w:t>
      </w:r>
    </w:p>
    <w:p w14:paraId="7D0D38EC" w14:textId="1FE8DE83" w:rsidR="001E3AA6" w:rsidRPr="00E14F7D" w:rsidRDefault="002C44F1" w:rsidP="00AF0675">
      <w:pPr>
        <w:spacing w:line="360" w:lineRule="auto"/>
        <w:rPr>
          <w:rFonts w:ascii="Times New Roman" w:hAnsi="Times New Roman" w:cs="Times New Roman"/>
        </w:rPr>
      </w:pPr>
      <w:r w:rsidRPr="00E14F7D">
        <w:rPr>
          <w:rFonts w:ascii="Times New Roman" w:hAnsi="Times New Roman" w:cs="Times New Roman"/>
          <w:u w:val="single"/>
        </w:rPr>
        <w:t>Robust approach to item selection and pilot testing of provisional list.</w:t>
      </w:r>
      <w:r w:rsidRPr="00E14F7D">
        <w:rPr>
          <w:rFonts w:ascii="Times New Roman" w:hAnsi="Times New Roman" w:cs="Times New Roman"/>
        </w:rPr>
        <w:t xml:space="preserve"> </w:t>
      </w:r>
      <w:r w:rsidR="00BB3438" w:rsidRPr="00E14F7D">
        <w:rPr>
          <w:rFonts w:ascii="Times New Roman" w:hAnsi="Times New Roman" w:cs="Times New Roman"/>
        </w:rPr>
        <w:t>M</w:t>
      </w:r>
      <w:r w:rsidR="00F56B2B" w:rsidRPr="00E14F7D">
        <w:rPr>
          <w:rFonts w:ascii="Times New Roman" w:hAnsi="Times New Roman" w:cs="Times New Roman"/>
        </w:rPr>
        <w:t>easures and items should be selected in a thoughtful way, minimizing redundancy and highlighting relevan</w:t>
      </w:r>
      <w:r w:rsidR="00DE6241" w:rsidRPr="00E14F7D">
        <w:rPr>
          <w:rFonts w:ascii="Times New Roman" w:hAnsi="Times New Roman" w:cs="Times New Roman"/>
        </w:rPr>
        <w:t>ce</w:t>
      </w:r>
      <w:r w:rsidR="00F56B2B" w:rsidRPr="00E14F7D">
        <w:rPr>
          <w:rFonts w:ascii="Times New Roman" w:hAnsi="Times New Roman" w:cs="Times New Roman"/>
        </w:rPr>
        <w:t xml:space="preserve"> by focusing on key </w:t>
      </w:r>
      <w:r w:rsidR="007A5250" w:rsidRPr="00E14F7D">
        <w:rPr>
          <w:rFonts w:ascii="Times New Roman" w:hAnsi="Times New Roman" w:cs="Times New Roman"/>
        </w:rPr>
        <w:t xml:space="preserve">symptomatic </w:t>
      </w:r>
      <w:r w:rsidR="00F56B2B" w:rsidRPr="00E14F7D">
        <w:rPr>
          <w:rFonts w:ascii="Times New Roman" w:hAnsi="Times New Roman" w:cs="Times New Roman"/>
        </w:rPr>
        <w:t>AEs and issues and</w:t>
      </w:r>
      <w:r w:rsidR="00DE6241" w:rsidRPr="00E14F7D">
        <w:rPr>
          <w:rFonts w:ascii="Times New Roman" w:hAnsi="Times New Roman" w:cs="Times New Roman"/>
        </w:rPr>
        <w:t xml:space="preserve"> ensuring</w:t>
      </w:r>
      <w:r w:rsidR="00F56B2B" w:rsidRPr="00E14F7D">
        <w:rPr>
          <w:rFonts w:ascii="Times New Roman" w:hAnsi="Times New Roman" w:cs="Times New Roman"/>
        </w:rPr>
        <w:t xml:space="preserve"> meaningfulness</w:t>
      </w:r>
      <w:r w:rsidR="00DE6241" w:rsidRPr="00E14F7D">
        <w:rPr>
          <w:rFonts w:ascii="Times New Roman" w:hAnsi="Times New Roman" w:cs="Times New Roman"/>
        </w:rPr>
        <w:t xml:space="preserve"> for patients</w:t>
      </w:r>
      <w:r w:rsidR="00FB688A" w:rsidRPr="00E14F7D">
        <w:rPr>
          <w:rFonts w:ascii="Times New Roman" w:hAnsi="Times New Roman" w:cs="Times New Roman"/>
        </w:rPr>
        <w:t>.</w:t>
      </w:r>
      <w:r w:rsidR="00DE6241" w:rsidRPr="00E14F7D">
        <w:rPr>
          <w:rFonts w:ascii="Times New Roman" w:hAnsi="Times New Roman" w:cs="Times New Roman"/>
        </w:rPr>
        <w:t xml:space="preserve"> </w:t>
      </w:r>
      <w:r w:rsidR="00DE6241" w:rsidRPr="00E14F7D">
        <w:rPr>
          <w:rFonts w:ascii="Times New Roman" w:hAnsi="Times New Roman" w:cs="Times New Roman"/>
        </w:rPr>
        <w:fldChar w:fldCharType="begin" w:fldLock="1"/>
      </w:r>
      <w:r w:rsidR="00350920">
        <w:rPr>
          <w:rFonts w:ascii="Times New Roman" w:hAnsi="Times New Roman" w:cs="Times New Roman"/>
        </w:rPr>
        <w:instrText>ADDIN CSL_CITATION {"citationItems":[{"id":"ITEM-1","itemData":{"DOI":"10.1016/j.clinthera.2016.03.011","ISSN":"1879114X","PMID":"27045992","abstract":"Purpose There is increasing interest to use patient-reported outcome (PRO) measures to evaluate symptomatic adverse events (AEs) in cancer treatment trials. However, there are currently no standard recommended approaches for integrating patient-reported AE measures into trials. Methods Approaches are identified from previous trials for selecting AEs for solicited patient reporting, administering patient-reported AE measures, and analyzing and reporting results. Findings Approaches for integrating patient-reported AE measures into cancer trials generally combine current standard methods for clinician-reported AEs and established best practices for using PRO measures. Specific AEs can be selected for a PRO questionnaire based on common and expected reactions in a given trial context, derived from literature review and qualitative/mixed-methods evaluations and should be the same set administered across all arms of a trial. A mechanism for collecting unsolicited patient-reported AEs will also ideally be included. Patients will preferably report at baseline and at the end of active treatment as well as on a frequent standardized schedule during active treatment, such as weekly from home, with a recall period corresponding to the frequency of reporting (eg, past 7 days). Less frequent reporting may be considered after an initial intensive monitoring period for trials of prolonged treatments and during long-term follow-up. Electronic PRO data collection is preferred. Backup data collection for missed PRO reports is advisable to boost response rates. Analysis can use a combination of approaches to AE and PRO data. If a high proportion of patients is experiencing baseline symptoms, systematic subtraction of these from on-study AEs should be considered to improve reporting of symptoms related to treatment. More granular longitudinal analyses of individual symptoms can also be useful. Implications Methods are evolving for integrating patient-reported symptomatic AEs into cancer trials. These methods are expected to further evolve as more data from trials become available.","author":[{"dropping-particle":"","family":"Basch","given":"Ethan","non-dropping-particle":"","parse-names":false,"suffix":""},{"dropping-particle":"","family":"Rogak","given":"Lauren J.","non-dropping-particle":"","parse-names":false,"suffix":""},{"dropping-particle":"","family":"Dueck","given":"Amylou C.","non-dropping-particle":"","parse-names":false,"suffix":""}],"container-title":"Clinical Therapeutics","id":"ITEM-1","issued":{"date-parts":[["2016"]]},"title":"Methods for Implementing and Reporting Patient-reported Outcome (PRO) Measures of Symptomatic Adverse Events in Cancer Clinical Trials","type":"article-journal"},"uris":["http://www.mendeley.com/documents/?uuid=c6ca5dfb-6bc2-4584-ac95-a0ca511dc2d2"]}],"mendeley":{"formattedCitation":"&lt;sup&gt;46&lt;/sup&gt;","plainTextFormattedCitation":"46","previouslyFormattedCitation":"&lt;sup&gt;46&lt;/sup&gt;"},"properties":{"noteIndex":0},"schema":"https://github.com/citation-style-language/schema/raw/master/csl-citation.json"}</w:instrText>
      </w:r>
      <w:r w:rsidR="00DE6241" w:rsidRPr="00E14F7D">
        <w:rPr>
          <w:rFonts w:ascii="Times New Roman" w:hAnsi="Times New Roman" w:cs="Times New Roman"/>
        </w:rPr>
        <w:fldChar w:fldCharType="separate"/>
      </w:r>
      <w:r w:rsidR="00401A53" w:rsidRPr="00401A53">
        <w:rPr>
          <w:rFonts w:ascii="Times New Roman" w:hAnsi="Times New Roman" w:cs="Times New Roman"/>
          <w:noProof/>
          <w:vertAlign w:val="superscript"/>
        </w:rPr>
        <w:t>46</w:t>
      </w:r>
      <w:r w:rsidR="00DE6241" w:rsidRPr="00E14F7D">
        <w:rPr>
          <w:rFonts w:ascii="Times New Roman" w:hAnsi="Times New Roman" w:cs="Times New Roman"/>
        </w:rPr>
        <w:fldChar w:fldCharType="end"/>
      </w:r>
      <w:r w:rsidR="00DE6241" w:rsidRPr="00E14F7D">
        <w:rPr>
          <w:rFonts w:ascii="Times New Roman" w:hAnsi="Times New Roman" w:cs="Times New Roman"/>
        </w:rPr>
        <w:t xml:space="preserve"> Pilot testing the item list and battery of measures may also help to determine level of burden and feasibility</w:t>
      </w:r>
      <w:r w:rsidR="00FB688A" w:rsidRPr="00E14F7D">
        <w:rPr>
          <w:rFonts w:ascii="Times New Roman" w:hAnsi="Times New Roman" w:cs="Times New Roman"/>
        </w:rPr>
        <w:t>.</w:t>
      </w:r>
      <w:r w:rsidR="00DF2C94" w:rsidRPr="00E14F7D">
        <w:rPr>
          <w:rFonts w:ascii="Times New Roman" w:hAnsi="Times New Roman" w:cs="Times New Roman"/>
        </w:rPr>
        <w:t xml:space="preserve"> </w:t>
      </w:r>
      <w:r w:rsidR="006D5821" w:rsidRPr="00E14F7D">
        <w:rPr>
          <w:rFonts w:ascii="Times New Roman" w:hAnsi="Times New Roman" w:cs="Times New Roman"/>
        </w:rPr>
        <w:fldChar w:fldCharType="begin" w:fldLock="1"/>
      </w:r>
      <w:r w:rsidR="00350920">
        <w:rPr>
          <w:rFonts w:ascii="Times New Roman" w:hAnsi="Times New Roman" w:cs="Times New Roman"/>
        </w:rPr>
        <w:instrText>ADDIN CSL_CITATION {"citationItems":[{"id":"ITEM-1","itemData":{"DOI":"10.1016/j.jval.2019.04.415","ISSN":"10983015","author":[{"dropping-particle":"","family":"Piccinin","given":"C.","non-dropping-particle":"","parse-names":false,"suffix":""},{"dropping-particle":"","family":"Kulis","given":"D.","non-dropping-particle":"","parse-names":false,"suffix":""},{"dropping-particle":"","family":"Bottomley","given":"A.","non-dropping-particle":"","parse-names":false,"suffix":""},{"dropping-particle":"","family":"Bjordal","given":"K.","non-dropping-particle":"","parse-names":false,"suffix":""},{"dropping-particle":"","family":"Coens","given":"C.","non-dropping-particle":"","parse-names":false,"suffix":""},{"dropping-particle":"","family":"Darlington","given":"A.S.","non-dropping-particle":"","parse-names":false,"suffix":""},{"dropping-particle":"","family":"Johnson","given":"C.D.","non-dropping-particle":"","parse-names":false,"suffix":""},{"dropping-particle":"","family":"Velikova","given":"G.","non-dropping-particle":"","parse-names":false,"suffix":""},{"dropping-particle":"","family":"Grønvold","given":"M.","non-dropping-particle":"","parse-names":false,"suffix":""}],"container-title":"Value in Health","id":"ITEM-1","issued":{"date-parts":[["2019"]]},"title":"PCN296 Development of scientific guidelines for use of the EORTC Item Library in cancer clinical trials","type":"article-journal"},"uris":["http://www.mendeley.com/documents/?uuid=65b81525-6bbe-4933-bde8-a35e733979a8"]},{"id":"ITEM-2","itemData":{"author":[{"dropping-particle":"","family":"Piccinin","given":"Claire","non-dropping-particle":"","parse-names":false,"suffix":""},{"dropping-particle":"","family":"Kuliś","given":"Dagmara","non-dropping-particle":"","parse-names":false,"suffix":""},{"dropping-particle":"","family":"Bottomley","given":"Andrew","non-dropping-particle":"","parse-names":false,"suffix":""},{"dropping-particle":"","family":"Bjordal","given":"Kristin","non-dropping-particle":"","parse-names":false,"suffix":""},{"dropping-particle":"","family":"Coens","given":"Corneel","non-dropping-particle":"","parse-names":false,"suffix":""},{"dropping-particle":"","family":"Darlington","given":"Anne-Sophie","non-dropping-particle":"","parse-names":false,"suffix":""},{"dropping-particle":"","family":"Johnson","given":"Colin","non-dropping-particle":"","parse-names":false,"suffix":""},{"dropping-particle":"","family":"Velikova","given":"Galina","non-dropping-particle":"","parse-names":false,"suffix":""},{"dropping-particle":"","family":"Groenvold","given":"Mogens","non-dropping-particle":"","parse-names":false,"suffix":""}],"edition":"1st Ed.","id":"ITEM-2","issued":{"date-parts":[["2022"]]},"publisher":"EORTC","publisher-place":"Brussels","title":"EORTC Quality of Life Group Item Library User Guidelines","type":"book"},"uris":["http://www.mendeley.com/documents/?uuid=c2ffac46-5781-4e63-a060-ada79f67400b"]}],"mendeley":{"formattedCitation":"&lt;sup&gt;38,39&lt;/sup&gt;","plainTextFormattedCitation":"38,39","previouslyFormattedCitation":"&lt;sup&gt;38,39&lt;/sup&gt;"},"properties":{"noteIndex":0},"schema":"https://github.com/citation-style-language/schema/raw/master/csl-citation.json"}</w:instrText>
      </w:r>
      <w:r w:rsidR="006D5821" w:rsidRPr="00E14F7D">
        <w:rPr>
          <w:rFonts w:ascii="Times New Roman" w:hAnsi="Times New Roman" w:cs="Times New Roman"/>
        </w:rPr>
        <w:fldChar w:fldCharType="separate"/>
      </w:r>
      <w:r w:rsidR="00401A53" w:rsidRPr="00401A53">
        <w:rPr>
          <w:rFonts w:ascii="Times New Roman" w:hAnsi="Times New Roman" w:cs="Times New Roman"/>
          <w:noProof/>
          <w:vertAlign w:val="superscript"/>
        </w:rPr>
        <w:t>38,39</w:t>
      </w:r>
      <w:r w:rsidR="006D5821" w:rsidRPr="00E14F7D">
        <w:rPr>
          <w:rFonts w:ascii="Times New Roman" w:hAnsi="Times New Roman" w:cs="Times New Roman"/>
        </w:rPr>
        <w:fldChar w:fldCharType="end"/>
      </w:r>
      <w:r w:rsidR="00DE6241" w:rsidRPr="00E14F7D">
        <w:rPr>
          <w:rFonts w:ascii="Times New Roman" w:hAnsi="Times New Roman" w:cs="Times New Roman"/>
        </w:rPr>
        <w:t xml:space="preserve"> </w:t>
      </w:r>
      <w:r w:rsidR="00F56B2B" w:rsidRPr="00E14F7D">
        <w:rPr>
          <w:rFonts w:ascii="Times New Roman" w:hAnsi="Times New Roman" w:cs="Times New Roman"/>
        </w:rPr>
        <w:t xml:space="preserve"> </w:t>
      </w:r>
    </w:p>
    <w:p w14:paraId="44E076FF" w14:textId="3F76A176" w:rsidR="002D5605" w:rsidRPr="00E14F7D" w:rsidRDefault="002D5605" w:rsidP="00E14F7D">
      <w:pPr>
        <w:pStyle w:val="ListParagraph"/>
        <w:numPr>
          <w:ilvl w:val="0"/>
          <w:numId w:val="7"/>
        </w:numPr>
        <w:spacing w:line="240" w:lineRule="auto"/>
        <w:rPr>
          <w:rFonts w:ascii="Times New Roman" w:hAnsi="Times New Roman" w:cs="Times New Roman"/>
          <w:i/>
          <w:iCs/>
        </w:rPr>
      </w:pPr>
      <w:r w:rsidRPr="00E14F7D">
        <w:rPr>
          <w:rFonts w:ascii="Times New Roman" w:hAnsi="Times New Roman" w:cs="Times New Roman"/>
          <w:i/>
          <w:iCs/>
        </w:rPr>
        <w:t>How should item lists be used in conjunction with static measures and/or other measurement systems?</w:t>
      </w:r>
    </w:p>
    <w:p w14:paraId="451CF991" w14:textId="067DBACB" w:rsidR="00DE6241" w:rsidRPr="00E14F7D" w:rsidRDefault="00F31AD4" w:rsidP="00DE6241">
      <w:pPr>
        <w:spacing w:line="360" w:lineRule="auto"/>
        <w:rPr>
          <w:rFonts w:ascii="Times New Roman" w:hAnsi="Times New Roman" w:cs="Times New Roman"/>
        </w:rPr>
      </w:pPr>
      <w:bookmarkStart w:id="7" w:name="_Hlk108703692"/>
      <w:r w:rsidRPr="00E14F7D">
        <w:rPr>
          <w:rFonts w:ascii="Times New Roman" w:hAnsi="Times New Roman" w:cs="Times New Roman"/>
          <w:u w:val="single"/>
        </w:rPr>
        <w:t>Inclusion of core outcomes.</w:t>
      </w:r>
      <w:r w:rsidRPr="00E14F7D">
        <w:rPr>
          <w:rFonts w:ascii="Times New Roman" w:hAnsi="Times New Roman" w:cs="Times New Roman"/>
        </w:rPr>
        <w:t xml:space="preserve"> </w:t>
      </w:r>
      <w:r w:rsidR="00B12960">
        <w:rPr>
          <w:rFonts w:ascii="Times New Roman" w:hAnsi="Times New Roman" w:cs="Times New Roman"/>
        </w:rPr>
        <w:t xml:space="preserve">Use of </w:t>
      </w:r>
      <w:r w:rsidR="00DE6241" w:rsidRPr="00E14F7D">
        <w:rPr>
          <w:rFonts w:ascii="Times New Roman" w:hAnsi="Times New Roman" w:cs="Times New Roman"/>
        </w:rPr>
        <w:t xml:space="preserve">a core set of </w:t>
      </w:r>
      <w:r w:rsidR="00B12960">
        <w:rPr>
          <w:rFonts w:ascii="Times New Roman" w:hAnsi="Times New Roman" w:cs="Times New Roman"/>
        </w:rPr>
        <w:t xml:space="preserve">common </w:t>
      </w:r>
      <w:r w:rsidR="00DD462B">
        <w:rPr>
          <w:rFonts w:ascii="Times New Roman" w:hAnsi="Times New Roman" w:cs="Times New Roman"/>
        </w:rPr>
        <w:t>symptoms</w:t>
      </w:r>
      <w:r w:rsidR="00DE6241" w:rsidRPr="00E14F7D">
        <w:rPr>
          <w:rFonts w:ascii="Times New Roman" w:hAnsi="Times New Roman" w:cs="Times New Roman"/>
        </w:rPr>
        <w:t>, not specific to disease</w:t>
      </w:r>
      <w:r w:rsidR="00B12960">
        <w:rPr>
          <w:rFonts w:ascii="Times New Roman" w:hAnsi="Times New Roman" w:cs="Times New Roman"/>
        </w:rPr>
        <w:t xml:space="preserve"> or </w:t>
      </w:r>
      <w:r w:rsidR="00DE6241" w:rsidRPr="00E14F7D">
        <w:rPr>
          <w:rFonts w:ascii="Times New Roman" w:hAnsi="Times New Roman" w:cs="Times New Roman"/>
        </w:rPr>
        <w:t xml:space="preserve">treatment, </w:t>
      </w:r>
      <w:r w:rsidR="00171256">
        <w:rPr>
          <w:rFonts w:ascii="Times New Roman" w:hAnsi="Times New Roman" w:cs="Times New Roman"/>
        </w:rPr>
        <w:t>has been</w:t>
      </w:r>
      <w:r w:rsidR="00171256" w:rsidRPr="00E14F7D">
        <w:rPr>
          <w:rFonts w:ascii="Times New Roman" w:hAnsi="Times New Roman" w:cs="Times New Roman"/>
        </w:rPr>
        <w:t xml:space="preserve"> </w:t>
      </w:r>
      <w:r w:rsidR="00DE6241" w:rsidRPr="00E14F7D">
        <w:rPr>
          <w:rFonts w:ascii="Times New Roman" w:hAnsi="Times New Roman" w:cs="Times New Roman"/>
        </w:rPr>
        <w:t>recommended</w:t>
      </w:r>
      <w:r w:rsidR="00DD462B">
        <w:rPr>
          <w:rFonts w:ascii="Times New Roman" w:hAnsi="Times New Roman" w:cs="Times New Roman"/>
        </w:rPr>
        <w:t xml:space="preserve"> by various stakeholders</w:t>
      </w:r>
      <w:r w:rsidR="00DE6241" w:rsidRPr="00E14F7D">
        <w:rPr>
          <w:rFonts w:ascii="Times New Roman" w:hAnsi="Times New Roman" w:cs="Times New Roman"/>
        </w:rPr>
        <w:t xml:space="preserve"> when </w:t>
      </w:r>
      <w:r w:rsidR="00B12960">
        <w:rPr>
          <w:rFonts w:ascii="Times New Roman" w:hAnsi="Times New Roman" w:cs="Times New Roman"/>
        </w:rPr>
        <w:t xml:space="preserve">initiating the </w:t>
      </w:r>
      <w:r w:rsidR="00DE6241" w:rsidRPr="00E14F7D">
        <w:rPr>
          <w:rFonts w:ascii="Times New Roman" w:hAnsi="Times New Roman" w:cs="Times New Roman"/>
        </w:rPr>
        <w:t>item</w:t>
      </w:r>
      <w:r w:rsidR="00B12960">
        <w:rPr>
          <w:rFonts w:ascii="Times New Roman" w:hAnsi="Times New Roman" w:cs="Times New Roman"/>
        </w:rPr>
        <w:t xml:space="preserve"> </w:t>
      </w:r>
      <w:r w:rsidR="00DE6241" w:rsidRPr="00E14F7D">
        <w:rPr>
          <w:rFonts w:ascii="Times New Roman" w:hAnsi="Times New Roman" w:cs="Times New Roman"/>
        </w:rPr>
        <w:t>s</w:t>
      </w:r>
      <w:r w:rsidR="00B12960">
        <w:rPr>
          <w:rFonts w:ascii="Times New Roman" w:hAnsi="Times New Roman" w:cs="Times New Roman"/>
        </w:rPr>
        <w:t>election process during the design phase of a</w:t>
      </w:r>
      <w:r w:rsidR="00DE6241" w:rsidRPr="00E14F7D">
        <w:rPr>
          <w:rFonts w:ascii="Times New Roman" w:hAnsi="Times New Roman" w:cs="Times New Roman"/>
        </w:rPr>
        <w:t xml:space="preserve"> </w:t>
      </w:r>
      <w:r w:rsidR="00171256">
        <w:rPr>
          <w:rFonts w:ascii="Times New Roman" w:hAnsi="Times New Roman" w:cs="Times New Roman"/>
        </w:rPr>
        <w:t xml:space="preserve">cancer </w:t>
      </w:r>
      <w:r w:rsidR="00DE6241" w:rsidRPr="00E14F7D">
        <w:rPr>
          <w:rFonts w:ascii="Times New Roman" w:hAnsi="Times New Roman" w:cs="Times New Roman"/>
        </w:rPr>
        <w:t>clinical trial</w:t>
      </w:r>
      <w:r w:rsidR="00FB688A" w:rsidRPr="00E14F7D">
        <w:rPr>
          <w:rFonts w:ascii="Times New Roman" w:hAnsi="Times New Roman" w:cs="Times New Roman"/>
        </w:rPr>
        <w:t>.</w:t>
      </w:r>
      <w:r w:rsidR="00171256">
        <w:rPr>
          <w:rFonts w:ascii="Times New Roman" w:hAnsi="Times New Roman" w:cs="Times New Roman"/>
        </w:rPr>
        <w:fldChar w:fldCharType="begin" w:fldLock="1"/>
      </w:r>
      <w:r w:rsidR="00350920">
        <w:rPr>
          <w:rFonts w:ascii="Times New Roman" w:hAnsi="Times New Roman" w:cs="Times New Roman"/>
        </w:rPr>
        <w:instrText>ADDIN CSL_CITATION {"citationItems":[{"id":"ITEM-1","itemData":{"DOI":"10.1093/jnci/dju129","ISSN":"14602105","PMID":"25006191","abstract":"Background The National Cancer Institute's Symptom Management and Health-Related Quality of Life Steering Committee held a clinical trials planning meeting (September 2011) to identify a core symptom set to be assessed across oncology trials for the purposes of better understanding treatment efficacy and toxicity and to facilitate cross-study comparisons. We report the results of an evidence-synthesis and consensus-building effort that culminated in recommendations for core symptoms to be measured in adult cancer clinical trials that include a patient-reported outcome (PRO). Methods We used a data-driven, consensus-building process. A panel of experts, including patient representatives, conducted a systematic review of the literature (2001-2011) and analyzed six large datasets. Results were reviewed at a multistakeholder meeting, and a final set was derived emphasizing symptom prevalence across diverse cancer populations, impact on health outcomes and quality of life, and attribution to either disease or anticancer treatment. Results We recommend that a core set of 12 symptoms - specifically fatigue, insomnia, pain, anorexia (appetite loss), dyspnea, cognitive problems, anxiety (includes worry), nausea, depression (includes sadness), sensory neuropathy, constipation, and diarrhea - be considered for inclusion in clinical trials where a PRO is measured. Inclusion of symptoms and other patient-reported endpoints should be well justified, hypothesis driven, and meaningful to patients. Conclusions This core set will promote consistent assessment of common and clinically relevant disease- and treatment-related symptoms across cancer trials. As such, it provides a foundation to support data harmonization and continued efforts to enhance measurement of patient-centered outcomes in cancer clinical trials and observational studies. © 2014 The Author 2014. Published by Oxford University Press. All rights reserved.","author":[{"dropping-particle":"","family":"Reeve","given":"Bryce B.","non-dropping-particle":"","parse-names":false,"suffix":""},{"dropping-particle":"","family":"Mitchell","given":"Sandra A.","non-dropping-particle":"","parse-names":false,"suffix":""},{"dropping-particle":"","family":"Dueck","given":"Amylou C.","non-dropping-particle":"","parse-names":false,"suffix":""},{"dropping-particle":"","family":"Basch","given":"Ethan","non-dropping-particle":"","parse-names":false,"suffix":""},{"dropping-particle":"","family":"Cella","given":"David","non-dropping-particle":"","parse-names":false,"suffix":""},{"dropping-particle":"","family":"Reilly","given":"Carolyn Miller","non-dropping-particle":"","parse-names":false,"suffix":""},{"dropping-particle":"","family":"Minasian","given":"Lori M.","non-dropping-particle":"","parse-names":false,"suffix":""},{"dropping-particle":"","family":"Denicoff","given":"Andrea M.","non-dropping-particle":"","parse-names":false,"suffix":""},{"dropping-particle":"","family":"O'Mara","given":"Ann M.","non-dropping-particle":"","parse-names":false,"suffix":""},{"dropping-particle":"","family":"Fisch","given":"Michael J.","non-dropping-particle":"","parse-names":false,"suffix":""},{"dropping-particle":"","family":"Chauhan","given":"Cynthia","non-dropping-particle":"","parse-names":false,"suffix":""},{"dropping-particle":"","family":"Aaronson","given":"Neil K.","non-dropping-particle":"","parse-names":false,"suffix":""},{"dropping-particle":"","family":"Coens","given":"Corneel","non-dropping-particle":"","parse-names":false,"suffix":""},{"dropping-particle":"","family":"Bruner","given":"Deborah Watkins","non-dropping-particle":"","parse-names":false,"suffix":""}],"container-title":"Journal of the National Cancer Institute","id":"ITEM-1","issued":{"date-parts":[["2014"]]},"title":"Recommended patient-reported core set of symptoms to measure in adult cancer treatment trials","type":"article-journal"},"uris":["http://www.mendeley.com/documents/?uuid=2cfb7ca1-188c-45e6-9b97-13a0866abeea"]}],"mendeley":{"formattedCitation":"&lt;sup&gt;61&lt;/sup&gt;","plainTextFormattedCitation":"61","previouslyFormattedCitation":"&lt;sup&gt;61&lt;/sup&gt;"},"properties":{"noteIndex":0},"schema":"https://github.com/citation-style-language/schema/raw/master/csl-citation.json"}</w:instrText>
      </w:r>
      <w:r w:rsidR="00171256">
        <w:rPr>
          <w:rFonts w:ascii="Times New Roman" w:hAnsi="Times New Roman" w:cs="Times New Roman"/>
        </w:rPr>
        <w:fldChar w:fldCharType="separate"/>
      </w:r>
      <w:r w:rsidR="00401A53" w:rsidRPr="00401A53">
        <w:rPr>
          <w:rFonts w:ascii="Times New Roman" w:hAnsi="Times New Roman" w:cs="Times New Roman"/>
          <w:noProof/>
          <w:vertAlign w:val="superscript"/>
        </w:rPr>
        <w:t>61</w:t>
      </w:r>
      <w:r w:rsidR="00171256">
        <w:rPr>
          <w:rFonts w:ascii="Times New Roman" w:hAnsi="Times New Roman" w:cs="Times New Roman"/>
        </w:rPr>
        <w:fldChar w:fldCharType="end"/>
      </w:r>
      <w:r w:rsidR="00DB5B41" w:rsidRPr="00E14F7D">
        <w:rPr>
          <w:rFonts w:ascii="Times New Roman" w:hAnsi="Times New Roman" w:cs="Times New Roman"/>
        </w:rPr>
        <w:t xml:space="preserve"> </w:t>
      </w:r>
      <w:r w:rsidR="00DD462B">
        <w:rPr>
          <w:rFonts w:ascii="Times New Roman" w:hAnsi="Times New Roman" w:cs="Times New Roman"/>
        </w:rPr>
        <w:t xml:space="preserve"> </w:t>
      </w:r>
      <w:r w:rsidR="00B12960">
        <w:rPr>
          <w:rFonts w:ascii="Times New Roman" w:hAnsi="Times New Roman" w:cs="Times New Roman"/>
        </w:rPr>
        <w:t>Further work to refine final symptom selection requires consideration of the expected disease</w:t>
      </w:r>
      <w:r w:rsidR="006A2DF0">
        <w:rPr>
          <w:rFonts w:ascii="Times New Roman" w:hAnsi="Times New Roman" w:cs="Times New Roman"/>
        </w:rPr>
        <w:t>-</w:t>
      </w:r>
      <w:r w:rsidR="00B12960">
        <w:rPr>
          <w:rFonts w:ascii="Times New Roman" w:hAnsi="Times New Roman" w:cs="Times New Roman"/>
        </w:rPr>
        <w:t xml:space="preserve"> and treatment</w:t>
      </w:r>
      <w:r w:rsidR="006A2DF0">
        <w:rPr>
          <w:rFonts w:ascii="Times New Roman" w:hAnsi="Times New Roman" w:cs="Times New Roman"/>
        </w:rPr>
        <w:t>-</w:t>
      </w:r>
      <w:r w:rsidR="00B12960">
        <w:rPr>
          <w:rFonts w:ascii="Times New Roman" w:hAnsi="Times New Roman" w:cs="Times New Roman"/>
        </w:rPr>
        <w:t xml:space="preserve">related symptoms that are meaningful to patients, </w:t>
      </w:r>
      <w:r w:rsidR="006B0FE8">
        <w:rPr>
          <w:rFonts w:ascii="Times New Roman" w:hAnsi="Times New Roman" w:cs="Times New Roman"/>
        </w:rPr>
        <w:t xml:space="preserve">adding items not found in the core set and </w:t>
      </w:r>
      <w:r w:rsidR="00B12960">
        <w:rPr>
          <w:rFonts w:ascii="Times New Roman" w:hAnsi="Times New Roman" w:cs="Times New Roman"/>
        </w:rPr>
        <w:t xml:space="preserve">removing items which are not expected to occur or be relevant to the trial context. </w:t>
      </w:r>
      <w:r w:rsidR="00171256">
        <w:rPr>
          <w:rFonts w:ascii="Times New Roman" w:hAnsi="Times New Roman" w:cs="Times New Roman"/>
        </w:rPr>
        <w:t xml:space="preserve">Moreover, the FDA currently recommends the use of a </w:t>
      </w:r>
      <w:r w:rsidR="003665B2">
        <w:rPr>
          <w:rFonts w:ascii="Times New Roman" w:hAnsi="Times New Roman" w:cs="Times New Roman"/>
        </w:rPr>
        <w:t xml:space="preserve">minimum </w:t>
      </w:r>
      <w:r w:rsidR="00171256">
        <w:rPr>
          <w:rFonts w:ascii="Times New Roman" w:hAnsi="Times New Roman" w:cs="Times New Roman"/>
        </w:rPr>
        <w:t>core outcome set when designing a PRO strategy for clinical trials with regulatory intent</w:t>
      </w:r>
      <w:r w:rsidR="00EA1326">
        <w:rPr>
          <w:rFonts w:ascii="Times New Roman" w:hAnsi="Times New Roman" w:cs="Times New Roman"/>
        </w:rPr>
        <w:t>, that can be expanded depending on study objectives</w:t>
      </w:r>
      <w:r w:rsidR="003665B2">
        <w:rPr>
          <w:rFonts w:ascii="Times New Roman" w:hAnsi="Times New Roman" w:cs="Times New Roman"/>
        </w:rPr>
        <w:t>.</w:t>
      </w:r>
      <w:r w:rsidR="008F134E">
        <w:rPr>
          <w:rFonts w:ascii="Times New Roman" w:hAnsi="Times New Roman" w:cs="Times New Roman"/>
        </w:rPr>
        <w:fldChar w:fldCharType="begin" w:fldLock="1"/>
      </w:r>
      <w:r w:rsidR="00350920">
        <w:rPr>
          <w:rFonts w:ascii="Times New Roman" w:hAnsi="Times New Roman" w:cs="Times New Roman"/>
        </w:rPr>
        <w:instrText>ADDIN CSL_CITATION {"citationItems":[{"id":"ITEM-1","itemData":{"author":[{"dropping-particle":"","family":"FDA","given":"","non-dropping-particle":"","parse-names":false,"suffix":""}],"id":"ITEM-1","issue":"June 2021","issued":{"date-parts":[["2021"]]},"title":"Core Patient-Reported Outcomes in Cancer Clinical Trials Guidance for Industry DRAFT GUIDANCE","type":"article-journal"},"uris":["http://www.mendeley.com/documents/?uuid=0e21d377-8840-4acc-9968-f8b2a6923e54"]}],"mendeley":{"formattedCitation":"&lt;sup&gt;33&lt;/sup&gt;","plainTextFormattedCitation":"33","previouslyFormattedCitation":"&lt;sup&gt;33&lt;/sup&gt;"},"properties":{"noteIndex":0},"schema":"https://github.com/citation-style-language/schema/raw/master/csl-citation.json"}</w:instrText>
      </w:r>
      <w:r w:rsidR="008F134E">
        <w:rPr>
          <w:rFonts w:ascii="Times New Roman" w:hAnsi="Times New Roman" w:cs="Times New Roman"/>
        </w:rPr>
        <w:fldChar w:fldCharType="separate"/>
      </w:r>
      <w:r w:rsidR="00401A53" w:rsidRPr="00401A53">
        <w:rPr>
          <w:rFonts w:ascii="Times New Roman" w:hAnsi="Times New Roman" w:cs="Times New Roman"/>
          <w:noProof/>
          <w:vertAlign w:val="superscript"/>
        </w:rPr>
        <w:t>33</w:t>
      </w:r>
      <w:r w:rsidR="008F134E">
        <w:rPr>
          <w:rFonts w:ascii="Times New Roman" w:hAnsi="Times New Roman" w:cs="Times New Roman"/>
        </w:rPr>
        <w:fldChar w:fldCharType="end"/>
      </w:r>
      <w:r w:rsidR="00171256">
        <w:rPr>
          <w:rFonts w:ascii="Times New Roman" w:hAnsi="Times New Roman" w:cs="Times New Roman"/>
        </w:rPr>
        <w:t xml:space="preserve"> </w:t>
      </w:r>
    </w:p>
    <w:bookmarkEnd w:id="7"/>
    <w:p w14:paraId="4CD84CF1" w14:textId="5832A353" w:rsidR="0092519C" w:rsidRPr="00E14F7D" w:rsidRDefault="762EE3AF" w:rsidP="00DE6241">
      <w:pPr>
        <w:spacing w:line="360" w:lineRule="auto"/>
        <w:rPr>
          <w:rFonts w:ascii="Times New Roman" w:hAnsi="Times New Roman" w:cs="Times New Roman"/>
        </w:rPr>
      </w:pPr>
      <w:r w:rsidRPr="00E14F7D">
        <w:rPr>
          <w:rFonts w:ascii="Times New Roman" w:hAnsi="Times New Roman" w:cs="Times New Roman"/>
          <w:u w:val="single"/>
        </w:rPr>
        <w:t>Engagement with regulators and patient groups.</w:t>
      </w:r>
      <w:r w:rsidRPr="00E14F7D">
        <w:rPr>
          <w:rFonts w:ascii="Times New Roman" w:hAnsi="Times New Roman" w:cs="Times New Roman"/>
        </w:rPr>
        <w:t xml:space="preserve"> It is important to consider clear and early engagement with regulators and patient groups. For example, the FDA and EMA recommend selection of measures that allow for measurement of symptomatic AEs, disease-related symptoms, and physical </w:t>
      </w:r>
      <w:r w:rsidRPr="00E14F7D">
        <w:rPr>
          <w:rFonts w:ascii="Times New Roman" w:hAnsi="Times New Roman" w:cs="Times New Roman"/>
        </w:rPr>
        <w:lastRenderedPageBreak/>
        <w:t>functioning as concepts that should be a key focus, although other concepts may also be included where relevant</w:t>
      </w:r>
      <w:r w:rsidR="00FB688A" w:rsidRPr="00E14F7D">
        <w:rPr>
          <w:rFonts w:ascii="Times New Roman" w:hAnsi="Times New Roman" w:cs="Times New Roman"/>
        </w:rPr>
        <w:t>.</w:t>
      </w:r>
      <w:r w:rsidRPr="00E14F7D">
        <w:rPr>
          <w:rFonts w:ascii="Times New Roman" w:hAnsi="Times New Roman" w:cs="Times New Roman"/>
        </w:rPr>
        <w:t xml:space="preserve"> </w:t>
      </w:r>
      <w:r w:rsidR="00947D45" w:rsidRPr="00E14F7D">
        <w:rPr>
          <w:rFonts w:ascii="Times New Roman" w:hAnsi="Times New Roman" w:cs="Times New Roman"/>
        </w:rPr>
        <w:fldChar w:fldCharType="begin" w:fldLock="1"/>
      </w:r>
      <w:r w:rsidR="00350920">
        <w:rPr>
          <w:rFonts w:ascii="Times New Roman" w:hAnsi="Times New Roman" w:cs="Times New Roman"/>
        </w:rPr>
        <w:instrText>ADDIN CSL_CITATION {"citationItems":[{"id":"ITEM-1","itemData":{"DOI":"10.1158/1078-0432.CCR-15-2035","ISSN":"15573265","PMID":"26758559","abstract":"Cancer clinical trials have relied on overall survival and measures of tumor growth or reduction to assess the efficacy of a drug. However, benefits are often accompanied by significant symptomatic toxicities. The degree to which a therapy improves disease symptoms and introduces symptomatic toxicity affects how patients function in their daily lives. These concepts are important contributors to health-related quality of life (HRQOL). In this article, we discuss patient-reported outcome (PRO) assessment in cancer trials and challenges relying solely on static multi-item HRQOL instruments. We propose focusing on three separate measures of well-defined concepts: symptomatic adverse events, physical function, and disease-related symptoms, which are key contributors to the effect of a therapy on HRQOL. Separate measures of these three concepts may facilitate the incorporation of emerging contemporary instruments that can tailor the PRO assessment strategy to different trial contexts. Irrespective of the PRO measures used, continued improvement in trial design and conduct is crucial to decrease missing data and optimize the quality of PRO information. International stakeholder collaboration and continued research into optimal practices for PRO and other clinical outcome assessments are necessary to advance a common framework for generating and reporting rigorous patient-centered data from cancer clinical trials.","author":[{"dropping-particle":"","family":"Kluetz","given":"Paul G.","non-dropping-particle":"","parse-names":false,"suffix":""},{"dropping-particle":"","family":"Slagle","given":"Ashley","non-dropping-particle":"","parse-names":false,"suffix":""},{"dropping-particle":"","family":"Papadopoulos","given":"Elektra J.","non-dropping-particle":"","parse-names":false,"suffix":""},{"dropping-particle":"","family":"Johnson","given":"Laura Lee","non-dropping-particle":"","parse-names":false,"suffix":""},{"dropping-particle":"","family":"Donoghue","given":"Martha","non-dropping-particle":"","parse-names":false,"suffix":""},{"dropping-particle":"","family":"Kwitkowski","given":"Virginia E.","non-dropping-particle":"","parse-names":false,"suffix":""},{"dropping-particle":"","family":"Chen","given":"Wen Hung","non-dropping-particle":"","parse-names":false,"suffix":""},{"dropping-particle":"","family":"Sridhara","given":"Rajeshwari","non-dropping-particle":"","parse-names":false,"suffix":""},{"dropping-particle":"","family":"Farrell","given":"Ann T.","non-dropping-particle":"","parse-names":false,"suffix":""},{"dropping-particle":"","family":"Keegan","given":"Patricia","non-dropping-particle":"","parse-names":false,"suffix":""},{"dropping-particle":"","family":"Kim","given":"Geoffrey","non-dropping-particle":"","parse-names":false,"suffix":""},{"dropping-particle":"","family":"Pazdur","given":"Richard","non-dropping-particle":"","parse-names":false,"suffix":""}],"container-title":"Clinical Cancer Research","id":"ITEM-1","issued":{"date-parts":[["2016"]]},"title":"Focusing on core patient-reported outcomes in cancer clinical trials: Symptomatic adverse events, physical function, and disease-related symptoms","type":"article-journal"},"uris":["http://www.mendeley.com/documents/?uuid=4aaf2549-f3d9-4550-8cf8-5d5734a8371a"]},{"id":"ITEM-2","itemData":{"DOI":"10.1158/1078-0432.CCR-16-2140","ISSN":"15573265","PMID":"28151715","author":[{"dropping-particle":"","family":"Kluetz","given":"Paul G.","non-dropping-particle":"","parse-names":false,"suffix":""},{"dropping-particle":"","family":"Papadopoulos","given":"Elektra J.","non-dropping-particle":"","parse-names":false,"suffix":""},{"dropping-particle":"","family":"Johnson","given":"Laura Lee","non-dropping-particle":"","parse-names":false,"suffix":""},{"dropping-particle":"","family":"Donoghue","given":"Martha","non-dropping-particle":"","parse-names":false,"suffix":""},{"dropping-particle":"","family":"Kwitkowski","given":"Virginia E.","non-dropping-particle":"","parse-names":false,"suffix":""},{"dropping-particle":"","family":"Chen","given":"Wen Hung","non-dropping-particle":"","parse-names":false,"suffix":""},{"dropping-particle":"","family":"Sridhara","given":"Rajeshwari","non-dropping-particle":"","parse-names":false,"suffix":""},{"dropping-particle":"","family":"Farrell","given":"Ann T.","non-dropping-particle":"","parse-names":false,"suffix":""},{"dropping-particle":"","family":"Keegan","given":"Patricia","non-dropping-particle":"","parse-names":false,"suffix":""},{"dropping-particle":"","family":"Kim","given":"Geoffrey","non-dropping-particle":"","parse-names":false,"suffix":""},{"dropping-particle":"","family":"Pazdur","given":"Richard","non-dropping-particle":"","parse-names":false,"suffix":""}],"container-title":"Clinical Cancer Research","id":"ITEM-2","issued":{"date-parts":[["2016"]]},"title":"Focusing on core patient-reported outcomes in cancer clinical trials - Response","type":"article"},"uris":["http://www.mendeley.com/documents/?uuid=d2589c4b-6164-4ad4-a38f-649e45178186"]},{"id":"ITEM-3","itemData":{"DOI":"10.1016/j.clinthera.2016.03.011","ISSN":"1879114X","PMID":"27045992","abstract":"Purpose There is increasing interest to use patient-reported outcome (PRO) measures to evaluate symptomatic adverse events (AEs) in cancer treatment trials. However, there are currently no standard recommended approaches for integrating patient-reported AE measures into trials. Methods Approaches are identified from previous trials for selecting AEs for solicited patient reporting, administering patient-reported AE measures, and analyzing and reporting results. Findings Approaches for integrating patient-reported AE measures into cancer trials generally combine current standard methods for clinician-reported AEs and established best practices for using PRO measures. Specific AEs can be selected for a PRO questionnaire based on common and expected reactions in a given trial context, derived from literature review and qualitative/mixed-methods evaluations and should be the same set administered across all arms of a trial. A mechanism for collecting unsolicited patient-reported AEs will also ideally be included. Patients will preferably report at baseline and at the end of active treatment as well as on a frequent standardized schedule during active treatment, such as weekly from home, with a recall period corresponding to the frequency of reporting (eg, past 7 days). Less frequent reporting may be considered after an initial intensive monitoring period for trials of prolonged treatments and during long-term follow-up. Electronic PRO data collection is preferred. Backup data collection for missed PRO reports is advisable to boost response rates. Analysis can use a combination of approaches to AE and PRO data. If a high proportion of patients is experiencing baseline symptoms, systematic subtraction of these from on-study AEs should be considered to improve reporting of symptoms related to treatment. More granular longitudinal analyses of individual symptoms can also be useful. Implications Methods are evolving for integrating patient-reported symptomatic AEs into cancer trials. These methods are expected to further evolve as more data from trials become available.","author":[{"dropping-particle":"","family":"Basch","given":"Ethan","non-dropping-particle":"","parse-names":false,"suffix":""},{"dropping-particle":"","family":"Rogak","given":"Lauren J.","non-dropping-particle":"","parse-names":false,"suffix":""},{"dropping-particle":"","family":"Dueck","given":"Amylou C.","non-dropping-particle":"","parse-names":false,"suffix":""}],"container-title":"Clinical Therapeutics","id":"ITEM-3","issued":{"date-parts":[["2016"]]},"title":"Methods for Implementing and Reporting Patient-reported Outcome (PRO) Measures of Symptomatic Adverse Events in Cancer Clinical Trials","type":"article-journal"},"uris":["http://www.mendeley.com/documents/?uuid=c6ca5dfb-6bc2-4584-ac95-a0ca511dc2d2"]},{"id":"ITEM-4","itemData":{"URL":"https://www.ema.europa.eu/en/documents/other/appendix-2-guideline-evaluation-anticancer-medicinal-products-man_en.pdf","accessed":{"date-parts":[["2021","11","4"]]},"author":[{"dropping-particle":"","family":"European Medicines Agency Committee for Medicinal Products for Human Use (CHMP)","given":"","non-dropping-particle":"","parse-names":false,"suffix":""}],"id":"ITEM-4","issued":{"date-parts":[["2016"]]},"title":"Appendix 2 to the guideline on the evaluation of anticancer medicinal products in man: The use of patient-reported outcome (PRO) measures in oncology studies","type":"webpage"},"uris":["http://www.mendeley.com/documents/?uuid=1d372be5-99a6-477b-9282-c099a2d860cf"]},{"id":"ITEM-5","itemData":{"DOI":"10.1177/0141076819890551","ISSN":"01410768","PMID":"31922447","author":[{"dropping-particle":"","family":"Turner","given":"Grace","non-dropping-particle":"","parse-names":false,"suffix":""},{"dropping-particle":"","family":"Aiyegbusi","given":"Olalekan Lee","non-dropping-particle":"","parse-names":false,"suffix":""},{"dropping-particle":"","family":"Price","given":"Gary","non-dropping-particle":"","parse-names":false,"suffix":""},{"dropping-particle":"","family":"Skrybant","given":"Magdalena","non-dropping-particle":"","parse-names":false,"suffix":""},{"dropping-particle":"","family":"Calvert","given":"Melanie","non-dropping-particle":"","parse-names":false,"suffix":""}],"container-title":"Journal of the Royal Society of Medicine","id":"ITEM-5","issued":{"date-parts":[["2020"]]},"title":"Moving beyond project-specific patient and public involvement in research","type":"article"},"uris":["http://www.mendeley.com/documents/?uuid=f809f0cb-1498-47fc-a2e9-c4e40dba3b2b"]},{"id":"ITEM-6","itemData":{"author":[{"dropping-particle":"","family":"FDA","given":"","non-dropping-particle":"","parse-names":false,"suffix":""}],"id":"ITEM-6","issue":"June 2021","issued":{"date-parts":[["2021"]]},"title":"Core Patient-Reported Outcomes in Cancer Clinical Trials Guidance for Industry DRAFT GUIDANCE","type":"article-journal"},"uris":["http://www.mendeley.com/documents/?uuid=0e21d377-8840-4acc-9968-f8b2a6923e54"]}],"mendeley":{"formattedCitation":"&lt;sup&gt;23,33,34,40,41,46&lt;/sup&gt;","plainTextFormattedCitation":"23,33,34,40,41,46","previouslyFormattedCitation":"&lt;sup&gt;23,33,34,40,41,46&lt;/sup&gt;"},"properties":{"noteIndex":0},"schema":"https://github.com/citation-style-language/schema/raw/master/csl-citation.json"}</w:instrText>
      </w:r>
      <w:r w:rsidR="00947D45" w:rsidRPr="00E14F7D">
        <w:rPr>
          <w:rFonts w:ascii="Times New Roman" w:hAnsi="Times New Roman" w:cs="Times New Roman"/>
        </w:rPr>
        <w:fldChar w:fldCharType="separate"/>
      </w:r>
      <w:r w:rsidR="00401A53" w:rsidRPr="00401A53">
        <w:rPr>
          <w:rFonts w:ascii="Times New Roman" w:hAnsi="Times New Roman" w:cs="Times New Roman"/>
          <w:noProof/>
          <w:vertAlign w:val="superscript"/>
        </w:rPr>
        <w:t>23,33,34,40,41,46</w:t>
      </w:r>
      <w:r w:rsidR="00947D45" w:rsidRPr="00E14F7D">
        <w:rPr>
          <w:rFonts w:ascii="Times New Roman" w:hAnsi="Times New Roman" w:cs="Times New Roman"/>
        </w:rPr>
        <w:fldChar w:fldCharType="end"/>
      </w:r>
    </w:p>
    <w:p w14:paraId="673A40BF" w14:textId="5C9A2759" w:rsidR="001343E0" w:rsidRPr="00E14F7D" w:rsidRDefault="762EE3AF" w:rsidP="00AF0675">
      <w:pPr>
        <w:spacing w:line="360" w:lineRule="auto"/>
        <w:rPr>
          <w:rFonts w:ascii="Times New Roman" w:hAnsi="Times New Roman" w:cs="Times New Roman"/>
        </w:rPr>
      </w:pPr>
      <w:r w:rsidRPr="00E14F7D">
        <w:rPr>
          <w:rFonts w:ascii="Times New Roman" w:hAnsi="Times New Roman" w:cs="Times New Roman"/>
          <w:u w:val="single"/>
        </w:rPr>
        <w:t>Avoiding duplication of concepts and ensuring relevance of items.</w:t>
      </w:r>
      <w:r w:rsidRPr="00E14F7D">
        <w:rPr>
          <w:rFonts w:ascii="Times New Roman" w:hAnsi="Times New Roman" w:cs="Times New Roman"/>
        </w:rPr>
        <w:t xml:space="preserve"> If a symptomatic AE is covered within a standard PRO questionnaire used in the trial, it should not additionally be included within a separate item list used in the same trial (unless there is a strong rationale). When patient burden is potentially an issue or when sections of a static questionnaire are clearly not relevant to the target population, items </w:t>
      </w:r>
      <w:r w:rsidR="00955C83" w:rsidRPr="00E14F7D">
        <w:rPr>
          <w:rFonts w:ascii="Times New Roman" w:hAnsi="Times New Roman" w:cs="Times New Roman"/>
        </w:rPr>
        <w:t xml:space="preserve">may </w:t>
      </w:r>
      <w:r w:rsidRPr="00E14F7D">
        <w:rPr>
          <w:rFonts w:ascii="Times New Roman" w:hAnsi="Times New Roman" w:cs="Times New Roman"/>
        </w:rPr>
        <w:t>be removed from a questionnaire</w:t>
      </w:r>
      <w:r w:rsidR="00955C83" w:rsidRPr="00E14F7D">
        <w:rPr>
          <w:rFonts w:ascii="Times New Roman" w:hAnsi="Times New Roman" w:cs="Times New Roman"/>
        </w:rPr>
        <w:t xml:space="preserve"> (with the instrument developer’s consent)</w:t>
      </w:r>
      <w:r w:rsidRPr="00E14F7D">
        <w:rPr>
          <w:rFonts w:ascii="Times New Roman" w:hAnsi="Times New Roman" w:cs="Times New Roman"/>
        </w:rPr>
        <w:t>. However, this should be approached with caution and the resulting measure should be distinguished as an item list and not a full questionnaire</w:t>
      </w:r>
      <w:r w:rsidR="00FB688A" w:rsidRPr="00E14F7D">
        <w:rPr>
          <w:rFonts w:ascii="Times New Roman" w:hAnsi="Times New Roman" w:cs="Times New Roman"/>
        </w:rPr>
        <w:t>.</w:t>
      </w:r>
      <w:r w:rsidRPr="00E14F7D">
        <w:rPr>
          <w:rFonts w:ascii="Times New Roman" w:hAnsi="Times New Roman" w:cs="Times New Roman"/>
        </w:rPr>
        <w:t xml:space="preserve"> </w:t>
      </w:r>
      <w:r w:rsidR="00947D45" w:rsidRPr="00E14F7D">
        <w:rPr>
          <w:rFonts w:ascii="Times New Roman" w:hAnsi="Times New Roman" w:cs="Times New Roman"/>
        </w:rPr>
        <w:fldChar w:fldCharType="begin" w:fldLock="1"/>
      </w:r>
      <w:r w:rsidR="00350920">
        <w:rPr>
          <w:rFonts w:ascii="Times New Roman" w:hAnsi="Times New Roman" w:cs="Times New Roman"/>
        </w:rPr>
        <w:instrText>ADDIN CSL_CITATION {"citationItems":[{"id":"ITEM-1","itemData":{"URL":"https://wizard.facit.org/","author":[{"dropping-particle":"","family":"FACIT","given":"","non-dropping-particle":"","parse-names":false,"suffix":""}],"id":"ITEM-1","issued":{"date-parts":[["0"]]},"title":"FACIT Searchable Library and Custom Form Developer (Build-a-PRO)","type":"webpage"},"uris":["http://www.mendeley.com/documents/?uuid=48e24294-5496-4430-b433-0beaf4809c8a"]},{"id":"ITEM-2","itemData":{"URL":"https://www.mdanderson.org/content/dam/mdanderson/documents/Departments-and-Divisions/Symptom-Research/MDASI symptom library.pdf","author":[{"dropping-particle":"","family":"MDASI","given":"","non-dropping-particle":"","parse-names":false,"suffix":""}],"id":"ITEM-2","issued":{"date-parts":[["0"]]},"title":"MDASI Symptom Library","type":"webpage"},"uris":["http://www.mendeley.com/documents/?uuid=45c08c48-7bca-4ecb-b05d-daa82c80a8f4"]},{"id":"ITEM-3","itemData":{"DOI":"10.1158/1078-0432.CCR-16-1529","ISSN":"15573265","PMID":"28151714","author":[{"dropping-particle":"","family":"Groenvold","given":"Mogens","non-dropping-particle":"","parse-names":false,"suffix":""},{"dropping-particle":"","family":"Aaronson","given":"Neil K.","non-dropping-particle":"","parse-names":false,"suffix":""},{"dropping-particle":"","family":"Darlington","given":"Anne Sophie E.","non-dropping-particle":"","parse-names":false,"suffix":""},{"dropping-particle":"","family":"Fitzsimmons","given":"Deborah","non-dropping-particle":"","parse-names":false,"suffix":""},{"dropping-particle":"","family":"Greimel","given":"Eva","non-dropping-particle":"","parse-names":false,"suffix":""},{"dropping-particle":"","family":"Holzner","given":"Bernhard","non-dropping-particle":"","parse-names":false,"suffix":""},{"dropping-particle":"","family":"Reijneveld","given":"Jaap C.","non-dropping-particle":"","parse-names":false,"suffix":""},{"dropping-particle":"","family":"Tomaszewski","given":"Krzysztof A.","non-dropping-particle":"","parse-names":false,"suffix":""},{"dropping-particle":"","family":"Verdonck-De Leeuw","given":"Irma","non-dropping-particle":"","parse-names":false,"suffix":""},{"dropping-particle":"","family":"Poll-Franse","given":"Lonneke","non-dropping-particle":"Van De","parse-names":false,"suffix":""}],"container-title":"Clinical Cancer Research","id":"ITEM-3","issued":{"date-parts":[["2016"]]},"title":"Focusing on core patient-reported outcomes in cancer clinical trials - Letter","type":"article"},"uris":["http://www.mendeley.com/documents/?uuid=9276c540-3fdb-4a81-93ad-e078be758a13"]},{"id":"ITEM-4","itemData":{"DOI":"10.1016/j.jval.2019.04.169","ISSN":"10983015","abstract":"Recent papers and workshops from the FDA have proposed focusing on measurement of three concepts in cancer clinical trials for label claims: symptomatic adverse effects (AEs), physical function (PF), and disease-related symptoms. Responding to these recommendations for use of PROs, the EORTC proposes a new model allowing for an assessment strategy within one measurement system. Within the FDA’s framework, one should select key endpoints with well-defined objectives, and determine disease-related symptoms and AEs from previous research, literature, and qualitative methods, before choosing appropriate PRO measures. This abstract shows how the EORTC’s tools can meet this selection. The EORTC QLQ-C30 core questionnaire measures PF, as well as other well-defined functions (role, emotional, social, cognitive), and includes 11 out of 12 core set cancer symptoms (Reeve 2014). As a holistic instrument to measure HRQOL, it covers some symptoms and AEs (appetite loss, fatigue, nausea, vomiting, dyspnea, diarrhea, constipation, insomnia), and additional domains: overall QOL and financial difficulties. A shorter 17-item QLQ-F17 is available, focusing on function only. Alternatively, all QLQ-C30 domains (including PF) can be measured with an IRT-based Computer Adaptive Testing (CAT) system with full item banks or short forms for higher precision or more flexibility. Other disease-related symptoms and most frequent AEs are part of the validated disease-specific modules. Any missing issues can be included in a supplemental item list created with the Item Library’s over 950 items. Through mixing static questionnaires with item lists to address possible gaps, EORTC’s one system solution allows for a consistent measurement strategy with less cognitive burden than when various instruments are combined. The wide range of over 40 validated EORTC instruments and Item Library enables a flexible assessment tailored to each trial’s objectives. We believe such a system will fulfill the FDA’s and other regulators’ strategy for selecting robust endpoints in clinical trials.","author":[{"dropping-particle":"","family":"Kulis","given":"D.","non-dropping-particle":"","parse-names":false,"suffix":""},{"dropping-particle":"","family":"Piccinin","given":"C.","non-dropping-particle":"","parse-names":false,"suffix":""},{"dropping-particle":"","family":"Bottomley","given":"A.","non-dropping-particle":"","parse-names":false,"suffix":""},{"dropping-particle":"","family":"Darlington","given":"A.S.","non-dropping-particle":"","parse-names":false,"suffix":""},{"dropping-particle":"","family":"Grønvold","given":"M.","non-dropping-particle":"","parse-names":false,"suffix":""}],"container-title":"Value in Health","id":"ITEM-4","issued":{"date-parts":[["2019"]]},"title":"PCN45 What to choose? creating a patient-reported outcomes (PRO) assessment strategy with EORTC measures and Item Library that can meet the needs of regulators","type":"article-journal"},"uris":["http://www.mendeley.com/documents/?uuid=39898e37-142b-4cb4-8332-aee25e413e3c"]}],"mendeley":{"formattedCitation":"&lt;sup&gt;6,7,62,63&lt;/sup&gt;","plainTextFormattedCitation":"6,7,62,63","previouslyFormattedCitation":"&lt;sup&gt;6,7,62,63&lt;/sup&gt;"},"properties":{"noteIndex":0},"schema":"https://github.com/citation-style-language/schema/raw/master/csl-citation.json"}</w:instrText>
      </w:r>
      <w:r w:rsidR="00947D45" w:rsidRPr="00E14F7D">
        <w:rPr>
          <w:rFonts w:ascii="Times New Roman" w:hAnsi="Times New Roman" w:cs="Times New Roman"/>
        </w:rPr>
        <w:fldChar w:fldCharType="separate"/>
      </w:r>
      <w:r w:rsidR="00401A53" w:rsidRPr="00401A53">
        <w:rPr>
          <w:rFonts w:ascii="Times New Roman" w:hAnsi="Times New Roman" w:cs="Times New Roman"/>
          <w:noProof/>
          <w:vertAlign w:val="superscript"/>
        </w:rPr>
        <w:t>6,7,62,63</w:t>
      </w:r>
      <w:r w:rsidR="00947D45" w:rsidRPr="00E14F7D">
        <w:rPr>
          <w:rFonts w:ascii="Times New Roman" w:hAnsi="Times New Roman" w:cs="Times New Roman"/>
        </w:rPr>
        <w:fldChar w:fldCharType="end"/>
      </w:r>
      <w:r w:rsidR="00291F21" w:rsidRPr="00E14F7D">
        <w:rPr>
          <w:rFonts w:ascii="Times New Roman" w:hAnsi="Times New Roman" w:cs="Times New Roman"/>
        </w:rPr>
        <w:t xml:space="preserve"> Where relevant, it is recommended that item removal occur at the scale level, to preserve multi-item scales and facilitate scoring and interpretation.</w:t>
      </w:r>
    </w:p>
    <w:p w14:paraId="5E4DDE36" w14:textId="54C1ED1C" w:rsidR="00552623" w:rsidRPr="00E14F7D" w:rsidRDefault="00552623" w:rsidP="00AF0675">
      <w:pPr>
        <w:spacing w:line="360" w:lineRule="auto"/>
        <w:rPr>
          <w:rFonts w:ascii="Times New Roman" w:hAnsi="Times New Roman" w:cs="Times New Roman"/>
        </w:rPr>
      </w:pPr>
      <w:r w:rsidRPr="00E14F7D">
        <w:rPr>
          <w:rFonts w:ascii="Times New Roman" w:hAnsi="Times New Roman" w:cs="Times New Roman"/>
        </w:rPr>
        <w:t xml:space="preserve">A resource list highlighting key recommendations for specific </w:t>
      </w:r>
      <w:r w:rsidR="00C1377B" w:rsidRPr="00E14F7D">
        <w:rPr>
          <w:rFonts w:ascii="Times New Roman" w:hAnsi="Times New Roman" w:cs="Times New Roman"/>
        </w:rPr>
        <w:t xml:space="preserve">recommendations </w:t>
      </w:r>
      <w:r w:rsidRPr="00E14F7D">
        <w:rPr>
          <w:rFonts w:ascii="Times New Roman" w:hAnsi="Times New Roman" w:cs="Times New Roman"/>
        </w:rPr>
        <w:t>is provided in Table 3.</w:t>
      </w:r>
    </w:p>
    <w:p w14:paraId="43ED7D7A" w14:textId="0B957072" w:rsidR="00275A73" w:rsidRPr="00E14F7D" w:rsidRDefault="7EFBCF47" w:rsidP="00AF0675">
      <w:pPr>
        <w:spacing w:line="360" w:lineRule="auto"/>
        <w:rPr>
          <w:rFonts w:ascii="Times New Roman" w:hAnsi="Times New Roman" w:cs="Times New Roman"/>
          <w:b/>
          <w:bCs/>
        </w:rPr>
      </w:pPr>
      <w:r w:rsidRPr="00E14F7D">
        <w:rPr>
          <w:rFonts w:ascii="Times New Roman" w:hAnsi="Times New Roman" w:cs="Times New Roman"/>
        </w:rPr>
        <w:t>INSERT TABLE 3</w:t>
      </w:r>
    </w:p>
    <w:p w14:paraId="59E1887F" w14:textId="77777777" w:rsidR="003A3234" w:rsidRPr="00E14F7D" w:rsidRDefault="003A3234" w:rsidP="00AF0675">
      <w:pPr>
        <w:spacing w:line="360" w:lineRule="auto"/>
        <w:rPr>
          <w:rFonts w:ascii="Times New Roman" w:hAnsi="Times New Roman" w:cs="Times New Roman"/>
          <w:b/>
          <w:bCs/>
        </w:rPr>
      </w:pPr>
    </w:p>
    <w:p w14:paraId="3A8E39B3" w14:textId="0BABD39B" w:rsidR="00BC771B" w:rsidRPr="00E14F7D" w:rsidRDefault="7EFBCF47" w:rsidP="00AF0675">
      <w:pPr>
        <w:spacing w:line="360" w:lineRule="auto"/>
        <w:rPr>
          <w:rFonts w:ascii="Times New Roman" w:hAnsi="Times New Roman" w:cs="Times New Roman"/>
          <w:b/>
          <w:bCs/>
        </w:rPr>
      </w:pPr>
      <w:r w:rsidRPr="00E14F7D">
        <w:rPr>
          <w:rFonts w:ascii="Times New Roman" w:hAnsi="Times New Roman" w:cs="Times New Roman"/>
          <w:b/>
          <w:bCs/>
        </w:rPr>
        <w:t>DISCUSSION</w:t>
      </w:r>
    </w:p>
    <w:p w14:paraId="62117B07" w14:textId="7F078C25" w:rsidR="004A7319" w:rsidRPr="00E14F7D" w:rsidRDefault="7EF6502E" w:rsidP="00AF0675">
      <w:pPr>
        <w:spacing w:line="360" w:lineRule="auto"/>
        <w:rPr>
          <w:rFonts w:ascii="Times New Roman" w:hAnsi="Times New Roman" w:cs="Times New Roman"/>
        </w:rPr>
      </w:pPr>
      <w:r w:rsidRPr="00E14F7D">
        <w:rPr>
          <w:rFonts w:ascii="Times New Roman" w:hAnsi="Times New Roman" w:cs="Times New Roman"/>
        </w:rPr>
        <w:t>This work aimed to develop evidence- and discussion-based recommendations on the use of PRO assessment from item libraries in oncology</w:t>
      </w:r>
      <w:r w:rsidR="00AD1A9F" w:rsidRPr="00E14F7D">
        <w:rPr>
          <w:rFonts w:ascii="Times New Roman" w:hAnsi="Times New Roman" w:cs="Times New Roman"/>
        </w:rPr>
        <w:t xml:space="preserve"> trials</w:t>
      </w:r>
      <w:r w:rsidRPr="00E14F7D">
        <w:rPr>
          <w:rFonts w:ascii="Times New Roman" w:hAnsi="Times New Roman" w:cs="Times New Roman"/>
        </w:rPr>
        <w:t>. As highlighted in the results, the use of item libraries allows for flexibility in PRO measurement, helping to ensure a patient-centred approach to the assessment of important issues and concepts. With this added flexibility comes the need to ensure robust measurement and minimal bias whenever feasible, preserving the rigour learned from the development of static questionnaires. It is crucial that every investigator account for the development of their item list in a transparent way that builds on the existing evidence base and promotes an objective and comprehensive approach. This helps to avoid possible cherry-picking of items, which could favo</w:t>
      </w:r>
      <w:r w:rsidR="00641943" w:rsidRPr="00E14F7D">
        <w:rPr>
          <w:rFonts w:ascii="Times New Roman" w:hAnsi="Times New Roman" w:cs="Times New Roman"/>
        </w:rPr>
        <w:t>u</w:t>
      </w:r>
      <w:r w:rsidRPr="00E14F7D">
        <w:rPr>
          <w:rFonts w:ascii="Times New Roman" w:hAnsi="Times New Roman" w:cs="Times New Roman"/>
        </w:rPr>
        <w:t>r some treatment regimens and potentially lead to underreporting of symptomatic AEs and other important HRQOL issues.</w:t>
      </w:r>
    </w:p>
    <w:p w14:paraId="29BBFF01" w14:textId="7552DA67" w:rsidR="00441F1C" w:rsidRPr="00E14F7D" w:rsidRDefault="4732125D" w:rsidP="00AF0675">
      <w:pPr>
        <w:spacing w:line="360" w:lineRule="auto"/>
        <w:rPr>
          <w:rFonts w:ascii="Times New Roman" w:hAnsi="Times New Roman" w:cs="Times New Roman"/>
        </w:rPr>
      </w:pPr>
      <w:r w:rsidRPr="00E14F7D">
        <w:rPr>
          <w:rFonts w:ascii="Times New Roman" w:hAnsi="Times New Roman" w:cs="Times New Roman"/>
        </w:rPr>
        <w:t xml:space="preserve">The recommendations provide guidance on the use of customized item lists, from item selection through implementation and integration with standard questionnaires. Although it was possible to achieve high-level, instrument-agnostic recommendations for many of the research questions, as described in the results, </w:t>
      </w:r>
      <w:r w:rsidR="00667953" w:rsidRPr="00E14F7D">
        <w:rPr>
          <w:rFonts w:ascii="Times New Roman" w:hAnsi="Times New Roman" w:cs="Times New Roman"/>
        </w:rPr>
        <w:t xml:space="preserve">recommendations </w:t>
      </w:r>
      <w:r w:rsidRPr="00E14F7D">
        <w:rPr>
          <w:rFonts w:ascii="Times New Roman" w:hAnsi="Times New Roman" w:cs="Times New Roman"/>
        </w:rPr>
        <w:t>may need to be adapted</w:t>
      </w:r>
      <w:r w:rsidR="00AD1A9F" w:rsidRPr="00E14F7D">
        <w:rPr>
          <w:rFonts w:ascii="Times New Roman" w:hAnsi="Times New Roman" w:cs="Times New Roman"/>
        </w:rPr>
        <w:t xml:space="preserve"> based </w:t>
      </w:r>
      <w:r w:rsidRPr="00E14F7D">
        <w:rPr>
          <w:rFonts w:ascii="Times New Roman" w:hAnsi="Times New Roman" w:cs="Times New Roman"/>
        </w:rPr>
        <w:t>o</w:t>
      </w:r>
      <w:r w:rsidR="00AD1A9F" w:rsidRPr="00E14F7D">
        <w:rPr>
          <w:rFonts w:ascii="Times New Roman" w:hAnsi="Times New Roman" w:cs="Times New Roman"/>
        </w:rPr>
        <w:t>n</w:t>
      </w:r>
      <w:r w:rsidRPr="00E14F7D">
        <w:rPr>
          <w:rFonts w:ascii="Times New Roman" w:hAnsi="Times New Roman" w:cs="Times New Roman"/>
        </w:rPr>
        <w:t xml:space="preserve"> the specific context of use and population(s) under investigation. Throughout all stages of item list implementation, it is also critical to consider the role of various stakeholders. </w:t>
      </w:r>
    </w:p>
    <w:p w14:paraId="10DF9CB2" w14:textId="0691A811" w:rsidR="00371A7C" w:rsidRPr="00E14F7D" w:rsidRDefault="7EF6502E" w:rsidP="00AF0675">
      <w:pPr>
        <w:spacing w:line="360" w:lineRule="auto"/>
        <w:rPr>
          <w:rFonts w:ascii="Times New Roman" w:hAnsi="Times New Roman" w:cs="Times New Roman"/>
        </w:rPr>
      </w:pPr>
      <w:r w:rsidRPr="00E14F7D">
        <w:rPr>
          <w:rFonts w:ascii="Times New Roman" w:hAnsi="Times New Roman" w:cs="Times New Roman"/>
        </w:rPr>
        <w:t xml:space="preserve">Although the absence of a formal consensus approach (e.g., Delphi exercise) may be viewed as a limitation, given the very high level of these recommendations, the less formal approach which relied </w:t>
      </w:r>
      <w:r w:rsidRPr="00E14F7D">
        <w:rPr>
          <w:rFonts w:ascii="Times New Roman" w:hAnsi="Times New Roman" w:cs="Times New Roman"/>
        </w:rPr>
        <w:lastRenderedPageBreak/>
        <w:t xml:space="preserve">on evidence from the scoping review and discussion among the WG members, was deemed </w:t>
      </w:r>
      <w:r w:rsidR="00AD1A9F" w:rsidRPr="00E14F7D">
        <w:rPr>
          <w:rFonts w:ascii="Times New Roman" w:hAnsi="Times New Roman" w:cs="Times New Roman"/>
        </w:rPr>
        <w:t>appropriate</w:t>
      </w:r>
      <w:r w:rsidRPr="00E14F7D">
        <w:rPr>
          <w:rFonts w:ascii="Times New Roman" w:hAnsi="Times New Roman" w:cs="Times New Roman"/>
        </w:rPr>
        <w:t>. Since many of the recommendations depend on the context of use, and the consideration of other additional factors, it was simply not feasible to create very specific recommendations for each research question.</w:t>
      </w:r>
    </w:p>
    <w:p w14:paraId="24D11CBD" w14:textId="34C3516A" w:rsidR="00BB2982" w:rsidRPr="00E14F7D" w:rsidRDefault="00FA580B" w:rsidP="00AF0675">
      <w:pPr>
        <w:spacing w:line="360" w:lineRule="auto"/>
        <w:rPr>
          <w:rFonts w:ascii="Times New Roman" w:hAnsi="Times New Roman" w:cs="Times New Roman"/>
        </w:rPr>
      </w:pPr>
      <w:r w:rsidRPr="00E14F7D">
        <w:rPr>
          <w:rFonts w:ascii="Times New Roman" w:hAnsi="Times New Roman" w:cs="Times New Roman"/>
        </w:rPr>
        <w:t xml:space="preserve">Confirmed participation from various item library developers </w:t>
      </w:r>
      <w:r w:rsidR="00AD1A9F" w:rsidRPr="00E14F7D">
        <w:rPr>
          <w:rFonts w:ascii="Times New Roman" w:hAnsi="Times New Roman" w:cs="Times New Roman"/>
        </w:rPr>
        <w:t xml:space="preserve">and stakeholders </w:t>
      </w:r>
      <w:r w:rsidRPr="00E14F7D">
        <w:rPr>
          <w:rFonts w:ascii="Times New Roman" w:hAnsi="Times New Roman" w:cs="Times New Roman"/>
        </w:rPr>
        <w:t xml:space="preserve">is a strength of this work, as it helped to ensure balanced perspectives and relevance of </w:t>
      </w:r>
      <w:r w:rsidR="00667953" w:rsidRPr="00E14F7D">
        <w:rPr>
          <w:rFonts w:ascii="Times New Roman" w:hAnsi="Times New Roman" w:cs="Times New Roman"/>
        </w:rPr>
        <w:t xml:space="preserve">recommendations </w:t>
      </w:r>
      <w:r w:rsidRPr="00E14F7D">
        <w:rPr>
          <w:rFonts w:ascii="Times New Roman" w:hAnsi="Times New Roman" w:cs="Times New Roman"/>
        </w:rPr>
        <w:t>across different measurement systems.</w:t>
      </w:r>
      <w:r w:rsidR="00641943" w:rsidRPr="00E14F7D">
        <w:rPr>
          <w:rFonts w:ascii="Times New Roman" w:hAnsi="Times New Roman" w:cs="Times New Roman"/>
        </w:rPr>
        <w:t xml:space="preserve"> </w:t>
      </w:r>
      <w:r w:rsidR="00C224B2">
        <w:rPr>
          <w:rFonts w:ascii="Times New Roman" w:hAnsi="Times New Roman" w:cs="Times New Roman"/>
        </w:rPr>
        <w:t xml:space="preserve">While </w:t>
      </w:r>
      <w:r w:rsidR="00FE0312">
        <w:rPr>
          <w:rFonts w:ascii="Times New Roman" w:hAnsi="Times New Roman" w:cs="Times New Roman"/>
        </w:rPr>
        <w:t>the</w:t>
      </w:r>
      <w:r w:rsidR="00C224B2">
        <w:rPr>
          <w:rFonts w:ascii="Times New Roman" w:hAnsi="Times New Roman" w:cs="Times New Roman"/>
        </w:rPr>
        <w:t xml:space="preserve"> recommendations </w:t>
      </w:r>
      <w:r w:rsidR="00C973F9">
        <w:rPr>
          <w:rFonts w:ascii="Times New Roman" w:hAnsi="Times New Roman" w:cs="Times New Roman"/>
        </w:rPr>
        <w:t xml:space="preserve">described here </w:t>
      </w:r>
      <w:r w:rsidR="00FE0312">
        <w:rPr>
          <w:rFonts w:ascii="Times New Roman" w:hAnsi="Times New Roman" w:cs="Times New Roman"/>
        </w:rPr>
        <w:t xml:space="preserve">were developed </w:t>
      </w:r>
      <w:r w:rsidR="005A11C5">
        <w:rPr>
          <w:rFonts w:ascii="Times New Roman" w:hAnsi="Times New Roman" w:cs="Times New Roman"/>
        </w:rPr>
        <w:t>largely with</w:t>
      </w:r>
      <w:r w:rsidR="00FE0312">
        <w:rPr>
          <w:rFonts w:ascii="Times New Roman" w:hAnsi="Times New Roman" w:cs="Times New Roman"/>
        </w:rPr>
        <w:t xml:space="preserve">in the framework of controlled clinical trials, </w:t>
      </w:r>
      <w:r w:rsidR="00C973F9">
        <w:rPr>
          <w:rFonts w:ascii="Times New Roman" w:hAnsi="Times New Roman" w:cs="Times New Roman"/>
        </w:rPr>
        <w:t>most</w:t>
      </w:r>
      <w:r w:rsidR="00C224B2">
        <w:rPr>
          <w:rFonts w:ascii="Times New Roman" w:hAnsi="Times New Roman" w:cs="Times New Roman"/>
        </w:rPr>
        <w:t xml:space="preserve"> </w:t>
      </w:r>
      <w:r w:rsidR="00FE0312">
        <w:rPr>
          <w:rFonts w:ascii="Times New Roman" w:hAnsi="Times New Roman" w:cs="Times New Roman"/>
        </w:rPr>
        <w:t>can be extended</w:t>
      </w:r>
      <w:r w:rsidR="00C224B2">
        <w:rPr>
          <w:rFonts w:ascii="Times New Roman" w:hAnsi="Times New Roman" w:cs="Times New Roman"/>
        </w:rPr>
        <w:t xml:space="preserve"> </w:t>
      </w:r>
      <w:r w:rsidR="00FE0312">
        <w:rPr>
          <w:rFonts w:ascii="Times New Roman" w:hAnsi="Times New Roman" w:cs="Times New Roman"/>
        </w:rPr>
        <w:t xml:space="preserve">to </w:t>
      </w:r>
      <w:r w:rsidR="00C224B2">
        <w:rPr>
          <w:rFonts w:ascii="Times New Roman" w:hAnsi="Times New Roman" w:cs="Times New Roman"/>
        </w:rPr>
        <w:t>other</w:t>
      </w:r>
      <w:r w:rsidR="00C973F9">
        <w:rPr>
          <w:rFonts w:ascii="Times New Roman" w:hAnsi="Times New Roman" w:cs="Times New Roman"/>
        </w:rPr>
        <w:t xml:space="preserve"> types of trials</w:t>
      </w:r>
      <w:r w:rsidR="00FE0312">
        <w:rPr>
          <w:rFonts w:ascii="Times New Roman" w:hAnsi="Times New Roman" w:cs="Times New Roman"/>
        </w:rPr>
        <w:t xml:space="preserve"> within oncology</w:t>
      </w:r>
      <w:r w:rsidR="00C973F9">
        <w:rPr>
          <w:rFonts w:ascii="Times New Roman" w:hAnsi="Times New Roman" w:cs="Times New Roman"/>
        </w:rPr>
        <w:t xml:space="preserve"> (e.g., supportive care and observational). </w:t>
      </w:r>
      <w:r w:rsidR="00FE0312">
        <w:rPr>
          <w:rFonts w:ascii="Times New Roman" w:hAnsi="Times New Roman" w:cs="Times New Roman"/>
        </w:rPr>
        <w:t>Furthermore</w:t>
      </w:r>
      <w:r w:rsidR="00C973F9">
        <w:rPr>
          <w:rFonts w:ascii="Times New Roman" w:hAnsi="Times New Roman" w:cs="Times New Roman"/>
        </w:rPr>
        <w:t>,</w:t>
      </w:r>
      <w:r w:rsidR="00FE0312">
        <w:rPr>
          <w:rFonts w:ascii="Times New Roman" w:hAnsi="Times New Roman" w:cs="Times New Roman"/>
        </w:rPr>
        <w:t xml:space="preserve"> the general</w:t>
      </w:r>
      <w:r w:rsidR="00C973F9">
        <w:rPr>
          <w:rFonts w:ascii="Times New Roman" w:hAnsi="Times New Roman" w:cs="Times New Roman"/>
        </w:rPr>
        <w:t xml:space="preserve"> </w:t>
      </w:r>
      <w:r w:rsidR="00FE0312">
        <w:rPr>
          <w:rFonts w:ascii="Times New Roman" w:hAnsi="Times New Roman" w:cs="Times New Roman"/>
        </w:rPr>
        <w:t xml:space="preserve">principles of these </w:t>
      </w:r>
      <w:r w:rsidR="00C973F9">
        <w:rPr>
          <w:rFonts w:ascii="Times New Roman" w:hAnsi="Times New Roman" w:cs="Times New Roman"/>
        </w:rPr>
        <w:t>r</w:t>
      </w:r>
      <w:r w:rsidR="00641943" w:rsidRPr="00E14F7D">
        <w:rPr>
          <w:rFonts w:ascii="Times New Roman" w:hAnsi="Times New Roman" w:cs="Times New Roman"/>
        </w:rPr>
        <w:t xml:space="preserve">ecommendations on item library use and implementation </w:t>
      </w:r>
      <w:r w:rsidR="00FE0312">
        <w:rPr>
          <w:rFonts w:ascii="Times New Roman" w:hAnsi="Times New Roman" w:cs="Times New Roman"/>
        </w:rPr>
        <w:t>are</w:t>
      </w:r>
      <w:r w:rsidR="00FE0312" w:rsidRPr="00E14F7D">
        <w:rPr>
          <w:rFonts w:ascii="Times New Roman" w:hAnsi="Times New Roman" w:cs="Times New Roman"/>
        </w:rPr>
        <w:t xml:space="preserve"> </w:t>
      </w:r>
      <w:r w:rsidR="00641943" w:rsidRPr="00E14F7D">
        <w:rPr>
          <w:rFonts w:ascii="Times New Roman" w:hAnsi="Times New Roman" w:cs="Times New Roman"/>
        </w:rPr>
        <w:t>also applicable outside of oncology trials.</w:t>
      </w:r>
    </w:p>
    <w:p w14:paraId="274A391F" w14:textId="77777777" w:rsidR="004E3D22" w:rsidRPr="00E14F7D" w:rsidRDefault="004E3D22" w:rsidP="00AF0675">
      <w:pPr>
        <w:spacing w:line="360" w:lineRule="auto"/>
        <w:rPr>
          <w:rFonts w:ascii="Times New Roman" w:hAnsi="Times New Roman" w:cs="Times New Roman"/>
          <w:b/>
          <w:bCs/>
        </w:rPr>
      </w:pPr>
    </w:p>
    <w:p w14:paraId="570D7C8C" w14:textId="114F38FF" w:rsidR="00C22FD3" w:rsidRPr="00E14F7D" w:rsidRDefault="00C22FD3" w:rsidP="00AF0675">
      <w:pPr>
        <w:spacing w:line="360" w:lineRule="auto"/>
        <w:rPr>
          <w:rFonts w:ascii="Times New Roman" w:hAnsi="Times New Roman" w:cs="Times New Roman"/>
          <w:b/>
          <w:bCs/>
        </w:rPr>
      </w:pPr>
      <w:r w:rsidRPr="00E14F7D">
        <w:rPr>
          <w:rFonts w:ascii="Times New Roman" w:hAnsi="Times New Roman" w:cs="Times New Roman"/>
          <w:b/>
          <w:bCs/>
        </w:rPr>
        <w:t>CONCLUSION</w:t>
      </w:r>
    </w:p>
    <w:p w14:paraId="2880F231" w14:textId="20DC34EC" w:rsidR="007F00AD" w:rsidRPr="00E14F7D" w:rsidRDefault="7EF6502E" w:rsidP="00AF0675">
      <w:pPr>
        <w:spacing w:line="360" w:lineRule="auto"/>
        <w:rPr>
          <w:rFonts w:ascii="Times New Roman" w:hAnsi="Times New Roman" w:cs="Times New Roman"/>
        </w:rPr>
        <w:sectPr w:rsidR="007F00AD" w:rsidRPr="00E14F7D" w:rsidSect="0047024C">
          <w:headerReference w:type="default" r:id="rId14"/>
          <w:pgSz w:w="11906" w:h="16838"/>
          <w:pgMar w:top="1440" w:right="1440" w:bottom="1440" w:left="1440" w:header="708" w:footer="708" w:gutter="0"/>
          <w:cols w:space="708"/>
          <w:docGrid w:linePitch="360"/>
        </w:sectPr>
      </w:pPr>
      <w:r w:rsidRPr="00E14F7D">
        <w:rPr>
          <w:rFonts w:ascii="Times New Roman" w:hAnsi="Times New Roman" w:cs="Times New Roman"/>
        </w:rPr>
        <w:t xml:space="preserve">These recommendations address a wide range of issues that are relevant for the use of item libraries to assess PROs in oncology </w:t>
      </w:r>
      <w:r w:rsidR="004E3D22" w:rsidRPr="00E14F7D">
        <w:rPr>
          <w:rFonts w:ascii="Times New Roman" w:hAnsi="Times New Roman" w:cs="Times New Roman"/>
        </w:rPr>
        <w:t>trials</w:t>
      </w:r>
      <w:r w:rsidRPr="00E14F7D">
        <w:rPr>
          <w:rFonts w:ascii="Times New Roman" w:hAnsi="Times New Roman" w:cs="Times New Roman"/>
        </w:rPr>
        <w:t xml:space="preserve">, with the role of patients and other key stakeholders emphasized throughout. </w:t>
      </w:r>
    </w:p>
    <w:p w14:paraId="20544B23" w14:textId="204EFE69" w:rsidR="00441F1C" w:rsidRPr="00E14F7D" w:rsidRDefault="00825154" w:rsidP="00AF0675">
      <w:pPr>
        <w:spacing w:line="360" w:lineRule="auto"/>
        <w:rPr>
          <w:rFonts w:ascii="Times New Roman" w:hAnsi="Times New Roman" w:cs="Times New Roman"/>
          <w:b/>
          <w:bCs/>
        </w:rPr>
      </w:pPr>
      <w:r w:rsidRPr="00E14F7D">
        <w:rPr>
          <w:rFonts w:ascii="Times New Roman" w:hAnsi="Times New Roman" w:cs="Times New Roman"/>
          <w:b/>
          <w:bCs/>
        </w:rPr>
        <w:lastRenderedPageBreak/>
        <w:t>REFERENCES</w:t>
      </w:r>
    </w:p>
    <w:p w14:paraId="534BA19F" w14:textId="3D14540E" w:rsidR="00FA4747" w:rsidRPr="00FA4747" w:rsidRDefault="00441F1C" w:rsidP="00FA4747">
      <w:pPr>
        <w:widowControl w:val="0"/>
        <w:autoSpaceDE w:val="0"/>
        <w:autoSpaceDN w:val="0"/>
        <w:adjustRightInd w:val="0"/>
        <w:spacing w:line="240" w:lineRule="auto"/>
        <w:ind w:left="640" w:hanging="640"/>
        <w:rPr>
          <w:rFonts w:ascii="Times New Roman" w:hAnsi="Times New Roman" w:cs="Times New Roman"/>
          <w:noProof/>
          <w:szCs w:val="24"/>
        </w:rPr>
      </w:pPr>
      <w:r w:rsidRPr="00E14F7D">
        <w:rPr>
          <w:rFonts w:ascii="Times New Roman" w:hAnsi="Times New Roman" w:cs="Times New Roman"/>
        </w:rPr>
        <w:fldChar w:fldCharType="begin" w:fldLock="1"/>
      </w:r>
      <w:r w:rsidRPr="005A11C5">
        <w:rPr>
          <w:rFonts w:ascii="Times New Roman" w:hAnsi="Times New Roman" w:cs="Times New Roman"/>
        </w:rPr>
        <w:instrText xml:space="preserve">ADDIN Mendeley Bibliography CSL_BIBLIOGRAPHY </w:instrText>
      </w:r>
      <w:r w:rsidRPr="00E14F7D">
        <w:rPr>
          <w:rFonts w:ascii="Times New Roman" w:hAnsi="Times New Roman" w:cs="Times New Roman"/>
        </w:rPr>
        <w:fldChar w:fldCharType="separate"/>
      </w:r>
      <w:r w:rsidR="00FA4747" w:rsidRPr="005A11C5">
        <w:rPr>
          <w:rFonts w:ascii="Times New Roman" w:hAnsi="Times New Roman" w:cs="Times New Roman"/>
          <w:noProof/>
          <w:szCs w:val="24"/>
        </w:rPr>
        <w:t xml:space="preserve">1. </w:t>
      </w:r>
      <w:r w:rsidR="00FA4747" w:rsidRPr="005A11C5">
        <w:rPr>
          <w:rFonts w:ascii="Times New Roman" w:hAnsi="Times New Roman" w:cs="Times New Roman"/>
          <w:noProof/>
          <w:szCs w:val="24"/>
        </w:rPr>
        <w:tab/>
        <w:t xml:space="preserve">Chen J, Ou L, Hollis SJ. </w:t>
      </w:r>
      <w:r w:rsidR="00FA4747" w:rsidRPr="00FA4747">
        <w:rPr>
          <w:rFonts w:ascii="Times New Roman" w:hAnsi="Times New Roman" w:cs="Times New Roman"/>
          <w:noProof/>
          <w:szCs w:val="24"/>
        </w:rPr>
        <w:t xml:space="preserve">A systematic review of the impact of routine collection of patient reported outcome measures on patients, providers and health organisations in an oncologic setting. BMC Health Services Research. 2013. </w:t>
      </w:r>
    </w:p>
    <w:p w14:paraId="178441FB" w14:textId="44172035" w:rsidR="00FA4747" w:rsidRPr="00FA4747" w:rsidRDefault="00FA4747" w:rsidP="00FA4747">
      <w:pPr>
        <w:widowControl w:val="0"/>
        <w:autoSpaceDE w:val="0"/>
        <w:autoSpaceDN w:val="0"/>
        <w:adjustRightInd w:val="0"/>
        <w:spacing w:line="240" w:lineRule="auto"/>
        <w:ind w:left="640" w:hanging="640"/>
        <w:rPr>
          <w:rFonts w:ascii="Times New Roman" w:hAnsi="Times New Roman" w:cs="Times New Roman"/>
          <w:noProof/>
          <w:szCs w:val="24"/>
        </w:rPr>
      </w:pPr>
      <w:r w:rsidRPr="00FA4747">
        <w:rPr>
          <w:rFonts w:ascii="Times New Roman" w:hAnsi="Times New Roman" w:cs="Times New Roman"/>
          <w:noProof/>
          <w:szCs w:val="24"/>
        </w:rPr>
        <w:t xml:space="preserve">2. </w:t>
      </w:r>
      <w:r w:rsidRPr="00FA4747">
        <w:rPr>
          <w:rFonts w:ascii="Times New Roman" w:hAnsi="Times New Roman" w:cs="Times New Roman"/>
          <w:noProof/>
          <w:szCs w:val="24"/>
        </w:rPr>
        <w:tab/>
        <w:t>FDA. Guidance for industry: Patient-reported outcome measures: Use in medical product development to support labeling claims: Draft guidance. Health Qual Life Outcomes. 2006</w:t>
      </w:r>
      <w:r>
        <w:rPr>
          <w:rFonts w:ascii="Times New Roman" w:hAnsi="Times New Roman" w:cs="Times New Roman"/>
          <w:noProof/>
          <w:szCs w:val="24"/>
        </w:rPr>
        <w:t>.</w:t>
      </w:r>
      <w:r w:rsidRPr="00FA4747">
        <w:rPr>
          <w:rFonts w:ascii="Times New Roman" w:hAnsi="Times New Roman" w:cs="Times New Roman"/>
          <w:noProof/>
          <w:szCs w:val="24"/>
        </w:rPr>
        <w:t xml:space="preserve"> </w:t>
      </w:r>
    </w:p>
    <w:p w14:paraId="47E3FF44" w14:textId="77777777" w:rsidR="00FA4747" w:rsidRPr="00FA4747" w:rsidRDefault="00FA4747" w:rsidP="00FA4747">
      <w:pPr>
        <w:widowControl w:val="0"/>
        <w:autoSpaceDE w:val="0"/>
        <w:autoSpaceDN w:val="0"/>
        <w:adjustRightInd w:val="0"/>
        <w:spacing w:line="240" w:lineRule="auto"/>
        <w:ind w:left="640" w:hanging="640"/>
        <w:rPr>
          <w:rFonts w:ascii="Times New Roman" w:hAnsi="Times New Roman" w:cs="Times New Roman"/>
          <w:noProof/>
          <w:szCs w:val="24"/>
        </w:rPr>
      </w:pPr>
      <w:r w:rsidRPr="00FA4747">
        <w:rPr>
          <w:rFonts w:ascii="Times New Roman" w:hAnsi="Times New Roman" w:cs="Times New Roman"/>
          <w:noProof/>
          <w:szCs w:val="24"/>
        </w:rPr>
        <w:t xml:space="preserve">3. </w:t>
      </w:r>
      <w:r w:rsidRPr="00FA4747">
        <w:rPr>
          <w:rFonts w:ascii="Times New Roman" w:hAnsi="Times New Roman" w:cs="Times New Roman"/>
          <w:noProof/>
          <w:szCs w:val="24"/>
        </w:rPr>
        <w:tab/>
        <w:t xml:space="preserve">Yang LY, Manhas DS, Howard AF, Olson RA. Patient-reported outcome use in oncology: a systematic review of the impact on patient-clinician communication. Supportive Care in Cancer. 2018. </w:t>
      </w:r>
    </w:p>
    <w:p w14:paraId="10C4BFAE" w14:textId="463B5CC8" w:rsidR="00FA4747" w:rsidRPr="00FA4747" w:rsidRDefault="00FA4747" w:rsidP="00FA4747">
      <w:pPr>
        <w:widowControl w:val="0"/>
        <w:autoSpaceDE w:val="0"/>
        <w:autoSpaceDN w:val="0"/>
        <w:adjustRightInd w:val="0"/>
        <w:spacing w:line="240" w:lineRule="auto"/>
        <w:ind w:left="640" w:hanging="640"/>
        <w:rPr>
          <w:rFonts w:ascii="Times New Roman" w:hAnsi="Times New Roman" w:cs="Times New Roman"/>
          <w:noProof/>
          <w:szCs w:val="24"/>
        </w:rPr>
      </w:pPr>
      <w:r w:rsidRPr="00FA4747">
        <w:rPr>
          <w:rFonts w:ascii="Times New Roman" w:hAnsi="Times New Roman" w:cs="Times New Roman"/>
          <w:noProof/>
          <w:szCs w:val="24"/>
        </w:rPr>
        <w:t xml:space="preserve">4. </w:t>
      </w:r>
      <w:r w:rsidRPr="00FA4747">
        <w:rPr>
          <w:rFonts w:ascii="Times New Roman" w:hAnsi="Times New Roman" w:cs="Times New Roman"/>
          <w:noProof/>
          <w:szCs w:val="24"/>
        </w:rPr>
        <w:tab/>
        <w:t>Wilson IB, Cleary PD. Linking Clinical Variables With Health-Related Quality of Life: A Conceptual Model of Patient Outcomes. JAMA J Am Med Assoc. 1995</w:t>
      </w:r>
      <w:r>
        <w:rPr>
          <w:rFonts w:ascii="Times New Roman" w:hAnsi="Times New Roman" w:cs="Times New Roman"/>
          <w:noProof/>
          <w:szCs w:val="24"/>
        </w:rPr>
        <w:t>.</w:t>
      </w:r>
      <w:r w:rsidRPr="00FA4747">
        <w:rPr>
          <w:rFonts w:ascii="Times New Roman" w:hAnsi="Times New Roman" w:cs="Times New Roman"/>
          <w:noProof/>
          <w:szCs w:val="24"/>
        </w:rPr>
        <w:t xml:space="preserve"> </w:t>
      </w:r>
    </w:p>
    <w:p w14:paraId="66FA1FDE" w14:textId="77777777" w:rsidR="00FA4747" w:rsidRPr="00FA4747" w:rsidRDefault="00FA4747" w:rsidP="00FA4747">
      <w:pPr>
        <w:widowControl w:val="0"/>
        <w:autoSpaceDE w:val="0"/>
        <w:autoSpaceDN w:val="0"/>
        <w:adjustRightInd w:val="0"/>
        <w:spacing w:line="240" w:lineRule="auto"/>
        <w:ind w:left="640" w:hanging="640"/>
        <w:rPr>
          <w:rFonts w:ascii="Times New Roman" w:hAnsi="Times New Roman" w:cs="Times New Roman"/>
          <w:noProof/>
          <w:szCs w:val="24"/>
        </w:rPr>
      </w:pPr>
      <w:r w:rsidRPr="00FA4747">
        <w:rPr>
          <w:rFonts w:ascii="Times New Roman" w:hAnsi="Times New Roman" w:cs="Times New Roman"/>
          <w:noProof/>
          <w:szCs w:val="24"/>
        </w:rPr>
        <w:t xml:space="preserve">5. </w:t>
      </w:r>
      <w:r w:rsidRPr="00FA4747">
        <w:rPr>
          <w:rFonts w:ascii="Times New Roman" w:hAnsi="Times New Roman" w:cs="Times New Roman"/>
          <w:noProof/>
          <w:szCs w:val="24"/>
        </w:rPr>
        <w:tab/>
        <w:t>EORTC. EORTC Item Library [Internet]. [cited 2021 Jun 14]. Available from: https://www.eortc.be/itemlibrary/</w:t>
      </w:r>
    </w:p>
    <w:p w14:paraId="24A5878E" w14:textId="77777777" w:rsidR="00FA4747" w:rsidRPr="00FA4747" w:rsidRDefault="00FA4747" w:rsidP="00FA4747">
      <w:pPr>
        <w:widowControl w:val="0"/>
        <w:autoSpaceDE w:val="0"/>
        <w:autoSpaceDN w:val="0"/>
        <w:adjustRightInd w:val="0"/>
        <w:spacing w:line="240" w:lineRule="auto"/>
        <w:ind w:left="640" w:hanging="640"/>
        <w:rPr>
          <w:rFonts w:ascii="Times New Roman" w:hAnsi="Times New Roman" w:cs="Times New Roman"/>
          <w:noProof/>
          <w:szCs w:val="24"/>
        </w:rPr>
      </w:pPr>
      <w:r w:rsidRPr="00FA4747">
        <w:rPr>
          <w:rFonts w:ascii="Times New Roman" w:hAnsi="Times New Roman" w:cs="Times New Roman"/>
          <w:noProof/>
          <w:szCs w:val="24"/>
        </w:rPr>
        <w:t xml:space="preserve">6. </w:t>
      </w:r>
      <w:r w:rsidRPr="00FA4747">
        <w:rPr>
          <w:rFonts w:ascii="Times New Roman" w:hAnsi="Times New Roman" w:cs="Times New Roman"/>
          <w:noProof/>
          <w:szCs w:val="24"/>
        </w:rPr>
        <w:tab/>
        <w:t>FACIT. FACIT Searchable Library and Custom Form Developer (Build-a-PRO) [Internet]. Available from: https://wizard.facit.org/</w:t>
      </w:r>
    </w:p>
    <w:p w14:paraId="7D4E0862" w14:textId="77777777" w:rsidR="00FA4747" w:rsidRPr="00FA4747" w:rsidRDefault="00FA4747" w:rsidP="00FA4747">
      <w:pPr>
        <w:widowControl w:val="0"/>
        <w:autoSpaceDE w:val="0"/>
        <w:autoSpaceDN w:val="0"/>
        <w:adjustRightInd w:val="0"/>
        <w:spacing w:line="240" w:lineRule="auto"/>
        <w:ind w:left="640" w:hanging="640"/>
        <w:rPr>
          <w:rFonts w:ascii="Times New Roman" w:hAnsi="Times New Roman" w:cs="Times New Roman"/>
          <w:noProof/>
          <w:szCs w:val="24"/>
        </w:rPr>
      </w:pPr>
      <w:r w:rsidRPr="00FA4747">
        <w:rPr>
          <w:rFonts w:ascii="Times New Roman" w:hAnsi="Times New Roman" w:cs="Times New Roman"/>
          <w:noProof/>
          <w:szCs w:val="24"/>
        </w:rPr>
        <w:t xml:space="preserve">7. </w:t>
      </w:r>
      <w:r w:rsidRPr="00FA4747">
        <w:rPr>
          <w:rFonts w:ascii="Times New Roman" w:hAnsi="Times New Roman" w:cs="Times New Roman"/>
          <w:noProof/>
          <w:szCs w:val="24"/>
        </w:rPr>
        <w:tab/>
        <w:t>MDASI. MDASI Symptom Library [Internet]. Available from: https://www.mdanderson.org/content/dam/mdanderson/documents/Departments-and-Divisions/Symptom-Research/MDASI symptom library.pdf</w:t>
      </w:r>
    </w:p>
    <w:p w14:paraId="35A4817A" w14:textId="77777777" w:rsidR="00FA4747" w:rsidRPr="00FA4747" w:rsidRDefault="00FA4747" w:rsidP="00FA4747">
      <w:pPr>
        <w:widowControl w:val="0"/>
        <w:autoSpaceDE w:val="0"/>
        <w:autoSpaceDN w:val="0"/>
        <w:adjustRightInd w:val="0"/>
        <w:spacing w:line="240" w:lineRule="auto"/>
        <w:ind w:left="640" w:hanging="640"/>
        <w:rPr>
          <w:rFonts w:ascii="Times New Roman" w:hAnsi="Times New Roman" w:cs="Times New Roman"/>
          <w:noProof/>
          <w:szCs w:val="24"/>
        </w:rPr>
      </w:pPr>
      <w:r w:rsidRPr="00FA4747">
        <w:rPr>
          <w:rFonts w:ascii="Times New Roman" w:hAnsi="Times New Roman" w:cs="Times New Roman"/>
          <w:noProof/>
          <w:szCs w:val="24"/>
        </w:rPr>
        <w:t xml:space="preserve">8. </w:t>
      </w:r>
      <w:r w:rsidRPr="00FA4747">
        <w:rPr>
          <w:rFonts w:ascii="Times New Roman" w:hAnsi="Times New Roman" w:cs="Times New Roman"/>
          <w:noProof/>
          <w:szCs w:val="24"/>
        </w:rPr>
        <w:tab/>
        <w:t>PRO-CTCAE. PRO-CTCAE Instruments &amp; Form Builders [Internet]. [cited 2021 Jun 14]. Available from: https://healthcaredelivery.cancer.gov/pro-ctcae/instrument.html</w:t>
      </w:r>
    </w:p>
    <w:p w14:paraId="0307F220" w14:textId="77777777" w:rsidR="00FA4747" w:rsidRPr="00FA4747" w:rsidRDefault="00FA4747" w:rsidP="00FA4747">
      <w:pPr>
        <w:widowControl w:val="0"/>
        <w:autoSpaceDE w:val="0"/>
        <w:autoSpaceDN w:val="0"/>
        <w:adjustRightInd w:val="0"/>
        <w:spacing w:line="240" w:lineRule="auto"/>
        <w:ind w:left="640" w:hanging="640"/>
        <w:rPr>
          <w:rFonts w:ascii="Times New Roman" w:hAnsi="Times New Roman" w:cs="Times New Roman"/>
          <w:noProof/>
          <w:szCs w:val="24"/>
        </w:rPr>
      </w:pPr>
      <w:r w:rsidRPr="00FA4747">
        <w:rPr>
          <w:rFonts w:ascii="Times New Roman" w:hAnsi="Times New Roman" w:cs="Times New Roman"/>
          <w:noProof/>
          <w:szCs w:val="24"/>
        </w:rPr>
        <w:t xml:space="preserve">9. </w:t>
      </w:r>
      <w:r w:rsidRPr="00FA4747">
        <w:rPr>
          <w:rFonts w:ascii="Times New Roman" w:hAnsi="Times New Roman" w:cs="Times New Roman"/>
          <w:noProof/>
          <w:szCs w:val="24"/>
        </w:rPr>
        <w:tab/>
        <w:t>PROMIS. PROMIS Health Measures [Internet]. [cited 2021 Jun 14]. Available from: https://www.healthmeasures.net/explore-measurement-systems/promis?AspxAutoDetectCookieSup=</w:t>
      </w:r>
    </w:p>
    <w:p w14:paraId="62E07011" w14:textId="6E634217" w:rsidR="00FA4747" w:rsidRPr="00FA4747" w:rsidRDefault="00FA4747" w:rsidP="00FA4747">
      <w:pPr>
        <w:widowControl w:val="0"/>
        <w:autoSpaceDE w:val="0"/>
        <w:autoSpaceDN w:val="0"/>
        <w:adjustRightInd w:val="0"/>
        <w:spacing w:line="240" w:lineRule="auto"/>
        <w:ind w:left="640" w:hanging="640"/>
        <w:rPr>
          <w:rFonts w:ascii="Times New Roman" w:hAnsi="Times New Roman" w:cs="Times New Roman"/>
          <w:noProof/>
          <w:szCs w:val="24"/>
        </w:rPr>
      </w:pPr>
      <w:r w:rsidRPr="00A21614">
        <w:rPr>
          <w:rFonts w:ascii="Times New Roman" w:hAnsi="Times New Roman" w:cs="Times New Roman"/>
          <w:noProof/>
          <w:szCs w:val="24"/>
        </w:rPr>
        <w:t xml:space="preserve">10. </w:t>
      </w:r>
      <w:r w:rsidRPr="00A21614">
        <w:rPr>
          <w:rFonts w:ascii="Times New Roman" w:hAnsi="Times New Roman" w:cs="Times New Roman"/>
          <w:noProof/>
          <w:szCs w:val="24"/>
        </w:rPr>
        <w:tab/>
        <w:t xml:space="preserve">Petersen MA, Aaronson NK, Conroy T, Costantini A, Giesinger JM, Hammerlid E, et al. </w:t>
      </w:r>
      <w:r w:rsidRPr="00FA4747">
        <w:rPr>
          <w:rFonts w:ascii="Times New Roman" w:hAnsi="Times New Roman" w:cs="Times New Roman"/>
          <w:noProof/>
          <w:szCs w:val="24"/>
        </w:rPr>
        <w:t>International validation of the EORTC CAT Core: a new adaptive instrument for measuring core quality of life domains in cancer. Qual Life Res. 2020</w:t>
      </w:r>
      <w:r>
        <w:rPr>
          <w:rFonts w:ascii="Times New Roman" w:hAnsi="Times New Roman" w:cs="Times New Roman"/>
          <w:noProof/>
          <w:szCs w:val="24"/>
        </w:rPr>
        <w:t>.</w:t>
      </w:r>
      <w:r w:rsidRPr="00FA4747">
        <w:rPr>
          <w:rFonts w:ascii="Times New Roman" w:hAnsi="Times New Roman" w:cs="Times New Roman"/>
          <w:noProof/>
          <w:szCs w:val="24"/>
        </w:rPr>
        <w:t xml:space="preserve"> </w:t>
      </w:r>
    </w:p>
    <w:p w14:paraId="57383017" w14:textId="77777777" w:rsidR="00FA4747" w:rsidRPr="00FA4747" w:rsidRDefault="00FA4747" w:rsidP="00FA4747">
      <w:pPr>
        <w:widowControl w:val="0"/>
        <w:autoSpaceDE w:val="0"/>
        <w:autoSpaceDN w:val="0"/>
        <w:adjustRightInd w:val="0"/>
        <w:spacing w:line="240" w:lineRule="auto"/>
        <w:ind w:left="640" w:hanging="640"/>
        <w:rPr>
          <w:rFonts w:ascii="Times New Roman" w:hAnsi="Times New Roman" w:cs="Times New Roman"/>
          <w:noProof/>
          <w:szCs w:val="24"/>
        </w:rPr>
      </w:pPr>
      <w:r w:rsidRPr="00FA4747">
        <w:rPr>
          <w:rFonts w:ascii="Times New Roman" w:hAnsi="Times New Roman" w:cs="Times New Roman"/>
          <w:noProof/>
          <w:szCs w:val="24"/>
        </w:rPr>
        <w:t xml:space="preserve">11. </w:t>
      </w:r>
      <w:r w:rsidRPr="00FA4747">
        <w:rPr>
          <w:rFonts w:ascii="Times New Roman" w:hAnsi="Times New Roman" w:cs="Times New Roman"/>
          <w:noProof/>
          <w:szCs w:val="24"/>
        </w:rPr>
        <w:tab/>
        <w:t xml:space="preserve">Kluetz PG, O’Connor DJ, Soltys K. Incorporating the patient experience into regulatory decision making in the USA, Europe, and Canada. The Lancet Oncology. 2018. </w:t>
      </w:r>
    </w:p>
    <w:p w14:paraId="2199D320" w14:textId="77777777" w:rsidR="00FA4747" w:rsidRPr="00FA4747" w:rsidRDefault="00FA4747" w:rsidP="00FA4747">
      <w:pPr>
        <w:widowControl w:val="0"/>
        <w:autoSpaceDE w:val="0"/>
        <w:autoSpaceDN w:val="0"/>
        <w:adjustRightInd w:val="0"/>
        <w:spacing w:line="240" w:lineRule="auto"/>
        <w:ind w:left="640" w:hanging="640"/>
        <w:rPr>
          <w:rFonts w:ascii="Times New Roman" w:hAnsi="Times New Roman" w:cs="Times New Roman"/>
          <w:noProof/>
          <w:szCs w:val="24"/>
        </w:rPr>
      </w:pPr>
      <w:r w:rsidRPr="00FA4747">
        <w:rPr>
          <w:rFonts w:ascii="Times New Roman" w:hAnsi="Times New Roman" w:cs="Times New Roman"/>
          <w:noProof/>
          <w:szCs w:val="24"/>
        </w:rPr>
        <w:t xml:space="preserve">12. </w:t>
      </w:r>
      <w:r w:rsidRPr="00FA4747">
        <w:rPr>
          <w:rFonts w:ascii="Times New Roman" w:hAnsi="Times New Roman" w:cs="Times New Roman"/>
          <w:noProof/>
          <w:szCs w:val="24"/>
        </w:rPr>
        <w:tab/>
        <w:t xml:space="preserve">Grant MJ, Booth A. A typology of reviews: An analysis of 14 review types and associated methodologies. Health Information and Libraries Journal. 2009. </w:t>
      </w:r>
    </w:p>
    <w:p w14:paraId="25453444" w14:textId="70EB5999" w:rsidR="00FA4747" w:rsidRPr="00FA4747" w:rsidRDefault="00FA4747" w:rsidP="00FA4747">
      <w:pPr>
        <w:widowControl w:val="0"/>
        <w:autoSpaceDE w:val="0"/>
        <w:autoSpaceDN w:val="0"/>
        <w:adjustRightInd w:val="0"/>
        <w:spacing w:line="240" w:lineRule="auto"/>
        <w:ind w:left="640" w:hanging="640"/>
        <w:rPr>
          <w:rFonts w:ascii="Times New Roman" w:hAnsi="Times New Roman" w:cs="Times New Roman"/>
          <w:noProof/>
          <w:szCs w:val="24"/>
        </w:rPr>
      </w:pPr>
      <w:r w:rsidRPr="00FA4747">
        <w:rPr>
          <w:rFonts w:ascii="Times New Roman" w:hAnsi="Times New Roman" w:cs="Times New Roman"/>
          <w:noProof/>
          <w:szCs w:val="24"/>
        </w:rPr>
        <w:t xml:space="preserve">13. </w:t>
      </w:r>
      <w:r w:rsidRPr="00FA4747">
        <w:rPr>
          <w:rFonts w:ascii="Times New Roman" w:hAnsi="Times New Roman" w:cs="Times New Roman"/>
          <w:noProof/>
          <w:szCs w:val="24"/>
        </w:rPr>
        <w:tab/>
        <w:t>Munn Z, Peters MDJ, Stern C, Tufanaru C, McArthur A, Aromataris E. Systematic review or scoping review? Guidance for authors when choosing between a systematic or scoping review approach. BMC Med Res Methodol. 2018</w:t>
      </w:r>
      <w:r>
        <w:rPr>
          <w:rFonts w:ascii="Times New Roman" w:hAnsi="Times New Roman" w:cs="Times New Roman"/>
          <w:noProof/>
          <w:szCs w:val="24"/>
        </w:rPr>
        <w:t>.</w:t>
      </w:r>
      <w:r w:rsidRPr="00FA4747">
        <w:rPr>
          <w:rFonts w:ascii="Times New Roman" w:hAnsi="Times New Roman" w:cs="Times New Roman"/>
          <w:noProof/>
          <w:szCs w:val="24"/>
        </w:rPr>
        <w:t xml:space="preserve"> </w:t>
      </w:r>
    </w:p>
    <w:p w14:paraId="6AF2CCAC" w14:textId="0FD93C7E" w:rsidR="00FA4747" w:rsidRPr="00FA4747" w:rsidRDefault="00FA4747" w:rsidP="00FA4747">
      <w:pPr>
        <w:widowControl w:val="0"/>
        <w:autoSpaceDE w:val="0"/>
        <w:autoSpaceDN w:val="0"/>
        <w:adjustRightInd w:val="0"/>
        <w:spacing w:line="240" w:lineRule="auto"/>
        <w:ind w:left="640" w:hanging="640"/>
        <w:rPr>
          <w:rFonts w:ascii="Times New Roman" w:hAnsi="Times New Roman" w:cs="Times New Roman"/>
          <w:noProof/>
          <w:szCs w:val="24"/>
        </w:rPr>
      </w:pPr>
      <w:r w:rsidRPr="00FA4747">
        <w:rPr>
          <w:rFonts w:ascii="Times New Roman" w:hAnsi="Times New Roman" w:cs="Times New Roman"/>
          <w:noProof/>
          <w:szCs w:val="24"/>
        </w:rPr>
        <w:t xml:space="preserve">14. </w:t>
      </w:r>
      <w:r w:rsidRPr="00FA4747">
        <w:rPr>
          <w:rFonts w:ascii="Times New Roman" w:hAnsi="Times New Roman" w:cs="Times New Roman"/>
          <w:noProof/>
          <w:szCs w:val="24"/>
        </w:rPr>
        <w:tab/>
        <w:t>Brahmer JR, Lacchetti C, Schneider BJ, Atkins MB, Brassil KJ, Caterino JM, et al. Management of immune-related adverse events in patients treated with immune checkpoint inhibitor therapy: American society of clinical oncology clinical practice guideline. J Clin Oncol. 2018</w:t>
      </w:r>
      <w:r>
        <w:rPr>
          <w:rFonts w:ascii="Times New Roman" w:hAnsi="Times New Roman" w:cs="Times New Roman"/>
          <w:noProof/>
          <w:szCs w:val="24"/>
        </w:rPr>
        <w:t>.</w:t>
      </w:r>
      <w:r w:rsidRPr="00FA4747">
        <w:rPr>
          <w:rFonts w:ascii="Times New Roman" w:hAnsi="Times New Roman" w:cs="Times New Roman"/>
          <w:noProof/>
          <w:szCs w:val="24"/>
        </w:rPr>
        <w:t xml:space="preserve"> </w:t>
      </w:r>
    </w:p>
    <w:p w14:paraId="7FA2D69F" w14:textId="1BF275A2" w:rsidR="00FA4747" w:rsidRPr="00FA4747" w:rsidRDefault="00FA4747" w:rsidP="00FA4747">
      <w:pPr>
        <w:widowControl w:val="0"/>
        <w:autoSpaceDE w:val="0"/>
        <w:autoSpaceDN w:val="0"/>
        <w:adjustRightInd w:val="0"/>
        <w:spacing w:line="240" w:lineRule="auto"/>
        <w:ind w:left="640" w:hanging="640"/>
        <w:rPr>
          <w:rFonts w:ascii="Times New Roman" w:hAnsi="Times New Roman" w:cs="Times New Roman"/>
          <w:noProof/>
          <w:szCs w:val="24"/>
        </w:rPr>
      </w:pPr>
      <w:r w:rsidRPr="00FA4747">
        <w:rPr>
          <w:rFonts w:ascii="Times New Roman" w:hAnsi="Times New Roman" w:cs="Times New Roman"/>
          <w:noProof/>
          <w:szCs w:val="24"/>
        </w:rPr>
        <w:t xml:space="preserve">15. </w:t>
      </w:r>
      <w:r w:rsidRPr="00FA4747">
        <w:rPr>
          <w:rFonts w:ascii="Times New Roman" w:hAnsi="Times New Roman" w:cs="Times New Roman"/>
          <w:noProof/>
          <w:szCs w:val="24"/>
        </w:rPr>
        <w:tab/>
        <w:t>DeWalt DA, Rothrock N, Yount S, Stone AA. Evaluation of item candidates: The PROMIS qualitative item review. Med Care. 2007</w:t>
      </w:r>
      <w:r>
        <w:rPr>
          <w:rFonts w:ascii="Times New Roman" w:hAnsi="Times New Roman" w:cs="Times New Roman"/>
          <w:noProof/>
          <w:szCs w:val="24"/>
        </w:rPr>
        <w:t>.</w:t>
      </w:r>
      <w:r w:rsidRPr="00FA4747">
        <w:rPr>
          <w:rFonts w:ascii="Times New Roman" w:hAnsi="Times New Roman" w:cs="Times New Roman"/>
          <w:noProof/>
          <w:szCs w:val="24"/>
        </w:rPr>
        <w:t xml:space="preserve"> </w:t>
      </w:r>
    </w:p>
    <w:p w14:paraId="25108095" w14:textId="3F9782BF" w:rsidR="00FA4747" w:rsidRPr="00FA4747" w:rsidRDefault="00FA4747" w:rsidP="00FA4747">
      <w:pPr>
        <w:widowControl w:val="0"/>
        <w:autoSpaceDE w:val="0"/>
        <w:autoSpaceDN w:val="0"/>
        <w:adjustRightInd w:val="0"/>
        <w:spacing w:line="240" w:lineRule="auto"/>
        <w:ind w:left="640" w:hanging="640"/>
        <w:rPr>
          <w:rFonts w:ascii="Times New Roman" w:hAnsi="Times New Roman" w:cs="Times New Roman"/>
          <w:noProof/>
          <w:szCs w:val="24"/>
        </w:rPr>
      </w:pPr>
      <w:r w:rsidRPr="00FA4747">
        <w:rPr>
          <w:rFonts w:ascii="Times New Roman" w:hAnsi="Times New Roman" w:cs="Times New Roman"/>
          <w:noProof/>
          <w:szCs w:val="24"/>
        </w:rPr>
        <w:t xml:space="preserve">16. </w:t>
      </w:r>
      <w:r w:rsidRPr="00FA4747">
        <w:rPr>
          <w:rFonts w:ascii="Times New Roman" w:hAnsi="Times New Roman" w:cs="Times New Roman"/>
          <w:noProof/>
          <w:szCs w:val="24"/>
        </w:rPr>
        <w:tab/>
        <w:t>Williams LA, Whisenant MS, Mendoza TR, Haq S, Keating KN, Cuffel B, et al. Modification of existing patient-reported outcome measures: qualitative development of the MD Anderson Symptom Inventory for malignant pleural mesothelioma (MDASI-MPM). Qual Life Res. 2018</w:t>
      </w:r>
      <w:r>
        <w:rPr>
          <w:rFonts w:ascii="Times New Roman" w:hAnsi="Times New Roman" w:cs="Times New Roman"/>
          <w:noProof/>
          <w:szCs w:val="24"/>
        </w:rPr>
        <w:t>.</w:t>
      </w:r>
      <w:r w:rsidRPr="00FA4747">
        <w:rPr>
          <w:rFonts w:ascii="Times New Roman" w:hAnsi="Times New Roman" w:cs="Times New Roman"/>
          <w:noProof/>
          <w:szCs w:val="24"/>
        </w:rPr>
        <w:t xml:space="preserve"> </w:t>
      </w:r>
    </w:p>
    <w:p w14:paraId="0521A07C" w14:textId="77777777" w:rsidR="00FA4747" w:rsidRPr="00FA4747" w:rsidRDefault="00FA4747" w:rsidP="00FA4747">
      <w:pPr>
        <w:widowControl w:val="0"/>
        <w:autoSpaceDE w:val="0"/>
        <w:autoSpaceDN w:val="0"/>
        <w:adjustRightInd w:val="0"/>
        <w:spacing w:line="240" w:lineRule="auto"/>
        <w:ind w:left="640" w:hanging="640"/>
        <w:rPr>
          <w:rFonts w:ascii="Times New Roman" w:hAnsi="Times New Roman" w:cs="Times New Roman"/>
          <w:noProof/>
          <w:szCs w:val="24"/>
        </w:rPr>
      </w:pPr>
      <w:r w:rsidRPr="00FA4747">
        <w:rPr>
          <w:rFonts w:ascii="Times New Roman" w:hAnsi="Times New Roman" w:cs="Times New Roman"/>
          <w:noProof/>
          <w:szCs w:val="24"/>
        </w:rPr>
        <w:lastRenderedPageBreak/>
        <w:t xml:space="preserve">17. </w:t>
      </w:r>
      <w:r w:rsidRPr="00FA4747">
        <w:rPr>
          <w:rFonts w:ascii="Times New Roman" w:hAnsi="Times New Roman" w:cs="Times New Roman"/>
          <w:noProof/>
          <w:szCs w:val="24"/>
        </w:rPr>
        <w:tab/>
        <w:t>PROMIS. PROMIS Measure Development &amp; Research [Internet]. Available from: https://www.healthmeasures.net/explore-measurement-systems/promis/measure-development-research</w:t>
      </w:r>
    </w:p>
    <w:p w14:paraId="76166C0B" w14:textId="327FAA63" w:rsidR="00FA4747" w:rsidRPr="00FA4747" w:rsidRDefault="00FA4747" w:rsidP="00FA4747">
      <w:pPr>
        <w:widowControl w:val="0"/>
        <w:autoSpaceDE w:val="0"/>
        <w:autoSpaceDN w:val="0"/>
        <w:adjustRightInd w:val="0"/>
        <w:spacing w:line="240" w:lineRule="auto"/>
        <w:ind w:left="640" w:hanging="640"/>
        <w:rPr>
          <w:rFonts w:ascii="Times New Roman" w:hAnsi="Times New Roman" w:cs="Times New Roman"/>
          <w:noProof/>
          <w:szCs w:val="24"/>
        </w:rPr>
      </w:pPr>
      <w:r w:rsidRPr="00FA4747">
        <w:rPr>
          <w:rFonts w:ascii="Times New Roman" w:hAnsi="Times New Roman" w:cs="Times New Roman"/>
          <w:noProof/>
          <w:szCs w:val="24"/>
        </w:rPr>
        <w:t xml:space="preserve">18. </w:t>
      </w:r>
      <w:r w:rsidRPr="00FA4747">
        <w:rPr>
          <w:rFonts w:ascii="Times New Roman" w:hAnsi="Times New Roman" w:cs="Times New Roman"/>
          <w:noProof/>
          <w:szCs w:val="24"/>
        </w:rPr>
        <w:tab/>
        <w:t>Klem M, Saghafi E, Abromitis R, Stover A, Dew MA, Pilkonis P. Building PROMIS item banks: Librarians as co-investigators. Qual Life Res. 2009</w:t>
      </w:r>
      <w:r>
        <w:rPr>
          <w:rFonts w:ascii="Times New Roman" w:hAnsi="Times New Roman" w:cs="Times New Roman"/>
          <w:noProof/>
          <w:szCs w:val="24"/>
        </w:rPr>
        <w:t>.</w:t>
      </w:r>
    </w:p>
    <w:p w14:paraId="553BC846" w14:textId="66B85900" w:rsidR="00FA4747" w:rsidRPr="00FA4747" w:rsidRDefault="00FA4747" w:rsidP="00FA4747">
      <w:pPr>
        <w:widowControl w:val="0"/>
        <w:autoSpaceDE w:val="0"/>
        <w:autoSpaceDN w:val="0"/>
        <w:adjustRightInd w:val="0"/>
        <w:spacing w:line="240" w:lineRule="auto"/>
        <w:ind w:left="640" w:hanging="640"/>
        <w:rPr>
          <w:rFonts w:ascii="Times New Roman" w:hAnsi="Times New Roman" w:cs="Times New Roman"/>
          <w:noProof/>
          <w:szCs w:val="24"/>
        </w:rPr>
      </w:pPr>
      <w:r w:rsidRPr="00FA4747">
        <w:rPr>
          <w:rFonts w:ascii="Times New Roman" w:hAnsi="Times New Roman" w:cs="Times New Roman"/>
          <w:noProof/>
          <w:szCs w:val="24"/>
        </w:rPr>
        <w:t xml:space="preserve">19. </w:t>
      </w:r>
      <w:r w:rsidRPr="00FA4747">
        <w:rPr>
          <w:rFonts w:ascii="Times New Roman" w:hAnsi="Times New Roman" w:cs="Times New Roman"/>
          <w:noProof/>
          <w:szCs w:val="24"/>
        </w:rPr>
        <w:tab/>
        <w:t>Calvert MJ, Cruz Rivera S, Retzer A, Hughes SE, Campbell L, Molony-Oates B, et al. Patient reported outcome assessment must be inclusive and equitable. Nat Med. 2022</w:t>
      </w:r>
      <w:r>
        <w:rPr>
          <w:rFonts w:ascii="Times New Roman" w:hAnsi="Times New Roman" w:cs="Times New Roman"/>
          <w:noProof/>
          <w:szCs w:val="24"/>
        </w:rPr>
        <w:t>.</w:t>
      </w:r>
      <w:r w:rsidRPr="00FA4747">
        <w:rPr>
          <w:rFonts w:ascii="Times New Roman" w:hAnsi="Times New Roman" w:cs="Times New Roman"/>
          <w:noProof/>
          <w:szCs w:val="24"/>
        </w:rPr>
        <w:t xml:space="preserve"> </w:t>
      </w:r>
    </w:p>
    <w:p w14:paraId="717EFD05" w14:textId="493B4850" w:rsidR="00FA4747" w:rsidRPr="00FA4747" w:rsidRDefault="00FA4747" w:rsidP="00FA4747">
      <w:pPr>
        <w:widowControl w:val="0"/>
        <w:autoSpaceDE w:val="0"/>
        <w:autoSpaceDN w:val="0"/>
        <w:adjustRightInd w:val="0"/>
        <w:spacing w:line="240" w:lineRule="auto"/>
        <w:ind w:left="640" w:hanging="640"/>
        <w:rPr>
          <w:rFonts w:ascii="Times New Roman" w:hAnsi="Times New Roman" w:cs="Times New Roman"/>
          <w:noProof/>
          <w:szCs w:val="24"/>
        </w:rPr>
      </w:pPr>
      <w:r w:rsidRPr="00FA4747">
        <w:rPr>
          <w:rFonts w:ascii="Times New Roman" w:hAnsi="Times New Roman" w:cs="Times New Roman"/>
          <w:noProof/>
          <w:szCs w:val="24"/>
        </w:rPr>
        <w:t xml:space="preserve">20. </w:t>
      </w:r>
      <w:r w:rsidRPr="00FA4747">
        <w:rPr>
          <w:rFonts w:ascii="Times New Roman" w:hAnsi="Times New Roman" w:cs="Times New Roman"/>
          <w:noProof/>
          <w:szCs w:val="24"/>
        </w:rPr>
        <w:tab/>
        <w:t>FDA. Guidance for Industry; Patient-Reported Outcome Measures: Use in Medical Product Development to Support Labeling Claims. Clin Fed Regist. 2009</w:t>
      </w:r>
      <w:r>
        <w:rPr>
          <w:rFonts w:ascii="Times New Roman" w:hAnsi="Times New Roman" w:cs="Times New Roman"/>
          <w:noProof/>
          <w:szCs w:val="24"/>
        </w:rPr>
        <w:t>.</w:t>
      </w:r>
      <w:r w:rsidRPr="00FA4747">
        <w:rPr>
          <w:rFonts w:ascii="Times New Roman" w:hAnsi="Times New Roman" w:cs="Times New Roman"/>
          <w:noProof/>
          <w:szCs w:val="24"/>
        </w:rPr>
        <w:t xml:space="preserve"> </w:t>
      </w:r>
    </w:p>
    <w:p w14:paraId="2FBD8F9F" w14:textId="77777777" w:rsidR="00FA4747" w:rsidRPr="00FA4747" w:rsidRDefault="00FA4747" w:rsidP="00FA4747">
      <w:pPr>
        <w:widowControl w:val="0"/>
        <w:autoSpaceDE w:val="0"/>
        <w:autoSpaceDN w:val="0"/>
        <w:adjustRightInd w:val="0"/>
        <w:spacing w:line="240" w:lineRule="auto"/>
        <w:ind w:left="640" w:hanging="640"/>
        <w:rPr>
          <w:rFonts w:ascii="Times New Roman" w:hAnsi="Times New Roman" w:cs="Times New Roman"/>
          <w:noProof/>
          <w:szCs w:val="24"/>
        </w:rPr>
      </w:pPr>
      <w:r w:rsidRPr="00FA4747">
        <w:rPr>
          <w:rFonts w:ascii="Times New Roman" w:hAnsi="Times New Roman" w:cs="Times New Roman"/>
          <w:noProof/>
          <w:szCs w:val="24"/>
        </w:rPr>
        <w:t xml:space="preserve">21. </w:t>
      </w:r>
      <w:r w:rsidRPr="00FA4747">
        <w:rPr>
          <w:rFonts w:ascii="Times New Roman" w:hAnsi="Times New Roman" w:cs="Times New Roman"/>
          <w:noProof/>
          <w:szCs w:val="24"/>
        </w:rPr>
        <w:tab/>
        <w:t xml:space="preserve">Johnson C, Aaronson N, Blazeby JM, Bottomley A, Fayers P, Koller M, et al. EORTC Quality of Life Group Guidelines for Developing Questionnaire Modules. 2011;4th Ed.(April). </w:t>
      </w:r>
    </w:p>
    <w:p w14:paraId="163B8255" w14:textId="77777777" w:rsidR="00FA4747" w:rsidRPr="00FA4747" w:rsidRDefault="00FA4747" w:rsidP="00FA4747">
      <w:pPr>
        <w:widowControl w:val="0"/>
        <w:autoSpaceDE w:val="0"/>
        <w:autoSpaceDN w:val="0"/>
        <w:adjustRightInd w:val="0"/>
        <w:spacing w:line="240" w:lineRule="auto"/>
        <w:ind w:left="640" w:hanging="640"/>
        <w:rPr>
          <w:rFonts w:ascii="Times New Roman" w:hAnsi="Times New Roman" w:cs="Times New Roman"/>
          <w:noProof/>
          <w:szCs w:val="24"/>
        </w:rPr>
      </w:pPr>
      <w:r w:rsidRPr="00FA4747">
        <w:rPr>
          <w:rFonts w:ascii="Times New Roman" w:hAnsi="Times New Roman" w:cs="Times New Roman"/>
          <w:noProof/>
          <w:szCs w:val="24"/>
        </w:rPr>
        <w:t xml:space="preserve">22. </w:t>
      </w:r>
      <w:r w:rsidRPr="00FA4747">
        <w:rPr>
          <w:rFonts w:ascii="Times New Roman" w:hAnsi="Times New Roman" w:cs="Times New Roman"/>
          <w:noProof/>
          <w:szCs w:val="24"/>
        </w:rPr>
        <w:tab/>
        <w:t>Bjordal K, Bottomley A, Gilbert A, Martinelli F, Pe M, Sztankay M, et al. EORTC Quality of Life Group Module Development Guidelines [Internet]. 5th ed. Brussels, Belgium: EORTC; 2021. Available from: https://qol.eortc.org/manuals/</w:t>
      </w:r>
    </w:p>
    <w:p w14:paraId="0403B9DE" w14:textId="77777777" w:rsidR="00FA4747" w:rsidRPr="00FA4747" w:rsidRDefault="00FA4747" w:rsidP="00FA4747">
      <w:pPr>
        <w:widowControl w:val="0"/>
        <w:autoSpaceDE w:val="0"/>
        <w:autoSpaceDN w:val="0"/>
        <w:adjustRightInd w:val="0"/>
        <w:spacing w:line="240" w:lineRule="auto"/>
        <w:ind w:left="640" w:hanging="640"/>
        <w:rPr>
          <w:rFonts w:ascii="Times New Roman" w:hAnsi="Times New Roman" w:cs="Times New Roman"/>
          <w:noProof/>
          <w:szCs w:val="24"/>
        </w:rPr>
      </w:pPr>
      <w:r w:rsidRPr="00FA4747">
        <w:rPr>
          <w:rFonts w:ascii="Times New Roman" w:hAnsi="Times New Roman" w:cs="Times New Roman"/>
          <w:noProof/>
          <w:szCs w:val="24"/>
        </w:rPr>
        <w:t xml:space="preserve">23. </w:t>
      </w:r>
      <w:r w:rsidRPr="00FA4747">
        <w:rPr>
          <w:rFonts w:ascii="Times New Roman" w:hAnsi="Times New Roman" w:cs="Times New Roman"/>
          <w:noProof/>
          <w:szCs w:val="24"/>
        </w:rPr>
        <w:tab/>
        <w:t xml:space="preserve">Turner G, Aiyegbusi OL, Price G, Skrybant M, Calvert M. Moving beyond project-specific patient and public involvement in research. Journal of the Royal Society of Medicine. 2020. </w:t>
      </w:r>
    </w:p>
    <w:p w14:paraId="1DFE3BF6" w14:textId="025213D0" w:rsidR="00FA4747" w:rsidRPr="00FA4747" w:rsidRDefault="00FA4747" w:rsidP="00FA4747">
      <w:pPr>
        <w:widowControl w:val="0"/>
        <w:autoSpaceDE w:val="0"/>
        <w:autoSpaceDN w:val="0"/>
        <w:adjustRightInd w:val="0"/>
        <w:spacing w:line="240" w:lineRule="auto"/>
        <w:ind w:left="640" w:hanging="640"/>
        <w:rPr>
          <w:rFonts w:ascii="Times New Roman" w:hAnsi="Times New Roman" w:cs="Times New Roman"/>
          <w:noProof/>
          <w:szCs w:val="24"/>
        </w:rPr>
      </w:pPr>
      <w:r w:rsidRPr="00FA4747">
        <w:rPr>
          <w:rFonts w:ascii="Times New Roman" w:hAnsi="Times New Roman" w:cs="Times New Roman"/>
          <w:noProof/>
          <w:szCs w:val="24"/>
        </w:rPr>
        <w:t xml:space="preserve">24. </w:t>
      </w:r>
      <w:r w:rsidRPr="00FA4747">
        <w:rPr>
          <w:rFonts w:ascii="Times New Roman" w:hAnsi="Times New Roman" w:cs="Times New Roman"/>
          <w:noProof/>
          <w:szCs w:val="24"/>
        </w:rPr>
        <w:tab/>
        <w:t>Cruz Rivera S, Stephens R, Mercieca-Bebber R, Retzer A, Rutherford C, Price G, et al. “Give Us the Tools!”: development of knowledge transfer tools to support the involvement of patient partners in the development of clinical trial protocols with patient-reported outcomes (PROs), in accordance with SPIRIT-PRO Extension. BMJ Open. 2021</w:t>
      </w:r>
      <w:r>
        <w:rPr>
          <w:rFonts w:ascii="Times New Roman" w:hAnsi="Times New Roman" w:cs="Times New Roman"/>
          <w:noProof/>
          <w:szCs w:val="24"/>
        </w:rPr>
        <w:t>.</w:t>
      </w:r>
      <w:r w:rsidRPr="00FA4747">
        <w:rPr>
          <w:rFonts w:ascii="Times New Roman" w:hAnsi="Times New Roman" w:cs="Times New Roman"/>
          <w:noProof/>
          <w:szCs w:val="24"/>
        </w:rPr>
        <w:t xml:space="preserve"> </w:t>
      </w:r>
    </w:p>
    <w:p w14:paraId="3D4F1CB1" w14:textId="21CEB183" w:rsidR="00FA4747" w:rsidRPr="00FA4747" w:rsidRDefault="00FA4747" w:rsidP="00FA4747">
      <w:pPr>
        <w:widowControl w:val="0"/>
        <w:autoSpaceDE w:val="0"/>
        <w:autoSpaceDN w:val="0"/>
        <w:adjustRightInd w:val="0"/>
        <w:spacing w:line="240" w:lineRule="auto"/>
        <w:ind w:left="640" w:hanging="640"/>
        <w:rPr>
          <w:rFonts w:ascii="Times New Roman" w:hAnsi="Times New Roman" w:cs="Times New Roman"/>
          <w:noProof/>
          <w:szCs w:val="24"/>
        </w:rPr>
      </w:pPr>
      <w:r w:rsidRPr="00FA4747">
        <w:rPr>
          <w:rFonts w:ascii="Times New Roman" w:hAnsi="Times New Roman" w:cs="Times New Roman"/>
          <w:noProof/>
          <w:szCs w:val="24"/>
        </w:rPr>
        <w:t xml:space="preserve">25. </w:t>
      </w:r>
      <w:r w:rsidRPr="00FA4747">
        <w:rPr>
          <w:rFonts w:ascii="Times New Roman" w:hAnsi="Times New Roman" w:cs="Times New Roman"/>
          <w:noProof/>
          <w:szCs w:val="24"/>
        </w:rPr>
        <w:tab/>
        <w:t>Haywood K, Lyddiatt A, Brace-McDonnell SJ, Staniszewska S, Salek S. Establishing the values for patient engagement (PE) in health-related quality of life (HRQoL) research: an international, multiple-stakeholder perspective. Qual Life Res. 2017</w:t>
      </w:r>
      <w:r>
        <w:rPr>
          <w:rFonts w:ascii="Times New Roman" w:hAnsi="Times New Roman" w:cs="Times New Roman"/>
          <w:noProof/>
          <w:szCs w:val="24"/>
        </w:rPr>
        <w:t>.</w:t>
      </w:r>
      <w:r w:rsidRPr="00FA4747">
        <w:rPr>
          <w:rFonts w:ascii="Times New Roman" w:hAnsi="Times New Roman" w:cs="Times New Roman"/>
          <w:noProof/>
          <w:szCs w:val="24"/>
        </w:rPr>
        <w:t xml:space="preserve"> </w:t>
      </w:r>
    </w:p>
    <w:p w14:paraId="1F0C815A" w14:textId="77777777" w:rsidR="00FA4747" w:rsidRPr="00FA4747" w:rsidRDefault="00FA4747" w:rsidP="00FA4747">
      <w:pPr>
        <w:widowControl w:val="0"/>
        <w:autoSpaceDE w:val="0"/>
        <w:autoSpaceDN w:val="0"/>
        <w:adjustRightInd w:val="0"/>
        <w:spacing w:line="240" w:lineRule="auto"/>
        <w:ind w:left="640" w:hanging="640"/>
        <w:rPr>
          <w:rFonts w:ascii="Times New Roman" w:hAnsi="Times New Roman" w:cs="Times New Roman"/>
          <w:noProof/>
          <w:szCs w:val="24"/>
        </w:rPr>
      </w:pPr>
      <w:r w:rsidRPr="00FA4747">
        <w:rPr>
          <w:rFonts w:ascii="Times New Roman" w:hAnsi="Times New Roman" w:cs="Times New Roman"/>
          <w:noProof/>
          <w:szCs w:val="24"/>
        </w:rPr>
        <w:t xml:space="preserve">26. </w:t>
      </w:r>
      <w:r w:rsidRPr="00FA4747">
        <w:rPr>
          <w:rFonts w:ascii="Times New Roman" w:hAnsi="Times New Roman" w:cs="Times New Roman"/>
          <w:noProof/>
          <w:szCs w:val="24"/>
        </w:rPr>
        <w:tab/>
        <w:t>FDA. CDER Patient-Focused Drug Development [Internet]. [cited 2021 Dec 2]. Available from: https://www.fda.gov/drugs/development-approval-process-drugs/cder-patient-focused-drug-development</w:t>
      </w:r>
    </w:p>
    <w:p w14:paraId="3DCB2560" w14:textId="77777777" w:rsidR="00FA4747" w:rsidRPr="00FA4747" w:rsidRDefault="00FA4747" w:rsidP="00FA4747">
      <w:pPr>
        <w:widowControl w:val="0"/>
        <w:autoSpaceDE w:val="0"/>
        <w:autoSpaceDN w:val="0"/>
        <w:adjustRightInd w:val="0"/>
        <w:spacing w:line="240" w:lineRule="auto"/>
        <w:ind w:left="640" w:hanging="640"/>
        <w:rPr>
          <w:rFonts w:ascii="Times New Roman" w:hAnsi="Times New Roman" w:cs="Times New Roman"/>
          <w:noProof/>
          <w:szCs w:val="24"/>
        </w:rPr>
      </w:pPr>
      <w:r w:rsidRPr="00FA4747">
        <w:rPr>
          <w:rFonts w:ascii="Times New Roman" w:hAnsi="Times New Roman" w:cs="Times New Roman"/>
          <w:noProof/>
          <w:szCs w:val="24"/>
        </w:rPr>
        <w:t xml:space="preserve">27. </w:t>
      </w:r>
      <w:r w:rsidRPr="00FA4747">
        <w:rPr>
          <w:rFonts w:ascii="Times New Roman" w:hAnsi="Times New Roman" w:cs="Times New Roman"/>
          <w:noProof/>
          <w:szCs w:val="24"/>
        </w:rPr>
        <w:tab/>
        <w:t>FDA. FDA-led Patient-Focused Drug Development (PFDD) Public Meetings [Internet]. [cited 2021 Dec 2]. Available from: https://www.fda.gov/industry/prescription-drug-user-fee-amendments/fda-led-patient-focused-drug-development-pfdd-public-meetings</w:t>
      </w:r>
    </w:p>
    <w:p w14:paraId="356598E3" w14:textId="77777777" w:rsidR="00FA4747" w:rsidRPr="00FA4747" w:rsidRDefault="00FA4747" w:rsidP="00FA4747">
      <w:pPr>
        <w:widowControl w:val="0"/>
        <w:autoSpaceDE w:val="0"/>
        <w:autoSpaceDN w:val="0"/>
        <w:adjustRightInd w:val="0"/>
        <w:spacing w:line="240" w:lineRule="auto"/>
        <w:ind w:left="640" w:hanging="640"/>
        <w:rPr>
          <w:rFonts w:ascii="Times New Roman" w:hAnsi="Times New Roman" w:cs="Times New Roman"/>
          <w:noProof/>
          <w:szCs w:val="24"/>
        </w:rPr>
      </w:pPr>
      <w:r w:rsidRPr="00FA4747">
        <w:rPr>
          <w:rFonts w:ascii="Times New Roman" w:hAnsi="Times New Roman" w:cs="Times New Roman"/>
          <w:noProof/>
          <w:szCs w:val="24"/>
        </w:rPr>
        <w:t xml:space="preserve">28. </w:t>
      </w:r>
      <w:r w:rsidRPr="00FA4747">
        <w:rPr>
          <w:rFonts w:ascii="Times New Roman" w:hAnsi="Times New Roman" w:cs="Times New Roman"/>
          <w:noProof/>
          <w:szCs w:val="24"/>
        </w:rPr>
        <w:tab/>
        <w:t>European Medicines Agency &amp; Committee for Human Medicinal Products. ICH guideline E8 (R1) on general considerations for clinical studies. Ema/Chmp/Ich/544570/1998 [Internet]. 2019;8(October 2021):1–25. Available from: https://www.ema.europa.eu/en/documents/scientific-guideline/ich-e-8-general-considerations-clinical-trials-step-5_en.pdf</w:t>
      </w:r>
    </w:p>
    <w:p w14:paraId="15A6FB1C" w14:textId="77777777" w:rsidR="00FA4747" w:rsidRPr="00FA4747" w:rsidRDefault="00FA4747" w:rsidP="00FA4747">
      <w:pPr>
        <w:widowControl w:val="0"/>
        <w:autoSpaceDE w:val="0"/>
        <w:autoSpaceDN w:val="0"/>
        <w:adjustRightInd w:val="0"/>
        <w:spacing w:line="240" w:lineRule="auto"/>
        <w:ind w:left="640" w:hanging="640"/>
        <w:rPr>
          <w:rFonts w:ascii="Times New Roman" w:hAnsi="Times New Roman" w:cs="Times New Roman"/>
          <w:noProof/>
          <w:szCs w:val="24"/>
        </w:rPr>
      </w:pPr>
      <w:r w:rsidRPr="0040642D">
        <w:rPr>
          <w:rFonts w:ascii="Times New Roman" w:hAnsi="Times New Roman" w:cs="Times New Roman"/>
          <w:noProof/>
          <w:szCs w:val="24"/>
          <w:lang w:val="fr-BE"/>
        </w:rPr>
        <w:t xml:space="preserve">29. </w:t>
      </w:r>
      <w:r w:rsidRPr="0040642D">
        <w:rPr>
          <w:rFonts w:ascii="Times New Roman" w:hAnsi="Times New Roman" w:cs="Times New Roman"/>
          <w:noProof/>
          <w:szCs w:val="24"/>
          <w:lang w:val="fr-BE"/>
        </w:rPr>
        <w:tab/>
        <w:t xml:space="preserve">FDA. FDA Project Patient Voice [Internet]. </w:t>
      </w:r>
      <w:r w:rsidRPr="00FA4747">
        <w:rPr>
          <w:rFonts w:ascii="Times New Roman" w:hAnsi="Times New Roman" w:cs="Times New Roman"/>
          <w:noProof/>
          <w:szCs w:val="24"/>
        </w:rPr>
        <w:t>Available from: https://www.fda.gov/about-fda/oncology-center-excellence/project-patient-voice</w:t>
      </w:r>
    </w:p>
    <w:p w14:paraId="41FC0EF4" w14:textId="77777777" w:rsidR="00FA4747" w:rsidRPr="00FA4747" w:rsidRDefault="00FA4747" w:rsidP="00FA4747">
      <w:pPr>
        <w:widowControl w:val="0"/>
        <w:autoSpaceDE w:val="0"/>
        <w:autoSpaceDN w:val="0"/>
        <w:adjustRightInd w:val="0"/>
        <w:spacing w:line="240" w:lineRule="auto"/>
        <w:ind w:left="640" w:hanging="640"/>
        <w:rPr>
          <w:rFonts w:ascii="Times New Roman" w:hAnsi="Times New Roman" w:cs="Times New Roman"/>
          <w:noProof/>
          <w:szCs w:val="24"/>
        </w:rPr>
      </w:pPr>
      <w:r w:rsidRPr="00FA4747">
        <w:rPr>
          <w:rFonts w:ascii="Times New Roman" w:hAnsi="Times New Roman" w:cs="Times New Roman"/>
          <w:noProof/>
          <w:szCs w:val="24"/>
        </w:rPr>
        <w:t xml:space="preserve">30. </w:t>
      </w:r>
      <w:r w:rsidRPr="00FA4747">
        <w:rPr>
          <w:rFonts w:ascii="Times New Roman" w:hAnsi="Times New Roman" w:cs="Times New Roman"/>
          <w:noProof/>
          <w:szCs w:val="24"/>
        </w:rPr>
        <w:tab/>
        <w:t xml:space="preserve">Retzer A, Aiyegbusi OL, Rowe A, Newsome PN, Douglas-Pugh J, Khan S, et al. The value of patient-reported outcomes in early-phase clinical trials. Nature Medicine. 2022. </w:t>
      </w:r>
    </w:p>
    <w:p w14:paraId="7DD67FCD" w14:textId="77777777" w:rsidR="00FA4747" w:rsidRPr="00FA4747" w:rsidRDefault="00FA4747" w:rsidP="00FA4747">
      <w:pPr>
        <w:widowControl w:val="0"/>
        <w:autoSpaceDE w:val="0"/>
        <w:autoSpaceDN w:val="0"/>
        <w:adjustRightInd w:val="0"/>
        <w:spacing w:line="240" w:lineRule="auto"/>
        <w:ind w:left="640" w:hanging="640"/>
        <w:rPr>
          <w:rFonts w:ascii="Times New Roman" w:hAnsi="Times New Roman" w:cs="Times New Roman"/>
          <w:noProof/>
          <w:szCs w:val="24"/>
        </w:rPr>
      </w:pPr>
      <w:r w:rsidRPr="00FA4747">
        <w:rPr>
          <w:rFonts w:ascii="Times New Roman" w:hAnsi="Times New Roman" w:cs="Times New Roman"/>
          <w:noProof/>
          <w:szCs w:val="24"/>
        </w:rPr>
        <w:t xml:space="preserve">31. </w:t>
      </w:r>
      <w:r w:rsidRPr="00FA4747">
        <w:rPr>
          <w:rFonts w:ascii="Times New Roman" w:hAnsi="Times New Roman" w:cs="Times New Roman"/>
          <w:noProof/>
          <w:szCs w:val="24"/>
        </w:rPr>
        <w:tab/>
        <w:t xml:space="preserve">Trask PC, Dueck AC, Piault E, Campbell A. Patient-Reported Outcomes version of the Common Terminology Criteria for Adverse Events: Methods for item selection in industry-sponsored oncology clinical trials. Clin Trials. 2018;15(6):616–23. </w:t>
      </w:r>
    </w:p>
    <w:p w14:paraId="28F1E185" w14:textId="117CA2BF" w:rsidR="00FA4747" w:rsidRPr="00FA4747" w:rsidRDefault="00FA4747" w:rsidP="00FA4747">
      <w:pPr>
        <w:widowControl w:val="0"/>
        <w:autoSpaceDE w:val="0"/>
        <w:autoSpaceDN w:val="0"/>
        <w:adjustRightInd w:val="0"/>
        <w:spacing w:line="240" w:lineRule="auto"/>
        <w:ind w:left="640" w:hanging="640"/>
        <w:rPr>
          <w:rFonts w:ascii="Times New Roman" w:hAnsi="Times New Roman" w:cs="Times New Roman"/>
          <w:noProof/>
          <w:szCs w:val="24"/>
        </w:rPr>
      </w:pPr>
      <w:r w:rsidRPr="00FA4747">
        <w:rPr>
          <w:rFonts w:ascii="Times New Roman" w:hAnsi="Times New Roman" w:cs="Times New Roman"/>
          <w:noProof/>
          <w:szCs w:val="24"/>
        </w:rPr>
        <w:t xml:space="preserve">32. </w:t>
      </w:r>
      <w:r w:rsidRPr="00FA4747">
        <w:rPr>
          <w:rFonts w:ascii="Times New Roman" w:hAnsi="Times New Roman" w:cs="Times New Roman"/>
          <w:noProof/>
          <w:szCs w:val="24"/>
        </w:rPr>
        <w:tab/>
        <w:t>Shepshelovich D, McDonald K, Spreafico A, Razak ARA, Bedard PL, Siu LL, et al. Feasibility Assessment of Using the Complete Patient‐Reported Outcomes Version of the Common Terminology Criteria for Adverse Events (PRO‐CTCAE) Item Library. Oncologist. 2019</w:t>
      </w:r>
      <w:r>
        <w:rPr>
          <w:rFonts w:ascii="Times New Roman" w:hAnsi="Times New Roman" w:cs="Times New Roman"/>
          <w:noProof/>
          <w:szCs w:val="24"/>
        </w:rPr>
        <w:t>.</w:t>
      </w:r>
    </w:p>
    <w:p w14:paraId="62658381" w14:textId="77777777" w:rsidR="00FA4747" w:rsidRPr="00FA4747" w:rsidRDefault="00FA4747" w:rsidP="00FA4747">
      <w:pPr>
        <w:widowControl w:val="0"/>
        <w:autoSpaceDE w:val="0"/>
        <w:autoSpaceDN w:val="0"/>
        <w:adjustRightInd w:val="0"/>
        <w:spacing w:line="240" w:lineRule="auto"/>
        <w:ind w:left="640" w:hanging="640"/>
        <w:rPr>
          <w:rFonts w:ascii="Times New Roman" w:hAnsi="Times New Roman" w:cs="Times New Roman"/>
          <w:noProof/>
          <w:szCs w:val="24"/>
        </w:rPr>
      </w:pPr>
      <w:r w:rsidRPr="00FA4747">
        <w:rPr>
          <w:rFonts w:ascii="Times New Roman" w:hAnsi="Times New Roman" w:cs="Times New Roman"/>
          <w:noProof/>
          <w:szCs w:val="24"/>
        </w:rPr>
        <w:lastRenderedPageBreak/>
        <w:t xml:space="preserve">33. </w:t>
      </w:r>
      <w:r w:rsidRPr="00FA4747">
        <w:rPr>
          <w:rFonts w:ascii="Times New Roman" w:hAnsi="Times New Roman" w:cs="Times New Roman"/>
          <w:noProof/>
          <w:szCs w:val="24"/>
        </w:rPr>
        <w:tab/>
        <w:t>FDA. Core Patient-Reported Outcomes in Cancer Clinical Trials Guidance for Industry DRAFT GUIDANCE. 2021;(June 2021). Available from: https://www.fda.gov/regulatory-information/search-fda-guidance-documents/core-patient-reported-outcomes-cancer-clinical-trials</w:t>
      </w:r>
    </w:p>
    <w:p w14:paraId="6B72E40C" w14:textId="77777777" w:rsidR="00FA4747" w:rsidRPr="00FA4747" w:rsidRDefault="00FA4747" w:rsidP="00FA4747">
      <w:pPr>
        <w:widowControl w:val="0"/>
        <w:autoSpaceDE w:val="0"/>
        <w:autoSpaceDN w:val="0"/>
        <w:adjustRightInd w:val="0"/>
        <w:spacing w:line="240" w:lineRule="auto"/>
        <w:ind w:left="640" w:hanging="640"/>
        <w:rPr>
          <w:rFonts w:ascii="Times New Roman" w:hAnsi="Times New Roman" w:cs="Times New Roman"/>
          <w:noProof/>
          <w:szCs w:val="24"/>
        </w:rPr>
      </w:pPr>
      <w:r w:rsidRPr="00FA4747">
        <w:rPr>
          <w:rFonts w:ascii="Times New Roman" w:hAnsi="Times New Roman" w:cs="Times New Roman"/>
          <w:noProof/>
          <w:szCs w:val="24"/>
        </w:rPr>
        <w:t xml:space="preserve">34. </w:t>
      </w:r>
      <w:r w:rsidRPr="00FA4747">
        <w:rPr>
          <w:rFonts w:ascii="Times New Roman" w:hAnsi="Times New Roman" w:cs="Times New Roman"/>
          <w:noProof/>
          <w:szCs w:val="24"/>
        </w:rPr>
        <w:tab/>
        <w:t>European Medicines Agency Committee for Medicinal Products for Human Use (CHMP). Appendix 2 to the guideline on the evaluation of anticancer medicinal products in man: The use of patient-reported outcome (PRO) measures in oncology studies [Internet]. 2016 [cited 2021 Nov 4]. Available from: https://www.ema.europa.eu/en/documents/other/appendix-2-guideline-evaluation-anticancer-medicinal-products-man_en.pdf</w:t>
      </w:r>
    </w:p>
    <w:p w14:paraId="31A387B0" w14:textId="757C2DAF" w:rsidR="00FA4747" w:rsidRPr="00FA4747" w:rsidRDefault="00FA4747" w:rsidP="00FA4747">
      <w:pPr>
        <w:widowControl w:val="0"/>
        <w:autoSpaceDE w:val="0"/>
        <w:autoSpaceDN w:val="0"/>
        <w:adjustRightInd w:val="0"/>
        <w:spacing w:line="240" w:lineRule="auto"/>
        <w:ind w:left="640" w:hanging="640"/>
        <w:rPr>
          <w:rFonts w:ascii="Times New Roman" w:hAnsi="Times New Roman" w:cs="Times New Roman"/>
          <w:noProof/>
          <w:szCs w:val="24"/>
        </w:rPr>
      </w:pPr>
      <w:r w:rsidRPr="00FA4747">
        <w:rPr>
          <w:rFonts w:ascii="Times New Roman" w:hAnsi="Times New Roman" w:cs="Times New Roman"/>
          <w:noProof/>
          <w:szCs w:val="24"/>
        </w:rPr>
        <w:t xml:space="preserve">35. </w:t>
      </w:r>
      <w:r w:rsidRPr="00FA4747">
        <w:rPr>
          <w:rFonts w:ascii="Times New Roman" w:hAnsi="Times New Roman" w:cs="Times New Roman"/>
          <w:noProof/>
          <w:szCs w:val="24"/>
        </w:rPr>
        <w:tab/>
        <w:t>Diamantopoulos A, Sarstedt M, Fuchs C, Wilczynski P, Kaiser S. Guidelines for choosing between multi-item and single-item scales for construct measurement: A predictive validity perspective. J Acad Mark Sci. 2012</w:t>
      </w:r>
      <w:r>
        <w:rPr>
          <w:rFonts w:ascii="Times New Roman" w:hAnsi="Times New Roman" w:cs="Times New Roman"/>
          <w:noProof/>
          <w:szCs w:val="24"/>
        </w:rPr>
        <w:t>.</w:t>
      </w:r>
      <w:r w:rsidRPr="00FA4747">
        <w:rPr>
          <w:rFonts w:ascii="Times New Roman" w:hAnsi="Times New Roman" w:cs="Times New Roman"/>
          <w:noProof/>
          <w:szCs w:val="24"/>
        </w:rPr>
        <w:t xml:space="preserve"> </w:t>
      </w:r>
    </w:p>
    <w:p w14:paraId="699930FE" w14:textId="77777777" w:rsidR="00FA4747" w:rsidRPr="00FA4747" w:rsidRDefault="00FA4747" w:rsidP="00FA4747">
      <w:pPr>
        <w:widowControl w:val="0"/>
        <w:autoSpaceDE w:val="0"/>
        <w:autoSpaceDN w:val="0"/>
        <w:adjustRightInd w:val="0"/>
        <w:spacing w:line="240" w:lineRule="auto"/>
        <w:ind w:left="640" w:hanging="640"/>
        <w:rPr>
          <w:rFonts w:ascii="Times New Roman" w:hAnsi="Times New Roman" w:cs="Times New Roman"/>
          <w:noProof/>
          <w:szCs w:val="24"/>
        </w:rPr>
      </w:pPr>
      <w:r w:rsidRPr="00FA4747">
        <w:rPr>
          <w:rFonts w:ascii="Times New Roman" w:hAnsi="Times New Roman" w:cs="Times New Roman"/>
          <w:noProof/>
          <w:szCs w:val="24"/>
        </w:rPr>
        <w:t xml:space="preserve">36. </w:t>
      </w:r>
      <w:r w:rsidRPr="00FA4747">
        <w:rPr>
          <w:rFonts w:ascii="Times New Roman" w:hAnsi="Times New Roman" w:cs="Times New Roman"/>
          <w:noProof/>
          <w:szCs w:val="24"/>
        </w:rPr>
        <w:tab/>
        <w:t xml:space="preserve">Boateng GO, Neilands TB, Frongillo EA, Melgar-Quiñonez HR, Young SL. Best Practices for Developing and Validating Scales for Health, Social, and Behavioral Research: A Primer. Frontiers in Public Health. 2018. </w:t>
      </w:r>
    </w:p>
    <w:p w14:paraId="34F97A1C" w14:textId="77777777" w:rsidR="00FA4747" w:rsidRPr="00FA4747" w:rsidRDefault="00FA4747" w:rsidP="00FA4747">
      <w:pPr>
        <w:widowControl w:val="0"/>
        <w:autoSpaceDE w:val="0"/>
        <w:autoSpaceDN w:val="0"/>
        <w:adjustRightInd w:val="0"/>
        <w:spacing w:line="240" w:lineRule="auto"/>
        <w:ind w:left="640" w:hanging="640"/>
        <w:rPr>
          <w:rFonts w:ascii="Times New Roman" w:hAnsi="Times New Roman" w:cs="Times New Roman"/>
          <w:noProof/>
          <w:szCs w:val="24"/>
        </w:rPr>
      </w:pPr>
      <w:r w:rsidRPr="00FA4747">
        <w:rPr>
          <w:rFonts w:ascii="Times New Roman" w:hAnsi="Times New Roman" w:cs="Times New Roman"/>
          <w:noProof/>
          <w:szCs w:val="24"/>
        </w:rPr>
        <w:t xml:space="preserve">37. </w:t>
      </w:r>
      <w:r w:rsidRPr="00FA4747">
        <w:rPr>
          <w:rFonts w:ascii="Times New Roman" w:hAnsi="Times New Roman" w:cs="Times New Roman"/>
          <w:noProof/>
          <w:szCs w:val="24"/>
        </w:rPr>
        <w:tab/>
        <w:t xml:space="preserve">Fayers PM, Machin D. Quality of Life: The Assessment, Analysis and Interpretation of Patient-reported Outcomes. 3rd Ed. John Wiley &amp; Sons; 2016. </w:t>
      </w:r>
    </w:p>
    <w:p w14:paraId="61CE44FC" w14:textId="37F18A89" w:rsidR="00FA4747" w:rsidRPr="00FA4747" w:rsidRDefault="00FA4747" w:rsidP="00FA4747">
      <w:pPr>
        <w:widowControl w:val="0"/>
        <w:autoSpaceDE w:val="0"/>
        <w:autoSpaceDN w:val="0"/>
        <w:adjustRightInd w:val="0"/>
        <w:spacing w:line="240" w:lineRule="auto"/>
        <w:ind w:left="640" w:hanging="640"/>
        <w:rPr>
          <w:rFonts w:ascii="Times New Roman" w:hAnsi="Times New Roman" w:cs="Times New Roman"/>
          <w:noProof/>
          <w:szCs w:val="24"/>
        </w:rPr>
      </w:pPr>
      <w:r w:rsidRPr="00FA4747">
        <w:rPr>
          <w:rFonts w:ascii="Times New Roman" w:hAnsi="Times New Roman" w:cs="Times New Roman"/>
          <w:noProof/>
          <w:szCs w:val="24"/>
        </w:rPr>
        <w:t xml:space="preserve">38. </w:t>
      </w:r>
      <w:r w:rsidRPr="00FA4747">
        <w:rPr>
          <w:rFonts w:ascii="Times New Roman" w:hAnsi="Times New Roman" w:cs="Times New Roman"/>
          <w:noProof/>
          <w:szCs w:val="24"/>
        </w:rPr>
        <w:tab/>
        <w:t>Piccinin C, Kulis D, Bottomley A, Bjordal K, Coens C, Darlington AS, et al. PCN296 Development of scientific guidelines for use of the EORTC Item Library in cancer clinical trials. Value Heal. 2019</w:t>
      </w:r>
      <w:r>
        <w:rPr>
          <w:rFonts w:ascii="Times New Roman" w:hAnsi="Times New Roman" w:cs="Times New Roman"/>
          <w:noProof/>
          <w:szCs w:val="24"/>
        </w:rPr>
        <w:t>.</w:t>
      </w:r>
      <w:r w:rsidRPr="00FA4747">
        <w:rPr>
          <w:rFonts w:ascii="Times New Roman" w:hAnsi="Times New Roman" w:cs="Times New Roman"/>
          <w:noProof/>
          <w:szCs w:val="24"/>
        </w:rPr>
        <w:t xml:space="preserve"> </w:t>
      </w:r>
    </w:p>
    <w:p w14:paraId="413955F5" w14:textId="77777777" w:rsidR="00FA4747" w:rsidRPr="00FA4747" w:rsidRDefault="00FA4747" w:rsidP="00FA4747">
      <w:pPr>
        <w:widowControl w:val="0"/>
        <w:autoSpaceDE w:val="0"/>
        <w:autoSpaceDN w:val="0"/>
        <w:adjustRightInd w:val="0"/>
        <w:spacing w:line="240" w:lineRule="auto"/>
        <w:ind w:left="640" w:hanging="640"/>
        <w:rPr>
          <w:rFonts w:ascii="Times New Roman" w:hAnsi="Times New Roman" w:cs="Times New Roman"/>
          <w:noProof/>
          <w:szCs w:val="24"/>
        </w:rPr>
      </w:pPr>
      <w:r w:rsidRPr="00FA4747">
        <w:rPr>
          <w:rFonts w:ascii="Times New Roman" w:hAnsi="Times New Roman" w:cs="Times New Roman"/>
          <w:noProof/>
          <w:szCs w:val="24"/>
        </w:rPr>
        <w:t xml:space="preserve">39. </w:t>
      </w:r>
      <w:r w:rsidRPr="00FA4747">
        <w:rPr>
          <w:rFonts w:ascii="Times New Roman" w:hAnsi="Times New Roman" w:cs="Times New Roman"/>
          <w:noProof/>
          <w:szCs w:val="24"/>
        </w:rPr>
        <w:tab/>
        <w:t xml:space="preserve">Piccinin C, Kuliś D, Bottomley A, Bjordal K, Coens C, Darlington AS, et al. EORTC Quality of Life Group Item Library User Guidelines. 1st Ed. Brussels: EORTC; 2022. </w:t>
      </w:r>
    </w:p>
    <w:p w14:paraId="4FA36CBF" w14:textId="485C7C44" w:rsidR="00FA4747" w:rsidRPr="00FA4747" w:rsidRDefault="00FA4747" w:rsidP="00FA4747">
      <w:pPr>
        <w:widowControl w:val="0"/>
        <w:autoSpaceDE w:val="0"/>
        <w:autoSpaceDN w:val="0"/>
        <w:adjustRightInd w:val="0"/>
        <w:spacing w:line="240" w:lineRule="auto"/>
        <w:ind w:left="640" w:hanging="640"/>
        <w:rPr>
          <w:rFonts w:ascii="Times New Roman" w:hAnsi="Times New Roman" w:cs="Times New Roman"/>
          <w:noProof/>
          <w:szCs w:val="24"/>
        </w:rPr>
      </w:pPr>
      <w:r w:rsidRPr="00FA4747">
        <w:rPr>
          <w:rFonts w:ascii="Times New Roman" w:hAnsi="Times New Roman" w:cs="Times New Roman"/>
          <w:noProof/>
          <w:szCs w:val="24"/>
        </w:rPr>
        <w:t xml:space="preserve">40. </w:t>
      </w:r>
      <w:r w:rsidRPr="00FA4747">
        <w:rPr>
          <w:rFonts w:ascii="Times New Roman" w:hAnsi="Times New Roman" w:cs="Times New Roman"/>
          <w:noProof/>
          <w:szCs w:val="24"/>
        </w:rPr>
        <w:tab/>
        <w:t>Kluetz PG, Slagle A, Papadopoulos EJ, Johnson LL, Donoghue M, Kwitkowski VE, et al. Focusing on core patient-reported outcomes in cancer clinical trials: Symptomatic adverse events, physical function, and disease-related symptoms. Clin Cancer Res. 2016</w:t>
      </w:r>
      <w:r>
        <w:rPr>
          <w:rFonts w:ascii="Times New Roman" w:hAnsi="Times New Roman" w:cs="Times New Roman"/>
          <w:noProof/>
          <w:szCs w:val="24"/>
        </w:rPr>
        <w:t>.</w:t>
      </w:r>
      <w:r w:rsidRPr="00FA4747">
        <w:rPr>
          <w:rFonts w:ascii="Times New Roman" w:hAnsi="Times New Roman" w:cs="Times New Roman"/>
          <w:noProof/>
          <w:szCs w:val="24"/>
        </w:rPr>
        <w:t xml:space="preserve"> </w:t>
      </w:r>
    </w:p>
    <w:p w14:paraId="4B8FC5EF" w14:textId="77777777" w:rsidR="00FA4747" w:rsidRPr="00FA4747" w:rsidRDefault="00FA4747" w:rsidP="00FA4747">
      <w:pPr>
        <w:widowControl w:val="0"/>
        <w:autoSpaceDE w:val="0"/>
        <w:autoSpaceDN w:val="0"/>
        <w:adjustRightInd w:val="0"/>
        <w:spacing w:line="240" w:lineRule="auto"/>
        <w:ind w:left="640" w:hanging="640"/>
        <w:rPr>
          <w:rFonts w:ascii="Times New Roman" w:hAnsi="Times New Roman" w:cs="Times New Roman"/>
          <w:noProof/>
          <w:szCs w:val="24"/>
        </w:rPr>
      </w:pPr>
      <w:r w:rsidRPr="00FA4747">
        <w:rPr>
          <w:rFonts w:ascii="Times New Roman" w:hAnsi="Times New Roman" w:cs="Times New Roman"/>
          <w:noProof/>
          <w:szCs w:val="24"/>
        </w:rPr>
        <w:t xml:space="preserve">41. </w:t>
      </w:r>
      <w:r w:rsidRPr="00FA4747">
        <w:rPr>
          <w:rFonts w:ascii="Times New Roman" w:hAnsi="Times New Roman" w:cs="Times New Roman"/>
          <w:noProof/>
          <w:szCs w:val="24"/>
        </w:rPr>
        <w:tab/>
        <w:t xml:space="preserve">Kluetz PG, Papadopoulos EJ, Johnson LL, Donoghue M, Kwitkowski VE, Chen WH, et al. Focusing on core patient-reported outcomes in cancer clinical trials - Response. Clinical Cancer Research. 2016. </w:t>
      </w:r>
    </w:p>
    <w:p w14:paraId="65A946E7" w14:textId="77777777" w:rsidR="00FA4747" w:rsidRPr="00FA4747" w:rsidRDefault="00FA4747" w:rsidP="00FA4747">
      <w:pPr>
        <w:widowControl w:val="0"/>
        <w:autoSpaceDE w:val="0"/>
        <w:autoSpaceDN w:val="0"/>
        <w:adjustRightInd w:val="0"/>
        <w:spacing w:line="240" w:lineRule="auto"/>
        <w:ind w:left="640" w:hanging="640"/>
        <w:rPr>
          <w:rFonts w:ascii="Times New Roman" w:hAnsi="Times New Roman" w:cs="Times New Roman"/>
          <w:noProof/>
          <w:szCs w:val="24"/>
        </w:rPr>
      </w:pPr>
      <w:r w:rsidRPr="00FA4747">
        <w:rPr>
          <w:rFonts w:ascii="Times New Roman" w:hAnsi="Times New Roman" w:cs="Times New Roman"/>
          <w:noProof/>
          <w:szCs w:val="24"/>
        </w:rPr>
        <w:t xml:space="preserve">42. </w:t>
      </w:r>
      <w:r w:rsidRPr="00FA4747">
        <w:rPr>
          <w:rFonts w:ascii="Times New Roman" w:hAnsi="Times New Roman" w:cs="Times New Roman"/>
          <w:noProof/>
          <w:szCs w:val="24"/>
        </w:rPr>
        <w:tab/>
        <w:t xml:space="preserve">Terwee CB, Prinsen CAC, Chiarotto A, Westerman MJ, Patrick DL, Alonso J, et al. COSMIN methodology for evaluating the content validity of patient-reported outcome measures: a Delphi study. Quality of Life Research. 2018. </w:t>
      </w:r>
    </w:p>
    <w:p w14:paraId="2A11E708" w14:textId="77777777" w:rsidR="00FA4747" w:rsidRPr="00FA4747" w:rsidRDefault="00FA4747" w:rsidP="00FA4747">
      <w:pPr>
        <w:widowControl w:val="0"/>
        <w:autoSpaceDE w:val="0"/>
        <w:autoSpaceDN w:val="0"/>
        <w:adjustRightInd w:val="0"/>
        <w:spacing w:line="240" w:lineRule="auto"/>
        <w:ind w:left="640" w:hanging="640"/>
        <w:rPr>
          <w:rFonts w:ascii="Times New Roman" w:hAnsi="Times New Roman" w:cs="Times New Roman"/>
          <w:noProof/>
          <w:szCs w:val="24"/>
        </w:rPr>
      </w:pPr>
      <w:r w:rsidRPr="00FA4747">
        <w:rPr>
          <w:rFonts w:ascii="Times New Roman" w:hAnsi="Times New Roman" w:cs="Times New Roman"/>
          <w:noProof/>
          <w:szCs w:val="24"/>
        </w:rPr>
        <w:t xml:space="preserve">43. </w:t>
      </w:r>
      <w:r w:rsidRPr="00FA4747">
        <w:rPr>
          <w:rFonts w:ascii="Times New Roman" w:hAnsi="Times New Roman" w:cs="Times New Roman"/>
          <w:noProof/>
          <w:szCs w:val="24"/>
        </w:rPr>
        <w:tab/>
        <w:t xml:space="preserve">Nunnally JC, Bernstein IH. Psychometric Theory. 3rd Ed. New York: McGraw-Hill; 1994. </w:t>
      </w:r>
    </w:p>
    <w:p w14:paraId="0BD8F2F4" w14:textId="77777777" w:rsidR="00FA4747" w:rsidRPr="00FA4747" w:rsidRDefault="00FA4747" w:rsidP="00FA4747">
      <w:pPr>
        <w:widowControl w:val="0"/>
        <w:autoSpaceDE w:val="0"/>
        <w:autoSpaceDN w:val="0"/>
        <w:adjustRightInd w:val="0"/>
        <w:spacing w:line="240" w:lineRule="auto"/>
        <w:ind w:left="640" w:hanging="640"/>
        <w:rPr>
          <w:rFonts w:ascii="Times New Roman" w:hAnsi="Times New Roman" w:cs="Times New Roman"/>
          <w:noProof/>
          <w:szCs w:val="24"/>
        </w:rPr>
      </w:pPr>
      <w:r w:rsidRPr="00FA4747">
        <w:rPr>
          <w:rFonts w:ascii="Times New Roman" w:hAnsi="Times New Roman" w:cs="Times New Roman"/>
          <w:noProof/>
          <w:szCs w:val="24"/>
        </w:rPr>
        <w:t xml:space="preserve">44. </w:t>
      </w:r>
      <w:r w:rsidRPr="00FA4747">
        <w:rPr>
          <w:rFonts w:ascii="Times New Roman" w:hAnsi="Times New Roman" w:cs="Times New Roman"/>
          <w:noProof/>
          <w:szCs w:val="24"/>
        </w:rPr>
        <w:tab/>
        <w:t xml:space="preserve">Portney LG, Watkins MP. Foundations of Clinical Research: Applications to Practice. 3rd Ed. Upper Saddle River, New Jersey: Pearson/Prentice Hall; 2009. </w:t>
      </w:r>
    </w:p>
    <w:p w14:paraId="1CED3456" w14:textId="77777777" w:rsidR="00FA4747" w:rsidRPr="00FA4747" w:rsidRDefault="00FA4747" w:rsidP="00FA4747">
      <w:pPr>
        <w:widowControl w:val="0"/>
        <w:autoSpaceDE w:val="0"/>
        <w:autoSpaceDN w:val="0"/>
        <w:adjustRightInd w:val="0"/>
        <w:spacing w:line="240" w:lineRule="auto"/>
        <w:ind w:left="640" w:hanging="640"/>
        <w:rPr>
          <w:rFonts w:ascii="Times New Roman" w:hAnsi="Times New Roman" w:cs="Times New Roman"/>
          <w:noProof/>
          <w:szCs w:val="24"/>
        </w:rPr>
      </w:pPr>
      <w:r w:rsidRPr="00FA4747">
        <w:rPr>
          <w:rFonts w:ascii="Times New Roman" w:hAnsi="Times New Roman" w:cs="Times New Roman"/>
          <w:noProof/>
          <w:szCs w:val="24"/>
        </w:rPr>
        <w:t xml:space="preserve">45. </w:t>
      </w:r>
      <w:r w:rsidRPr="00FA4747">
        <w:rPr>
          <w:rFonts w:ascii="Times New Roman" w:hAnsi="Times New Roman" w:cs="Times New Roman"/>
          <w:noProof/>
          <w:szCs w:val="24"/>
        </w:rPr>
        <w:tab/>
        <w:t xml:space="preserve">Dueck AC, Mendoza TR, Mitchell SA, Reeve BB, Castro KM, Rogak LJ, et al. Validity and reliability of the us national cancer institute’s patient-reported outcomes version of the common terminology criteria for adverse events (PRO-CTCAE). JAMA Oncol. 2015;1(8):1051–9. </w:t>
      </w:r>
    </w:p>
    <w:p w14:paraId="52FD9BD6" w14:textId="1F181605" w:rsidR="00FA4747" w:rsidRPr="00FA4747" w:rsidRDefault="00FA4747" w:rsidP="00FA4747">
      <w:pPr>
        <w:widowControl w:val="0"/>
        <w:autoSpaceDE w:val="0"/>
        <w:autoSpaceDN w:val="0"/>
        <w:adjustRightInd w:val="0"/>
        <w:spacing w:line="240" w:lineRule="auto"/>
        <w:ind w:left="640" w:hanging="640"/>
        <w:rPr>
          <w:rFonts w:ascii="Times New Roman" w:hAnsi="Times New Roman" w:cs="Times New Roman"/>
          <w:noProof/>
          <w:szCs w:val="24"/>
        </w:rPr>
      </w:pPr>
      <w:r w:rsidRPr="00FA4747">
        <w:rPr>
          <w:rFonts w:ascii="Times New Roman" w:hAnsi="Times New Roman" w:cs="Times New Roman"/>
          <w:noProof/>
          <w:szCs w:val="24"/>
        </w:rPr>
        <w:t xml:space="preserve">46. </w:t>
      </w:r>
      <w:r w:rsidRPr="00FA4747">
        <w:rPr>
          <w:rFonts w:ascii="Times New Roman" w:hAnsi="Times New Roman" w:cs="Times New Roman"/>
          <w:noProof/>
          <w:szCs w:val="24"/>
        </w:rPr>
        <w:tab/>
        <w:t>Basch E, Rogak LJ, Dueck AC. Methods for Implementing and Reporting Patient-reported Outcome (PRO) Measures of Symptomatic Adverse Events in Cancer Clinical Trials. Clin Ther. 2016</w:t>
      </w:r>
      <w:r>
        <w:rPr>
          <w:rFonts w:ascii="Times New Roman" w:hAnsi="Times New Roman" w:cs="Times New Roman"/>
          <w:noProof/>
          <w:szCs w:val="24"/>
        </w:rPr>
        <w:t>.</w:t>
      </w:r>
      <w:r w:rsidRPr="00FA4747">
        <w:rPr>
          <w:rFonts w:ascii="Times New Roman" w:hAnsi="Times New Roman" w:cs="Times New Roman"/>
          <w:noProof/>
          <w:szCs w:val="24"/>
        </w:rPr>
        <w:t xml:space="preserve"> </w:t>
      </w:r>
    </w:p>
    <w:p w14:paraId="66503D5A" w14:textId="7A118512" w:rsidR="00FA4747" w:rsidRPr="00FA4747" w:rsidRDefault="00FA4747" w:rsidP="00FA4747">
      <w:pPr>
        <w:widowControl w:val="0"/>
        <w:autoSpaceDE w:val="0"/>
        <w:autoSpaceDN w:val="0"/>
        <w:adjustRightInd w:val="0"/>
        <w:spacing w:line="240" w:lineRule="auto"/>
        <w:ind w:left="640" w:hanging="640"/>
        <w:rPr>
          <w:rFonts w:ascii="Times New Roman" w:hAnsi="Times New Roman" w:cs="Times New Roman"/>
          <w:noProof/>
          <w:szCs w:val="24"/>
        </w:rPr>
      </w:pPr>
      <w:r w:rsidRPr="00FA4747">
        <w:rPr>
          <w:rFonts w:ascii="Times New Roman" w:hAnsi="Times New Roman" w:cs="Times New Roman"/>
          <w:noProof/>
          <w:szCs w:val="24"/>
        </w:rPr>
        <w:t xml:space="preserve">47. </w:t>
      </w:r>
      <w:r w:rsidRPr="00FA4747">
        <w:rPr>
          <w:rFonts w:ascii="Times New Roman" w:hAnsi="Times New Roman" w:cs="Times New Roman"/>
          <w:noProof/>
          <w:szCs w:val="24"/>
        </w:rPr>
        <w:tab/>
        <w:t>Chung AE, Shoenbill K, Mitchell SA, Dueck AC, Schrag D, Bruner DW, et al. Patient free text reporting of symptomatic adverse events in cancer clinical research using the National Cancer Institute’s Patient-Reported Outcomes version of the Common Terminology Criteria for Adverse Events (PRO-CTCAE). J Am Med Informatics Assoc. 2019</w:t>
      </w:r>
      <w:r>
        <w:rPr>
          <w:rFonts w:ascii="Times New Roman" w:hAnsi="Times New Roman" w:cs="Times New Roman"/>
          <w:noProof/>
          <w:szCs w:val="24"/>
        </w:rPr>
        <w:t>.</w:t>
      </w:r>
      <w:r w:rsidRPr="00FA4747">
        <w:rPr>
          <w:rFonts w:ascii="Times New Roman" w:hAnsi="Times New Roman" w:cs="Times New Roman"/>
          <w:noProof/>
          <w:szCs w:val="24"/>
        </w:rPr>
        <w:t xml:space="preserve"> </w:t>
      </w:r>
    </w:p>
    <w:p w14:paraId="2F4E9304" w14:textId="77777777" w:rsidR="00FA4747" w:rsidRPr="00FA4747" w:rsidRDefault="00FA4747" w:rsidP="00FA4747">
      <w:pPr>
        <w:widowControl w:val="0"/>
        <w:autoSpaceDE w:val="0"/>
        <w:autoSpaceDN w:val="0"/>
        <w:adjustRightInd w:val="0"/>
        <w:spacing w:line="240" w:lineRule="auto"/>
        <w:ind w:left="640" w:hanging="640"/>
        <w:rPr>
          <w:rFonts w:ascii="Times New Roman" w:hAnsi="Times New Roman" w:cs="Times New Roman"/>
          <w:noProof/>
          <w:szCs w:val="24"/>
        </w:rPr>
      </w:pPr>
      <w:r w:rsidRPr="00FA4747">
        <w:rPr>
          <w:rFonts w:ascii="Times New Roman" w:hAnsi="Times New Roman" w:cs="Times New Roman"/>
          <w:noProof/>
          <w:szCs w:val="24"/>
        </w:rPr>
        <w:lastRenderedPageBreak/>
        <w:t xml:space="preserve">48. </w:t>
      </w:r>
      <w:r w:rsidRPr="00FA4747">
        <w:rPr>
          <w:rFonts w:ascii="Times New Roman" w:hAnsi="Times New Roman" w:cs="Times New Roman"/>
          <w:noProof/>
          <w:szCs w:val="24"/>
        </w:rPr>
        <w:tab/>
        <w:t>FDA. Patient-Focused Drug Development: Methods to Identify What Is Important to Patients [Internet]. 2022. Available from: https://www.fda.gov/drugs/development-approval-process-drugs/fda-patient-focused-drug-development-guidance-series-enhancing-incorporation-patients-voice-medical</w:t>
      </w:r>
    </w:p>
    <w:p w14:paraId="746ADAD0" w14:textId="77777777" w:rsidR="00FA4747" w:rsidRPr="00FA4747" w:rsidRDefault="00FA4747" w:rsidP="00FA4747">
      <w:pPr>
        <w:widowControl w:val="0"/>
        <w:autoSpaceDE w:val="0"/>
        <w:autoSpaceDN w:val="0"/>
        <w:adjustRightInd w:val="0"/>
        <w:spacing w:line="240" w:lineRule="auto"/>
        <w:ind w:left="640" w:hanging="640"/>
        <w:rPr>
          <w:rFonts w:ascii="Times New Roman" w:hAnsi="Times New Roman" w:cs="Times New Roman"/>
          <w:noProof/>
          <w:szCs w:val="24"/>
        </w:rPr>
      </w:pPr>
      <w:r w:rsidRPr="00FA4747">
        <w:rPr>
          <w:rFonts w:ascii="Times New Roman" w:hAnsi="Times New Roman" w:cs="Times New Roman"/>
          <w:noProof/>
          <w:szCs w:val="24"/>
        </w:rPr>
        <w:t xml:space="preserve">49. </w:t>
      </w:r>
      <w:r w:rsidRPr="00FA4747">
        <w:rPr>
          <w:rFonts w:ascii="Times New Roman" w:hAnsi="Times New Roman" w:cs="Times New Roman"/>
          <w:noProof/>
          <w:szCs w:val="24"/>
        </w:rPr>
        <w:tab/>
        <w:t xml:space="preserve">Calvert MJ, O’Connor DJ, Basch EM. Harnessing the patient voice in real-world evidence: the essential role of patient-reported outcomes. Nat Rev Drug Discov. 2019;18(10):731–2. </w:t>
      </w:r>
    </w:p>
    <w:p w14:paraId="42596003" w14:textId="0D2AF9C8" w:rsidR="00FA4747" w:rsidRPr="00FA4747" w:rsidRDefault="00FA4747" w:rsidP="00FA4747">
      <w:pPr>
        <w:widowControl w:val="0"/>
        <w:autoSpaceDE w:val="0"/>
        <w:autoSpaceDN w:val="0"/>
        <w:adjustRightInd w:val="0"/>
        <w:spacing w:line="240" w:lineRule="auto"/>
        <w:ind w:left="640" w:hanging="640"/>
        <w:rPr>
          <w:rFonts w:ascii="Times New Roman" w:hAnsi="Times New Roman" w:cs="Times New Roman"/>
          <w:noProof/>
          <w:szCs w:val="24"/>
        </w:rPr>
      </w:pPr>
      <w:r w:rsidRPr="00FA4747">
        <w:rPr>
          <w:rFonts w:ascii="Times New Roman" w:hAnsi="Times New Roman" w:cs="Times New Roman"/>
          <w:noProof/>
          <w:szCs w:val="24"/>
        </w:rPr>
        <w:t xml:space="preserve">50. </w:t>
      </w:r>
      <w:r w:rsidRPr="00FA4747">
        <w:rPr>
          <w:rFonts w:ascii="Times New Roman" w:hAnsi="Times New Roman" w:cs="Times New Roman"/>
          <w:noProof/>
          <w:szCs w:val="24"/>
        </w:rPr>
        <w:tab/>
        <w:t>Rojas-Concha L, Hansen MB, Petersen MA, Groenvold M. Which symptoms and problems do advanced cancer patients admitted to specialized palliative care report in addition to those included in the EORTC QLQ-C15-PAL? A register-based national study. Support Care Cancer. 2020</w:t>
      </w:r>
      <w:r>
        <w:rPr>
          <w:rFonts w:ascii="Times New Roman" w:hAnsi="Times New Roman" w:cs="Times New Roman"/>
          <w:noProof/>
          <w:szCs w:val="24"/>
        </w:rPr>
        <w:t>.</w:t>
      </w:r>
      <w:r w:rsidRPr="00FA4747">
        <w:rPr>
          <w:rFonts w:ascii="Times New Roman" w:hAnsi="Times New Roman" w:cs="Times New Roman"/>
          <w:noProof/>
          <w:szCs w:val="24"/>
        </w:rPr>
        <w:t xml:space="preserve"> </w:t>
      </w:r>
    </w:p>
    <w:p w14:paraId="79C53611" w14:textId="44BD130C" w:rsidR="00FA4747" w:rsidRPr="00FA4747" w:rsidRDefault="00FA4747" w:rsidP="00FA4747">
      <w:pPr>
        <w:widowControl w:val="0"/>
        <w:autoSpaceDE w:val="0"/>
        <w:autoSpaceDN w:val="0"/>
        <w:adjustRightInd w:val="0"/>
        <w:spacing w:line="240" w:lineRule="auto"/>
        <w:ind w:left="640" w:hanging="640"/>
        <w:rPr>
          <w:rFonts w:ascii="Times New Roman" w:hAnsi="Times New Roman" w:cs="Times New Roman"/>
          <w:noProof/>
          <w:szCs w:val="24"/>
        </w:rPr>
      </w:pPr>
      <w:r w:rsidRPr="00FA4747">
        <w:rPr>
          <w:rFonts w:ascii="Times New Roman" w:hAnsi="Times New Roman" w:cs="Times New Roman"/>
          <w:noProof/>
          <w:szCs w:val="24"/>
        </w:rPr>
        <w:t xml:space="preserve">51. </w:t>
      </w:r>
      <w:r w:rsidRPr="00FA4747">
        <w:rPr>
          <w:rFonts w:ascii="Times New Roman" w:hAnsi="Times New Roman" w:cs="Times New Roman"/>
          <w:noProof/>
          <w:szCs w:val="24"/>
        </w:rPr>
        <w:tab/>
        <w:t>Claessen FMAP, Mellema JJ, Stoop N, Lubberts B, Ring D, Poolman RW. Influence of Priming on Patient-Reported Outcome Measures: A Randomized Controlled Trial. Psychosomatics. 2016</w:t>
      </w:r>
      <w:r>
        <w:rPr>
          <w:rFonts w:ascii="Times New Roman" w:hAnsi="Times New Roman" w:cs="Times New Roman"/>
          <w:noProof/>
          <w:szCs w:val="24"/>
        </w:rPr>
        <w:t>.</w:t>
      </w:r>
      <w:r w:rsidRPr="00FA4747">
        <w:rPr>
          <w:rFonts w:ascii="Times New Roman" w:hAnsi="Times New Roman" w:cs="Times New Roman"/>
          <w:noProof/>
          <w:szCs w:val="24"/>
        </w:rPr>
        <w:t xml:space="preserve"> </w:t>
      </w:r>
    </w:p>
    <w:p w14:paraId="1DB8285C" w14:textId="24907F57" w:rsidR="00FA4747" w:rsidRPr="00A21614" w:rsidRDefault="00FA4747" w:rsidP="00FA4747">
      <w:pPr>
        <w:widowControl w:val="0"/>
        <w:autoSpaceDE w:val="0"/>
        <w:autoSpaceDN w:val="0"/>
        <w:adjustRightInd w:val="0"/>
        <w:spacing w:line="240" w:lineRule="auto"/>
        <w:ind w:left="640" w:hanging="640"/>
        <w:rPr>
          <w:rFonts w:ascii="Times New Roman" w:hAnsi="Times New Roman" w:cs="Times New Roman"/>
          <w:noProof/>
          <w:szCs w:val="24"/>
          <w:lang w:val="nl-NL"/>
        </w:rPr>
      </w:pPr>
      <w:r w:rsidRPr="00FA4747">
        <w:rPr>
          <w:rFonts w:ascii="Times New Roman" w:hAnsi="Times New Roman" w:cs="Times New Roman"/>
          <w:noProof/>
          <w:szCs w:val="24"/>
        </w:rPr>
        <w:t xml:space="preserve">52. </w:t>
      </w:r>
      <w:r w:rsidRPr="00FA4747">
        <w:rPr>
          <w:rFonts w:ascii="Times New Roman" w:hAnsi="Times New Roman" w:cs="Times New Roman"/>
          <w:noProof/>
          <w:szCs w:val="24"/>
        </w:rPr>
        <w:tab/>
        <w:t xml:space="preserve">Mendoza TR, Dueck AC, Bennett A V., Mitchell SA, Reeve BB, Atkinson TM, et al. Evaluation of different recall periods for the US National Cancer Institute’s PRO-CTCAE. </w:t>
      </w:r>
      <w:r w:rsidRPr="00A21614">
        <w:rPr>
          <w:rFonts w:ascii="Times New Roman" w:hAnsi="Times New Roman" w:cs="Times New Roman"/>
          <w:noProof/>
          <w:szCs w:val="24"/>
          <w:lang w:val="nl-NL"/>
        </w:rPr>
        <w:t>Clin Trials. 2017.</w:t>
      </w:r>
    </w:p>
    <w:p w14:paraId="3CF10067" w14:textId="5671E720" w:rsidR="00FA4747" w:rsidRPr="00FA4747" w:rsidRDefault="00FA4747" w:rsidP="00FA4747">
      <w:pPr>
        <w:widowControl w:val="0"/>
        <w:autoSpaceDE w:val="0"/>
        <w:autoSpaceDN w:val="0"/>
        <w:adjustRightInd w:val="0"/>
        <w:spacing w:line="240" w:lineRule="auto"/>
        <w:ind w:left="640" w:hanging="640"/>
        <w:rPr>
          <w:rFonts w:ascii="Times New Roman" w:hAnsi="Times New Roman" w:cs="Times New Roman"/>
          <w:noProof/>
          <w:szCs w:val="24"/>
        </w:rPr>
      </w:pPr>
      <w:r w:rsidRPr="00A21614">
        <w:rPr>
          <w:rFonts w:ascii="Times New Roman" w:hAnsi="Times New Roman" w:cs="Times New Roman"/>
          <w:noProof/>
          <w:szCs w:val="24"/>
          <w:lang w:val="nl-NL"/>
        </w:rPr>
        <w:t xml:space="preserve">53. </w:t>
      </w:r>
      <w:r w:rsidRPr="00A21614">
        <w:rPr>
          <w:rFonts w:ascii="Times New Roman" w:hAnsi="Times New Roman" w:cs="Times New Roman"/>
          <w:noProof/>
          <w:szCs w:val="24"/>
          <w:lang w:val="nl-NL"/>
        </w:rPr>
        <w:tab/>
        <w:t xml:space="preserve">Basch EM, Scholz M, de Bono JS, Vogelzang N, de Souza P, Marx G, et al. </w:t>
      </w:r>
      <w:r w:rsidRPr="00FA4747">
        <w:rPr>
          <w:rFonts w:ascii="Times New Roman" w:hAnsi="Times New Roman" w:cs="Times New Roman"/>
          <w:noProof/>
          <w:szCs w:val="24"/>
        </w:rPr>
        <w:t>Cabozantinib Versus Mitoxantrone-prednisone in Symptomatic Metastatic Castration-resistant Prostate Cancer: A Randomized Phase 3 Trial with a Primary Pain Endpoint. Eur Urol. 2019</w:t>
      </w:r>
      <w:r>
        <w:rPr>
          <w:rFonts w:ascii="Times New Roman" w:hAnsi="Times New Roman" w:cs="Times New Roman"/>
          <w:noProof/>
          <w:szCs w:val="24"/>
        </w:rPr>
        <w:t>.</w:t>
      </w:r>
      <w:r w:rsidRPr="00FA4747">
        <w:rPr>
          <w:rFonts w:ascii="Times New Roman" w:hAnsi="Times New Roman" w:cs="Times New Roman"/>
          <w:noProof/>
          <w:szCs w:val="24"/>
        </w:rPr>
        <w:t xml:space="preserve"> </w:t>
      </w:r>
    </w:p>
    <w:p w14:paraId="04A944FD" w14:textId="6ABC8B24" w:rsidR="00FA4747" w:rsidRPr="00A21614" w:rsidRDefault="00FA4747" w:rsidP="00FA4747">
      <w:pPr>
        <w:widowControl w:val="0"/>
        <w:autoSpaceDE w:val="0"/>
        <w:autoSpaceDN w:val="0"/>
        <w:adjustRightInd w:val="0"/>
        <w:spacing w:line="240" w:lineRule="auto"/>
        <w:ind w:left="640" w:hanging="640"/>
        <w:rPr>
          <w:rFonts w:ascii="Times New Roman" w:hAnsi="Times New Roman" w:cs="Times New Roman"/>
          <w:noProof/>
          <w:szCs w:val="24"/>
        </w:rPr>
      </w:pPr>
      <w:r w:rsidRPr="00FA4747">
        <w:rPr>
          <w:rFonts w:ascii="Times New Roman" w:hAnsi="Times New Roman" w:cs="Times New Roman"/>
          <w:noProof/>
          <w:szCs w:val="24"/>
        </w:rPr>
        <w:t xml:space="preserve">54. </w:t>
      </w:r>
      <w:r w:rsidRPr="00FA4747">
        <w:rPr>
          <w:rFonts w:ascii="Times New Roman" w:hAnsi="Times New Roman" w:cs="Times New Roman"/>
          <w:noProof/>
          <w:szCs w:val="24"/>
        </w:rPr>
        <w:tab/>
        <w:t xml:space="preserve">Lai JS, Cook K, Stone A, Beaumont J, Cella D. Classical test theory and item response theory/Rasch model to assess differences between patient-reported fatigue using 7-day and 4-week recall periods. </w:t>
      </w:r>
      <w:r w:rsidRPr="00A21614">
        <w:rPr>
          <w:rFonts w:ascii="Times New Roman" w:hAnsi="Times New Roman" w:cs="Times New Roman"/>
          <w:noProof/>
          <w:szCs w:val="24"/>
        </w:rPr>
        <w:t xml:space="preserve">J Clin Epidemiol. 2009. </w:t>
      </w:r>
    </w:p>
    <w:p w14:paraId="6CC86204" w14:textId="5E32E015" w:rsidR="00FA4747" w:rsidRPr="00FA4747" w:rsidRDefault="00FA4747" w:rsidP="00FA4747">
      <w:pPr>
        <w:widowControl w:val="0"/>
        <w:autoSpaceDE w:val="0"/>
        <w:autoSpaceDN w:val="0"/>
        <w:adjustRightInd w:val="0"/>
        <w:spacing w:line="240" w:lineRule="auto"/>
        <w:ind w:left="640" w:hanging="640"/>
        <w:rPr>
          <w:rFonts w:ascii="Times New Roman" w:hAnsi="Times New Roman" w:cs="Times New Roman"/>
          <w:noProof/>
          <w:szCs w:val="24"/>
        </w:rPr>
      </w:pPr>
      <w:r w:rsidRPr="00A21614">
        <w:rPr>
          <w:rFonts w:ascii="Times New Roman" w:hAnsi="Times New Roman" w:cs="Times New Roman"/>
          <w:noProof/>
          <w:szCs w:val="24"/>
        </w:rPr>
        <w:t xml:space="preserve">55. </w:t>
      </w:r>
      <w:r w:rsidRPr="00A21614">
        <w:rPr>
          <w:rFonts w:ascii="Times New Roman" w:hAnsi="Times New Roman" w:cs="Times New Roman"/>
          <w:noProof/>
          <w:szCs w:val="24"/>
        </w:rPr>
        <w:tab/>
        <w:t xml:space="preserve">Thavarajah N, Bedard G, Zhang L, Cella D, Beaumont JL, Tsao M, et al. </w:t>
      </w:r>
      <w:r w:rsidRPr="00FA4747">
        <w:rPr>
          <w:rFonts w:ascii="Times New Roman" w:hAnsi="Times New Roman" w:cs="Times New Roman"/>
          <w:noProof/>
          <w:szCs w:val="24"/>
        </w:rPr>
        <w:t>The Functional Assessment of Cancer Therapy - Brain (FACT-Br) for assessing quality of life in patients with brain metastases: A comparison of recall periods. J Pain Manag. 2013</w:t>
      </w:r>
      <w:r>
        <w:rPr>
          <w:rFonts w:ascii="Times New Roman" w:hAnsi="Times New Roman" w:cs="Times New Roman"/>
          <w:noProof/>
          <w:szCs w:val="24"/>
        </w:rPr>
        <w:t>.</w:t>
      </w:r>
      <w:r w:rsidRPr="00FA4747">
        <w:rPr>
          <w:rFonts w:ascii="Times New Roman" w:hAnsi="Times New Roman" w:cs="Times New Roman"/>
          <w:noProof/>
          <w:szCs w:val="24"/>
        </w:rPr>
        <w:t xml:space="preserve"> </w:t>
      </w:r>
    </w:p>
    <w:p w14:paraId="5E6537ED" w14:textId="60CB7712" w:rsidR="00FA4747" w:rsidRPr="00FA4747" w:rsidRDefault="00FA4747" w:rsidP="00FA4747">
      <w:pPr>
        <w:widowControl w:val="0"/>
        <w:autoSpaceDE w:val="0"/>
        <w:autoSpaceDN w:val="0"/>
        <w:adjustRightInd w:val="0"/>
        <w:spacing w:line="240" w:lineRule="auto"/>
        <w:ind w:left="640" w:hanging="640"/>
        <w:rPr>
          <w:rFonts w:ascii="Times New Roman" w:hAnsi="Times New Roman" w:cs="Times New Roman"/>
          <w:noProof/>
          <w:szCs w:val="24"/>
        </w:rPr>
      </w:pPr>
      <w:r w:rsidRPr="00FA4747">
        <w:rPr>
          <w:rFonts w:ascii="Times New Roman" w:hAnsi="Times New Roman" w:cs="Times New Roman"/>
          <w:noProof/>
          <w:szCs w:val="24"/>
        </w:rPr>
        <w:t xml:space="preserve">56. </w:t>
      </w:r>
      <w:r w:rsidRPr="00FA4747">
        <w:rPr>
          <w:rFonts w:ascii="Times New Roman" w:hAnsi="Times New Roman" w:cs="Times New Roman"/>
          <w:noProof/>
          <w:szCs w:val="24"/>
        </w:rPr>
        <w:tab/>
        <w:t>Condon DM, Chapman R, Shaunfield S, Kallen MA, Beaumont JL, Eek D, et al. Does recall period matter? Comparing PROMIS® physical function with no recall, 24-hr recall, and 7-day recall. Qual Life Res. 2020</w:t>
      </w:r>
      <w:r>
        <w:rPr>
          <w:rFonts w:ascii="Times New Roman" w:hAnsi="Times New Roman" w:cs="Times New Roman"/>
          <w:noProof/>
          <w:szCs w:val="24"/>
        </w:rPr>
        <w:t>.</w:t>
      </w:r>
      <w:r w:rsidRPr="00FA4747">
        <w:rPr>
          <w:rFonts w:ascii="Times New Roman" w:hAnsi="Times New Roman" w:cs="Times New Roman"/>
          <w:noProof/>
          <w:szCs w:val="24"/>
        </w:rPr>
        <w:t xml:space="preserve"> </w:t>
      </w:r>
    </w:p>
    <w:p w14:paraId="6C1F5E54" w14:textId="78A3C786" w:rsidR="00FA4747" w:rsidRPr="00FA4747" w:rsidRDefault="00FA4747" w:rsidP="00FA4747">
      <w:pPr>
        <w:widowControl w:val="0"/>
        <w:autoSpaceDE w:val="0"/>
        <w:autoSpaceDN w:val="0"/>
        <w:adjustRightInd w:val="0"/>
        <w:spacing w:line="240" w:lineRule="auto"/>
        <w:ind w:left="640" w:hanging="640"/>
        <w:rPr>
          <w:rFonts w:ascii="Times New Roman" w:hAnsi="Times New Roman" w:cs="Times New Roman"/>
          <w:noProof/>
          <w:szCs w:val="24"/>
        </w:rPr>
      </w:pPr>
      <w:r w:rsidRPr="00FA4747">
        <w:rPr>
          <w:rFonts w:ascii="Times New Roman" w:hAnsi="Times New Roman" w:cs="Times New Roman"/>
          <w:noProof/>
          <w:szCs w:val="24"/>
        </w:rPr>
        <w:t xml:space="preserve">57. </w:t>
      </w:r>
      <w:r w:rsidRPr="00FA4747">
        <w:rPr>
          <w:rFonts w:ascii="Times New Roman" w:hAnsi="Times New Roman" w:cs="Times New Roman"/>
          <w:noProof/>
          <w:szCs w:val="24"/>
        </w:rPr>
        <w:tab/>
        <w:t>Peipert JD, Chapman R, Shaunfield S, Kallen MA, Schalet BD, Cella D. Do You Recall?: Results From a Within-Person Recall Study of the Patient-Reported Outcomes Measurement Information System (PROMIS) Short Form v2.0 – Physical Function 8c. Value Heal. 2022</w:t>
      </w:r>
      <w:r>
        <w:rPr>
          <w:rFonts w:ascii="Times New Roman" w:hAnsi="Times New Roman" w:cs="Times New Roman"/>
          <w:noProof/>
          <w:szCs w:val="24"/>
        </w:rPr>
        <w:t>.</w:t>
      </w:r>
      <w:r w:rsidRPr="00FA4747">
        <w:rPr>
          <w:rFonts w:ascii="Times New Roman" w:hAnsi="Times New Roman" w:cs="Times New Roman"/>
          <w:noProof/>
          <w:szCs w:val="24"/>
        </w:rPr>
        <w:t xml:space="preserve"> </w:t>
      </w:r>
    </w:p>
    <w:p w14:paraId="0A72B78D" w14:textId="77777777" w:rsidR="00FA4747" w:rsidRPr="00FA4747" w:rsidRDefault="00FA4747" w:rsidP="00FA4747">
      <w:pPr>
        <w:widowControl w:val="0"/>
        <w:autoSpaceDE w:val="0"/>
        <w:autoSpaceDN w:val="0"/>
        <w:adjustRightInd w:val="0"/>
        <w:spacing w:line="240" w:lineRule="auto"/>
        <w:ind w:left="640" w:hanging="640"/>
        <w:rPr>
          <w:rFonts w:ascii="Times New Roman" w:hAnsi="Times New Roman" w:cs="Times New Roman"/>
          <w:noProof/>
          <w:szCs w:val="24"/>
        </w:rPr>
      </w:pPr>
      <w:r w:rsidRPr="00FA4747">
        <w:rPr>
          <w:rFonts w:ascii="Times New Roman" w:hAnsi="Times New Roman" w:cs="Times New Roman"/>
          <w:noProof/>
          <w:szCs w:val="24"/>
        </w:rPr>
        <w:t xml:space="preserve">58. </w:t>
      </w:r>
      <w:r w:rsidRPr="00FA4747">
        <w:rPr>
          <w:rFonts w:ascii="Times New Roman" w:hAnsi="Times New Roman" w:cs="Times New Roman"/>
          <w:noProof/>
          <w:szCs w:val="24"/>
        </w:rPr>
        <w:tab/>
        <w:t xml:space="preserve">Stull DE, Leidy NK, Parasuraman B, Chassany O. Optimal recall periods for patient-reported outcomes: Challenges and potential solutions. Current Medical Research and Opinion. 2009. </w:t>
      </w:r>
    </w:p>
    <w:p w14:paraId="6DF85996" w14:textId="3E2A65A7" w:rsidR="00FA4747" w:rsidRPr="00FA4747" w:rsidRDefault="00FA4747" w:rsidP="00FA4747">
      <w:pPr>
        <w:widowControl w:val="0"/>
        <w:autoSpaceDE w:val="0"/>
        <w:autoSpaceDN w:val="0"/>
        <w:adjustRightInd w:val="0"/>
        <w:spacing w:line="240" w:lineRule="auto"/>
        <w:ind w:left="640" w:hanging="640"/>
        <w:rPr>
          <w:rFonts w:ascii="Times New Roman" w:hAnsi="Times New Roman" w:cs="Times New Roman"/>
          <w:noProof/>
          <w:szCs w:val="24"/>
        </w:rPr>
      </w:pPr>
      <w:r w:rsidRPr="00FA4747">
        <w:rPr>
          <w:rFonts w:ascii="Times New Roman" w:hAnsi="Times New Roman" w:cs="Times New Roman"/>
          <w:noProof/>
          <w:szCs w:val="24"/>
        </w:rPr>
        <w:t xml:space="preserve">59. </w:t>
      </w:r>
      <w:r w:rsidRPr="00FA4747">
        <w:rPr>
          <w:rFonts w:ascii="Times New Roman" w:hAnsi="Times New Roman" w:cs="Times New Roman"/>
          <w:noProof/>
          <w:szCs w:val="24"/>
        </w:rPr>
        <w:tab/>
        <w:t>Rolstad S, Adler J, Rydén A. Response burden and questionnaire length: Is shorter better? A review and meta-analysis. Value Heal. 2011</w:t>
      </w:r>
      <w:r>
        <w:rPr>
          <w:rFonts w:ascii="Times New Roman" w:hAnsi="Times New Roman" w:cs="Times New Roman"/>
          <w:noProof/>
          <w:szCs w:val="24"/>
        </w:rPr>
        <w:t>.</w:t>
      </w:r>
      <w:r w:rsidRPr="00FA4747">
        <w:rPr>
          <w:rFonts w:ascii="Times New Roman" w:hAnsi="Times New Roman" w:cs="Times New Roman"/>
          <w:noProof/>
          <w:szCs w:val="24"/>
        </w:rPr>
        <w:t xml:space="preserve"> </w:t>
      </w:r>
    </w:p>
    <w:p w14:paraId="6B91C6A0" w14:textId="7B8A88D0" w:rsidR="00FA4747" w:rsidRPr="00FA4747" w:rsidRDefault="00FA4747" w:rsidP="00FA4747">
      <w:pPr>
        <w:widowControl w:val="0"/>
        <w:autoSpaceDE w:val="0"/>
        <w:autoSpaceDN w:val="0"/>
        <w:adjustRightInd w:val="0"/>
        <w:spacing w:line="240" w:lineRule="auto"/>
        <w:ind w:left="640" w:hanging="640"/>
        <w:rPr>
          <w:rFonts w:ascii="Times New Roman" w:hAnsi="Times New Roman" w:cs="Times New Roman"/>
          <w:noProof/>
          <w:szCs w:val="24"/>
        </w:rPr>
      </w:pPr>
      <w:r w:rsidRPr="00FA4747">
        <w:rPr>
          <w:rFonts w:ascii="Times New Roman" w:hAnsi="Times New Roman" w:cs="Times New Roman"/>
          <w:noProof/>
          <w:szCs w:val="24"/>
        </w:rPr>
        <w:t xml:space="preserve">60. </w:t>
      </w:r>
      <w:r w:rsidRPr="00FA4747">
        <w:rPr>
          <w:rFonts w:ascii="Times New Roman" w:hAnsi="Times New Roman" w:cs="Times New Roman"/>
          <w:noProof/>
          <w:szCs w:val="24"/>
        </w:rPr>
        <w:tab/>
        <w:t>Atkinson TM, Schwartz CE, Goldstein L, Garcia I, Storfer DF, Li Y, et al. Perceptions of Response Burden Associated with Completion of Patient-Reported Outcome Assessments in Oncology. Value Heal. 2019</w:t>
      </w:r>
      <w:r>
        <w:rPr>
          <w:rFonts w:ascii="Times New Roman" w:hAnsi="Times New Roman" w:cs="Times New Roman"/>
          <w:noProof/>
          <w:szCs w:val="24"/>
        </w:rPr>
        <w:t>.</w:t>
      </w:r>
      <w:r w:rsidRPr="00FA4747">
        <w:rPr>
          <w:rFonts w:ascii="Times New Roman" w:hAnsi="Times New Roman" w:cs="Times New Roman"/>
          <w:noProof/>
          <w:szCs w:val="24"/>
        </w:rPr>
        <w:t xml:space="preserve"> </w:t>
      </w:r>
    </w:p>
    <w:p w14:paraId="527DE122" w14:textId="0CAF88E7" w:rsidR="00FA4747" w:rsidRPr="00FA4747" w:rsidRDefault="00FA4747" w:rsidP="00FA4747">
      <w:pPr>
        <w:widowControl w:val="0"/>
        <w:autoSpaceDE w:val="0"/>
        <w:autoSpaceDN w:val="0"/>
        <w:adjustRightInd w:val="0"/>
        <w:spacing w:line="240" w:lineRule="auto"/>
        <w:ind w:left="640" w:hanging="640"/>
        <w:rPr>
          <w:rFonts w:ascii="Times New Roman" w:hAnsi="Times New Roman" w:cs="Times New Roman"/>
          <w:noProof/>
          <w:szCs w:val="24"/>
        </w:rPr>
      </w:pPr>
      <w:r w:rsidRPr="00FA4747">
        <w:rPr>
          <w:rFonts w:ascii="Times New Roman" w:hAnsi="Times New Roman" w:cs="Times New Roman"/>
          <w:noProof/>
          <w:szCs w:val="24"/>
        </w:rPr>
        <w:t xml:space="preserve">61. </w:t>
      </w:r>
      <w:r w:rsidRPr="00FA4747">
        <w:rPr>
          <w:rFonts w:ascii="Times New Roman" w:hAnsi="Times New Roman" w:cs="Times New Roman"/>
          <w:noProof/>
          <w:szCs w:val="24"/>
        </w:rPr>
        <w:tab/>
        <w:t>Reeve BB, Mitchell SA, Dueck AC, Basch E, Cella D, Reilly CM, et al. Recommended patient-reported core set of symptoms to measure in adult cancer treatment trials. J Natl Cancer Inst. 2014</w:t>
      </w:r>
      <w:r>
        <w:rPr>
          <w:rFonts w:ascii="Times New Roman" w:hAnsi="Times New Roman" w:cs="Times New Roman"/>
          <w:noProof/>
          <w:szCs w:val="24"/>
        </w:rPr>
        <w:t>.</w:t>
      </w:r>
      <w:r w:rsidRPr="00FA4747">
        <w:rPr>
          <w:rFonts w:ascii="Times New Roman" w:hAnsi="Times New Roman" w:cs="Times New Roman"/>
          <w:noProof/>
          <w:szCs w:val="24"/>
        </w:rPr>
        <w:t xml:space="preserve"> </w:t>
      </w:r>
    </w:p>
    <w:p w14:paraId="4232BCAE" w14:textId="77777777" w:rsidR="00FA4747" w:rsidRPr="00FA4747" w:rsidRDefault="00FA4747" w:rsidP="00FA4747">
      <w:pPr>
        <w:widowControl w:val="0"/>
        <w:autoSpaceDE w:val="0"/>
        <w:autoSpaceDN w:val="0"/>
        <w:adjustRightInd w:val="0"/>
        <w:spacing w:line="240" w:lineRule="auto"/>
        <w:ind w:left="640" w:hanging="640"/>
        <w:rPr>
          <w:rFonts w:ascii="Times New Roman" w:hAnsi="Times New Roman" w:cs="Times New Roman"/>
          <w:noProof/>
          <w:szCs w:val="24"/>
        </w:rPr>
      </w:pPr>
      <w:r w:rsidRPr="00FA4747">
        <w:rPr>
          <w:rFonts w:ascii="Times New Roman" w:hAnsi="Times New Roman" w:cs="Times New Roman"/>
          <w:noProof/>
          <w:szCs w:val="24"/>
        </w:rPr>
        <w:t xml:space="preserve">62. </w:t>
      </w:r>
      <w:r w:rsidRPr="00FA4747">
        <w:rPr>
          <w:rFonts w:ascii="Times New Roman" w:hAnsi="Times New Roman" w:cs="Times New Roman"/>
          <w:noProof/>
          <w:szCs w:val="24"/>
        </w:rPr>
        <w:tab/>
        <w:t xml:space="preserve">Groenvold M, Aaronson NK, Darlington ASE, Fitzsimmons D, Greimel E, Holzner B, et al. Focusing on core patient-reported outcomes in cancer clinical trials - Letter. Clinical Cancer Research. 2016. </w:t>
      </w:r>
    </w:p>
    <w:p w14:paraId="2F7D2532" w14:textId="4523CAC7" w:rsidR="00FA4747" w:rsidRPr="00FA4747" w:rsidRDefault="00FA4747" w:rsidP="00FA4747">
      <w:pPr>
        <w:widowControl w:val="0"/>
        <w:autoSpaceDE w:val="0"/>
        <w:autoSpaceDN w:val="0"/>
        <w:adjustRightInd w:val="0"/>
        <w:spacing w:line="240" w:lineRule="auto"/>
        <w:ind w:left="640" w:hanging="640"/>
        <w:rPr>
          <w:rFonts w:ascii="Times New Roman" w:hAnsi="Times New Roman" w:cs="Times New Roman"/>
          <w:noProof/>
        </w:rPr>
      </w:pPr>
      <w:r w:rsidRPr="00FA4747">
        <w:rPr>
          <w:rFonts w:ascii="Times New Roman" w:hAnsi="Times New Roman" w:cs="Times New Roman"/>
          <w:noProof/>
          <w:szCs w:val="24"/>
        </w:rPr>
        <w:t xml:space="preserve">63. </w:t>
      </w:r>
      <w:r w:rsidRPr="00FA4747">
        <w:rPr>
          <w:rFonts w:ascii="Times New Roman" w:hAnsi="Times New Roman" w:cs="Times New Roman"/>
          <w:noProof/>
          <w:szCs w:val="24"/>
        </w:rPr>
        <w:tab/>
        <w:t xml:space="preserve">Kulis D, Piccinin C, Bottomley A, Darlington AS, Grønvold M. PCN45 What to choose? </w:t>
      </w:r>
      <w:r w:rsidRPr="00FA4747">
        <w:rPr>
          <w:rFonts w:ascii="Times New Roman" w:hAnsi="Times New Roman" w:cs="Times New Roman"/>
          <w:noProof/>
          <w:szCs w:val="24"/>
        </w:rPr>
        <w:lastRenderedPageBreak/>
        <w:t>creating a patient-reported outcomes (PRO) assessment strategy with EORTC measures and Item Library that can meet the needs of regulators. Value Heal. 2019</w:t>
      </w:r>
      <w:r>
        <w:rPr>
          <w:rFonts w:ascii="Times New Roman" w:hAnsi="Times New Roman" w:cs="Times New Roman"/>
          <w:noProof/>
          <w:szCs w:val="24"/>
        </w:rPr>
        <w:t>.</w:t>
      </w:r>
      <w:r w:rsidRPr="00FA4747">
        <w:rPr>
          <w:rFonts w:ascii="Times New Roman" w:hAnsi="Times New Roman" w:cs="Times New Roman"/>
          <w:noProof/>
          <w:szCs w:val="24"/>
        </w:rPr>
        <w:t xml:space="preserve"> </w:t>
      </w:r>
    </w:p>
    <w:p w14:paraId="17DA6342" w14:textId="509951E9" w:rsidR="00441F1C" w:rsidRPr="00E14F7D" w:rsidRDefault="00441F1C" w:rsidP="00441F1C">
      <w:pPr>
        <w:spacing w:line="240" w:lineRule="auto"/>
        <w:rPr>
          <w:rFonts w:ascii="Times New Roman" w:hAnsi="Times New Roman" w:cs="Times New Roman"/>
        </w:rPr>
      </w:pPr>
      <w:r w:rsidRPr="00E14F7D">
        <w:rPr>
          <w:rFonts w:ascii="Times New Roman" w:hAnsi="Times New Roman" w:cs="Times New Roman"/>
        </w:rPr>
        <w:fldChar w:fldCharType="end"/>
      </w:r>
    </w:p>
    <w:p w14:paraId="08B6FAF7" w14:textId="77777777" w:rsidR="000A1B26" w:rsidRPr="00E14F7D" w:rsidRDefault="000A1B26" w:rsidP="4BF257C8">
      <w:pPr>
        <w:spacing w:line="240" w:lineRule="auto"/>
        <w:rPr>
          <w:rFonts w:ascii="Times New Roman" w:hAnsi="Times New Roman" w:cs="Times New Roman"/>
          <w:b/>
          <w:bCs/>
        </w:rPr>
      </w:pPr>
    </w:p>
    <w:p w14:paraId="5062753F" w14:textId="77777777" w:rsidR="000A1B26" w:rsidRPr="00E14F7D" w:rsidRDefault="000A1B26" w:rsidP="4BF257C8">
      <w:pPr>
        <w:spacing w:line="240" w:lineRule="auto"/>
        <w:rPr>
          <w:rFonts w:ascii="Times New Roman" w:hAnsi="Times New Roman" w:cs="Times New Roman"/>
          <w:b/>
          <w:bCs/>
        </w:rPr>
      </w:pPr>
    </w:p>
    <w:p w14:paraId="5A3CEC9F" w14:textId="77777777" w:rsidR="000A1B26" w:rsidRPr="00E14F7D" w:rsidRDefault="000A1B26" w:rsidP="4BF257C8">
      <w:pPr>
        <w:spacing w:line="240" w:lineRule="auto"/>
        <w:rPr>
          <w:rFonts w:ascii="Times New Roman" w:hAnsi="Times New Roman" w:cs="Times New Roman"/>
          <w:b/>
          <w:bCs/>
        </w:rPr>
      </w:pPr>
    </w:p>
    <w:p w14:paraId="511F0BA7" w14:textId="77777777" w:rsidR="000A1B26" w:rsidRPr="00E14F7D" w:rsidRDefault="000A1B26" w:rsidP="4BF257C8">
      <w:pPr>
        <w:spacing w:line="240" w:lineRule="auto"/>
        <w:rPr>
          <w:rFonts w:ascii="Times New Roman" w:hAnsi="Times New Roman" w:cs="Times New Roman"/>
          <w:b/>
          <w:bCs/>
        </w:rPr>
      </w:pPr>
    </w:p>
    <w:p w14:paraId="67C6D9BA" w14:textId="77777777" w:rsidR="000A1B26" w:rsidRPr="00E14F7D" w:rsidRDefault="000A1B26" w:rsidP="4BF257C8">
      <w:pPr>
        <w:spacing w:line="240" w:lineRule="auto"/>
        <w:rPr>
          <w:rFonts w:ascii="Times New Roman" w:hAnsi="Times New Roman" w:cs="Times New Roman"/>
          <w:b/>
          <w:bCs/>
        </w:rPr>
      </w:pPr>
    </w:p>
    <w:p w14:paraId="359359BB" w14:textId="77777777" w:rsidR="000A1B26" w:rsidRPr="00E14F7D" w:rsidRDefault="000A1B26" w:rsidP="4BF257C8">
      <w:pPr>
        <w:spacing w:line="240" w:lineRule="auto"/>
        <w:rPr>
          <w:rFonts w:ascii="Times New Roman" w:hAnsi="Times New Roman" w:cs="Times New Roman"/>
          <w:b/>
          <w:bCs/>
        </w:rPr>
      </w:pPr>
    </w:p>
    <w:p w14:paraId="48447B77" w14:textId="77777777" w:rsidR="000A1B26" w:rsidRPr="00E14F7D" w:rsidRDefault="000A1B26" w:rsidP="4BF257C8">
      <w:pPr>
        <w:spacing w:line="240" w:lineRule="auto"/>
        <w:rPr>
          <w:rFonts w:ascii="Times New Roman" w:hAnsi="Times New Roman" w:cs="Times New Roman"/>
          <w:b/>
          <w:bCs/>
        </w:rPr>
      </w:pPr>
    </w:p>
    <w:p w14:paraId="17800AA8" w14:textId="77777777" w:rsidR="000A1B26" w:rsidRPr="00E14F7D" w:rsidRDefault="000A1B26" w:rsidP="4BF257C8">
      <w:pPr>
        <w:spacing w:line="240" w:lineRule="auto"/>
        <w:rPr>
          <w:rFonts w:ascii="Times New Roman" w:hAnsi="Times New Roman" w:cs="Times New Roman"/>
          <w:b/>
          <w:bCs/>
        </w:rPr>
      </w:pPr>
    </w:p>
    <w:p w14:paraId="64EAF9C8" w14:textId="77777777" w:rsidR="000A1B26" w:rsidRPr="00E14F7D" w:rsidRDefault="000A1B26" w:rsidP="4BF257C8">
      <w:pPr>
        <w:spacing w:line="240" w:lineRule="auto"/>
        <w:rPr>
          <w:rFonts w:ascii="Times New Roman" w:hAnsi="Times New Roman" w:cs="Times New Roman"/>
          <w:b/>
          <w:bCs/>
        </w:rPr>
        <w:sectPr w:rsidR="000A1B26" w:rsidRPr="00E14F7D" w:rsidSect="00DE4970">
          <w:headerReference w:type="default" r:id="rId15"/>
          <w:pgSz w:w="11906" w:h="16838"/>
          <w:pgMar w:top="1440" w:right="1440" w:bottom="1440" w:left="1440" w:header="708" w:footer="708" w:gutter="0"/>
          <w:cols w:space="708"/>
          <w:docGrid w:linePitch="360"/>
        </w:sectPr>
      </w:pPr>
    </w:p>
    <w:p w14:paraId="53564429" w14:textId="0F61AB98" w:rsidR="00B73794" w:rsidRPr="00E14F7D" w:rsidRDefault="00B73794" w:rsidP="4BF257C8">
      <w:pPr>
        <w:spacing w:line="240" w:lineRule="auto"/>
        <w:rPr>
          <w:rFonts w:ascii="Times New Roman" w:hAnsi="Times New Roman" w:cs="Times New Roman"/>
          <w:b/>
          <w:bCs/>
        </w:rPr>
      </w:pPr>
      <w:r w:rsidRPr="00E14F7D">
        <w:rPr>
          <w:rFonts w:ascii="Times New Roman" w:hAnsi="Times New Roman" w:cs="Times New Roman"/>
          <w:b/>
          <w:bCs/>
        </w:rPr>
        <w:lastRenderedPageBreak/>
        <w:t>CONTRIBUTORS</w:t>
      </w:r>
    </w:p>
    <w:p w14:paraId="613D1759" w14:textId="59924008" w:rsidR="00835A12" w:rsidRDefault="00835A12" w:rsidP="4BF257C8">
      <w:pPr>
        <w:spacing w:line="240" w:lineRule="auto"/>
        <w:rPr>
          <w:rFonts w:ascii="Times New Roman" w:hAnsi="Times New Roman" w:cs="Times New Roman"/>
        </w:rPr>
      </w:pPr>
      <w:r>
        <w:rPr>
          <w:rFonts w:ascii="Times New Roman" w:hAnsi="Times New Roman" w:cs="Times New Roman"/>
        </w:rPr>
        <w:t xml:space="preserve">All authors contributed to the conceptualization of this work, along with data interpretation and writing (review &amp; editing). CP and AB were responsible for data collection/extraction and data analysis. CP wrote the original draft of the manuscript, and the final </w:t>
      </w:r>
      <w:r w:rsidR="005F3FF2">
        <w:rPr>
          <w:rFonts w:ascii="Times New Roman" w:hAnsi="Times New Roman" w:cs="Times New Roman"/>
        </w:rPr>
        <w:t>version</w:t>
      </w:r>
      <w:r>
        <w:rPr>
          <w:rFonts w:ascii="Times New Roman" w:hAnsi="Times New Roman" w:cs="Times New Roman"/>
        </w:rPr>
        <w:t xml:space="preserve"> was </w:t>
      </w:r>
      <w:r w:rsidRPr="00835A12">
        <w:rPr>
          <w:rFonts w:ascii="Times New Roman" w:hAnsi="Times New Roman" w:cs="Times New Roman"/>
        </w:rPr>
        <w:t>approved by all authors.</w:t>
      </w:r>
    </w:p>
    <w:p w14:paraId="7427A182" w14:textId="0A1EDB4D" w:rsidR="00440F46" w:rsidRDefault="00440F46" w:rsidP="762EE3AF">
      <w:pPr>
        <w:spacing w:line="240" w:lineRule="auto"/>
        <w:rPr>
          <w:rFonts w:ascii="Times New Roman" w:eastAsia="Arial" w:hAnsi="Times New Roman" w:cs="Times New Roman"/>
          <w:b/>
          <w:bCs/>
        </w:rPr>
      </w:pPr>
      <w:r>
        <w:rPr>
          <w:rFonts w:ascii="Times New Roman" w:eastAsia="Arial" w:hAnsi="Times New Roman" w:cs="Times New Roman"/>
          <w:b/>
          <w:bCs/>
        </w:rPr>
        <w:t>DECLARATION OF INTERESTS</w:t>
      </w:r>
    </w:p>
    <w:p w14:paraId="22FE4D4D" w14:textId="0307D5B4" w:rsidR="00440F46" w:rsidRPr="0010736F" w:rsidRDefault="0010736F" w:rsidP="762EE3AF">
      <w:pPr>
        <w:spacing w:line="240" w:lineRule="auto"/>
        <w:rPr>
          <w:rFonts w:ascii="Times New Roman" w:eastAsia="Arial" w:hAnsi="Times New Roman" w:cs="Times New Roman"/>
          <w:b/>
          <w:bCs/>
        </w:rPr>
      </w:pPr>
      <w:r>
        <w:rPr>
          <w:rFonts w:ascii="Times New Roman" w:eastAsia="Arial" w:hAnsi="Times New Roman" w:cs="Times New Roman"/>
        </w:rPr>
        <w:t xml:space="preserve">EB reports receiving personal consulting fees (as consultant/scientific advisor) from AstraZeneca, Carevive Systems, Navigating Cancer, Sivan Healthcare, and Resilience Health. </w:t>
      </w:r>
      <w:r w:rsidRPr="0010736F">
        <w:rPr>
          <w:rFonts w:ascii="Times New Roman" w:eastAsia="Arial" w:hAnsi="Times New Roman" w:cs="Times New Roman"/>
        </w:rPr>
        <w:t xml:space="preserve">MC has received funds for her institution (University of Birmingham, UK) from the NIHR Birmingham Biomedical Research Centre, NIHR Surgical Reconstruction and Microbiology Research Centre, NIHR Birmingham-Oxford Blood and Transplant Research Unit (BTRU) in Precision Transplant and Cellular Therapeutics, NIHR ARC West Midlands at the University of Birmingham and University Hospitals Birmingham NHS Foundation Trust, Health Data Research UK, Innovate UK (part of UK Research and Innovation), Macmillan Cancer Support, SPINE UK,UKRI, UCB Pharma, Janssen, GSK, Gilead; reports personal consulting fees from </w:t>
      </w:r>
      <w:proofErr w:type="spellStart"/>
      <w:r w:rsidRPr="0010736F">
        <w:rPr>
          <w:rFonts w:ascii="Times New Roman" w:eastAsia="Arial" w:hAnsi="Times New Roman" w:cs="Times New Roman"/>
        </w:rPr>
        <w:t>Aparito</w:t>
      </w:r>
      <w:proofErr w:type="spellEnd"/>
      <w:r w:rsidRPr="0010736F">
        <w:rPr>
          <w:rFonts w:ascii="Times New Roman" w:eastAsia="Arial" w:hAnsi="Times New Roman" w:cs="Times New Roman"/>
        </w:rPr>
        <w:t xml:space="preserve"> Ltd, CIS Oncology, Takeda, Merck, Daiichi Sankyo, Gilead, </w:t>
      </w:r>
      <w:proofErr w:type="spellStart"/>
      <w:r w:rsidRPr="0010736F">
        <w:rPr>
          <w:rFonts w:ascii="Times New Roman" w:eastAsia="Arial" w:hAnsi="Times New Roman" w:cs="Times New Roman"/>
        </w:rPr>
        <w:t>Glaukos</w:t>
      </w:r>
      <w:proofErr w:type="spellEnd"/>
      <w:r w:rsidRPr="0010736F">
        <w:rPr>
          <w:rFonts w:ascii="Times New Roman" w:eastAsia="Arial" w:hAnsi="Times New Roman" w:cs="Times New Roman"/>
        </w:rPr>
        <w:t>, GSK, the Patient-</w:t>
      </w:r>
      <w:proofErr w:type="spellStart"/>
      <w:r w:rsidRPr="0010736F">
        <w:rPr>
          <w:rFonts w:ascii="Times New Roman" w:eastAsia="Arial" w:hAnsi="Times New Roman" w:cs="Times New Roman"/>
        </w:rPr>
        <w:t>Centered</w:t>
      </w:r>
      <w:proofErr w:type="spellEnd"/>
      <w:r w:rsidRPr="0010736F">
        <w:rPr>
          <w:rFonts w:ascii="Times New Roman" w:eastAsia="Arial" w:hAnsi="Times New Roman" w:cs="Times New Roman"/>
        </w:rPr>
        <w:t xml:space="preserve"> Outcomes Research Institute (PCORI); has a family member who owns stock in GSK; and is Director of the Birmingham Health Partners Centre for Regulatory Science and Innovation, Director of the Centre for the Centre for Patient Reported Outcomes Research, and is a National Institute for Health Research (NIHR) Senior Investigator.</w:t>
      </w:r>
      <w:r>
        <w:rPr>
          <w:rFonts w:ascii="Times New Roman" w:eastAsia="Arial" w:hAnsi="Times New Roman" w:cs="Times New Roman"/>
        </w:rPr>
        <w:t xml:space="preserve"> </w:t>
      </w:r>
      <w:r w:rsidRPr="0010736F">
        <w:rPr>
          <w:rFonts w:ascii="Times New Roman" w:eastAsia="Arial" w:hAnsi="Times New Roman" w:cs="Times New Roman"/>
        </w:rPr>
        <w:t>AC is employed by AstraZeneca and reports grants from Carevive, Takeda, Clinical Outcomes Solutions, and LUNGevity.</w:t>
      </w:r>
      <w:r>
        <w:rPr>
          <w:rFonts w:ascii="Times New Roman" w:eastAsia="Arial" w:hAnsi="Times New Roman" w:cs="Times New Roman"/>
        </w:rPr>
        <w:t xml:space="preserve"> </w:t>
      </w:r>
      <w:r w:rsidRPr="0010736F">
        <w:rPr>
          <w:rFonts w:ascii="Times New Roman" w:eastAsia="Arial" w:hAnsi="Times New Roman" w:cs="Times New Roman"/>
        </w:rPr>
        <w:t>DC reports receiving royalties or licenses as President of FACIT.org and as President-Elect and Board Member of PROMIS Health Organization.</w:t>
      </w:r>
      <w:r>
        <w:rPr>
          <w:rFonts w:ascii="Times New Roman" w:eastAsia="Arial" w:hAnsi="Times New Roman" w:cs="Times New Roman"/>
        </w:rPr>
        <w:t xml:space="preserve"> </w:t>
      </w:r>
      <w:r w:rsidRPr="0010736F">
        <w:rPr>
          <w:rFonts w:ascii="Times New Roman" w:eastAsia="Arial" w:hAnsi="Times New Roman" w:cs="Times New Roman"/>
        </w:rPr>
        <w:t>CSC reports receiving licensing fees paid to both MD Anderson Cancer Center and his SAS, LLC for Brief Pain Inventory.</w:t>
      </w:r>
      <w:r>
        <w:rPr>
          <w:rFonts w:ascii="Times New Roman" w:eastAsia="Arial" w:hAnsi="Times New Roman" w:cs="Times New Roman"/>
          <w:b/>
          <w:bCs/>
        </w:rPr>
        <w:t xml:space="preserve"> </w:t>
      </w:r>
      <w:r w:rsidR="00470599">
        <w:rPr>
          <w:rFonts w:ascii="Times New Roman" w:eastAsia="Arial" w:hAnsi="Times New Roman" w:cs="Times New Roman"/>
        </w:rPr>
        <w:t xml:space="preserve">BLKK has received grants from </w:t>
      </w:r>
      <w:r w:rsidR="00470599" w:rsidRPr="00470599">
        <w:rPr>
          <w:rFonts w:ascii="Times New Roman" w:eastAsia="Arial" w:hAnsi="Times New Roman" w:cs="Times New Roman"/>
        </w:rPr>
        <w:t>AstraZeneca, G1 Therapeutics, Bristol-Myers Squibb, Merck, BluePrint Medicine, Eli Lilly, Genentech, Takeda, Jazz Pharmaceuticals</w:t>
      </w:r>
      <w:r w:rsidR="00470599">
        <w:rPr>
          <w:rFonts w:ascii="Times New Roman" w:eastAsia="Arial" w:hAnsi="Times New Roman" w:cs="Times New Roman"/>
        </w:rPr>
        <w:t xml:space="preserve">; consulting fees from Eli Lilly, Health Outcomes Solutions, University of South Florida, Atheneum; and has participated </w:t>
      </w:r>
      <w:r w:rsidR="00470599" w:rsidRPr="00470599">
        <w:rPr>
          <w:rFonts w:ascii="Times New Roman" w:eastAsia="Arial" w:hAnsi="Times New Roman" w:cs="Times New Roman"/>
        </w:rPr>
        <w:t>on a Data Safety Monitoring Board or Advisory Board</w:t>
      </w:r>
      <w:r w:rsidR="00470599">
        <w:rPr>
          <w:rFonts w:ascii="Times New Roman" w:eastAsia="Arial" w:hAnsi="Times New Roman" w:cs="Times New Roman"/>
        </w:rPr>
        <w:t xml:space="preserve"> for </w:t>
      </w:r>
      <w:r w:rsidR="00470599" w:rsidRPr="00470599">
        <w:rPr>
          <w:rFonts w:ascii="Times New Roman" w:eastAsia="Arial" w:hAnsi="Times New Roman" w:cs="Times New Roman"/>
        </w:rPr>
        <w:t>Bristol-Myers Squibb</w:t>
      </w:r>
      <w:r w:rsidR="00470599">
        <w:rPr>
          <w:rFonts w:ascii="Times New Roman" w:eastAsia="Arial" w:hAnsi="Times New Roman" w:cs="Times New Roman"/>
        </w:rPr>
        <w:t>.</w:t>
      </w:r>
      <w:r w:rsidR="005D753C">
        <w:rPr>
          <w:rFonts w:ascii="Times New Roman" w:eastAsia="Arial" w:hAnsi="Times New Roman" w:cs="Times New Roman"/>
        </w:rPr>
        <w:t xml:space="preserve"> </w:t>
      </w:r>
      <w:r w:rsidR="006C2FC9">
        <w:rPr>
          <w:rFonts w:ascii="Times New Roman" w:eastAsia="Arial" w:hAnsi="Times New Roman" w:cs="Times New Roman"/>
        </w:rPr>
        <w:t xml:space="preserve">KO reports receiving honoraria (2010 to 2020) from </w:t>
      </w:r>
      <w:r w:rsidR="00F56AAA">
        <w:rPr>
          <w:rFonts w:ascii="Times New Roman" w:eastAsia="Arial" w:hAnsi="Times New Roman" w:cs="Times New Roman"/>
        </w:rPr>
        <w:t>GSK</w:t>
      </w:r>
      <w:r w:rsidR="006C2FC9">
        <w:rPr>
          <w:rFonts w:ascii="Times New Roman" w:eastAsia="Arial" w:hAnsi="Times New Roman" w:cs="Times New Roman"/>
        </w:rPr>
        <w:t xml:space="preserve"> for her involvement with the Healthcare Advisory Board and receiving an honorarium as a speaker at the Sharing Progress in Cancer Care webinar (October 2021).</w:t>
      </w:r>
      <w:r>
        <w:rPr>
          <w:rFonts w:ascii="Times New Roman" w:eastAsia="Arial" w:hAnsi="Times New Roman" w:cs="Times New Roman"/>
        </w:rPr>
        <w:t xml:space="preserve"> </w:t>
      </w:r>
      <w:r w:rsidR="00440F46">
        <w:rPr>
          <w:rFonts w:ascii="Times New Roman" w:eastAsia="Arial" w:hAnsi="Times New Roman" w:cs="Times New Roman"/>
        </w:rPr>
        <w:t>All other authors declare no competing interests.</w:t>
      </w:r>
    </w:p>
    <w:p w14:paraId="16003B63" w14:textId="3F387685" w:rsidR="00F340AF" w:rsidRPr="00E14F7D" w:rsidRDefault="762EE3AF" w:rsidP="762EE3AF">
      <w:pPr>
        <w:spacing w:line="240" w:lineRule="auto"/>
        <w:rPr>
          <w:rFonts w:ascii="Times New Roman" w:eastAsia="Arial" w:hAnsi="Times New Roman" w:cs="Times New Roman"/>
          <w:b/>
          <w:bCs/>
        </w:rPr>
      </w:pPr>
      <w:r w:rsidRPr="00E14F7D">
        <w:rPr>
          <w:rFonts w:ascii="Times New Roman" w:eastAsia="Arial" w:hAnsi="Times New Roman" w:cs="Times New Roman"/>
          <w:b/>
          <w:bCs/>
        </w:rPr>
        <w:t xml:space="preserve">DISCLAIMER </w:t>
      </w:r>
    </w:p>
    <w:p w14:paraId="1D76979B" w14:textId="5988232E" w:rsidR="00F340AF" w:rsidRPr="00E14F7D" w:rsidRDefault="762EE3AF" w:rsidP="7EFBCF47">
      <w:pPr>
        <w:spacing w:line="240" w:lineRule="auto"/>
        <w:rPr>
          <w:rFonts w:ascii="Times New Roman" w:eastAsia="Arial" w:hAnsi="Times New Roman" w:cs="Times New Roman"/>
        </w:rPr>
      </w:pPr>
      <w:r w:rsidRPr="00E14F7D">
        <w:rPr>
          <w:rFonts w:ascii="Times New Roman" w:eastAsia="Arial" w:hAnsi="Times New Roman" w:cs="Times New Roman"/>
        </w:rPr>
        <w:t>This publication reflects the views of the individual authors and should not be construed to represent official views or policies of the US Food and Drug Administration, US National Cancer Institute, Medicines and Healthcare products Regulatory Agency, the UK National Health Service, the National Institute for Health Research, the UK Department of Health and Social Care, or the European Medicines Agency. The views expressed in this article are the personal views of the author(s) and may not be understood or quoted as being made on behalf of or reflecting the position of the regulatory agency/agencies or organisations with which the author(s) is/are employed/affiliated.</w:t>
      </w:r>
    </w:p>
    <w:p w14:paraId="41DA811B" w14:textId="1B80A8D4" w:rsidR="00F340AF" w:rsidRDefault="006C7E3E" w:rsidP="4BF257C8">
      <w:pPr>
        <w:spacing w:line="240" w:lineRule="auto"/>
        <w:rPr>
          <w:rFonts w:ascii="Times New Roman" w:eastAsia="Arial" w:hAnsi="Times New Roman" w:cs="Times New Roman"/>
        </w:rPr>
      </w:pPr>
      <w:r>
        <w:rPr>
          <w:rFonts w:ascii="Times New Roman" w:eastAsia="Arial" w:hAnsi="Times New Roman" w:cs="Times New Roman"/>
        </w:rPr>
        <w:t>This publication has not been submitted to another journal or published in whole or in part elsewhere previously.</w:t>
      </w:r>
    </w:p>
    <w:p w14:paraId="31D99626" w14:textId="12B926CB" w:rsidR="006C7E3E" w:rsidRDefault="006C7E3E" w:rsidP="4BF257C8">
      <w:pPr>
        <w:spacing w:line="240" w:lineRule="auto"/>
        <w:rPr>
          <w:rFonts w:ascii="Times New Roman" w:eastAsia="Arial" w:hAnsi="Times New Roman" w:cs="Times New Roman"/>
        </w:rPr>
      </w:pPr>
      <w:r>
        <w:rPr>
          <w:rFonts w:ascii="Times New Roman" w:eastAsia="Arial" w:hAnsi="Times New Roman" w:cs="Times New Roman"/>
        </w:rPr>
        <w:t xml:space="preserve">No authors are employed by NIH. </w:t>
      </w:r>
    </w:p>
    <w:p w14:paraId="66419F2F" w14:textId="7E84BD7D" w:rsidR="00E443F2" w:rsidRDefault="00E443F2" w:rsidP="4BF257C8">
      <w:pPr>
        <w:spacing w:line="240" w:lineRule="auto"/>
        <w:rPr>
          <w:rFonts w:ascii="Times New Roman" w:eastAsia="Arial" w:hAnsi="Times New Roman" w:cs="Times New Roman"/>
        </w:rPr>
      </w:pPr>
    </w:p>
    <w:p w14:paraId="4566686F" w14:textId="04C14644" w:rsidR="00E443F2" w:rsidRDefault="00E443F2" w:rsidP="4BF257C8">
      <w:pPr>
        <w:spacing w:line="240" w:lineRule="auto"/>
        <w:rPr>
          <w:rFonts w:ascii="Times New Roman" w:eastAsia="Arial" w:hAnsi="Times New Roman" w:cs="Times New Roman"/>
        </w:rPr>
      </w:pPr>
    </w:p>
    <w:p w14:paraId="05B14D50" w14:textId="7DEFA8C9" w:rsidR="00E443F2" w:rsidRDefault="00E443F2" w:rsidP="4BF257C8">
      <w:pPr>
        <w:spacing w:line="240" w:lineRule="auto"/>
        <w:rPr>
          <w:rFonts w:ascii="Times New Roman" w:eastAsia="Arial" w:hAnsi="Times New Roman" w:cs="Times New Roman"/>
        </w:rPr>
      </w:pPr>
    </w:p>
    <w:p w14:paraId="6E2B2618" w14:textId="08616953" w:rsidR="00E443F2" w:rsidRDefault="00E443F2" w:rsidP="4BF257C8">
      <w:pPr>
        <w:spacing w:line="240" w:lineRule="auto"/>
        <w:rPr>
          <w:rFonts w:ascii="Times New Roman" w:eastAsia="Arial" w:hAnsi="Times New Roman" w:cs="Times New Roman"/>
        </w:rPr>
      </w:pPr>
    </w:p>
    <w:p w14:paraId="1C123958" w14:textId="022EB48C" w:rsidR="00E443F2" w:rsidRDefault="00E443F2" w:rsidP="4BF257C8">
      <w:pPr>
        <w:spacing w:line="240" w:lineRule="auto"/>
        <w:rPr>
          <w:rFonts w:ascii="Times New Roman" w:eastAsia="Arial" w:hAnsi="Times New Roman" w:cs="Times New Roman"/>
        </w:rPr>
      </w:pPr>
    </w:p>
    <w:p w14:paraId="39D438F2" w14:textId="29E53CC8" w:rsidR="00E443F2" w:rsidRDefault="00E443F2" w:rsidP="0040642D">
      <w:pPr>
        <w:rPr>
          <w:rFonts w:ascii="Times New Roman" w:eastAsia="Arial" w:hAnsi="Times New Roman" w:cs="Times New Roman"/>
          <w:b/>
          <w:bCs/>
        </w:rPr>
      </w:pPr>
      <w:r w:rsidRPr="00E443F2">
        <w:rPr>
          <w:rFonts w:ascii="Times New Roman" w:eastAsia="Arial" w:hAnsi="Times New Roman" w:cs="Times New Roman"/>
          <w:b/>
          <w:bCs/>
        </w:rPr>
        <w:lastRenderedPageBreak/>
        <w:t>APPENDICES</w:t>
      </w:r>
    </w:p>
    <w:p w14:paraId="742B00B0" w14:textId="6A905EB0" w:rsidR="00B721AE" w:rsidRPr="006562B6" w:rsidRDefault="00B721AE" w:rsidP="006562B6">
      <w:pPr>
        <w:rPr>
          <w:rFonts w:ascii="Times New Roman" w:eastAsia="Arial" w:hAnsi="Times New Roman" w:cs="Times New Roman"/>
          <w:b/>
          <w:bCs/>
        </w:rPr>
      </w:pPr>
      <w:r w:rsidRPr="000F2613">
        <w:rPr>
          <w:rFonts w:ascii="Times New Roman" w:hAnsi="Times New Roman" w:cs="Times New Roman"/>
        </w:rPr>
        <w:t xml:space="preserve">Table </w:t>
      </w:r>
      <w:r w:rsidRPr="000F2613">
        <w:rPr>
          <w:rFonts w:ascii="Times New Roman" w:hAnsi="Times New Roman" w:cs="Times New Roman"/>
        </w:rPr>
        <w:fldChar w:fldCharType="begin"/>
      </w:r>
      <w:r w:rsidRPr="000F2613">
        <w:rPr>
          <w:rFonts w:ascii="Times New Roman" w:hAnsi="Times New Roman" w:cs="Times New Roman"/>
        </w:rPr>
        <w:instrText xml:space="preserve"> SEQ Table \* ARABIC </w:instrText>
      </w:r>
      <w:r w:rsidRPr="000F2613">
        <w:rPr>
          <w:rFonts w:ascii="Times New Roman" w:hAnsi="Times New Roman" w:cs="Times New Roman"/>
        </w:rPr>
        <w:fldChar w:fldCharType="separate"/>
      </w:r>
      <w:r w:rsidRPr="000F2613">
        <w:rPr>
          <w:rFonts w:ascii="Times New Roman" w:hAnsi="Times New Roman" w:cs="Times New Roman"/>
          <w:noProof/>
        </w:rPr>
        <w:t>1</w:t>
      </w:r>
      <w:r w:rsidRPr="000F2613">
        <w:rPr>
          <w:rFonts w:ascii="Times New Roman" w:hAnsi="Times New Roman" w:cs="Times New Roman"/>
        </w:rPr>
        <w:fldChar w:fldCharType="end"/>
      </w:r>
      <w:r w:rsidRPr="000F2613">
        <w:rPr>
          <w:rFonts w:ascii="Times New Roman" w:hAnsi="Times New Roman" w:cs="Times New Roman"/>
        </w:rPr>
        <w:t>. Research questions to guide recommendations</w:t>
      </w:r>
    </w:p>
    <w:tbl>
      <w:tblPr>
        <w:tblStyle w:val="TableGrid"/>
        <w:tblW w:w="0" w:type="auto"/>
        <w:tblLook w:val="04A0" w:firstRow="1" w:lastRow="0" w:firstColumn="1" w:lastColumn="0" w:noHBand="0" w:noVBand="1"/>
      </w:tblPr>
      <w:tblGrid>
        <w:gridCol w:w="4390"/>
        <w:gridCol w:w="4536"/>
      </w:tblGrid>
      <w:tr w:rsidR="00B721AE" w:rsidRPr="000F2613" w14:paraId="135E2ADE" w14:textId="77777777" w:rsidTr="0060287F">
        <w:tc>
          <w:tcPr>
            <w:tcW w:w="4390" w:type="dxa"/>
          </w:tcPr>
          <w:p w14:paraId="30C65AAC" w14:textId="77777777" w:rsidR="00B721AE" w:rsidRPr="000F2613" w:rsidRDefault="00B721AE" w:rsidP="0060287F">
            <w:pPr>
              <w:rPr>
                <w:rFonts w:ascii="Times New Roman" w:hAnsi="Times New Roman" w:cs="Times New Roman"/>
                <w:b/>
                <w:bCs/>
              </w:rPr>
            </w:pPr>
            <w:r w:rsidRPr="000F2613">
              <w:rPr>
                <w:rFonts w:ascii="Times New Roman" w:hAnsi="Times New Roman" w:cs="Times New Roman"/>
                <w:b/>
                <w:bCs/>
              </w:rPr>
              <w:t>Research Question/Topic</w:t>
            </w:r>
          </w:p>
        </w:tc>
        <w:tc>
          <w:tcPr>
            <w:tcW w:w="4536" w:type="dxa"/>
          </w:tcPr>
          <w:p w14:paraId="44914057" w14:textId="77777777" w:rsidR="00B721AE" w:rsidRPr="000F2613" w:rsidRDefault="00B721AE" w:rsidP="0060287F">
            <w:pPr>
              <w:rPr>
                <w:rFonts w:ascii="Times New Roman" w:hAnsi="Times New Roman" w:cs="Times New Roman"/>
                <w:b/>
                <w:bCs/>
              </w:rPr>
            </w:pPr>
            <w:r w:rsidRPr="000F2613">
              <w:rPr>
                <w:rFonts w:ascii="Times New Roman" w:hAnsi="Times New Roman" w:cs="Times New Roman"/>
                <w:b/>
                <w:bCs/>
              </w:rPr>
              <w:t xml:space="preserve">Specification </w:t>
            </w:r>
          </w:p>
        </w:tc>
      </w:tr>
      <w:tr w:rsidR="00B721AE" w:rsidRPr="000F2613" w14:paraId="182E00E7" w14:textId="77777777" w:rsidTr="0060287F">
        <w:tc>
          <w:tcPr>
            <w:tcW w:w="4390" w:type="dxa"/>
            <w:vMerge w:val="restart"/>
          </w:tcPr>
          <w:p w14:paraId="1E9F3149" w14:textId="77777777" w:rsidR="00B721AE" w:rsidRPr="000F2613" w:rsidRDefault="00B721AE" w:rsidP="0060287F">
            <w:pPr>
              <w:rPr>
                <w:rFonts w:ascii="Times New Roman" w:hAnsi="Times New Roman" w:cs="Times New Roman"/>
              </w:rPr>
            </w:pPr>
            <w:r w:rsidRPr="000F2613">
              <w:rPr>
                <w:rFonts w:ascii="Times New Roman" w:hAnsi="Times New Roman" w:cs="Times New Roman"/>
              </w:rPr>
              <w:t>Which methods should be used to drive item selection?</w:t>
            </w:r>
          </w:p>
        </w:tc>
        <w:tc>
          <w:tcPr>
            <w:tcW w:w="4536" w:type="dxa"/>
          </w:tcPr>
          <w:p w14:paraId="5C327E8E" w14:textId="77777777" w:rsidR="00B721AE" w:rsidRPr="000F2613" w:rsidRDefault="00B721AE" w:rsidP="0060287F">
            <w:pPr>
              <w:rPr>
                <w:rFonts w:ascii="Times New Roman" w:hAnsi="Times New Roman" w:cs="Times New Roman"/>
              </w:rPr>
            </w:pPr>
            <w:r w:rsidRPr="000F2613">
              <w:rPr>
                <w:rFonts w:ascii="Times New Roman" w:hAnsi="Times New Roman" w:cs="Times New Roman"/>
              </w:rPr>
              <w:t>In general (irrespective of study phase)</w:t>
            </w:r>
          </w:p>
        </w:tc>
      </w:tr>
      <w:tr w:rsidR="00B721AE" w:rsidRPr="000F2613" w14:paraId="68116DAB" w14:textId="77777777" w:rsidTr="0060287F">
        <w:tc>
          <w:tcPr>
            <w:tcW w:w="4390" w:type="dxa"/>
            <w:vMerge/>
          </w:tcPr>
          <w:p w14:paraId="37E5664D" w14:textId="77777777" w:rsidR="00B721AE" w:rsidRPr="000F2613" w:rsidRDefault="00B721AE" w:rsidP="0060287F">
            <w:pPr>
              <w:rPr>
                <w:rFonts w:ascii="Times New Roman" w:hAnsi="Times New Roman" w:cs="Times New Roman"/>
              </w:rPr>
            </w:pPr>
          </w:p>
        </w:tc>
        <w:tc>
          <w:tcPr>
            <w:tcW w:w="4536" w:type="dxa"/>
          </w:tcPr>
          <w:p w14:paraId="76925D47" w14:textId="77777777" w:rsidR="00B721AE" w:rsidRPr="000F2613" w:rsidRDefault="00B721AE" w:rsidP="0060287F">
            <w:pPr>
              <w:rPr>
                <w:rFonts w:ascii="Times New Roman" w:hAnsi="Times New Roman" w:cs="Times New Roman"/>
              </w:rPr>
            </w:pPr>
            <w:r w:rsidRPr="000F2613">
              <w:rPr>
                <w:rFonts w:ascii="Times New Roman" w:hAnsi="Times New Roman" w:cs="Times New Roman"/>
              </w:rPr>
              <w:t>Based on clinical trial phase</w:t>
            </w:r>
          </w:p>
        </w:tc>
      </w:tr>
      <w:tr w:rsidR="00B721AE" w:rsidRPr="000F2613" w14:paraId="6387668E" w14:textId="77777777" w:rsidTr="0060287F">
        <w:tc>
          <w:tcPr>
            <w:tcW w:w="4390" w:type="dxa"/>
          </w:tcPr>
          <w:p w14:paraId="7FA92324" w14:textId="77777777" w:rsidR="00B721AE" w:rsidRPr="000F2613" w:rsidRDefault="00B721AE" w:rsidP="0060287F">
            <w:pPr>
              <w:rPr>
                <w:rFonts w:ascii="Times New Roman" w:hAnsi="Times New Roman" w:cs="Times New Roman"/>
              </w:rPr>
            </w:pPr>
            <w:r w:rsidRPr="000F2613">
              <w:rPr>
                <w:rFonts w:ascii="Times New Roman" w:hAnsi="Times New Roman" w:cs="Times New Roman"/>
              </w:rPr>
              <w:t>When should single items vs. multi-item scales be used and what are the benefits and limitations of each approach?</w:t>
            </w:r>
          </w:p>
        </w:tc>
        <w:tc>
          <w:tcPr>
            <w:tcW w:w="4536" w:type="dxa"/>
          </w:tcPr>
          <w:p w14:paraId="16B61D1C" w14:textId="77777777" w:rsidR="00B721AE" w:rsidRPr="000F2613" w:rsidRDefault="00B721AE" w:rsidP="0060287F">
            <w:pPr>
              <w:rPr>
                <w:rFonts w:ascii="Times New Roman" w:hAnsi="Times New Roman" w:cs="Times New Roman"/>
              </w:rPr>
            </w:pPr>
            <w:r w:rsidRPr="000F2613">
              <w:rPr>
                <w:rFonts w:ascii="Times New Roman" w:hAnsi="Times New Roman" w:cs="Times New Roman"/>
              </w:rPr>
              <w:t>Use of single items vs. multi-item scales</w:t>
            </w:r>
          </w:p>
        </w:tc>
      </w:tr>
      <w:tr w:rsidR="00B721AE" w:rsidRPr="000F2613" w14:paraId="2CE43EF2" w14:textId="77777777" w:rsidTr="0060287F">
        <w:tc>
          <w:tcPr>
            <w:tcW w:w="4390" w:type="dxa"/>
            <w:vMerge w:val="restart"/>
          </w:tcPr>
          <w:p w14:paraId="5C7635F1" w14:textId="77777777" w:rsidR="00B721AE" w:rsidRPr="000F2613" w:rsidRDefault="00B721AE" w:rsidP="0060287F">
            <w:pPr>
              <w:rPr>
                <w:rFonts w:ascii="Times New Roman" w:hAnsi="Times New Roman" w:cs="Times New Roman"/>
              </w:rPr>
            </w:pPr>
            <w:r w:rsidRPr="000F2613">
              <w:rPr>
                <w:rFonts w:ascii="Times New Roman" w:hAnsi="Times New Roman" w:cs="Times New Roman"/>
              </w:rPr>
              <w:t>How should different types of psychometric properties be considered and tested, based on the item list/measure and the context of its use?</w:t>
            </w:r>
          </w:p>
        </w:tc>
        <w:tc>
          <w:tcPr>
            <w:tcW w:w="4536" w:type="dxa"/>
          </w:tcPr>
          <w:p w14:paraId="3E004F05" w14:textId="77777777" w:rsidR="00B721AE" w:rsidRPr="000F2613" w:rsidRDefault="00B721AE" w:rsidP="0060287F">
            <w:pPr>
              <w:rPr>
                <w:rFonts w:ascii="Times New Roman" w:hAnsi="Times New Roman" w:cs="Times New Roman"/>
              </w:rPr>
            </w:pPr>
            <w:r w:rsidRPr="000F2613">
              <w:rPr>
                <w:rFonts w:ascii="Times New Roman" w:hAnsi="Times New Roman" w:cs="Times New Roman"/>
              </w:rPr>
              <w:t>Single items &amp; multi-item scales - validity</w:t>
            </w:r>
          </w:p>
        </w:tc>
      </w:tr>
      <w:tr w:rsidR="00B721AE" w:rsidRPr="000F2613" w14:paraId="4570A5C6" w14:textId="77777777" w:rsidTr="0060287F">
        <w:tc>
          <w:tcPr>
            <w:tcW w:w="4390" w:type="dxa"/>
            <w:vMerge/>
          </w:tcPr>
          <w:p w14:paraId="4B4F925F" w14:textId="77777777" w:rsidR="00B721AE" w:rsidRPr="000F2613" w:rsidRDefault="00B721AE" w:rsidP="0060287F">
            <w:pPr>
              <w:rPr>
                <w:rFonts w:ascii="Times New Roman" w:hAnsi="Times New Roman" w:cs="Times New Roman"/>
              </w:rPr>
            </w:pPr>
          </w:p>
        </w:tc>
        <w:tc>
          <w:tcPr>
            <w:tcW w:w="4536" w:type="dxa"/>
          </w:tcPr>
          <w:p w14:paraId="46AF12CA" w14:textId="77777777" w:rsidR="00B721AE" w:rsidRPr="000F2613" w:rsidRDefault="00B721AE" w:rsidP="0060287F">
            <w:pPr>
              <w:rPr>
                <w:rFonts w:ascii="Times New Roman" w:hAnsi="Times New Roman" w:cs="Times New Roman"/>
              </w:rPr>
            </w:pPr>
            <w:r w:rsidRPr="000F2613">
              <w:rPr>
                <w:rFonts w:ascii="Times New Roman" w:hAnsi="Times New Roman" w:cs="Times New Roman"/>
              </w:rPr>
              <w:t>Single items &amp; multi-item scales - reliability</w:t>
            </w:r>
          </w:p>
        </w:tc>
      </w:tr>
      <w:tr w:rsidR="00B721AE" w:rsidRPr="000F2613" w14:paraId="43D9A863" w14:textId="77777777" w:rsidTr="0060287F">
        <w:tc>
          <w:tcPr>
            <w:tcW w:w="4390" w:type="dxa"/>
            <w:vMerge/>
          </w:tcPr>
          <w:p w14:paraId="0D948755" w14:textId="77777777" w:rsidR="00B721AE" w:rsidRPr="000F2613" w:rsidRDefault="00B721AE" w:rsidP="0060287F">
            <w:pPr>
              <w:rPr>
                <w:rFonts w:ascii="Times New Roman" w:hAnsi="Times New Roman" w:cs="Times New Roman"/>
              </w:rPr>
            </w:pPr>
          </w:p>
        </w:tc>
        <w:tc>
          <w:tcPr>
            <w:tcW w:w="4536" w:type="dxa"/>
          </w:tcPr>
          <w:p w14:paraId="161878A9" w14:textId="77777777" w:rsidR="00B721AE" w:rsidRPr="000F2613" w:rsidRDefault="00B721AE" w:rsidP="0060287F">
            <w:pPr>
              <w:rPr>
                <w:rFonts w:ascii="Times New Roman" w:hAnsi="Times New Roman" w:cs="Times New Roman"/>
              </w:rPr>
            </w:pPr>
            <w:r w:rsidRPr="000F2613">
              <w:rPr>
                <w:rFonts w:ascii="Times New Roman" w:hAnsi="Times New Roman" w:cs="Times New Roman"/>
              </w:rPr>
              <w:t>Responsiveness to change</w:t>
            </w:r>
          </w:p>
        </w:tc>
      </w:tr>
      <w:tr w:rsidR="00B721AE" w:rsidRPr="000F2613" w14:paraId="363457B5" w14:textId="77777777" w:rsidTr="0060287F">
        <w:tc>
          <w:tcPr>
            <w:tcW w:w="4390" w:type="dxa"/>
            <w:vMerge w:val="restart"/>
          </w:tcPr>
          <w:p w14:paraId="101DB243" w14:textId="77777777" w:rsidR="00B721AE" w:rsidRPr="000F2613" w:rsidRDefault="00B721AE" w:rsidP="0060287F">
            <w:pPr>
              <w:rPr>
                <w:rFonts w:ascii="Times New Roman" w:hAnsi="Times New Roman" w:cs="Times New Roman"/>
              </w:rPr>
            </w:pPr>
            <w:r w:rsidRPr="000F2613">
              <w:rPr>
                <w:rFonts w:ascii="Times New Roman" w:hAnsi="Times New Roman" w:cs="Times New Roman"/>
              </w:rPr>
              <w:t>How can bias be minimized in the design of item lists?</w:t>
            </w:r>
          </w:p>
        </w:tc>
        <w:tc>
          <w:tcPr>
            <w:tcW w:w="4536" w:type="dxa"/>
          </w:tcPr>
          <w:p w14:paraId="5E4C7514" w14:textId="77777777" w:rsidR="00B721AE" w:rsidRPr="000F2613" w:rsidRDefault="00B721AE" w:rsidP="0060287F">
            <w:pPr>
              <w:rPr>
                <w:rFonts w:ascii="Times New Roman" w:hAnsi="Times New Roman" w:cs="Times New Roman"/>
              </w:rPr>
            </w:pPr>
            <w:r w:rsidRPr="000F2613">
              <w:rPr>
                <w:rFonts w:ascii="Times New Roman" w:hAnsi="Times New Roman" w:cs="Times New Roman"/>
              </w:rPr>
              <w:t>In general</w:t>
            </w:r>
          </w:p>
        </w:tc>
      </w:tr>
      <w:tr w:rsidR="00B721AE" w:rsidRPr="000F2613" w14:paraId="6A4F0FA3" w14:textId="77777777" w:rsidTr="0060287F">
        <w:tc>
          <w:tcPr>
            <w:tcW w:w="4390" w:type="dxa"/>
            <w:vMerge/>
          </w:tcPr>
          <w:p w14:paraId="1115939F" w14:textId="77777777" w:rsidR="00B721AE" w:rsidRPr="000F2613" w:rsidRDefault="00B721AE" w:rsidP="0060287F">
            <w:pPr>
              <w:rPr>
                <w:rFonts w:ascii="Times New Roman" w:hAnsi="Times New Roman" w:cs="Times New Roman"/>
              </w:rPr>
            </w:pPr>
          </w:p>
        </w:tc>
        <w:tc>
          <w:tcPr>
            <w:tcW w:w="4536" w:type="dxa"/>
          </w:tcPr>
          <w:p w14:paraId="03CCFE93" w14:textId="77777777" w:rsidR="00B721AE" w:rsidRPr="000F2613" w:rsidRDefault="00B721AE" w:rsidP="0060287F">
            <w:pPr>
              <w:rPr>
                <w:rFonts w:ascii="Times New Roman" w:hAnsi="Times New Roman" w:cs="Times New Roman"/>
              </w:rPr>
            </w:pPr>
            <w:r w:rsidRPr="000F2613">
              <w:rPr>
                <w:rFonts w:ascii="Times New Roman" w:hAnsi="Times New Roman" w:cs="Times New Roman"/>
              </w:rPr>
              <w:t>For use in multi-arm clinical trials</w:t>
            </w:r>
          </w:p>
        </w:tc>
      </w:tr>
      <w:tr w:rsidR="00B721AE" w:rsidRPr="000F2613" w14:paraId="7194C016" w14:textId="77777777" w:rsidTr="0060287F">
        <w:tc>
          <w:tcPr>
            <w:tcW w:w="4390" w:type="dxa"/>
          </w:tcPr>
          <w:p w14:paraId="7617CFEE" w14:textId="77777777" w:rsidR="00B721AE" w:rsidRPr="000F2613" w:rsidRDefault="00B721AE" w:rsidP="0060287F">
            <w:pPr>
              <w:rPr>
                <w:rFonts w:ascii="Times New Roman" w:hAnsi="Times New Roman" w:cs="Times New Roman"/>
              </w:rPr>
            </w:pPr>
            <w:bookmarkStart w:id="8" w:name="_Hlk74250277"/>
            <w:r w:rsidRPr="000F2613">
              <w:rPr>
                <w:rFonts w:ascii="Times New Roman" w:hAnsi="Times New Roman" w:cs="Times New Roman"/>
              </w:rPr>
              <w:t>How can unexpected issues be measured by item lists?</w:t>
            </w:r>
            <w:bookmarkEnd w:id="8"/>
          </w:p>
        </w:tc>
        <w:tc>
          <w:tcPr>
            <w:tcW w:w="4536" w:type="dxa"/>
          </w:tcPr>
          <w:p w14:paraId="0A90D700" w14:textId="77777777" w:rsidR="00B721AE" w:rsidRPr="000F2613" w:rsidRDefault="00B721AE" w:rsidP="0060287F">
            <w:pPr>
              <w:rPr>
                <w:rFonts w:ascii="Times New Roman" w:hAnsi="Times New Roman" w:cs="Times New Roman"/>
              </w:rPr>
            </w:pPr>
            <w:r w:rsidRPr="000F2613">
              <w:rPr>
                <w:rFonts w:ascii="Times New Roman" w:hAnsi="Times New Roman" w:cs="Times New Roman"/>
              </w:rPr>
              <w:t>Using free text and predictive text reporting</w:t>
            </w:r>
          </w:p>
        </w:tc>
      </w:tr>
      <w:tr w:rsidR="00B721AE" w:rsidRPr="000F2613" w14:paraId="3CBC2CDE" w14:textId="77777777" w:rsidTr="0060287F">
        <w:tc>
          <w:tcPr>
            <w:tcW w:w="4390" w:type="dxa"/>
            <w:vMerge w:val="restart"/>
          </w:tcPr>
          <w:p w14:paraId="729A08D2" w14:textId="77777777" w:rsidR="00B721AE" w:rsidRPr="000F2613" w:rsidRDefault="00B721AE" w:rsidP="0060287F">
            <w:pPr>
              <w:rPr>
                <w:rFonts w:ascii="Times New Roman" w:hAnsi="Times New Roman" w:cs="Times New Roman"/>
              </w:rPr>
            </w:pPr>
            <w:r w:rsidRPr="000F2613">
              <w:rPr>
                <w:rFonts w:ascii="Times New Roman" w:hAnsi="Times New Roman" w:cs="Times New Roman"/>
              </w:rPr>
              <w:t>How should item lists be ordered?</w:t>
            </w:r>
          </w:p>
        </w:tc>
        <w:tc>
          <w:tcPr>
            <w:tcW w:w="4536" w:type="dxa"/>
          </w:tcPr>
          <w:p w14:paraId="1A5151CF" w14:textId="77777777" w:rsidR="00B721AE" w:rsidRPr="000F2613" w:rsidRDefault="00B721AE" w:rsidP="0060287F">
            <w:pPr>
              <w:rPr>
                <w:rFonts w:ascii="Times New Roman" w:hAnsi="Times New Roman" w:cs="Times New Roman"/>
              </w:rPr>
            </w:pPr>
            <w:r w:rsidRPr="000F2613">
              <w:rPr>
                <w:rFonts w:ascii="Times New Roman" w:hAnsi="Times New Roman" w:cs="Times New Roman"/>
              </w:rPr>
              <w:t>To ensure comprehensibility</w:t>
            </w:r>
          </w:p>
        </w:tc>
      </w:tr>
      <w:tr w:rsidR="00B721AE" w:rsidRPr="000F2613" w14:paraId="697E3371" w14:textId="77777777" w:rsidTr="0060287F">
        <w:tc>
          <w:tcPr>
            <w:tcW w:w="4390" w:type="dxa"/>
            <w:vMerge/>
          </w:tcPr>
          <w:p w14:paraId="1A12231B" w14:textId="77777777" w:rsidR="00B721AE" w:rsidRPr="000F2613" w:rsidRDefault="00B721AE" w:rsidP="0060287F">
            <w:pPr>
              <w:rPr>
                <w:rFonts w:ascii="Times New Roman" w:hAnsi="Times New Roman" w:cs="Times New Roman"/>
              </w:rPr>
            </w:pPr>
          </w:p>
        </w:tc>
        <w:tc>
          <w:tcPr>
            <w:tcW w:w="4536" w:type="dxa"/>
          </w:tcPr>
          <w:p w14:paraId="44D99036" w14:textId="77777777" w:rsidR="00B721AE" w:rsidRPr="000F2613" w:rsidRDefault="00B721AE" w:rsidP="0060287F">
            <w:pPr>
              <w:rPr>
                <w:rFonts w:ascii="Times New Roman" w:hAnsi="Times New Roman" w:cs="Times New Roman"/>
              </w:rPr>
            </w:pPr>
            <w:r w:rsidRPr="000F2613">
              <w:rPr>
                <w:rFonts w:ascii="Times New Roman" w:hAnsi="Times New Roman" w:cs="Times New Roman"/>
              </w:rPr>
              <w:t>To account for possible priming effects and potentially sensitive issues</w:t>
            </w:r>
          </w:p>
        </w:tc>
      </w:tr>
      <w:tr w:rsidR="00B721AE" w:rsidRPr="000F2613" w14:paraId="0F7854F9" w14:textId="77777777" w:rsidTr="0060287F">
        <w:tc>
          <w:tcPr>
            <w:tcW w:w="4390" w:type="dxa"/>
            <w:vMerge/>
          </w:tcPr>
          <w:p w14:paraId="29886F5D" w14:textId="77777777" w:rsidR="00B721AE" w:rsidRPr="000F2613" w:rsidRDefault="00B721AE" w:rsidP="0060287F">
            <w:pPr>
              <w:rPr>
                <w:rFonts w:ascii="Times New Roman" w:hAnsi="Times New Roman" w:cs="Times New Roman"/>
              </w:rPr>
            </w:pPr>
          </w:p>
        </w:tc>
        <w:tc>
          <w:tcPr>
            <w:tcW w:w="4536" w:type="dxa"/>
          </w:tcPr>
          <w:p w14:paraId="7224F92E" w14:textId="77777777" w:rsidR="00B721AE" w:rsidRPr="000F2613" w:rsidRDefault="00B721AE" w:rsidP="0060287F">
            <w:pPr>
              <w:rPr>
                <w:rFonts w:ascii="Times New Roman" w:hAnsi="Times New Roman" w:cs="Times New Roman"/>
              </w:rPr>
            </w:pPr>
            <w:r w:rsidRPr="000F2613">
              <w:rPr>
                <w:rFonts w:ascii="Times New Roman" w:hAnsi="Times New Roman" w:cs="Times New Roman"/>
              </w:rPr>
              <w:t>To preserve psychometric properties, where relevant</w:t>
            </w:r>
          </w:p>
        </w:tc>
      </w:tr>
      <w:tr w:rsidR="00B721AE" w:rsidRPr="000F2613" w14:paraId="523D89AE" w14:textId="77777777" w:rsidTr="0060287F">
        <w:tc>
          <w:tcPr>
            <w:tcW w:w="4390" w:type="dxa"/>
            <w:vMerge w:val="restart"/>
          </w:tcPr>
          <w:p w14:paraId="1660804B" w14:textId="77777777" w:rsidR="00B721AE" w:rsidRPr="000F2613" w:rsidRDefault="00B721AE" w:rsidP="0060287F">
            <w:pPr>
              <w:rPr>
                <w:rFonts w:ascii="Times New Roman" w:hAnsi="Times New Roman" w:cs="Times New Roman"/>
              </w:rPr>
            </w:pPr>
            <w:r w:rsidRPr="000F2613">
              <w:rPr>
                <w:rFonts w:ascii="Times New Roman" w:hAnsi="Times New Roman" w:cs="Times New Roman"/>
              </w:rPr>
              <w:t>How should appropriate recall periods be selected?</w:t>
            </w:r>
          </w:p>
        </w:tc>
        <w:tc>
          <w:tcPr>
            <w:tcW w:w="4536" w:type="dxa"/>
          </w:tcPr>
          <w:p w14:paraId="0F267AB1" w14:textId="77777777" w:rsidR="00B721AE" w:rsidRPr="000F2613" w:rsidRDefault="00B721AE" w:rsidP="0060287F">
            <w:pPr>
              <w:rPr>
                <w:rFonts w:ascii="Times New Roman" w:hAnsi="Times New Roman" w:cs="Times New Roman"/>
              </w:rPr>
            </w:pPr>
            <w:r w:rsidRPr="000F2613">
              <w:rPr>
                <w:rFonts w:ascii="Times New Roman" w:hAnsi="Times New Roman" w:cs="Times New Roman"/>
              </w:rPr>
              <w:t>In general</w:t>
            </w:r>
          </w:p>
        </w:tc>
      </w:tr>
      <w:tr w:rsidR="00B721AE" w:rsidRPr="000F2613" w14:paraId="3340A8CF" w14:textId="77777777" w:rsidTr="0060287F">
        <w:tc>
          <w:tcPr>
            <w:tcW w:w="4390" w:type="dxa"/>
            <w:vMerge/>
          </w:tcPr>
          <w:p w14:paraId="1DD7A697" w14:textId="77777777" w:rsidR="00B721AE" w:rsidRPr="000F2613" w:rsidRDefault="00B721AE" w:rsidP="0060287F">
            <w:pPr>
              <w:rPr>
                <w:rFonts w:ascii="Times New Roman" w:hAnsi="Times New Roman" w:cs="Times New Roman"/>
              </w:rPr>
            </w:pPr>
          </w:p>
        </w:tc>
        <w:tc>
          <w:tcPr>
            <w:tcW w:w="4536" w:type="dxa"/>
          </w:tcPr>
          <w:p w14:paraId="751EA22E" w14:textId="77777777" w:rsidR="00B721AE" w:rsidRPr="000F2613" w:rsidRDefault="00B721AE" w:rsidP="0060287F">
            <w:pPr>
              <w:rPr>
                <w:rFonts w:ascii="Times New Roman" w:hAnsi="Times New Roman" w:cs="Times New Roman"/>
              </w:rPr>
            </w:pPr>
            <w:r w:rsidRPr="000F2613">
              <w:rPr>
                <w:rFonts w:ascii="Times New Roman" w:hAnsi="Times New Roman" w:cs="Times New Roman"/>
              </w:rPr>
              <w:t>Considering PRO and study/clinical characteristics</w:t>
            </w:r>
          </w:p>
        </w:tc>
      </w:tr>
      <w:tr w:rsidR="00B721AE" w:rsidRPr="000F2613" w14:paraId="71855A5A" w14:textId="77777777" w:rsidTr="0060287F">
        <w:tc>
          <w:tcPr>
            <w:tcW w:w="4390" w:type="dxa"/>
            <w:vMerge w:val="restart"/>
          </w:tcPr>
          <w:p w14:paraId="5298EED4" w14:textId="77777777" w:rsidR="00B721AE" w:rsidRPr="000F2613" w:rsidRDefault="00B721AE" w:rsidP="0060287F">
            <w:pPr>
              <w:rPr>
                <w:rFonts w:ascii="Times New Roman" w:hAnsi="Times New Roman" w:cs="Times New Roman"/>
              </w:rPr>
            </w:pPr>
            <w:r w:rsidRPr="000F2613">
              <w:rPr>
                <w:rFonts w:ascii="Times New Roman" w:hAnsi="Times New Roman" w:cs="Times New Roman"/>
              </w:rPr>
              <w:t xml:space="preserve">What are some of the determinants of patient burden and how can it be minimized? </w:t>
            </w:r>
          </w:p>
        </w:tc>
        <w:tc>
          <w:tcPr>
            <w:tcW w:w="4536" w:type="dxa"/>
          </w:tcPr>
          <w:p w14:paraId="500F2EDB" w14:textId="77777777" w:rsidR="00B721AE" w:rsidRPr="000F2613" w:rsidRDefault="00B721AE" w:rsidP="0060287F">
            <w:pPr>
              <w:rPr>
                <w:rFonts w:ascii="Times New Roman" w:hAnsi="Times New Roman" w:cs="Times New Roman"/>
              </w:rPr>
            </w:pPr>
            <w:r w:rsidRPr="000F2613">
              <w:rPr>
                <w:rFonts w:ascii="Times New Roman" w:hAnsi="Times New Roman" w:cs="Times New Roman"/>
              </w:rPr>
              <w:t>Determinants of patient burden</w:t>
            </w:r>
          </w:p>
        </w:tc>
      </w:tr>
      <w:tr w:rsidR="00B721AE" w:rsidRPr="000F2613" w14:paraId="1AEC5F89" w14:textId="77777777" w:rsidTr="0060287F">
        <w:tc>
          <w:tcPr>
            <w:tcW w:w="4390" w:type="dxa"/>
            <w:vMerge/>
          </w:tcPr>
          <w:p w14:paraId="23E823E3" w14:textId="77777777" w:rsidR="00B721AE" w:rsidRPr="000F2613" w:rsidRDefault="00B721AE" w:rsidP="0060287F">
            <w:pPr>
              <w:rPr>
                <w:rFonts w:ascii="Times New Roman" w:hAnsi="Times New Roman" w:cs="Times New Roman"/>
              </w:rPr>
            </w:pPr>
          </w:p>
        </w:tc>
        <w:tc>
          <w:tcPr>
            <w:tcW w:w="4536" w:type="dxa"/>
          </w:tcPr>
          <w:p w14:paraId="1BB5723D" w14:textId="77777777" w:rsidR="00B721AE" w:rsidRPr="000F2613" w:rsidRDefault="00B721AE" w:rsidP="0060287F">
            <w:pPr>
              <w:rPr>
                <w:rFonts w:ascii="Times New Roman" w:hAnsi="Times New Roman" w:cs="Times New Roman"/>
              </w:rPr>
            </w:pPr>
            <w:r w:rsidRPr="000F2613">
              <w:rPr>
                <w:rFonts w:ascii="Times New Roman" w:hAnsi="Times New Roman" w:cs="Times New Roman"/>
              </w:rPr>
              <w:t>Methods to minimize patient burden</w:t>
            </w:r>
          </w:p>
        </w:tc>
      </w:tr>
      <w:tr w:rsidR="00B721AE" w:rsidRPr="000F2613" w14:paraId="515BDCB0" w14:textId="77777777" w:rsidTr="0060287F">
        <w:tc>
          <w:tcPr>
            <w:tcW w:w="4390" w:type="dxa"/>
            <w:vMerge w:val="restart"/>
          </w:tcPr>
          <w:p w14:paraId="7919C848" w14:textId="77777777" w:rsidR="00B721AE" w:rsidRPr="000F2613" w:rsidRDefault="00B721AE" w:rsidP="0060287F">
            <w:pPr>
              <w:rPr>
                <w:rFonts w:ascii="Times New Roman" w:hAnsi="Times New Roman" w:cs="Times New Roman"/>
              </w:rPr>
            </w:pPr>
            <w:r w:rsidRPr="000F2613">
              <w:rPr>
                <w:rFonts w:ascii="Times New Roman" w:hAnsi="Times New Roman" w:cs="Times New Roman"/>
              </w:rPr>
              <w:t>How should item lists be used in conjunction with static measures and/or other measurement systems?</w:t>
            </w:r>
          </w:p>
        </w:tc>
        <w:tc>
          <w:tcPr>
            <w:tcW w:w="4536" w:type="dxa"/>
          </w:tcPr>
          <w:p w14:paraId="6D25773A" w14:textId="77777777" w:rsidR="00B721AE" w:rsidRPr="000F2613" w:rsidRDefault="00B721AE" w:rsidP="0060287F">
            <w:pPr>
              <w:rPr>
                <w:rFonts w:ascii="Times New Roman" w:hAnsi="Times New Roman" w:cs="Times New Roman"/>
              </w:rPr>
            </w:pPr>
            <w:r w:rsidRPr="000F2613">
              <w:rPr>
                <w:rFonts w:ascii="Times New Roman" w:hAnsi="Times New Roman" w:cs="Times New Roman"/>
              </w:rPr>
              <w:t>To assure measurement of core outcomes</w:t>
            </w:r>
          </w:p>
        </w:tc>
      </w:tr>
      <w:tr w:rsidR="00B721AE" w:rsidRPr="000F2613" w14:paraId="0386C8B0" w14:textId="77777777" w:rsidTr="0060287F">
        <w:tc>
          <w:tcPr>
            <w:tcW w:w="4390" w:type="dxa"/>
            <w:vMerge/>
          </w:tcPr>
          <w:p w14:paraId="4C2E2613" w14:textId="77777777" w:rsidR="00B721AE" w:rsidRPr="000F2613" w:rsidRDefault="00B721AE" w:rsidP="0060287F">
            <w:pPr>
              <w:rPr>
                <w:rFonts w:ascii="Times New Roman" w:hAnsi="Times New Roman" w:cs="Times New Roman"/>
              </w:rPr>
            </w:pPr>
          </w:p>
        </w:tc>
        <w:tc>
          <w:tcPr>
            <w:tcW w:w="4536" w:type="dxa"/>
          </w:tcPr>
          <w:p w14:paraId="21779473" w14:textId="77777777" w:rsidR="00B721AE" w:rsidRPr="000F2613" w:rsidRDefault="00B721AE" w:rsidP="0060287F">
            <w:pPr>
              <w:rPr>
                <w:rFonts w:ascii="Times New Roman" w:hAnsi="Times New Roman" w:cs="Times New Roman"/>
              </w:rPr>
            </w:pPr>
            <w:r w:rsidRPr="000F2613">
              <w:rPr>
                <w:rFonts w:ascii="Times New Roman" w:hAnsi="Times New Roman" w:cs="Times New Roman"/>
              </w:rPr>
              <w:t>To achieve a flexible and balanced approach to PRO measurement</w:t>
            </w:r>
          </w:p>
        </w:tc>
      </w:tr>
    </w:tbl>
    <w:p w14:paraId="64CDB14C" w14:textId="77777777" w:rsidR="00B721AE" w:rsidRPr="000F2613" w:rsidRDefault="00B721AE" w:rsidP="00B721AE">
      <w:pPr>
        <w:rPr>
          <w:rFonts w:ascii="Times New Roman" w:hAnsi="Times New Roman" w:cs="Times New Roman"/>
        </w:rPr>
        <w:sectPr w:rsidR="00B721AE" w:rsidRPr="000F2613">
          <w:pgSz w:w="11906" w:h="16838"/>
          <w:pgMar w:top="1440" w:right="1440" w:bottom="1440" w:left="1440" w:header="708" w:footer="708" w:gutter="0"/>
          <w:cols w:space="708"/>
          <w:docGrid w:linePitch="360"/>
        </w:sectPr>
      </w:pPr>
    </w:p>
    <w:p w14:paraId="6D09BEAF" w14:textId="6A0F8EB3" w:rsidR="00E443F2" w:rsidRPr="00E443F2" w:rsidRDefault="00B721AE" w:rsidP="4BF257C8">
      <w:pPr>
        <w:spacing w:line="240" w:lineRule="auto"/>
        <w:rPr>
          <w:rFonts w:ascii="Times New Roman" w:eastAsia="Arial" w:hAnsi="Times New Roman" w:cs="Times New Roman"/>
          <w:b/>
          <w:bCs/>
        </w:rPr>
      </w:pPr>
      <w:r w:rsidRPr="002E6676">
        <w:rPr>
          <w:noProof/>
        </w:rPr>
        <w:lastRenderedPageBreak/>
        <mc:AlternateContent>
          <mc:Choice Requires="wps">
            <w:drawing>
              <wp:anchor distT="45720" distB="45720" distL="114300" distR="114300" simplePos="0" relativeHeight="251659264" behindDoc="0" locked="0" layoutInCell="1" allowOverlap="1" wp14:anchorId="53C992F4" wp14:editId="01802C5B">
                <wp:simplePos x="0" y="0"/>
                <wp:positionH relativeFrom="column">
                  <wp:posOffset>1341120</wp:posOffset>
                </wp:positionH>
                <wp:positionV relativeFrom="paragraph">
                  <wp:posOffset>17780</wp:posOffset>
                </wp:positionV>
                <wp:extent cx="2698750" cy="457200"/>
                <wp:effectExtent l="0" t="0" r="2540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8750" cy="457200"/>
                        </a:xfrm>
                        <a:prstGeom prst="rect">
                          <a:avLst/>
                        </a:prstGeom>
                        <a:solidFill>
                          <a:srgbClr val="FFFFFF"/>
                        </a:solidFill>
                        <a:ln w="9525">
                          <a:solidFill>
                            <a:srgbClr val="000000"/>
                          </a:solidFill>
                          <a:miter lim="800000"/>
                          <a:headEnd/>
                          <a:tailEnd/>
                        </a:ln>
                      </wps:spPr>
                      <wps:txbx>
                        <w:txbxContent>
                          <w:p w14:paraId="7D3DA215" w14:textId="77777777" w:rsidR="00B721AE" w:rsidRPr="000F2613" w:rsidRDefault="00B721AE" w:rsidP="00B721AE">
                            <w:pPr>
                              <w:rPr>
                                <w:rFonts w:ascii="Times New Roman" w:hAnsi="Times New Roman" w:cs="Times New Roman"/>
                              </w:rPr>
                            </w:pPr>
                            <w:r w:rsidRPr="000F2613">
                              <w:rPr>
                                <w:rFonts w:ascii="Times New Roman" w:hAnsi="Times New Roman" w:cs="Times New Roman"/>
                              </w:rPr>
                              <w:t xml:space="preserve">21 publications identified through PubMed® search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3C992F4" id="_x0000_t202" coordsize="21600,21600" o:spt="202" path="m,l,21600r21600,l21600,xe">
                <v:stroke joinstyle="miter"/>
                <v:path gradientshapeok="t" o:connecttype="rect"/>
              </v:shapetype>
              <v:shape id="Text Box 2" o:spid="_x0000_s1026" type="#_x0000_t202" style="position:absolute;margin-left:105.6pt;margin-top:1.4pt;width:212.5pt;height:36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">
                <v:textbox>
                  <w:txbxContent>
                    <w:p w14:paraId="7D3DA215" w14:textId="77777777" w:rsidR="00B721AE" w:rsidRPr="000F2613" w:rsidRDefault="00B721AE" w:rsidP="00B721AE">
                      <w:pPr>
                        <w:rPr>
                          <w:rFonts w:ascii="Times New Roman" w:hAnsi="Times New Roman" w:cs="Times New Roman"/>
                        </w:rPr>
                      </w:pPr>
                      <w:r w:rsidRPr="000F2613">
                        <w:rPr>
                          <w:rFonts w:ascii="Times New Roman" w:hAnsi="Times New Roman" w:cs="Times New Roman"/>
                        </w:rPr>
                        <w:t xml:space="preserve">21 publications identified through PubMed® search </w:t>
                      </w:r>
                    </w:p>
                  </w:txbxContent>
                </v:textbox>
                <w10:wrap type="square"/>
              </v:shape>
            </w:pict>
          </mc:Fallback>
        </mc:AlternateContent>
      </w:r>
    </w:p>
    <w:p w14:paraId="76318CA2" w14:textId="52DFF7EE" w:rsidR="00E443F2" w:rsidRDefault="00B721AE" w:rsidP="4BF257C8">
      <w:pPr>
        <w:spacing w:line="240" w:lineRule="auto"/>
        <w:rPr>
          <w:rFonts w:ascii="Times New Roman" w:eastAsia="Arial" w:hAnsi="Times New Roman" w:cs="Times New Roman"/>
        </w:rPr>
      </w:pPr>
      <w:r>
        <w:rPr>
          <w:noProof/>
        </w:rPr>
        <mc:AlternateContent>
          <mc:Choice Requires="wps">
            <w:drawing>
              <wp:anchor distT="0" distB="0" distL="114300" distR="114300" simplePos="0" relativeHeight="251661312" behindDoc="0" locked="0" layoutInCell="1" allowOverlap="1" wp14:anchorId="4478B437" wp14:editId="075934E4">
                <wp:simplePos x="0" y="0"/>
                <wp:positionH relativeFrom="column">
                  <wp:posOffset>2567940</wp:posOffset>
                </wp:positionH>
                <wp:positionV relativeFrom="paragraph">
                  <wp:posOffset>210185</wp:posOffset>
                </wp:positionV>
                <wp:extent cx="48143" cy="6377940"/>
                <wp:effectExtent l="38100" t="0" r="66675" b="60960"/>
                <wp:wrapNone/>
                <wp:docPr id="5" name="Straight Arrow Connector 5"/>
                <wp:cNvGraphicFramePr/>
                <a:graphic xmlns:a="http://schemas.openxmlformats.org/drawingml/2006/main">
                  <a:graphicData uri="http://schemas.microsoft.com/office/word/2010/wordprocessingShape">
                    <wps:wsp>
                      <wps:cNvCnPr/>
                      <wps:spPr>
                        <a:xfrm>
                          <a:off x="0" y="0"/>
                          <a:ext cx="48143" cy="637794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64E8A6C8" id="_x0000_t32" coordsize="21600,21600" o:spt="32" o:oned="t" path="m,l21600,21600e" filled="f">
                <v:path arrowok="t" fillok="f" o:connecttype="none"/>
                <o:lock v:ext="edit" shapetype="t"/>
              </v:shapetype>
              <v:shape id="Straight Arrow Connector 5" o:spid="_x0000_s1026" type="#_x0000_t32" style="position:absolute;margin-left:202.2pt;margin-top:16.55pt;width:3.8pt;height:502.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" strokecolor="windowText" strokeweight=".5pt">
                <v:stroke endarrow="block" joinstyle="miter"/>
              </v:shape>
            </w:pict>
          </mc:Fallback>
        </mc:AlternateContent>
      </w:r>
    </w:p>
    <w:p w14:paraId="513F11AF" w14:textId="58E444E2" w:rsidR="00E443F2" w:rsidRDefault="00E443F2" w:rsidP="4BF257C8">
      <w:pPr>
        <w:spacing w:line="240" w:lineRule="auto"/>
        <w:rPr>
          <w:rFonts w:ascii="Times New Roman" w:eastAsia="Arial" w:hAnsi="Times New Roman" w:cs="Times New Roman"/>
        </w:rPr>
      </w:pPr>
    </w:p>
    <w:p w14:paraId="4DB659BD" w14:textId="3E7DED25" w:rsidR="00E443F2" w:rsidRDefault="00E5544A" w:rsidP="4BF257C8">
      <w:pPr>
        <w:spacing w:line="240" w:lineRule="auto"/>
        <w:rPr>
          <w:rFonts w:ascii="Times New Roman" w:eastAsia="Arial" w:hAnsi="Times New Roman" w:cs="Times New Roman"/>
        </w:rPr>
      </w:pPr>
      <w:r w:rsidRPr="00D22EC2">
        <w:rPr>
          <w:noProof/>
        </w:rPr>
        <mc:AlternateContent>
          <mc:Choice Requires="wps">
            <w:drawing>
              <wp:anchor distT="45720" distB="45720" distL="114300" distR="114300" simplePos="0" relativeHeight="251663360" behindDoc="0" locked="0" layoutInCell="1" allowOverlap="1" wp14:anchorId="0A2FE757" wp14:editId="57C27268">
                <wp:simplePos x="0" y="0"/>
                <wp:positionH relativeFrom="column">
                  <wp:posOffset>3505200</wp:posOffset>
                </wp:positionH>
                <wp:positionV relativeFrom="paragraph">
                  <wp:posOffset>65405</wp:posOffset>
                </wp:positionV>
                <wp:extent cx="1974215" cy="1066800"/>
                <wp:effectExtent l="0" t="0" r="26035" b="1905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4215" cy="1066800"/>
                        </a:xfrm>
                        <a:prstGeom prst="rect">
                          <a:avLst/>
                        </a:prstGeom>
                        <a:solidFill>
                          <a:srgbClr val="FFFFFF"/>
                        </a:solidFill>
                        <a:ln w="9525">
                          <a:solidFill>
                            <a:srgbClr val="000000"/>
                          </a:solidFill>
                          <a:miter lim="800000"/>
                          <a:headEnd/>
                          <a:tailEnd/>
                        </a:ln>
                      </wps:spPr>
                      <wps:txbx>
                        <w:txbxContent>
                          <w:p w14:paraId="330FAF57" w14:textId="77777777" w:rsidR="00E5544A" w:rsidRPr="000F2613" w:rsidRDefault="00E5544A" w:rsidP="00E5544A">
                            <w:pPr>
                              <w:rPr>
                                <w:rFonts w:ascii="Times New Roman" w:hAnsi="Times New Roman" w:cs="Times New Roman"/>
                              </w:rPr>
                            </w:pPr>
                            <w:r w:rsidRPr="000F2613">
                              <w:rPr>
                                <w:rFonts w:ascii="Times New Roman" w:hAnsi="Times New Roman" w:cs="Times New Roman"/>
                              </w:rPr>
                              <w:t>20 publications excluded (did not provide explicit recommendations on creating PRO measures using item libraries)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A2FE757" id="_x0000_s1027" type="#_x0000_t202" style="position:absolute;margin-left:276pt;margin-top:5.15pt;width:155.45pt;height:84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">
                <v:textbox>
                  <w:txbxContent>
                    <w:p w14:paraId="330FAF57" w14:textId="77777777" w:rsidR="00E5544A" w:rsidRPr="000F2613" w:rsidRDefault="00E5544A" w:rsidP="00E5544A">
                      <w:pPr>
                        <w:rPr>
                          <w:rFonts w:ascii="Times New Roman" w:hAnsi="Times New Roman" w:cs="Times New Roman"/>
                        </w:rPr>
                      </w:pPr>
                      <w:r w:rsidRPr="000F2613">
                        <w:rPr>
                          <w:rFonts w:ascii="Times New Roman" w:hAnsi="Times New Roman" w:cs="Times New Roman"/>
                        </w:rPr>
                        <w:t>20 publications excluded (did not provide explicit recommendations on creating PRO measures using item libraries)</w:t>
                      </w:r>
                    </w:p>
                  </w:txbxContent>
                </v:textbox>
                <w10:wrap type="square"/>
              </v:shape>
            </w:pict>
          </mc:Fallback>
        </mc:AlternateContent>
      </w:r>
    </w:p>
    <w:p w14:paraId="23FEB4D3" w14:textId="6AC99D51" w:rsidR="00E443F2" w:rsidRDefault="00E443F2" w:rsidP="4BF257C8">
      <w:pPr>
        <w:spacing w:line="240" w:lineRule="auto"/>
        <w:rPr>
          <w:rFonts w:ascii="Times New Roman" w:eastAsia="Arial" w:hAnsi="Times New Roman" w:cs="Times New Roman"/>
        </w:rPr>
      </w:pPr>
    </w:p>
    <w:p w14:paraId="2AEE825D" w14:textId="791806CD" w:rsidR="00E443F2" w:rsidRDefault="00E5544A" w:rsidP="4BF257C8">
      <w:pPr>
        <w:spacing w:line="240" w:lineRule="auto"/>
        <w:rPr>
          <w:rFonts w:ascii="Times New Roman" w:eastAsia="Arial" w:hAnsi="Times New Roman" w:cs="Times New Roman"/>
        </w:rPr>
      </w:pPr>
      <w:r>
        <w:rPr>
          <w:noProof/>
        </w:rPr>
        <mc:AlternateContent>
          <mc:Choice Requires="wps">
            <w:drawing>
              <wp:anchor distT="0" distB="0" distL="114300" distR="114300" simplePos="0" relativeHeight="251665408" behindDoc="0" locked="0" layoutInCell="1" allowOverlap="1" wp14:anchorId="411E46A8" wp14:editId="725C7657">
                <wp:simplePos x="0" y="0"/>
                <wp:positionH relativeFrom="column">
                  <wp:posOffset>2613660</wp:posOffset>
                </wp:positionH>
                <wp:positionV relativeFrom="paragraph">
                  <wp:posOffset>83185</wp:posOffset>
                </wp:positionV>
                <wp:extent cx="891540" cy="0"/>
                <wp:effectExtent l="38100" t="76200" r="0" b="95250"/>
                <wp:wrapNone/>
                <wp:docPr id="9" name="Straight Arrow Connector 9"/>
                <wp:cNvGraphicFramePr/>
                <a:graphic xmlns:a="http://schemas.openxmlformats.org/drawingml/2006/main">
                  <a:graphicData uri="http://schemas.microsoft.com/office/word/2010/wordprocessingShape">
                    <wps:wsp>
                      <wps:cNvCnPr/>
                      <wps:spPr>
                        <a:xfrm flipH="1">
                          <a:off x="0" y="0"/>
                          <a:ext cx="891540" cy="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679F15AB" id="Straight Arrow Connector 9" o:spid="_x0000_s1026" type="#_x0000_t32" style="position:absolute;margin-left:205.8pt;margin-top:6.55pt;width:70.2pt;height:0;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" strokecolor="windowText" strokeweight=".5pt">
                <v:stroke endarrow="block" joinstyle="miter"/>
              </v:shape>
            </w:pict>
          </mc:Fallback>
        </mc:AlternateContent>
      </w:r>
    </w:p>
    <w:p w14:paraId="36E86351" w14:textId="6963E327" w:rsidR="00E443F2" w:rsidRDefault="00E5544A" w:rsidP="4BF257C8">
      <w:pPr>
        <w:spacing w:line="240" w:lineRule="auto"/>
        <w:rPr>
          <w:rFonts w:ascii="Times New Roman" w:eastAsia="Arial" w:hAnsi="Times New Roman" w:cs="Times New Roman"/>
        </w:rPr>
      </w:pPr>
      <w:r w:rsidRPr="00912653">
        <w:rPr>
          <w:noProof/>
        </w:rPr>
        <mc:AlternateContent>
          <mc:Choice Requires="wps">
            <w:drawing>
              <wp:anchor distT="45720" distB="45720" distL="114300" distR="114300" simplePos="0" relativeHeight="251667456" behindDoc="0" locked="0" layoutInCell="1" allowOverlap="1" wp14:anchorId="7CBFC7E1" wp14:editId="1E5583D6">
                <wp:simplePos x="0" y="0"/>
                <wp:positionH relativeFrom="column">
                  <wp:posOffset>38100</wp:posOffset>
                </wp:positionH>
                <wp:positionV relativeFrom="paragraph">
                  <wp:posOffset>124460</wp:posOffset>
                </wp:positionV>
                <wp:extent cx="2126615" cy="1055370"/>
                <wp:effectExtent l="0" t="0" r="26035" b="1143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6615" cy="1055370"/>
                        </a:xfrm>
                        <a:prstGeom prst="rect">
                          <a:avLst/>
                        </a:prstGeom>
                        <a:solidFill>
                          <a:srgbClr val="FFFFFF"/>
                        </a:solidFill>
                        <a:ln w="9525">
                          <a:solidFill>
                            <a:srgbClr val="000000"/>
                          </a:solidFill>
                          <a:miter lim="800000"/>
                          <a:headEnd/>
                          <a:tailEnd/>
                        </a:ln>
                      </wps:spPr>
                      <wps:txbx>
                        <w:txbxContent>
                          <w:p w14:paraId="4147B42E" w14:textId="77777777" w:rsidR="00E5544A" w:rsidRPr="000F2613" w:rsidRDefault="00E5544A" w:rsidP="00E5544A">
                            <w:pPr>
                              <w:rPr>
                                <w:rFonts w:ascii="Times New Roman" w:hAnsi="Times New Roman" w:cs="Times New Roman"/>
                              </w:rPr>
                            </w:pPr>
                            <w:r w:rsidRPr="000F2613">
                              <w:rPr>
                                <w:rFonts w:ascii="Times New Roman" w:hAnsi="Times New Roman" w:cs="Times New Roman"/>
                              </w:rPr>
                              <w:t>32 publications/sources added through additional searches of databases, and item library websites/platforms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CBFC7E1" id="_x0000_s1028" type="#_x0000_t202" style="position:absolute;margin-left:3pt;margin-top:9.8pt;width:167.45pt;height:83.1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">
                <v:textbox>
                  <w:txbxContent>
                    <w:p w14:paraId="4147B42E" w14:textId="77777777" w:rsidR="00E5544A" w:rsidRPr="000F2613" w:rsidRDefault="00E5544A" w:rsidP="00E5544A">
                      <w:pPr>
                        <w:rPr>
                          <w:rFonts w:ascii="Times New Roman" w:hAnsi="Times New Roman" w:cs="Times New Roman"/>
                        </w:rPr>
                      </w:pPr>
                      <w:r w:rsidRPr="000F2613">
                        <w:rPr>
                          <w:rFonts w:ascii="Times New Roman" w:hAnsi="Times New Roman" w:cs="Times New Roman"/>
                        </w:rPr>
                        <w:t>32 publications/sources added through additional searches of databases, and item library websites/platforms</w:t>
                      </w:r>
                    </w:p>
                  </w:txbxContent>
                </v:textbox>
                <w10:wrap type="square"/>
              </v:shape>
            </w:pict>
          </mc:Fallback>
        </mc:AlternateContent>
      </w:r>
    </w:p>
    <w:p w14:paraId="2FED0CEA" w14:textId="74DD5071" w:rsidR="00E443F2" w:rsidRDefault="00E443F2" w:rsidP="4BF257C8">
      <w:pPr>
        <w:spacing w:line="240" w:lineRule="auto"/>
        <w:rPr>
          <w:rFonts w:ascii="Times New Roman" w:eastAsia="Arial" w:hAnsi="Times New Roman" w:cs="Times New Roman"/>
        </w:rPr>
      </w:pPr>
    </w:p>
    <w:p w14:paraId="2F4BC481" w14:textId="36C689FF" w:rsidR="00E443F2" w:rsidRDefault="00E5544A" w:rsidP="4BF257C8">
      <w:pPr>
        <w:spacing w:line="240" w:lineRule="auto"/>
        <w:rPr>
          <w:rFonts w:ascii="Times New Roman" w:eastAsia="Arial" w:hAnsi="Times New Roman" w:cs="Times New Roman"/>
        </w:rPr>
      </w:pPr>
      <w:r>
        <w:rPr>
          <w:noProof/>
        </w:rPr>
        <mc:AlternateContent>
          <mc:Choice Requires="wps">
            <w:drawing>
              <wp:anchor distT="0" distB="0" distL="114300" distR="114300" simplePos="0" relativeHeight="251669504" behindDoc="0" locked="0" layoutInCell="1" allowOverlap="1" wp14:anchorId="5E130922" wp14:editId="6424E478">
                <wp:simplePos x="0" y="0"/>
                <wp:positionH relativeFrom="column">
                  <wp:posOffset>2168525</wp:posOffset>
                </wp:positionH>
                <wp:positionV relativeFrom="paragraph">
                  <wp:posOffset>152400</wp:posOffset>
                </wp:positionV>
                <wp:extent cx="346955" cy="0"/>
                <wp:effectExtent l="0" t="76200" r="15240" b="95250"/>
                <wp:wrapNone/>
                <wp:docPr id="11" name="Straight Arrow Connector 11"/>
                <wp:cNvGraphicFramePr/>
                <a:graphic xmlns:a="http://schemas.openxmlformats.org/drawingml/2006/main">
                  <a:graphicData uri="http://schemas.microsoft.com/office/word/2010/wordprocessingShape">
                    <wps:wsp>
                      <wps:cNvCnPr/>
                      <wps:spPr>
                        <a:xfrm>
                          <a:off x="0" y="0"/>
                          <a:ext cx="346955" cy="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37790398" id="Straight Arrow Connector 11" o:spid="_x0000_s1026" type="#_x0000_t32" style="position:absolute;margin-left:170.75pt;margin-top:12pt;width:27.3pt;height:0;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" strokecolor="windowText" strokeweight=".5pt">
                <v:stroke endarrow="block" joinstyle="miter"/>
              </v:shape>
            </w:pict>
          </mc:Fallback>
        </mc:AlternateContent>
      </w:r>
    </w:p>
    <w:p w14:paraId="0ACC25D8" w14:textId="7010AA79" w:rsidR="00E443F2" w:rsidRDefault="00E443F2" w:rsidP="4BF257C8">
      <w:pPr>
        <w:spacing w:line="240" w:lineRule="auto"/>
        <w:rPr>
          <w:rFonts w:ascii="Times New Roman" w:eastAsia="Arial" w:hAnsi="Times New Roman" w:cs="Times New Roman"/>
        </w:rPr>
      </w:pPr>
    </w:p>
    <w:p w14:paraId="7593E7E5" w14:textId="20DB8C55" w:rsidR="00E443F2" w:rsidRDefault="00E443F2" w:rsidP="4BF257C8">
      <w:pPr>
        <w:spacing w:line="240" w:lineRule="auto"/>
        <w:rPr>
          <w:rFonts w:ascii="Times New Roman" w:eastAsia="Arial" w:hAnsi="Times New Roman" w:cs="Times New Roman"/>
        </w:rPr>
      </w:pPr>
    </w:p>
    <w:p w14:paraId="5E0BF448" w14:textId="51FBA095" w:rsidR="00E443F2" w:rsidRDefault="00E5544A" w:rsidP="4BF257C8">
      <w:pPr>
        <w:spacing w:line="240" w:lineRule="auto"/>
        <w:rPr>
          <w:rFonts w:ascii="Times New Roman" w:eastAsia="Arial" w:hAnsi="Times New Roman" w:cs="Times New Roman"/>
        </w:rPr>
      </w:pPr>
      <w:r w:rsidRPr="00912653">
        <w:rPr>
          <w:noProof/>
        </w:rPr>
        <mc:AlternateContent>
          <mc:Choice Requires="wps">
            <w:drawing>
              <wp:anchor distT="45720" distB="45720" distL="114300" distR="114300" simplePos="0" relativeHeight="251671552" behindDoc="0" locked="0" layoutInCell="1" allowOverlap="1" wp14:anchorId="591CA759" wp14:editId="35887B8C">
                <wp:simplePos x="0" y="0"/>
                <wp:positionH relativeFrom="column">
                  <wp:posOffset>38100</wp:posOffset>
                </wp:positionH>
                <wp:positionV relativeFrom="paragraph">
                  <wp:posOffset>144780</wp:posOffset>
                </wp:positionV>
                <wp:extent cx="2126615" cy="1055370"/>
                <wp:effectExtent l="0" t="0" r="26035" b="11430"/>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6615" cy="1055370"/>
                        </a:xfrm>
                        <a:prstGeom prst="rect">
                          <a:avLst/>
                        </a:prstGeom>
                        <a:solidFill>
                          <a:srgbClr val="FFFFFF"/>
                        </a:solidFill>
                        <a:ln w="9525">
                          <a:solidFill>
                            <a:srgbClr val="000000"/>
                          </a:solidFill>
                          <a:miter lim="800000"/>
                          <a:headEnd/>
                          <a:tailEnd/>
                        </a:ln>
                      </wps:spPr>
                      <wps:txbx>
                        <w:txbxContent>
                          <w:p w14:paraId="0F4DBFD6" w14:textId="77777777" w:rsidR="00E5544A" w:rsidRPr="000F2613" w:rsidRDefault="00E5544A" w:rsidP="00E5544A">
                            <w:pPr>
                              <w:rPr>
                                <w:rFonts w:ascii="Times New Roman" w:hAnsi="Times New Roman" w:cs="Times New Roman"/>
                              </w:rPr>
                            </w:pPr>
                            <w:r w:rsidRPr="000F2613">
                              <w:rPr>
                                <w:rFonts w:ascii="Times New Roman" w:hAnsi="Times New Roman" w:cs="Times New Roman"/>
                              </w:rPr>
                              <w:t>21 publications/sources added by WG members after review &amp; discussion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1CA759" id="_x0000_s1029" type="#_x0000_t202" style="position:absolute;margin-left:3pt;margin-top:11.4pt;width:167.45pt;height:83.1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">
                <v:textbox>
                  <w:txbxContent>
                    <w:p w14:paraId="0F4DBFD6" w14:textId="77777777" w:rsidR="00E5544A" w:rsidRPr="000F2613" w:rsidRDefault="00E5544A" w:rsidP="00E5544A">
                      <w:pPr>
                        <w:rPr>
                          <w:rFonts w:ascii="Times New Roman" w:hAnsi="Times New Roman" w:cs="Times New Roman"/>
                        </w:rPr>
                      </w:pPr>
                      <w:r w:rsidRPr="000F2613">
                        <w:rPr>
                          <w:rFonts w:ascii="Times New Roman" w:hAnsi="Times New Roman" w:cs="Times New Roman"/>
                        </w:rPr>
                        <w:t>21 publications/sources added by WG members after review &amp; discussion</w:t>
                      </w:r>
                    </w:p>
                  </w:txbxContent>
                </v:textbox>
                <w10:wrap type="square"/>
              </v:shape>
            </w:pict>
          </mc:Fallback>
        </mc:AlternateContent>
      </w:r>
    </w:p>
    <w:p w14:paraId="2BEC2E86" w14:textId="6D128562" w:rsidR="00E443F2" w:rsidRDefault="00E443F2" w:rsidP="4BF257C8">
      <w:pPr>
        <w:spacing w:line="240" w:lineRule="auto"/>
        <w:rPr>
          <w:rFonts w:ascii="Times New Roman" w:eastAsia="Arial" w:hAnsi="Times New Roman" w:cs="Times New Roman"/>
        </w:rPr>
      </w:pPr>
    </w:p>
    <w:p w14:paraId="05E57316" w14:textId="73325CD5" w:rsidR="00E443F2" w:rsidRDefault="00E5544A" w:rsidP="4BF257C8">
      <w:pPr>
        <w:spacing w:line="240" w:lineRule="auto"/>
        <w:rPr>
          <w:rFonts w:ascii="Times New Roman" w:eastAsia="Arial" w:hAnsi="Times New Roman" w:cs="Times New Roman"/>
        </w:rPr>
      </w:pPr>
      <w:r>
        <w:rPr>
          <w:noProof/>
        </w:rPr>
        <mc:AlternateContent>
          <mc:Choice Requires="wps">
            <w:drawing>
              <wp:anchor distT="0" distB="0" distL="114300" distR="114300" simplePos="0" relativeHeight="251673600" behindDoc="0" locked="0" layoutInCell="1" allowOverlap="1" wp14:anchorId="52488A78" wp14:editId="66ECE1FB">
                <wp:simplePos x="0" y="0"/>
                <wp:positionH relativeFrom="column">
                  <wp:posOffset>2167890</wp:posOffset>
                </wp:positionH>
                <wp:positionV relativeFrom="paragraph">
                  <wp:posOffset>92710</wp:posOffset>
                </wp:positionV>
                <wp:extent cx="354623" cy="0"/>
                <wp:effectExtent l="0" t="76200" r="26670" b="95250"/>
                <wp:wrapNone/>
                <wp:docPr id="15" name="Straight Arrow Connector 15"/>
                <wp:cNvGraphicFramePr/>
                <a:graphic xmlns:a="http://schemas.openxmlformats.org/drawingml/2006/main">
                  <a:graphicData uri="http://schemas.microsoft.com/office/word/2010/wordprocessingShape">
                    <wps:wsp>
                      <wps:cNvCnPr/>
                      <wps:spPr>
                        <a:xfrm>
                          <a:off x="0" y="0"/>
                          <a:ext cx="354623" cy="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6348FE5F" id="Straight Arrow Connector 15" o:spid="_x0000_s1026" type="#_x0000_t32" style="position:absolute;margin-left:170.7pt;margin-top:7.3pt;width:27.9pt;height:0;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" strokecolor="windowText" strokeweight=".5pt">
                <v:stroke endarrow="block" joinstyle="miter"/>
              </v:shape>
            </w:pict>
          </mc:Fallback>
        </mc:AlternateContent>
      </w:r>
    </w:p>
    <w:p w14:paraId="25328B9E" w14:textId="4FB0A972" w:rsidR="00E443F2" w:rsidRDefault="00E5544A" w:rsidP="4BF257C8">
      <w:pPr>
        <w:spacing w:line="240" w:lineRule="auto"/>
        <w:rPr>
          <w:rFonts w:ascii="Times New Roman" w:eastAsia="Arial" w:hAnsi="Times New Roman" w:cs="Times New Roman"/>
        </w:rPr>
      </w:pPr>
      <w:r w:rsidRPr="00D22EC2">
        <w:rPr>
          <w:noProof/>
        </w:rPr>
        <mc:AlternateContent>
          <mc:Choice Requires="wps">
            <w:drawing>
              <wp:anchor distT="45720" distB="45720" distL="114300" distR="114300" simplePos="0" relativeHeight="251675648" behindDoc="0" locked="0" layoutInCell="1" allowOverlap="1" wp14:anchorId="58278BB7" wp14:editId="7C460F25">
                <wp:simplePos x="0" y="0"/>
                <wp:positionH relativeFrom="column">
                  <wp:posOffset>3505200</wp:posOffset>
                </wp:positionH>
                <wp:positionV relativeFrom="paragraph">
                  <wp:posOffset>81915</wp:posOffset>
                </wp:positionV>
                <wp:extent cx="1974215" cy="1066800"/>
                <wp:effectExtent l="0" t="0" r="26035" b="1905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4215" cy="1066800"/>
                        </a:xfrm>
                        <a:prstGeom prst="rect">
                          <a:avLst/>
                        </a:prstGeom>
                        <a:solidFill>
                          <a:srgbClr val="FFFFFF"/>
                        </a:solidFill>
                        <a:ln w="9525">
                          <a:solidFill>
                            <a:srgbClr val="000000"/>
                          </a:solidFill>
                          <a:miter lim="800000"/>
                          <a:headEnd/>
                          <a:tailEnd/>
                        </a:ln>
                      </wps:spPr>
                      <wps:txbx>
                        <w:txbxContent>
                          <w:p w14:paraId="59F96EC0" w14:textId="77777777" w:rsidR="00E5544A" w:rsidRPr="000F2613" w:rsidRDefault="00E5544A" w:rsidP="00E5544A">
                            <w:pPr>
                              <w:rPr>
                                <w:rFonts w:ascii="Times New Roman" w:hAnsi="Times New Roman" w:cs="Times New Roman"/>
                              </w:rPr>
                            </w:pPr>
                            <w:r>
                              <w:rPr>
                                <w:rFonts w:ascii="Times New Roman" w:hAnsi="Times New Roman" w:cs="Times New Roman"/>
                              </w:rPr>
                              <w:t>1 publication excluded following review by WG members (to ensure recommendations would be instrument-agnostic)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278BB7" id="_x0000_s1030" type="#_x0000_t202" style="position:absolute;margin-left:276pt;margin-top:6.45pt;width:155.45pt;height:84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">
                <v:textbox>
                  <w:txbxContent>
                    <w:p w14:paraId="59F96EC0" w14:textId="77777777" w:rsidR="00E5544A" w:rsidRPr="000F2613" w:rsidRDefault="00E5544A" w:rsidP="00E5544A">
                      <w:pPr>
                        <w:rPr>
                          <w:rFonts w:ascii="Times New Roman" w:hAnsi="Times New Roman" w:cs="Times New Roman"/>
                        </w:rPr>
                      </w:pPr>
                      <w:r>
                        <w:rPr>
                          <w:rFonts w:ascii="Times New Roman" w:hAnsi="Times New Roman" w:cs="Times New Roman"/>
                        </w:rPr>
                        <w:t>1 publication excluded following review by WG members (to ensure recommendations would be instrument-agnostic)</w:t>
                      </w:r>
                    </w:p>
                  </w:txbxContent>
                </v:textbox>
                <w10:wrap type="square"/>
              </v:shape>
            </w:pict>
          </mc:Fallback>
        </mc:AlternateContent>
      </w:r>
    </w:p>
    <w:p w14:paraId="1DA4C47B" w14:textId="0A42D8A6" w:rsidR="00E443F2" w:rsidRDefault="00E443F2" w:rsidP="4BF257C8">
      <w:pPr>
        <w:spacing w:line="240" w:lineRule="auto"/>
        <w:rPr>
          <w:rFonts w:ascii="Times New Roman" w:eastAsia="Arial" w:hAnsi="Times New Roman" w:cs="Times New Roman"/>
        </w:rPr>
      </w:pPr>
    </w:p>
    <w:p w14:paraId="06056B39" w14:textId="4A6A8271" w:rsidR="0032603F" w:rsidRPr="00C158E1" w:rsidRDefault="000F5DD4" w:rsidP="00C158E1">
      <w:pPr>
        <w:rPr>
          <w:rFonts w:ascii="Times New Roman" w:hAnsi="Times New Roman" w:cs="Times New Roman"/>
          <w:i/>
          <w:iCs/>
        </w:rPr>
      </w:pPr>
      <w:r>
        <w:rPr>
          <w:noProof/>
        </w:rPr>
        <mc:AlternateContent>
          <mc:Choice Requires="wps">
            <w:drawing>
              <wp:anchor distT="0" distB="0" distL="114300" distR="114300" simplePos="0" relativeHeight="251685888" behindDoc="0" locked="0" layoutInCell="1" allowOverlap="1" wp14:anchorId="7C2D8ECF" wp14:editId="4C4EAA02">
                <wp:simplePos x="0" y="0"/>
                <wp:positionH relativeFrom="column">
                  <wp:posOffset>655320</wp:posOffset>
                </wp:positionH>
                <wp:positionV relativeFrom="paragraph">
                  <wp:posOffset>3606800</wp:posOffset>
                </wp:positionV>
                <wp:extent cx="3990975" cy="635"/>
                <wp:effectExtent l="0" t="0" r="9525" b="6985"/>
                <wp:wrapSquare wrapText="bothSides"/>
                <wp:docPr id="1" name="Text Box 1"/>
                <wp:cNvGraphicFramePr/>
                <a:graphic xmlns:a="http://schemas.openxmlformats.org/drawingml/2006/main">
                  <a:graphicData uri="http://schemas.microsoft.com/office/word/2010/wordprocessingShape">
                    <wps:wsp>
                      <wps:cNvSpPr txBox="1"/>
                      <wps:spPr>
                        <a:xfrm>
                          <a:off x="0" y="0"/>
                          <a:ext cx="3990975" cy="635"/>
                        </a:xfrm>
                        <a:prstGeom prst="rect">
                          <a:avLst/>
                        </a:prstGeom>
                        <a:solidFill>
                          <a:prstClr val="white"/>
                        </a:solidFill>
                        <a:ln>
                          <a:noFill/>
                        </a:ln>
                      </wps:spPr>
                      <wps:txbx>
                        <w:txbxContent>
                          <w:p w14:paraId="5723D9C1" w14:textId="77777777" w:rsidR="00651076" w:rsidRPr="000F2613" w:rsidRDefault="00651076" w:rsidP="00651076">
                            <w:pPr>
                              <w:pStyle w:val="Caption"/>
                              <w:rPr>
                                <w:rFonts w:ascii="Times New Roman" w:hAnsi="Times New Roman" w:cs="Times New Roman"/>
                                <w:noProof/>
                                <w:sz w:val="22"/>
                                <w:szCs w:val="22"/>
                              </w:rPr>
                            </w:pPr>
                            <w:r w:rsidRPr="000F2613">
                              <w:rPr>
                                <w:rFonts w:ascii="Times New Roman" w:hAnsi="Times New Roman" w:cs="Times New Roman"/>
                                <w:sz w:val="22"/>
                                <w:szCs w:val="22"/>
                              </w:rPr>
                              <w:t xml:space="preserve">Figure </w:t>
                            </w:r>
                            <w:r w:rsidRPr="000F2613">
                              <w:rPr>
                                <w:rFonts w:ascii="Times New Roman" w:hAnsi="Times New Roman" w:cs="Times New Roman"/>
                                <w:sz w:val="22"/>
                                <w:szCs w:val="22"/>
                              </w:rPr>
                              <w:fldChar w:fldCharType="begin"/>
                            </w:r>
                            <w:r w:rsidRPr="000F2613">
                              <w:rPr>
                                <w:rFonts w:ascii="Times New Roman" w:hAnsi="Times New Roman" w:cs="Times New Roman"/>
                                <w:sz w:val="22"/>
                                <w:szCs w:val="22"/>
                              </w:rPr>
                              <w:instrText xml:space="preserve"> SEQ Figure \* ARABIC </w:instrText>
                            </w:r>
                            <w:r w:rsidRPr="000F2613">
                              <w:rPr>
                                <w:rFonts w:ascii="Times New Roman" w:hAnsi="Times New Roman" w:cs="Times New Roman"/>
                                <w:sz w:val="22"/>
                                <w:szCs w:val="22"/>
                              </w:rPr>
                              <w:fldChar w:fldCharType="separate"/>
                            </w:r>
                            <w:r w:rsidRPr="000F2613">
                              <w:rPr>
                                <w:rFonts w:ascii="Times New Roman" w:hAnsi="Times New Roman" w:cs="Times New Roman"/>
                                <w:noProof/>
                                <w:sz w:val="22"/>
                                <w:szCs w:val="22"/>
                              </w:rPr>
                              <w:t>1</w:t>
                            </w:r>
                            <w:r w:rsidRPr="000F2613">
                              <w:rPr>
                                <w:rFonts w:ascii="Times New Roman" w:hAnsi="Times New Roman" w:cs="Times New Roman"/>
                                <w:sz w:val="22"/>
                                <w:szCs w:val="22"/>
                              </w:rPr>
                              <w:fldChar w:fldCharType="end"/>
                            </w:r>
                            <w:r w:rsidRPr="000F2613">
                              <w:rPr>
                                <w:rFonts w:ascii="Times New Roman" w:hAnsi="Times New Roman" w:cs="Times New Roman"/>
                                <w:sz w:val="22"/>
                                <w:szCs w:val="22"/>
                              </w:rPr>
                              <w:t>. Flowchart of sources included in recommendations</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7C2D8ECF" id="Text Box 1" o:spid="_x0000_s1031" type="#_x0000_t202" style="position:absolute;margin-left:51.6pt;margin-top:284pt;width:314.25pt;height:.05pt;z-index:2516858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" stroked="f">
                <v:textbox style="mso-fit-shape-to-text:t" inset="0,0,0,0">
                  <w:txbxContent>
                    <w:p w14:paraId="5723D9C1" w14:textId="77777777" w:rsidR="00651076" w:rsidRPr="000F2613" w:rsidRDefault="00651076" w:rsidP="00651076">
                      <w:pPr>
                        <w:pStyle w:val="Caption"/>
                        <w:rPr>
                          <w:rFonts w:ascii="Times New Roman" w:hAnsi="Times New Roman" w:cs="Times New Roman"/>
                          <w:noProof/>
                          <w:sz w:val="22"/>
                          <w:szCs w:val="22"/>
                        </w:rPr>
                      </w:pPr>
                      <w:r w:rsidRPr="000F2613">
                        <w:rPr>
                          <w:rFonts w:ascii="Times New Roman" w:hAnsi="Times New Roman" w:cs="Times New Roman"/>
                          <w:sz w:val="22"/>
                          <w:szCs w:val="22"/>
                        </w:rPr>
                        <w:t xml:space="preserve">Figure </w:t>
                      </w:r>
                      <w:r w:rsidRPr="000F2613">
                        <w:rPr>
                          <w:rFonts w:ascii="Times New Roman" w:hAnsi="Times New Roman" w:cs="Times New Roman"/>
                          <w:sz w:val="22"/>
                          <w:szCs w:val="22"/>
                        </w:rPr>
                        <w:fldChar w:fldCharType="begin"/>
                      </w:r>
                      <w:r w:rsidRPr="000F2613">
                        <w:rPr>
                          <w:rFonts w:ascii="Times New Roman" w:hAnsi="Times New Roman" w:cs="Times New Roman"/>
                          <w:sz w:val="22"/>
                          <w:szCs w:val="22"/>
                        </w:rPr>
                        <w:instrText xml:space="preserve"> SEQ Figure \* ARABIC </w:instrText>
                      </w:r>
                      <w:r w:rsidRPr="000F2613">
                        <w:rPr>
                          <w:rFonts w:ascii="Times New Roman" w:hAnsi="Times New Roman" w:cs="Times New Roman"/>
                          <w:sz w:val="22"/>
                          <w:szCs w:val="22"/>
                        </w:rPr>
                        <w:fldChar w:fldCharType="separate"/>
                      </w:r>
                      <w:r w:rsidRPr="000F2613">
                        <w:rPr>
                          <w:rFonts w:ascii="Times New Roman" w:hAnsi="Times New Roman" w:cs="Times New Roman"/>
                          <w:noProof/>
                          <w:sz w:val="22"/>
                          <w:szCs w:val="22"/>
                        </w:rPr>
                        <w:t>1</w:t>
                      </w:r>
                      <w:r w:rsidRPr="000F2613">
                        <w:rPr>
                          <w:rFonts w:ascii="Times New Roman" w:hAnsi="Times New Roman" w:cs="Times New Roman"/>
                          <w:sz w:val="22"/>
                          <w:szCs w:val="22"/>
                        </w:rPr>
                        <w:fldChar w:fldCharType="end"/>
                      </w:r>
                      <w:r w:rsidRPr="000F2613">
                        <w:rPr>
                          <w:rFonts w:ascii="Times New Roman" w:hAnsi="Times New Roman" w:cs="Times New Roman"/>
                          <w:sz w:val="22"/>
                          <w:szCs w:val="22"/>
                        </w:rPr>
                        <w:t>. Flowchart of sources included in recommendations</w:t>
                      </w:r>
                    </w:p>
                  </w:txbxContent>
                </v:textbox>
                <w10:wrap type="square"/>
              </v:shape>
            </w:pict>
          </mc:Fallback>
        </mc:AlternateContent>
      </w:r>
      <w:r w:rsidRPr="003E36DA">
        <w:rPr>
          <w:noProof/>
        </w:rPr>
        <mc:AlternateContent>
          <mc:Choice Requires="wps">
            <w:drawing>
              <wp:anchor distT="45720" distB="45720" distL="114300" distR="114300" simplePos="0" relativeHeight="251683840" behindDoc="0" locked="0" layoutInCell="1" allowOverlap="1" wp14:anchorId="7198C800" wp14:editId="34ABC2BB">
                <wp:simplePos x="0" y="0"/>
                <wp:positionH relativeFrom="column">
                  <wp:posOffset>1508760</wp:posOffset>
                </wp:positionH>
                <wp:positionV relativeFrom="paragraph">
                  <wp:posOffset>2778125</wp:posOffset>
                </wp:positionV>
                <wp:extent cx="2360930" cy="1404620"/>
                <wp:effectExtent l="0" t="0" r="22860" b="11430"/>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16256663" w14:textId="77777777" w:rsidR="00651076" w:rsidRPr="000F2613" w:rsidRDefault="00651076" w:rsidP="00651076">
                            <w:pPr>
                              <w:rPr>
                                <w:rFonts w:ascii="Times New Roman" w:hAnsi="Times New Roman" w:cs="Times New Roman"/>
                              </w:rPr>
                            </w:pPr>
                            <w:r w:rsidRPr="000F2613">
                              <w:rPr>
                                <w:rFonts w:ascii="Times New Roman" w:hAnsi="Times New Roman" w:cs="Times New Roman"/>
                              </w:rPr>
                              <w:t>5</w:t>
                            </w:r>
                            <w:r>
                              <w:rPr>
                                <w:rFonts w:ascii="Times New Roman" w:hAnsi="Times New Roman" w:cs="Times New Roman"/>
                              </w:rPr>
                              <w:t>2</w:t>
                            </w:r>
                            <w:r w:rsidRPr="000F2613">
                              <w:rPr>
                                <w:rFonts w:ascii="Times New Roman" w:hAnsi="Times New Roman" w:cs="Times New Roman"/>
                              </w:rPr>
                              <w:t xml:space="preserve"> publications/sources used to guide final sets of recommendations</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7198C800" id="_x0000_s1032" type="#_x0000_t202" style="position:absolute;margin-left:118.8pt;margin-top:218.75pt;width:185.9pt;height:110.6pt;z-index:251683840;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">
                <v:textbox style="mso-fit-shape-to-text:t">
                  <w:txbxContent>
                    <w:p w14:paraId="16256663" w14:textId="77777777" w:rsidR="00651076" w:rsidRPr="000F2613" w:rsidRDefault="00651076" w:rsidP="00651076">
                      <w:pPr>
                        <w:rPr>
                          <w:rFonts w:ascii="Times New Roman" w:hAnsi="Times New Roman" w:cs="Times New Roman"/>
                        </w:rPr>
                      </w:pPr>
                      <w:r w:rsidRPr="000F2613">
                        <w:rPr>
                          <w:rFonts w:ascii="Times New Roman" w:hAnsi="Times New Roman" w:cs="Times New Roman"/>
                        </w:rPr>
                        <w:t>5</w:t>
                      </w:r>
                      <w:r>
                        <w:rPr>
                          <w:rFonts w:ascii="Times New Roman" w:hAnsi="Times New Roman" w:cs="Times New Roman"/>
                        </w:rPr>
                        <w:t>2</w:t>
                      </w:r>
                      <w:r w:rsidRPr="000F2613">
                        <w:rPr>
                          <w:rFonts w:ascii="Times New Roman" w:hAnsi="Times New Roman" w:cs="Times New Roman"/>
                        </w:rPr>
                        <w:t xml:space="preserve"> publications/sources used to guide final sets of recommendations</w:t>
                      </w:r>
                    </w:p>
                  </w:txbxContent>
                </v:textbox>
                <w10:wrap type="square"/>
              </v:shape>
            </w:pict>
          </mc:Fallback>
        </mc:AlternateContent>
      </w:r>
      <w:r>
        <w:rPr>
          <w:noProof/>
        </w:rPr>
        <mc:AlternateContent>
          <mc:Choice Requires="wps">
            <w:drawing>
              <wp:anchor distT="0" distB="0" distL="114300" distR="114300" simplePos="0" relativeHeight="251689984" behindDoc="0" locked="0" layoutInCell="1" allowOverlap="1" wp14:anchorId="396E2EEB" wp14:editId="2A485915">
                <wp:simplePos x="0" y="0"/>
                <wp:positionH relativeFrom="column">
                  <wp:posOffset>2613659</wp:posOffset>
                </wp:positionH>
                <wp:positionV relativeFrom="paragraph">
                  <wp:posOffset>1457960</wp:posOffset>
                </wp:positionV>
                <wp:extent cx="891540" cy="0"/>
                <wp:effectExtent l="38100" t="76200" r="0" b="95250"/>
                <wp:wrapNone/>
                <wp:docPr id="7" name="Straight Arrow Connector 7"/>
                <wp:cNvGraphicFramePr/>
                <a:graphic xmlns:a="http://schemas.openxmlformats.org/drawingml/2006/main">
                  <a:graphicData uri="http://schemas.microsoft.com/office/word/2010/wordprocessingShape">
                    <wps:wsp>
                      <wps:cNvCnPr/>
                      <wps:spPr>
                        <a:xfrm flipH="1">
                          <a:off x="0" y="0"/>
                          <a:ext cx="891540" cy="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5DB1AD3F" id="Straight Arrow Connector 7" o:spid="_x0000_s1026" type="#_x0000_t32" style="position:absolute;margin-left:205.8pt;margin-top:114.8pt;width:70.2pt;height:0;flip:x;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" strokecolor="windowText" strokeweight=".5pt">
                <v:stroke endarrow="block" joinstyle="miter"/>
              </v:shape>
            </w:pict>
          </mc:Fallback>
        </mc:AlternateContent>
      </w:r>
      <w:r>
        <w:rPr>
          <w:noProof/>
        </w:rPr>
        <mc:AlternateContent>
          <mc:Choice Requires="wps">
            <w:drawing>
              <wp:anchor distT="0" distB="0" distL="114300" distR="114300" simplePos="0" relativeHeight="251677696" behindDoc="0" locked="0" layoutInCell="1" allowOverlap="1" wp14:anchorId="03A790E7" wp14:editId="682B5375">
                <wp:simplePos x="0" y="0"/>
                <wp:positionH relativeFrom="column">
                  <wp:posOffset>2613659</wp:posOffset>
                </wp:positionH>
                <wp:positionV relativeFrom="paragraph">
                  <wp:posOffset>48260</wp:posOffset>
                </wp:positionV>
                <wp:extent cx="891540" cy="0"/>
                <wp:effectExtent l="38100" t="76200" r="0" b="95250"/>
                <wp:wrapNone/>
                <wp:docPr id="16" name="Straight Arrow Connector 16"/>
                <wp:cNvGraphicFramePr/>
                <a:graphic xmlns:a="http://schemas.openxmlformats.org/drawingml/2006/main">
                  <a:graphicData uri="http://schemas.microsoft.com/office/word/2010/wordprocessingShape">
                    <wps:wsp>
                      <wps:cNvCnPr/>
                      <wps:spPr>
                        <a:xfrm flipH="1">
                          <a:off x="0" y="0"/>
                          <a:ext cx="891540" cy="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anchor>
            </w:drawing>
          </mc:Choice>
          <mc:Fallback>
            <w:pict>
              <v:shape w14:anchorId="203F25D4" id="Straight Arrow Connector 16" o:spid="_x0000_s1026" type="#_x0000_t32" style="position:absolute;margin-left:205.8pt;margin-top:3.8pt;width:70.2pt;height:0;flip:x;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" strokecolor="windowText" strokeweight=".5pt">
                <v:stroke endarrow="block" joinstyle="miter"/>
              </v:shape>
            </w:pict>
          </mc:Fallback>
        </mc:AlternateContent>
      </w:r>
      <w:r w:rsidRPr="00D22EC2">
        <w:rPr>
          <w:noProof/>
        </w:rPr>
        <mc:AlternateContent>
          <mc:Choice Requires="wps">
            <w:drawing>
              <wp:anchor distT="45720" distB="45720" distL="114300" distR="114300" simplePos="0" relativeHeight="251679744" behindDoc="0" locked="0" layoutInCell="1" allowOverlap="1" wp14:anchorId="753E8452" wp14:editId="30E1BDF1">
                <wp:simplePos x="0" y="0"/>
                <wp:positionH relativeFrom="column">
                  <wp:posOffset>3505200</wp:posOffset>
                </wp:positionH>
                <wp:positionV relativeFrom="paragraph">
                  <wp:posOffset>987425</wp:posOffset>
                </wp:positionV>
                <wp:extent cx="1974215" cy="1066800"/>
                <wp:effectExtent l="0" t="0" r="26035" b="19050"/>
                <wp:wrapSquare wrapText="bothSides"/>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4215" cy="1066800"/>
                        </a:xfrm>
                        <a:prstGeom prst="rect">
                          <a:avLst/>
                        </a:prstGeom>
                        <a:solidFill>
                          <a:srgbClr val="FFFFFF"/>
                        </a:solidFill>
                        <a:ln w="9525">
                          <a:solidFill>
                            <a:srgbClr val="000000"/>
                          </a:solidFill>
                          <a:miter lim="800000"/>
                          <a:headEnd/>
                          <a:tailEnd/>
                        </a:ln>
                      </wps:spPr>
                      <wps:txbx>
                        <w:txbxContent>
                          <w:p w14:paraId="1C56CC1D" w14:textId="77777777" w:rsidR="00E5544A" w:rsidRPr="000F2613" w:rsidRDefault="00E5544A" w:rsidP="00E5544A">
                            <w:pPr>
                              <w:rPr>
                                <w:rFonts w:ascii="Times New Roman" w:hAnsi="Times New Roman" w:cs="Times New Roman"/>
                              </w:rPr>
                            </w:pPr>
                            <w:r>
                              <w:rPr>
                                <w:rFonts w:ascii="Times New Roman" w:hAnsi="Times New Roman" w:cs="Times New Roman"/>
                              </w:rPr>
                              <w:t>1 publication excluded in favour of using only updated version (and not earlier edition of publication too)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53E8452" id="_x0000_s1033" type="#_x0000_t202" style="position:absolute;margin-left:276pt;margin-top:77.75pt;width:155.45pt;height:84pt;z-index:251679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">
                <v:textbox>
                  <w:txbxContent>
                    <w:p w14:paraId="1C56CC1D" w14:textId="77777777" w:rsidR="00E5544A" w:rsidRPr="000F2613" w:rsidRDefault="00E5544A" w:rsidP="00E5544A">
                      <w:pPr>
                        <w:rPr>
                          <w:rFonts w:ascii="Times New Roman" w:hAnsi="Times New Roman" w:cs="Times New Roman"/>
                        </w:rPr>
                      </w:pPr>
                      <w:r>
                        <w:rPr>
                          <w:rFonts w:ascii="Times New Roman" w:hAnsi="Times New Roman" w:cs="Times New Roman"/>
                        </w:rPr>
                        <w:t>1 publication excluded in favour of using only updated version (and not earlier edition of publication too)</w:t>
                      </w:r>
                    </w:p>
                  </w:txbxContent>
                </v:textbox>
                <w10:wrap type="square"/>
              </v:shape>
            </w:pict>
          </mc:Fallback>
        </mc:AlternateContent>
      </w:r>
      <w:r>
        <w:rPr>
          <w:rFonts w:ascii="Times New Roman" w:eastAsia="Arial" w:hAnsi="Times New Roman" w:cs="Times New Roman"/>
        </w:rPr>
        <w:br w:type="page"/>
      </w:r>
      <w:r w:rsidR="0032603F" w:rsidRPr="00C158E1">
        <w:rPr>
          <w:rFonts w:ascii="Times New Roman" w:hAnsi="Times New Roman" w:cs="Times New Roman"/>
          <w:i/>
          <w:iCs/>
          <w:color w:val="44546A" w:themeColor="text2"/>
        </w:rPr>
        <w:lastRenderedPageBreak/>
        <w:t xml:space="preserve">Table </w:t>
      </w:r>
      <w:r w:rsidR="0032603F" w:rsidRPr="00C158E1">
        <w:rPr>
          <w:rFonts w:ascii="Times New Roman" w:hAnsi="Times New Roman" w:cs="Times New Roman"/>
          <w:i/>
          <w:iCs/>
          <w:color w:val="44546A" w:themeColor="text2"/>
        </w:rPr>
        <w:fldChar w:fldCharType="begin"/>
      </w:r>
      <w:r w:rsidR="0032603F" w:rsidRPr="00C158E1">
        <w:rPr>
          <w:rFonts w:ascii="Times New Roman" w:hAnsi="Times New Roman" w:cs="Times New Roman"/>
          <w:i/>
          <w:iCs/>
          <w:color w:val="44546A" w:themeColor="text2"/>
        </w:rPr>
        <w:instrText xml:space="preserve"> SEQ Table \* ARABIC </w:instrText>
      </w:r>
      <w:r w:rsidR="0032603F" w:rsidRPr="00C158E1">
        <w:rPr>
          <w:rFonts w:ascii="Times New Roman" w:hAnsi="Times New Roman" w:cs="Times New Roman"/>
          <w:i/>
          <w:iCs/>
          <w:color w:val="44546A" w:themeColor="text2"/>
        </w:rPr>
        <w:fldChar w:fldCharType="separate"/>
      </w:r>
      <w:r w:rsidR="0032603F" w:rsidRPr="00C158E1">
        <w:rPr>
          <w:rFonts w:ascii="Times New Roman" w:hAnsi="Times New Roman" w:cs="Times New Roman"/>
          <w:i/>
          <w:iCs/>
          <w:noProof/>
          <w:color w:val="44546A" w:themeColor="text2"/>
        </w:rPr>
        <w:t>2</w:t>
      </w:r>
      <w:r w:rsidR="0032603F" w:rsidRPr="00C158E1">
        <w:rPr>
          <w:rFonts w:ascii="Times New Roman" w:hAnsi="Times New Roman" w:cs="Times New Roman"/>
          <w:i/>
          <w:iCs/>
          <w:color w:val="44546A" w:themeColor="text2"/>
        </w:rPr>
        <w:fldChar w:fldCharType="end"/>
      </w:r>
      <w:r w:rsidR="0032603F" w:rsidRPr="00C158E1">
        <w:rPr>
          <w:rFonts w:ascii="Times New Roman" w:hAnsi="Times New Roman" w:cs="Times New Roman"/>
          <w:i/>
          <w:iCs/>
          <w:color w:val="44546A" w:themeColor="text2"/>
        </w:rPr>
        <w:t xml:space="preserve">. </w:t>
      </w:r>
      <w:bookmarkStart w:id="9" w:name="_Hlk116304045"/>
      <w:r w:rsidR="0032603F" w:rsidRPr="00C158E1">
        <w:rPr>
          <w:rFonts w:ascii="Times New Roman" w:hAnsi="Times New Roman" w:cs="Times New Roman"/>
          <w:i/>
          <w:iCs/>
          <w:color w:val="44546A" w:themeColor="text2"/>
        </w:rPr>
        <w:t>Psychometric properties for consideration in item list development</w:t>
      </w:r>
      <w:bookmarkEnd w:id="9"/>
    </w:p>
    <w:tbl>
      <w:tblPr>
        <w:tblStyle w:val="TableGrid"/>
        <w:tblW w:w="10627" w:type="dxa"/>
        <w:tblLook w:val="04A0" w:firstRow="1" w:lastRow="0" w:firstColumn="1" w:lastColumn="0" w:noHBand="0" w:noVBand="1"/>
      </w:tblPr>
      <w:tblGrid>
        <w:gridCol w:w="3256"/>
        <w:gridCol w:w="2409"/>
        <w:gridCol w:w="2127"/>
        <w:gridCol w:w="2835"/>
      </w:tblGrid>
      <w:tr w:rsidR="0032603F" w:rsidRPr="000F2613" w14:paraId="29507976" w14:textId="77777777" w:rsidTr="0060287F">
        <w:tc>
          <w:tcPr>
            <w:tcW w:w="10627" w:type="dxa"/>
            <w:gridSpan w:val="4"/>
            <w:tcBorders>
              <w:top w:val="single" w:sz="18" w:space="0" w:color="auto"/>
              <w:bottom w:val="single" w:sz="18" w:space="0" w:color="auto"/>
            </w:tcBorders>
            <w:shd w:val="clear" w:color="auto" w:fill="DEEAF6" w:themeFill="accent5" w:themeFillTint="33"/>
          </w:tcPr>
          <w:p w14:paraId="18EF244E" w14:textId="77777777" w:rsidR="0032603F" w:rsidRPr="000F2613" w:rsidRDefault="0032603F" w:rsidP="0060287F">
            <w:pPr>
              <w:pStyle w:val="Caption"/>
              <w:keepNext/>
              <w:rPr>
                <w:rFonts w:ascii="Times New Roman" w:hAnsi="Times New Roman" w:cs="Times New Roman"/>
                <w:b/>
                <w:bCs/>
                <w:i w:val="0"/>
                <w:iCs w:val="0"/>
                <w:sz w:val="20"/>
                <w:szCs w:val="20"/>
              </w:rPr>
            </w:pPr>
            <w:r w:rsidRPr="000F2613">
              <w:rPr>
                <w:rFonts w:ascii="Times New Roman" w:hAnsi="Times New Roman" w:cs="Times New Roman"/>
                <w:b/>
                <w:bCs/>
                <w:i w:val="0"/>
                <w:iCs w:val="0"/>
                <w:color w:val="auto"/>
                <w:sz w:val="20"/>
                <w:szCs w:val="20"/>
              </w:rPr>
              <w:t>Single items and multi-item scales - validity</w:t>
            </w:r>
          </w:p>
        </w:tc>
      </w:tr>
      <w:tr w:rsidR="0032603F" w:rsidRPr="000F2613" w14:paraId="1CB448C9" w14:textId="77777777" w:rsidTr="0060287F">
        <w:tc>
          <w:tcPr>
            <w:tcW w:w="10627" w:type="dxa"/>
            <w:gridSpan w:val="4"/>
            <w:tcBorders>
              <w:top w:val="single" w:sz="18" w:space="0" w:color="auto"/>
              <w:bottom w:val="single" w:sz="2" w:space="0" w:color="auto"/>
            </w:tcBorders>
            <w:shd w:val="clear" w:color="auto" w:fill="D0CECE" w:themeFill="background2" w:themeFillShade="E6"/>
          </w:tcPr>
          <w:p w14:paraId="0F507564" w14:textId="77777777" w:rsidR="0032603F" w:rsidRPr="000F2613" w:rsidRDefault="0032603F" w:rsidP="0060287F">
            <w:pPr>
              <w:pStyle w:val="Caption"/>
              <w:keepNext/>
              <w:rPr>
                <w:rFonts w:ascii="Times New Roman" w:hAnsi="Times New Roman" w:cs="Times New Roman"/>
                <w:i w:val="0"/>
                <w:iCs w:val="0"/>
                <w:sz w:val="20"/>
                <w:szCs w:val="20"/>
              </w:rPr>
            </w:pPr>
            <w:r w:rsidRPr="000F2613">
              <w:rPr>
                <w:rFonts w:ascii="Times New Roman" w:hAnsi="Times New Roman" w:cs="Times New Roman"/>
                <w:i w:val="0"/>
                <w:iCs w:val="0"/>
                <w:color w:val="auto"/>
                <w:sz w:val="20"/>
                <w:szCs w:val="20"/>
              </w:rPr>
              <w:t>Content validity</w:t>
            </w:r>
          </w:p>
        </w:tc>
      </w:tr>
      <w:tr w:rsidR="0032603F" w:rsidRPr="000F2613" w14:paraId="2F0D51A1" w14:textId="77777777" w:rsidTr="0060287F">
        <w:tc>
          <w:tcPr>
            <w:tcW w:w="10627" w:type="dxa"/>
            <w:gridSpan w:val="4"/>
            <w:tcBorders>
              <w:top w:val="single" w:sz="2" w:space="0" w:color="auto"/>
              <w:bottom w:val="single" w:sz="2" w:space="0" w:color="auto"/>
            </w:tcBorders>
          </w:tcPr>
          <w:p w14:paraId="4B58F720" w14:textId="4B3956F1" w:rsidR="0032603F" w:rsidRPr="000F2613" w:rsidRDefault="0032603F" w:rsidP="0060287F">
            <w:pPr>
              <w:pStyle w:val="Caption"/>
              <w:keepNext/>
              <w:rPr>
                <w:rFonts w:ascii="Times New Roman" w:hAnsi="Times New Roman" w:cs="Times New Roman"/>
                <w:i w:val="0"/>
                <w:iCs w:val="0"/>
                <w:sz w:val="20"/>
                <w:szCs w:val="20"/>
              </w:rPr>
            </w:pPr>
            <w:r w:rsidRPr="000F2613">
              <w:rPr>
                <w:rFonts w:ascii="Times New Roman" w:hAnsi="Times New Roman" w:cs="Times New Roman"/>
                <w:i w:val="0"/>
                <w:iCs w:val="0"/>
                <w:color w:val="auto"/>
                <w:sz w:val="20"/>
                <w:szCs w:val="20"/>
              </w:rPr>
              <w:t xml:space="preserve">Patient-centred approaches (e.g., </w:t>
            </w:r>
            <w:r w:rsidR="004D4747">
              <w:rPr>
                <w:rFonts w:ascii="Times New Roman" w:hAnsi="Times New Roman" w:cs="Times New Roman"/>
                <w:i w:val="0"/>
                <w:iCs w:val="0"/>
                <w:color w:val="auto"/>
                <w:sz w:val="20"/>
                <w:szCs w:val="20"/>
              </w:rPr>
              <w:t>interviews and focus groups</w:t>
            </w:r>
            <w:r w:rsidRPr="000F2613">
              <w:rPr>
                <w:rFonts w:ascii="Times New Roman" w:hAnsi="Times New Roman" w:cs="Times New Roman"/>
                <w:i w:val="0"/>
                <w:iCs w:val="0"/>
                <w:color w:val="auto"/>
                <w:sz w:val="20"/>
                <w:szCs w:val="20"/>
              </w:rPr>
              <w:t>) can help to ensure inclusion and measurement of meaningful concepts</w:t>
            </w:r>
            <w:r w:rsidR="00823274">
              <w:rPr>
                <w:rFonts w:ascii="Times New Roman" w:hAnsi="Times New Roman" w:cs="Times New Roman"/>
                <w:i w:val="0"/>
                <w:iCs w:val="0"/>
                <w:color w:val="auto"/>
                <w:sz w:val="20"/>
                <w:szCs w:val="20"/>
              </w:rPr>
              <w:t>.</w:t>
            </w:r>
            <w:r w:rsidR="00350920">
              <w:rPr>
                <w:rFonts w:ascii="Times New Roman" w:hAnsi="Times New Roman" w:cs="Times New Roman"/>
                <w:i w:val="0"/>
                <w:iCs w:val="0"/>
                <w:color w:val="auto"/>
                <w:sz w:val="20"/>
                <w:szCs w:val="20"/>
              </w:rPr>
              <w:t xml:space="preserve"> </w:t>
            </w:r>
            <w:r w:rsidR="00823274">
              <w:rPr>
                <w:rFonts w:ascii="Times New Roman" w:hAnsi="Times New Roman" w:cs="Times New Roman"/>
                <w:i w:val="0"/>
                <w:iCs w:val="0"/>
                <w:color w:val="auto"/>
                <w:sz w:val="20"/>
                <w:szCs w:val="20"/>
              </w:rPr>
              <w:fldChar w:fldCharType="begin" w:fldLock="1"/>
            </w:r>
            <w:r w:rsidR="00823274">
              <w:rPr>
                <w:rFonts w:ascii="Times New Roman" w:hAnsi="Times New Roman" w:cs="Times New Roman"/>
                <w:i w:val="0"/>
                <w:iCs w:val="0"/>
                <w:color w:val="auto"/>
                <w:sz w:val="20"/>
                <w:szCs w:val="20"/>
              </w:rPr>
              <w:instrText>ADDIN CSL_CITATION {"citationItems":[{"id":"ITEM-1","itemData":{"author":[{"dropping-particle":"","family":"Johnson","given":"Colin","non-dropping-particle":"","parse-names":false,"suffix":""},{"dropping-particle":"","family":"Aaronson","given":"Neil","non-dropping-particle":"","parse-names":false,"suffix":""},{"dropping-particle":"","family":"Blazeby","given":"Jane M","non-dropping-particle":"","parse-names":false,"suffix":""},{"dropping-particle":"","family":"Bottomley","given":"Andrew","non-dropping-particle":"","parse-names":false,"suffix":""},{"dropping-particle":"","family":"Fayers","given":"Peter","non-dropping-particle":"","parse-names":false,"suffix":""},{"dropping-particle":"","family":"Koller","given":"Michael","non-dropping-particle":"","parse-names":false,"suffix":""},{"dropping-particle":"","family":"Kuliś","given":"Dagmara","non-dropping-particle":"","parse-names":false,"suffix":""},{"dropping-particle":"","family":"Ramage","given":"John","non-dropping-particle":"","parse-names":false,"suffix":""},{"dropping-particle":"","family":"Sprangers","given":"Mirjam","non-dropping-particle":"","parse-names":false,"suffix":""},{"dropping-particle":"","family":"Velikova","given":"Galina","non-dropping-particle":"","parse-names":false,"suffix":""},{"dropping-particle":"","family":"Young","given":"Teresa","non-dropping-particle":"","parse-names":false,"suffix":""}],"id":"ITEM-1","issue":"April","issued":{"date-parts":[["2011"]]},"title":"EORTC Quality of Life Group Guidelines for Developing Questionnaire Modules","type":"article-journal","volume":"4th Ed."},"uris":["http://www.mendeley.com/documents/?uuid=a32af972-9ad3-4cd2-9163-40b3d1e3a9ff"]},{"id":"ITEM-2","itemData":{"author":[{"dropping-particle":"","family":"Bjordal","given":"Kristin;","non-dropping-particle":"","parse-names":false,"suffix":""},{"dropping-particle":"","family":"Bottomley","given":"Andrew;","non-dropping-particle":"","parse-names":false,"suffix":""},{"dropping-particle":"","family":"Gilbert","given":"Alexandra;","non-dropping-particle":"","parse-names":false,"suffix":""},{"dropping-particle":"","family":"Martinelli","given":"Francesca;","non-dropping-particle":"","parse-names":false,"suffix":""},{"dropping-particle":"","family":"Pe","given":"Madeline;","non-dropping-particle":"","parse-names":false,"suffix":""},{"dropping-particle":"","family":"Sztankay","given":"Monika;","non-dropping-particle":"","parse-names":false,"suffix":""},{"dropping-particle":"","family":"Wheelright","given":"Sally;","non-dropping-particle":"","parse-names":false,"suffix":""},{"dropping-particle":"","family":"Cocks","given":"Kim;","non-dropping-particle":"","parse-names":false,"suffix":""},{"dropping-particle":"","family":"Coens","given":"Corneel;","non-dropping-particle":"","parse-names":false,"suffix":""},{"dropping-particle":"","family":"Darlington","given":"Anne-Sophie;","non-dropping-particle":"","parse-names":false,"suffix":""},{"dropping-particle":"","family":"Fayers","given":"Peter;","non-dropping-particle":"","parse-names":false,"suffix":""},{"dropping-particle":"","family":"Fitzsimmons","given":"Deborah;","non-dropping-particle":"","parse-names":false,"suffix":""},{"dropping-particle":"","family":"Giesinger","given":"Johannes;","non-dropping-particle":"","parse-names":false,"suffix":""},{"dropping-particle":"","family":"Koller","given":"Michael;","non-dropping-particle":"","parse-names":false,"suffix":""},{"dropping-particle":"","family":"Kuliś","given":"Dagmara;","non-dropping-particle":"","parse-names":false,"suffix":""},{"dropping-particle":"","family":"Petersen","given":"Morten Aa.;","non-dropping-particle":"","parse-names":false,"suffix":""},{"dropping-particle":"","family":"Reijneveld","given":"Jaap;","non-dropping-particle":"","parse-names":false,"suffix":""},{"dropping-particle":"","family":"Singer","given":"Susanne;","non-dropping-particle":"","parse-names":false,"suffix":""},{"dropping-particle":"","family":"Tomaszewski","given":"Krzysztof","non-dropping-particle":"","parse-names":false,"suffix":""}],"edition":"5th","id":"ITEM-2","issued":{"date-parts":[["2021"]]},"publisher":"EORTC","publisher-place":"Brussels, Belgium","title":"EORTC Quality of Life Group Module Development Guidelines","type":"book"},"uris":["http://www.mendeley.com/documents/?uuid=6264adc3-2683-40f3-996a-ff2e83ca05b4"]},{"id":"ITEM-3","itemData":{"abstract":"This guidance describes how the Food and Drug Administration (FDA) reviews and evaluates existing, modified, or newly created patient-reported outcome (PRO) instruments used to support claims in approved medical product labeling.2 A PRO instrument (i.e., a questionnaire plus the information and documentation that support its use) is a means to capture PRO data used to measure treatment benefit or risk in medical product clinical trials. This guidance does not address the use of PRO instruments for purposes beyond evaluation of claims made about a medical product in labeling. This guidance also does not address disease-specific issues. Guidance on clinical trial endpoints for specific diseases can be found on various FDA Web sites.3","author":[{"dropping-particle":"","family":"FDA","given":"","non-dropping-particle":"","parse-names":false,"suffix":""}],"container-title":"Clinical/Medical Federal Register","id":"ITEM-3","issued":{"date-parts":[["2009"]]},"title":"Guidance for Industry; Patient-Reported Outcome Measures: Use in Medical Product Development to Support Labeling Claims","type":"article-journal"},"uris":["http://www.mendeley.com/documents/?uuid=b4434c61-aed6-44e3-a841-400209a5d501"]}],"mendeley":{"formattedCitation":"&lt;sup&gt;20–22&lt;/sup&gt;","plainTextFormattedCitation":"20–22","previouslyFormattedCitation":"&lt;sup&gt;20–22&lt;/sup&gt;"},"properties":{"noteIndex":0},"schema":"https://github.com/citation-style-language/schema/raw/master/csl-citation.json"}</w:instrText>
            </w:r>
            <w:r w:rsidR="00823274">
              <w:rPr>
                <w:rFonts w:ascii="Times New Roman" w:hAnsi="Times New Roman" w:cs="Times New Roman"/>
                <w:i w:val="0"/>
                <w:iCs w:val="0"/>
                <w:color w:val="auto"/>
                <w:sz w:val="20"/>
                <w:szCs w:val="20"/>
              </w:rPr>
              <w:fldChar w:fldCharType="separate"/>
            </w:r>
            <w:r w:rsidR="00823274" w:rsidRPr="00823274">
              <w:rPr>
                <w:rFonts w:ascii="Times New Roman" w:hAnsi="Times New Roman" w:cs="Times New Roman"/>
                <w:i w:val="0"/>
                <w:iCs w:val="0"/>
                <w:noProof/>
                <w:color w:val="auto"/>
                <w:sz w:val="20"/>
                <w:szCs w:val="20"/>
                <w:vertAlign w:val="superscript"/>
              </w:rPr>
              <w:t>20–22</w:t>
            </w:r>
            <w:r w:rsidR="00823274">
              <w:rPr>
                <w:rFonts w:ascii="Times New Roman" w:hAnsi="Times New Roman" w:cs="Times New Roman"/>
                <w:i w:val="0"/>
                <w:iCs w:val="0"/>
                <w:color w:val="auto"/>
                <w:sz w:val="20"/>
                <w:szCs w:val="20"/>
              </w:rPr>
              <w:fldChar w:fldCharType="end"/>
            </w:r>
            <w:r w:rsidRPr="000F2613">
              <w:rPr>
                <w:rFonts w:ascii="Times New Roman" w:hAnsi="Times New Roman" w:cs="Times New Roman"/>
                <w:i w:val="0"/>
                <w:iCs w:val="0"/>
                <w:color w:val="auto"/>
                <w:sz w:val="20"/>
                <w:szCs w:val="20"/>
              </w:rPr>
              <w:t xml:space="preserve"> It is important to establish content validity before evaluating other measurement properties (e.g., construct validity; reliability), since evidence of other types of validity cannot overcome issues related to content validity. COSMIN has developed criteria and a checklist which can be used to evaluate content validity in PRO measures</w:t>
            </w:r>
            <w:r w:rsidR="00823274">
              <w:rPr>
                <w:rFonts w:ascii="Times New Roman" w:hAnsi="Times New Roman" w:cs="Times New Roman"/>
                <w:i w:val="0"/>
                <w:iCs w:val="0"/>
                <w:color w:val="auto"/>
                <w:sz w:val="20"/>
                <w:szCs w:val="20"/>
              </w:rPr>
              <w:t xml:space="preserve">. </w:t>
            </w:r>
            <w:r w:rsidR="00823274">
              <w:rPr>
                <w:rFonts w:ascii="Times New Roman" w:hAnsi="Times New Roman" w:cs="Times New Roman"/>
                <w:i w:val="0"/>
                <w:iCs w:val="0"/>
                <w:color w:val="auto"/>
                <w:sz w:val="20"/>
                <w:szCs w:val="20"/>
              </w:rPr>
              <w:fldChar w:fldCharType="begin" w:fldLock="1"/>
            </w:r>
            <w:r w:rsidR="00823274">
              <w:rPr>
                <w:rFonts w:ascii="Times New Roman" w:hAnsi="Times New Roman" w:cs="Times New Roman"/>
                <w:i w:val="0"/>
                <w:iCs w:val="0"/>
                <w:color w:val="auto"/>
                <w:sz w:val="20"/>
                <w:szCs w:val="20"/>
              </w:rPr>
              <w:instrText>ADDIN CSL_CITATION {"citationItems":[{"id":"ITEM-1","itemData":{"DOI":"10.1007/s11136-018-1829-0","ISSN":"15732649","PMID":"29550964","abstract":"Background: Content validity is the most important measurement property of a patient-reported outcome measure (PROM) and the most challenging to assess. Our aims were to: (1) develop standards for evaluating the quality of PROM development; (2) update the original COSMIN standards for assessing the quality of content validity studies of PROMs; (3) develop criteria for what constitutes good content validity of PROMs, and (4) develop a rating system for summarizing the evidence on a PROM’s content validity and grading the quality of the evidence in systematic reviews of PROMs. Methods: An online 4-round Delphi study was performed among 159 experts from 21 countries. Panelists rated the degree to which they (dis)agreed to proposed standards, criteria, and rating issues on 5-point rating scales (‘strongly disagree’ to ‘strongly agree’), and provided arguments for their ratings. Results: Discussion focused on sample size requirements, recording and field notes, transcribing cognitive interviews, and data coding. After four rounds, the required 67% consensus was reached on all standards, criteria, and rating issues. After pilot-testing, the steering committee made some final changes. Ten criteria for good content validity were defined regarding item relevance, appropriateness of response options and recall period, comprehensiveness, and comprehensibility of the PROM. Discussion: The consensus-based COSMIN methodology for content validity is more detailed, standardized, and transparent than earlier published guidelines, including the previous COSMIN standards. This methodology can contribute to the selection and use of high-quality PROMs in research and clinical practice.","author":[{"dropping-particle":"","family":"Terwee","given":"C. B.","non-dropping-particle":"","parse-names":false,"suffix":""},{"dropping-particle":"","family":"Prinsen","given":"C. A.C.","non-dropping-particle":"","parse-names":false,"suffix":""},{"dropping-particle":"","family":"Chiarotto","given":"A.","non-dropping-particle":"","parse-names":false,"suffix":""},{"dropping-particle":"","family":"Westerman","given":"M. J.","non-dropping-particle":"","parse-names":false,"suffix":""},{"dropping-particle":"","family":"Patrick","given":"D. L.","non-dropping-particle":"","parse-names":false,"suffix":""},{"dropping-particle":"","family":"Alonso","given":"J.","non-dropping-particle":"","parse-names":false,"suffix":""},{"dropping-particle":"","family":"Bouter","given":"L. M.","non-dropping-particle":"","parse-names":false,"suffix":""},{"dropping-particle":"","family":"Vet","given":"H. C.W.","non-dropping-particle":"de","parse-names":false,"suffix":""},{"dropping-particle":"","family":"Mokkink","given":"L. B.","non-dropping-particle":"","parse-names":false,"suffix":""}],"container-title":"Quality of Life Research","id":"ITEM-1","issued":{"date-parts":[["2018"]]},"title":"COSMIN methodology for evaluating the content validity of patient-reported outcome measures: a Delphi study","type":"article"},"uris":["http://www.mendeley.com/documents/?uuid=34d62391-23ee-4a2f-a663-2858723fad81"]}],"mendeley":{"formattedCitation":"&lt;sup&gt;42&lt;/sup&gt;","plainTextFormattedCitation":"42","previouslyFormattedCitation":"&lt;sup&gt;42&lt;/sup&gt;"},"properties":{"noteIndex":0},"schema":"https://github.com/citation-style-language/schema/raw/master/csl-citation.json"}</w:instrText>
            </w:r>
            <w:r w:rsidR="00823274">
              <w:rPr>
                <w:rFonts w:ascii="Times New Roman" w:hAnsi="Times New Roman" w:cs="Times New Roman"/>
                <w:i w:val="0"/>
                <w:iCs w:val="0"/>
                <w:color w:val="auto"/>
                <w:sz w:val="20"/>
                <w:szCs w:val="20"/>
              </w:rPr>
              <w:fldChar w:fldCharType="separate"/>
            </w:r>
            <w:r w:rsidR="00823274" w:rsidRPr="00823274">
              <w:rPr>
                <w:rFonts w:ascii="Times New Roman" w:hAnsi="Times New Roman" w:cs="Times New Roman"/>
                <w:i w:val="0"/>
                <w:iCs w:val="0"/>
                <w:noProof/>
                <w:color w:val="auto"/>
                <w:sz w:val="20"/>
                <w:szCs w:val="20"/>
                <w:vertAlign w:val="superscript"/>
              </w:rPr>
              <w:t>42</w:t>
            </w:r>
            <w:r w:rsidR="00823274">
              <w:rPr>
                <w:rFonts w:ascii="Times New Roman" w:hAnsi="Times New Roman" w:cs="Times New Roman"/>
                <w:i w:val="0"/>
                <w:iCs w:val="0"/>
                <w:color w:val="auto"/>
                <w:sz w:val="20"/>
                <w:szCs w:val="20"/>
              </w:rPr>
              <w:fldChar w:fldCharType="end"/>
            </w:r>
            <w:r w:rsidRPr="000F2613">
              <w:rPr>
                <w:rFonts w:ascii="Times New Roman" w:hAnsi="Times New Roman" w:cs="Times New Roman"/>
                <w:i w:val="0"/>
                <w:iCs w:val="0"/>
                <w:color w:val="auto"/>
                <w:sz w:val="20"/>
                <w:szCs w:val="20"/>
              </w:rPr>
              <w:t xml:space="preserve"> </w:t>
            </w:r>
          </w:p>
        </w:tc>
      </w:tr>
      <w:tr w:rsidR="0032603F" w:rsidRPr="000F2613" w14:paraId="28E03EF5" w14:textId="77777777" w:rsidTr="0060287F">
        <w:tc>
          <w:tcPr>
            <w:tcW w:w="10627" w:type="dxa"/>
            <w:gridSpan w:val="4"/>
            <w:tcBorders>
              <w:top w:val="single" w:sz="2" w:space="0" w:color="auto"/>
              <w:bottom w:val="single" w:sz="2" w:space="0" w:color="auto"/>
            </w:tcBorders>
            <w:shd w:val="clear" w:color="auto" w:fill="D0CECE" w:themeFill="background2" w:themeFillShade="E6"/>
          </w:tcPr>
          <w:p w14:paraId="2D016083" w14:textId="77777777" w:rsidR="0032603F" w:rsidRPr="000F2613" w:rsidRDefault="0032603F" w:rsidP="0060287F">
            <w:pPr>
              <w:pStyle w:val="Caption"/>
              <w:keepNext/>
              <w:rPr>
                <w:rFonts w:ascii="Times New Roman" w:hAnsi="Times New Roman" w:cs="Times New Roman"/>
                <w:i w:val="0"/>
                <w:iCs w:val="0"/>
                <w:sz w:val="22"/>
                <w:szCs w:val="22"/>
              </w:rPr>
            </w:pPr>
            <w:r w:rsidRPr="000F2613">
              <w:rPr>
                <w:rFonts w:ascii="Times New Roman" w:hAnsi="Times New Roman" w:cs="Times New Roman"/>
                <w:i w:val="0"/>
                <w:iCs w:val="0"/>
                <w:color w:val="auto"/>
                <w:sz w:val="20"/>
                <w:szCs w:val="20"/>
              </w:rPr>
              <w:t>Construct validity</w:t>
            </w:r>
          </w:p>
        </w:tc>
      </w:tr>
      <w:tr w:rsidR="0032603F" w:rsidRPr="000F2613" w14:paraId="695E1B4B" w14:textId="77777777" w:rsidTr="0060287F">
        <w:tc>
          <w:tcPr>
            <w:tcW w:w="3256" w:type="dxa"/>
            <w:tcBorders>
              <w:top w:val="single" w:sz="2" w:space="0" w:color="auto"/>
              <w:bottom w:val="single" w:sz="2" w:space="0" w:color="auto"/>
            </w:tcBorders>
          </w:tcPr>
          <w:p w14:paraId="3DDC0DC7" w14:textId="27454A55" w:rsidR="0032603F" w:rsidRPr="000F2613" w:rsidRDefault="00346DA5" w:rsidP="0060287F">
            <w:pPr>
              <w:pStyle w:val="Caption"/>
              <w:keepNext/>
              <w:rPr>
                <w:rFonts w:ascii="Times New Roman" w:hAnsi="Times New Roman" w:cs="Times New Roman"/>
                <w:i w:val="0"/>
                <w:iCs w:val="0"/>
                <w:sz w:val="20"/>
                <w:szCs w:val="20"/>
              </w:rPr>
            </w:pPr>
            <w:r>
              <w:rPr>
                <w:rFonts w:ascii="Times New Roman" w:hAnsi="Times New Roman" w:cs="Times New Roman"/>
                <w:color w:val="auto"/>
                <w:sz w:val="20"/>
                <w:szCs w:val="20"/>
              </w:rPr>
              <w:sym w:font="Wingdings 2" w:char="F097"/>
            </w:r>
            <w:r>
              <w:rPr>
                <w:rFonts w:ascii="Times New Roman" w:hAnsi="Times New Roman" w:cs="Times New Roman"/>
                <w:color w:val="auto"/>
                <w:sz w:val="20"/>
                <w:szCs w:val="20"/>
              </w:rPr>
              <w:t xml:space="preserve"> </w:t>
            </w:r>
            <w:r w:rsidR="0032603F" w:rsidRPr="000F2613">
              <w:rPr>
                <w:rFonts w:ascii="Times New Roman" w:hAnsi="Times New Roman" w:cs="Times New Roman"/>
                <w:color w:val="auto"/>
                <w:sz w:val="20"/>
                <w:szCs w:val="20"/>
              </w:rPr>
              <w:t>Construct validity</w:t>
            </w:r>
            <w:r w:rsidR="0032603F" w:rsidRPr="000F2613">
              <w:rPr>
                <w:rFonts w:ascii="Times New Roman" w:hAnsi="Times New Roman" w:cs="Times New Roman"/>
                <w:i w:val="0"/>
                <w:iCs w:val="0"/>
                <w:color w:val="auto"/>
                <w:sz w:val="20"/>
                <w:szCs w:val="20"/>
              </w:rPr>
              <w:t xml:space="preserve"> should be assessed by comparing results from the new measure with existing instruments and outcomes (e.g., other questionnaires, clinician reports, clinical data) which can serve as anchors to evaluate whether results are consistent with established relationships (i.e., convergent and discriminant validity).</w:t>
            </w:r>
          </w:p>
        </w:tc>
        <w:tc>
          <w:tcPr>
            <w:tcW w:w="2409" w:type="dxa"/>
            <w:tcBorders>
              <w:top w:val="single" w:sz="2" w:space="0" w:color="auto"/>
              <w:bottom w:val="single" w:sz="2" w:space="0" w:color="auto"/>
            </w:tcBorders>
          </w:tcPr>
          <w:p w14:paraId="3E095DCA" w14:textId="77777777" w:rsidR="0032603F" w:rsidRPr="000F2613" w:rsidRDefault="0032603F" w:rsidP="0060287F">
            <w:pPr>
              <w:pStyle w:val="Caption"/>
              <w:keepNext/>
              <w:rPr>
                <w:rFonts w:ascii="Times New Roman" w:hAnsi="Times New Roman" w:cs="Times New Roman"/>
                <w:b/>
                <w:bCs/>
                <w:color w:val="auto"/>
                <w:sz w:val="20"/>
                <w:szCs w:val="20"/>
              </w:rPr>
            </w:pPr>
            <w:r w:rsidRPr="000F2613">
              <w:rPr>
                <w:rFonts w:ascii="Times New Roman" w:hAnsi="Times New Roman" w:cs="Times New Roman"/>
                <w:i w:val="0"/>
                <w:iCs w:val="0"/>
                <w:color w:val="auto"/>
                <w:sz w:val="20"/>
                <w:szCs w:val="20"/>
              </w:rPr>
              <w:sym w:font="Wingdings 2" w:char="F097"/>
            </w:r>
            <w:r w:rsidRPr="000F2613">
              <w:rPr>
                <w:rFonts w:ascii="Times New Roman" w:hAnsi="Times New Roman" w:cs="Times New Roman"/>
                <w:color w:val="auto"/>
                <w:sz w:val="20"/>
                <w:szCs w:val="20"/>
              </w:rPr>
              <w:t xml:space="preserve"> Convergent validity </w:t>
            </w:r>
            <w:r w:rsidRPr="000F2613">
              <w:rPr>
                <w:rFonts w:ascii="Times New Roman" w:hAnsi="Times New Roman" w:cs="Times New Roman"/>
                <w:i w:val="0"/>
                <w:iCs w:val="0"/>
                <w:color w:val="auto"/>
                <w:sz w:val="20"/>
                <w:szCs w:val="20"/>
              </w:rPr>
              <w:t>assesses whether a PRO measure is correlated with a similar measure (i.e., of the same or similar construct), using correlation coefficients.</w:t>
            </w:r>
          </w:p>
        </w:tc>
        <w:tc>
          <w:tcPr>
            <w:tcW w:w="2127" w:type="dxa"/>
            <w:tcBorders>
              <w:top w:val="single" w:sz="2" w:space="0" w:color="auto"/>
              <w:bottom w:val="single" w:sz="2" w:space="0" w:color="auto"/>
            </w:tcBorders>
          </w:tcPr>
          <w:p w14:paraId="085FE7B3" w14:textId="77777777" w:rsidR="0032603F" w:rsidRPr="000F2613" w:rsidRDefault="0032603F" w:rsidP="0060287F">
            <w:pPr>
              <w:pStyle w:val="Caption"/>
              <w:keepNext/>
              <w:rPr>
                <w:rFonts w:ascii="Times New Roman" w:hAnsi="Times New Roman" w:cs="Times New Roman"/>
                <w:b/>
                <w:bCs/>
                <w:color w:val="auto"/>
                <w:sz w:val="20"/>
                <w:szCs w:val="20"/>
              </w:rPr>
            </w:pPr>
            <w:r w:rsidRPr="000F2613">
              <w:rPr>
                <w:rFonts w:ascii="Times New Roman" w:hAnsi="Times New Roman" w:cs="Times New Roman"/>
                <w:i w:val="0"/>
                <w:iCs w:val="0"/>
                <w:color w:val="auto"/>
                <w:sz w:val="20"/>
                <w:szCs w:val="20"/>
              </w:rPr>
              <w:sym w:font="Wingdings 2" w:char="F097"/>
            </w:r>
            <w:r w:rsidRPr="000F2613">
              <w:rPr>
                <w:rFonts w:ascii="Times New Roman" w:hAnsi="Times New Roman" w:cs="Times New Roman"/>
                <w:i w:val="0"/>
                <w:iCs w:val="0"/>
                <w:color w:val="auto"/>
                <w:sz w:val="20"/>
                <w:szCs w:val="20"/>
              </w:rPr>
              <w:t xml:space="preserve"> </w:t>
            </w:r>
            <w:r w:rsidRPr="000F2613">
              <w:rPr>
                <w:rFonts w:ascii="Times New Roman" w:hAnsi="Times New Roman" w:cs="Times New Roman"/>
                <w:color w:val="auto"/>
                <w:sz w:val="20"/>
                <w:szCs w:val="20"/>
              </w:rPr>
              <w:t xml:space="preserve">Known groups validity </w:t>
            </w:r>
            <w:r w:rsidRPr="000F2613">
              <w:rPr>
                <w:rFonts w:ascii="Times New Roman" w:hAnsi="Times New Roman" w:cs="Times New Roman"/>
                <w:i w:val="0"/>
                <w:iCs w:val="0"/>
                <w:color w:val="auto"/>
                <w:sz w:val="20"/>
                <w:szCs w:val="20"/>
              </w:rPr>
              <w:t>assesses the extent to which the PRO measure can distinguish between different groups known to differ on the domain of interest.</w:t>
            </w:r>
          </w:p>
          <w:p w14:paraId="62488548" w14:textId="77777777" w:rsidR="0032603F" w:rsidRPr="000F2613" w:rsidRDefault="0032603F" w:rsidP="0060287F">
            <w:pPr>
              <w:pStyle w:val="Caption"/>
              <w:keepNext/>
              <w:rPr>
                <w:rFonts w:ascii="Times New Roman" w:hAnsi="Times New Roman" w:cs="Times New Roman"/>
                <w:i w:val="0"/>
                <w:iCs w:val="0"/>
                <w:color w:val="auto"/>
                <w:sz w:val="20"/>
                <w:szCs w:val="20"/>
              </w:rPr>
            </w:pPr>
          </w:p>
        </w:tc>
        <w:tc>
          <w:tcPr>
            <w:tcW w:w="2835" w:type="dxa"/>
            <w:tcBorders>
              <w:top w:val="single" w:sz="2" w:space="0" w:color="auto"/>
              <w:bottom w:val="single" w:sz="2" w:space="0" w:color="auto"/>
            </w:tcBorders>
          </w:tcPr>
          <w:p w14:paraId="132E1165" w14:textId="71C943D9" w:rsidR="0032603F" w:rsidRPr="000F2613" w:rsidRDefault="0032603F" w:rsidP="0060287F">
            <w:pPr>
              <w:pStyle w:val="Caption"/>
              <w:keepNext/>
              <w:rPr>
                <w:rFonts w:ascii="Times New Roman" w:hAnsi="Times New Roman" w:cs="Times New Roman"/>
                <w:color w:val="auto"/>
                <w:sz w:val="20"/>
                <w:szCs w:val="20"/>
              </w:rPr>
            </w:pPr>
            <w:r w:rsidRPr="000F2613">
              <w:rPr>
                <w:rFonts w:ascii="Times New Roman" w:hAnsi="Times New Roman" w:cs="Times New Roman"/>
                <w:i w:val="0"/>
                <w:iCs w:val="0"/>
                <w:color w:val="auto"/>
                <w:sz w:val="20"/>
                <w:szCs w:val="20"/>
              </w:rPr>
              <w:sym w:font="Wingdings 2" w:char="F097"/>
            </w:r>
            <w:r w:rsidRPr="000F2613">
              <w:rPr>
                <w:rFonts w:ascii="Times New Roman" w:hAnsi="Times New Roman" w:cs="Times New Roman"/>
                <w:color w:val="auto"/>
                <w:sz w:val="20"/>
                <w:szCs w:val="20"/>
              </w:rPr>
              <w:t xml:space="preserve"> Structural validity (multi-item scales only) </w:t>
            </w:r>
            <w:r w:rsidRPr="000F2613">
              <w:rPr>
                <w:rFonts w:ascii="Times New Roman" w:hAnsi="Times New Roman" w:cs="Times New Roman"/>
                <w:i w:val="0"/>
                <w:iCs w:val="0"/>
                <w:color w:val="auto"/>
                <w:sz w:val="20"/>
                <w:szCs w:val="20"/>
              </w:rPr>
              <w:t>confirms that the items that make up a multi-item scale are associated with each other in a way that confirms the dimensionality of the domain(s) being assessed. Typically factor analytic methods are used to evaluate structural validity</w:t>
            </w:r>
            <w:r w:rsidR="00823274">
              <w:rPr>
                <w:rFonts w:ascii="Times New Roman" w:hAnsi="Times New Roman" w:cs="Times New Roman"/>
                <w:i w:val="0"/>
                <w:iCs w:val="0"/>
                <w:color w:val="auto"/>
                <w:sz w:val="20"/>
                <w:szCs w:val="20"/>
              </w:rPr>
              <w:t xml:space="preserve">. </w:t>
            </w:r>
            <w:r w:rsidR="00823274">
              <w:rPr>
                <w:rFonts w:ascii="Times New Roman" w:hAnsi="Times New Roman" w:cs="Times New Roman"/>
                <w:i w:val="0"/>
                <w:iCs w:val="0"/>
                <w:color w:val="auto"/>
                <w:sz w:val="20"/>
                <w:szCs w:val="20"/>
              </w:rPr>
              <w:fldChar w:fldCharType="begin" w:fldLock="1"/>
            </w:r>
            <w:r w:rsidR="00823274">
              <w:rPr>
                <w:rFonts w:ascii="Times New Roman" w:hAnsi="Times New Roman" w:cs="Times New Roman"/>
                <w:i w:val="0"/>
                <w:iCs w:val="0"/>
                <w:color w:val="auto"/>
                <w:sz w:val="20"/>
                <w:szCs w:val="20"/>
              </w:rPr>
              <w:instrText>ADDIN CSL_CITATION {"citationItems":[{"id":"ITEM-1","itemData":{"author":[{"dropping-particle":"","family":"Nunnally","given":"J.C.","non-dropping-particle":"","parse-names":false,"suffix":""},{"dropping-particle":"","family":"Bernstein","given":"I.H.","non-dropping-particle":"","parse-names":false,"suffix":""}],"edition":"3rd Ed.","id":"ITEM-1","issued":{"date-parts":[["1994"]]},"publisher":"McGraw-Hill","publisher-place":"New York","title":"Psychometric Theory","type":"book"},"uris":["http://www.mendeley.com/documents/?uuid=d44ebb29-d798-44e3-ad71-fe0c58561d00"]}],"mendeley":{"formattedCitation":"&lt;sup&gt;43&lt;/sup&gt;","plainTextFormattedCitation":"43","previouslyFormattedCitation":"&lt;sup&gt;43&lt;/sup&gt;"},"properties":{"noteIndex":0},"schema":"https://github.com/citation-style-language/schema/raw/master/csl-citation.json"}</w:instrText>
            </w:r>
            <w:r w:rsidR="00823274">
              <w:rPr>
                <w:rFonts w:ascii="Times New Roman" w:hAnsi="Times New Roman" w:cs="Times New Roman"/>
                <w:i w:val="0"/>
                <w:iCs w:val="0"/>
                <w:color w:val="auto"/>
                <w:sz w:val="20"/>
                <w:szCs w:val="20"/>
              </w:rPr>
              <w:fldChar w:fldCharType="separate"/>
            </w:r>
            <w:r w:rsidR="00823274" w:rsidRPr="00823274">
              <w:rPr>
                <w:rFonts w:ascii="Times New Roman" w:hAnsi="Times New Roman" w:cs="Times New Roman"/>
                <w:i w:val="0"/>
                <w:iCs w:val="0"/>
                <w:noProof/>
                <w:color w:val="auto"/>
                <w:sz w:val="20"/>
                <w:szCs w:val="20"/>
                <w:vertAlign w:val="superscript"/>
              </w:rPr>
              <w:t>43</w:t>
            </w:r>
            <w:r w:rsidR="00823274">
              <w:rPr>
                <w:rFonts w:ascii="Times New Roman" w:hAnsi="Times New Roman" w:cs="Times New Roman"/>
                <w:i w:val="0"/>
                <w:iCs w:val="0"/>
                <w:color w:val="auto"/>
                <w:sz w:val="20"/>
                <w:szCs w:val="20"/>
              </w:rPr>
              <w:fldChar w:fldCharType="end"/>
            </w:r>
            <w:r w:rsidRPr="000F2613">
              <w:rPr>
                <w:rFonts w:ascii="Times New Roman" w:hAnsi="Times New Roman" w:cs="Times New Roman"/>
                <w:i w:val="0"/>
                <w:iCs w:val="0"/>
                <w:color w:val="auto"/>
                <w:sz w:val="20"/>
                <w:szCs w:val="20"/>
              </w:rPr>
              <w:t xml:space="preserve"> </w:t>
            </w:r>
          </w:p>
        </w:tc>
      </w:tr>
      <w:tr w:rsidR="0032603F" w:rsidRPr="000F2613" w14:paraId="61A1F96D" w14:textId="77777777" w:rsidTr="0060287F">
        <w:tc>
          <w:tcPr>
            <w:tcW w:w="10627" w:type="dxa"/>
            <w:gridSpan w:val="4"/>
            <w:tcBorders>
              <w:top w:val="single" w:sz="2" w:space="0" w:color="auto"/>
              <w:bottom w:val="single" w:sz="2" w:space="0" w:color="auto"/>
            </w:tcBorders>
            <w:shd w:val="clear" w:color="auto" w:fill="D0CECE" w:themeFill="background2" w:themeFillShade="E6"/>
          </w:tcPr>
          <w:p w14:paraId="5A49F0A6" w14:textId="77777777" w:rsidR="0032603F" w:rsidRPr="000F2613" w:rsidRDefault="0032603F" w:rsidP="0060287F">
            <w:pPr>
              <w:pStyle w:val="Caption"/>
              <w:keepNext/>
              <w:rPr>
                <w:rFonts w:ascii="Times New Roman" w:hAnsi="Times New Roman" w:cs="Times New Roman"/>
                <w:i w:val="0"/>
                <w:iCs w:val="0"/>
                <w:sz w:val="22"/>
                <w:szCs w:val="22"/>
              </w:rPr>
            </w:pPr>
            <w:r w:rsidRPr="000F2613">
              <w:rPr>
                <w:rFonts w:ascii="Times New Roman" w:hAnsi="Times New Roman" w:cs="Times New Roman"/>
                <w:i w:val="0"/>
                <w:iCs w:val="0"/>
                <w:color w:val="auto"/>
                <w:sz w:val="20"/>
                <w:szCs w:val="20"/>
              </w:rPr>
              <w:t>Criterion validity</w:t>
            </w:r>
          </w:p>
        </w:tc>
      </w:tr>
      <w:tr w:rsidR="0032603F" w:rsidRPr="000F2613" w14:paraId="528A169E" w14:textId="77777777" w:rsidTr="0060287F">
        <w:tc>
          <w:tcPr>
            <w:tcW w:w="10627" w:type="dxa"/>
            <w:gridSpan w:val="4"/>
            <w:tcBorders>
              <w:top w:val="single" w:sz="2" w:space="0" w:color="auto"/>
              <w:bottom w:val="single" w:sz="18" w:space="0" w:color="auto"/>
            </w:tcBorders>
          </w:tcPr>
          <w:p w14:paraId="1DEAC4BC" w14:textId="77777777" w:rsidR="0032603F" w:rsidRPr="000F2613" w:rsidRDefault="0032603F" w:rsidP="0060287F">
            <w:pPr>
              <w:pStyle w:val="Caption"/>
              <w:keepNext/>
              <w:rPr>
                <w:rFonts w:ascii="Times New Roman" w:hAnsi="Times New Roman" w:cs="Times New Roman"/>
                <w:i w:val="0"/>
                <w:iCs w:val="0"/>
                <w:sz w:val="22"/>
                <w:szCs w:val="22"/>
              </w:rPr>
            </w:pPr>
            <w:r w:rsidRPr="000F2613">
              <w:rPr>
                <w:rFonts w:ascii="Times New Roman" w:hAnsi="Times New Roman" w:cs="Times New Roman"/>
                <w:i w:val="0"/>
                <w:iCs w:val="0"/>
                <w:color w:val="auto"/>
                <w:sz w:val="20"/>
                <w:szCs w:val="20"/>
              </w:rPr>
              <w:t>Criterion validity can be evaluated by comparing the measure to a known gold standard measure of the same concept, but it is rare that this is applicable to PROs, since most concepts measured using PROs would not have a gold standard equivalent.</w:t>
            </w:r>
          </w:p>
        </w:tc>
      </w:tr>
      <w:tr w:rsidR="0032603F" w:rsidRPr="000F2613" w14:paraId="1204F92F" w14:textId="77777777" w:rsidTr="0060287F">
        <w:tc>
          <w:tcPr>
            <w:tcW w:w="10627" w:type="dxa"/>
            <w:gridSpan w:val="4"/>
            <w:tcBorders>
              <w:top w:val="single" w:sz="18" w:space="0" w:color="auto"/>
              <w:bottom w:val="single" w:sz="18" w:space="0" w:color="auto"/>
            </w:tcBorders>
            <w:shd w:val="clear" w:color="auto" w:fill="DEEAF6" w:themeFill="accent5" w:themeFillTint="33"/>
          </w:tcPr>
          <w:p w14:paraId="16929FB1" w14:textId="77777777" w:rsidR="0032603F" w:rsidRPr="000F2613" w:rsidRDefault="0032603F" w:rsidP="0060287F">
            <w:pPr>
              <w:pStyle w:val="Caption"/>
              <w:keepNext/>
              <w:rPr>
                <w:rFonts w:ascii="Times New Roman" w:hAnsi="Times New Roman" w:cs="Times New Roman"/>
                <w:i w:val="0"/>
                <w:iCs w:val="0"/>
                <w:sz w:val="22"/>
                <w:szCs w:val="22"/>
              </w:rPr>
            </w:pPr>
            <w:r w:rsidRPr="000F2613">
              <w:rPr>
                <w:rFonts w:ascii="Times New Roman" w:hAnsi="Times New Roman" w:cs="Times New Roman"/>
                <w:b/>
                <w:bCs/>
                <w:i w:val="0"/>
                <w:iCs w:val="0"/>
                <w:color w:val="auto"/>
                <w:sz w:val="20"/>
                <w:szCs w:val="20"/>
              </w:rPr>
              <w:t>Single items and multi-item scales – reliability</w:t>
            </w:r>
          </w:p>
        </w:tc>
      </w:tr>
      <w:tr w:rsidR="0032603F" w:rsidRPr="000F2613" w14:paraId="78A3155D" w14:textId="77777777" w:rsidTr="0060287F">
        <w:tc>
          <w:tcPr>
            <w:tcW w:w="10627" w:type="dxa"/>
            <w:gridSpan w:val="4"/>
            <w:tcBorders>
              <w:top w:val="single" w:sz="18" w:space="0" w:color="auto"/>
              <w:bottom w:val="single" w:sz="2" w:space="0" w:color="auto"/>
            </w:tcBorders>
            <w:shd w:val="clear" w:color="auto" w:fill="D0CECE" w:themeFill="background2" w:themeFillShade="E6"/>
          </w:tcPr>
          <w:p w14:paraId="63D8362C" w14:textId="77777777" w:rsidR="0032603F" w:rsidRPr="000F2613" w:rsidRDefault="0032603F" w:rsidP="0060287F">
            <w:pPr>
              <w:pStyle w:val="Caption"/>
              <w:keepNext/>
              <w:rPr>
                <w:rFonts w:ascii="Times New Roman" w:hAnsi="Times New Roman" w:cs="Times New Roman"/>
                <w:i w:val="0"/>
                <w:iCs w:val="0"/>
                <w:sz w:val="22"/>
                <w:szCs w:val="22"/>
              </w:rPr>
            </w:pPr>
            <w:r w:rsidRPr="000F2613">
              <w:rPr>
                <w:rFonts w:ascii="Times New Roman" w:hAnsi="Times New Roman" w:cs="Times New Roman"/>
                <w:i w:val="0"/>
                <w:iCs w:val="0"/>
                <w:color w:val="auto"/>
                <w:sz w:val="20"/>
                <w:szCs w:val="20"/>
              </w:rPr>
              <w:t>Test-retest reliability / stability</w:t>
            </w:r>
          </w:p>
        </w:tc>
      </w:tr>
      <w:tr w:rsidR="0032603F" w:rsidRPr="000F2613" w14:paraId="3E525C74" w14:textId="77777777" w:rsidTr="0060287F">
        <w:tc>
          <w:tcPr>
            <w:tcW w:w="10627" w:type="dxa"/>
            <w:gridSpan w:val="4"/>
            <w:tcBorders>
              <w:top w:val="single" w:sz="2" w:space="0" w:color="auto"/>
              <w:bottom w:val="single" w:sz="2" w:space="0" w:color="auto"/>
            </w:tcBorders>
          </w:tcPr>
          <w:p w14:paraId="237799C2" w14:textId="3E3493CE" w:rsidR="0032603F" w:rsidRPr="000F2613" w:rsidRDefault="0032603F" w:rsidP="0060287F">
            <w:pPr>
              <w:pStyle w:val="Caption"/>
              <w:keepNext/>
              <w:rPr>
                <w:rFonts w:ascii="Times New Roman" w:hAnsi="Times New Roman" w:cs="Times New Roman"/>
                <w:i w:val="0"/>
                <w:iCs w:val="0"/>
                <w:sz w:val="22"/>
                <w:szCs w:val="22"/>
              </w:rPr>
            </w:pPr>
            <w:r w:rsidRPr="000F2613">
              <w:rPr>
                <w:rFonts w:ascii="Times New Roman" w:hAnsi="Times New Roman" w:cs="Times New Roman"/>
                <w:i w:val="0"/>
                <w:iCs w:val="0"/>
                <w:color w:val="auto"/>
                <w:sz w:val="20"/>
                <w:szCs w:val="20"/>
              </w:rPr>
              <w:t>Test-retest reliability or stability can be assessed using intra-class correlation coefficients (ICC) between assessments. Although there is some debate surrounding the issue, correlations of at least 0.70 are generally considered acceptable, while those exceeding 0.80 are "good".</w:t>
            </w:r>
            <w:r w:rsidR="00823274">
              <w:rPr>
                <w:rFonts w:ascii="Times New Roman" w:hAnsi="Times New Roman" w:cs="Times New Roman"/>
                <w:i w:val="0"/>
                <w:iCs w:val="0"/>
                <w:color w:val="auto"/>
                <w:sz w:val="20"/>
                <w:szCs w:val="20"/>
              </w:rPr>
              <w:t xml:space="preserve"> </w:t>
            </w:r>
            <w:r w:rsidR="00823274">
              <w:rPr>
                <w:rFonts w:ascii="Times New Roman" w:hAnsi="Times New Roman" w:cs="Times New Roman"/>
                <w:i w:val="0"/>
                <w:iCs w:val="0"/>
                <w:color w:val="auto"/>
                <w:sz w:val="20"/>
                <w:szCs w:val="20"/>
              </w:rPr>
              <w:fldChar w:fldCharType="begin" w:fldLock="1"/>
            </w:r>
            <w:r w:rsidR="00823274">
              <w:rPr>
                <w:rFonts w:ascii="Times New Roman" w:hAnsi="Times New Roman" w:cs="Times New Roman"/>
                <w:i w:val="0"/>
                <w:iCs w:val="0"/>
                <w:color w:val="auto"/>
                <w:sz w:val="20"/>
                <w:szCs w:val="20"/>
              </w:rPr>
              <w:instrText>ADDIN CSL_CITATION {"citationItems":[{"id":"ITEM-1","itemData":{"author":[{"dropping-particle":"","family":"Nunnally","given":"J.C.","non-dropping-particle":"","parse-names":false,"suffix":""},{"dropping-particle":"","family":"Bernstein","given":"I.H.","non-dropping-particle":"","parse-names":false,"suffix":""}],"edition":"3rd Ed.","id":"ITEM-1","issued":{"date-parts":[["1994"]]},"publisher":"McGraw-Hill","publisher-place":"New York","title":"Psychometric Theory","type":"book"},"uris":["http://www.mendeley.com/documents/?uuid=d44ebb29-d798-44e3-ad71-fe0c58561d00"]},{"id":"ITEM-2","itemData":{"author":[{"dropping-particle":"","family":"Portney","given":"Leslie G.","non-dropping-particle":"","parse-names":false,"suffix":""},{"dropping-particle":"","family":"Watkins","given":"Mary P.","non-dropping-particle":"","parse-names":false,"suffix":""}],"edition":"3rd Ed.","id":"ITEM-2","issued":{"date-parts":[["2009"]]},"publisher":"Pearson/Prentice Hall","publisher-place":"Upper Saddle River, New Jersey","title":"Foundations of Clinical Research: Applications to Practice","type":"book"},"uris":["http://www.mendeley.com/documents/?uuid=90a5513a-a8cb-4481-83a0-2c82e741aa0c"]}],"mendeley":{"formattedCitation":"&lt;sup&gt;43,44&lt;/sup&gt;","plainTextFormattedCitation":"43,44","previouslyFormattedCitation":"&lt;sup&gt;43,44&lt;/sup&gt;"},"properties":{"noteIndex":0},"schema":"https://github.com/citation-style-language/schema/raw/master/csl-citation.json"}</w:instrText>
            </w:r>
            <w:r w:rsidR="00823274">
              <w:rPr>
                <w:rFonts w:ascii="Times New Roman" w:hAnsi="Times New Roman" w:cs="Times New Roman"/>
                <w:i w:val="0"/>
                <w:iCs w:val="0"/>
                <w:color w:val="auto"/>
                <w:sz w:val="20"/>
                <w:szCs w:val="20"/>
              </w:rPr>
              <w:fldChar w:fldCharType="separate"/>
            </w:r>
            <w:r w:rsidR="00823274" w:rsidRPr="00823274">
              <w:rPr>
                <w:rFonts w:ascii="Times New Roman" w:hAnsi="Times New Roman" w:cs="Times New Roman"/>
                <w:i w:val="0"/>
                <w:iCs w:val="0"/>
                <w:noProof/>
                <w:color w:val="auto"/>
                <w:sz w:val="20"/>
                <w:szCs w:val="20"/>
                <w:vertAlign w:val="superscript"/>
              </w:rPr>
              <w:t>43,44</w:t>
            </w:r>
            <w:r w:rsidR="00823274">
              <w:rPr>
                <w:rFonts w:ascii="Times New Roman" w:hAnsi="Times New Roman" w:cs="Times New Roman"/>
                <w:i w:val="0"/>
                <w:iCs w:val="0"/>
                <w:color w:val="auto"/>
                <w:sz w:val="20"/>
                <w:szCs w:val="20"/>
              </w:rPr>
              <w:fldChar w:fldCharType="end"/>
            </w:r>
            <w:r w:rsidRPr="000F2613">
              <w:rPr>
                <w:rFonts w:ascii="Times New Roman" w:hAnsi="Times New Roman" w:cs="Times New Roman"/>
                <w:i w:val="0"/>
                <w:iCs w:val="0"/>
                <w:color w:val="auto"/>
                <w:sz w:val="20"/>
                <w:szCs w:val="20"/>
              </w:rPr>
              <w:t xml:space="preserve"> If the measure is intended to be used for individual patient monitoring, a higher correlation would be recommended.</w:t>
            </w:r>
          </w:p>
        </w:tc>
      </w:tr>
      <w:tr w:rsidR="0032603F" w:rsidRPr="000F2613" w14:paraId="4F306044" w14:textId="77777777" w:rsidTr="0060287F">
        <w:tc>
          <w:tcPr>
            <w:tcW w:w="10627" w:type="dxa"/>
            <w:gridSpan w:val="4"/>
            <w:tcBorders>
              <w:top w:val="single" w:sz="2" w:space="0" w:color="auto"/>
              <w:bottom w:val="single" w:sz="2" w:space="0" w:color="auto"/>
            </w:tcBorders>
            <w:shd w:val="clear" w:color="auto" w:fill="D0CECE" w:themeFill="background2" w:themeFillShade="E6"/>
          </w:tcPr>
          <w:p w14:paraId="78B191B9" w14:textId="77777777" w:rsidR="0032603F" w:rsidRPr="000F2613" w:rsidRDefault="0032603F" w:rsidP="0060287F">
            <w:pPr>
              <w:pStyle w:val="Caption"/>
              <w:keepNext/>
              <w:rPr>
                <w:rFonts w:ascii="Times New Roman" w:hAnsi="Times New Roman" w:cs="Times New Roman"/>
                <w:i w:val="0"/>
                <w:iCs w:val="0"/>
                <w:sz w:val="22"/>
                <w:szCs w:val="22"/>
              </w:rPr>
            </w:pPr>
            <w:r w:rsidRPr="000F2613">
              <w:rPr>
                <w:rFonts w:ascii="Times New Roman" w:hAnsi="Times New Roman" w:cs="Times New Roman"/>
                <w:i w:val="0"/>
                <w:iCs w:val="0"/>
                <w:color w:val="auto"/>
                <w:sz w:val="20"/>
                <w:szCs w:val="20"/>
              </w:rPr>
              <w:t>Internal consistency (multi-item scales only)</w:t>
            </w:r>
          </w:p>
        </w:tc>
      </w:tr>
      <w:tr w:rsidR="0032603F" w:rsidRPr="000F2613" w14:paraId="613C6F26" w14:textId="77777777" w:rsidTr="0060287F">
        <w:tc>
          <w:tcPr>
            <w:tcW w:w="10627" w:type="dxa"/>
            <w:gridSpan w:val="4"/>
            <w:tcBorders>
              <w:top w:val="single" w:sz="2" w:space="0" w:color="auto"/>
              <w:bottom w:val="single" w:sz="2" w:space="0" w:color="auto"/>
            </w:tcBorders>
            <w:shd w:val="clear" w:color="auto" w:fill="auto"/>
          </w:tcPr>
          <w:p w14:paraId="0DE9E680" w14:textId="77777777" w:rsidR="0032603F" w:rsidRPr="000F2613" w:rsidRDefault="0032603F" w:rsidP="0060287F">
            <w:pPr>
              <w:pStyle w:val="Caption"/>
              <w:keepNext/>
              <w:rPr>
                <w:rFonts w:ascii="Times New Roman" w:hAnsi="Times New Roman" w:cs="Times New Roman"/>
                <w:i w:val="0"/>
                <w:iCs w:val="0"/>
                <w:sz w:val="22"/>
                <w:szCs w:val="22"/>
              </w:rPr>
            </w:pPr>
            <w:r w:rsidRPr="000F2613">
              <w:rPr>
                <w:rFonts w:ascii="Times New Roman" w:hAnsi="Times New Roman" w:cs="Times New Roman"/>
                <w:i w:val="0"/>
                <w:iCs w:val="0"/>
                <w:color w:val="auto"/>
                <w:sz w:val="20"/>
                <w:szCs w:val="20"/>
              </w:rPr>
              <w:t>Cronbach's Coefficient alpha, along with item-total correlations, can be used to assess internal consistency.</w:t>
            </w:r>
          </w:p>
        </w:tc>
      </w:tr>
      <w:tr w:rsidR="0032603F" w:rsidRPr="000F2613" w14:paraId="7D737D5D" w14:textId="77777777" w:rsidTr="0060287F">
        <w:tc>
          <w:tcPr>
            <w:tcW w:w="10627" w:type="dxa"/>
            <w:gridSpan w:val="4"/>
            <w:tcBorders>
              <w:top w:val="single" w:sz="2" w:space="0" w:color="auto"/>
              <w:bottom w:val="single" w:sz="2" w:space="0" w:color="auto"/>
            </w:tcBorders>
            <w:shd w:val="clear" w:color="auto" w:fill="D0CECE" w:themeFill="background2" w:themeFillShade="E6"/>
          </w:tcPr>
          <w:p w14:paraId="6680FCEA" w14:textId="77777777" w:rsidR="0032603F" w:rsidRPr="000F2613" w:rsidRDefault="0032603F" w:rsidP="0060287F">
            <w:pPr>
              <w:pStyle w:val="Caption"/>
              <w:keepNext/>
              <w:rPr>
                <w:rFonts w:ascii="Times New Roman" w:hAnsi="Times New Roman" w:cs="Times New Roman"/>
                <w:i w:val="0"/>
                <w:iCs w:val="0"/>
                <w:sz w:val="22"/>
                <w:szCs w:val="22"/>
              </w:rPr>
            </w:pPr>
            <w:r w:rsidRPr="000F2613">
              <w:rPr>
                <w:rFonts w:ascii="Times New Roman" w:hAnsi="Times New Roman" w:cs="Times New Roman"/>
                <w:i w:val="0"/>
                <w:iCs w:val="0"/>
                <w:color w:val="auto"/>
                <w:sz w:val="20"/>
                <w:szCs w:val="20"/>
              </w:rPr>
              <w:t>Item response theory (IRT) (multi-item scales only)</w:t>
            </w:r>
          </w:p>
        </w:tc>
      </w:tr>
      <w:tr w:rsidR="0032603F" w:rsidRPr="000F2613" w14:paraId="77100ED0" w14:textId="77777777" w:rsidTr="0060287F">
        <w:tc>
          <w:tcPr>
            <w:tcW w:w="10627" w:type="dxa"/>
            <w:gridSpan w:val="4"/>
            <w:tcBorders>
              <w:top w:val="single" w:sz="2" w:space="0" w:color="auto"/>
            </w:tcBorders>
          </w:tcPr>
          <w:p w14:paraId="529D4940" w14:textId="77777777" w:rsidR="0032603F" w:rsidRPr="000F2613" w:rsidRDefault="0032603F" w:rsidP="0060287F">
            <w:pPr>
              <w:pStyle w:val="Caption"/>
              <w:keepNext/>
              <w:rPr>
                <w:rFonts w:ascii="Times New Roman" w:hAnsi="Times New Roman" w:cs="Times New Roman"/>
                <w:i w:val="0"/>
                <w:iCs w:val="0"/>
                <w:sz w:val="22"/>
                <w:szCs w:val="22"/>
              </w:rPr>
            </w:pPr>
            <w:r w:rsidRPr="000F2613">
              <w:rPr>
                <w:rFonts w:ascii="Times New Roman" w:hAnsi="Times New Roman" w:cs="Times New Roman"/>
                <w:i w:val="0"/>
                <w:iCs w:val="0"/>
                <w:color w:val="auto"/>
                <w:sz w:val="20"/>
                <w:szCs w:val="20"/>
              </w:rPr>
              <w:t>IRT models allow a comprehensive evaluation of how well (in terms of information or standard error of measurement) the set of items within a scale captures the full range of HRQOL levels observed in the study sample.</w:t>
            </w:r>
          </w:p>
        </w:tc>
      </w:tr>
      <w:tr w:rsidR="0032603F" w:rsidRPr="000F2613" w14:paraId="4EF93FDA" w14:textId="77777777" w:rsidTr="0060287F">
        <w:tc>
          <w:tcPr>
            <w:tcW w:w="10627" w:type="dxa"/>
            <w:gridSpan w:val="4"/>
            <w:shd w:val="clear" w:color="auto" w:fill="D0CECE" w:themeFill="background2" w:themeFillShade="E6"/>
          </w:tcPr>
          <w:p w14:paraId="3E15375A" w14:textId="77777777" w:rsidR="0032603F" w:rsidRPr="000F2613" w:rsidRDefault="0032603F" w:rsidP="0060287F">
            <w:pPr>
              <w:pStyle w:val="Caption"/>
              <w:keepNext/>
              <w:rPr>
                <w:rFonts w:ascii="Times New Roman" w:hAnsi="Times New Roman" w:cs="Times New Roman"/>
                <w:i w:val="0"/>
                <w:iCs w:val="0"/>
                <w:sz w:val="22"/>
                <w:szCs w:val="22"/>
              </w:rPr>
            </w:pPr>
            <w:r w:rsidRPr="000F2613">
              <w:rPr>
                <w:rFonts w:ascii="Times New Roman" w:hAnsi="Times New Roman" w:cs="Times New Roman"/>
                <w:i w:val="0"/>
                <w:iCs w:val="0"/>
                <w:color w:val="auto"/>
                <w:sz w:val="20"/>
                <w:szCs w:val="20"/>
              </w:rPr>
              <w:t>Skewness / floor and ceiling effects</w:t>
            </w:r>
          </w:p>
        </w:tc>
      </w:tr>
      <w:tr w:rsidR="0032603F" w:rsidRPr="000F2613" w14:paraId="4215183E" w14:textId="77777777" w:rsidTr="0060287F">
        <w:tc>
          <w:tcPr>
            <w:tcW w:w="10627" w:type="dxa"/>
            <w:gridSpan w:val="4"/>
            <w:tcBorders>
              <w:bottom w:val="single" w:sz="18" w:space="0" w:color="auto"/>
            </w:tcBorders>
          </w:tcPr>
          <w:p w14:paraId="4B1364F6" w14:textId="77777777" w:rsidR="0032603F" w:rsidRPr="000F2613" w:rsidRDefault="0032603F" w:rsidP="0060287F">
            <w:pPr>
              <w:pStyle w:val="Caption"/>
              <w:keepNext/>
              <w:rPr>
                <w:rFonts w:ascii="Times New Roman" w:hAnsi="Times New Roman" w:cs="Times New Roman"/>
                <w:i w:val="0"/>
                <w:iCs w:val="0"/>
                <w:sz w:val="22"/>
                <w:szCs w:val="22"/>
              </w:rPr>
            </w:pPr>
            <w:r w:rsidRPr="000F2613">
              <w:rPr>
                <w:rFonts w:ascii="Times New Roman" w:hAnsi="Times New Roman" w:cs="Times New Roman"/>
                <w:i w:val="0"/>
                <w:iCs w:val="0"/>
                <w:color w:val="auto"/>
                <w:sz w:val="20"/>
                <w:szCs w:val="20"/>
              </w:rPr>
              <w:t>Possible skewness and floor/ceiling effects can be evaluated by assessing the distribution of scores.</w:t>
            </w:r>
          </w:p>
        </w:tc>
      </w:tr>
      <w:tr w:rsidR="0032603F" w:rsidRPr="000F2613" w14:paraId="1B077377" w14:textId="77777777" w:rsidTr="0060287F">
        <w:tc>
          <w:tcPr>
            <w:tcW w:w="10627" w:type="dxa"/>
            <w:gridSpan w:val="4"/>
            <w:tcBorders>
              <w:top w:val="single" w:sz="18" w:space="0" w:color="auto"/>
              <w:bottom w:val="single" w:sz="18" w:space="0" w:color="auto"/>
            </w:tcBorders>
            <w:shd w:val="clear" w:color="auto" w:fill="DEEAF6" w:themeFill="accent5" w:themeFillTint="33"/>
          </w:tcPr>
          <w:p w14:paraId="3E4FEB6C" w14:textId="77777777" w:rsidR="0032603F" w:rsidRPr="000F2613" w:rsidRDefault="0032603F" w:rsidP="0060287F">
            <w:pPr>
              <w:pStyle w:val="Caption"/>
              <w:keepNext/>
              <w:rPr>
                <w:rFonts w:ascii="Times New Roman" w:hAnsi="Times New Roman" w:cs="Times New Roman"/>
                <w:b/>
                <w:bCs/>
                <w:i w:val="0"/>
                <w:iCs w:val="0"/>
                <w:sz w:val="22"/>
                <w:szCs w:val="22"/>
              </w:rPr>
            </w:pPr>
            <w:r w:rsidRPr="000F2613">
              <w:rPr>
                <w:rFonts w:ascii="Times New Roman" w:hAnsi="Times New Roman" w:cs="Times New Roman"/>
                <w:b/>
                <w:bCs/>
                <w:i w:val="0"/>
                <w:iCs w:val="0"/>
                <w:color w:val="auto"/>
                <w:sz w:val="20"/>
                <w:szCs w:val="20"/>
              </w:rPr>
              <w:t>Responsiveness to change</w:t>
            </w:r>
          </w:p>
        </w:tc>
      </w:tr>
      <w:tr w:rsidR="0032603F" w:rsidRPr="000F2613" w14:paraId="05772A2D" w14:textId="77777777" w:rsidTr="0060287F">
        <w:tc>
          <w:tcPr>
            <w:tcW w:w="10627" w:type="dxa"/>
            <w:gridSpan w:val="4"/>
            <w:tcBorders>
              <w:top w:val="single" w:sz="18" w:space="0" w:color="auto"/>
              <w:bottom w:val="single" w:sz="2" w:space="0" w:color="auto"/>
            </w:tcBorders>
            <w:shd w:val="clear" w:color="auto" w:fill="D0CECE" w:themeFill="background2" w:themeFillShade="E6"/>
          </w:tcPr>
          <w:p w14:paraId="07E55EEC" w14:textId="77777777" w:rsidR="0032603F" w:rsidRPr="000F2613" w:rsidRDefault="0032603F" w:rsidP="0060287F">
            <w:pPr>
              <w:pStyle w:val="Caption"/>
              <w:keepNext/>
              <w:rPr>
                <w:rFonts w:ascii="Times New Roman" w:hAnsi="Times New Roman" w:cs="Times New Roman"/>
                <w:i w:val="0"/>
                <w:iCs w:val="0"/>
                <w:color w:val="auto"/>
                <w:sz w:val="20"/>
                <w:szCs w:val="20"/>
              </w:rPr>
            </w:pPr>
            <w:r w:rsidRPr="000F2613">
              <w:rPr>
                <w:rFonts w:ascii="Times New Roman" w:hAnsi="Times New Roman" w:cs="Times New Roman"/>
                <w:i w:val="0"/>
                <w:iCs w:val="0"/>
                <w:color w:val="auto"/>
                <w:sz w:val="20"/>
                <w:szCs w:val="20"/>
              </w:rPr>
              <w:t>Comparison with criterion parameters</w:t>
            </w:r>
          </w:p>
        </w:tc>
      </w:tr>
      <w:tr w:rsidR="0032603F" w:rsidRPr="000F2613" w14:paraId="6F9FCB4B" w14:textId="77777777" w:rsidTr="0060287F">
        <w:tc>
          <w:tcPr>
            <w:tcW w:w="10627" w:type="dxa"/>
            <w:gridSpan w:val="4"/>
            <w:tcBorders>
              <w:top w:val="single" w:sz="2" w:space="0" w:color="auto"/>
              <w:bottom w:val="single" w:sz="2" w:space="0" w:color="auto"/>
            </w:tcBorders>
          </w:tcPr>
          <w:p w14:paraId="4799BACB" w14:textId="4AD007A8" w:rsidR="0032603F" w:rsidRPr="000F2613" w:rsidRDefault="0032603F" w:rsidP="0060287F">
            <w:pPr>
              <w:pStyle w:val="Caption"/>
              <w:keepNext/>
              <w:rPr>
                <w:rFonts w:ascii="Times New Roman" w:hAnsi="Times New Roman" w:cs="Times New Roman"/>
                <w:i w:val="0"/>
                <w:iCs w:val="0"/>
                <w:sz w:val="22"/>
                <w:szCs w:val="22"/>
              </w:rPr>
            </w:pPr>
            <w:r w:rsidRPr="000F2613">
              <w:rPr>
                <w:rFonts w:ascii="Times New Roman" w:hAnsi="Times New Roman" w:cs="Times New Roman"/>
                <w:i w:val="0"/>
                <w:iCs w:val="0"/>
                <w:color w:val="auto"/>
                <w:sz w:val="20"/>
                <w:szCs w:val="20"/>
              </w:rPr>
              <w:t>Changes in PRO scores can be compared to changes in other similar measures (e.g., criterion parameters like performance status) that provide evidence that the PRO changes relate to the concept being investigated</w:t>
            </w:r>
            <w:r w:rsidR="00823274">
              <w:rPr>
                <w:rFonts w:ascii="Times New Roman" w:hAnsi="Times New Roman" w:cs="Times New Roman"/>
                <w:i w:val="0"/>
                <w:iCs w:val="0"/>
                <w:color w:val="auto"/>
                <w:sz w:val="20"/>
                <w:szCs w:val="20"/>
              </w:rPr>
              <w:t xml:space="preserve">. </w:t>
            </w:r>
            <w:r w:rsidR="00823274">
              <w:rPr>
                <w:rFonts w:ascii="Times New Roman" w:hAnsi="Times New Roman" w:cs="Times New Roman"/>
                <w:i w:val="0"/>
                <w:iCs w:val="0"/>
                <w:color w:val="auto"/>
                <w:sz w:val="20"/>
                <w:szCs w:val="20"/>
              </w:rPr>
              <w:fldChar w:fldCharType="begin" w:fldLock="1"/>
            </w:r>
            <w:r w:rsidR="00823274">
              <w:rPr>
                <w:rFonts w:ascii="Times New Roman" w:hAnsi="Times New Roman" w:cs="Times New Roman"/>
                <w:i w:val="0"/>
                <w:iCs w:val="0"/>
                <w:color w:val="auto"/>
                <w:sz w:val="20"/>
                <w:szCs w:val="20"/>
              </w:rPr>
              <w:instrText>ADDIN CSL_CITATION {"citationItems":[{"id":"ITEM-1","itemData":{"abstract":"This guidance describes how the Food and Drug Administration (FDA) reviews and evaluates existing, modified, or newly created patient-reported outcome (PRO) instruments used to support claims in approved medical product labeling.2 A PRO instrument (i.e., a questionnaire plus the information and documentation that support its use) is a means to capture PRO data used to measure treatment benefit or risk in medical product clinical trials. This guidance does not address the use of PRO instruments for purposes beyond evaluation of claims made about a medical product in labeling. This guidance also does not address disease-specific issues. Guidance on clinical trial endpoints for specific diseases can be found on various FDA Web sites.3","author":[{"dropping-particle":"","family":"FDA","given":"","non-dropping-particle":"","parse-names":false,"suffix":""}],"container-title":"Clinical/Medical Federal Register","id":"ITEM-1","issued":{"date-parts":[["2009"]]},"title":"Guidance for Industry; Patient-Reported Outcome Measures: Use in Medical Product Development to Support Labeling Claims","type":"article-journal"},"uris":["http://www.mendeley.com/documents/?uuid=b4434c61-aed6-44e3-a841-400209a5d501"]},{"id":"ITEM-2","itemData":{"author":[{"dropping-particle":"","family":"Johnson","given":"Colin","non-dropping-particle":"","parse-names":false,"suffix":""},{"dropping-particle":"","family":"Aaronson","given":"Neil","non-dropping-particle":"","parse-names":false,"suffix":""},{"dropping-particle":"","family":"Blazeby","given":"Jane M","non-dropping-particle":"","parse-names":false,"suffix":""},{"dropping-particle":"","family":"Bottomley","given":"Andrew","non-dropping-particle":"","parse-names":false,"suffix":""},{"dropping-particle":"","family":"Fayers","given":"Peter","non-dropping-particle":"","parse-names":false,"suffix":""},{"dropping-particle":"","family":"Koller","given":"Michael","non-dropping-particle":"","parse-names":false,"suffix":""},{"dropping-particle":"","family":"Kuliś","given":"Dagmara","non-dropping-particle":"","parse-names":false,"suffix":""},{"dropping-particle":"","family":"Ramage","given":"John","non-dropping-particle":"","parse-names":false,"suffix":""},{"dropping-particle":"","family":"Sprangers","given":"Mirjam","non-dropping-particle":"","parse-names":false,"suffix":""},{"dropping-particle":"","family":"Velikova","given":"Galina","non-dropping-particle":"","parse-names":false,"suffix":""},{"dropping-particle":"","family":"Young","given":"Teresa","non-dropping-particle":"","parse-names":false,"suffix":""}],"id":"ITEM-2","issue":"April","issued":{"date-parts":[["2011"]]},"title":"EORTC Quality of Life Group Guidelines for Developing Questionnaire Modules","type":"article-journal","volume":"4th Ed."},"uris":["http://www.mendeley.com/documents/?uuid=a32af972-9ad3-4cd2-9163-40b3d1e3a9ff"]},{"id":"ITEM-3","itemData":{"author":[{"dropping-particle":"","family":"Bjordal","given":"Kristin;","non-dropping-particle":"","parse-names":false,"suffix":""},{"dropping-particle":"","family":"Bottomley","given":"Andrew;","non-dropping-particle":"","parse-names":false,"suffix":""},{"dropping-particle":"","family":"Gilbert","given":"Alexandra;","non-dropping-particle":"","parse-names":false,"suffix":""},{"dropping-particle":"","family":"Martinelli","given":"Francesca;","non-dropping-particle":"","parse-names":false,"suffix":""},{"dropping-particle":"","family":"Pe","given":"Madeline;","non-dropping-particle":"","parse-names":false,"suffix":""},{"dropping-particle":"","family":"Sztankay","given":"Monika;","non-dropping-particle":"","parse-names":false,"suffix":""},{"dropping-particle":"","family":"Wheelright","given":"Sally;","non-dropping-particle":"","parse-names":false,"suffix":""},{"dropping-particle":"","family":"Cocks","given":"Kim;","non-dropping-particle":"","parse-names":false,"suffix":""},{"dropping-particle":"","family":"Coens","given":"Corneel;","non-dropping-particle":"","parse-names":false,"suffix":""},{"dropping-particle":"","family":"Darlington","given":"Anne-Sophie;","non-dropping-particle":"","parse-names":false,"suffix":""},{"dropping-particle":"","family":"Fayers","given":"Peter;","non-dropping-particle":"","parse-names":false,"suffix":""},{"dropping-particle":"","family":"Fitzsimmons","given":"Deborah;","non-dropping-particle":"","parse-names":false,"suffix":""},{"dropping-particle":"","family":"Giesinger","given":"Johannes;","non-dropping-particle":"","parse-names":false,"suffix":""},{"dropping-particle":"","family":"Koller","given":"Michael;","non-dropping-particle":"","parse-names":false,"suffix":""},{"dropping-particle":"","family":"Kuliś","given":"Dagmara;","non-dropping-particle":"","parse-names":false,"suffix":""},{"dropping-particle":"","family":"Petersen","given":"Morten Aa.;","non-dropping-particle":"","parse-names":false,"suffix":""},{"dropping-particle":"","family":"Reijneveld","given":"Jaap;","non-dropping-particle":"","parse-names":false,"suffix":""},{"dropping-particle":"","family":"Singer","given":"Susanne;","non-dropping-particle":"","parse-names":false,"suffix":""},{"dropping-particle":"","family":"Tomaszewski","given":"Krzysztof","non-dropping-particle":"","parse-names":false,"suffix":""}],"edition":"5th","id":"ITEM-3","issued":{"date-parts":[["2021"]]},"publisher":"EORTC","publisher-place":"Brussels, Belgium","title":"EORTC Quality of Life Group Module Development Guidelines","type":"book"},"uris":["http://www.mendeley.com/documents/?uuid=6264adc3-2683-40f3-996a-ff2e83ca05b4"]},{"id":"ITEM-4","itemData":{"DOI":"10.1001/jamaoncol.2015.2639","ISSN":"23742445","abstract":"IMPORTANCE To integrate the patient perspective into adverse event reporting, the National Cancer Institute developed a patient-reported outcomes version of the Common Terminology Criteria for Adverse Events (PRO-CTCAE). OBJECTIVE To assess the construct validity, test-retest reliability, and responsiveness of PRO-CTCAE items. DESIGN, SETTING, AND PARTICIPANTS A total of 975 adults with cancer undergoing outpatient chemotherapy and/or radiation therapy enrolled in this questionnaire-based study between January 2011 and February 2012. Eligible participants could read English and had no clinically significant cognitive impairment. They completed PRO-CTCAE items on tablet computers in clinic waiting rooms at 9 US cancer centers and community oncology practices at 2 visits 1 to 6 weeks apart. A subset completed PRO-CTCAE items during an additional visit 1 business day after the first visit. MAIN OUTCOMES AND MEASURES Primary comparators were clinician-reported Eastern Cooperative Oncology Group Performance Status (ECOG PS) and the European Organisation for Research and Treatment of Cancer Core Quality of Life Questionnaire (QLQ-C30). RESULTS A total of 940 of 975 (96.4%) and 852 of 940 (90.6%) participants completed PRO-CTCAE items at visits 1 and 2, respectively. At least 1 symptom was reported by 938 of 940 (99.8%) participants. Participants' median age was 59 years; 57.3% were female, 32.4% had a high school education or less, and 17.1% had an ECOG PS of 2 to 4. All PRO-CTCAE items had at least 1 correlation in the expected direction with a QLQ-C30 scale (111 of 124, P &lt;.05 for all). Stronger correlations were seen between PRO-CTCAE items and conceptually related QLQ-C30 domains. Scores for 94 of 124 PRO-CTCAE items were higher in the ECOG PS 2 to 4 vs 0 to 1 group (58 of 124, P &lt;.05 for all). Overall, 119 of 124 items met at least 1 construct validity criterion. Test-retest reliability was 0.7 or greater for 36 of 49 prespecified items (median [range] intraclass correlation coefficient, 0.76 [0.53-.96]). Correlations between PRO-CTCAE item changes and corresponding QLQ-C30 scale changes were statistically significant for 27 prespecified items (median [range] r = 0.43 [0.10-.56]; all P.006). CONCLUSIONS AND RELEVANCE Evidence demonstrates favorable validity, reliability, and responsiveness of PRO-CTCAE in a large, heterogeneous US sample of patients undergoing cancer treatment. Studies evaluating other measurement properties of PRO-CTCAE are under way to…","author":[{"dropping-particle":"","family":"Dueck","given":"Amylou C.","non-dropping-particle":"","parse-names":false,"suffix":""},{"dropping-particle":"","family":"Mendoza","given":"Tito R.","non-dropping-particle":"","parse-names":false,"suffix":""},{"dropping-particle":"","family":"Mitchell","given":"Sandra A.","non-dropping-particle":"","parse-names":false,"suffix":""},{"dropping-particle":"","family":"Reeve","given":"Bryce B.","non-dropping-particle":"","parse-names":false,"suffix":""},{"dropping-particle":"","family":"Castro","given":"Kathleen M.","non-dropping-particle":"","parse-names":false,"suffix":""},{"dropping-particle":"","family":"Rogak","given":"Lauren J.","non-dropping-particle":"","parse-names":false,"suffix":""},{"dropping-particle":"","family":"Atkinson","given":"Thomas M.","non-dropping-particle":"","parse-names":false,"suffix":""},{"dropping-particle":"V.","family":"Bennett","given":"Antonia","non-dropping-particle":"","parse-names":false,"suffix":""},{"dropping-particle":"","family":"Denicoff","given":"Andrea M.","non-dropping-particle":"","parse-names":false,"suffix":""},{"dropping-particle":"","family":"O'Mara","given":"Ann M.","non-dropping-particle":"","parse-names":false,"suffix":""},{"dropping-particle":"","family":"Li","given":"Yuelin","non-dropping-particle":"","parse-names":false,"suffix":""},{"dropping-particle":"","family":"Clauser","given":"Steven B.","non-dropping-particle":"","parse-names":false,"suffix":""},{"dropping-particle":"","family":"Bryant","given":"Donna M.","non-dropping-particle":"","parse-names":false,"suffix":""},{"dropping-particle":"","family":"Bearden","given":"James D.","non-dropping-particle":"","parse-names":false,"suffix":""},{"dropping-particle":"","family":"Gillis","given":"Theresa A.","non-dropping-particle":"","parse-names":false,"suffix":""},{"dropping-particle":"","family":"Harness","given":"Jay K.","non-dropping-particle":"","parse-names":false,"suffix":""},{"dropping-particle":"","family":"Siegel","given":"Robert D.","non-dropping-particle":"","parse-names":false,"suffix":""},{"dropping-particle":"","family":"Paul","given":"Diane B.","non-dropping-particle":"","parse-names":false,"suffix":""},{"dropping-particle":"","family":"Cleeland","given":"Charles S.","non-dropping-particle":"","parse-names":false,"suffix":""},{"dropping-particle":"","family":"Schrag","given":"Deborah","non-dropping-particle":"","parse-names":false,"suffix":""},{"dropping-particle":"","family":"Sloan","given":"Jeff A.","non-dropping-particle":"","parse-names":false,"suffix":""},{"dropping-particle":"","family":"Abernethy","given":"Amy P.","non-dropping-particle":"","parse-names":false,"suffix":""},{"dropping-particle":"","family":"Bruner","given":"Deborah W.","non-dropping-particle":"","parse-names":false,"suffix":""},{"dropping-particle":"","family":"Minasian","given":"Lori M.","non-dropping-particle":"","parse-names":false,"suffix":""},{"dropping-particle":"","family":"Basch","given":"Ethan","non-dropping-particle":"","parse-names":false,"suffix":""}],"container-title":"JAMA Oncology","id":"ITEM-4","issue":"8","issued":{"date-parts":[["2015"]]},"page":"1051-1059","title":"Validity and reliability of the us national cancer institute's patient-reported outcomes version of the common terminology criteria for adverse events (PRO-CTCAE)","type":"article-journal","volume":"1"},"uris":["http://www.mendeley.com/documents/?uuid=e68f6a7f-2527-4ee1-94b3-980f86940d27"]}],"mendeley":{"formattedCitation":"&lt;sup&gt;20–22,45&lt;/sup&gt;","plainTextFormattedCitation":"20–22,45","previouslyFormattedCitation":"&lt;sup&gt;20–22,45&lt;/sup&gt;"},"properties":{"noteIndex":0},"schema":"https://github.com/citation-style-language/schema/raw/master/csl-citation.json"}</w:instrText>
            </w:r>
            <w:r w:rsidR="00823274">
              <w:rPr>
                <w:rFonts w:ascii="Times New Roman" w:hAnsi="Times New Roman" w:cs="Times New Roman"/>
                <w:i w:val="0"/>
                <w:iCs w:val="0"/>
                <w:color w:val="auto"/>
                <w:sz w:val="20"/>
                <w:szCs w:val="20"/>
              </w:rPr>
              <w:fldChar w:fldCharType="separate"/>
            </w:r>
            <w:r w:rsidR="00823274" w:rsidRPr="00823274">
              <w:rPr>
                <w:rFonts w:ascii="Times New Roman" w:hAnsi="Times New Roman" w:cs="Times New Roman"/>
                <w:i w:val="0"/>
                <w:iCs w:val="0"/>
                <w:noProof/>
                <w:color w:val="auto"/>
                <w:sz w:val="20"/>
                <w:szCs w:val="20"/>
                <w:vertAlign w:val="superscript"/>
              </w:rPr>
              <w:t>20–22,45</w:t>
            </w:r>
            <w:r w:rsidR="00823274">
              <w:rPr>
                <w:rFonts w:ascii="Times New Roman" w:hAnsi="Times New Roman" w:cs="Times New Roman"/>
                <w:i w:val="0"/>
                <w:iCs w:val="0"/>
                <w:color w:val="auto"/>
                <w:sz w:val="20"/>
                <w:szCs w:val="20"/>
              </w:rPr>
              <w:fldChar w:fldCharType="end"/>
            </w:r>
            <w:r w:rsidRPr="000F2613">
              <w:rPr>
                <w:rFonts w:ascii="Times New Roman" w:hAnsi="Times New Roman" w:cs="Times New Roman"/>
                <w:i w:val="0"/>
                <w:iCs w:val="0"/>
                <w:color w:val="auto"/>
                <w:sz w:val="20"/>
                <w:szCs w:val="20"/>
              </w:rPr>
              <w:t xml:space="preserve"> </w:t>
            </w:r>
          </w:p>
        </w:tc>
      </w:tr>
      <w:tr w:rsidR="0032603F" w:rsidRPr="000F2613" w14:paraId="1E4CB9BB" w14:textId="77777777" w:rsidTr="0060287F">
        <w:tc>
          <w:tcPr>
            <w:tcW w:w="10627" w:type="dxa"/>
            <w:gridSpan w:val="4"/>
            <w:tcBorders>
              <w:top w:val="single" w:sz="2" w:space="0" w:color="auto"/>
              <w:bottom w:val="single" w:sz="2" w:space="0" w:color="auto"/>
            </w:tcBorders>
            <w:shd w:val="clear" w:color="auto" w:fill="D0CECE" w:themeFill="background2" w:themeFillShade="E6"/>
          </w:tcPr>
          <w:p w14:paraId="6046FC5F" w14:textId="77777777" w:rsidR="0032603F" w:rsidRPr="000F2613" w:rsidRDefault="0032603F" w:rsidP="0060287F">
            <w:pPr>
              <w:pStyle w:val="Caption"/>
              <w:keepNext/>
              <w:rPr>
                <w:rFonts w:ascii="Times New Roman" w:hAnsi="Times New Roman" w:cs="Times New Roman"/>
                <w:i w:val="0"/>
                <w:iCs w:val="0"/>
                <w:color w:val="auto"/>
                <w:sz w:val="20"/>
                <w:szCs w:val="20"/>
              </w:rPr>
            </w:pPr>
            <w:r w:rsidRPr="000F2613">
              <w:rPr>
                <w:rFonts w:ascii="Times New Roman" w:hAnsi="Times New Roman" w:cs="Times New Roman"/>
                <w:i w:val="0"/>
                <w:iCs w:val="0"/>
                <w:color w:val="auto"/>
                <w:sz w:val="20"/>
                <w:szCs w:val="20"/>
              </w:rPr>
              <w:t>Comparison at different time points</w:t>
            </w:r>
          </w:p>
        </w:tc>
      </w:tr>
      <w:tr w:rsidR="0032603F" w:rsidRPr="000F2613" w14:paraId="7CD3856C" w14:textId="77777777" w:rsidTr="0060287F">
        <w:tc>
          <w:tcPr>
            <w:tcW w:w="10627" w:type="dxa"/>
            <w:gridSpan w:val="4"/>
            <w:tcBorders>
              <w:top w:val="single" w:sz="2" w:space="0" w:color="auto"/>
            </w:tcBorders>
          </w:tcPr>
          <w:p w14:paraId="007E0006" w14:textId="2523CE1A" w:rsidR="0032603F" w:rsidRPr="000F2613" w:rsidRDefault="0032603F" w:rsidP="0060287F">
            <w:pPr>
              <w:pStyle w:val="Caption"/>
              <w:keepNext/>
              <w:rPr>
                <w:rFonts w:ascii="Times New Roman" w:hAnsi="Times New Roman" w:cs="Times New Roman"/>
                <w:i w:val="0"/>
                <w:iCs w:val="0"/>
                <w:color w:val="auto"/>
                <w:sz w:val="20"/>
                <w:szCs w:val="20"/>
              </w:rPr>
            </w:pPr>
            <w:r w:rsidRPr="000F2613">
              <w:rPr>
                <w:rFonts w:ascii="Times New Roman" w:hAnsi="Times New Roman" w:cs="Times New Roman"/>
                <w:i w:val="0"/>
                <w:iCs w:val="0"/>
                <w:color w:val="auto"/>
                <w:sz w:val="20"/>
                <w:szCs w:val="20"/>
              </w:rPr>
              <w:t>Changes in PRO scores can also be compared at different time points throughout the course of disease/treatment</w:t>
            </w:r>
            <w:r w:rsidR="00823274">
              <w:rPr>
                <w:rFonts w:ascii="Times New Roman" w:hAnsi="Times New Roman" w:cs="Times New Roman"/>
                <w:i w:val="0"/>
                <w:iCs w:val="0"/>
                <w:color w:val="auto"/>
                <w:sz w:val="20"/>
                <w:szCs w:val="20"/>
              </w:rPr>
              <w:t xml:space="preserve">. </w:t>
            </w:r>
            <w:r w:rsidR="00823274">
              <w:rPr>
                <w:rFonts w:ascii="Times New Roman" w:hAnsi="Times New Roman" w:cs="Times New Roman"/>
                <w:i w:val="0"/>
                <w:iCs w:val="0"/>
                <w:color w:val="auto"/>
                <w:sz w:val="20"/>
                <w:szCs w:val="20"/>
              </w:rPr>
              <w:fldChar w:fldCharType="begin" w:fldLock="1"/>
            </w:r>
            <w:r w:rsidR="00FA4747">
              <w:rPr>
                <w:rFonts w:ascii="Times New Roman" w:hAnsi="Times New Roman" w:cs="Times New Roman"/>
                <w:i w:val="0"/>
                <w:iCs w:val="0"/>
                <w:color w:val="auto"/>
                <w:sz w:val="20"/>
                <w:szCs w:val="20"/>
              </w:rPr>
              <w:instrText>ADDIN CSL_CITATION {"citationItems":[{"id":"ITEM-1","itemData":{"abstract":"This guidance describes how the Food and Drug Administration (FDA) reviews and evaluates existing, modified, or newly created patient-reported outcome (PRO) instruments used to support claims in approved medical product labeling.2 A PRO instrument (i.e., a questionnaire plus the information and documentation that support its use) is a means to capture PRO data used to measure treatment benefit or risk in medical product clinical trials. This guidance does not address the use of PRO instruments for purposes beyond evaluation of claims made about a medical product in labeling. This guidance also does not address disease-specific issues. Guidance on clinical trial endpoints for specific diseases can be found on various FDA Web sites.3","author":[{"dropping-particle":"","family":"FDA","given":"","non-dropping-particle":"","parse-names":false,"suffix":""}],"container-title":"Clinical/Medical Federal Register","id":"ITEM-1","issued":{"date-parts":[["2009"]]},"title":"Guidance for Industry; Patient-Reported Outcome Measures: Use in Medical Product Development to Support Labeling Claims","type":"article-journal"},"uris":["http://www.mendeley.com/documents/?uuid=b4434c61-aed6-44e3-a841-400209a5d501"]},{"id":"ITEM-2","itemData":{"author":[{"dropping-particle":"","family":"Johnson","given":"Colin","non-dropping-particle":"","parse-names":false,"suffix":""},{"dropping-particle":"","family":"Aaronson","given":"Neil","non-dropping-particle":"","parse-names":false,"suffix":""},{"dropping-particle":"","family":"Blazeby","given":"Jane M","non-dropping-particle":"","parse-names":false,"suffix":""},{"dropping-particle":"","family":"Bottomley","given":"Andrew","non-dropping-particle":"","parse-names":false,"suffix":""},{"dropping-particle":"","family":"Fayers","given":"Peter","non-dropping-particle":"","parse-names":false,"suffix":""},{"dropping-particle":"","family":"Koller","given":"Michael","non-dropping-particle":"","parse-names":false,"suffix":""},{"dropping-particle":"","family":"Kuliś","given":"Dagmara","non-dropping-particle":"","parse-names":false,"suffix":""},{"dropping-particle":"","family":"Ramage","given":"John","non-dropping-particle":"","parse-names":false,"suffix":""},{"dropping-particle":"","family":"Sprangers","given":"Mirjam","non-dropping-particle":"","parse-names":false,"suffix":""},{"dropping-particle":"","family":"Velikova","given":"Galina","non-dropping-particle":"","parse-names":false,"suffix":""},{"dropping-particle":"","family":"Young","given":"Teresa","non-dropping-particle":"","parse-names":false,"suffix":""}],"id":"ITEM-2","issue":"April","issued":{"date-parts":[["2011"]]},"title":"EORTC Quality of Life Group Guidelines for Developing Questionnaire Modules","type":"article-journal","volume":"4th Ed."},"uris":["http://www.mendeley.com/documents/?uuid=a32af972-9ad3-4cd2-9163-40b3d1e3a9ff"]},{"id":"ITEM-3","itemData":{"author":[{"dropping-particle":"","family":"Bjordal","given":"Kristin;","non-dropping-particle":"","parse-names":false,"suffix":""},{"dropping-particle":"","family":"Bottomley","given":"Andrew;","non-dropping-particle":"","parse-names":false,"suffix":""},{"dropping-particle":"","family":"Gilbert","given":"Alexandra;","non-dropping-particle":"","parse-names":false,"suffix":""},{"dropping-particle":"","family":"Martinelli","given":"Francesca;","non-dropping-particle":"","parse-names":false,"suffix":""},{"dropping-particle":"","family":"Pe","given":"Madeline;","non-dropping-particle":"","parse-names":false,"suffix":""},{"dropping-particle":"","family":"Sztankay","given":"Monika;","non-dropping-particle":"","parse-names":false,"suffix":""},{"dropping-particle":"","family":"Wheelright","given":"Sally;","non-dropping-particle":"","parse-names":false,"suffix":""},{"dropping-particle":"","family":"Cocks","given":"Kim;","non-dropping-particle":"","parse-names":false,"suffix":""},{"dropping-particle":"","family":"Coens","given":"Corneel;","non-dropping-particle":"","parse-names":false,"suffix":""},{"dropping-particle":"","family":"Darlington","given":"Anne-Sophie;","non-dropping-particle":"","parse-names":false,"suffix":""},{"dropping-particle":"","family":"Fayers","given":"Peter;","non-dropping-particle":"","parse-names":false,"suffix":""},{"dropping-particle":"","family":"Fitzsimmons","given":"Deborah;","non-dropping-particle":"","parse-names":false,"suffix":""},{"dropping-particle":"","family":"Giesinger","given":"Johannes;","non-dropping-particle":"","parse-names":false,"suffix":""},{"dropping-particle":"","family":"Koller","given":"Michael;","non-dropping-particle":"","parse-names":false,"suffix":""},{"dropping-particle":"","family":"Kuliś","given":"Dagmara;","non-dropping-particle":"","parse-names":false,"suffix":""},{"dropping-particle":"","family":"Petersen","given":"Morten Aa.;","non-dropping-particle":"","parse-names":false,"suffix":""},{"dropping-particle":"","family":"Reijneveld","given":"Jaap;","non-dropping-particle":"","parse-names":false,"suffix":""},{"dropping-particle":"","family":"Singer","given":"Susanne;","non-dropping-particle":"","parse-names":false,"suffix":""},{"dropping-particle":"","family":"Tomaszewski","given":"Krzysztof","non-dropping-particle":"","parse-names":false,"suffix":""}],"edition":"5th","id":"ITEM-3","issued":{"date-parts":[["2021"]]},"publisher":"EORTC","publisher-place":"Brussels, Belgium","title":"EORTC Quality of Life Group Module Development Guidelines","type":"book"},"uris":["http://www.mendeley.com/documents/?uuid=6264adc3-2683-40f3-996a-ff2e83ca05b4"]},{"id":"ITEM-4","itemData":{"DOI":"10.1001/jamaoncol.2015.2639","ISSN":"23742445","abstract":"IMPORTANCE To integrate the patient perspective into adverse event reporting, the National Cancer Institute developed a patient-reported outcomes version of the Common Terminology Criteria for Adverse Events (PRO-CTCAE). OBJECTIVE To assess the construct validity, test-retest reliability, and responsiveness of PRO-CTCAE items. DESIGN, SETTING, AND PARTICIPANTS A total of 975 adults with cancer undergoing outpatient chemotherapy and/or radiation therapy enrolled in this questionnaire-based study between January 2011 and February 2012. Eligible participants could read English and had no clinically significant cognitive impairment. They completed PRO-CTCAE items on tablet computers in clinic waiting rooms at 9 US cancer centers and community oncology practices at 2 visits 1 to 6 weeks apart. A subset completed PRO-CTCAE items during an additional visit 1 business day after the first visit. MAIN OUTCOMES AND MEASURES Primary comparators were clinician-reported Eastern Cooperative Oncology Group Performance Status (ECOG PS) and the European Organisation for Research and Treatment of Cancer Core Quality of Life Questionnaire (QLQ-C30). RESULTS A total of 940 of 975 (96.4%) and 852 of 940 (90.6%) participants completed PRO-CTCAE items at visits 1 and 2, respectively. At least 1 symptom was reported by 938 of 940 (99.8%) participants. Participants' median age was 59 years; 57.3% were female, 32.4% had a high school education or less, and 17.1% had an ECOG PS of 2 to 4. All PRO-CTCAE items had at least 1 correlation in the expected direction with a QLQ-C30 scale (111 of 124, P &lt;.05 for all). Stronger correlations were seen between PRO-CTCAE items and conceptually related QLQ-C30 domains. Scores for 94 of 124 PRO-CTCAE items were higher in the ECOG PS 2 to 4 vs 0 to 1 group (58 of 124, P &lt;.05 for all). Overall, 119 of 124 items met at least 1 construct validity criterion. Test-retest reliability was 0.7 or greater for 36 of 49 prespecified items (median [range] intraclass correlation coefficient, 0.76 [0.53-.96]). Correlations between PRO-CTCAE item changes and corresponding QLQ-C30 scale changes were statistically significant for 27 prespecified items (median [range] r = 0.43 [0.10-.56]; all P.006). CONCLUSIONS AND RELEVANCE Evidence demonstrates favorable validity, reliability, and responsiveness of PRO-CTCAE in a large, heterogeneous US sample of patients undergoing cancer treatment. Studies evaluating other measurement properties of PRO-CTCAE are under way to…","author":[{"dropping-particle":"","family":"Dueck","given":"Amylou C.","non-dropping-particle":"","parse-names":false,"suffix":""},{"dropping-particle":"","family":"Mendoza","given":"Tito R.","non-dropping-particle":"","parse-names":false,"suffix":""},{"dropping-particle":"","family":"Mitchell","given":"Sandra A.","non-dropping-particle":"","parse-names":false,"suffix":""},{"dropping-particle":"","family":"Reeve","given":"Bryce B.","non-dropping-particle":"","parse-names":false,"suffix":""},{"dropping-particle":"","family":"Castro","given":"Kathleen M.","non-dropping-particle":"","parse-names":false,"suffix":""},{"dropping-particle":"","family":"Rogak","given":"Lauren J.","non-dropping-particle":"","parse-names":false,"suffix":""},{"dropping-particle":"","family":"Atkinson","given":"Thomas M.","non-dropping-particle":"","parse-names":false,"suffix":""},{"dropping-particle":"V.","family":"Bennett","given":"Antonia","non-dropping-particle":"","parse-names":false,"suffix":""},{"dropping-particle":"","family":"Denicoff","given":"Andrea M.","non-dropping-particle":"","parse-names":false,"suffix":""},{"dropping-particle":"","family":"O'Mara","given":"Ann M.","non-dropping-particle":"","parse-names":false,"suffix":""},{"dropping-particle":"","family":"Li","given":"Yuelin","non-dropping-particle":"","parse-names":false,"suffix":""},{"dropping-particle":"","family":"Clauser","given":"Steven B.","non-dropping-particle":"","parse-names":false,"suffix":""},{"dropping-particle":"","family":"Bryant","given":"Donna M.","non-dropping-particle":"","parse-names":false,"suffix":""},{"dropping-particle":"","family":"Bearden","given":"James D.","non-dropping-particle":"","parse-names":false,"suffix":""},{"dropping-particle":"","family":"Gillis","given":"Theresa A.","non-dropping-particle":"","parse-names":false,"suffix":""},{"dropping-particle":"","family":"Harness","given":"Jay K.","non-dropping-particle":"","parse-names":false,"suffix":""},{"dropping-particle":"","family":"Siegel","given":"Robert D.","non-dropping-particle":"","parse-names":false,"suffix":""},{"dropping-particle":"","family":"Paul","given":"Diane B.","non-dropping-particle":"","parse-names":false,"suffix":""},{"dropping-particle":"","family":"Cleeland","given":"Charles S.","non-dropping-particle":"","parse-names":false,"suffix":""},{"dropping-particle":"","family":"Schrag","given":"Deborah","non-dropping-particle":"","parse-names":false,"suffix":""},{"dropping-particle":"","family":"Sloan","given":"Jeff A.","non-dropping-particle":"","parse-names":false,"suffix":""},{"dropping-particle":"","family":"Abernethy","given":"Amy P.","non-dropping-particle":"","parse-names":false,"suffix":""},{"dropping-particle":"","family":"Bruner","given":"Deborah W.","non-dropping-particle":"","parse-names":false,"suffix":""},{"dropping-particle":"","family":"Minasian","given":"Lori M.","non-dropping-particle":"","parse-names":false,"suffix":""},{"dropping-particle":"","family":"Basch","given":"Ethan","non-dropping-particle":"","parse-names":false,"suffix":""}],"container-title":"JAMA Oncology","id":"ITEM-4","issue":"8","issued":{"date-parts":[["2015"]]},"page":"1051-1059","title":"Validity and reliability of the us national cancer institute's patient-reported outcomes version of the common terminology criteria for adverse events (PRO-CTCAE)","type":"article-journal","volume":"1"},"uris":["http://www.mendeley.com/documents/?uuid=e68f6a7f-2527-4ee1-94b3-980f86940d27"]}],"mendeley":{"formattedCitation":"&lt;sup&gt;20–22,45&lt;/sup&gt;","plainTextFormattedCitation":"20–22,45","previouslyFormattedCitation":"&lt;sup&gt;20–22,45&lt;/sup&gt;"},"properties":{"noteIndex":0},"schema":"https://github.com/citation-style-language/schema/raw/master/csl-citation.json"}</w:instrText>
            </w:r>
            <w:r w:rsidR="00823274">
              <w:rPr>
                <w:rFonts w:ascii="Times New Roman" w:hAnsi="Times New Roman" w:cs="Times New Roman"/>
                <w:i w:val="0"/>
                <w:iCs w:val="0"/>
                <w:color w:val="auto"/>
                <w:sz w:val="20"/>
                <w:szCs w:val="20"/>
              </w:rPr>
              <w:fldChar w:fldCharType="separate"/>
            </w:r>
            <w:r w:rsidR="00823274" w:rsidRPr="00823274">
              <w:rPr>
                <w:rFonts w:ascii="Times New Roman" w:hAnsi="Times New Roman" w:cs="Times New Roman"/>
                <w:i w:val="0"/>
                <w:iCs w:val="0"/>
                <w:noProof/>
                <w:color w:val="auto"/>
                <w:sz w:val="20"/>
                <w:szCs w:val="20"/>
                <w:vertAlign w:val="superscript"/>
              </w:rPr>
              <w:t>20–22,45</w:t>
            </w:r>
            <w:r w:rsidR="00823274">
              <w:rPr>
                <w:rFonts w:ascii="Times New Roman" w:hAnsi="Times New Roman" w:cs="Times New Roman"/>
                <w:i w:val="0"/>
                <w:iCs w:val="0"/>
                <w:color w:val="auto"/>
                <w:sz w:val="20"/>
                <w:szCs w:val="20"/>
              </w:rPr>
              <w:fldChar w:fldCharType="end"/>
            </w:r>
            <w:r w:rsidRPr="000F2613">
              <w:rPr>
                <w:rFonts w:ascii="Times New Roman" w:hAnsi="Times New Roman" w:cs="Times New Roman"/>
                <w:i w:val="0"/>
                <w:iCs w:val="0"/>
                <w:color w:val="auto"/>
                <w:sz w:val="20"/>
                <w:szCs w:val="20"/>
              </w:rPr>
              <w:t xml:space="preserve"> </w:t>
            </w:r>
          </w:p>
        </w:tc>
      </w:tr>
    </w:tbl>
    <w:p w14:paraId="74E04426" w14:textId="77777777" w:rsidR="00C158E1" w:rsidRDefault="00C158E1" w:rsidP="0032603F">
      <w:pPr>
        <w:sectPr w:rsidR="00C158E1" w:rsidSect="00C158E1">
          <w:pgSz w:w="11906" w:h="16838"/>
          <w:pgMar w:top="1304" w:right="851" w:bottom="1440" w:left="851" w:header="709" w:footer="709" w:gutter="0"/>
          <w:cols w:space="708"/>
          <w:docGrid w:linePitch="360"/>
        </w:sectPr>
      </w:pPr>
    </w:p>
    <w:p w14:paraId="316F9DF1" w14:textId="0DFD83AD" w:rsidR="009B1955" w:rsidRPr="006074D0" w:rsidRDefault="009B1955" w:rsidP="006074D0">
      <w:pPr>
        <w:rPr>
          <w:rFonts w:ascii="Times New Roman" w:eastAsia="Arial" w:hAnsi="Times New Roman" w:cs="Times New Roman"/>
        </w:rPr>
      </w:pPr>
      <w:r w:rsidRPr="00B2722F">
        <w:rPr>
          <w:rFonts w:ascii="Times New Roman" w:hAnsi="Times New Roman" w:cs="Times New Roman"/>
        </w:rPr>
        <w:lastRenderedPageBreak/>
        <w:t xml:space="preserve">Table </w:t>
      </w:r>
      <w:r w:rsidRPr="00B2722F">
        <w:rPr>
          <w:rFonts w:ascii="Times New Roman" w:hAnsi="Times New Roman" w:cs="Times New Roman"/>
        </w:rPr>
        <w:fldChar w:fldCharType="begin"/>
      </w:r>
      <w:r w:rsidRPr="00B2722F">
        <w:rPr>
          <w:rFonts w:ascii="Times New Roman" w:hAnsi="Times New Roman" w:cs="Times New Roman"/>
        </w:rPr>
        <w:instrText xml:space="preserve"> SEQ Table \* ARABIC </w:instrText>
      </w:r>
      <w:r w:rsidRPr="00B2722F">
        <w:rPr>
          <w:rFonts w:ascii="Times New Roman" w:hAnsi="Times New Roman" w:cs="Times New Roman"/>
        </w:rPr>
        <w:fldChar w:fldCharType="separate"/>
      </w:r>
      <w:r>
        <w:rPr>
          <w:rFonts w:ascii="Times New Roman" w:hAnsi="Times New Roman" w:cs="Times New Roman"/>
          <w:noProof/>
        </w:rPr>
        <w:t>1</w:t>
      </w:r>
      <w:r w:rsidRPr="00B2722F">
        <w:rPr>
          <w:rFonts w:ascii="Times New Roman" w:hAnsi="Times New Roman" w:cs="Times New Roman"/>
        </w:rPr>
        <w:fldChar w:fldCharType="end"/>
      </w:r>
      <w:r w:rsidRPr="00B2722F">
        <w:rPr>
          <w:rFonts w:ascii="Times New Roman" w:hAnsi="Times New Roman" w:cs="Times New Roman"/>
        </w:rPr>
        <w:t>. (supplementary) Glossary</w:t>
      </w:r>
    </w:p>
    <w:tbl>
      <w:tblPr>
        <w:tblStyle w:val="TableGrid"/>
        <w:tblW w:w="0" w:type="auto"/>
        <w:tblLook w:val="04A0" w:firstRow="1" w:lastRow="0" w:firstColumn="1" w:lastColumn="0" w:noHBand="0" w:noVBand="1"/>
      </w:tblPr>
      <w:tblGrid>
        <w:gridCol w:w="1129"/>
        <w:gridCol w:w="7887"/>
      </w:tblGrid>
      <w:tr w:rsidR="009B1955" w:rsidRPr="006A5F6A" w14:paraId="3FAF0C5C" w14:textId="77777777" w:rsidTr="00807EBA">
        <w:tc>
          <w:tcPr>
            <w:tcW w:w="1129" w:type="dxa"/>
          </w:tcPr>
          <w:p w14:paraId="220AFAB3" w14:textId="77777777" w:rsidR="009B1955" w:rsidRPr="00E14F7D" w:rsidRDefault="009B1955" w:rsidP="00807EBA">
            <w:pPr>
              <w:rPr>
                <w:rFonts w:ascii="Times New Roman" w:hAnsi="Times New Roman" w:cs="Times New Roman"/>
                <w:b/>
                <w:bCs/>
              </w:rPr>
            </w:pPr>
            <w:r w:rsidRPr="00E14F7D">
              <w:rPr>
                <w:rFonts w:ascii="Times New Roman" w:hAnsi="Times New Roman" w:cs="Times New Roman"/>
                <w:b/>
                <w:bCs/>
              </w:rPr>
              <w:t>AE</w:t>
            </w:r>
          </w:p>
        </w:tc>
        <w:tc>
          <w:tcPr>
            <w:tcW w:w="7887" w:type="dxa"/>
          </w:tcPr>
          <w:p w14:paraId="1A406355" w14:textId="77777777" w:rsidR="009B1955" w:rsidRPr="00E14F7D" w:rsidRDefault="009B1955" w:rsidP="00807EBA">
            <w:pPr>
              <w:rPr>
                <w:rFonts w:ascii="Times New Roman" w:eastAsia="Segoe UI" w:hAnsi="Times New Roman" w:cs="Times New Roman"/>
                <w:color w:val="333333"/>
                <w:sz w:val="19"/>
                <w:szCs w:val="19"/>
              </w:rPr>
            </w:pPr>
            <w:r w:rsidRPr="00E14F7D">
              <w:rPr>
                <w:rFonts w:ascii="Times New Roman" w:hAnsi="Times New Roman" w:cs="Times New Roman"/>
              </w:rPr>
              <w:t xml:space="preserve">Adverse event. </w:t>
            </w:r>
            <w:r w:rsidRPr="00E14F7D">
              <w:rPr>
                <w:rFonts w:ascii="Times New Roman" w:eastAsia="Segoe UI" w:hAnsi="Times New Roman" w:cs="Times New Roman"/>
                <w:color w:val="333333"/>
              </w:rPr>
              <w:t>Any untoward medical occurrence in a patient or clinical trial subject administered a medicinal product and which does not necessarily have a causal relationship with this treatment</w:t>
            </w:r>
            <w:r>
              <w:rPr>
                <w:rStyle w:val="FootnoteReference"/>
                <w:rFonts w:ascii="Times New Roman" w:eastAsia="Segoe UI" w:hAnsi="Times New Roman" w:cs="Times New Roman"/>
                <w:color w:val="333333"/>
              </w:rPr>
              <w:footnoteReference w:id="2"/>
            </w:r>
            <w:r w:rsidRPr="00E14F7D">
              <w:rPr>
                <w:rFonts w:ascii="Times New Roman" w:eastAsia="Segoe UI" w:hAnsi="Times New Roman" w:cs="Times New Roman"/>
                <w:color w:val="333333"/>
              </w:rPr>
              <w:t xml:space="preserve"> </w:t>
            </w:r>
          </w:p>
          <w:p w14:paraId="332F7BD9" w14:textId="77777777" w:rsidR="009B1955" w:rsidRPr="00E14F7D" w:rsidRDefault="009B1955" w:rsidP="00807EBA">
            <w:pPr>
              <w:rPr>
                <w:rFonts w:ascii="Times New Roman" w:hAnsi="Times New Roman" w:cs="Times New Roman"/>
              </w:rPr>
            </w:pPr>
          </w:p>
        </w:tc>
      </w:tr>
      <w:tr w:rsidR="009B1955" w:rsidRPr="006A5F6A" w14:paraId="7B63281B" w14:textId="77777777" w:rsidTr="00807EBA">
        <w:tc>
          <w:tcPr>
            <w:tcW w:w="1129" w:type="dxa"/>
          </w:tcPr>
          <w:p w14:paraId="397A036C" w14:textId="77777777" w:rsidR="009B1955" w:rsidRPr="00E14F7D" w:rsidRDefault="009B1955" w:rsidP="00807EBA">
            <w:pPr>
              <w:rPr>
                <w:rFonts w:ascii="Times New Roman" w:hAnsi="Times New Roman" w:cs="Times New Roman"/>
                <w:b/>
                <w:bCs/>
              </w:rPr>
            </w:pPr>
            <w:r w:rsidRPr="00E14F7D">
              <w:rPr>
                <w:rFonts w:ascii="Times New Roman" w:hAnsi="Times New Roman" w:cs="Times New Roman"/>
                <w:b/>
                <w:bCs/>
              </w:rPr>
              <w:t>CAT</w:t>
            </w:r>
          </w:p>
        </w:tc>
        <w:tc>
          <w:tcPr>
            <w:tcW w:w="7887" w:type="dxa"/>
          </w:tcPr>
          <w:p w14:paraId="18E207E0" w14:textId="77777777" w:rsidR="009B1955" w:rsidRPr="00E14F7D" w:rsidRDefault="009B1955" w:rsidP="00807EBA">
            <w:pPr>
              <w:rPr>
                <w:rFonts w:ascii="Times New Roman" w:eastAsia="Calibri" w:hAnsi="Times New Roman" w:cs="Times New Roman"/>
                <w:color w:val="202122"/>
                <w:sz w:val="21"/>
                <w:szCs w:val="21"/>
              </w:rPr>
            </w:pPr>
            <w:r w:rsidRPr="00E14F7D">
              <w:rPr>
                <w:rFonts w:ascii="Times New Roman" w:hAnsi="Times New Roman" w:cs="Times New Roman"/>
              </w:rPr>
              <w:t>Computerized adaptive testing. A fo</w:t>
            </w:r>
            <w:r w:rsidRPr="00E14F7D">
              <w:rPr>
                <w:rFonts w:ascii="Times New Roman" w:eastAsia="Calibri" w:hAnsi="Times New Roman" w:cs="Times New Roman"/>
                <w:color w:val="202122"/>
                <w:sz w:val="21"/>
                <w:szCs w:val="21"/>
              </w:rPr>
              <w:t xml:space="preserve">rm of </w:t>
            </w:r>
            <w:r w:rsidRPr="00E14F7D">
              <w:rPr>
                <w:rFonts w:ascii="Times New Roman" w:hAnsi="Times New Roman" w:cs="Times New Roman"/>
              </w:rPr>
              <w:t>computer-based</w:t>
            </w:r>
            <w:r w:rsidRPr="00E14F7D">
              <w:rPr>
                <w:rFonts w:ascii="Times New Roman" w:eastAsia="Calibri" w:hAnsi="Times New Roman" w:cs="Times New Roman"/>
                <w:color w:val="202122"/>
                <w:sz w:val="21"/>
                <w:szCs w:val="21"/>
              </w:rPr>
              <w:t xml:space="preserve"> </w:t>
            </w:r>
            <w:r w:rsidRPr="008F134E">
              <w:rPr>
                <w:rFonts w:ascii="Times New Roman" w:eastAsia="Calibri" w:hAnsi="Times New Roman" w:cs="Times New Roman"/>
                <w:sz w:val="21"/>
                <w:szCs w:val="21"/>
              </w:rPr>
              <w:t>test</w:t>
            </w:r>
            <w:r w:rsidRPr="00E14F7D">
              <w:rPr>
                <w:rFonts w:ascii="Times New Roman" w:eastAsia="Calibri" w:hAnsi="Times New Roman" w:cs="Times New Roman"/>
                <w:color w:val="202122"/>
                <w:sz w:val="21"/>
                <w:szCs w:val="21"/>
              </w:rPr>
              <w:t xml:space="preserve"> that selects items based on the examinee's ability level estimated from responses to previous items</w:t>
            </w:r>
          </w:p>
          <w:p w14:paraId="3254D459" w14:textId="77777777" w:rsidR="009B1955" w:rsidRPr="00E14F7D" w:rsidRDefault="009B1955" w:rsidP="00807EBA">
            <w:pPr>
              <w:rPr>
                <w:rFonts w:ascii="Times New Roman" w:hAnsi="Times New Roman" w:cs="Times New Roman"/>
              </w:rPr>
            </w:pPr>
          </w:p>
        </w:tc>
      </w:tr>
      <w:tr w:rsidR="009B1955" w:rsidRPr="006A5F6A" w14:paraId="44EE921A" w14:textId="77777777" w:rsidTr="00807EBA">
        <w:tc>
          <w:tcPr>
            <w:tcW w:w="1129" w:type="dxa"/>
          </w:tcPr>
          <w:p w14:paraId="2606827B" w14:textId="77777777" w:rsidR="009B1955" w:rsidRPr="00E14F7D" w:rsidRDefault="009B1955" w:rsidP="00807EBA">
            <w:pPr>
              <w:rPr>
                <w:rFonts w:ascii="Times New Roman" w:hAnsi="Times New Roman" w:cs="Times New Roman"/>
                <w:b/>
                <w:bCs/>
              </w:rPr>
            </w:pPr>
            <w:r w:rsidRPr="00E14F7D">
              <w:rPr>
                <w:rFonts w:ascii="Times New Roman" w:hAnsi="Times New Roman" w:cs="Times New Roman"/>
                <w:b/>
                <w:bCs/>
              </w:rPr>
              <w:t>HRQOL</w:t>
            </w:r>
          </w:p>
        </w:tc>
        <w:tc>
          <w:tcPr>
            <w:tcW w:w="7887" w:type="dxa"/>
          </w:tcPr>
          <w:p w14:paraId="62C86719" w14:textId="77777777" w:rsidR="009B1955" w:rsidRPr="00E14F7D" w:rsidRDefault="009B1955" w:rsidP="00807EBA">
            <w:pPr>
              <w:rPr>
                <w:rFonts w:ascii="Times New Roman" w:hAnsi="Times New Roman" w:cs="Times New Roman"/>
              </w:rPr>
            </w:pPr>
            <w:r w:rsidRPr="00E14F7D">
              <w:rPr>
                <w:rFonts w:ascii="Times New Roman" w:hAnsi="Times New Roman" w:cs="Times New Roman"/>
              </w:rPr>
              <w:t>Health-related quality of life. A global term used to capture symptomatic AEs, disease- and treatment-related symptoms, functioning, and overall health status and quality of life</w:t>
            </w:r>
          </w:p>
          <w:p w14:paraId="3D280FAF" w14:textId="77777777" w:rsidR="009B1955" w:rsidRPr="00E14F7D" w:rsidRDefault="009B1955" w:rsidP="00807EBA">
            <w:pPr>
              <w:rPr>
                <w:rFonts w:ascii="Times New Roman" w:hAnsi="Times New Roman" w:cs="Times New Roman"/>
              </w:rPr>
            </w:pPr>
          </w:p>
        </w:tc>
      </w:tr>
      <w:tr w:rsidR="009B1955" w:rsidRPr="006A5F6A" w14:paraId="5B67EECD" w14:textId="77777777" w:rsidTr="00807EBA">
        <w:tc>
          <w:tcPr>
            <w:tcW w:w="1129" w:type="dxa"/>
          </w:tcPr>
          <w:p w14:paraId="0F67CE02" w14:textId="77777777" w:rsidR="009B1955" w:rsidRPr="00E14F7D" w:rsidRDefault="009B1955" w:rsidP="00807EBA">
            <w:pPr>
              <w:rPr>
                <w:rFonts w:ascii="Times New Roman" w:hAnsi="Times New Roman" w:cs="Times New Roman"/>
                <w:b/>
                <w:bCs/>
              </w:rPr>
            </w:pPr>
            <w:r w:rsidRPr="00E14F7D">
              <w:rPr>
                <w:rFonts w:ascii="Times New Roman" w:hAnsi="Times New Roman" w:cs="Times New Roman"/>
                <w:b/>
                <w:bCs/>
              </w:rPr>
              <w:t>IRT</w:t>
            </w:r>
          </w:p>
        </w:tc>
        <w:tc>
          <w:tcPr>
            <w:tcW w:w="7887" w:type="dxa"/>
          </w:tcPr>
          <w:p w14:paraId="1C56DF0C" w14:textId="77777777" w:rsidR="009B1955" w:rsidRPr="00E14F7D" w:rsidRDefault="009B1955" w:rsidP="00807EBA">
            <w:pPr>
              <w:rPr>
                <w:rFonts w:ascii="Times New Roman" w:hAnsi="Times New Roman" w:cs="Times New Roman"/>
              </w:rPr>
            </w:pPr>
            <w:r w:rsidRPr="00E14F7D">
              <w:rPr>
                <w:rFonts w:ascii="Times New Roman" w:hAnsi="Times New Roman" w:cs="Times New Roman"/>
              </w:rPr>
              <w:t>Item response theory. A set of mathematical models that describe the relationship between an individual’s ‘ability’ or ‘trait’ and how they respond to items on a scale</w:t>
            </w:r>
            <w:r>
              <w:rPr>
                <w:rStyle w:val="FootnoteReference"/>
                <w:rFonts w:ascii="Times New Roman" w:hAnsi="Times New Roman" w:cs="Times New Roman"/>
              </w:rPr>
              <w:footnoteReference w:id="3"/>
            </w:r>
            <w:r w:rsidRPr="00E14F7D">
              <w:rPr>
                <w:rFonts w:ascii="Times New Roman" w:hAnsi="Times New Roman" w:cs="Times New Roman"/>
              </w:rPr>
              <w:t xml:space="preserve"> </w:t>
            </w:r>
          </w:p>
          <w:p w14:paraId="4BB78B4D" w14:textId="77777777" w:rsidR="009B1955" w:rsidRPr="00E14F7D" w:rsidRDefault="009B1955" w:rsidP="00807EBA">
            <w:pPr>
              <w:rPr>
                <w:rFonts w:ascii="Times New Roman" w:hAnsi="Times New Roman" w:cs="Times New Roman"/>
              </w:rPr>
            </w:pPr>
          </w:p>
        </w:tc>
      </w:tr>
      <w:tr w:rsidR="009B1955" w:rsidRPr="006A5F6A" w14:paraId="72ECC58D" w14:textId="77777777" w:rsidTr="00807EBA">
        <w:tc>
          <w:tcPr>
            <w:tcW w:w="1129" w:type="dxa"/>
          </w:tcPr>
          <w:p w14:paraId="3D41028B" w14:textId="77777777" w:rsidR="009B1955" w:rsidRPr="00E14F7D" w:rsidRDefault="009B1955" w:rsidP="00807EBA">
            <w:pPr>
              <w:rPr>
                <w:rFonts w:ascii="Times New Roman" w:hAnsi="Times New Roman" w:cs="Times New Roman"/>
                <w:b/>
                <w:bCs/>
              </w:rPr>
            </w:pPr>
            <w:r w:rsidRPr="00E14F7D">
              <w:rPr>
                <w:rFonts w:ascii="Times New Roman" w:hAnsi="Times New Roman" w:cs="Times New Roman"/>
                <w:b/>
                <w:bCs/>
              </w:rPr>
              <w:t>Item</w:t>
            </w:r>
          </w:p>
        </w:tc>
        <w:tc>
          <w:tcPr>
            <w:tcW w:w="7887" w:type="dxa"/>
          </w:tcPr>
          <w:p w14:paraId="020B60B2" w14:textId="77777777" w:rsidR="009B1955" w:rsidRPr="00E14F7D" w:rsidRDefault="009B1955" w:rsidP="00807EBA">
            <w:pPr>
              <w:rPr>
                <w:rFonts w:ascii="Times New Roman" w:hAnsi="Times New Roman" w:cs="Times New Roman"/>
              </w:rPr>
            </w:pPr>
            <w:r w:rsidRPr="00E14F7D">
              <w:rPr>
                <w:rFonts w:ascii="Times New Roman" w:hAnsi="Times New Roman" w:cs="Times New Roman"/>
              </w:rPr>
              <w:t>Question appearing in a PRO measure</w:t>
            </w:r>
          </w:p>
          <w:p w14:paraId="09894A1C" w14:textId="77777777" w:rsidR="009B1955" w:rsidRPr="00E14F7D" w:rsidRDefault="009B1955" w:rsidP="00807EBA">
            <w:pPr>
              <w:rPr>
                <w:rFonts w:ascii="Times New Roman" w:hAnsi="Times New Roman" w:cs="Times New Roman"/>
              </w:rPr>
            </w:pPr>
          </w:p>
        </w:tc>
      </w:tr>
      <w:tr w:rsidR="009B1955" w:rsidRPr="006A5F6A" w14:paraId="3F263DAC" w14:textId="77777777" w:rsidTr="00807EBA">
        <w:tc>
          <w:tcPr>
            <w:tcW w:w="1129" w:type="dxa"/>
          </w:tcPr>
          <w:p w14:paraId="00639798" w14:textId="77777777" w:rsidR="009B1955" w:rsidRPr="00E14F7D" w:rsidRDefault="009B1955" w:rsidP="00807EBA">
            <w:pPr>
              <w:rPr>
                <w:rFonts w:ascii="Times New Roman" w:hAnsi="Times New Roman" w:cs="Times New Roman"/>
                <w:b/>
                <w:bCs/>
              </w:rPr>
            </w:pPr>
            <w:r w:rsidRPr="00E14F7D">
              <w:rPr>
                <w:rFonts w:ascii="Times New Roman" w:hAnsi="Times New Roman" w:cs="Times New Roman"/>
                <w:b/>
                <w:bCs/>
              </w:rPr>
              <w:t>Item bank</w:t>
            </w:r>
          </w:p>
        </w:tc>
        <w:tc>
          <w:tcPr>
            <w:tcW w:w="7887" w:type="dxa"/>
          </w:tcPr>
          <w:p w14:paraId="07BB63A3" w14:textId="77777777" w:rsidR="009B1955" w:rsidRPr="00E14F7D" w:rsidRDefault="009B1955" w:rsidP="00807EBA">
            <w:pPr>
              <w:rPr>
                <w:rFonts w:ascii="Times New Roman" w:hAnsi="Times New Roman" w:cs="Times New Roman"/>
              </w:rPr>
            </w:pPr>
            <w:r w:rsidRPr="00E14F7D">
              <w:rPr>
                <w:rFonts w:ascii="Times New Roman" w:hAnsi="Times New Roman" w:cs="Times New Roman"/>
              </w:rPr>
              <w:t>A special type of item library in which all items included for a specific domain have been calibrated with an item response theory (IRT) model (items can be administered using CAT or short forms)</w:t>
            </w:r>
          </w:p>
          <w:p w14:paraId="3AEA0749" w14:textId="77777777" w:rsidR="009B1955" w:rsidRPr="00E14F7D" w:rsidRDefault="009B1955" w:rsidP="00807EBA">
            <w:pPr>
              <w:rPr>
                <w:rFonts w:ascii="Times New Roman" w:hAnsi="Times New Roman" w:cs="Times New Roman"/>
              </w:rPr>
            </w:pPr>
          </w:p>
        </w:tc>
      </w:tr>
      <w:tr w:rsidR="009B1955" w:rsidRPr="006A5F6A" w14:paraId="13DD7136" w14:textId="77777777" w:rsidTr="00807EBA">
        <w:tc>
          <w:tcPr>
            <w:tcW w:w="1129" w:type="dxa"/>
          </w:tcPr>
          <w:p w14:paraId="3918C8F3" w14:textId="77777777" w:rsidR="009B1955" w:rsidRPr="00E14F7D" w:rsidRDefault="009B1955" w:rsidP="00807EBA">
            <w:pPr>
              <w:rPr>
                <w:rFonts w:ascii="Times New Roman" w:hAnsi="Times New Roman" w:cs="Times New Roman"/>
                <w:b/>
                <w:bCs/>
              </w:rPr>
            </w:pPr>
            <w:r w:rsidRPr="00E14F7D">
              <w:rPr>
                <w:rFonts w:ascii="Times New Roman" w:hAnsi="Times New Roman" w:cs="Times New Roman"/>
                <w:b/>
                <w:bCs/>
              </w:rPr>
              <w:t>Item library</w:t>
            </w:r>
          </w:p>
        </w:tc>
        <w:tc>
          <w:tcPr>
            <w:tcW w:w="7887" w:type="dxa"/>
          </w:tcPr>
          <w:p w14:paraId="06E1E77A" w14:textId="77777777" w:rsidR="009B1955" w:rsidRPr="00E14F7D" w:rsidRDefault="009B1955" w:rsidP="00807EBA">
            <w:pPr>
              <w:rPr>
                <w:rFonts w:ascii="Times New Roman" w:hAnsi="Times New Roman" w:cs="Times New Roman"/>
              </w:rPr>
            </w:pPr>
            <w:r w:rsidRPr="00E14F7D">
              <w:rPr>
                <w:rFonts w:ascii="Times New Roman" w:hAnsi="Times New Roman" w:cs="Times New Roman"/>
              </w:rPr>
              <w:t>A platform/tool which includes single items and/or multi-item scales that measure various HRQOL domains (may be derived from validated questionnaires with multiple domains often included). Users can select specific items from the library to measure relevant PRO domains for a given context or target population</w:t>
            </w:r>
          </w:p>
          <w:p w14:paraId="2379D497" w14:textId="77777777" w:rsidR="009B1955" w:rsidRPr="00E14F7D" w:rsidRDefault="009B1955" w:rsidP="00807EBA">
            <w:pPr>
              <w:rPr>
                <w:rFonts w:ascii="Times New Roman" w:hAnsi="Times New Roman" w:cs="Times New Roman"/>
              </w:rPr>
            </w:pPr>
          </w:p>
        </w:tc>
      </w:tr>
      <w:tr w:rsidR="009B1955" w:rsidRPr="006A5F6A" w14:paraId="2C4AED9A" w14:textId="77777777" w:rsidTr="00807EBA">
        <w:tc>
          <w:tcPr>
            <w:tcW w:w="1129" w:type="dxa"/>
          </w:tcPr>
          <w:p w14:paraId="314CDB9E" w14:textId="77777777" w:rsidR="009B1955" w:rsidRPr="00E14F7D" w:rsidRDefault="009B1955" w:rsidP="00807EBA">
            <w:pPr>
              <w:rPr>
                <w:rFonts w:ascii="Times New Roman" w:hAnsi="Times New Roman" w:cs="Times New Roman"/>
                <w:b/>
                <w:bCs/>
              </w:rPr>
            </w:pPr>
            <w:r w:rsidRPr="00E14F7D">
              <w:rPr>
                <w:rFonts w:ascii="Times New Roman" w:hAnsi="Times New Roman" w:cs="Times New Roman"/>
                <w:b/>
                <w:bCs/>
              </w:rPr>
              <w:t>Item list</w:t>
            </w:r>
          </w:p>
        </w:tc>
        <w:tc>
          <w:tcPr>
            <w:tcW w:w="7887" w:type="dxa"/>
          </w:tcPr>
          <w:p w14:paraId="6C91FC4F" w14:textId="77777777" w:rsidR="009B1955" w:rsidRPr="00E14F7D" w:rsidRDefault="009B1955" w:rsidP="00807EBA">
            <w:pPr>
              <w:rPr>
                <w:rFonts w:ascii="Times New Roman" w:hAnsi="Times New Roman" w:cs="Times New Roman"/>
              </w:rPr>
            </w:pPr>
            <w:r w:rsidRPr="00E14F7D">
              <w:rPr>
                <w:rFonts w:ascii="Times New Roman" w:hAnsi="Times New Roman" w:cs="Times New Roman"/>
              </w:rPr>
              <w:t>Customized PRO measure created through use of an item library</w:t>
            </w:r>
          </w:p>
          <w:p w14:paraId="37896094" w14:textId="77777777" w:rsidR="009B1955" w:rsidRPr="00E14F7D" w:rsidRDefault="009B1955" w:rsidP="00807EBA">
            <w:pPr>
              <w:rPr>
                <w:rFonts w:ascii="Times New Roman" w:hAnsi="Times New Roman" w:cs="Times New Roman"/>
              </w:rPr>
            </w:pPr>
          </w:p>
        </w:tc>
      </w:tr>
      <w:tr w:rsidR="009B1955" w:rsidRPr="006A5F6A" w14:paraId="47CE0EC3" w14:textId="77777777" w:rsidTr="00807EBA">
        <w:tc>
          <w:tcPr>
            <w:tcW w:w="1129" w:type="dxa"/>
          </w:tcPr>
          <w:p w14:paraId="5189ECA2" w14:textId="77777777" w:rsidR="009B1955" w:rsidRPr="00E14F7D" w:rsidRDefault="009B1955" w:rsidP="00807EBA">
            <w:pPr>
              <w:rPr>
                <w:rFonts w:ascii="Times New Roman" w:hAnsi="Times New Roman" w:cs="Times New Roman"/>
                <w:b/>
                <w:bCs/>
              </w:rPr>
            </w:pPr>
            <w:r w:rsidRPr="00E14F7D">
              <w:rPr>
                <w:rFonts w:ascii="Times New Roman" w:hAnsi="Times New Roman" w:cs="Times New Roman"/>
                <w:b/>
                <w:bCs/>
              </w:rPr>
              <w:t>PPI</w:t>
            </w:r>
          </w:p>
        </w:tc>
        <w:tc>
          <w:tcPr>
            <w:tcW w:w="7887" w:type="dxa"/>
          </w:tcPr>
          <w:p w14:paraId="3347EBD4" w14:textId="77777777" w:rsidR="009B1955" w:rsidRPr="00E14F7D" w:rsidRDefault="009B1955" w:rsidP="00807EBA">
            <w:pPr>
              <w:rPr>
                <w:rFonts w:ascii="Times New Roman" w:hAnsi="Times New Roman" w:cs="Times New Roman"/>
              </w:rPr>
            </w:pPr>
            <w:r w:rsidRPr="00E14F7D">
              <w:rPr>
                <w:rFonts w:ascii="Times New Roman" w:hAnsi="Times New Roman" w:cs="Times New Roman"/>
              </w:rPr>
              <w:t>Patient and public involvement. Patient and public involvement in research refers to an active partnership between members of the public and researchers. This means that members of the public work alongside the research team and are actively involved in contributing to the research process as advisers and possibly as co-researchers</w:t>
            </w:r>
          </w:p>
          <w:p w14:paraId="692EE9D9" w14:textId="77777777" w:rsidR="009B1955" w:rsidRPr="00E14F7D" w:rsidRDefault="009B1955" w:rsidP="00807EBA">
            <w:pPr>
              <w:rPr>
                <w:rFonts w:ascii="Times New Roman" w:hAnsi="Times New Roman" w:cs="Times New Roman"/>
              </w:rPr>
            </w:pPr>
          </w:p>
        </w:tc>
      </w:tr>
      <w:tr w:rsidR="009B1955" w:rsidRPr="006A5F6A" w14:paraId="637C04BB" w14:textId="77777777" w:rsidTr="00807EBA">
        <w:tc>
          <w:tcPr>
            <w:tcW w:w="1129" w:type="dxa"/>
          </w:tcPr>
          <w:p w14:paraId="47191C04" w14:textId="77777777" w:rsidR="009B1955" w:rsidRPr="00E14F7D" w:rsidRDefault="009B1955" w:rsidP="00807EBA">
            <w:pPr>
              <w:rPr>
                <w:rFonts w:ascii="Times New Roman" w:hAnsi="Times New Roman" w:cs="Times New Roman"/>
                <w:b/>
                <w:bCs/>
              </w:rPr>
            </w:pPr>
            <w:r w:rsidRPr="00E14F7D">
              <w:rPr>
                <w:rFonts w:ascii="Times New Roman" w:hAnsi="Times New Roman" w:cs="Times New Roman"/>
                <w:b/>
                <w:bCs/>
              </w:rPr>
              <w:t>PRO</w:t>
            </w:r>
          </w:p>
        </w:tc>
        <w:tc>
          <w:tcPr>
            <w:tcW w:w="7887" w:type="dxa"/>
          </w:tcPr>
          <w:p w14:paraId="2954A2BE" w14:textId="77777777" w:rsidR="009B1955" w:rsidRPr="00E14F7D" w:rsidRDefault="009B1955" w:rsidP="00807EBA">
            <w:pPr>
              <w:rPr>
                <w:rFonts w:ascii="Times New Roman" w:hAnsi="Times New Roman" w:cs="Times New Roman"/>
              </w:rPr>
            </w:pPr>
            <w:r w:rsidRPr="00E14F7D">
              <w:rPr>
                <w:rFonts w:ascii="Times New Roman" w:hAnsi="Times New Roman" w:cs="Times New Roman"/>
              </w:rPr>
              <w:t>Patient-reported outcome. A measurement based on a report that comes directly from the patient (i.e., study subject) about the status of a patient’s health condition without amendment or interpretation of the patient’s response by a clinician or anyone else</w:t>
            </w:r>
            <w:r>
              <w:rPr>
                <w:rStyle w:val="FootnoteReference"/>
                <w:rFonts w:ascii="Times New Roman" w:hAnsi="Times New Roman" w:cs="Times New Roman"/>
              </w:rPr>
              <w:footnoteReference w:id="4"/>
            </w:r>
          </w:p>
          <w:p w14:paraId="2EF40BF8" w14:textId="77777777" w:rsidR="009B1955" w:rsidRPr="00E14F7D" w:rsidRDefault="009B1955" w:rsidP="00807EBA">
            <w:pPr>
              <w:rPr>
                <w:rFonts w:ascii="Times New Roman" w:hAnsi="Times New Roman" w:cs="Times New Roman"/>
              </w:rPr>
            </w:pPr>
          </w:p>
        </w:tc>
      </w:tr>
    </w:tbl>
    <w:p w14:paraId="27CE5965" w14:textId="77777777" w:rsidR="009B1955" w:rsidRDefault="009B1955" w:rsidP="009B1955">
      <w:pPr>
        <w:sectPr w:rsidR="009B1955">
          <w:headerReference w:type="default" r:id="rId16"/>
          <w:footerReference w:type="default" r:id="rId17"/>
          <w:pgSz w:w="11906" w:h="16838"/>
          <w:pgMar w:top="1440" w:right="1440" w:bottom="1440" w:left="1440" w:header="708" w:footer="708" w:gutter="0"/>
          <w:cols w:space="708"/>
          <w:docGrid w:linePitch="360"/>
        </w:sectPr>
      </w:pPr>
    </w:p>
    <w:p w14:paraId="32483AE7" w14:textId="77777777" w:rsidR="009B1955" w:rsidRPr="00B2722F" w:rsidRDefault="009B1955" w:rsidP="009B1955">
      <w:pPr>
        <w:pStyle w:val="Caption"/>
        <w:keepNext/>
        <w:rPr>
          <w:rFonts w:ascii="Times New Roman" w:hAnsi="Times New Roman" w:cs="Times New Roman"/>
        </w:rPr>
      </w:pPr>
      <w:r w:rsidRPr="00B2722F">
        <w:rPr>
          <w:rFonts w:ascii="Times New Roman" w:hAnsi="Times New Roman" w:cs="Times New Roman"/>
          <w:sz w:val="22"/>
          <w:szCs w:val="22"/>
        </w:rPr>
        <w:lastRenderedPageBreak/>
        <w:t xml:space="preserve">Table </w:t>
      </w:r>
      <w:r w:rsidRPr="00B2722F">
        <w:rPr>
          <w:rFonts w:ascii="Times New Roman" w:hAnsi="Times New Roman" w:cs="Times New Roman"/>
          <w:sz w:val="22"/>
          <w:szCs w:val="22"/>
        </w:rPr>
        <w:fldChar w:fldCharType="begin"/>
      </w:r>
      <w:r w:rsidRPr="00B2722F">
        <w:rPr>
          <w:rFonts w:ascii="Times New Roman" w:hAnsi="Times New Roman" w:cs="Times New Roman"/>
          <w:sz w:val="22"/>
          <w:szCs w:val="22"/>
        </w:rPr>
        <w:instrText xml:space="preserve"> SEQ Table \* ARABIC </w:instrText>
      </w:r>
      <w:r w:rsidRPr="00B2722F">
        <w:rPr>
          <w:rFonts w:ascii="Times New Roman" w:hAnsi="Times New Roman" w:cs="Times New Roman"/>
          <w:sz w:val="22"/>
          <w:szCs w:val="22"/>
        </w:rPr>
        <w:fldChar w:fldCharType="separate"/>
      </w:r>
      <w:r>
        <w:rPr>
          <w:rFonts w:ascii="Times New Roman" w:hAnsi="Times New Roman" w:cs="Times New Roman"/>
          <w:noProof/>
          <w:sz w:val="22"/>
          <w:szCs w:val="22"/>
        </w:rPr>
        <w:t>2</w:t>
      </w:r>
      <w:r w:rsidRPr="00B2722F">
        <w:rPr>
          <w:rFonts w:ascii="Times New Roman" w:hAnsi="Times New Roman" w:cs="Times New Roman"/>
          <w:sz w:val="22"/>
          <w:szCs w:val="22"/>
        </w:rPr>
        <w:fldChar w:fldCharType="end"/>
      </w:r>
      <w:r w:rsidRPr="00B2722F">
        <w:rPr>
          <w:rFonts w:ascii="Times New Roman" w:hAnsi="Times New Roman" w:cs="Times New Roman"/>
          <w:sz w:val="22"/>
          <w:szCs w:val="22"/>
        </w:rPr>
        <w:t>. (supplementary) List of sources for recommendations</w:t>
      </w:r>
    </w:p>
    <w:tbl>
      <w:tblPr>
        <w:tblStyle w:val="TableGrid"/>
        <w:tblW w:w="0" w:type="auto"/>
        <w:tblLook w:val="04A0" w:firstRow="1" w:lastRow="0" w:firstColumn="1" w:lastColumn="0" w:noHBand="0" w:noVBand="1"/>
      </w:tblPr>
      <w:tblGrid>
        <w:gridCol w:w="2099"/>
        <w:gridCol w:w="1647"/>
        <w:gridCol w:w="2342"/>
        <w:gridCol w:w="801"/>
        <w:gridCol w:w="5286"/>
        <w:gridCol w:w="1773"/>
      </w:tblGrid>
      <w:tr w:rsidR="009B1955" w:rsidRPr="00D860CC" w14:paraId="296E854B" w14:textId="77777777" w:rsidTr="00807EBA">
        <w:tc>
          <w:tcPr>
            <w:tcW w:w="2099" w:type="dxa"/>
            <w:vMerge w:val="restart"/>
          </w:tcPr>
          <w:p w14:paraId="18088723" w14:textId="77777777" w:rsidR="009B1955" w:rsidRPr="00D860CC" w:rsidRDefault="009B1955" w:rsidP="00807EBA">
            <w:pPr>
              <w:rPr>
                <w:rFonts w:ascii="Times New Roman" w:hAnsi="Times New Roman" w:cs="Times New Roman"/>
                <w:b/>
                <w:bCs/>
                <w:sz w:val="16"/>
                <w:szCs w:val="16"/>
              </w:rPr>
            </w:pPr>
            <w:r w:rsidRPr="00D860CC">
              <w:rPr>
                <w:rFonts w:ascii="Times New Roman" w:hAnsi="Times New Roman" w:cs="Times New Roman"/>
                <w:b/>
                <w:bCs/>
                <w:sz w:val="16"/>
                <w:szCs w:val="16"/>
              </w:rPr>
              <w:t>Research Question/Topic</w:t>
            </w:r>
          </w:p>
        </w:tc>
        <w:tc>
          <w:tcPr>
            <w:tcW w:w="1647" w:type="dxa"/>
            <w:vMerge w:val="restart"/>
          </w:tcPr>
          <w:p w14:paraId="1A350DAD" w14:textId="77777777" w:rsidR="009B1955" w:rsidRPr="00D860CC" w:rsidRDefault="009B1955" w:rsidP="00807EBA">
            <w:pPr>
              <w:rPr>
                <w:rFonts w:ascii="Times New Roman" w:hAnsi="Times New Roman" w:cs="Times New Roman"/>
                <w:b/>
                <w:bCs/>
                <w:sz w:val="16"/>
                <w:szCs w:val="16"/>
              </w:rPr>
            </w:pPr>
            <w:r w:rsidRPr="00D860CC">
              <w:rPr>
                <w:rFonts w:ascii="Times New Roman" w:hAnsi="Times New Roman" w:cs="Times New Roman"/>
                <w:b/>
                <w:bCs/>
                <w:sz w:val="16"/>
                <w:szCs w:val="16"/>
              </w:rPr>
              <w:t>Specification</w:t>
            </w:r>
          </w:p>
        </w:tc>
        <w:tc>
          <w:tcPr>
            <w:tcW w:w="10202" w:type="dxa"/>
            <w:gridSpan w:val="4"/>
          </w:tcPr>
          <w:p w14:paraId="005A7606" w14:textId="77777777" w:rsidR="009B1955" w:rsidRPr="00D860CC" w:rsidRDefault="009B1955" w:rsidP="00807EBA">
            <w:pPr>
              <w:jc w:val="center"/>
              <w:rPr>
                <w:rFonts w:ascii="Times New Roman" w:hAnsi="Times New Roman" w:cs="Times New Roman"/>
                <w:b/>
                <w:bCs/>
                <w:sz w:val="16"/>
                <w:szCs w:val="16"/>
              </w:rPr>
            </w:pPr>
            <w:r w:rsidRPr="00D860CC">
              <w:rPr>
                <w:rFonts w:ascii="Times New Roman" w:hAnsi="Times New Roman" w:cs="Times New Roman"/>
                <w:b/>
                <w:bCs/>
                <w:sz w:val="16"/>
                <w:szCs w:val="16"/>
              </w:rPr>
              <w:t>Source</w:t>
            </w:r>
          </w:p>
        </w:tc>
      </w:tr>
      <w:tr w:rsidR="009B1955" w:rsidRPr="00D860CC" w14:paraId="3CC3F43B" w14:textId="77777777" w:rsidTr="00807EBA">
        <w:tc>
          <w:tcPr>
            <w:tcW w:w="2099" w:type="dxa"/>
            <w:vMerge/>
          </w:tcPr>
          <w:p w14:paraId="0FFC622C" w14:textId="77777777" w:rsidR="009B1955" w:rsidRPr="00D860CC" w:rsidRDefault="009B1955" w:rsidP="00807EBA">
            <w:pPr>
              <w:rPr>
                <w:rFonts w:ascii="Times New Roman" w:hAnsi="Times New Roman" w:cs="Times New Roman"/>
                <w:b/>
                <w:bCs/>
                <w:sz w:val="16"/>
                <w:szCs w:val="16"/>
              </w:rPr>
            </w:pPr>
          </w:p>
        </w:tc>
        <w:tc>
          <w:tcPr>
            <w:tcW w:w="1647" w:type="dxa"/>
            <w:vMerge/>
          </w:tcPr>
          <w:p w14:paraId="604EDE44" w14:textId="77777777" w:rsidR="009B1955" w:rsidRPr="00D860CC" w:rsidRDefault="009B1955" w:rsidP="00807EBA">
            <w:pPr>
              <w:rPr>
                <w:rFonts w:ascii="Times New Roman" w:hAnsi="Times New Roman" w:cs="Times New Roman"/>
                <w:b/>
                <w:bCs/>
                <w:sz w:val="16"/>
                <w:szCs w:val="16"/>
              </w:rPr>
            </w:pPr>
          </w:p>
        </w:tc>
        <w:tc>
          <w:tcPr>
            <w:tcW w:w="2342" w:type="dxa"/>
          </w:tcPr>
          <w:p w14:paraId="4CB1BDF4" w14:textId="77777777" w:rsidR="009B1955" w:rsidRPr="00D860CC" w:rsidRDefault="009B1955" w:rsidP="00807EBA">
            <w:pPr>
              <w:rPr>
                <w:rFonts w:ascii="Times New Roman" w:hAnsi="Times New Roman" w:cs="Times New Roman"/>
                <w:b/>
                <w:bCs/>
                <w:sz w:val="16"/>
                <w:szCs w:val="16"/>
              </w:rPr>
            </w:pPr>
            <w:r w:rsidRPr="00D860CC">
              <w:rPr>
                <w:rFonts w:ascii="Times New Roman" w:hAnsi="Times New Roman" w:cs="Times New Roman"/>
                <w:b/>
                <w:bCs/>
                <w:sz w:val="16"/>
                <w:szCs w:val="16"/>
              </w:rPr>
              <w:t>Authors</w:t>
            </w:r>
          </w:p>
        </w:tc>
        <w:tc>
          <w:tcPr>
            <w:tcW w:w="801" w:type="dxa"/>
          </w:tcPr>
          <w:p w14:paraId="59D11F04" w14:textId="77777777" w:rsidR="009B1955" w:rsidRPr="00D860CC" w:rsidRDefault="009B1955" w:rsidP="00807EBA">
            <w:pPr>
              <w:rPr>
                <w:rFonts w:ascii="Times New Roman" w:hAnsi="Times New Roman" w:cs="Times New Roman"/>
                <w:b/>
                <w:bCs/>
                <w:sz w:val="16"/>
                <w:szCs w:val="16"/>
              </w:rPr>
            </w:pPr>
            <w:r w:rsidRPr="00D860CC">
              <w:rPr>
                <w:rFonts w:ascii="Times New Roman" w:hAnsi="Times New Roman" w:cs="Times New Roman"/>
                <w:b/>
                <w:bCs/>
                <w:sz w:val="16"/>
                <w:szCs w:val="16"/>
              </w:rPr>
              <w:t>Year</w:t>
            </w:r>
          </w:p>
        </w:tc>
        <w:tc>
          <w:tcPr>
            <w:tcW w:w="5286" w:type="dxa"/>
          </w:tcPr>
          <w:p w14:paraId="469FD370" w14:textId="77777777" w:rsidR="009B1955" w:rsidRPr="00D860CC" w:rsidRDefault="009B1955" w:rsidP="00807EBA">
            <w:pPr>
              <w:rPr>
                <w:rFonts w:ascii="Times New Roman" w:hAnsi="Times New Roman" w:cs="Times New Roman"/>
                <w:b/>
                <w:bCs/>
                <w:sz w:val="16"/>
                <w:szCs w:val="16"/>
              </w:rPr>
            </w:pPr>
            <w:r w:rsidRPr="00D860CC">
              <w:rPr>
                <w:rFonts w:ascii="Times New Roman" w:hAnsi="Times New Roman" w:cs="Times New Roman"/>
                <w:b/>
                <w:bCs/>
                <w:sz w:val="16"/>
                <w:szCs w:val="16"/>
              </w:rPr>
              <w:t>Title/Name</w:t>
            </w:r>
          </w:p>
        </w:tc>
        <w:tc>
          <w:tcPr>
            <w:tcW w:w="1773" w:type="dxa"/>
          </w:tcPr>
          <w:p w14:paraId="7C7F5A9B" w14:textId="77777777" w:rsidR="009B1955" w:rsidRPr="00D860CC" w:rsidRDefault="009B1955" w:rsidP="00807EBA">
            <w:pPr>
              <w:rPr>
                <w:rFonts w:ascii="Times New Roman" w:hAnsi="Times New Roman" w:cs="Times New Roman"/>
                <w:b/>
                <w:bCs/>
                <w:sz w:val="16"/>
                <w:szCs w:val="16"/>
              </w:rPr>
            </w:pPr>
            <w:r w:rsidRPr="00D860CC">
              <w:rPr>
                <w:rFonts w:ascii="Times New Roman" w:hAnsi="Times New Roman" w:cs="Times New Roman"/>
                <w:b/>
                <w:bCs/>
                <w:sz w:val="16"/>
                <w:szCs w:val="16"/>
              </w:rPr>
              <w:t>Publication Type</w:t>
            </w:r>
          </w:p>
        </w:tc>
      </w:tr>
      <w:tr w:rsidR="009B1955" w:rsidRPr="00D860CC" w14:paraId="31F7148B" w14:textId="77777777" w:rsidTr="00807EBA">
        <w:tc>
          <w:tcPr>
            <w:tcW w:w="2099" w:type="dxa"/>
            <w:vMerge w:val="restart"/>
          </w:tcPr>
          <w:p w14:paraId="447D4217" w14:textId="77777777" w:rsidR="009B1955" w:rsidRPr="00D860CC" w:rsidRDefault="009B1955" w:rsidP="00807EBA">
            <w:pPr>
              <w:rPr>
                <w:rFonts w:ascii="Times New Roman" w:hAnsi="Times New Roman" w:cs="Times New Roman"/>
                <w:sz w:val="16"/>
                <w:szCs w:val="16"/>
              </w:rPr>
            </w:pPr>
            <w:r w:rsidRPr="00D860CC">
              <w:rPr>
                <w:rFonts w:ascii="Times New Roman" w:hAnsi="Times New Roman" w:cs="Times New Roman"/>
                <w:sz w:val="16"/>
                <w:szCs w:val="16"/>
              </w:rPr>
              <w:t>Which methods should be used to drive item selection?</w:t>
            </w:r>
          </w:p>
        </w:tc>
        <w:tc>
          <w:tcPr>
            <w:tcW w:w="1647" w:type="dxa"/>
            <w:vMerge w:val="restart"/>
          </w:tcPr>
          <w:p w14:paraId="145D5136" w14:textId="77777777" w:rsidR="009B1955" w:rsidRPr="00D860CC" w:rsidRDefault="009B1955" w:rsidP="00807EBA">
            <w:pPr>
              <w:rPr>
                <w:rFonts w:ascii="Times New Roman" w:hAnsi="Times New Roman" w:cs="Times New Roman"/>
                <w:sz w:val="16"/>
                <w:szCs w:val="16"/>
              </w:rPr>
            </w:pPr>
            <w:r w:rsidRPr="00D860CC">
              <w:rPr>
                <w:rFonts w:ascii="Times New Roman" w:hAnsi="Times New Roman" w:cs="Times New Roman"/>
                <w:sz w:val="16"/>
                <w:szCs w:val="16"/>
              </w:rPr>
              <w:t>In general (irrespective of study phase)</w:t>
            </w:r>
          </w:p>
        </w:tc>
        <w:tc>
          <w:tcPr>
            <w:tcW w:w="2342" w:type="dxa"/>
          </w:tcPr>
          <w:p w14:paraId="5B014AD3" w14:textId="77777777" w:rsidR="009B1955" w:rsidRPr="00D860CC" w:rsidRDefault="009B1955" w:rsidP="00807EBA">
            <w:pPr>
              <w:rPr>
                <w:rFonts w:ascii="Times New Roman" w:hAnsi="Times New Roman" w:cs="Times New Roman"/>
                <w:sz w:val="16"/>
                <w:szCs w:val="16"/>
              </w:rPr>
            </w:pPr>
            <w:r w:rsidRPr="00D860CC">
              <w:rPr>
                <w:rFonts w:ascii="Times New Roman" w:hAnsi="Times New Roman" w:cs="Times New Roman"/>
                <w:sz w:val="16"/>
                <w:szCs w:val="16"/>
              </w:rPr>
              <w:t>FACIT (</w:t>
            </w:r>
            <w:r>
              <w:rPr>
                <w:rFonts w:ascii="Times New Roman" w:hAnsi="Times New Roman" w:cs="Times New Roman"/>
                <w:sz w:val="16"/>
                <w:szCs w:val="16"/>
              </w:rPr>
              <w:t>6</w:t>
            </w:r>
            <w:r w:rsidRPr="00D860CC">
              <w:rPr>
                <w:rFonts w:ascii="Times New Roman" w:hAnsi="Times New Roman" w:cs="Times New Roman"/>
                <w:sz w:val="16"/>
                <w:szCs w:val="16"/>
              </w:rPr>
              <w:t>)*</w:t>
            </w:r>
          </w:p>
        </w:tc>
        <w:tc>
          <w:tcPr>
            <w:tcW w:w="801" w:type="dxa"/>
          </w:tcPr>
          <w:p w14:paraId="5BA0620F" w14:textId="77777777" w:rsidR="009B1955" w:rsidRPr="00D860CC" w:rsidRDefault="009B1955" w:rsidP="00807EBA">
            <w:pPr>
              <w:rPr>
                <w:rFonts w:ascii="Times New Roman" w:hAnsi="Times New Roman" w:cs="Times New Roman"/>
                <w:sz w:val="16"/>
                <w:szCs w:val="16"/>
              </w:rPr>
            </w:pPr>
            <w:r w:rsidRPr="00D860CC">
              <w:rPr>
                <w:rFonts w:ascii="Times New Roman" w:hAnsi="Times New Roman" w:cs="Times New Roman"/>
                <w:sz w:val="16"/>
                <w:szCs w:val="16"/>
              </w:rPr>
              <w:t>N/A</w:t>
            </w:r>
          </w:p>
        </w:tc>
        <w:tc>
          <w:tcPr>
            <w:tcW w:w="5286" w:type="dxa"/>
          </w:tcPr>
          <w:p w14:paraId="32DEB862" w14:textId="77777777" w:rsidR="009B1955" w:rsidRPr="00D860CC" w:rsidRDefault="009B1955" w:rsidP="00807EBA">
            <w:pPr>
              <w:rPr>
                <w:rFonts w:ascii="Times New Roman" w:hAnsi="Times New Roman" w:cs="Times New Roman"/>
                <w:sz w:val="16"/>
                <w:szCs w:val="16"/>
              </w:rPr>
            </w:pPr>
            <w:r w:rsidRPr="00D860CC">
              <w:rPr>
                <w:rFonts w:ascii="Times New Roman" w:hAnsi="Times New Roman" w:cs="Times New Roman"/>
                <w:sz w:val="16"/>
                <w:szCs w:val="16"/>
              </w:rPr>
              <w:t xml:space="preserve">FACIT Searchable Library and Custom Form Developer (Build-a-PRO) </w:t>
            </w:r>
          </w:p>
        </w:tc>
        <w:tc>
          <w:tcPr>
            <w:tcW w:w="1773" w:type="dxa"/>
          </w:tcPr>
          <w:p w14:paraId="255466C3" w14:textId="77777777" w:rsidR="009B1955" w:rsidRPr="00D860CC" w:rsidRDefault="009B1955" w:rsidP="00807EBA">
            <w:pPr>
              <w:rPr>
                <w:rFonts w:ascii="Times New Roman" w:hAnsi="Times New Roman" w:cs="Times New Roman"/>
                <w:sz w:val="16"/>
                <w:szCs w:val="16"/>
              </w:rPr>
            </w:pPr>
            <w:r w:rsidRPr="00D860CC">
              <w:rPr>
                <w:rFonts w:ascii="Times New Roman" w:hAnsi="Times New Roman" w:cs="Times New Roman"/>
                <w:sz w:val="16"/>
                <w:szCs w:val="16"/>
              </w:rPr>
              <w:t>Website</w:t>
            </w:r>
          </w:p>
        </w:tc>
      </w:tr>
      <w:tr w:rsidR="009B1955" w:rsidRPr="00D860CC" w14:paraId="3071F3F1" w14:textId="77777777" w:rsidTr="00807EBA">
        <w:tc>
          <w:tcPr>
            <w:tcW w:w="2099" w:type="dxa"/>
            <w:vMerge/>
          </w:tcPr>
          <w:p w14:paraId="6EDBD9D5" w14:textId="77777777" w:rsidR="009B1955" w:rsidRPr="00D860CC" w:rsidRDefault="009B1955" w:rsidP="00807EBA">
            <w:pPr>
              <w:rPr>
                <w:rFonts w:ascii="Times New Roman" w:hAnsi="Times New Roman" w:cs="Times New Roman"/>
                <w:sz w:val="16"/>
                <w:szCs w:val="16"/>
              </w:rPr>
            </w:pPr>
          </w:p>
        </w:tc>
        <w:tc>
          <w:tcPr>
            <w:tcW w:w="1647" w:type="dxa"/>
            <w:vMerge/>
          </w:tcPr>
          <w:p w14:paraId="0340A935" w14:textId="77777777" w:rsidR="009B1955" w:rsidRPr="00D860CC" w:rsidRDefault="009B1955" w:rsidP="00807EBA">
            <w:pPr>
              <w:rPr>
                <w:rFonts w:ascii="Times New Roman" w:hAnsi="Times New Roman" w:cs="Times New Roman"/>
                <w:sz w:val="16"/>
                <w:szCs w:val="16"/>
              </w:rPr>
            </w:pPr>
          </w:p>
        </w:tc>
        <w:tc>
          <w:tcPr>
            <w:tcW w:w="2342" w:type="dxa"/>
          </w:tcPr>
          <w:p w14:paraId="62A80E39" w14:textId="77777777" w:rsidR="009B1955" w:rsidRPr="00D860CC" w:rsidRDefault="009B1955" w:rsidP="00807EBA">
            <w:pPr>
              <w:rPr>
                <w:rFonts w:ascii="Times New Roman" w:hAnsi="Times New Roman" w:cs="Times New Roman"/>
                <w:sz w:val="16"/>
                <w:szCs w:val="16"/>
              </w:rPr>
            </w:pPr>
            <w:r w:rsidRPr="00D860CC">
              <w:rPr>
                <w:rFonts w:ascii="Times New Roman" w:hAnsi="Times New Roman" w:cs="Times New Roman"/>
                <w:sz w:val="16"/>
                <w:szCs w:val="16"/>
              </w:rPr>
              <w:t>DeWalt et al. (1</w:t>
            </w:r>
            <w:r>
              <w:rPr>
                <w:rFonts w:ascii="Times New Roman" w:hAnsi="Times New Roman" w:cs="Times New Roman"/>
                <w:sz w:val="16"/>
                <w:szCs w:val="16"/>
              </w:rPr>
              <w:t>5</w:t>
            </w:r>
            <w:r w:rsidRPr="00D860CC">
              <w:rPr>
                <w:rFonts w:ascii="Times New Roman" w:hAnsi="Times New Roman" w:cs="Times New Roman"/>
                <w:sz w:val="16"/>
                <w:szCs w:val="16"/>
              </w:rPr>
              <w:t xml:space="preserve">) </w:t>
            </w:r>
          </w:p>
        </w:tc>
        <w:tc>
          <w:tcPr>
            <w:tcW w:w="801" w:type="dxa"/>
          </w:tcPr>
          <w:p w14:paraId="643694D9" w14:textId="77777777" w:rsidR="009B1955" w:rsidRPr="00D860CC" w:rsidRDefault="009B1955" w:rsidP="00807EBA">
            <w:pPr>
              <w:rPr>
                <w:rFonts w:ascii="Times New Roman" w:hAnsi="Times New Roman" w:cs="Times New Roman"/>
                <w:sz w:val="16"/>
                <w:szCs w:val="16"/>
              </w:rPr>
            </w:pPr>
            <w:r w:rsidRPr="00D860CC">
              <w:rPr>
                <w:rFonts w:ascii="Times New Roman" w:hAnsi="Times New Roman" w:cs="Times New Roman"/>
                <w:sz w:val="16"/>
                <w:szCs w:val="16"/>
              </w:rPr>
              <w:t>2007</w:t>
            </w:r>
          </w:p>
        </w:tc>
        <w:tc>
          <w:tcPr>
            <w:tcW w:w="5286" w:type="dxa"/>
          </w:tcPr>
          <w:p w14:paraId="1CF92825" w14:textId="77777777" w:rsidR="009B1955" w:rsidRPr="00D860CC" w:rsidRDefault="009B1955" w:rsidP="00807EBA">
            <w:pPr>
              <w:rPr>
                <w:rFonts w:ascii="Times New Roman" w:hAnsi="Times New Roman" w:cs="Times New Roman"/>
                <w:sz w:val="16"/>
                <w:szCs w:val="16"/>
              </w:rPr>
            </w:pPr>
            <w:r w:rsidRPr="00D860CC">
              <w:rPr>
                <w:rFonts w:ascii="Times New Roman" w:hAnsi="Times New Roman" w:cs="Times New Roman"/>
                <w:sz w:val="16"/>
                <w:szCs w:val="16"/>
              </w:rPr>
              <w:t>Evaluation of item candidates: The PROMIS qualitative item review</w:t>
            </w:r>
          </w:p>
        </w:tc>
        <w:tc>
          <w:tcPr>
            <w:tcW w:w="1773" w:type="dxa"/>
          </w:tcPr>
          <w:p w14:paraId="1D85C8B8" w14:textId="77777777" w:rsidR="009B1955" w:rsidRPr="00D860CC" w:rsidRDefault="009B1955" w:rsidP="00807EBA">
            <w:pPr>
              <w:rPr>
                <w:rFonts w:ascii="Times New Roman" w:hAnsi="Times New Roman" w:cs="Times New Roman"/>
                <w:sz w:val="16"/>
                <w:szCs w:val="16"/>
              </w:rPr>
            </w:pPr>
            <w:r w:rsidRPr="00D860CC">
              <w:rPr>
                <w:rFonts w:ascii="Times New Roman" w:hAnsi="Times New Roman" w:cs="Times New Roman"/>
                <w:sz w:val="16"/>
                <w:szCs w:val="16"/>
              </w:rPr>
              <w:t>Article</w:t>
            </w:r>
          </w:p>
        </w:tc>
      </w:tr>
      <w:tr w:rsidR="009B1955" w:rsidRPr="00D860CC" w14:paraId="446BB15D" w14:textId="77777777" w:rsidTr="00807EBA">
        <w:tc>
          <w:tcPr>
            <w:tcW w:w="2099" w:type="dxa"/>
            <w:vMerge/>
          </w:tcPr>
          <w:p w14:paraId="1EA827C4" w14:textId="77777777" w:rsidR="009B1955" w:rsidRPr="00D860CC" w:rsidRDefault="009B1955" w:rsidP="00807EBA">
            <w:pPr>
              <w:rPr>
                <w:rFonts w:ascii="Times New Roman" w:hAnsi="Times New Roman" w:cs="Times New Roman"/>
                <w:sz w:val="16"/>
                <w:szCs w:val="16"/>
              </w:rPr>
            </w:pPr>
          </w:p>
        </w:tc>
        <w:tc>
          <w:tcPr>
            <w:tcW w:w="1647" w:type="dxa"/>
            <w:vMerge/>
          </w:tcPr>
          <w:p w14:paraId="340A3B0F" w14:textId="77777777" w:rsidR="009B1955" w:rsidRPr="00D860CC" w:rsidRDefault="009B1955" w:rsidP="00807EBA">
            <w:pPr>
              <w:rPr>
                <w:rFonts w:ascii="Times New Roman" w:hAnsi="Times New Roman" w:cs="Times New Roman"/>
                <w:sz w:val="16"/>
                <w:szCs w:val="16"/>
              </w:rPr>
            </w:pPr>
          </w:p>
        </w:tc>
        <w:tc>
          <w:tcPr>
            <w:tcW w:w="2342" w:type="dxa"/>
          </w:tcPr>
          <w:p w14:paraId="0788726A" w14:textId="77777777" w:rsidR="009B1955" w:rsidRPr="00D860CC" w:rsidRDefault="009B1955" w:rsidP="00807EBA">
            <w:pPr>
              <w:rPr>
                <w:rFonts w:ascii="Times New Roman" w:hAnsi="Times New Roman" w:cs="Times New Roman"/>
                <w:sz w:val="16"/>
                <w:szCs w:val="16"/>
              </w:rPr>
            </w:pPr>
            <w:r w:rsidRPr="00D860CC">
              <w:rPr>
                <w:rFonts w:ascii="Times New Roman" w:hAnsi="Times New Roman" w:cs="Times New Roman"/>
                <w:sz w:val="16"/>
                <w:szCs w:val="16"/>
              </w:rPr>
              <w:t>Williams et al. (1</w:t>
            </w:r>
            <w:r>
              <w:rPr>
                <w:rFonts w:ascii="Times New Roman" w:hAnsi="Times New Roman" w:cs="Times New Roman"/>
                <w:sz w:val="16"/>
                <w:szCs w:val="16"/>
              </w:rPr>
              <w:t>6</w:t>
            </w:r>
            <w:r w:rsidRPr="00D860CC">
              <w:rPr>
                <w:rFonts w:ascii="Times New Roman" w:hAnsi="Times New Roman" w:cs="Times New Roman"/>
                <w:sz w:val="16"/>
                <w:szCs w:val="16"/>
              </w:rPr>
              <w:t>)</w:t>
            </w:r>
          </w:p>
        </w:tc>
        <w:tc>
          <w:tcPr>
            <w:tcW w:w="801" w:type="dxa"/>
          </w:tcPr>
          <w:p w14:paraId="1899F652" w14:textId="77777777" w:rsidR="009B1955" w:rsidRPr="00D860CC" w:rsidRDefault="009B1955" w:rsidP="00807EBA">
            <w:pPr>
              <w:rPr>
                <w:rFonts w:ascii="Times New Roman" w:hAnsi="Times New Roman" w:cs="Times New Roman"/>
                <w:sz w:val="16"/>
                <w:szCs w:val="16"/>
              </w:rPr>
            </w:pPr>
            <w:r w:rsidRPr="00D860CC">
              <w:rPr>
                <w:rFonts w:ascii="Times New Roman" w:hAnsi="Times New Roman" w:cs="Times New Roman"/>
                <w:sz w:val="16"/>
                <w:szCs w:val="16"/>
              </w:rPr>
              <w:t>2019</w:t>
            </w:r>
          </w:p>
        </w:tc>
        <w:tc>
          <w:tcPr>
            <w:tcW w:w="5286" w:type="dxa"/>
          </w:tcPr>
          <w:p w14:paraId="658B68E6" w14:textId="77777777" w:rsidR="009B1955" w:rsidRPr="00D860CC" w:rsidRDefault="009B1955" w:rsidP="00807EBA">
            <w:pPr>
              <w:rPr>
                <w:rFonts w:ascii="Times New Roman" w:hAnsi="Times New Roman" w:cs="Times New Roman"/>
                <w:sz w:val="16"/>
                <w:szCs w:val="16"/>
              </w:rPr>
            </w:pPr>
            <w:r w:rsidRPr="00D860CC">
              <w:rPr>
                <w:rFonts w:ascii="Times New Roman" w:hAnsi="Times New Roman" w:cs="Times New Roman"/>
                <w:sz w:val="16"/>
                <w:szCs w:val="16"/>
              </w:rPr>
              <w:t>Modification of existing patient-reported outcome measures: qualitative development of the MD Anderson Symptom Inventory for malignant pleural mesothelioma (MDASI-MPM)</w:t>
            </w:r>
          </w:p>
        </w:tc>
        <w:tc>
          <w:tcPr>
            <w:tcW w:w="1773" w:type="dxa"/>
          </w:tcPr>
          <w:p w14:paraId="304439D7" w14:textId="77777777" w:rsidR="009B1955" w:rsidRPr="00D860CC" w:rsidRDefault="009B1955" w:rsidP="00807EBA">
            <w:pPr>
              <w:rPr>
                <w:rFonts w:ascii="Times New Roman" w:hAnsi="Times New Roman" w:cs="Times New Roman"/>
                <w:sz w:val="16"/>
                <w:szCs w:val="16"/>
              </w:rPr>
            </w:pPr>
            <w:r w:rsidRPr="00D860CC">
              <w:rPr>
                <w:rFonts w:ascii="Times New Roman" w:hAnsi="Times New Roman" w:cs="Times New Roman"/>
                <w:sz w:val="16"/>
                <w:szCs w:val="16"/>
              </w:rPr>
              <w:t>Article</w:t>
            </w:r>
          </w:p>
        </w:tc>
      </w:tr>
      <w:tr w:rsidR="009B1955" w:rsidRPr="00D860CC" w14:paraId="092D5AA6" w14:textId="77777777" w:rsidTr="00807EBA">
        <w:tc>
          <w:tcPr>
            <w:tcW w:w="2099" w:type="dxa"/>
            <w:vMerge/>
          </w:tcPr>
          <w:p w14:paraId="728028D4" w14:textId="77777777" w:rsidR="009B1955" w:rsidRPr="00D860CC" w:rsidRDefault="009B1955" w:rsidP="00807EBA">
            <w:pPr>
              <w:rPr>
                <w:rFonts w:ascii="Times New Roman" w:hAnsi="Times New Roman" w:cs="Times New Roman"/>
                <w:sz w:val="16"/>
                <w:szCs w:val="16"/>
              </w:rPr>
            </w:pPr>
          </w:p>
        </w:tc>
        <w:tc>
          <w:tcPr>
            <w:tcW w:w="1647" w:type="dxa"/>
            <w:vMerge/>
          </w:tcPr>
          <w:p w14:paraId="39AB4A5F" w14:textId="77777777" w:rsidR="009B1955" w:rsidRPr="00D860CC" w:rsidRDefault="009B1955" w:rsidP="00807EBA">
            <w:pPr>
              <w:rPr>
                <w:rFonts w:ascii="Times New Roman" w:hAnsi="Times New Roman" w:cs="Times New Roman"/>
                <w:sz w:val="16"/>
                <w:szCs w:val="16"/>
              </w:rPr>
            </w:pPr>
          </w:p>
        </w:tc>
        <w:tc>
          <w:tcPr>
            <w:tcW w:w="2342" w:type="dxa"/>
          </w:tcPr>
          <w:p w14:paraId="7B50F400" w14:textId="77777777" w:rsidR="009B1955" w:rsidRPr="00D860CC" w:rsidRDefault="009B1955" w:rsidP="00807EBA">
            <w:pPr>
              <w:rPr>
                <w:rFonts w:ascii="Times New Roman" w:hAnsi="Times New Roman" w:cs="Times New Roman"/>
                <w:sz w:val="16"/>
                <w:szCs w:val="16"/>
              </w:rPr>
            </w:pPr>
            <w:r w:rsidRPr="00D860CC">
              <w:rPr>
                <w:rFonts w:ascii="Times New Roman" w:hAnsi="Times New Roman" w:cs="Times New Roman"/>
                <w:sz w:val="16"/>
                <w:szCs w:val="16"/>
              </w:rPr>
              <w:t xml:space="preserve">PROMIS </w:t>
            </w:r>
            <w:r w:rsidRPr="00D860CC">
              <w:rPr>
                <w:rFonts w:ascii="Times New Roman" w:eastAsia="Calibri" w:hAnsi="Times New Roman" w:cs="Times New Roman"/>
                <w:sz w:val="16"/>
                <w:szCs w:val="16"/>
              </w:rPr>
              <w:t>(</w:t>
            </w:r>
            <w:r>
              <w:rPr>
                <w:rFonts w:ascii="Times New Roman" w:eastAsia="Calibri" w:hAnsi="Times New Roman" w:cs="Times New Roman"/>
                <w:sz w:val="16"/>
                <w:szCs w:val="16"/>
              </w:rPr>
              <w:t>17</w:t>
            </w:r>
            <w:r w:rsidRPr="00D860CC">
              <w:rPr>
                <w:rFonts w:ascii="Times New Roman" w:eastAsia="Calibri" w:hAnsi="Times New Roman" w:cs="Times New Roman"/>
                <w:sz w:val="16"/>
                <w:szCs w:val="16"/>
              </w:rPr>
              <w:t>)</w:t>
            </w:r>
          </w:p>
        </w:tc>
        <w:tc>
          <w:tcPr>
            <w:tcW w:w="801" w:type="dxa"/>
          </w:tcPr>
          <w:p w14:paraId="6BADADDE" w14:textId="77777777" w:rsidR="009B1955" w:rsidRPr="00D860CC" w:rsidRDefault="009B1955" w:rsidP="00807EBA">
            <w:pPr>
              <w:rPr>
                <w:rFonts w:ascii="Times New Roman" w:hAnsi="Times New Roman" w:cs="Times New Roman"/>
                <w:sz w:val="16"/>
                <w:szCs w:val="16"/>
              </w:rPr>
            </w:pPr>
            <w:r w:rsidRPr="00D860CC">
              <w:rPr>
                <w:rFonts w:ascii="Times New Roman" w:hAnsi="Times New Roman" w:cs="Times New Roman"/>
                <w:sz w:val="16"/>
                <w:szCs w:val="16"/>
              </w:rPr>
              <w:t>N/A</w:t>
            </w:r>
          </w:p>
        </w:tc>
        <w:tc>
          <w:tcPr>
            <w:tcW w:w="5286" w:type="dxa"/>
          </w:tcPr>
          <w:p w14:paraId="00F3FFE2" w14:textId="77777777" w:rsidR="009B1955" w:rsidRPr="00D860CC" w:rsidRDefault="009B1955" w:rsidP="00807EBA">
            <w:pPr>
              <w:rPr>
                <w:rFonts w:ascii="Times New Roman" w:hAnsi="Times New Roman" w:cs="Times New Roman"/>
                <w:sz w:val="16"/>
                <w:szCs w:val="16"/>
              </w:rPr>
            </w:pPr>
            <w:r w:rsidRPr="00D860CC">
              <w:rPr>
                <w:rFonts w:ascii="Times New Roman" w:hAnsi="Times New Roman" w:cs="Times New Roman"/>
                <w:sz w:val="16"/>
                <w:szCs w:val="16"/>
              </w:rPr>
              <w:t>PROMIS Measure Development &amp; Research</w:t>
            </w:r>
          </w:p>
        </w:tc>
        <w:tc>
          <w:tcPr>
            <w:tcW w:w="1773" w:type="dxa"/>
          </w:tcPr>
          <w:p w14:paraId="2BAC39AD" w14:textId="77777777" w:rsidR="009B1955" w:rsidRPr="00D860CC" w:rsidRDefault="009B1955" w:rsidP="00807EBA">
            <w:pPr>
              <w:rPr>
                <w:rFonts w:ascii="Times New Roman" w:hAnsi="Times New Roman" w:cs="Times New Roman"/>
                <w:sz w:val="16"/>
                <w:szCs w:val="16"/>
              </w:rPr>
            </w:pPr>
            <w:r w:rsidRPr="00D860CC">
              <w:rPr>
                <w:rFonts w:ascii="Times New Roman" w:hAnsi="Times New Roman" w:cs="Times New Roman"/>
                <w:sz w:val="16"/>
                <w:szCs w:val="16"/>
              </w:rPr>
              <w:t>Website</w:t>
            </w:r>
          </w:p>
        </w:tc>
      </w:tr>
      <w:tr w:rsidR="009B1955" w:rsidRPr="00D860CC" w14:paraId="6C6D1F90" w14:textId="77777777" w:rsidTr="00807EBA">
        <w:tc>
          <w:tcPr>
            <w:tcW w:w="2099" w:type="dxa"/>
            <w:vMerge/>
          </w:tcPr>
          <w:p w14:paraId="2BFB4525" w14:textId="77777777" w:rsidR="009B1955" w:rsidRPr="00D860CC" w:rsidRDefault="009B1955" w:rsidP="00807EBA">
            <w:pPr>
              <w:rPr>
                <w:rFonts w:ascii="Times New Roman" w:hAnsi="Times New Roman" w:cs="Times New Roman"/>
                <w:sz w:val="16"/>
                <w:szCs w:val="16"/>
              </w:rPr>
            </w:pPr>
          </w:p>
        </w:tc>
        <w:tc>
          <w:tcPr>
            <w:tcW w:w="1647" w:type="dxa"/>
            <w:vMerge/>
          </w:tcPr>
          <w:p w14:paraId="61986C6D" w14:textId="77777777" w:rsidR="009B1955" w:rsidRPr="00D860CC" w:rsidRDefault="009B1955" w:rsidP="00807EBA">
            <w:pPr>
              <w:rPr>
                <w:rFonts w:ascii="Times New Roman" w:hAnsi="Times New Roman" w:cs="Times New Roman"/>
                <w:sz w:val="16"/>
                <w:szCs w:val="16"/>
              </w:rPr>
            </w:pPr>
          </w:p>
        </w:tc>
        <w:tc>
          <w:tcPr>
            <w:tcW w:w="2342" w:type="dxa"/>
          </w:tcPr>
          <w:p w14:paraId="2F847AD6" w14:textId="77777777" w:rsidR="009B1955" w:rsidRPr="00D860CC" w:rsidRDefault="009B1955" w:rsidP="00807EBA">
            <w:pPr>
              <w:rPr>
                <w:rFonts w:ascii="Times New Roman" w:hAnsi="Times New Roman" w:cs="Times New Roman"/>
                <w:sz w:val="16"/>
                <w:szCs w:val="16"/>
              </w:rPr>
            </w:pPr>
            <w:r w:rsidRPr="00D860CC">
              <w:rPr>
                <w:rFonts w:ascii="Times New Roman" w:hAnsi="Times New Roman" w:cs="Times New Roman"/>
                <w:sz w:val="16"/>
                <w:szCs w:val="16"/>
              </w:rPr>
              <w:t>Klem at al. (</w:t>
            </w:r>
            <w:r>
              <w:rPr>
                <w:rFonts w:ascii="Times New Roman" w:hAnsi="Times New Roman" w:cs="Times New Roman"/>
                <w:sz w:val="16"/>
                <w:szCs w:val="16"/>
              </w:rPr>
              <w:t>18</w:t>
            </w:r>
            <w:r w:rsidRPr="00D860CC">
              <w:rPr>
                <w:rFonts w:ascii="Times New Roman" w:hAnsi="Times New Roman" w:cs="Times New Roman"/>
                <w:sz w:val="16"/>
                <w:szCs w:val="16"/>
              </w:rPr>
              <w:t>)</w:t>
            </w:r>
          </w:p>
        </w:tc>
        <w:tc>
          <w:tcPr>
            <w:tcW w:w="801" w:type="dxa"/>
          </w:tcPr>
          <w:p w14:paraId="08692ED3" w14:textId="77777777" w:rsidR="009B1955" w:rsidRPr="00D860CC" w:rsidRDefault="009B1955" w:rsidP="00807EBA">
            <w:pPr>
              <w:rPr>
                <w:rFonts w:ascii="Times New Roman" w:hAnsi="Times New Roman" w:cs="Times New Roman"/>
                <w:sz w:val="16"/>
                <w:szCs w:val="16"/>
              </w:rPr>
            </w:pPr>
            <w:r w:rsidRPr="00D860CC">
              <w:rPr>
                <w:rFonts w:ascii="Times New Roman" w:hAnsi="Times New Roman" w:cs="Times New Roman"/>
                <w:sz w:val="16"/>
                <w:szCs w:val="16"/>
              </w:rPr>
              <w:t>2009</w:t>
            </w:r>
          </w:p>
        </w:tc>
        <w:tc>
          <w:tcPr>
            <w:tcW w:w="5286" w:type="dxa"/>
          </w:tcPr>
          <w:p w14:paraId="46360847" w14:textId="77777777" w:rsidR="009B1955" w:rsidRPr="00D860CC" w:rsidRDefault="009B1955" w:rsidP="00807EBA">
            <w:pPr>
              <w:rPr>
                <w:rFonts w:ascii="Times New Roman" w:hAnsi="Times New Roman" w:cs="Times New Roman"/>
                <w:sz w:val="16"/>
                <w:szCs w:val="16"/>
              </w:rPr>
            </w:pPr>
            <w:r w:rsidRPr="00D860CC">
              <w:rPr>
                <w:rFonts w:ascii="Times New Roman" w:hAnsi="Times New Roman" w:cs="Times New Roman"/>
                <w:sz w:val="16"/>
                <w:szCs w:val="16"/>
              </w:rPr>
              <w:t>Building PROMIS item banks: Librarians as co-investigators</w:t>
            </w:r>
          </w:p>
        </w:tc>
        <w:tc>
          <w:tcPr>
            <w:tcW w:w="1773" w:type="dxa"/>
          </w:tcPr>
          <w:p w14:paraId="21E86B67" w14:textId="77777777" w:rsidR="009B1955" w:rsidRPr="00D860CC" w:rsidRDefault="009B1955" w:rsidP="00807EBA">
            <w:pPr>
              <w:rPr>
                <w:rFonts w:ascii="Times New Roman" w:hAnsi="Times New Roman" w:cs="Times New Roman"/>
                <w:sz w:val="16"/>
                <w:szCs w:val="16"/>
              </w:rPr>
            </w:pPr>
            <w:r w:rsidRPr="00D860CC">
              <w:rPr>
                <w:rFonts w:ascii="Times New Roman" w:hAnsi="Times New Roman" w:cs="Times New Roman"/>
                <w:sz w:val="16"/>
                <w:szCs w:val="16"/>
              </w:rPr>
              <w:t>Article</w:t>
            </w:r>
          </w:p>
        </w:tc>
      </w:tr>
      <w:tr w:rsidR="009B1955" w:rsidRPr="00D860CC" w14:paraId="2F03038E" w14:textId="77777777" w:rsidTr="00807EBA">
        <w:tc>
          <w:tcPr>
            <w:tcW w:w="2099" w:type="dxa"/>
            <w:vMerge/>
          </w:tcPr>
          <w:p w14:paraId="3160CCA7" w14:textId="77777777" w:rsidR="009B1955" w:rsidRPr="00D860CC" w:rsidRDefault="009B1955" w:rsidP="00807EBA">
            <w:pPr>
              <w:rPr>
                <w:rFonts w:ascii="Times New Roman" w:hAnsi="Times New Roman" w:cs="Times New Roman"/>
                <w:sz w:val="16"/>
                <w:szCs w:val="16"/>
              </w:rPr>
            </w:pPr>
          </w:p>
        </w:tc>
        <w:tc>
          <w:tcPr>
            <w:tcW w:w="1647" w:type="dxa"/>
            <w:vMerge/>
          </w:tcPr>
          <w:p w14:paraId="6997E786" w14:textId="77777777" w:rsidR="009B1955" w:rsidRPr="00D860CC" w:rsidRDefault="009B1955" w:rsidP="00807EBA">
            <w:pPr>
              <w:rPr>
                <w:rFonts w:ascii="Times New Roman" w:hAnsi="Times New Roman" w:cs="Times New Roman"/>
                <w:sz w:val="16"/>
                <w:szCs w:val="16"/>
              </w:rPr>
            </w:pPr>
          </w:p>
        </w:tc>
        <w:tc>
          <w:tcPr>
            <w:tcW w:w="2342" w:type="dxa"/>
          </w:tcPr>
          <w:p w14:paraId="0399FD1D" w14:textId="77777777" w:rsidR="009B1955" w:rsidRPr="00D860CC" w:rsidRDefault="009B1955" w:rsidP="00807EBA">
            <w:pPr>
              <w:rPr>
                <w:rFonts w:ascii="Times New Roman" w:hAnsi="Times New Roman" w:cs="Times New Roman"/>
                <w:sz w:val="16"/>
                <w:szCs w:val="16"/>
              </w:rPr>
            </w:pPr>
            <w:r w:rsidRPr="00D860CC">
              <w:rPr>
                <w:rFonts w:ascii="Times New Roman" w:hAnsi="Times New Roman" w:cs="Times New Roman"/>
                <w:sz w:val="16"/>
                <w:szCs w:val="16"/>
              </w:rPr>
              <w:t>Calvert et al. (</w:t>
            </w:r>
            <w:r>
              <w:rPr>
                <w:rFonts w:ascii="Times New Roman" w:hAnsi="Times New Roman" w:cs="Times New Roman"/>
                <w:sz w:val="16"/>
                <w:szCs w:val="16"/>
              </w:rPr>
              <w:t>19</w:t>
            </w:r>
            <w:r w:rsidRPr="00D860CC">
              <w:rPr>
                <w:rFonts w:ascii="Times New Roman" w:hAnsi="Times New Roman" w:cs="Times New Roman"/>
                <w:sz w:val="16"/>
                <w:szCs w:val="16"/>
              </w:rPr>
              <w:t>)</w:t>
            </w:r>
          </w:p>
        </w:tc>
        <w:tc>
          <w:tcPr>
            <w:tcW w:w="801" w:type="dxa"/>
          </w:tcPr>
          <w:p w14:paraId="458FF78F" w14:textId="77777777" w:rsidR="009B1955" w:rsidRPr="00D860CC" w:rsidRDefault="009B1955" w:rsidP="00807EBA">
            <w:pPr>
              <w:rPr>
                <w:rFonts w:ascii="Times New Roman" w:hAnsi="Times New Roman" w:cs="Times New Roman"/>
                <w:sz w:val="16"/>
                <w:szCs w:val="16"/>
              </w:rPr>
            </w:pPr>
            <w:r w:rsidRPr="00D860CC">
              <w:rPr>
                <w:rFonts w:ascii="Times New Roman" w:hAnsi="Times New Roman" w:cs="Times New Roman"/>
                <w:sz w:val="16"/>
                <w:szCs w:val="16"/>
              </w:rPr>
              <w:t>2022</w:t>
            </w:r>
          </w:p>
        </w:tc>
        <w:tc>
          <w:tcPr>
            <w:tcW w:w="5286" w:type="dxa"/>
          </w:tcPr>
          <w:p w14:paraId="3F19015D" w14:textId="77777777" w:rsidR="009B1955" w:rsidRPr="00D860CC" w:rsidRDefault="009B1955" w:rsidP="00807EBA">
            <w:pPr>
              <w:rPr>
                <w:rFonts w:ascii="Times New Roman" w:hAnsi="Times New Roman" w:cs="Times New Roman"/>
                <w:sz w:val="16"/>
                <w:szCs w:val="16"/>
              </w:rPr>
            </w:pPr>
            <w:r w:rsidRPr="00D860CC">
              <w:rPr>
                <w:rFonts w:ascii="Times New Roman" w:hAnsi="Times New Roman" w:cs="Times New Roman"/>
                <w:sz w:val="16"/>
                <w:szCs w:val="16"/>
              </w:rPr>
              <w:t>Patient reported outcome assessment must be inclusive and equitable</w:t>
            </w:r>
          </w:p>
        </w:tc>
        <w:tc>
          <w:tcPr>
            <w:tcW w:w="1773" w:type="dxa"/>
          </w:tcPr>
          <w:p w14:paraId="3D563383" w14:textId="77777777" w:rsidR="009B1955" w:rsidRPr="00D860CC" w:rsidRDefault="009B1955" w:rsidP="00807EBA">
            <w:pPr>
              <w:rPr>
                <w:rFonts w:ascii="Times New Roman" w:hAnsi="Times New Roman" w:cs="Times New Roman"/>
                <w:sz w:val="16"/>
                <w:szCs w:val="16"/>
              </w:rPr>
            </w:pPr>
            <w:r w:rsidRPr="00D860CC">
              <w:rPr>
                <w:rFonts w:ascii="Times New Roman" w:hAnsi="Times New Roman" w:cs="Times New Roman"/>
                <w:sz w:val="16"/>
                <w:szCs w:val="16"/>
              </w:rPr>
              <w:t>Article</w:t>
            </w:r>
          </w:p>
        </w:tc>
      </w:tr>
      <w:tr w:rsidR="009B1955" w:rsidRPr="00D860CC" w14:paraId="3A6A2801" w14:textId="77777777" w:rsidTr="00807EBA">
        <w:tc>
          <w:tcPr>
            <w:tcW w:w="2099" w:type="dxa"/>
            <w:vMerge/>
          </w:tcPr>
          <w:p w14:paraId="21AC25B2" w14:textId="77777777" w:rsidR="009B1955" w:rsidRPr="00D860CC" w:rsidRDefault="009B1955" w:rsidP="00807EBA">
            <w:pPr>
              <w:rPr>
                <w:rFonts w:ascii="Times New Roman" w:hAnsi="Times New Roman" w:cs="Times New Roman"/>
                <w:sz w:val="16"/>
                <w:szCs w:val="16"/>
              </w:rPr>
            </w:pPr>
          </w:p>
        </w:tc>
        <w:tc>
          <w:tcPr>
            <w:tcW w:w="1647" w:type="dxa"/>
            <w:vMerge/>
          </w:tcPr>
          <w:p w14:paraId="642EDF99" w14:textId="77777777" w:rsidR="009B1955" w:rsidRPr="00D860CC" w:rsidRDefault="009B1955" w:rsidP="00807EBA">
            <w:pPr>
              <w:rPr>
                <w:rFonts w:ascii="Times New Roman" w:hAnsi="Times New Roman" w:cs="Times New Roman"/>
                <w:sz w:val="16"/>
                <w:szCs w:val="16"/>
              </w:rPr>
            </w:pPr>
          </w:p>
        </w:tc>
        <w:tc>
          <w:tcPr>
            <w:tcW w:w="2342" w:type="dxa"/>
          </w:tcPr>
          <w:p w14:paraId="7544EACA" w14:textId="77777777" w:rsidR="009B1955" w:rsidRPr="00D860CC" w:rsidRDefault="009B1955" w:rsidP="00807EBA">
            <w:pPr>
              <w:rPr>
                <w:rFonts w:ascii="Times New Roman" w:hAnsi="Times New Roman" w:cs="Times New Roman"/>
                <w:sz w:val="16"/>
                <w:szCs w:val="16"/>
              </w:rPr>
            </w:pPr>
            <w:r w:rsidRPr="00D860CC">
              <w:rPr>
                <w:rFonts w:ascii="Times New Roman" w:hAnsi="Times New Roman" w:cs="Times New Roman"/>
                <w:sz w:val="16"/>
                <w:szCs w:val="16"/>
              </w:rPr>
              <w:t>Johnson et al. (2</w:t>
            </w:r>
            <w:r>
              <w:rPr>
                <w:rFonts w:ascii="Times New Roman" w:hAnsi="Times New Roman" w:cs="Times New Roman"/>
                <w:sz w:val="16"/>
                <w:szCs w:val="16"/>
              </w:rPr>
              <w:t>1</w:t>
            </w:r>
            <w:r w:rsidRPr="00D860CC">
              <w:rPr>
                <w:rFonts w:ascii="Times New Roman" w:hAnsi="Times New Roman" w:cs="Times New Roman"/>
                <w:sz w:val="16"/>
                <w:szCs w:val="16"/>
              </w:rPr>
              <w:t xml:space="preserve">)* </w:t>
            </w:r>
          </w:p>
        </w:tc>
        <w:tc>
          <w:tcPr>
            <w:tcW w:w="801" w:type="dxa"/>
          </w:tcPr>
          <w:p w14:paraId="6FF02B09" w14:textId="77777777" w:rsidR="009B1955" w:rsidRPr="00D860CC" w:rsidRDefault="009B1955" w:rsidP="00807EBA">
            <w:pPr>
              <w:rPr>
                <w:rFonts w:ascii="Times New Roman" w:hAnsi="Times New Roman" w:cs="Times New Roman"/>
                <w:sz w:val="16"/>
                <w:szCs w:val="16"/>
              </w:rPr>
            </w:pPr>
            <w:r w:rsidRPr="00D860CC">
              <w:rPr>
                <w:rFonts w:ascii="Times New Roman" w:hAnsi="Times New Roman" w:cs="Times New Roman"/>
                <w:sz w:val="16"/>
                <w:szCs w:val="16"/>
              </w:rPr>
              <w:t>2011</w:t>
            </w:r>
          </w:p>
        </w:tc>
        <w:tc>
          <w:tcPr>
            <w:tcW w:w="5286" w:type="dxa"/>
          </w:tcPr>
          <w:p w14:paraId="6BAFE896" w14:textId="77777777" w:rsidR="009B1955" w:rsidRPr="00D860CC" w:rsidRDefault="009B1955" w:rsidP="00807EBA">
            <w:pPr>
              <w:rPr>
                <w:rFonts w:ascii="Times New Roman" w:hAnsi="Times New Roman" w:cs="Times New Roman"/>
                <w:sz w:val="16"/>
                <w:szCs w:val="16"/>
              </w:rPr>
            </w:pPr>
            <w:r w:rsidRPr="00D860CC">
              <w:rPr>
                <w:rFonts w:ascii="Times New Roman" w:hAnsi="Times New Roman" w:cs="Times New Roman"/>
                <w:sz w:val="16"/>
                <w:szCs w:val="16"/>
              </w:rPr>
              <w:t>EORTC Quality of Life Group Guidelines for Developing Questionnaire Modules 4</w:t>
            </w:r>
            <w:r w:rsidRPr="00D860CC">
              <w:rPr>
                <w:rFonts w:ascii="Times New Roman" w:hAnsi="Times New Roman" w:cs="Times New Roman"/>
                <w:sz w:val="16"/>
                <w:szCs w:val="16"/>
                <w:vertAlign w:val="superscript"/>
              </w:rPr>
              <w:t>th</w:t>
            </w:r>
            <w:r w:rsidRPr="00D860CC">
              <w:rPr>
                <w:rFonts w:ascii="Times New Roman" w:hAnsi="Times New Roman" w:cs="Times New Roman"/>
                <w:sz w:val="16"/>
                <w:szCs w:val="16"/>
              </w:rPr>
              <w:t xml:space="preserve"> Ed.</w:t>
            </w:r>
          </w:p>
        </w:tc>
        <w:tc>
          <w:tcPr>
            <w:tcW w:w="1773" w:type="dxa"/>
          </w:tcPr>
          <w:p w14:paraId="567AA71F" w14:textId="77777777" w:rsidR="009B1955" w:rsidRPr="00D860CC" w:rsidRDefault="009B1955" w:rsidP="00807EBA">
            <w:pPr>
              <w:rPr>
                <w:rFonts w:ascii="Times New Roman" w:hAnsi="Times New Roman" w:cs="Times New Roman"/>
                <w:sz w:val="16"/>
                <w:szCs w:val="16"/>
              </w:rPr>
            </w:pPr>
            <w:r w:rsidRPr="00D860CC">
              <w:rPr>
                <w:rFonts w:ascii="Times New Roman" w:hAnsi="Times New Roman" w:cs="Times New Roman"/>
                <w:sz w:val="16"/>
                <w:szCs w:val="16"/>
              </w:rPr>
              <w:t>Manual</w:t>
            </w:r>
          </w:p>
        </w:tc>
      </w:tr>
      <w:tr w:rsidR="009B1955" w:rsidRPr="00D860CC" w14:paraId="57332795" w14:textId="77777777" w:rsidTr="00807EBA">
        <w:tc>
          <w:tcPr>
            <w:tcW w:w="2099" w:type="dxa"/>
            <w:vMerge/>
          </w:tcPr>
          <w:p w14:paraId="158D7CBE" w14:textId="77777777" w:rsidR="009B1955" w:rsidRPr="00D860CC" w:rsidRDefault="009B1955" w:rsidP="00807EBA">
            <w:pPr>
              <w:rPr>
                <w:rFonts w:ascii="Times New Roman" w:hAnsi="Times New Roman" w:cs="Times New Roman"/>
                <w:sz w:val="16"/>
                <w:szCs w:val="16"/>
              </w:rPr>
            </w:pPr>
          </w:p>
        </w:tc>
        <w:tc>
          <w:tcPr>
            <w:tcW w:w="1647" w:type="dxa"/>
            <w:vMerge/>
          </w:tcPr>
          <w:p w14:paraId="6FF73859" w14:textId="77777777" w:rsidR="009B1955" w:rsidRPr="00D860CC" w:rsidRDefault="009B1955" w:rsidP="00807EBA">
            <w:pPr>
              <w:rPr>
                <w:rFonts w:ascii="Times New Roman" w:hAnsi="Times New Roman" w:cs="Times New Roman"/>
                <w:sz w:val="16"/>
                <w:szCs w:val="16"/>
              </w:rPr>
            </w:pPr>
          </w:p>
        </w:tc>
        <w:tc>
          <w:tcPr>
            <w:tcW w:w="2342" w:type="dxa"/>
          </w:tcPr>
          <w:p w14:paraId="7A39986D" w14:textId="77777777" w:rsidR="009B1955" w:rsidRPr="00D860CC" w:rsidRDefault="009B1955" w:rsidP="00807EBA">
            <w:pPr>
              <w:rPr>
                <w:rFonts w:ascii="Times New Roman" w:hAnsi="Times New Roman" w:cs="Times New Roman"/>
                <w:sz w:val="16"/>
                <w:szCs w:val="16"/>
              </w:rPr>
            </w:pPr>
            <w:proofErr w:type="spellStart"/>
            <w:r w:rsidRPr="00D860CC">
              <w:rPr>
                <w:rFonts w:ascii="Times New Roman" w:hAnsi="Times New Roman" w:cs="Times New Roman"/>
                <w:sz w:val="16"/>
                <w:szCs w:val="16"/>
              </w:rPr>
              <w:t>Bjordal</w:t>
            </w:r>
            <w:proofErr w:type="spellEnd"/>
            <w:r w:rsidRPr="00D860CC">
              <w:rPr>
                <w:rFonts w:ascii="Times New Roman" w:hAnsi="Times New Roman" w:cs="Times New Roman"/>
                <w:sz w:val="16"/>
                <w:szCs w:val="16"/>
              </w:rPr>
              <w:t xml:space="preserve"> et al. (2</w:t>
            </w:r>
            <w:r>
              <w:rPr>
                <w:rFonts w:ascii="Times New Roman" w:hAnsi="Times New Roman" w:cs="Times New Roman"/>
                <w:sz w:val="16"/>
                <w:szCs w:val="16"/>
              </w:rPr>
              <w:t>2</w:t>
            </w:r>
            <w:r w:rsidRPr="00D860CC">
              <w:rPr>
                <w:rFonts w:ascii="Times New Roman" w:hAnsi="Times New Roman" w:cs="Times New Roman"/>
                <w:sz w:val="16"/>
                <w:szCs w:val="16"/>
              </w:rPr>
              <w:t>)*</w:t>
            </w:r>
          </w:p>
        </w:tc>
        <w:tc>
          <w:tcPr>
            <w:tcW w:w="801" w:type="dxa"/>
          </w:tcPr>
          <w:p w14:paraId="0E999599" w14:textId="77777777" w:rsidR="009B1955" w:rsidRPr="00D860CC" w:rsidRDefault="009B1955" w:rsidP="00807EBA">
            <w:pPr>
              <w:rPr>
                <w:rFonts w:ascii="Times New Roman" w:hAnsi="Times New Roman" w:cs="Times New Roman"/>
                <w:sz w:val="16"/>
                <w:szCs w:val="16"/>
              </w:rPr>
            </w:pPr>
            <w:r w:rsidRPr="00D860CC">
              <w:rPr>
                <w:rFonts w:ascii="Times New Roman" w:hAnsi="Times New Roman" w:cs="Times New Roman"/>
                <w:sz w:val="16"/>
                <w:szCs w:val="16"/>
              </w:rPr>
              <w:t>2021</w:t>
            </w:r>
          </w:p>
        </w:tc>
        <w:tc>
          <w:tcPr>
            <w:tcW w:w="5286" w:type="dxa"/>
          </w:tcPr>
          <w:p w14:paraId="350CB5C5" w14:textId="77777777" w:rsidR="009B1955" w:rsidRPr="00D860CC" w:rsidRDefault="009B1955" w:rsidP="00807EBA">
            <w:pPr>
              <w:rPr>
                <w:rFonts w:ascii="Times New Roman" w:hAnsi="Times New Roman" w:cs="Times New Roman"/>
                <w:sz w:val="16"/>
                <w:szCs w:val="16"/>
              </w:rPr>
            </w:pPr>
            <w:r w:rsidRPr="00D860CC">
              <w:rPr>
                <w:rFonts w:ascii="Times New Roman" w:hAnsi="Times New Roman" w:cs="Times New Roman"/>
                <w:sz w:val="16"/>
                <w:szCs w:val="16"/>
              </w:rPr>
              <w:t>EORTC Quality of Life Group Module Development Guidelines [Internet]. 5th ed</w:t>
            </w:r>
          </w:p>
        </w:tc>
        <w:tc>
          <w:tcPr>
            <w:tcW w:w="1773" w:type="dxa"/>
          </w:tcPr>
          <w:p w14:paraId="43A62055" w14:textId="77777777" w:rsidR="009B1955" w:rsidRPr="00D860CC" w:rsidRDefault="009B1955" w:rsidP="00807EBA">
            <w:pPr>
              <w:rPr>
                <w:rFonts w:ascii="Times New Roman" w:hAnsi="Times New Roman" w:cs="Times New Roman"/>
                <w:sz w:val="16"/>
                <w:szCs w:val="16"/>
              </w:rPr>
            </w:pPr>
            <w:r w:rsidRPr="00D860CC">
              <w:rPr>
                <w:rFonts w:ascii="Times New Roman" w:hAnsi="Times New Roman" w:cs="Times New Roman"/>
                <w:sz w:val="16"/>
                <w:szCs w:val="16"/>
              </w:rPr>
              <w:t>Manual</w:t>
            </w:r>
          </w:p>
        </w:tc>
      </w:tr>
      <w:tr w:rsidR="009B1955" w:rsidRPr="00D860CC" w14:paraId="68A8001B" w14:textId="77777777" w:rsidTr="00807EBA">
        <w:tc>
          <w:tcPr>
            <w:tcW w:w="2099" w:type="dxa"/>
            <w:vMerge/>
          </w:tcPr>
          <w:p w14:paraId="60825CA3" w14:textId="77777777" w:rsidR="009B1955" w:rsidRPr="00D860CC" w:rsidRDefault="009B1955" w:rsidP="00807EBA">
            <w:pPr>
              <w:rPr>
                <w:rFonts w:ascii="Times New Roman" w:hAnsi="Times New Roman" w:cs="Times New Roman"/>
                <w:sz w:val="16"/>
                <w:szCs w:val="16"/>
              </w:rPr>
            </w:pPr>
          </w:p>
        </w:tc>
        <w:tc>
          <w:tcPr>
            <w:tcW w:w="1647" w:type="dxa"/>
            <w:vMerge/>
          </w:tcPr>
          <w:p w14:paraId="0428CD6F" w14:textId="77777777" w:rsidR="009B1955" w:rsidRPr="00D860CC" w:rsidRDefault="009B1955" w:rsidP="00807EBA">
            <w:pPr>
              <w:rPr>
                <w:rFonts w:ascii="Times New Roman" w:hAnsi="Times New Roman" w:cs="Times New Roman"/>
                <w:sz w:val="16"/>
                <w:szCs w:val="16"/>
              </w:rPr>
            </w:pPr>
          </w:p>
        </w:tc>
        <w:tc>
          <w:tcPr>
            <w:tcW w:w="2342" w:type="dxa"/>
          </w:tcPr>
          <w:p w14:paraId="2C5DC43D" w14:textId="77777777" w:rsidR="009B1955" w:rsidRPr="00D860CC" w:rsidRDefault="009B1955" w:rsidP="00807EBA">
            <w:pPr>
              <w:rPr>
                <w:rFonts w:ascii="Times New Roman" w:hAnsi="Times New Roman" w:cs="Times New Roman"/>
                <w:sz w:val="16"/>
                <w:szCs w:val="16"/>
              </w:rPr>
            </w:pPr>
            <w:r w:rsidRPr="00D860CC">
              <w:rPr>
                <w:rFonts w:ascii="Times New Roman" w:hAnsi="Times New Roman" w:cs="Times New Roman"/>
                <w:sz w:val="16"/>
                <w:szCs w:val="16"/>
              </w:rPr>
              <w:t>FDA (</w:t>
            </w:r>
            <w:r>
              <w:rPr>
                <w:rFonts w:ascii="Times New Roman" w:hAnsi="Times New Roman" w:cs="Times New Roman"/>
                <w:sz w:val="16"/>
                <w:szCs w:val="16"/>
              </w:rPr>
              <w:t>20</w:t>
            </w:r>
            <w:r w:rsidRPr="00D860CC">
              <w:rPr>
                <w:rFonts w:ascii="Times New Roman" w:hAnsi="Times New Roman" w:cs="Times New Roman"/>
                <w:sz w:val="16"/>
                <w:szCs w:val="16"/>
              </w:rPr>
              <w:t>)*</w:t>
            </w:r>
          </w:p>
        </w:tc>
        <w:tc>
          <w:tcPr>
            <w:tcW w:w="801" w:type="dxa"/>
          </w:tcPr>
          <w:p w14:paraId="243E1262" w14:textId="77777777" w:rsidR="009B1955" w:rsidRPr="00D860CC" w:rsidRDefault="009B1955" w:rsidP="00807EBA">
            <w:pPr>
              <w:rPr>
                <w:rFonts w:ascii="Times New Roman" w:hAnsi="Times New Roman" w:cs="Times New Roman"/>
                <w:sz w:val="16"/>
                <w:szCs w:val="16"/>
              </w:rPr>
            </w:pPr>
            <w:r w:rsidRPr="00D860CC">
              <w:rPr>
                <w:rFonts w:ascii="Times New Roman" w:hAnsi="Times New Roman" w:cs="Times New Roman"/>
                <w:sz w:val="16"/>
                <w:szCs w:val="16"/>
              </w:rPr>
              <w:t>2009</w:t>
            </w:r>
          </w:p>
        </w:tc>
        <w:tc>
          <w:tcPr>
            <w:tcW w:w="5286" w:type="dxa"/>
          </w:tcPr>
          <w:p w14:paraId="7C53F23E" w14:textId="77777777" w:rsidR="009B1955" w:rsidRPr="00D860CC" w:rsidRDefault="009B1955" w:rsidP="00807EBA">
            <w:pPr>
              <w:rPr>
                <w:rFonts w:ascii="Times New Roman" w:hAnsi="Times New Roman" w:cs="Times New Roman"/>
                <w:sz w:val="16"/>
                <w:szCs w:val="16"/>
              </w:rPr>
            </w:pPr>
            <w:r w:rsidRPr="00D860CC">
              <w:rPr>
                <w:rFonts w:ascii="Times New Roman" w:hAnsi="Times New Roman" w:cs="Times New Roman"/>
                <w:sz w:val="16"/>
                <w:szCs w:val="16"/>
              </w:rPr>
              <w:t xml:space="preserve">Guidance for Industry; Patient-Reported Outcome Measures: Use in Medical Product Development to Support </w:t>
            </w:r>
            <w:proofErr w:type="spellStart"/>
            <w:r w:rsidRPr="00D860CC">
              <w:rPr>
                <w:rFonts w:ascii="Times New Roman" w:hAnsi="Times New Roman" w:cs="Times New Roman"/>
                <w:sz w:val="16"/>
                <w:szCs w:val="16"/>
              </w:rPr>
              <w:t>Labeling</w:t>
            </w:r>
            <w:proofErr w:type="spellEnd"/>
            <w:r w:rsidRPr="00D860CC">
              <w:rPr>
                <w:rFonts w:ascii="Times New Roman" w:hAnsi="Times New Roman" w:cs="Times New Roman"/>
                <w:sz w:val="16"/>
                <w:szCs w:val="16"/>
              </w:rPr>
              <w:t xml:space="preserve"> Claims</w:t>
            </w:r>
          </w:p>
        </w:tc>
        <w:tc>
          <w:tcPr>
            <w:tcW w:w="1773" w:type="dxa"/>
          </w:tcPr>
          <w:p w14:paraId="3B814104" w14:textId="77777777" w:rsidR="009B1955" w:rsidRPr="00D860CC" w:rsidRDefault="009B1955" w:rsidP="00807EBA">
            <w:pPr>
              <w:rPr>
                <w:rFonts w:ascii="Times New Roman" w:hAnsi="Times New Roman" w:cs="Times New Roman"/>
                <w:sz w:val="16"/>
                <w:szCs w:val="16"/>
              </w:rPr>
            </w:pPr>
            <w:r w:rsidRPr="00D860CC">
              <w:rPr>
                <w:rFonts w:ascii="Times New Roman" w:hAnsi="Times New Roman" w:cs="Times New Roman"/>
                <w:sz w:val="16"/>
                <w:szCs w:val="16"/>
              </w:rPr>
              <w:t>Guidance document</w:t>
            </w:r>
          </w:p>
        </w:tc>
      </w:tr>
      <w:tr w:rsidR="009B1955" w:rsidRPr="00D860CC" w14:paraId="2006C12C" w14:textId="77777777" w:rsidTr="00807EBA">
        <w:tc>
          <w:tcPr>
            <w:tcW w:w="2099" w:type="dxa"/>
            <w:vMerge/>
          </w:tcPr>
          <w:p w14:paraId="1018FADB" w14:textId="77777777" w:rsidR="009B1955" w:rsidRPr="00D860CC" w:rsidRDefault="009B1955" w:rsidP="00807EBA">
            <w:pPr>
              <w:rPr>
                <w:rFonts w:ascii="Times New Roman" w:hAnsi="Times New Roman" w:cs="Times New Roman"/>
                <w:sz w:val="16"/>
                <w:szCs w:val="16"/>
              </w:rPr>
            </w:pPr>
          </w:p>
        </w:tc>
        <w:tc>
          <w:tcPr>
            <w:tcW w:w="1647" w:type="dxa"/>
            <w:vMerge/>
          </w:tcPr>
          <w:p w14:paraId="295C5E61" w14:textId="77777777" w:rsidR="009B1955" w:rsidRPr="00D860CC" w:rsidRDefault="009B1955" w:rsidP="00807EBA">
            <w:pPr>
              <w:rPr>
                <w:rFonts w:ascii="Times New Roman" w:hAnsi="Times New Roman" w:cs="Times New Roman"/>
                <w:sz w:val="16"/>
                <w:szCs w:val="16"/>
              </w:rPr>
            </w:pPr>
          </w:p>
        </w:tc>
        <w:tc>
          <w:tcPr>
            <w:tcW w:w="2342" w:type="dxa"/>
          </w:tcPr>
          <w:p w14:paraId="579D7944" w14:textId="77777777" w:rsidR="009B1955" w:rsidRPr="00D860CC" w:rsidRDefault="009B1955" w:rsidP="00807EBA">
            <w:pPr>
              <w:rPr>
                <w:rFonts w:ascii="Times New Roman" w:hAnsi="Times New Roman" w:cs="Times New Roman"/>
                <w:sz w:val="16"/>
                <w:szCs w:val="16"/>
              </w:rPr>
            </w:pPr>
            <w:r w:rsidRPr="00D860CC">
              <w:rPr>
                <w:rFonts w:ascii="Times New Roman" w:hAnsi="Times New Roman" w:cs="Times New Roman"/>
                <w:sz w:val="16"/>
                <w:szCs w:val="16"/>
              </w:rPr>
              <w:t>Turner et al. (2</w:t>
            </w:r>
            <w:r>
              <w:rPr>
                <w:rFonts w:ascii="Times New Roman" w:hAnsi="Times New Roman" w:cs="Times New Roman"/>
                <w:sz w:val="16"/>
                <w:szCs w:val="16"/>
              </w:rPr>
              <w:t>3</w:t>
            </w:r>
            <w:r w:rsidRPr="00D860CC">
              <w:rPr>
                <w:rFonts w:ascii="Times New Roman" w:hAnsi="Times New Roman" w:cs="Times New Roman"/>
                <w:sz w:val="16"/>
                <w:szCs w:val="16"/>
              </w:rPr>
              <w:t>)*</w:t>
            </w:r>
          </w:p>
        </w:tc>
        <w:tc>
          <w:tcPr>
            <w:tcW w:w="801" w:type="dxa"/>
          </w:tcPr>
          <w:p w14:paraId="4F42113A" w14:textId="77777777" w:rsidR="009B1955" w:rsidRPr="00D860CC" w:rsidRDefault="009B1955" w:rsidP="00807EBA">
            <w:pPr>
              <w:rPr>
                <w:rFonts w:ascii="Times New Roman" w:hAnsi="Times New Roman" w:cs="Times New Roman"/>
                <w:sz w:val="16"/>
                <w:szCs w:val="16"/>
              </w:rPr>
            </w:pPr>
            <w:r w:rsidRPr="00D860CC">
              <w:rPr>
                <w:rFonts w:ascii="Times New Roman" w:hAnsi="Times New Roman" w:cs="Times New Roman"/>
                <w:sz w:val="16"/>
                <w:szCs w:val="16"/>
              </w:rPr>
              <w:t>2020</w:t>
            </w:r>
          </w:p>
        </w:tc>
        <w:tc>
          <w:tcPr>
            <w:tcW w:w="5286" w:type="dxa"/>
          </w:tcPr>
          <w:p w14:paraId="349BAAA6" w14:textId="77777777" w:rsidR="009B1955" w:rsidRPr="00D860CC" w:rsidRDefault="009B1955" w:rsidP="00807EBA">
            <w:pPr>
              <w:rPr>
                <w:rFonts w:ascii="Times New Roman" w:hAnsi="Times New Roman" w:cs="Times New Roman"/>
                <w:sz w:val="16"/>
                <w:szCs w:val="16"/>
              </w:rPr>
            </w:pPr>
            <w:r w:rsidRPr="00D860CC">
              <w:rPr>
                <w:rFonts w:ascii="Times New Roman" w:hAnsi="Times New Roman" w:cs="Times New Roman"/>
                <w:sz w:val="16"/>
                <w:szCs w:val="16"/>
              </w:rPr>
              <w:t>Moving beyond project-specific patient and public involvement in research</w:t>
            </w:r>
          </w:p>
        </w:tc>
        <w:tc>
          <w:tcPr>
            <w:tcW w:w="1773" w:type="dxa"/>
          </w:tcPr>
          <w:p w14:paraId="52EE6E35" w14:textId="77777777" w:rsidR="009B1955" w:rsidRPr="00D860CC" w:rsidRDefault="009B1955" w:rsidP="00807EBA">
            <w:pPr>
              <w:rPr>
                <w:rFonts w:ascii="Times New Roman" w:hAnsi="Times New Roman" w:cs="Times New Roman"/>
                <w:sz w:val="16"/>
                <w:szCs w:val="16"/>
              </w:rPr>
            </w:pPr>
            <w:r w:rsidRPr="00D860CC">
              <w:rPr>
                <w:rFonts w:ascii="Times New Roman" w:hAnsi="Times New Roman" w:cs="Times New Roman"/>
                <w:sz w:val="16"/>
                <w:szCs w:val="16"/>
              </w:rPr>
              <w:t>Article</w:t>
            </w:r>
          </w:p>
        </w:tc>
      </w:tr>
      <w:tr w:rsidR="009B1955" w:rsidRPr="00D860CC" w14:paraId="42706980" w14:textId="77777777" w:rsidTr="00807EBA">
        <w:tc>
          <w:tcPr>
            <w:tcW w:w="2099" w:type="dxa"/>
            <w:vMerge/>
          </w:tcPr>
          <w:p w14:paraId="3E2D6743" w14:textId="77777777" w:rsidR="009B1955" w:rsidRPr="00D860CC" w:rsidRDefault="009B1955" w:rsidP="00807EBA">
            <w:pPr>
              <w:rPr>
                <w:rFonts w:ascii="Times New Roman" w:hAnsi="Times New Roman" w:cs="Times New Roman"/>
                <w:sz w:val="16"/>
                <w:szCs w:val="16"/>
              </w:rPr>
            </w:pPr>
          </w:p>
        </w:tc>
        <w:tc>
          <w:tcPr>
            <w:tcW w:w="1647" w:type="dxa"/>
            <w:vMerge/>
          </w:tcPr>
          <w:p w14:paraId="6EDF4A9B" w14:textId="77777777" w:rsidR="009B1955" w:rsidRPr="00D860CC" w:rsidRDefault="009B1955" w:rsidP="00807EBA">
            <w:pPr>
              <w:rPr>
                <w:rFonts w:ascii="Times New Roman" w:hAnsi="Times New Roman" w:cs="Times New Roman"/>
                <w:sz w:val="16"/>
                <w:szCs w:val="16"/>
              </w:rPr>
            </w:pPr>
          </w:p>
        </w:tc>
        <w:tc>
          <w:tcPr>
            <w:tcW w:w="2342" w:type="dxa"/>
          </w:tcPr>
          <w:p w14:paraId="073E1147" w14:textId="77777777" w:rsidR="009B1955" w:rsidRPr="00D860CC" w:rsidRDefault="009B1955" w:rsidP="00807EBA">
            <w:pPr>
              <w:rPr>
                <w:rFonts w:ascii="Times New Roman" w:hAnsi="Times New Roman" w:cs="Times New Roman"/>
                <w:sz w:val="16"/>
                <w:szCs w:val="16"/>
              </w:rPr>
            </w:pPr>
            <w:r w:rsidRPr="00D860CC">
              <w:rPr>
                <w:rFonts w:ascii="Times New Roman" w:hAnsi="Times New Roman" w:cs="Times New Roman"/>
                <w:sz w:val="16"/>
                <w:szCs w:val="16"/>
              </w:rPr>
              <w:t>Cruz Rivera et al. (2</w:t>
            </w:r>
            <w:r>
              <w:rPr>
                <w:rFonts w:ascii="Times New Roman" w:hAnsi="Times New Roman" w:cs="Times New Roman"/>
                <w:sz w:val="16"/>
                <w:szCs w:val="16"/>
              </w:rPr>
              <w:t>4</w:t>
            </w:r>
            <w:r w:rsidRPr="00D860CC">
              <w:rPr>
                <w:rFonts w:ascii="Times New Roman" w:hAnsi="Times New Roman" w:cs="Times New Roman"/>
                <w:sz w:val="16"/>
                <w:szCs w:val="16"/>
              </w:rPr>
              <w:t>)</w:t>
            </w:r>
          </w:p>
        </w:tc>
        <w:tc>
          <w:tcPr>
            <w:tcW w:w="801" w:type="dxa"/>
          </w:tcPr>
          <w:p w14:paraId="732972BC" w14:textId="77777777" w:rsidR="009B1955" w:rsidRPr="00D860CC" w:rsidRDefault="009B1955" w:rsidP="00807EBA">
            <w:pPr>
              <w:rPr>
                <w:rFonts w:ascii="Times New Roman" w:hAnsi="Times New Roman" w:cs="Times New Roman"/>
                <w:sz w:val="16"/>
                <w:szCs w:val="16"/>
              </w:rPr>
            </w:pPr>
            <w:r w:rsidRPr="00D860CC">
              <w:rPr>
                <w:rFonts w:ascii="Times New Roman" w:hAnsi="Times New Roman" w:cs="Times New Roman"/>
                <w:sz w:val="16"/>
                <w:szCs w:val="16"/>
              </w:rPr>
              <w:t>2021</w:t>
            </w:r>
          </w:p>
        </w:tc>
        <w:tc>
          <w:tcPr>
            <w:tcW w:w="5286" w:type="dxa"/>
          </w:tcPr>
          <w:p w14:paraId="18237B01" w14:textId="77777777" w:rsidR="009B1955" w:rsidRPr="00D860CC" w:rsidRDefault="009B1955" w:rsidP="00807EBA">
            <w:pPr>
              <w:rPr>
                <w:rFonts w:ascii="Times New Roman" w:hAnsi="Times New Roman" w:cs="Times New Roman"/>
                <w:sz w:val="16"/>
                <w:szCs w:val="16"/>
              </w:rPr>
            </w:pPr>
            <w:r w:rsidRPr="00D860CC">
              <w:rPr>
                <w:rFonts w:ascii="Times New Roman" w:hAnsi="Times New Roman" w:cs="Times New Roman"/>
                <w:sz w:val="16"/>
                <w:szCs w:val="16"/>
              </w:rPr>
              <w:t>“Give Us the Tools!”: development of knowledge transfer tools to support the involvement of patient partners in the development of clinical trial protocols with patient-reported outcomes (PROs), in accordance with SPIRIT-PRO Extension</w:t>
            </w:r>
          </w:p>
        </w:tc>
        <w:tc>
          <w:tcPr>
            <w:tcW w:w="1773" w:type="dxa"/>
          </w:tcPr>
          <w:p w14:paraId="24328DA3" w14:textId="77777777" w:rsidR="009B1955" w:rsidRPr="00D860CC" w:rsidRDefault="009B1955" w:rsidP="00807EBA">
            <w:pPr>
              <w:rPr>
                <w:rFonts w:ascii="Times New Roman" w:hAnsi="Times New Roman" w:cs="Times New Roman"/>
                <w:sz w:val="16"/>
                <w:szCs w:val="16"/>
              </w:rPr>
            </w:pPr>
            <w:r w:rsidRPr="00D860CC">
              <w:rPr>
                <w:rFonts w:ascii="Times New Roman" w:hAnsi="Times New Roman" w:cs="Times New Roman"/>
                <w:sz w:val="16"/>
                <w:szCs w:val="16"/>
              </w:rPr>
              <w:t>Article</w:t>
            </w:r>
          </w:p>
        </w:tc>
      </w:tr>
      <w:tr w:rsidR="009B1955" w:rsidRPr="00D860CC" w14:paraId="0840AEB4" w14:textId="77777777" w:rsidTr="00807EBA">
        <w:tc>
          <w:tcPr>
            <w:tcW w:w="2099" w:type="dxa"/>
            <w:vMerge/>
          </w:tcPr>
          <w:p w14:paraId="6D8C31AF" w14:textId="77777777" w:rsidR="009B1955" w:rsidRPr="00D860CC" w:rsidRDefault="009B1955" w:rsidP="00807EBA">
            <w:pPr>
              <w:rPr>
                <w:rFonts w:ascii="Times New Roman" w:hAnsi="Times New Roman" w:cs="Times New Roman"/>
                <w:sz w:val="16"/>
                <w:szCs w:val="16"/>
              </w:rPr>
            </w:pPr>
          </w:p>
        </w:tc>
        <w:tc>
          <w:tcPr>
            <w:tcW w:w="1647" w:type="dxa"/>
            <w:vMerge/>
          </w:tcPr>
          <w:p w14:paraId="365AECC7" w14:textId="77777777" w:rsidR="009B1955" w:rsidRPr="00D860CC" w:rsidRDefault="009B1955" w:rsidP="00807EBA">
            <w:pPr>
              <w:rPr>
                <w:rFonts w:ascii="Times New Roman" w:hAnsi="Times New Roman" w:cs="Times New Roman"/>
                <w:sz w:val="16"/>
                <w:szCs w:val="16"/>
              </w:rPr>
            </w:pPr>
          </w:p>
        </w:tc>
        <w:tc>
          <w:tcPr>
            <w:tcW w:w="2342" w:type="dxa"/>
          </w:tcPr>
          <w:p w14:paraId="593A5ED7" w14:textId="77777777" w:rsidR="009B1955" w:rsidRPr="00D860CC" w:rsidRDefault="009B1955" w:rsidP="00807EBA">
            <w:pPr>
              <w:rPr>
                <w:rFonts w:ascii="Times New Roman" w:hAnsi="Times New Roman" w:cs="Times New Roman"/>
                <w:sz w:val="16"/>
                <w:szCs w:val="16"/>
                <w:lang w:val="fr-FR"/>
              </w:rPr>
            </w:pPr>
            <w:proofErr w:type="spellStart"/>
            <w:r w:rsidRPr="00D860CC">
              <w:rPr>
                <w:rFonts w:ascii="Times New Roman" w:hAnsi="Times New Roman" w:cs="Times New Roman"/>
                <w:sz w:val="16"/>
                <w:szCs w:val="16"/>
                <w:lang w:val="fr-FR"/>
              </w:rPr>
              <w:t>Haywood</w:t>
            </w:r>
            <w:proofErr w:type="spellEnd"/>
            <w:r w:rsidRPr="00D860CC">
              <w:rPr>
                <w:rFonts w:ascii="Times New Roman" w:hAnsi="Times New Roman" w:cs="Times New Roman"/>
                <w:sz w:val="16"/>
                <w:szCs w:val="16"/>
                <w:lang w:val="fr-FR"/>
              </w:rPr>
              <w:t xml:space="preserve"> et al.</w:t>
            </w:r>
            <w:r w:rsidRPr="00D860CC">
              <w:rPr>
                <w:rFonts w:ascii="Times New Roman" w:hAnsi="Times New Roman" w:cs="Times New Roman"/>
                <w:sz w:val="16"/>
                <w:szCs w:val="16"/>
              </w:rPr>
              <w:t xml:space="preserve"> (2</w:t>
            </w:r>
            <w:r>
              <w:rPr>
                <w:rFonts w:ascii="Times New Roman" w:hAnsi="Times New Roman" w:cs="Times New Roman"/>
                <w:sz w:val="16"/>
                <w:szCs w:val="16"/>
              </w:rPr>
              <w:t>5</w:t>
            </w:r>
            <w:r w:rsidRPr="00D860CC">
              <w:rPr>
                <w:rFonts w:ascii="Times New Roman" w:hAnsi="Times New Roman" w:cs="Times New Roman"/>
                <w:sz w:val="16"/>
                <w:szCs w:val="16"/>
              </w:rPr>
              <w:t>)</w:t>
            </w:r>
            <w:r w:rsidRPr="00D860CC">
              <w:rPr>
                <w:rFonts w:ascii="Times New Roman" w:hAnsi="Times New Roman" w:cs="Times New Roman"/>
                <w:sz w:val="16"/>
                <w:szCs w:val="16"/>
                <w:lang w:val="fr-FR"/>
              </w:rPr>
              <w:t xml:space="preserve"> </w:t>
            </w:r>
          </w:p>
        </w:tc>
        <w:tc>
          <w:tcPr>
            <w:tcW w:w="801" w:type="dxa"/>
          </w:tcPr>
          <w:p w14:paraId="2F554210" w14:textId="77777777" w:rsidR="009B1955" w:rsidRPr="00D860CC" w:rsidRDefault="009B1955" w:rsidP="00807EBA">
            <w:pPr>
              <w:rPr>
                <w:rFonts w:ascii="Times New Roman" w:hAnsi="Times New Roman" w:cs="Times New Roman"/>
                <w:sz w:val="16"/>
                <w:szCs w:val="16"/>
              </w:rPr>
            </w:pPr>
            <w:r w:rsidRPr="00D860CC">
              <w:rPr>
                <w:rFonts w:ascii="Times New Roman" w:hAnsi="Times New Roman" w:cs="Times New Roman"/>
                <w:sz w:val="16"/>
                <w:szCs w:val="16"/>
              </w:rPr>
              <w:t>2017</w:t>
            </w:r>
          </w:p>
        </w:tc>
        <w:tc>
          <w:tcPr>
            <w:tcW w:w="5286" w:type="dxa"/>
          </w:tcPr>
          <w:p w14:paraId="74D41F20" w14:textId="77777777" w:rsidR="009B1955" w:rsidRPr="00D860CC" w:rsidRDefault="009B1955" w:rsidP="00807EBA">
            <w:pPr>
              <w:rPr>
                <w:rFonts w:ascii="Times New Roman" w:hAnsi="Times New Roman" w:cs="Times New Roman"/>
                <w:sz w:val="16"/>
                <w:szCs w:val="16"/>
              </w:rPr>
            </w:pPr>
            <w:r w:rsidRPr="00D860CC">
              <w:rPr>
                <w:rFonts w:ascii="Times New Roman" w:hAnsi="Times New Roman" w:cs="Times New Roman"/>
                <w:sz w:val="16"/>
                <w:szCs w:val="16"/>
              </w:rPr>
              <w:t>Establishing the values for patient engagement (PE) in health-related quality of life (</w:t>
            </w:r>
            <w:proofErr w:type="spellStart"/>
            <w:r w:rsidRPr="00D860CC">
              <w:rPr>
                <w:rFonts w:ascii="Times New Roman" w:hAnsi="Times New Roman" w:cs="Times New Roman"/>
                <w:sz w:val="16"/>
                <w:szCs w:val="16"/>
              </w:rPr>
              <w:t>HRQoL</w:t>
            </w:r>
            <w:proofErr w:type="spellEnd"/>
            <w:r w:rsidRPr="00D860CC">
              <w:rPr>
                <w:rFonts w:ascii="Times New Roman" w:hAnsi="Times New Roman" w:cs="Times New Roman"/>
                <w:sz w:val="16"/>
                <w:szCs w:val="16"/>
              </w:rPr>
              <w:t>) research: an international, multiple-stakeholder perspective</w:t>
            </w:r>
          </w:p>
        </w:tc>
        <w:tc>
          <w:tcPr>
            <w:tcW w:w="1773" w:type="dxa"/>
          </w:tcPr>
          <w:p w14:paraId="08BAFB20" w14:textId="77777777" w:rsidR="009B1955" w:rsidRPr="00D860CC" w:rsidRDefault="009B1955" w:rsidP="00807EBA">
            <w:pPr>
              <w:rPr>
                <w:rFonts w:ascii="Times New Roman" w:hAnsi="Times New Roman" w:cs="Times New Roman"/>
                <w:sz w:val="16"/>
                <w:szCs w:val="16"/>
              </w:rPr>
            </w:pPr>
            <w:r w:rsidRPr="00D860CC">
              <w:rPr>
                <w:rFonts w:ascii="Times New Roman" w:hAnsi="Times New Roman" w:cs="Times New Roman"/>
                <w:sz w:val="16"/>
                <w:szCs w:val="16"/>
              </w:rPr>
              <w:t>Article</w:t>
            </w:r>
          </w:p>
        </w:tc>
      </w:tr>
      <w:tr w:rsidR="009B1955" w:rsidRPr="00D860CC" w14:paraId="0C75E2ED" w14:textId="77777777" w:rsidTr="00807EBA">
        <w:tc>
          <w:tcPr>
            <w:tcW w:w="2099" w:type="dxa"/>
            <w:vMerge/>
          </w:tcPr>
          <w:p w14:paraId="347AEC15" w14:textId="77777777" w:rsidR="009B1955" w:rsidRPr="00D860CC" w:rsidRDefault="009B1955" w:rsidP="00807EBA">
            <w:pPr>
              <w:rPr>
                <w:rFonts w:ascii="Times New Roman" w:hAnsi="Times New Roman" w:cs="Times New Roman"/>
                <w:sz w:val="16"/>
                <w:szCs w:val="16"/>
              </w:rPr>
            </w:pPr>
          </w:p>
        </w:tc>
        <w:tc>
          <w:tcPr>
            <w:tcW w:w="1647" w:type="dxa"/>
            <w:vMerge/>
          </w:tcPr>
          <w:p w14:paraId="6ABFC069" w14:textId="77777777" w:rsidR="009B1955" w:rsidRPr="00D860CC" w:rsidRDefault="009B1955" w:rsidP="00807EBA">
            <w:pPr>
              <w:rPr>
                <w:rFonts w:ascii="Times New Roman" w:hAnsi="Times New Roman" w:cs="Times New Roman"/>
                <w:sz w:val="16"/>
                <w:szCs w:val="16"/>
              </w:rPr>
            </w:pPr>
          </w:p>
        </w:tc>
        <w:tc>
          <w:tcPr>
            <w:tcW w:w="2342" w:type="dxa"/>
          </w:tcPr>
          <w:p w14:paraId="594573BB" w14:textId="77777777" w:rsidR="009B1955" w:rsidRPr="00D860CC" w:rsidRDefault="009B1955" w:rsidP="00807EBA">
            <w:pPr>
              <w:rPr>
                <w:rFonts w:ascii="Times New Roman" w:hAnsi="Times New Roman" w:cs="Times New Roman"/>
                <w:sz w:val="16"/>
                <w:szCs w:val="16"/>
              </w:rPr>
            </w:pPr>
            <w:r w:rsidRPr="00D860CC">
              <w:rPr>
                <w:rFonts w:ascii="Times New Roman" w:hAnsi="Times New Roman" w:cs="Times New Roman"/>
                <w:sz w:val="16"/>
                <w:szCs w:val="16"/>
              </w:rPr>
              <w:t>FDA (2</w:t>
            </w:r>
            <w:r>
              <w:rPr>
                <w:rFonts w:ascii="Times New Roman" w:hAnsi="Times New Roman" w:cs="Times New Roman"/>
                <w:sz w:val="16"/>
                <w:szCs w:val="16"/>
              </w:rPr>
              <w:t>6</w:t>
            </w:r>
            <w:r w:rsidRPr="00D860CC">
              <w:rPr>
                <w:rFonts w:ascii="Times New Roman" w:hAnsi="Times New Roman" w:cs="Times New Roman"/>
                <w:sz w:val="16"/>
                <w:szCs w:val="16"/>
              </w:rPr>
              <w:t>)</w:t>
            </w:r>
          </w:p>
        </w:tc>
        <w:tc>
          <w:tcPr>
            <w:tcW w:w="801" w:type="dxa"/>
          </w:tcPr>
          <w:p w14:paraId="5875A2E0" w14:textId="77777777" w:rsidR="009B1955" w:rsidRPr="00D860CC" w:rsidRDefault="009B1955" w:rsidP="00807EBA">
            <w:pPr>
              <w:rPr>
                <w:rFonts w:ascii="Times New Roman" w:hAnsi="Times New Roman" w:cs="Times New Roman"/>
                <w:sz w:val="16"/>
                <w:szCs w:val="16"/>
              </w:rPr>
            </w:pPr>
            <w:r w:rsidRPr="00D860CC">
              <w:rPr>
                <w:rFonts w:ascii="Times New Roman" w:hAnsi="Times New Roman" w:cs="Times New Roman"/>
                <w:sz w:val="16"/>
                <w:szCs w:val="16"/>
              </w:rPr>
              <w:t>N/A</w:t>
            </w:r>
          </w:p>
        </w:tc>
        <w:tc>
          <w:tcPr>
            <w:tcW w:w="5286" w:type="dxa"/>
          </w:tcPr>
          <w:p w14:paraId="33F65254" w14:textId="77777777" w:rsidR="009B1955" w:rsidRPr="00D860CC" w:rsidRDefault="009B1955" w:rsidP="00807EBA">
            <w:pPr>
              <w:rPr>
                <w:rFonts w:ascii="Times New Roman" w:hAnsi="Times New Roman" w:cs="Times New Roman"/>
                <w:sz w:val="16"/>
                <w:szCs w:val="16"/>
              </w:rPr>
            </w:pPr>
            <w:r w:rsidRPr="00D860CC">
              <w:rPr>
                <w:rFonts w:ascii="Times New Roman" w:hAnsi="Times New Roman" w:cs="Times New Roman"/>
                <w:sz w:val="16"/>
                <w:szCs w:val="16"/>
              </w:rPr>
              <w:t>CDER Patient-Focused Drug Development</w:t>
            </w:r>
          </w:p>
        </w:tc>
        <w:tc>
          <w:tcPr>
            <w:tcW w:w="1773" w:type="dxa"/>
          </w:tcPr>
          <w:p w14:paraId="0BC12A06" w14:textId="77777777" w:rsidR="009B1955" w:rsidRPr="00D860CC" w:rsidRDefault="009B1955" w:rsidP="00807EBA">
            <w:pPr>
              <w:rPr>
                <w:rFonts w:ascii="Times New Roman" w:hAnsi="Times New Roman" w:cs="Times New Roman"/>
                <w:sz w:val="16"/>
                <w:szCs w:val="16"/>
              </w:rPr>
            </w:pPr>
            <w:r w:rsidRPr="00D860CC">
              <w:rPr>
                <w:rFonts w:ascii="Times New Roman" w:hAnsi="Times New Roman" w:cs="Times New Roman"/>
                <w:sz w:val="16"/>
                <w:szCs w:val="16"/>
              </w:rPr>
              <w:t>Website</w:t>
            </w:r>
          </w:p>
        </w:tc>
      </w:tr>
      <w:tr w:rsidR="009B1955" w:rsidRPr="00D860CC" w14:paraId="6B548FBA" w14:textId="77777777" w:rsidTr="00807EBA">
        <w:tc>
          <w:tcPr>
            <w:tcW w:w="2099" w:type="dxa"/>
            <w:vMerge/>
          </w:tcPr>
          <w:p w14:paraId="218F6129" w14:textId="77777777" w:rsidR="009B1955" w:rsidRPr="00D860CC" w:rsidRDefault="009B1955" w:rsidP="00807EBA">
            <w:pPr>
              <w:rPr>
                <w:rFonts w:ascii="Times New Roman" w:hAnsi="Times New Roman" w:cs="Times New Roman"/>
                <w:sz w:val="16"/>
                <w:szCs w:val="16"/>
              </w:rPr>
            </w:pPr>
          </w:p>
        </w:tc>
        <w:tc>
          <w:tcPr>
            <w:tcW w:w="1647" w:type="dxa"/>
            <w:vMerge/>
          </w:tcPr>
          <w:p w14:paraId="148F2B2D" w14:textId="77777777" w:rsidR="009B1955" w:rsidRPr="00D860CC" w:rsidRDefault="009B1955" w:rsidP="00807EBA">
            <w:pPr>
              <w:rPr>
                <w:rFonts w:ascii="Times New Roman" w:hAnsi="Times New Roman" w:cs="Times New Roman"/>
                <w:sz w:val="16"/>
                <w:szCs w:val="16"/>
              </w:rPr>
            </w:pPr>
          </w:p>
        </w:tc>
        <w:tc>
          <w:tcPr>
            <w:tcW w:w="2342" w:type="dxa"/>
          </w:tcPr>
          <w:p w14:paraId="5378298D" w14:textId="77777777" w:rsidR="009B1955" w:rsidRPr="00D860CC" w:rsidRDefault="009B1955" w:rsidP="00807EBA">
            <w:pPr>
              <w:rPr>
                <w:rFonts w:ascii="Times New Roman" w:hAnsi="Times New Roman" w:cs="Times New Roman"/>
                <w:sz w:val="16"/>
                <w:szCs w:val="16"/>
              </w:rPr>
            </w:pPr>
            <w:r w:rsidRPr="00D860CC">
              <w:rPr>
                <w:rFonts w:ascii="Times New Roman" w:hAnsi="Times New Roman" w:cs="Times New Roman"/>
                <w:sz w:val="16"/>
                <w:szCs w:val="16"/>
              </w:rPr>
              <w:t>FDA (2</w:t>
            </w:r>
            <w:r>
              <w:rPr>
                <w:rFonts w:ascii="Times New Roman" w:hAnsi="Times New Roman" w:cs="Times New Roman"/>
                <w:sz w:val="16"/>
                <w:szCs w:val="16"/>
              </w:rPr>
              <w:t>7</w:t>
            </w:r>
            <w:r w:rsidRPr="00D860CC">
              <w:rPr>
                <w:rFonts w:ascii="Times New Roman" w:hAnsi="Times New Roman" w:cs="Times New Roman"/>
                <w:sz w:val="16"/>
                <w:szCs w:val="16"/>
              </w:rPr>
              <w:t>)</w:t>
            </w:r>
          </w:p>
        </w:tc>
        <w:tc>
          <w:tcPr>
            <w:tcW w:w="801" w:type="dxa"/>
          </w:tcPr>
          <w:p w14:paraId="43DED5A6" w14:textId="77777777" w:rsidR="009B1955" w:rsidRPr="00D860CC" w:rsidRDefault="009B1955" w:rsidP="00807EBA">
            <w:pPr>
              <w:rPr>
                <w:rFonts w:ascii="Times New Roman" w:hAnsi="Times New Roman" w:cs="Times New Roman"/>
                <w:sz w:val="16"/>
                <w:szCs w:val="16"/>
              </w:rPr>
            </w:pPr>
            <w:r w:rsidRPr="00D860CC">
              <w:rPr>
                <w:rFonts w:ascii="Times New Roman" w:hAnsi="Times New Roman" w:cs="Times New Roman"/>
                <w:sz w:val="16"/>
                <w:szCs w:val="16"/>
              </w:rPr>
              <w:t>N/A</w:t>
            </w:r>
          </w:p>
        </w:tc>
        <w:tc>
          <w:tcPr>
            <w:tcW w:w="5286" w:type="dxa"/>
          </w:tcPr>
          <w:p w14:paraId="56B70976" w14:textId="77777777" w:rsidR="009B1955" w:rsidRPr="00D860CC" w:rsidRDefault="009B1955" w:rsidP="00807EBA">
            <w:pPr>
              <w:rPr>
                <w:rFonts w:ascii="Times New Roman" w:hAnsi="Times New Roman" w:cs="Times New Roman"/>
                <w:sz w:val="16"/>
                <w:szCs w:val="16"/>
              </w:rPr>
            </w:pPr>
            <w:r w:rsidRPr="00D860CC">
              <w:rPr>
                <w:rFonts w:ascii="Times New Roman" w:hAnsi="Times New Roman" w:cs="Times New Roman"/>
                <w:sz w:val="16"/>
                <w:szCs w:val="16"/>
              </w:rPr>
              <w:t>FDA-led Patient-Focused Drug Development (PFDD) Public Meetings</w:t>
            </w:r>
          </w:p>
        </w:tc>
        <w:tc>
          <w:tcPr>
            <w:tcW w:w="1773" w:type="dxa"/>
          </w:tcPr>
          <w:p w14:paraId="46F2CAA2" w14:textId="77777777" w:rsidR="009B1955" w:rsidRPr="00D860CC" w:rsidRDefault="009B1955" w:rsidP="00807EBA">
            <w:pPr>
              <w:rPr>
                <w:rFonts w:ascii="Times New Roman" w:hAnsi="Times New Roman" w:cs="Times New Roman"/>
                <w:sz w:val="16"/>
                <w:szCs w:val="16"/>
              </w:rPr>
            </w:pPr>
            <w:r w:rsidRPr="00D860CC">
              <w:rPr>
                <w:rFonts w:ascii="Times New Roman" w:hAnsi="Times New Roman" w:cs="Times New Roman"/>
                <w:sz w:val="16"/>
                <w:szCs w:val="16"/>
              </w:rPr>
              <w:t>Website</w:t>
            </w:r>
          </w:p>
        </w:tc>
      </w:tr>
      <w:tr w:rsidR="009B1955" w:rsidRPr="00D860CC" w14:paraId="725B0D8B" w14:textId="77777777" w:rsidTr="00807EBA">
        <w:tc>
          <w:tcPr>
            <w:tcW w:w="2099" w:type="dxa"/>
            <w:vMerge/>
          </w:tcPr>
          <w:p w14:paraId="261ABB79" w14:textId="77777777" w:rsidR="009B1955" w:rsidRPr="00D860CC" w:rsidRDefault="009B1955" w:rsidP="00807EBA">
            <w:pPr>
              <w:rPr>
                <w:rFonts w:ascii="Times New Roman" w:hAnsi="Times New Roman" w:cs="Times New Roman"/>
                <w:sz w:val="16"/>
                <w:szCs w:val="16"/>
              </w:rPr>
            </w:pPr>
          </w:p>
        </w:tc>
        <w:tc>
          <w:tcPr>
            <w:tcW w:w="1647" w:type="dxa"/>
            <w:vMerge/>
          </w:tcPr>
          <w:p w14:paraId="6A96CFD2" w14:textId="77777777" w:rsidR="009B1955" w:rsidRPr="00D860CC" w:rsidRDefault="009B1955" w:rsidP="00807EBA">
            <w:pPr>
              <w:rPr>
                <w:rFonts w:ascii="Times New Roman" w:hAnsi="Times New Roman" w:cs="Times New Roman"/>
                <w:sz w:val="16"/>
                <w:szCs w:val="16"/>
              </w:rPr>
            </w:pPr>
          </w:p>
        </w:tc>
        <w:tc>
          <w:tcPr>
            <w:tcW w:w="2342" w:type="dxa"/>
          </w:tcPr>
          <w:p w14:paraId="36AF9457" w14:textId="77777777" w:rsidR="009B1955" w:rsidRPr="00D860CC" w:rsidRDefault="009B1955" w:rsidP="00807EBA">
            <w:pPr>
              <w:rPr>
                <w:rFonts w:ascii="Times New Roman" w:hAnsi="Times New Roman" w:cs="Times New Roman"/>
                <w:sz w:val="16"/>
                <w:szCs w:val="16"/>
              </w:rPr>
            </w:pPr>
            <w:r w:rsidRPr="00D860CC">
              <w:rPr>
                <w:rFonts w:ascii="Times New Roman" w:hAnsi="Times New Roman" w:cs="Times New Roman"/>
                <w:sz w:val="16"/>
                <w:szCs w:val="16"/>
              </w:rPr>
              <w:t>European Medicines Agency &amp; Committee for Human Medicinal Products (</w:t>
            </w:r>
            <w:r>
              <w:rPr>
                <w:rFonts w:ascii="Times New Roman" w:hAnsi="Times New Roman" w:cs="Times New Roman"/>
                <w:sz w:val="16"/>
                <w:szCs w:val="16"/>
              </w:rPr>
              <w:t>28</w:t>
            </w:r>
            <w:r w:rsidRPr="00D860CC">
              <w:rPr>
                <w:rFonts w:ascii="Times New Roman" w:hAnsi="Times New Roman" w:cs="Times New Roman"/>
                <w:sz w:val="16"/>
                <w:szCs w:val="16"/>
              </w:rPr>
              <w:t>)</w:t>
            </w:r>
          </w:p>
        </w:tc>
        <w:tc>
          <w:tcPr>
            <w:tcW w:w="801" w:type="dxa"/>
          </w:tcPr>
          <w:p w14:paraId="08DA9A69" w14:textId="77777777" w:rsidR="009B1955" w:rsidRPr="00D860CC" w:rsidRDefault="009B1955" w:rsidP="00807EBA">
            <w:pPr>
              <w:rPr>
                <w:rFonts w:ascii="Times New Roman" w:hAnsi="Times New Roman" w:cs="Times New Roman"/>
                <w:sz w:val="16"/>
                <w:szCs w:val="16"/>
              </w:rPr>
            </w:pPr>
            <w:r w:rsidRPr="00D860CC">
              <w:rPr>
                <w:rFonts w:ascii="Times New Roman" w:hAnsi="Times New Roman" w:cs="Times New Roman"/>
                <w:sz w:val="16"/>
                <w:szCs w:val="16"/>
              </w:rPr>
              <w:t>2019</w:t>
            </w:r>
          </w:p>
        </w:tc>
        <w:tc>
          <w:tcPr>
            <w:tcW w:w="5286" w:type="dxa"/>
          </w:tcPr>
          <w:p w14:paraId="45626897" w14:textId="77777777" w:rsidR="009B1955" w:rsidRPr="00D860CC" w:rsidRDefault="009B1955" w:rsidP="00807EBA">
            <w:pPr>
              <w:rPr>
                <w:rFonts w:ascii="Times New Roman" w:hAnsi="Times New Roman" w:cs="Times New Roman"/>
                <w:sz w:val="16"/>
                <w:szCs w:val="16"/>
              </w:rPr>
            </w:pPr>
            <w:r w:rsidRPr="00D860CC">
              <w:rPr>
                <w:rFonts w:ascii="Times New Roman" w:hAnsi="Times New Roman" w:cs="Times New Roman"/>
                <w:sz w:val="16"/>
                <w:szCs w:val="16"/>
              </w:rPr>
              <w:t>ICH guideline E8 (R1) on general considerations for clinical studies</w:t>
            </w:r>
          </w:p>
        </w:tc>
        <w:tc>
          <w:tcPr>
            <w:tcW w:w="1773" w:type="dxa"/>
          </w:tcPr>
          <w:p w14:paraId="6B533667" w14:textId="77777777" w:rsidR="009B1955" w:rsidRPr="00D860CC" w:rsidRDefault="009B1955" w:rsidP="00807EBA">
            <w:pPr>
              <w:rPr>
                <w:rFonts w:ascii="Times New Roman" w:hAnsi="Times New Roman" w:cs="Times New Roman"/>
                <w:sz w:val="16"/>
                <w:szCs w:val="16"/>
              </w:rPr>
            </w:pPr>
            <w:r w:rsidRPr="00D860CC">
              <w:rPr>
                <w:rFonts w:ascii="Times New Roman" w:hAnsi="Times New Roman" w:cs="Times New Roman"/>
                <w:sz w:val="16"/>
                <w:szCs w:val="16"/>
              </w:rPr>
              <w:t>Guidance document</w:t>
            </w:r>
          </w:p>
        </w:tc>
      </w:tr>
      <w:tr w:rsidR="009B1955" w:rsidRPr="00D860CC" w14:paraId="0E9C72BF" w14:textId="77777777" w:rsidTr="00807EBA">
        <w:tc>
          <w:tcPr>
            <w:tcW w:w="2099" w:type="dxa"/>
            <w:vMerge/>
          </w:tcPr>
          <w:p w14:paraId="2A237EB7" w14:textId="77777777" w:rsidR="009B1955" w:rsidRPr="00D860CC" w:rsidRDefault="009B1955" w:rsidP="00807EBA">
            <w:pPr>
              <w:rPr>
                <w:rFonts w:ascii="Times New Roman" w:hAnsi="Times New Roman" w:cs="Times New Roman"/>
                <w:sz w:val="16"/>
                <w:szCs w:val="16"/>
              </w:rPr>
            </w:pPr>
          </w:p>
        </w:tc>
        <w:tc>
          <w:tcPr>
            <w:tcW w:w="1647" w:type="dxa"/>
            <w:vMerge/>
          </w:tcPr>
          <w:p w14:paraId="2EC0F7A4" w14:textId="77777777" w:rsidR="009B1955" w:rsidRPr="00D860CC" w:rsidRDefault="009B1955" w:rsidP="00807EBA">
            <w:pPr>
              <w:rPr>
                <w:rFonts w:ascii="Times New Roman" w:hAnsi="Times New Roman" w:cs="Times New Roman"/>
                <w:sz w:val="16"/>
                <w:szCs w:val="16"/>
              </w:rPr>
            </w:pPr>
          </w:p>
        </w:tc>
        <w:tc>
          <w:tcPr>
            <w:tcW w:w="2342" w:type="dxa"/>
          </w:tcPr>
          <w:p w14:paraId="3BE91B28" w14:textId="77777777" w:rsidR="009B1955" w:rsidRPr="00D860CC" w:rsidRDefault="009B1955" w:rsidP="00807EBA">
            <w:pPr>
              <w:rPr>
                <w:rFonts w:ascii="Times New Roman" w:hAnsi="Times New Roman" w:cs="Times New Roman"/>
                <w:sz w:val="16"/>
                <w:szCs w:val="16"/>
              </w:rPr>
            </w:pPr>
            <w:r w:rsidRPr="00D860CC">
              <w:rPr>
                <w:rFonts w:ascii="Times New Roman" w:hAnsi="Times New Roman" w:cs="Times New Roman"/>
                <w:sz w:val="16"/>
                <w:szCs w:val="16"/>
              </w:rPr>
              <w:t>FDA (</w:t>
            </w:r>
            <w:r>
              <w:rPr>
                <w:rFonts w:ascii="Times New Roman" w:hAnsi="Times New Roman" w:cs="Times New Roman"/>
                <w:sz w:val="16"/>
                <w:szCs w:val="16"/>
              </w:rPr>
              <w:t>29</w:t>
            </w:r>
            <w:r w:rsidRPr="00D860CC">
              <w:rPr>
                <w:rFonts w:ascii="Times New Roman" w:hAnsi="Times New Roman" w:cs="Times New Roman"/>
                <w:sz w:val="16"/>
                <w:szCs w:val="16"/>
              </w:rPr>
              <w:t>)</w:t>
            </w:r>
          </w:p>
        </w:tc>
        <w:tc>
          <w:tcPr>
            <w:tcW w:w="801" w:type="dxa"/>
          </w:tcPr>
          <w:p w14:paraId="78C3996E" w14:textId="77777777" w:rsidR="009B1955" w:rsidRPr="00D860CC" w:rsidRDefault="009B1955" w:rsidP="00807EBA">
            <w:pPr>
              <w:rPr>
                <w:rFonts w:ascii="Times New Roman" w:hAnsi="Times New Roman" w:cs="Times New Roman"/>
                <w:sz w:val="16"/>
                <w:szCs w:val="16"/>
              </w:rPr>
            </w:pPr>
            <w:r w:rsidRPr="00D860CC">
              <w:rPr>
                <w:rFonts w:ascii="Times New Roman" w:hAnsi="Times New Roman" w:cs="Times New Roman"/>
                <w:sz w:val="16"/>
                <w:szCs w:val="16"/>
              </w:rPr>
              <w:t>N/A</w:t>
            </w:r>
          </w:p>
        </w:tc>
        <w:tc>
          <w:tcPr>
            <w:tcW w:w="5286" w:type="dxa"/>
          </w:tcPr>
          <w:p w14:paraId="02E2113E" w14:textId="77777777" w:rsidR="009B1955" w:rsidRPr="00D860CC" w:rsidRDefault="009B1955" w:rsidP="00807EBA">
            <w:pPr>
              <w:rPr>
                <w:rFonts w:ascii="Times New Roman" w:hAnsi="Times New Roman" w:cs="Times New Roman"/>
                <w:sz w:val="16"/>
                <w:szCs w:val="16"/>
              </w:rPr>
            </w:pPr>
            <w:r w:rsidRPr="00D860CC">
              <w:rPr>
                <w:rFonts w:ascii="Times New Roman" w:hAnsi="Times New Roman" w:cs="Times New Roman"/>
                <w:sz w:val="16"/>
                <w:szCs w:val="16"/>
              </w:rPr>
              <w:t>FDA Project Patient Voice</w:t>
            </w:r>
          </w:p>
        </w:tc>
        <w:tc>
          <w:tcPr>
            <w:tcW w:w="1773" w:type="dxa"/>
          </w:tcPr>
          <w:p w14:paraId="35BC29CD" w14:textId="77777777" w:rsidR="009B1955" w:rsidRPr="00D860CC" w:rsidRDefault="009B1955" w:rsidP="00807EBA">
            <w:pPr>
              <w:rPr>
                <w:rFonts w:ascii="Times New Roman" w:hAnsi="Times New Roman" w:cs="Times New Roman"/>
                <w:sz w:val="16"/>
                <w:szCs w:val="16"/>
              </w:rPr>
            </w:pPr>
            <w:r w:rsidRPr="00D860CC">
              <w:rPr>
                <w:rFonts w:ascii="Times New Roman" w:hAnsi="Times New Roman" w:cs="Times New Roman"/>
                <w:sz w:val="16"/>
                <w:szCs w:val="16"/>
              </w:rPr>
              <w:t>Website</w:t>
            </w:r>
          </w:p>
        </w:tc>
      </w:tr>
      <w:tr w:rsidR="009B1955" w:rsidRPr="00D860CC" w14:paraId="04BDE215" w14:textId="77777777" w:rsidTr="00807EBA">
        <w:tc>
          <w:tcPr>
            <w:tcW w:w="2099" w:type="dxa"/>
            <w:vMerge/>
          </w:tcPr>
          <w:p w14:paraId="22EAC8A1" w14:textId="77777777" w:rsidR="009B1955" w:rsidRPr="00D860CC" w:rsidRDefault="009B1955" w:rsidP="00807EBA">
            <w:pPr>
              <w:rPr>
                <w:rFonts w:ascii="Times New Roman" w:hAnsi="Times New Roman" w:cs="Times New Roman"/>
                <w:sz w:val="16"/>
                <w:szCs w:val="16"/>
              </w:rPr>
            </w:pPr>
          </w:p>
        </w:tc>
        <w:tc>
          <w:tcPr>
            <w:tcW w:w="1647" w:type="dxa"/>
            <w:vMerge w:val="restart"/>
          </w:tcPr>
          <w:p w14:paraId="241F87A8" w14:textId="77777777" w:rsidR="009B1955" w:rsidRPr="00D860CC" w:rsidRDefault="009B1955" w:rsidP="00807EBA">
            <w:pPr>
              <w:rPr>
                <w:rFonts w:ascii="Times New Roman" w:hAnsi="Times New Roman" w:cs="Times New Roman"/>
                <w:sz w:val="16"/>
                <w:szCs w:val="16"/>
              </w:rPr>
            </w:pPr>
            <w:r w:rsidRPr="00D860CC">
              <w:rPr>
                <w:rFonts w:ascii="Times New Roman" w:hAnsi="Times New Roman" w:cs="Times New Roman"/>
                <w:sz w:val="16"/>
                <w:szCs w:val="16"/>
              </w:rPr>
              <w:t>Based on clinical trial phase</w:t>
            </w:r>
          </w:p>
        </w:tc>
        <w:tc>
          <w:tcPr>
            <w:tcW w:w="2342" w:type="dxa"/>
          </w:tcPr>
          <w:p w14:paraId="68A3F03A" w14:textId="77777777" w:rsidR="009B1955" w:rsidRPr="00D860CC" w:rsidRDefault="009B1955" w:rsidP="00807EBA">
            <w:pPr>
              <w:rPr>
                <w:rFonts w:ascii="Times New Roman" w:hAnsi="Times New Roman" w:cs="Times New Roman"/>
                <w:sz w:val="16"/>
                <w:szCs w:val="16"/>
              </w:rPr>
            </w:pPr>
            <w:proofErr w:type="spellStart"/>
            <w:r w:rsidRPr="00D860CC">
              <w:rPr>
                <w:rFonts w:ascii="Times New Roman" w:hAnsi="Times New Roman" w:cs="Times New Roman"/>
                <w:sz w:val="16"/>
                <w:szCs w:val="16"/>
              </w:rPr>
              <w:t>Retzer</w:t>
            </w:r>
            <w:proofErr w:type="spellEnd"/>
            <w:r w:rsidRPr="00D860CC">
              <w:rPr>
                <w:rFonts w:ascii="Times New Roman" w:hAnsi="Times New Roman" w:cs="Times New Roman"/>
                <w:sz w:val="16"/>
                <w:szCs w:val="16"/>
              </w:rPr>
              <w:t xml:space="preserve"> at al. (3</w:t>
            </w:r>
            <w:r>
              <w:rPr>
                <w:rFonts w:ascii="Times New Roman" w:hAnsi="Times New Roman" w:cs="Times New Roman"/>
                <w:sz w:val="16"/>
                <w:szCs w:val="16"/>
              </w:rPr>
              <w:t>0</w:t>
            </w:r>
            <w:r w:rsidRPr="00D860CC">
              <w:rPr>
                <w:rFonts w:ascii="Times New Roman" w:hAnsi="Times New Roman" w:cs="Times New Roman"/>
                <w:sz w:val="16"/>
                <w:szCs w:val="16"/>
              </w:rPr>
              <w:t>)*</w:t>
            </w:r>
          </w:p>
        </w:tc>
        <w:tc>
          <w:tcPr>
            <w:tcW w:w="801" w:type="dxa"/>
          </w:tcPr>
          <w:p w14:paraId="7443C3BF" w14:textId="77777777" w:rsidR="009B1955" w:rsidRPr="00D860CC" w:rsidRDefault="009B1955" w:rsidP="00807EBA">
            <w:pPr>
              <w:rPr>
                <w:rFonts w:ascii="Times New Roman" w:hAnsi="Times New Roman" w:cs="Times New Roman"/>
                <w:sz w:val="16"/>
                <w:szCs w:val="16"/>
              </w:rPr>
            </w:pPr>
            <w:r w:rsidRPr="00D860CC">
              <w:rPr>
                <w:rFonts w:ascii="Times New Roman" w:hAnsi="Times New Roman" w:cs="Times New Roman"/>
                <w:sz w:val="16"/>
                <w:szCs w:val="16"/>
              </w:rPr>
              <w:t>2022</w:t>
            </w:r>
          </w:p>
        </w:tc>
        <w:tc>
          <w:tcPr>
            <w:tcW w:w="5286" w:type="dxa"/>
          </w:tcPr>
          <w:p w14:paraId="66B97F0E" w14:textId="77777777" w:rsidR="009B1955" w:rsidRPr="00D860CC" w:rsidRDefault="009B1955" w:rsidP="00807EBA">
            <w:pPr>
              <w:rPr>
                <w:rFonts w:ascii="Times New Roman" w:hAnsi="Times New Roman" w:cs="Times New Roman"/>
                <w:sz w:val="16"/>
                <w:szCs w:val="16"/>
              </w:rPr>
            </w:pPr>
            <w:r w:rsidRPr="00D860CC">
              <w:rPr>
                <w:rFonts w:ascii="Times New Roman" w:hAnsi="Times New Roman" w:cs="Times New Roman"/>
                <w:sz w:val="16"/>
                <w:szCs w:val="16"/>
              </w:rPr>
              <w:t>The value of patient-reported outcomes in early-phase clinical trials</w:t>
            </w:r>
          </w:p>
        </w:tc>
        <w:tc>
          <w:tcPr>
            <w:tcW w:w="1773" w:type="dxa"/>
          </w:tcPr>
          <w:p w14:paraId="754C21E9" w14:textId="77777777" w:rsidR="009B1955" w:rsidRPr="00D860CC" w:rsidRDefault="009B1955" w:rsidP="00807EBA">
            <w:pPr>
              <w:rPr>
                <w:rFonts w:ascii="Times New Roman" w:hAnsi="Times New Roman" w:cs="Times New Roman"/>
                <w:sz w:val="16"/>
                <w:szCs w:val="16"/>
              </w:rPr>
            </w:pPr>
            <w:r w:rsidRPr="00D860CC">
              <w:rPr>
                <w:rFonts w:ascii="Times New Roman" w:hAnsi="Times New Roman" w:cs="Times New Roman"/>
                <w:sz w:val="16"/>
                <w:szCs w:val="16"/>
              </w:rPr>
              <w:t>Article</w:t>
            </w:r>
          </w:p>
        </w:tc>
      </w:tr>
      <w:tr w:rsidR="009B1955" w:rsidRPr="00D860CC" w14:paraId="6802A66F" w14:textId="77777777" w:rsidTr="00807EBA">
        <w:tc>
          <w:tcPr>
            <w:tcW w:w="2099" w:type="dxa"/>
            <w:vMerge/>
          </w:tcPr>
          <w:p w14:paraId="0396EB9E" w14:textId="77777777" w:rsidR="009B1955" w:rsidRPr="00D860CC" w:rsidRDefault="009B1955" w:rsidP="00807EBA">
            <w:pPr>
              <w:rPr>
                <w:rFonts w:ascii="Times New Roman" w:hAnsi="Times New Roman" w:cs="Times New Roman"/>
                <w:sz w:val="16"/>
                <w:szCs w:val="16"/>
              </w:rPr>
            </w:pPr>
          </w:p>
        </w:tc>
        <w:tc>
          <w:tcPr>
            <w:tcW w:w="1647" w:type="dxa"/>
            <w:vMerge/>
          </w:tcPr>
          <w:p w14:paraId="4FD9B16A" w14:textId="77777777" w:rsidR="009B1955" w:rsidRPr="00D860CC" w:rsidRDefault="009B1955" w:rsidP="00807EBA">
            <w:pPr>
              <w:rPr>
                <w:rFonts w:ascii="Times New Roman" w:hAnsi="Times New Roman" w:cs="Times New Roman"/>
                <w:sz w:val="16"/>
                <w:szCs w:val="16"/>
              </w:rPr>
            </w:pPr>
          </w:p>
        </w:tc>
        <w:tc>
          <w:tcPr>
            <w:tcW w:w="2342" w:type="dxa"/>
          </w:tcPr>
          <w:p w14:paraId="6D77FF01" w14:textId="77777777" w:rsidR="009B1955" w:rsidRPr="00D860CC" w:rsidRDefault="009B1955" w:rsidP="00807EBA">
            <w:pPr>
              <w:rPr>
                <w:rFonts w:ascii="Times New Roman" w:hAnsi="Times New Roman" w:cs="Times New Roman"/>
                <w:sz w:val="16"/>
                <w:szCs w:val="16"/>
              </w:rPr>
            </w:pPr>
            <w:r w:rsidRPr="00D860CC">
              <w:rPr>
                <w:rFonts w:ascii="Times New Roman" w:hAnsi="Times New Roman" w:cs="Times New Roman"/>
                <w:sz w:val="16"/>
                <w:szCs w:val="16"/>
              </w:rPr>
              <w:t>Trask et al. (3</w:t>
            </w:r>
            <w:r>
              <w:rPr>
                <w:rFonts w:ascii="Times New Roman" w:hAnsi="Times New Roman" w:cs="Times New Roman"/>
                <w:sz w:val="16"/>
                <w:szCs w:val="16"/>
              </w:rPr>
              <w:t>1</w:t>
            </w:r>
            <w:r w:rsidRPr="00D860CC">
              <w:rPr>
                <w:rFonts w:ascii="Times New Roman" w:hAnsi="Times New Roman" w:cs="Times New Roman"/>
                <w:sz w:val="16"/>
                <w:szCs w:val="16"/>
              </w:rPr>
              <w:t xml:space="preserve">) </w:t>
            </w:r>
          </w:p>
        </w:tc>
        <w:tc>
          <w:tcPr>
            <w:tcW w:w="801" w:type="dxa"/>
          </w:tcPr>
          <w:p w14:paraId="2F7EBEDA" w14:textId="77777777" w:rsidR="009B1955" w:rsidRPr="00D860CC" w:rsidRDefault="009B1955" w:rsidP="00807EBA">
            <w:pPr>
              <w:rPr>
                <w:rFonts w:ascii="Times New Roman" w:hAnsi="Times New Roman" w:cs="Times New Roman"/>
                <w:sz w:val="16"/>
                <w:szCs w:val="16"/>
              </w:rPr>
            </w:pPr>
            <w:r w:rsidRPr="00D860CC">
              <w:rPr>
                <w:rFonts w:ascii="Times New Roman" w:hAnsi="Times New Roman" w:cs="Times New Roman"/>
                <w:sz w:val="16"/>
                <w:szCs w:val="16"/>
              </w:rPr>
              <w:t>2018</w:t>
            </w:r>
          </w:p>
        </w:tc>
        <w:tc>
          <w:tcPr>
            <w:tcW w:w="5286" w:type="dxa"/>
          </w:tcPr>
          <w:p w14:paraId="2C6C83D8" w14:textId="77777777" w:rsidR="009B1955" w:rsidRPr="00D860CC" w:rsidRDefault="009B1955" w:rsidP="00807EBA">
            <w:pPr>
              <w:rPr>
                <w:rFonts w:ascii="Times New Roman" w:hAnsi="Times New Roman" w:cs="Times New Roman"/>
                <w:sz w:val="16"/>
                <w:szCs w:val="16"/>
              </w:rPr>
            </w:pPr>
            <w:r w:rsidRPr="00D860CC">
              <w:rPr>
                <w:rFonts w:ascii="Times New Roman" w:hAnsi="Times New Roman" w:cs="Times New Roman"/>
                <w:sz w:val="16"/>
                <w:szCs w:val="16"/>
              </w:rPr>
              <w:t>Patient-Reported Outcomes version of the Common Terminology Criteria for Adverse Events: Methods for item selection in industry-sponsored oncology clinical trials</w:t>
            </w:r>
          </w:p>
        </w:tc>
        <w:tc>
          <w:tcPr>
            <w:tcW w:w="1773" w:type="dxa"/>
          </w:tcPr>
          <w:p w14:paraId="5A0AB65B" w14:textId="77777777" w:rsidR="009B1955" w:rsidRPr="00D860CC" w:rsidRDefault="009B1955" w:rsidP="00807EBA">
            <w:pPr>
              <w:rPr>
                <w:rFonts w:ascii="Times New Roman" w:hAnsi="Times New Roman" w:cs="Times New Roman"/>
                <w:sz w:val="16"/>
                <w:szCs w:val="16"/>
              </w:rPr>
            </w:pPr>
            <w:r w:rsidRPr="00D860CC">
              <w:rPr>
                <w:rFonts w:ascii="Times New Roman" w:hAnsi="Times New Roman" w:cs="Times New Roman"/>
                <w:sz w:val="16"/>
                <w:szCs w:val="16"/>
              </w:rPr>
              <w:t>Article</w:t>
            </w:r>
          </w:p>
        </w:tc>
      </w:tr>
      <w:tr w:rsidR="009B1955" w:rsidRPr="00D860CC" w14:paraId="2061E26F" w14:textId="77777777" w:rsidTr="00807EBA">
        <w:tc>
          <w:tcPr>
            <w:tcW w:w="2099" w:type="dxa"/>
            <w:vMerge/>
          </w:tcPr>
          <w:p w14:paraId="48B7E74F" w14:textId="77777777" w:rsidR="009B1955" w:rsidRPr="00D860CC" w:rsidRDefault="009B1955" w:rsidP="00807EBA">
            <w:pPr>
              <w:rPr>
                <w:rFonts w:ascii="Times New Roman" w:hAnsi="Times New Roman" w:cs="Times New Roman"/>
                <w:sz w:val="16"/>
                <w:szCs w:val="16"/>
              </w:rPr>
            </w:pPr>
          </w:p>
        </w:tc>
        <w:tc>
          <w:tcPr>
            <w:tcW w:w="1647" w:type="dxa"/>
            <w:vMerge/>
          </w:tcPr>
          <w:p w14:paraId="5231AC9F" w14:textId="77777777" w:rsidR="009B1955" w:rsidRPr="00D860CC" w:rsidRDefault="009B1955" w:rsidP="00807EBA">
            <w:pPr>
              <w:rPr>
                <w:rFonts w:ascii="Times New Roman" w:hAnsi="Times New Roman" w:cs="Times New Roman"/>
                <w:sz w:val="16"/>
                <w:szCs w:val="16"/>
              </w:rPr>
            </w:pPr>
          </w:p>
        </w:tc>
        <w:tc>
          <w:tcPr>
            <w:tcW w:w="2342" w:type="dxa"/>
          </w:tcPr>
          <w:p w14:paraId="56B83151" w14:textId="77777777" w:rsidR="009B1955" w:rsidRPr="00D860CC" w:rsidRDefault="009B1955" w:rsidP="00807EBA">
            <w:pPr>
              <w:rPr>
                <w:rFonts w:ascii="Times New Roman" w:hAnsi="Times New Roman" w:cs="Times New Roman"/>
                <w:sz w:val="16"/>
                <w:szCs w:val="16"/>
              </w:rPr>
            </w:pPr>
            <w:proofErr w:type="spellStart"/>
            <w:r w:rsidRPr="00D860CC">
              <w:rPr>
                <w:rFonts w:ascii="Times New Roman" w:hAnsi="Times New Roman" w:cs="Times New Roman"/>
                <w:sz w:val="16"/>
                <w:szCs w:val="16"/>
              </w:rPr>
              <w:t>Shepshelovich</w:t>
            </w:r>
            <w:proofErr w:type="spellEnd"/>
            <w:r w:rsidRPr="00D860CC">
              <w:rPr>
                <w:rFonts w:ascii="Times New Roman" w:hAnsi="Times New Roman" w:cs="Times New Roman"/>
                <w:sz w:val="16"/>
                <w:szCs w:val="16"/>
              </w:rPr>
              <w:t xml:space="preserve"> et al. (3</w:t>
            </w:r>
            <w:r>
              <w:rPr>
                <w:rFonts w:ascii="Times New Roman" w:hAnsi="Times New Roman" w:cs="Times New Roman"/>
                <w:sz w:val="16"/>
                <w:szCs w:val="16"/>
              </w:rPr>
              <w:t>2</w:t>
            </w:r>
            <w:r w:rsidRPr="00D860CC">
              <w:rPr>
                <w:rFonts w:ascii="Times New Roman" w:hAnsi="Times New Roman" w:cs="Times New Roman"/>
                <w:sz w:val="16"/>
                <w:szCs w:val="16"/>
              </w:rPr>
              <w:t>)</w:t>
            </w:r>
          </w:p>
        </w:tc>
        <w:tc>
          <w:tcPr>
            <w:tcW w:w="801" w:type="dxa"/>
          </w:tcPr>
          <w:p w14:paraId="7348DD4B" w14:textId="77777777" w:rsidR="009B1955" w:rsidRPr="00D860CC" w:rsidRDefault="009B1955" w:rsidP="00807EBA">
            <w:pPr>
              <w:rPr>
                <w:rFonts w:ascii="Times New Roman" w:hAnsi="Times New Roman" w:cs="Times New Roman"/>
                <w:sz w:val="16"/>
                <w:szCs w:val="16"/>
              </w:rPr>
            </w:pPr>
            <w:r w:rsidRPr="00D860CC">
              <w:rPr>
                <w:rFonts w:ascii="Times New Roman" w:hAnsi="Times New Roman" w:cs="Times New Roman"/>
                <w:sz w:val="16"/>
                <w:szCs w:val="16"/>
              </w:rPr>
              <w:t>2019</w:t>
            </w:r>
          </w:p>
        </w:tc>
        <w:tc>
          <w:tcPr>
            <w:tcW w:w="5286" w:type="dxa"/>
          </w:tcPr>
          <w:p w14:paraId="4D5E8387" w14:textId="77777777" w:rsidR="009B1955" w:rsidRPr="00D860CC" w:rsidRDefault="009B1955" w:rsidP="00807EBA">
            <w:pPr>
              <w:rPr>
                <w:rFonts w:ascii="Times New Roman" w:hAnsi="Times New Roman" w:cs="Times New Roman"/>
                <w:sz w:val="16"/>
                <w:szCs w:val="16"/>
              </w:rPr>
            </w:pPr>
            <w:r w:rsidRPr="00D860CC">
              <w:rPr>
                <w:rFonts w:ascii="Times New Roman" w:hAnsi="Times New Roman" w:cs="Times New Roman"/>
                <w:sz w:val="16"/>
                <w:szCs w:val="16"/>
              </w:rPr>
              <w:t>Feasibility Assessment of Using the Complete Patient‐Reported Outcomes Version of the Common Terminology Criteria for Adverse Events (PRO‐CTCAE) Item Library</w:t>
            </w:r>
          </w:p>
        </w:tc>
        <w:tc>
          <w:tcPr>
            <w:tcW w:w="1773" w:type="dxa"/>
          </w:tcPr>
          <w:p w14:paraId="3DE8A07E" w14:textId="77777777" w:rsidR="009B1955" w:rsidRPr="00D860CC" w:rsidRDefault="009B1955" w:rsidP="00807EBA">
            <w:pPr>
              <w:rPr>
                <w:rFonts w:ascii="Times New Roman" w:hAnsi="Times New Roman" w:cs="Times New Roman"/>
                <w:sz w:val="16"/>
                <w:szCs w:val="16"/>
              </w:rPr>
            </w:pPr>
            <w:r w:rsidRPr="00D860CC">
              <w:rPr>
                <w:rFonts w:ascii="Times New Roman" w:hAnsi="Times New Roman" w:cs="Times New Roman"/>
                <w:sz w:val="16"/>
                <w:szCs w:val="16"/>
              </w:rPr>
              <w:t>Article</w:t>
            </w:r>
          </w:p>
        </w:tc>
      </w:tr>
      <w:tr w:rsidR="009B1955" w:rsidRPr="00D860CC" w14:paraId="335BF012" w14:textId="77777777" w:rsidTr="00807EBA">
        <w:tc>
          <w:tcPr>
            <w:tcW w:w="2099" w:type="dxa"/>
            <w:vMerge/>
          </w:tcPr>
          <w:p w14:paraId="66387BF0" w14:textId="77777777" w:rsidR="009B1955" w:rsidRPr="00D860CC" w:rsidRDefault="009B1955" w:rsidP="00807EBA">
            <w:pPr>
              <w:rPr>
                <w:rFonts w:ascii="Times New Roman" w:hAnsi="Times New Roman" w:cs="Times New Roman"/>
                <w:sz w:val="16"/>
                <w:szCs w:val="16"/>
              </w:rPr>
            </w:pPr>
          </w:p>
        </w:tc>
        <w:tc>
          <w:tcPr>
            <w:tcW w:w="1647" w:type="dxa"/>
            <w:vMerge/>
          </w:tcPr>
          <w:p w14:paraId="1FF78832" w14:textId="77777777" w:rsidR="009B1955" w:rsidRPr="00D860CC" w:rsidRDefault="009B1955" w:rsidP="00807EBA">
            <w:pPr>
              <w:rPr>
                <w:rFonts w:ascii="Times New Roman" w:hAnsi="Times New Roman" w:cs="Times New Roman"/>
                <w:sz w:val="16"/>
                <w:szCs w:val="16"/>
              </w:rPr>
            </w:pPr>
          </w:p>
        </w:tc>
        <w:tc>
          <w:tcPr>
            <w:tcW w:w="2342" w:type="dxa"/>
          </w:tcPr>
          <w:p w14:paraId="7630B01E" w14:textId="77777777" w:rsidR="009B1955" w:rsidRPr="00D860CC" w:rsidRDefault="009B1955" w:rsidP="00807EBA">
            <w:pPr>
              <w:rPr>
                <w:rFonts w:ascii="Times New Roman" w:hAnsi="Times New Roman" w:cs="Times New Roman"/>
                <w:sz w:val="16"/>
                <w:szCs w:val="16"/>
              </w:rPr>
            </w:pPr>
            <w:r w:rsidRPr="00D860CC">
              <w:rPr>
                <w:rFonts w:ascii="Times New Roman" w:hAnsi="Times New Roman" w:cs="Times New Roman"/>
                <w:sz w:val="16"/>
                <w:szCs w:val="16"/>
              </w:rPr>
              <w:t>FDA (3</w:t>
            </w:r>
            <w:r>
              <w:rPr>
                <w:rFonts w:ascii="Times New Roman" w:hAnsi="Times New Roman" w:cs="Times New Roman"/>
                <w:sz w:val="16"/>
                <w:szCs w:val="16"/>
              </w:rPr>
              <w:t>3</w:t>
            </w:r>
            <w:r w:rsidRPr="00D860CC">
              <w:rPr>
                <w:rFonts w:ascii="Times New Roman" w:hAnsi="Times New Roman" w:cs="Times New Roman"/>
                <w:sz w:val="16"/>
                <w:szCs w:val="16"/>
              </w:rPr>
              <w:t>)*</w:t>
            </w:r>
          </w:p>
        </w:tc>
        <w:tc>
          <w:tcPr>
            <w:tcW w:w="801" w:type="dxa"/>
          </w:tcPr>
          <w:p w14:paraId="44E15374" w14:textId="77777777" w:rsidR="009B1955" w:rsidRPr="00D860CC" w:rsidRDefault="009B1955" w:rsidP="00807EBA">
            <w:pPr>
              <w:rPr>
                <w:rFonts w:ascii="Times New Roman" w:hAnsi="Times New Roman" w:cs="Times New Roman"/>
                <w:sz w:val="16"/>
                <w:szCs w:val="16"/>
              </w:rPr>
            </w:pPr>
            <w:r w:rsidRPr="00D860CC">
              <w:rPr>
                <w:rFonts w:ascii="Times New Roman" w:hAnsi="Times New Roman" w:cs="Times New Roman"/>
                <w:sz w:val="16"/>
                <w:szCs w:val="16"/>
              </w:rPr>
              <w:t>2021</w:t>
            </w:r>
          </w:p>
        </w:tc>
        <w:tc>
          <w:tcPr>
            <w:tcW w:w="5286" w:type="dxa"/>
          </w:tcPr>
          <w:p w14:paraId="134B59FE" w14:textId="77777777" w:rsidR="009B1955" w:rsidRPr="00D860CC" w:rsidRDefault="009B1955" w:rsidP="00807EBA">
            <w:pPr>
              <w:rPr>
                <w:rFonts w:ascii="Times New Roman" w:hAnsi="Times New Roman" w:cs="Times New Roman"/>
                <w:sz w:val="16"/>
                <w:szCs w:val="16"/>
              </w:rPr>
            </w:pPr>
            <w:r w:rsidRPr="00D860CC">
              <w:rPr>
                <w:rFonts w:ascii="Times New Roman" w:hAnsi="Times New Roman" w:cs="Times New Roman"/>
                <w:sz w:val="16"/>
                <w:szCs w:val="16"/>
              </w:rPr>
              <w:t>Core Patient-Reported Outcomes in Cancer Clinical Trials Guidance for Industry DRAFT GUIDANCE</w:t>
            </w:r>
          </w:p>
        </w:tc>
        <w:tc>
          <w:tcPr>
            <w:tcW w:w="1773" w:type="dxa"/>
          </w:tcPr>
          <w:p w14:paraId="4CC81860" w14:textId="77777777" w:rsidR="009B1955" w:rsidRPr="00D860CC" w:rsidRDefault="009B1955" w:rsidP="00807EBA">
            <w:pPr>
              <w:rPr>
                <w:rFonts w:ascii="Times New Roman" w:hAnsi="Times New Roman" w:cs="Times New Roman"/>
                <w:sz w:val="16"/>
                <w:szCs w:val="16"/>
              </w:rPr>
            </w:pPr>
            <w:r w:rsidRPr="00D860CC">
              <w:rPr>
                <w:rFonts w:ascii="Times New Roman" w:hAnsi="Times New Roman" w:cs="Times New Roman"/>
                <w:sz w:val="16"/>
                <w:szCs w:val="16"/>
              </w:rPr>
              <w:t>Guidance document</w:t>
            </w:r>
          </w:p>
        </w:tc>
      </w:tr>
      <w:tr w:rsidR="009B1955" w:rsidRPr="00D860CC" w14:paraId="744C7896" w14:textId="77777777" w:rsidTr="00807EBA">
        <w:tc>
          <w:tcPr>
            <w:tcW w:w="2099" w:type="dxa"/>
            <w:vMerge/>
          </w:tcPr>
          <w:p w14:paraId="6915AA2B" w14:textId="77777777" w:rsidR="009B1955" w:rsidRPr="00D860CC" w:rsidRDefault="009B1955" w:rsidP="00807EBA">
            <w:pPr>
              <w:rPr>
                <w:rFonts w:ascii="Times New Roman" w:hAnsi="Times New Roman" w:cs="Times New Roman"/>
                <w:sz w:val="16"/>
                <w:szCs w:val="16"/>
              </w:rPr>
            </w:pPr>
          </w:p>
        </w:tc>
        <w:tc>
          <w:tcPr>
            <w:tcW w:w="1647" w:type="dxa"/>
            <w:vMerge/>
          </w:tcPr>
          <w:p w14:paraId="7F2E2655" w14:textId="77777777" w:rsidR="009B1955" w:rsidRPr="00D860CC" w:rsidRDefault="009B1955" w:rsidP="00807EBA">
            <w:pPr>
              <w:rPr>
                <w:rFonts w:ascii="Times New Roman" w:hAnsi="Times New Roman" w:cs="Times New Roman"/>
                <w:sz w:val="16"/>
                <w:szCs w:val="16"/>
              </w:rPr>
            </w:pPr>
          </w:p>
        </w:tc>
        <w:tc>
          <w:tcPr>
            <w:tcW w:w="2342" w:type="dxa"/>
          </w:tcPr>
          <w:p w14:paraId="28818E9B" w14:textId="77777777" w:rsidR="009B1955" w:rsidRPr="00D860CC" w:rsidRDefault="009B1955" w:rsidP="00807EBA">
            <w:pPr>
              <w:rPr>
                <w:rFonts w:ascii="Times New Roman" w:hAnsi="Times New Roman" w:cs="Times New Roman"/>
                <w:sz w:val="16"/>
                <w:szCs w:val="16"/>
              </w:rPr>
            </w:pPr>
            <w:r w:rsidRPr="00D860CC">
              <w:rPr>
                <w:rFonts w:ascii="Times New Roman" w:hAnsi="Times New Roman" w:cs="Times New Roman"/>
                <w:sz w:val="16"/>
                <w:szCs w:val="16"/>
              </w:rPr>
              <w:t>European Medicines Agency Committee for Medicinal Products for Human Use (CHMP) (3</w:t>
            </w:r>
            <w:r>
              <w:rPr>
                <w:rFonts w:ascii="Times New Roman" w:hAnsi="Times New Roman" w:cs="Times New Roman"/>
                <w:sz w:val="16"/>
                <w:szCs w:val="16"/>
              </w:rPr>
              <w:t>4</w:t>
            </w:r>
            <w:r w:rsidRPr="00D860CC">
              <w:rPr>
                <w:rFonts w:ascii="Times New Roman" w:hAnsi="Times New Roman" w:cs="Times New Roman"/>
                <w:sz w:val="16"/>
                <w:szCs w:val="16"/>
              </w:rPr>
              <w:t xml:space="preserve">)* </w:t>
            </w:r>
          </w:p>
        </w:tc>
        <w:tc>
          <w:tcPr>
            <w:tcW w:w="801" w:type="dxa"/>
          </w:tcPr>
          <w:p w14:paraId="0D489060" w14:textId="77777777" w:rsidR="009B1955" w:rsidRPr="00D860CC" w:rsidRDefault="009B1955" w:rsidP="00807EBA">
            <w:pPr>
              <w:rPr>
                <w:rFonts w:ascii="Times New Roman" w:hAnsi="Times New Roman" w:cs="Times New Roman"/>
                <w:sz w:val="16"/>
                <w:szCs w:val="16"/>
              </w:rPr>
            </w:pPr>
            <w:r w:rsidRPr="00D860CC">
              <w:rPr>
                <w:rFonts w:ascii="Times New Roman" w:hAnsi="Times New Roman" w:cs="Times New Roman"/>
                <w:sz w:val="16"/>
                <w:szCs w:val="16"/>
              </w:rPr>
              <w:t>2016</w:t>
            </w:r>
          </w:p>
        </w:tc>
        <w:tc>
          <w:tcPr>
            <w:tcW w:w="5286" w:type="dxa"/>
          </w:tcPr>
          <w:p w14:paraId="33D771F7" w14:textId="77777777" w:rsidR="009B1955" w:rsidRPr="00D860CC" w:rsidRDefault="009B1955" w:rsidP="00807EBA">
            <w:pPr>
              <w:rPr>
                <w:rFonts w:ascii="Times New Roman" w:hAnsi="Times New Roman" w:cs="Times New Roman"/>
                <w:sz w:val="16"/>
                <w:szCs w:val="16"/>
              </w:rPr>
            </w:pPr>
            <w:r w:rsidRPr="00D860CC">
              <w:rPr>
                <w:rFonts w:ascii="Times New Roman" w:hAnsi="Times New Roman" w:cs="Times New Roman"/>
                <w:sz w:val="16"/>
                <w:szCs w:val="16"/>
              </w:rPr>
              <w:t>Appendix 2 to the guideline on the evaluation of anticancer medicinal products in man: The use of patient-reported outcome (PRO) measures in oncology studies</w:t>
            </w:r>
          </w:p>
        </w:tc>
        <w:tc>
          <w:tcPr>
            <w:tcW w:w="1773" w:type="dxa"/>
          </w:tcPr>
          <w:p w14:paraId="6B3BE852" w14:textId="77777777" w:rsidR="009B1955" w:rsidRPr="00D860CC" w:rsidRDefault="009B1955" w:rsidP="00807EBA">
            <w:pPr>
              <w:rPr>
                <w:rFonts w:ascii="Times New Roman" w:hAnsi="Times New Roman" w:cs="Times New Roman"/>
                <w:sz w:val="16"/>
                <w:szCs w:val="16"/>
              </w:rPr>
            </w:pPr>
            <w:r w:rsidRPr="00D860CC">
              <w:rPr>
                <w:rFonts w:ascii="Times New Roman" w:hAnsi="Times New Roman" w:cs="Times New Roman"/>
                <w:sz w:val="16"/>
                <w:szCs w:val="16"/>
              </w:rPr>
              <w:t>Guidance document</w:t>
            </w:r>
          </w:p>
        </w:tc>
      </w:tr>
      <w:tr w:rsidR="009B1955" w:rsidRPr="00D860CC" w14:paraId="14E9CF38" w14:textId="77777777" w:rsidTr="00807EBA">
        <w:tc>
          <w:tcPr>
            <w:tcW w:w="2099" w:type="dxa"/>
            <w:vMerge w:val="restart"/>
          </w:tcPr>
          <w:p w14:paraId="34BB1ACA" w14:textId="77777777" w:rsidR="009B1955" w:rsidRPr="00D860CC" w:rsidRDefault="009B1955" w:rsidP="00807EBA">
            <w:pPr>
              <w:rPr>
                <w:rFonts w:ascii="Times New Roman" w:hAnsi="Times New Roman" w:cs="Times New Roman"/>
                <w:sz w:val="16"/>
                <w:szCs w:val="16"/>
              </w:rPr>
            </w:pPr>
            <w:r w:rsidRPr="00D860CC">
              <w:rPr>
                <w:rFonts w:ascii="Times New Roman" w:hAnsi="Times New Roman" w:cs="Times New Roman"/>
                <w:sz w:val="16"/>
                <w:szCs w:val="16"/>
              </w:rPr>
              <w:lastRenderedPageBreak/>
              <w:t>When should single items vs. multi-item scales be used and what are the benefits and limitations of each approach?</w:t>
            </w:r>
          </w:p>
        </w:tc>
        <w:tc>
          <w:tcPr>
            <w:tcW w:w="1647" w:type="dxa"/>
            <w:vMerge w:val="restart"/>
          </w:tcPr>
          <w:p w14:paraId="08FF7A73" w14:textId="77777777" w:rsidR="009B1955" w:rsidRPr="00D860CC" w:rsidRDefault="009B1955" w:rsidP="00807EBA">
            <w:pPr>
              <w:rPr>
                <w:rFonts w:ascii="Times New Roman" w:hAnsi="Times New Roman" w:cs="Times New Roman"/>
                <w:sz w:val="16"/>
                <w:szCs w:val="16"/>
              </w:rPr>
            </w:pPr>
            <w:r w:rsidRPr="00D860CC">
              <w:rPr>
                <w:rFonts w:ascii="Times New Roman" w:hAnsi="Times New Roman" w:cs="Times New Roman"/>
                <w:sz w:val="16"/>
                <w:szCs w:val="16"/>
              </w:rPr>
              <w:t>Use of single items vs. multi-item scales</w:t>
            </w:r>
          </w:p>
        </w:tc>
        <w:tc>
          <w:tcPr>
            <w:tcW w:w="2342" w:type="dxa"/>
          </w:tcPr>
          <w:p w14:paraId="4C0930B2" w14:textId="77777777" w:rsidR="009B1955" w:rsidRPr="00D860CC" w:rsidRDefault="009B1955" w:rsidP="00807EBA">
            <w:pPr>
              <w:rPr>
                <w:rFonts w:ascii="Times New Roman" w:hAnsi="Times New Roman" w:cs="Times New Roman"/>
                <w:sz w:val="16"/>
                <w:szCs w:val="16"/>
              </w:rPr>
            </w:pPr>
            <w:r w:rsidRPr="00D860CC">
              <w:rPr>
                <w:rFonts w:ascii="Times New Roman" w:hAnsi="Times New Roman" w:cs="Times New Roman"/>
                <w:sz w:val="16"/>
                <w:szCs w:val="16"/>
              </w:rPr>
              <w:t>Diamantopoulos et al. (3</w:t>
            </w:r>
            <w:r>
              <w:rPr>
                <w:rFonts w:ascii="Times New Roman" w:hAnsi="Times New Roman" w:cs="Times New Roman"/>
                <w:sz w:val="16"/>
                <w:szCs w:val="16"/>
              </w:rPr>
              <w:t>5</w:t>
            </w:r>
            <w:r w:rsidRPr="00D860CC">
              <w:rPr>
                <w:rFonts w:ascii="Times New Roman" w:hAnsi="Times New Roman" w:cs="Times New Roman"/>
                <w:sz w:val="16"/>
                <w:szCs w:val="16"/>
              </w:rPr>
              <w:t>)</w:t>
            </w:r>
          </w:p>
        </w:tc>
        <w:tc>
          <w:tcPr>
            <w:tcW w:w="801" w:type="dxa"/>
          </w:tcPr>
          <w:p w14:paraId="179DE8DE" w14:textId="77777777" w:rsidR="009B1955" w:rsidRPr="00D860CC" w:rsidRDefault="009B1955" w:rsidP="00807EBA">
            <w:pPr>
              <w:rPr>
                <w:rFonts w:ascii="Times New Roman" w:hAnsi="Times New Roman" w:cs="Times New Roman"/>
                <w:sz w:val="16"/>
                <w:szCs w:val="16"/>
              </w:rPr>
            </w:pPr>
            <w:r w:rsidRPr="00D860CC">
              <w:rPr>
                <w:rFonts w:ascii="Times New Roman" w:hAnsi="Times New Roman" w:cs="Times New Roman"/>
                <w:sz w:val="16"/>
                <w:szCs w:val="16"/>
              </w:rPr>
              <w:t>2012</w:t>
            </w:r>
          </w:p>
        </w:tc>
        <w:tc>
          <w:tcPr>
            <w:tcW w:w="5286" w:type="dxa"/>
          </w:tcPr>
          <w:p w14:paraId="1FFB5C13" w14:textId="77777777" w:rsidR="009B1955" w:rsidRPr="00D860CC" w:rsidRDefault="009B1955" w:rsidP="00807EBA">
            <w:pPr>
              <w:rPr>
                <w:rFonts w:ascii="Times New Roman" w:hAnsi="Times New Roman" w:cs="Times New Roman"/>
                <w:sz w:val="16"/>
                <w:szCs w:val="16"/>
              </w:rPr>
            </w:pPr>
            <w:r w:rsidRPr="00D860CC">
              <w:rPr>
                <w:rFonts w:ascii="Times New Roman" w:hAnsi="Times New Roman" w:cs="Times New Roman"/>
                <w:sz w:val="16"/>
                <w:szCs w:val="16"/>
              </w:rPr>
              <w:t>Guidelines for choosing between multi-item and single-item scales for construct measurement: A predictive validity perspective</w:t>
            </w:r>
          </w:p>
        </w:tc>
        <w:tc>
          <w:tcPr>
            <w:tcW w:w="1773" w:type="dxa"/>
          </w:tcPr>
          <w:p w14:paraId="09080D10" w14:textId="77777777" w:rsidR="009B1955" w:rsidRPr="00D860CC" w:rsidRDefault="009B1955" w:rsidP="00807EBA">
            <w:pPr>
              <w:rPr>
                <w:rFonts w:ascii="Times New Roman" w:hAnsi="Times New Roman" w:cs="Times New Roman"/>
                <w:sz w:val="16"/>
                <w:szCs w:val="16"/>
              </w:rPr>
            </w:pPr>
            <w:r w:rsidRPr="00D860CC">
              <w:rPr>
                <w:rFonts w:ascii="Times New Roman" w:hAnsi="Times New Roman" w:cs="Times New Roman"/>
                <w:sz w:val="16"/>
                <w:szCs w:val="16"/>
              </w:rPr>
              <w:t>Article</w:t>
            </w:r>
          </w:p>
        </w:tc>
      </w:tr>
      <w:tr w:rsidR="009B1955" w:rsidRPr="00D860CC" w14:paraId="328091A1" w14:textId="77777777" w:rsidTr="00807EBA">
        <w:tc>
          <w:tcPr>
            <w:tcW w:w="2099" w:type="dxa"/>
            <w:vMerge/>
          </w:tcPr>
          <w:p w14:paraId="68BF57DB" w14:textId="77777777" w:rsidR="009B1955" w:rsidRPr="00D860CC" w:rsidRDefault="009B1955" w:rsidP="00807EBA">
            <w:pPr>
              <w:rPr>
                <w:rFonts w:ascii="Times New Roman" w:hAnsi="Times New Roman" w:cs="Times New Roman"/>
                <w:sz w:val="16"/>
                <w:szCs w:val="16"/>
              </w:rPr>
            </w:pPr>
          </w:p>
        </w:tc>
        <w:tc>
          <w:tcPr>
            <w:tcW w:w="1647" w:type="dxa"/>
            <w:vMerge/>
          </w:tcPr>
          <w:p w14:paraId="0F9A5576" w14:textId="77777777" w:rsidR="009B1955" w:rsidRPr="00D860CC" w:rsidRDefault="009B1955" w:rsidP="00807EBA">
            <w:pPr>
              <w:rPr>
                <w:rFonts w:ascii="Times New Roman" w:hAnsi="Times New Roman" w:cs="Times New Roman"/>
                <w:sz w:val="16"/>
                <w:szCs w:val="16"/>
              </w:rPr>
            </w:pPr>
          </w:p>
        </w:tc>
        <w:tc>
          <w:tcPr>
            <w:tcW w:w="2342" w:type="dxa"/>
          </w:tcPr>
          <w:p w14:paraId="2ECD4EBC" w14:textId="77777777" w:rsidR="009B1955" w:rsidRPr="00D860CC" w:rsidRDefault="009B1955" w:rsidP="00807EBA">
            <w:pPr>
              <w:rPr>
                <w:rFonts w:ascii="Times New Roman" w:hAnsi="Times New Roman" w:cs="Times New Roman"/>
                <w:sz w:val="16"/>
                <w:szCs w:val="16"/>
              </w:rPr>
            </w:pPr>
            <w:r w:rsidRPr="00D860CC">
              <w:rPr>
                <w:rFonts w:ascii="Times New Roman" w:hAnsi="Times New Roman" w:cs="Times New Roman"/>
                <w:sz w:val="16"/>
                <w:szCs w:val="16"/>
              </w:rPr>
              <w:t>Boateng et al. (3</w:t>
            </w:r>
            <w:r>
              <w:rPr>
                <w:rFonts w:ascii="Times New Roman" w:hAnsi="Times New Roman" w:cs="Times New Roman"/>
                <w:sz w:val="16"/>
                <w:szCs w:val="16"/>
              </w:rPr>
              <w:t>6</w:t>
            </w:r>
            <w:r w:rsidRPr="00D860CC">
              <w:rPr>
                <w:rFonts w:ascii="Times New Roman" w:hAnsi="Times New Roman" w:cs="Times New Roman"/>
                <w:sz w:val="16"/>
                <w:szCs w:val="16"/>
              </w:rPr>
              <w:t>)</w:t>
            </w:r>
          </w:p>
        </w:tc>
        <w:tc>
          <w:tcPr>
            <w:tcW w:w="801" w:type="dxa"/>
          </w:tcPr>
          <w:p w14:paraId="155244FC" w14:textId="77777777" w:rsidR="009B1955" w:rsidRPr="00D860CC" w:rsidRDefault="009B1955" w:rsidP="00807EBA">
            <w:pPr>
              <w:rPr>
                <w:rFonts w:ascii="Times New Roman" w:hAnsi="Times New Roman" w:cs="Times New Roman"/>
                <w:sz w:val="16"/>
                <w:szCs w:val="16"/>
              </w:rPr>
            </w:pPr>
            <w:r w:rsidRPr="00D860CC">
              <w:rPr>
                <w:rFonts w:ascii="Times New Roman" w:hAnsi="Times New Roman" w:cs="Times New Roman"/>
                <w:sz w:val="16"/>
                <w:szCs w:val="16"/>
              </w:rPr>
              <w:t>2018</w:t>
            </w:r>
          </w:p>
        </w:tc>
        <w:tc>
          <w:tcPr>
            <w:tcW w:w="5286" w:type="dxa"/>
          </w:tcPr>
          <w:p w14:paraId="102D445A" w14:textId="77777777" w:rsidR="009B1955" w:rsidRPr="00D860CC" w:rsidRDefault="009B1955" w:rsidP="00807EBA">
            <w:pPr>
              <w:rPr>
                <w:rFonts w:ascii="Times New Roman" w:hAnsi="Times New Roman" w:cs="Times New Roman"/>
                <w:sz w:val="16"/>
                <w:szCs w:val="16"/>
              </w:rPr>
            </w:pPr>
            <w:r w:rsidRPr="00D860CC">
              <w:rPr>
                <w:rFonts w:ascii="Times New Roman" w:hAnsi="Times New Roman" w:cs="Times New Roman"/>
                <w:sz w:val="16"/>
                <w:szCs w:val="16"/>
              </w:rPr>
              <w:t xml:space="preserve">Best Practices for Developing and Validating Scales for Health, Social, and </w:t>
            </w:r>
            <w:proofErr w:type="spellStart"/>
            <w:r w:rsidRPr="00D860CC">
              <w:rPr>
                <w:rFonts w:ascii="Times New Roman" w:hAnsi="Times New Roman" w:cs="Times New Roman"/>
                <w:sz w:val="16"/>
                <w:szCs w:val="16"/>
              </w:rPr>
              <w:t>Behavioral</w:t>
            </w:r>
            <w:proofErr w:type="spellEnd"/>
            <w:r w:rsidRPr="00D860CC">
              <w:rPr>
                <w:rFonts w:ascii="Times New Roman" w:hAnsi="Times New Roman" w:cs="Times New Roman"/>
                <w:sz w:val="16"/>
                <w:szCs w:val="16"/>
              </w:rPr>
              <w:t xml:space="preserve"> Research: A Primer</w:t>
            </w:r>
          </w:p>
        </w:tc>
        <w:tc>
          <w:tcPr>
            <w:tcW w:w="1773" w:type="dxa"/>
          </w:tcPr>
          <w:p w14:paraId="33A3EB24" w14:textId="77777777" w:rsidR="009B1955" w:rsidRPr="00D860CC" w:rsidRDefault="009B1955" w:rsidP="00807EBA">
            <w:pPr>
              <w:rPr>
                <w:rFonts w:ascii="Times New Roman" w:hAnsi="Times New Roman" w:cs="Times New Roman"/>
                <w:sz w:val="16"/>
                <w:szCs w:val="16"/>
              </w:rPr>
            </w:pPr>
            <w:r w:rsidRPr="00D860CC">
              <w:rPr>
                <w:rFonts w:ascii="Times New Roman" w:hAnsi="Times New Roman" w:cs="Times New Roman"/>
                <w:sz w:val="16"/>
                <w:szCs w:val="16"/>
              </w:rPr>
              <w:t>Article</w:t>
            </w:r>
          </w:p>
        </w:tc>
      </w:tr>
      <w:tr w:rsidR="009B1955" w:rsidRPr="00D860CC" w14:paraId="31ADDF4C" w14:textId="77777777" w:rsidTr="00807EBA">
        <w:tc>
          <w:tcPr>
            <w:tcW w:w="2099" w:type="dxa"/>
            <w:vMerge/>
          </w:tcPr>
          <w:p w14:paraId="095FA742" w14:textId="77777777" w:rsidR="009B1955" w:rsidRPr="00D860CC" w:rsidRDefault="009B1955" w:rsidP="00807EBA">
            <w:pPr>
              <w:rPr>
                <w:rFonts w:ascii="Times New Roman" w:hAnsi="Times New Roman" w:cs="Times New Roman"/>
                <w:sz w:val="16"/>
                <w:szCs w:val="16"/>
              </w:rPr>
            </w:pPr>
          </w:p>
        </w:tc>
        <w:tc>
          <w:tcPr>
            <w:tcW w:w="1647" w:type="dxa"/>
            <w:vMerge/>
          </w:tcPr>
          <w:p w14:paraId="35A03351" w14:textId="77777777" w:rsidR="009B1955" w:rsidRPr="00D860CC" w:rsidRDefault="009B1955" w:rsidP="00807EBA">
            <w:pPr>
              <w:rPr>
                <w:rFonts w:ascii="Times New Roman" w:hAnsi="Times New Roman" w:cs="Times New Roman"/>
                <w:sz w:val="16"/>
                <w:szCs w:val="16"/>
              </w:rPr>
            </w:pPr>
          </w:p>
        </w:tc>
        <w:tc>
          <w:tcPr>
            <w:tcW w:w="2342" w:type="dxa"/>
          </w:tcPr>
          <w:p w14:paraId="5DDD87EF" w14:textId="77777777" w:rsidR="009B1955" w:rsidRPr="00D860CC" w:rsidRDefault="009B1955" w:rsidP="00807EBA">
            <w:pPr>
              <w:rPr>
                <w:rFonts w:ascii="Times New Roman" w:hAnsi="Times New Roman" w:cs="Times New Roman"/>
                <w:sz w:val="16"/>
                <w:szCs w:val="16"/>
              </w:rPr>
            </w:pPr>
            <w:proofErr w:type="spellStart"/>
            <w:r w:rsidRPr="00D860CC">
              <w:rPr>
                <w:rFonts w:ascii="Times New Roman" w:hAnsi="Times New Roman" w:cs="Times New Roman"/>
                <w:sz w:val="16"/>
                <w:szCs w:val="16"/>
              </w:rPr>
              <w:t>Fayers</w:t>
            </w:r>
            <w:proofErr w:type="spellEnd"/>
            <w:r w:rsidRPr="00D860CC">
              <w:rPr>
                <w:rFonts w:ascii="Times New Roman" w:hAnsi="Times New Roman" w:cs="Times New Roman"/>
                <w:sz w:val="16"/>
                <w:szCs w:val="16"/>
              </w:rPr>
              <w:t xml:space="preserve"> et al. (3</w:t>
            </w:r>
            <w:r>
              <w:rPr>
                <w:rFonts w:ascii="Times New Roman" w:hAnsi="Times New Roman" w:cs="Times New Roman"/>
                <w:sz w:val="16"/>
                <w:szCs w:val="16"/>
              </w:rPr>
              <w:t>7</w:t>
            </w:r>
            <w:r w:rsidRPr="00D860CC">
              <w:rPr>
                <w:rFonts w:ascii="Times New Roman" w:hAnsi="Times New Roman" w:cs="Times New Roman"/>
                <w:sz w:val="16"/>
                <w:szCs w:val="16"/>
              </w:rPr>
              <w:t>)</w:t>
            </w:r>
            <w:r>
              <w:rPr>
                <w:rFonts w:ascii="Times New Roman" w:hAnsi="Times New Roman" w:cs="Times New Roman"/>
                <w:sz w:val="16"/>
                <w:szCs w:val="16"/>
              </w:rPr>
              <w:t>*</w:t>
            </w:r>
          </w:p>
        </w:tc>
        <w:tc>
          <w:tcPr>
            <w:tcW w:w="801" w:type="dxa"/>
          </w:tcPr>
          <w:p w14:paraId="16B4D00A" w14:textId="77777777" w:rsidR="009B1955" w:rsidRPr="00D860CC" w:rsidRDefault="009B1955" w:rsidP="00807EBA">
            <w:pPr>
              <w:rPr>
                <w:rFonts w:ascii="Times New Roman" w:hAnsi="Times New Roman" w:cs="Times New Roman"/>
                <w:sz w:val="16"/>
                <w:szCs w:val="16"/>
              </w:rPr>
            </w:pPr>
            <w:r w:rsidRPr="00D860CC">
              <w:rPr>
                <w:rFonts w:ascii="Times New Roman" w:hAnsi="Times New Roman" w:cs="Times New Roman"/>
                <w:sz w:val="16"/>
                <w:szCs w:val="16"/>
              </w:rPr>
              <w:t>20</w:t>
            </w:r>
            <w:r>
              <w:rPr>
                <w:rFonts w:ascii="Times New Roman" w:hAnsi="Times New Roman" w:cs="Times New Roman"/>
                <w:sz w:val="16"/>
                <w:szCs w:val="16"/>
              </w:rPr>
              <w:t>16</w:t>
            </w:r>
          </w:p>
        </w:tc>
        <w:tc>
          <w:tcPr>
            <w:tcW w:w="5286" w:type="dxa"/>
          </w:tcPr>
          <w:p w14:paraId="319DDEE8" w14:textId="77777777" w:rsidR="009B1955" w:rsidRPr="00D860CC" w:rsidRDefault="009B1955" w:rsidP="00807EBA">
            <w:pPr>
              <w:rPr>
                <w:rFonts w:ascii="Times New Roman" w:hAnsi="Times New Roman" w:cs="Times New Roman"/>
                <w:sz w:val="16"/>
                <w:szCs w:val="16"/>
              </w:rPr>
            </w:pPr>
            <w:r w:rsidRPr="00D860CC">
              <w:rPr>
                <w:rFonts w:ascii="Times New Roman" w:hAnsi="Times New Roman" w:cs="Times New Roman"/>
                <w:sz w:val="16"/>
                <w:szCs w:val="16"/>
              </w:rPr>
              <w:t>Quality of Life: The Assessment, Analysis and Interpretation of Patient-Reported Outcomes</w:t>
            </w:r>
            <w:r>
              <w:rPr>
                <w:rFonts w:ascii="Times New Roman" w:hAnsi="Times New Roman" w:cs="Times New Roman"/>
                <w:sz w:val="16"/>
                <w:szCs w:val="16"/>
              </w:rPr>
              <w:t>. 3</w:t>
            </w:r>
            <w:r w:rsidRPr="0087677D">
              <w:rPr>
                <w:rFonts w:ascii="Times New Roman" w:hAnsi="Times New Roman" w:cs="Times New Roman"/>
                <w:sz w:val="16"/>
                <w:szCs w:val="16"/>
                <w:vertAlign w:val="superscript"/>
              </w:rPr>
              <w:t>rd</w:t>
            </w:r>
            <w:r>
              <w:rPr>
                <w:rFonts w:ascii="Times New Roman" w:hAnsi="Times New Roman" w:cs="Times New Roman"/>
                <w:sz w:val="16"/>
                <w:szCs w:val="16"/>
              </w:rPr>
              <w:t xml:space="preserve"> Ed.</w:t>
            </w:r>
          </w:p>
        </w:tc>
        <w:tc>
          <w:tcPr>
            <w:tcW w:w="1773" w:type="dxa"/>
          </w:tcPr>
          <w:p w14:paraId="107D4ADE" w14:textId="77777777" w:rsidR="009B1955" w:rsidRPr="00D860CC" w:rsidRDefault="009B1955" w:rsidP="00807EBA">
            <w:pPr>
              <w:rPr>
                <w:rFonts w:ascii="Times New Roman" w:hAnsi="Times New Roman" w:cs="Times New Roman"/>
                <w:sz w:val="16"/>
                <w:szCs w:val="16"/>
              </w:rPr>
            </w:pPr>
            <w:r w:rsidRPr="00D860CC">
              <w:rPr>
                <w:rFonts w:ascii="Times New Roman" w:hAnsi="Times New Roman" w:cs="Times New Roman"/>
                <w:sz w:val="16"/>
                <w:szCs w:val="16"/>
              </w:rPr>
              <w:t>Book</w:t>
            </w:r>
          </w:p>
        </w:tc>
      </w:tr>
      <w:tr w:rsidR="009B1955" w:rsidRPr="00D860CC" w14:paraId="0BFE3C77" w14:textId="77777777" w:rsidTr="00807EBA">
        <w:tc>
          <w:tcPr>
            <w:tcW w:w="2099" w:type="dxa"/>
            <w:vMerge/>
          </w:tcPr>
          <w:p w14:paraId="765C265F" w14:textId="77777777" w:rsidR="009B1955" w:rsidRPr="00D860CC" w:rsidRDefault="009B1955" w:rsidP="00807EBA">
            <w:pPr>
              <w:rPr>
                <w:rFonts w:ascii="Times New Roman" w:hAnsi="Times New Roman" w:cs="Times New Roman"/>
                <w:sz w:val="16"/>
                <w:szCs w:val="16"/>
              </w:rPr>
            </w:pPr>
          </w:p>
        </w:tc>
        <w:tc>
          <w:tcPr>
            <w:tcW w:w="1647" w:type="dxa"/>
            <w:vMerge/>
          </w:tcPr>
          <w:p w14:paraId="4838FA74" w14:textId="77777777" w:rsidR="009B1955" w:rsidRPr="00D860CC" w:rsidRDefault="009B1955" w:rsidP="00807EBA">
            <w:pPr>
              <w:rPr>
                <w:rFonts w:ascii="Times New Roman" w:hAnsi="Times New Roman" w:cs="Times New Roman"/>
                <w:sz w:val="16"/>
                <w:szCs w:val="16"/>
              </w:rPr>
            </w:pPr>
          </w:p>
        </w:tc>
        <w:tc>
          <w:tcPr>
            <w:tcW w:w="2342" w:type="dxa"/>
          </w:tcPr>
          <w:p w14:paraId="4CED1C5E" w14:textId="77777777" w:rsidR="009B1955" w:rsidRPr="00D860CC" w:rsidRDefault="009B1955" w:rsidP="00807EBA">
            <w:pPr>
              <w:rPr>
                <w:rFonts w:ascii="Times New Roman" w:hAnsi="Times New Roman" w:cs="Times New Roman"/>
                <w:sz w:val="16"/>
                <w:szCs w:val="16"/>
              </w:rPr>
            </w:pPr>
            <w:proofErr w:type="spellStart"/>
            <w:r w:rsidRPr="00D860CC">
              <w:rPr>
                <w:rFonts w:ascii="Times New Roman" w:hAnsi="Times New Roman" w:cs="Times New Roman"/>
                <w:sz w:val="16"/>
                <w:szCs w:val="16"/>
              </w:rPr>
              <w:t>Piccinin</w:t>
            </w:r>
            <w:proofErr w:type="spellEnd"/>
            <w:r w:rsidRPr="00D860CC">
              <w:rPr>
                <w:rFonts w:ascii="Times New Roman" w:hAnsi="Times New Roman" w:cs="Times New Roman"/>
                <w:sz w:val="16"/>
                <w:szCs w:val="16"/>
              </w:rPr>
              <w:t xml:space="preserve"> et al. (</w:t>
            </w:r>
            <w:r>
              <w:rPr>
                <w:rFonts w:ascii="Times New Roman" w:hAnsi="Times New Roman" w:cs="Times New Roman"/>
                <w:sz w:val="16"/>
                <w:szCs w:val="16"/>
              </w:rPr>
              <w:t>38</w:t>
            </w:r>
            <w:r w:rsidRPr="00D860CC">
              <w:rPr>
                <w:rFonts w:ascii="Times New Roman" w:hAnsi="Times New Roman" w:cs="Times New Roman"/>
                <w:sz w:val="16"/>
                <w:szCs w:val="16"/>
              </w:rPr>
              <w:t xml:space="preserve">)* </w:t>
            </w:r>
          </w:p>
        </w:tc>
        <w:tc>
          <w:tcPr>
            <w:tcW w:w="801" w:type="dxa"/>
          </w:tcPr>
          <w:p w14:paraId="3F660F06" w14:textId="77777777" w:rsidR="009B1955" w:rsidRPr="00D860CC" w:rsidRDefault="009B1955" w:rsidP="00807EBA">
            <w:pPr>
              <w:rPr>
                <w:rFonts w:ascii="Times New Roman" w:hAnsi="Times New Roman" w:cs="Times New Roman"/>
                <w:sz w:val="16"/>
                <w:szCs w:val="16"/>
              </w:rPr>
            </w:pPr>
            <w:r w:rsidRPr="00D860CC">
              <w:rPr>
                <w:rFonts w:ascii="Times New Roman" w:hAnsi="Times New Roman" w:cs="Times New Roman"/>
                <w:sz w:val="16"/>
                <w:szCs w:val="16"/>
              </w:rPr>
              <w:t>2019</w:t>
            </w:r>
          </w:p>
        </w:tc>
        <w:tc>
          <w:tcPr>
            <w:tcW w:w="5286" w:type="dxa"/>
          </w:tcPr>
          <w:p w14:paraId="495B40F5" w14:textId="77777777" w:rsidR="009B1955" w:rsidRPr="00D860CC" w:rsidRDefault="009B1955" w:rsidP="00807EBA">
            <w:pPr>
              <w:rPr>
                <w:rFonts w:ascii="Times New Roman" w:hAnsi="Times New Roman" w:cs="Times New Roman"/>
                <w:sz w:val="16"/>
                <w:szCs w:val="16"/>
              </w:rPr>
            </w:pPr>
            <w:r w:rsidRPr="00D860CC">
              <w:rPr>
                <w:rFonts w:ascii="Times New Roman" w:hAnsi="Times New Roman" w:cs="Times New Roman"/>
                <w:sz w:val="16"/>
                <w:szCs w:val="16"/>
              </w:rPr>
              <w:t>PCN296 Development of scientific guidelines for use of the EORTC Item Library in cancer clinical trials</w:t>
            </w:r>
          </w:p>
        </w:tc>
        <w:tc>
          <w:tcPr>
            <w:tcW w:w="1773" w:type="dxa"/>
          </w:tcPr>
          <w:p w14:paraId="4CD7C06F" w14:textId="77777777" w:rsidR="009B1955" w:rsidRPr="00D860CC" w:rsidRDefault="009B1955" w:rsidP="00807EBA">
            <w:pPr>
              <w:rPr>
                <w:rFonts w:ascii="Times New Roman" w:hAnsi="Times New Roman" w:cs="Times New Roman"/>
                <w:sz w:val="16"/>
                <w:szCs w:val="16"/>
              </w:rPr>
            </w:pPr>
            <w:r w:rsidRPr="00D860CC">
              <w:rPr>
                <w:rFonts w:ascii="Times New Roman" w:hAnsi="Times New Roman" w:cs="Times New Roman"/>
                <w:sz w:val="16"/>
                <w:szCs w:val="16"/>
              </w:rPr>
              <w:t>Conference abstract</w:t>
            </w:r>
          </w:p>
        </w:tc>
      </w:tr>
      <w:tr w:rsidR="009B1955" w:rsidRPr="00D860CC" w14:paraId="459AC68B" w14:textId="77777777" w:rsidTr="00807EBA">
        <w:tc>
          <w:tcPr>
            <w:tcW w:w="2099" w:type="dxa"/>
            <w:vMerge/>
          </w:tcPr>
          <w:p w14:paraId="3362686A" w14:textId="77777777" w:rsidR="009B1955" w:rsidRPr="00D860CC" w:rsidRDefault="009B1955" w:rsidP="00807EBA">
            <w:pPr>
              <w:rPr>
                <w:rFonts w:ascii="Times New Roman" w:hAnsi="Times New Roman" w:cs="Times New Roman"/>
                <w:sz w:val="16"/>
                <w:szCs w:val="16"/>
              </w:rPr>
            </w:pPr>
          </w:p>
        </w:tc>
        <w:tc>
          <w:tcPr>
            <w:tcW w:w="1647" w:type="dxa"/>
            <w:vMerge/>
          </w:tcPr>
          <w:p w14:paraId="614C7369" w14:textId="77777777" w:rsidR="009B1955" w:rsidRPr="00D860CC" w:rsidRDefault="009B1955" w:rsidP="00807EBA">
            <w:pPr>
              <w:rPr>
                <w:rFonts w:ascii="Times New Roman" w:hAnsi="Times New Roman" w:cs="Times New Roman"/>
                <w:sz w:val="16"/>
                <w:szCs w:val="16"/>
              </w:rPr>
            </w:pPr>
          </w:p>
        </w:tc>
        <w:tc>
          <w:tcPr>
            <w:tcW w:w="2342" w:type="dxa"/>
          </w:tcPr>
          <w:p w14:paraId="4CF4793B" w14:textId="77777777" w:rsidR="009B1955" w:rsidRPr="00D860CC" w:rsidRDefault="009B1955" w:rsidP="00807EBA">
            <w:pPr>
              <w:rPr>
                <w:rFonts w:ascii="Times New Roman" w:hAnsi="Times New Roman" w:cs="Times New Roman"/>
                <w:sz w:val="16"/>
                <w:szCs w:val="16"/>
              </w:rPr>
            </w:pPr>
            <w:proofErr w:type="spellStart"/>
            <w:r w:rsidRPr="00D860CC">
              <w:rPr>
                <w:rFonts w:ascii="Times New Roman" w:hAnsi="Times New Roman" w:cs="Times New Roman"/>
                <w:sz w:val="16"/>
                <w:szCs w:val="16"/>
              </w:rPr>
              <w:t>Piccinin</w:t>
            </w:r>
            <w:proofErr w:type="spellEnd"/>
            <w:r w:rsidRPr="00D860CC">
              <w:rPr>
                <w:rFonts w:ascii="Times New Roman" w:hAnsi="Times New Roman" w:cs="Times New Roman"/>
                <w:sz w:val="16"/>
                <w:szCs w:val="16"/>
              </w:rPr>
              <w:t xml:space="preserve"> et al. (</w:t>
            </w:r>
            <w:r>
              <w:rPr>
                <w:rFonts w:ascii="Times New Roman" w:hAnsi="Times New Roman" w:cs="Times New Roman"/>
                <w:sz w:val="16"/>
                <w:szCs w:val="16"/>
              </w:rPr>
              <w:t>39</w:t>
            </w:r>
            <w:r w:rsidRPr="00D860CC">
              <w:rPr>
                <w:rFonts w:ascii="Times New Roman" w:hAnsi="Times New Roman" w:cs="Times New Roman"/>
                <w:sz w:val="16"/>
                <w:szCs w:val="16"/>
              </w:rPr>
              <w:t>)*</w:t>
            </w:r>
          </w:p>
        </w:tc>
        <w:tc>
          <w:tcPr>
            <w:tcW w:w="801" w:type="dxa"/>
          </w:tcPr>
          <w:p w14:paraId="59DBB076" w14:textId="77777777" w:rsidR="009B1955" w:rsidRPr="00D860CC" w:rsidRDefault="009B1955" w:rsidP="00807EBA">
            <w:pPr>
              <w:rPr>
                <w:rFonts w:ascii="Times New Roman" w:hAnsi="Times New Roman" w:cs="Times New Roman"/>
                <w:sz w:val="16"/>
                <w:szCs w:val="16"/>
              </w:rPr>
            </w:pPr>
            <w:r w:rsidRPr="00D860CC">
              <w:rPr>
                <w:rFonts w:ascii="Times New Roman" w:hAnsi="Times New Roman" w:cs="Times New Roman"/>
                <w:sz w:val="16"/>
                <w:szCs w:val="16"/>
              </w:rPr>
              <w:t>2022</w:t>
            </w:r>
          </w:p>
        </w:tc>
        <w:tc>
          <w:tcPr>
            <w:tcW w:w="5286" w:type="dxa"/>
          </w:tcPr>
          <w:p w14:paraId="5C0D8B83" w14:textId="77777777" w:rsidR="009B1955" w:rsidRPr="00D860CC" w:rsidRDefault="009B1955" w:rsidP="00807EBA">
            <w:pPr>
              <w:rPr>
                <w:rFonts w:ascii="Times New Roman" w:hAnsi="Times New Roman" w:cs="Times New Roman"/>
                <w:sz w:val="16"/>
                <w:szCs w:val="16"/>
              </w:rPr>
            </w:pPr>
            <w:r w:rsidRPr="00D860CC">
              <w:rPr>
                <w:rFonts w:ascii="Times New Roman" w:hAnsi="Times New Roman" w:cs="Times New Roman"/>
                <w:sz w:val="16"/>
                <w:szCs w:val="16"/>
              </w:rPr>
              <w:t>EORTC Quality of Life Group Item Library User Guidelines; First Edition</w:t>
            </w:r>
          </w:p>
        </w:tc>
        <w:tc>
          <w:tcPr>
            <w:tcW w:w="1773" w:type="dxa"/>
          </w:tcPr>
          <w:p w14:paraId="0EAE08F8" w14:textId="77777777" w:rsidR="009B1955" w:rsidRPr="00D860CC" w:rsidRDefault="009B1955" w:rsidP="00807EBA">
            <w:pPr>
              <w:rPr>
                <w:rFonts w:ascii="Times New Roman" w:hAnsi="Times New Roman" w:cs="Times New Roman"/>
                <w:sz w:val="16"/>
                <w:szCs w:val="16"/>
              </w:rPr>
            </w:pPr>
            <w:r w:rsidRPr="00D860CC">
              <w:rPr>
                <w:rFonts w:ascii="Times New Roman" w:hAnsi="Times New Roman" w:cs="Times New Roman"/>
                <w:sz w:val="16"/>
                <w:szCs w:val="16"/>
              </w:rPr>
              <w:t>Manual</w:t>
            </w:r>
          </w:p>
        </w:tc>
      </w:tr>
      <w:tr w:rsidR="009B1955" w:rsidRPr="00D860CC" w14:paraId="4D663888" w14:textId="77777777" w:rsidTr="00807EBA">
        <w:tc>
          <w:tcPr>
            <w:tcW w:w="2099" w:type="dxa"/>
            <w:vMerge/>
          </w:tcPr>
          <w:p w14:paraId="5DBFA207" w14:textId="77777777" w:rsidR="009B1955" w:rsidRPr="00D860CC" w:rsidRDefault="009B1955" w:rsidP="00807EBA">
            <w:pPr>
              <w:rPr>
                <w:rFonts w:ascii="Times New Roman" w:hAnsi="Times New Roman" w:cs="Times New Roman"/>
                <w:sz w:val="16"/>
                <w:szCs w:val="16"/>
              </w:rPr>
            </w:pPr>
          </w:p>
        </w:tc>
        <w:tc>
          <w:tcPr>
            <w:tcW w:w="1647" w:type="dxa"/>
            <w:vMerge/>
          </w:tcPr>
          <w:p w14:paraId="1BB7D716" w14:textId="77777777" w:rsidR="009B1955" w:rsidRPr="00D860CC" w:rsidRDefault="009B1955" w:rsidP="00807EBA">
            <w:pPr>
              <w:rPr>
                <w:rFonts w:ascii="Times New Roman" w:hAnsi="Times New Roman" w:cs="Times New Roman"/>
                <w:sz w:val="16"/>
                <w:szCs w:val="16"/>
              </w:rPr>
            </w:pPr>
          </w:p>
        </w:tc>
        <w:tc>
          <w:tcPr>
            <w:tcW w:w="2342" w:type="dxa"/>
          </w:tcPr>
          <w:p w14:paraId="76C33A16" w14:textId="77777777" w:rsidR="009B1955" w:rsidRPr="00D860CC" w:rsidRDefault="009B1955" w:rsidP="00807EBA">
            <w:pPr>
              <w:rPr>
                <w:rFonts w:ascii="Times New Roman" w:hAnsi="Times New Roman" w:cs="Times New Roman"/>
                <w:sz w:val="16"/>
                <w:szCs w:val="16"/>
              </w:rPr>
            </w:pPr>
            <w:r w:rsidRPr="00D860CC">
              <w:rPr>
                <w:rFonts w:ascii="Times New Roman" w:hAnsi="Times New Roman" w:cs="Times New Roman"/>
                <w:sz w:val="16"/>
                <w:szCs w:val="16"/>
              </w:rPr>
              <w:t>FDA (</w:t>
            </w:r>
            <w:r>
              <w:rPr>
                <w:rFonts w:ascii="Times New Roman" w:hAnsi="Times New Roman" w:cs="Times New Roman"/>
                <w:sz w:val="16"/>
                <w:szCs w:val="16"/>
              </w:rPr>
              <w:t>20</w:t>
            </w:r>
            <w:r w:rsidRPr="00D860CC">
              <w:rPr>
                <w:rFonts w:ascii="Times New Roman" w:hAnsi="Times New Roman" w:cs="Times New Roman"/>
                <w:sz w:val="16"/>
                <w:szCs w:val="16"/>
              </w:rPr>
              <w:t>)*</w:t>
            </w:r>
          </w:p>
        </w:tc>
        <w:tc>
          <w:tcPr>
            <w:tcW w:w="801" w:type="dxa"/>
          </w:tcPr>
          <w:p w14:paraId="3A9848B1" w14:textId="77777777" w:rsidR="009B1955" w:rsidRPr="00D860CC" w:rsidRDefault="009B1955" w:rsidP="00807EBA">
            <w:pPr>
              <w:rPr>
                <w:rFonts w:ascii="Times New Roman" w:hAnsi="Times New Roman" w:cs="Times New Roman"/>
                <w:sz w:val="16"/>
                <w:szCs w:val="16"/>
              </w:rPr>
            </w:pPr>
            <w:r w:rsidRPr="00D860CC">
              <w:rPr>
                <w:rFonts w:ascii="Times New Roman" w:hAnsi="Times New Roman" w:cs="Times New Roman"/>
                <w:sz w:val="16"/>
                <w:szCs w:val="16"/>
              </w:rPr>
              <w:t>2009</w:t>
            </w:r>
          </w:p>
        </w:tc>
        <w:tc>
          <w:tcPr>
            <w:tcW w:w="5286" w:type="dxa"/>
          </w:tcPr>
          <w:p w14:paraId="7F297AF3" w14:textId="77777777" w:rsidR="009B1955" w:rsidRPr="00D860CC" w:rsidRDefault="009B1955" w:rsidP="00807EBA">
            <w:pPr>
              <w:rPr>
                <w:rFonts w:ascii="Times New Roman" w:hAnsi="Times New Roman" w:cs="Times New Roman"/>
                <w:sz w:val="16"/>
                <w:szCs w:val="16"/>
              </w:rPr>
            </w:pPr>
            <w:r w:rsidRPr="00D860CC">
              <w:rPr>
                <w:rFonts w:ascii="Times New Roman" w:hAnsi="Times New Roman" w:cs="Times New Roman"/>
                <w:sz w:val="16"/>
                <w:szCs w:val="16"/>
              </w:rPr>
              <w:t xml:space="preserve">Guidance for Industry; Patient-Reported Outcome Measures: Use in Medical Product Development to Support </w:t>
            </w:r>
            <w:proofErr w:type="spellStart"/>
            <w:r w:rsidRPr="00D860CC">
              <w:rPr>
                <w:rFonts w:ascii="Times New Roman" w:hAnsi="Times New Roman" w:cs="Times New Roman"/>
                <w:sz w:val="16"/>
                <w:szCs w:val="16"/>
              </w:rPr>
              <w:t>Labeling</w:t>
            </w:r>
            <w:proofErr w:type="spellEnd"/>
            <w:r w:rsidRPr="00D860CC">
              <w:rPr>
                <w:rFonts w:ascii="Times New Roman" w:hAnsi="Times New Roman" w:cs="Times New Roman"/>
                <w:sz w:val="16"/>
                <w:szCs w:val="16"/>
              </w:rPr>
              <w:t xml:space="preserve"> Claims</w:t>
            </w:r>
          </w:p>
        </w:tc>
        <w:tc>
          <w:tcPr>
            <w:tcW w:w="1773" w:type="dxa"/>
          </w:tcPr>
          <w:p w14:paraId="755EB582" w14:textId="77777777" w:rsidR="009B1955" w:rsidRPr="00D860CC" w:rsidRDefault="009B1955" w:rsidP="00807EBA">
            <w:pPr>
              <w:rPr>
                <w:rFonts w:ascii="Times New Roman" w:hAnsi="Times New Roman" w:cs="Times New Roman"/>
                <w:sz w:val="16"/>
                <w:szCs w:val="16"/>
              </w:rPr>
            </w:pPr>
            <w:r w:rsidRPr="00D860CC">
              <w:rPr>
                <w:rFonts w:ascii="Times New Roman" w:hAnsi="Times New Roman" w:cs="Times New Roman"/>
                <w:sz w:val="16"/>
                <w:szCs w:val="16"/>
              </w:rPr>
              <w:t>Guidance document</w:t>
            </w:r>
          </w:p>
        </w:tc>
      </w:tr>
      <w:tr w:rsidR="009B1955" w:rsidRPr="00D860CC" w14:paraId="42716EAD" w14:textId="77777777" w:rsidTr="00807EBA">
        <w:tc>
          <w:tcPr>
            <w:tcW w:w="2099" w:type="dxa"/>
            <w:vMerge/>
          </w:tcPr>
          <w:p w14:paraId="6593A06E" w14:textId="77777777" w:rsidR="009B1955" w:rsidRPr="00D860CC" w:rsidRDefault="009B1955" w:rsidP="00807EBA">
            <w:pPr>
              <w:rPr>
                <w:rFonts w:ascii="Times New Roman" w:hAnsi="Times New Roman" w:cs="Times New Roman"/>
                <w:sz w:val="16"/>
                <w:szCs w:val="16"/>
              </w:rPr>
            </w:pPr>
          </w:p>
        </w:tc>
        <w:tc>
          <w:tcPr>
            <w:tcW w:w="1647" w:type="dxa"/>
            <w:vMerge/>
          </w:tcPr>
          <w:p w14:paraId="6B7E92CB" w14:textId="77777777" w:rsidR="009B1955" w:rsidRPr="00D860CC" w:rsidRDefault="009B1955" w:rsidP="00807EBA">
            <w:pPr>
              <w:rPr>
                <w:rFonts w:ascii="Times New Roman" w:hAnsi="Times New Roman" w:cs="Times New Roman"/>
                <w:sz w:val="16"/>
                <w:szCs w:val="16"/>
              </w:rPr>
            </w:pPr>
          </w:p>
        </w:tc>
        <w:tc>
          <w:tcPr>
            <w:tcW w:w="2342" w:type="dxa"/>
          </w:tcPr>
          <w:p w14:paraId="71D27918" w14:textId="77777777" w:rsidR="009B1955" w:rsidRPr="00D860CC" w:rsidRDefault="009B1955" w:rsidP="00807EBA">
            <w:pPr>
              <w:rPr>
                <w:rFonts w:ascii="Times New Roman" w:hAnsi="Times New Roman" w:cs="Times New Roman"/>
                <w:sz w:val="16"/>
                <w:szCs w:val="16"/>
              </w:rPr>
            </w:pPr>
            <w:proofErr w:type="spellStart"/>
            <w:r w:rsidRPr="00D860CC">
              <w:rPr>
                <w:rFonts w:ascii="Times New Roman" w:hAnsi="Times New Roman" w:cs="Times New Roman"/>
                <w:sz w:val="16"/>
                <w:szCs w:val="16"/>
              </w:rPr>
              <w:t>Kluetz</w:t>
            </w:r>
            <w:proofErr w:type="spellEnd"/>
            <w:r w:rsidRPr="00D860CC">
              <w:rPr>
                <w:rFonts w:ascii="Times New Roman" w:hAnsi="Times New Roman" w:cs="Times New Roman"/>
                <w:sz w:val="16"/>
                <w:szCs w:val="16"/>
              </w:rPr>
              <w:t xml:space="preserve"> et al. (4</w:t>
            </w:r>
            <w:r>
              <w:rPr>
                <w:rFonts w:ascii="Times New Roman" w:hAnsi="Times New Roman" w:cs="Times New Roman"/>
                <w:sz w:val="16"/>
                <w:szCs w:val="16"/>
              </w:rPr>
              <w:t>0</w:t>
            </w:r>
            <w:r w:rsidRPr="00D860CC">
              <w:rPr>
                <w:rFonts w:ascii="Times New Roman" w:hAnsi="Times New Roman" w:cs="Times New Roman"/>
                <w:sz w:val="16"/>
                <w:szCs w:val="16"/>
              </w:rPr>
              <w:t xml:space="preserve">)* </w:t>
            </w:r>
          </w:p>
        </w:tc>
        <w:tc>
          <w:tcPr>
            <w:tcW w:w="801" w:type="dxa"/>
          </w:tcPr>
          <w:p w14:paraId="327C7798" w14:textId="77777777" w:rsidR="009B1955" w:rsidRPr="00D860CC" w:rsidRDefault="009B1955" w:rsidP="00807EBA">
            <w:pPr>
              <w:rPr>
                <w:rFonts w:ascii="Times New Roman" w:hAnsi="Times New Roman" w:cs="Times New Roman"/>
                <w:sz w:val="16"/>
                <w:szCs w:val="16"/>
              </w:rPr>
            </w:pPr>
            <w:r w:rsidRPr="00D860CC">
              <w:rPr>
                <w:rFonts w:ascii="Times New Roman" w:hAnsi="Times New Roman" w:cs="Times New Roman"/>
                <w:sz w:val="16"/>
                <w:szCs w:val="16"/>
              </w:rPr>
              <w:t>2016</w:t>
            </w:r>
          </w:p>
        </w:tc>
        <w:tc>
          <w:tcPr>
            <w:tcW w:w="5286" w:type="dxa"/>
          </w:tcPr>
          <w:p w14:paraId="6C04CF05" w14:textId="77777777" w:rsidR="009B1955" w:rsidRPr="00D860CC" w:rsidRDefault="009B1955" w:rsidP="00807EBA">
            <w:pPr>
              <w:rPr>
                <w:rFonts w:ascii="Times New Roman" w:hAnsi="Times New Roman" w:cs="Times New Roman"/>
                <w:sz w:val="16"/>
                <w:szCs w:val="16"/>
              </w:rPr>
            </w:pPr>
            <w:r w:rsidRPr="00D860CC">
              <w:rPr>
                <w:rFonts w:ascii="Times New Roman" w:hAnsi="Times New Roman" w:cs="Times New Roman"/>
                <w:sz w:val="16"/>
                <w:szCs w:val="16"/>
              </w:rPr>
              <w:t>Focusing on core patient-reported outcomes in cancer clinical trials: Symptomatic adverse events, physical function, and disease-related symptoms</w:t>
            </w:r>
          </w:p>
        </w:tc>
        <w:tc>
          <w:tcPr>
            <w:tcW w:w="1773" w:type="dxa"/>
          </w:tcPr>
          <w:p w14:paraId="0F86D3A1" w14:textId="77777777" w:rsidR="009B1955" w:rsidRPr="00D860CC" w:rsidRDefault="009B1955" w:rsidP="00807EBA">
            <w:pPr>
              <w:rPr>
                <w:rFonts w:ascii="Times New Roman" w:hAnsi="Times New Roman" w:cs="Times New Roman"/>
                <w:sz w:val="16"/>
                <w:szCs w:val="16"/>
              </w:rPr>
            </w:pPr>
            <w:r w:rsidRPr="00D860CC">
              <w:rPr>
                <w:rFonts w:ascii="Times New Roman" w:hAnsi="Times New Roman" w:cs="Times New Roman"/>
                <w:sz w:val="16"/>
                <w:szCs w:val="16"/>
              </w:rPr>
              <w:t>Article</w:t>
            </w:r>
          </w:p>
        </w:tc>
      </w:tr>
      <w:tr w:rsidR="009B1955" w:rsidRPr="00D860CC" w14:paraId="46A6B547" w14:textId="77777777" w:rsidTr="00807EBA">
        <w:tc>
          <w:tcPr>
            <w:tcW w:w="2099" w:type="dxa"/>
            <w:vMerge/>
          </w:tcPr>
          <w:p w14:paraId="14AFBC9D" w14:textId="77777777" w:rsidR="009B1955" w:rsidRPr="00D860CC" w:rsidRDefault="009B1955" w:rsidP="00807EBA">
            <w:pPr>
              <w:rPr>
                <w:rFonts w:ascii="Times New Roman" w:hAnsi="Times New Roman" w:cs="Times New Roman"/>
                <w:sz w:val="16"/>
                <w:szCs w:val="16"/>
              </w:rPr>
            </w:pPr>
          </w:p>
        </w:tc>
        <w:tc>
          <w:tcPr>
            <w:tcW w:w="1647" w:type="dxa"/>
            <w:vMerge/>
          </w:tcPr>
          <w:p w14:paraId="34E39DBD" w14:textId="77777777" w:rsidR="009B1955" w:rsidRPr="00D860CC" w:rsidRDefault="009B1955" w:rsidP="00807EBA">
            <w:pPr>
              <w:rPr>
                <w:rFonts w:ascii="Times New Roman" w:hAnsi="Times New Roman" w:cs="Times New Roman"/>
                <w:sz w:val="16"/>
                <w:szCs w:val="16"/>
              </w:rPr>
            </w:pPr>
          </w:p>
        </w:tc>
        <w:tc>
          <w:tcPr>
            <w:tcW w:w="2342" w:type="dxa"/>
          </w:tcPr>
          <w:p w14:paraId="1B27392C" w14:textId="77777777" w:rsidR="009B1955" w:rsidRPr="00D860CC" w:rsidRDefault="009B1955" w:rsidP="00807EBA">
            <w:pPr>
              <w:rPr>
                <w:rFonts w:ascii="Times New Roman" w:hAnsi="Times New Roman" w:cs="Times New Roman"/>
                <w:sz w:val="16"/>
                <w:szCs w:val="16"/>
              </w:rPr>
            </w:pPr>
            <w:proofErr w:type="spellStart"/>
            <w:r w:rsidRPr="00D860CC">
              <w:rPr>
                <w:rFonts w:ascii="Times New Roman" w:hAnsi="Times New Roman" w:cs="Times New Roman"/>
                <w:sz w:val="16"/>
                <w:szCs w:val="16"/>
              </w:rPr>
              <w:t>Kluetz</w:t>
            </w:r>
            <w:proofErr w:type="spellEnd"/>
            <w:r w:rsidRPr="00D860CC">
              <w:rPr>
                <w:rFonts w:ascii="Times New Roman" w:hAnsi="Times New Roman" w:cs="Times New Roman"/>
                <w:sz w:val="16"/>
                <w:szCs w:val="16"/>
              </w:rPr>
              <w:t xml:space="preserve"> et al. (4</w:t>
            </w:r>
            <w:r>
              <w:rPr>
                <w:rFonts w:ascii="Times New Roman" w:hAnsi="Times New Roman" w:cs="Times New Roman"/>
                <w:sz w:val="16"/>
                <w:szCs w:val="16"/>
              </w:rPr>
              <w:t>1</w:t>
            </w:r>
            <w:r w:rsidRPr="00D860CC">
              <w:rPr>
                <w:rFonts w:ascii="Times New Roman" w:hAnsi="Times New Roman" w:cs="Times New Roman"/>
                <w:sz w:val="16"/>
                <w:szCs w:val="16"/>
              </w:rPr>
              <w:t>)*</w:t>
            </w:r>
          </w:p>
        </w:tc>
        <w:tc>
          <w:tcPr>
            <w:tcW w:w="801" w:type="dxa"/>
          </w:tcPr>
          <w:p w14:paraId="4AC91AD6" w14:textId="77777777" w:rsidR="009B1955" w:rsidRPr="00D860CC" w:rsidRDefault="009B1955" w:rsidP="00807EBA">
            <w:pPr>
              <w:rPr>
                <w:rFonts w:ascii="Times New Roman" w:hAnsi="Times New Roman" w:cs="Times New Roman"/>
                <w:sz w:val="16"/>
                <w:szCs w:val="16"/>
              </w:rPr>
            </w:pPr>
            <w:r w:rsidRPr="00D860CC">
              <w:rPr>
                <w:rFonts w:ascii="Times New Roman" w:hAnsi="Times New Roman" w:cs="Times New Roman"/>
                <w:sz w:val="16"/>
                <w:szCs w:val="16"/>
              </w:rPr>
              <w:t>2016</w:t>
            </w:r>
          </w:p>
        </w:tc>
        <w:tc>
          <w:tcPr>
            <w:tcW w:w="5286" w:type="dxa"/>
          </w:tcPr>
          <w:p w14:paraId="20175305" w14:textId="77777777" w:rsidR="009B1955" w:rsidRPr="00D860CC" w:rsidRDefault="009B1955" w:rsidP="00807EBA">
            <w:pPr>
              <w:rPr>
                <w:rFonts w:ascii="Times New Roman" w:hAnsi="Times New Roman" w:cs="Times New Roman"/>
                <w:sz w:val="16"/>
                <w:szCs w:val="16"/>
              </w:rPr>
            </w:pPr>
            <w:r w:rsidRPr="00D860CC">
              <w:rPr>
                <w:rFonts w:ascii="Times New Roman" w:hAnsi="Times New Roman" w:cs="Times New Roman"/>
                <w:sz w:val="16"/>
                <w:szCs w:val="16"/>
              </w:rPr>
              <w:t>Focusing on core patient-reported outcomes in cancer clinical trials - Response</w:t>
            </w:r>
          </w:p>
        </w:tc>
        <w:tc>
          <w:tcPr>
            <w:tcW w:w="1773" w:type="dxa"/>
          </w:tcPr>
          <w:p w14:paraId="39D8A109" w14:textId="77777777" w:rsidR="009B1955" w:rsidRPr="00D860CC" w:rsidRDefault="009B1955" w:rsidP="00807EBA">
            <w:pPr>
              <w:rPr>
                <w:rFonts w:ascii="Times New Roman" w:hAnsi="Times New Roman" w:cs="Times New Roman"/>
                <w:sz w:val="16"/>
                <w:szCs w:val="16"/>
              </w:rPr>
            </w:pPr>
            <w:r w:rsidRPr="00D860CC">
              <w:rPr>
                <w:rFonts w:ascii="Times New Roman" w:hAnsi="Times New Roman" w:cs="Times New Roman"/>
                <w:sz w:val="16"/>
                <w:szCs w:val="16"/>
              </w:rPr>
              <w:t>Comment</w:t>
            </w:r>
          </w:p>
        </w:tc>
      </w:tr>
      <w:tr w:rsidR="009B1955" w:rsidRPr="00D860CC" w14:paraId="5B2EDF66" w14:textId="77777777" w:rsidTr="00807EBA">
        <w:tc>
          <w:tcPr>
            <w:tcW w:w="2099" w:type="dxa"/>
            <w:vMerge w:val="restart"/>
          </w:tcPr>
          <w:p w14:paraId="04854AED" w14:textId="77777777" w:rsidR="009B1955" w:rsidRPr="00D860CC" w:rsidRDefault="009B1955" w:rsidP="00807EBA">
            <w:pPr>
              <w:rPr>
                <w:rFonts w:ascii="Times New Roman" w:hAnsi="Times New Roman" w:cs="Times New Roman"/>
                <w:sz w:val="16"/>
                <w:szCs w:val="16"/>
              </w:rPr>
            </w:pPr>
            <w:r w:rsidRPr="00D860CC">
              <w:rPr>
                <w:rFonts w:ascii="Times New Roman" w:hAnsi="Times New Roman" w:cs="Times New Roman"/>
                <w:sz w:val="16"/>
                <w:szCs w:val="16"/>
              </w:rPr>
              <w:t>How should different types of psychometric properties be considered and tested, based on the item list/measure and the context of its use?</w:t>
            </w:r>
          </w:p>
        </w:tc>
        <w:tc>
          <w:tcPr>
            <w:tcW w:w="1647" w:type="dxa"/>
            <w:vMerge w:val="restart"/>
          </w:tcPr>
          <w:p w14:paraId="08980951" w14:textId="77777777" w:rsidR="009B1955" w:rsidRPr="00D860CC" w:rsidRDefault="009B1955" w:rsidP="00807EBA">
            <w:pPr>
              <w:rPr>
                <w:rFonts w:ascii="Times New Roman" w:hAnsi="Times New Roman" w:cs="Times New Roman"/>
                <w:sz w:val="16"/>
                <w:szCs w:val="16"/>
              </w:rPr>
            </w:pPr>
            <w:r w:rsidRPr="00D860CC">
              <w:rPr>
                <w:rFonts w:ascii="Times New Roman" w:hAnsi="Times New Roman" w:cs="Times New Roman"/>
                <w:sz w:val="16"/>
                <w:szCs w:val="16"/>
              </w:rPr>
              <w:t>Single items &amp; multi-item scales - validity</w:t>
            </w:r>
          </w:p>
        </w:tc>
        <w:tc>
          <w:tcPr>
            <w:tcW w:w="2342" w:type="dxa"/>
          </w:tcPr>
          <w:p w14:paraId="4BAA2A23" w14:textId="77777777" w:rsidR="009B1955" w:rsidRPr="00D860CC" w:rsidRDefault="009B1955" w:rsidP="00807EBA">
            <w:pPr>
              <w:rPr>
                <w:rFonts w:ascii="Times New Roman" w:hAnsi="Times New Roman" w:cs="Times New Roman"/>
                <w:sz w:val="16"/>
                <w:szCs w:val="16"/>
              </w:rPr>
            </w:pPr>
            <w:r w:rsidRPr="00D860CC">
              <w:rPr>
                <w:rFonts w:ascii="Times New Roman" w:hAnsi="Times New Roman" w:cs="Times New Roman"/>
                <w:sz w:val="16"/>
                <w:szCs w:val="16"/>
              </w:rPr>
              <w:t>Johnson et al. (2</w:t>
            </w:r>
            <w:r>
              <w:rPr>
                <w:rFonts w:ascii="Times New Roman" w:hAnsi="Times New Roman" w:cs="Times New Roman"/>
                <w:sz w:val="16"/>
                <w:szCs w:val="16"/>
              </w:rPr>
              <w:t>1</w:t>
            </w:r>
            <w:r w:rsidRPr="00D860CC">
              <w:rPr>
                <w:rFonts w:ascii="Times New Roman" w:hAnsi="Times New Roman" w:cs="Times New Roman"/>
                <w:sz w:val="16"/>
                <w:szCs w:val="16"/>
              </w:rPr>
              <w:t>)*</w:t>
            </w:r>
          </w:p>
        </w:tc>
        <w:tc>
          <w:tcPr>
            <w:tcW w:w="801" w:type="dxa"/>
          </w:tcPr>
          <w:p w14:paraId="5A1F6604" w14:textId="77777777" w:rsidR="009B1955" w:rsidRPr="00D860CC" w:rsidRDefault="009B1955" w:rsidP="00807EBA">
            <w:pPr>
              <w:rPr>
                <w:rFonts w:ascii="Times New Roman" w:hAnsi="Times New Roman" w:cs="Times New Roman"/>
                <w:sz w:val="16"/>
                <w:szCs w:val="16"/>
              </w:rPr>
            </w:pPr>
            <w:r w:rsidRPr="00D860CC">
              <w:rPr>
                <w:rFonts w:ascii="Times New Roman" w:hAnsi="Times New Roman" w:cs="Times New Roman"/>
                <w:sz w:val="16"/>
                <w:szCs w:val="16"/>
              </w:rPr>
              <w:t>2011</w:t>
            </w:r>
          </w:p>
        </w:tc>
        <w:tc>
          <w:tcPr>
            <w:tcW w:w="5286" w:type="dxa"/>
          </w:tcPr>
          <w:p w14:paraId="0199977A" w14:textId="77777777" w:rsidR="009B1955" w:rsidRPr="00D860CC" w:rsidRDefault="009B1955" w:rsidP="00807EBA">
            <w:pPr>
              <w:rPr>
                <w:rFonts w:ascii="Times New Roman" w:hAnsi="Times New Roman" w:cs="Times New Roman"/>
                <w:sz w:val="16"/>
                <w:szCs w:val="16"/>
              </w:rPr>
            </w:pPr>
            <w:r w:rsidRPr="00D860CC">
              <w:rPr>
                <w:rFonts w:ascii="Times New Roman" w:hAnsi="Times New Roman" w:cs="Times New Roman"/>
                <w:sz w:val="16"/>
                <w:szCs w:val="16"/>
              </w:rPr>
              <w:t>EORTC Quality of Life Group Guidelines for Developing Questionnaire Modules 4</w:t>
            </w:r>
            <w:r w:rsidRPr="00D860CC">
              <w:rPr>
                <w:rFonts w:ascii="Times New Roman" w:hAnsi="Times New Roman" w:cs="Times New Roman"/>
                <w:sz w:val="16"/>
                <w:szCs w:val="16"/>
                <w:vertAlign w:val="superscript"/>
              </w:rPr>
              <w:t>th</w:t>
            </w:r>
            <w:r w:rsidRPr="00D860CC">
              <w:rPr>
                <w:rFonts w:ascii="Times New Roman" w:hAnsi="Times New Roman" w:cs="Times New Roman"/>
                <w:sz w:val="16"/>
                <w:szCs w:val="16"/>
              </w:rPr>
              <w:t xml:space="preserve"> Ed.</w:t>
            </w:r>
          </w:p>
        </w:tc>
        <w:tc>
          <w:tcPr>
            <w:tcW w:w="1773" w:type="dxa"/>
          </w:tcPr>
          <w:p w14:paraId="7C54C5A2" w14:textId="77777777" w:rsidR="009B1955" w:rsidRPr="00D860CC" w:rsidRDefault="009B1955" w:rsidP="00807EBA">
            <w:pPr>
              <w:rPr>
                <w:rFonts w:ascii="Times New Roman" w:hAnsi="Times New Roman" w:cs="Times New Roman"/>
                <w:sz w:val="16"/>
                <w:szCs w:val="16"/>
              </w:rPr>
            </w:pPr>
            <w:r w:rsidRPr="00D860CC">
              <w:rPr>
                <w:rFonts w:ascii="Times New Roman" w:hAnsi="Times New Roman" w:cs="Times New Roman"/>
                <w:sz w:val="16"/>
                <w:szCs w:val="16"/>
              </w:rPr>
              <w:t>Manual</w:t>
            </w:r>
          </w:p>
        </w:tc>
      </w:tr>
      <w:tr w:rsidR="009B1955" w:rsidRPr="00D860CC" w14:paraId="5004C2F5" w14:textId="77777777" w:rsidTr="00807EBA">
        <w:tc>
          <w:tcPr>
            <w:tcW w:w="2099" w:type="dxa"/>
            <w:vMerge/>
          </w:tcPr>
          <w:p w14:paraId="303D21B3" w14:textId="77777777" w:rsidR="009B1955" w:rsidRPr="00D860CC" w:rsidRDefault="009B1955" w:rsidP="00807EBA">
            <w:pPr>
              <w:rPr>
                <w:rFonts w:ascii="Times New Roman" w:hAnsi="Times New Roman" w:cs="Times New Roman"/>
                <w:sz w:val="16"/>
                <w:szCs w:val="16"/>
              </w:rPr>
            </w:pPr>
          </w:p>
        </w:tc>
        <w:tc>
          <w:tcPr>
            <w:tcW w:w="1647" w:type="dxa"/>
            <w:vMerge/>
          </w:tcPr>
          <w:p w14:paraId="34429B1B" w14:textId="77777777" w:rsidR="009B1955" w:rsidRPr="00D860CC" w:rsidRDefault="009B1955" w:rsidP="00807EBA">
            <w:pPr>
              <w:rPr>
                <w:rFonts w:ascii="Times New Roman" w:hAnsi="Times New Roman" w:cs="Times New Roman"/>
                <w:sz w:val="16"/>
                <w:szCs w:val="16"/>
              </w:rPr>
            </w:pPr>
          </w:p>
        </w:tc>
        <w:tc>
          <w:tcPr>
            <w:tcW w:w="2342" w:type="dxa"/>
          </w:tcPr>
          <w:p w14:paraId="7A4534CB" w14:textId="77777777" w:rsidR="009B1955" w:rsidRPr="00D860CC" w:rsidRDefault="009B1955" w:rsidP="00807EBA">
            <w:pPr>
              <w:rPr>
                <w:rFonts w:ascii="Times New Roman" w:hAnsi="Times New Roman" w:cs="Times New Roman"/>
                <w:sz w:val="16"/>
                <w:szCs w:val="16"/>
              </w:rPr>
            </w:pPr>
            <w:proofErr w:type="spellStart"/>
            <w:r w:rsidRPr="00D860CC">
              <w:rPr>
                <w:rFonts w:ascii="Times New Roman" w:hAnsi="Times New Roman" w:cs="Times New Roman"/>
                <w:sz w:val="16"/>
                <w:szCs w:val="16"/>
              </w:rPr>
              <w:t>Bjordal</w:t>
            </w:r>
            <w:proofErr w:type="spellEnd"/>
            <w:r w:rsidRPr="00D860CC">
              <w:rPr>
                <w:rFonts w:ascii="Times New Roman" w:hAnsi="Times New Roman" w:cs="Times New Roman"/>
                <w:sz w:val="16"/>
                <w:szCs w:val="16"/>
              </w:rPr>
              <w:t xml:space="preserve"> et al. (2</w:t>
            </w:r>
            <w:r>
              <w:rPr>
                <w:rFonts w:ascii="Times New Roman" w:hAnsi="Times New Roman" w:cs="Times New Roman"/>
                <w:sz w:val="16"/>
                <w:szCs w:val="16"/>
              </w:rPr>
              <w:t>2</w:t>
            </w:r>
            <w:r w:rsidRPr="00D860CC">
              <w:rPr>
                <w:rFonts w:ascii="Times New Roman" w:hAnsi="Times New Roman" w:cs="Times New Roman"/>
                <w:sz w:val="16"/>
                <w:szCs w:val="16"/>
              </w:rPr>
              <w:t>)*</w:t>
            </w:r>
          </w:p>
        </w:tc>
        <w:tc>
          <w:tcPr>
            <w:tcW w:w="801" w:type="dxa"/>
          </w:tcPr>
          <w:p w14:paraId="4C0755B8" w14:textId="77777777" w:rsidR="009B1955" w:rsidRPr="00D860CC" w:rsidRDefault="009B1955" w:rsidP="00807EBA">
            <w:pPr>
              <w:rPr>
                <w:rFonts w:ascii="Times New Roman" w:hAnsi="Times New Roman" w:cs="Times New Roman"/>
                <w:sz w:val="16"/>
                <w:szCs w:val="16"/>
              </w:rPr>
            </w:pPr>
            <w:r w:rsidRPr="00D860CC">
              <w:rPr>
                <w:rFonts w:ascii="Times New Roman" w:hAnsi="Times New Roman" w:cs="Times New Roman"/>
                <w:sz w:val="16"/>
                <w:szCs w:val="16"/>
              </w:rPr>
              <w:t>2021</w:t>
            </w:r>
          </w:p>
        </w:tc>
        <w:tc>
          <w:tcPr>
            <w:tcW w:w="5286" w:type="dxa"/>
          </w:tcPr>
          <w:p w14:paraId="507044FE" w14:textId="77777777" w:rsidR="009B1955" w:rsidRPr="00D860CC" w:rsidRDefault="009B1955" w:rsidP="00807EBA">
            <w:pPr>
              <w:rPr>
                <w:rFonts w:ascii="Times New Roman" w:hAnsi="Times New Roman" w:cs="Times New Roman"/>
                <w:sz w:val="16"/>
                <w:szCs w:val="16"/>
              </w:rPr>
            </w:pPr>
            <w:r w:rsidRPr="00D860CC">
              <w:rPr>
                <w:rFonts w:ascii="Times New Roman" w:hAnsi="Times New Roman" w:cs="Times New Roman"/>
                <w:sz w:val="16"/>
                <w:szCs w:val="16"/>
              </w:rPr>
              <w:t>EORTC Quality of Life Group Module Development Guidelines [Internet]. 5th ed</w:t>
            </w:r>
          </w:p>
        </w:tc>
        <w:tc>
          <w:tcPr>
            <w:tcW w:w="1773" w:type="dxa"/>
          </w:tcPr>
          <w:p w14:paraId="7E13933F" w14:textId="77777777" w:rsidR="009B1955" w:rsidRPr="00D860CC" w:rsidRDefault="009B1955" w:rsidP="00807EBA">
            <w:pPr>
              <w:rPr>
                <w:rFonts w:ascii="Times New Roman" w:hAnsi="Times New Roman" w:cs="Times New Roman"/>
                <w:sz w:val="16"/>
                <w:szCs w:val="16"/>
              </w:rPr>
            </w:pPr>
            <w:r w:rsidRPr="00D860CC">
              <w:rPr>
                <w:rFonts w:ascii="Times New Roman" w:hAnsi="Times New Roman" w:cs="Times New Roman"/>
                <w:sz w:val="16"/>
                <w:szCs w:val="16"/>
              </w:rPr>
              <w:t>Manual</w:t>
            </w:r>
          </w:p>
        </w:tc>
      </w:tr>
      <w:tr w:rsidR="009B1955" w:rsidRPr="00D860CC" w14:paraId="72A19468" w14:textId="77777777" w:rsidTr="00807EBA">
        <w:tc>
          <w:tcPr>
            <w:tcW w:w="2099" w:type="dxa"/>
            <w:vMerge/>
          </w:tcPr>
          <w:p w14:paraId="61B82092" w14:textId="77777777" w:rsidR="009B1955" w:rsidRPr="00D860CC" w:rsidRDefault="009B1955" w:rsidP="00807EBA">
            <w:pPr>
              <w:rPr>
                <w:rFonts w:ascii="Times New Roman" w:hAnsi="Times New Roman" w:cs="Times New Roman"/>
                <w:sz w:val="16"/>
                <w:szCs w:val="16"/>
              </w:rPr>
            </w:pPr>
          </w:p>
        </w:tc>
        <w:tc>
          <w:tcPr>
            <w:tcW w:w="1647" w:type="dxa"/>
            <w:vMerge/>
          </w:tcPr>
          <w:p w14:paraId="6FC66CA2" w14:textId="77777777" w:rsidR="009B1955" w:rsidRPr="00D860CC" w:rsidRDefault="009B1955" w:rsidP="00807EBA">
            <w:pPr>
              <w:rPr>
                <w:rFonts w:ascii="Times New Roman" w:hAnsi="Times New Roman" w:cs="Times New Roman"/>
                <w:sz w:val="16"/>
                <w:szCs w:val="16"/>
              </w:rPr>
            </w:pPr>
          </w:p>
        </w:tc>
        <w:tc>
          <w:tcPr>
            <w:tcW w:w="2342" w:type="dxa"/>
          </w:tcPr>
          <w:p w14:paraId="2A427CC3" w14:textId="77777777" w:rsidR="009B1955" w:rsidRPr="00D860CC" w:rsidRDefault="009B1955" w:rsidP="00807EBA">
            <w:pPr>
              <w:rPr>
                <w:rFonts w:ascii="Times New Roman" w:hAnsi="Times New Roman" w:cs="Times New Roman"/>
                <w:sz w:val="16"/>
                <w:szCs w:val="16"/>
              </w:rPr>
            </w:pPr>
            <w:r w:rsidRPr="00D860CC">
              <w:rPr>
                <w:rFonts w:ascii="Times New Roman" w:hAnsi="Times New Roman" w:cs="Times New Roman"/>
                <w:sz w:val="16"/>
                <w:szCs w:val="16"/>
              </w:rPr>
              <w:t>FDA (</w:t>
            </w:r>
            <w:r>
              <w:rPr>
                <w:rFonts w:ascii="Times New Roman" w:hAnsi="Times New Roman" w:cs="Times New Roman"/>
                <w:sz w:val="16"/>
                <w:szCs w:val="16"/>
              </w:rPr>
              <w:t>20</w:t>
            </w:r>
            <w:r w:rsidRPr="00D860CC">
              <w:rPr>
                <w:rFonts w:ascii="Times New Roman" w:hAnsi="Times New Roman" w:cs="Times New Roman"/>
                <w:sz w:val="16"/>
                <w:szCs w:val="16"/>
              </w:rPr>
              <w:t>)*</w:t>
            </w:r>
          </w:p>
        </w:tc>
        <w:tc>
          <w:tcPr>
            <w:tcW w:w="801" w:type="dxa"/>
          </w:tcPr>
          <w:p w14:paraId="53B90CB2" w14:textId="77777777" w:rsidR="009B1955" w:rsidRPr="00D860CC" w:rsidRDefault="009B1955" w:rsidP="00807EBA">
            <w:pPr>
              <w:rPr>
                <w:rFonts w:ascii="Times New Roman" w:hAnsi="Times New Roman" w:cs="Times New Roman"/>
                <w:sz w:val="16"/>
                <w:szCs w:val="16"/>
              </w:rPr>
            </w:pPr>
            <w:r w:rsidRPr="00D860CC">
              <w:rPr>
                <w:rFonts w:ascii="Times New Roman" w:hAnsi="Times New Roman" w:cs="Times New Roman"/>
                <w:sz w:val="16"/>
                <w:szCs w:val="16"/>
              </w:rPr>
              <w:t>2009</w:t>
            </w:r>
          </w:p>
        </w:tc>
        <w:tc>
          <w:tcPr>
            <w:tcW w:w="5286" w:type="dxa"/>
          </w:tcPr>
          <w:p w14:paraId="7D28E9EB" w14:textId="77777777" w:rsidR="009B1955" w:rsidRPr="00D860CC" w:rsidRDefault="009B1955" w:rsidP="00807EBA">
            <w:pPr>
              <w:rPr>
                <w:rFonts w:ascii="Times New Roman" w:hAnsi="Times New Roman" w:cs="Times New Roman"/>
                <w:sz w:val="16"/>
                <w:szCs w:val="16"/>
              </w:rPr>
            </w:pPr>
            <w:r w:rsidRPr="00D860CC">
              <w:rPr>
                <w:rFonts w:ascii="Times New Roman" w:hAnsi="Times New Roman" w:cs="Times New Roman"/>
                <w:sz w:val="16"/>
                <w:szCs w:val="16"/>
              </w:rPr>
              <w:t xml:space="preserve">Guidance for Industry; Patient-Reported Outcome Measures: Use in Medical Product Development to Support </w:t>
            </w:r>
            <w:proofErr w:type="spellStart"/>
            <w:r w:rsidRPr="00D860CC">
              <w:rPr>
                <w:rFonts w:ascii="Times New Roman" w:hAnsi="Times New Roman" w:cs="Times New Roman"/>
                <w:sz w:val="16"/>
                <w:szCs w:val="16"/>
              </w:rPr>
              <w:t>Labeling</w:t>
            </w:r>
            <w:proofErr w:type="spellEnd"/>
            <w:r w:rsidRPr="00D860CC">
              <w:rPr>
                <w:rFonts w:ascii="Times New Roman" w:hAnsi="Times New Roman" w:cs="Times New Roman"/>
                <w:sz w:val="16"/>
                <w:szCs w:val="16"/>
              </w:rPr>
              <w:t xml:space="preserve"> Claims</w:t>
            </w:r>
          </w:p>
        </w:tc>
        <w:tc>
          <w:tcPr>
            <w:tcW w:w="1773" w:type="dxa"/>
          </w:tcPr>
          <w:p w14:paraId="25A2D3BC" w14:textId="77777777" w:rsidR="009B1955" w:rsidRPr="00D860CC" w:rsidRDefault="009B1955" w:rsidP="00807EBA">
            <w:pPr>
              <w:rPr>
                <w:rFonts w:ascii="Times New Roman" w:hAnsi="Times New Roman" w:cs="Times New Roman"/>
                <w:sz w:val="16"/>
                <w:szCs w:val="16"/>
              </w:rPr>
            </w:pPr>
            <w:r w:rsidRPr="00D860CC">
              <w:rPr>
                <w:rFonts w:ascii="Times New Roman" w:hAnsi="Times New Roman" w:cs="Times New Roman"/>
                <w:sz w:val="16"/>
                <w:szCs w:val="16"/>
              </w:rPr>
              <w:t>Guidance document</w:t>
            </w:r>
          </w:p>
        </w:tc>
      </w:tr>
      <w:tr w:rsidR="009B1955" w:rsidRPr="00D860CC" w14:paraId="7E32AF8A" w14:textId="77777777" w:rsidTr="00807EBA">
        <w:tc>
          <w:tcPr>
            <w:tcW w:w="2099" w:type="dxa"/>
            <w:vMerge/>
          </w:tcPr>
          <w:p w14:paraId="3BC75411" w14:textId="77777777" w:rsidR="009B1955" w:rsidRPr="00D860CC" w:rsidRDefault="009B1955" w:rsidP="00807EBA">
            <w:pPr>
              <w:rPr>
                <w:rFonts w:ascii="Times New Roman" w:hAnsi="Times New Roman" w:cs="Times New Roman"/>
                <w:sz w:val="16"/>
                <w:szCs w:val="16"/>
              </w:rPr>
            </w:pPr>
          </w:p>
        </w:tc>
        <w:tc>
          <w:tcPr>
            <w:tcW w:w="1647" w:type="dxa"/>
            <w:vMerge/>
          </w:tcPr>
          <w:p w14:paraId="68F0D46F" w14:textId="77777777" w:rsidR="009B1955" w:rsidRPr="00D860CC" w:rsidRDefault="009B1955" w:rsidP="00807EBA">
            <w:pPr>
              <w:rPr>
                <w:rFonts w:ascii="Times New Roman" w:hAnsi="Times New Roman" w:cs="Times New Roman"/>
                <w:sz w:val="16"/>
                <w:szCs w:val="16"/>
              </w:rPr>
            </w:pPr>
          </w:p>
        </w:tc>
        <w:tc>
          <w:tcPr>
            <w:tcW w:w="2342" w:type="dxa"/>
          </w:tcPr>
          <w:p w14:paraId="7A12925E" w14:textId="77777777" w:rsidR="009B1955" w:rsidRPr="00D860CC" w:rsidRDefault="009B1955" w:rsidP="00807EBA">
            <w:pPr>
              <w:rPr>
                <w:rFonts w:ascii="Times New Roman" w:hAnsi="Times New Roman" w:cs="Times New Roman"/>
                <w:sz w:val="16"/>
                <w:szCs w:val="16"/>
              </w:rPr>
            </w:pPr>
            <w:proofErr w:type="spellStart"/>
            <w:r w:rsidRPr="00D860CC">
              <w:rPr>
                <w:rFonts w:ascii="Times New Roman" w:hAnsi="Times New Roman" w:cs="Times New Roman"/>
                <w:sz w:val="16"/>
                <w:szCs w:val="16"/>
              </w:rPr>
              <w:t>Terwee</w:t>
            </w:r>
            <w:proofErr w:type="spellEnd"/>
            <w:r w:rsidRPr="00D860CC">
              <w:rPr>
                <w:rFonts w:ascii="Times New Roman" w:hAnsi="Times New Roman" w:cs="Times New Roman"/>
                <w:sz w:val="16"/>
                <w:szCs w:val="16"/>
              </w:rPr>
              <w:t xml:space="preserve"> et al. (4</w:t>
            </w:r>
            <w:r>
              <w:rPr>
                <w:rFonts w:ascii="Times New Roman" w:hAnsi="Times New Roman" w:cs="Times New Roman"/>
                <w:sz w:val="16"/>
                <w:szCs w:val="16"/>
              </w:rPr>
              <w:t>2</w:t>
            </w:r>
            <w:r w:rsidRPr="00D860CC">
              <w:rPr>
                <w:rFonts w:ascii="Times New Roman" w:hAnsi="Times New Roman" w:cs="Times New Roman"/>
                <w:sz w:val="16"/>
                <w:szCs w:val="16"/>
              </w:rPr>
              <w:t>)</w:t>
            </w:r>
          </w:p>
        </w:tc>
        <w:tc>
          <w:tcPr>
            <w:tcW w:w="801" w:type="dxa"/>
          </w:tcPr>
          <w:p w14:paraId="35861D81" w14:textId="77777777" w:rsidR="009B1955" w:rsidRPr="00D860CC" w:rsidRDefault="009B1955" w:rsidP="00807EBA">
            <w:pPr>
              <w:rPr>
                <w:rFonts w:ascii="Times New Roman" w:hAnsi="Times New Roman" w:cs="Times New Roman"/>
                <w:sz w:val="16"/>
                <w:szCs w:val="16"/>
              </w:rPr>
            </w:pPr>
            <w:r w:rsidRPr="00D860CC">
              <w:rPr>
                <w:rFonts w:ascii="Times New Roman" w:hAnsi="Times New Roman" w:cs="Times New Roman"/>
                <w:sz w:val="16"/>
                <w:szCs w:val="16"/>
              </w:rPr>
              <w:t>2018</w:t>
            </w:r>
          </w:p>
        </w:tc>
        <w:tc>
          <w:tcPr>
            <w:tcW w:w="5286" w:type="dxa"/>
          </w:tcPr>
          <w:p w14:paraId="7526B35B" w14:textId="77777777" w:rsidR="009B1955" w:rsidRPr="00D860CC" w:rsidRDefault="009B1955" w:rsidP="00807EBA">
            <w:pPr>
              <w:rPr>
                <w:rFonts w:ascii="Times New Roman" w:hAnsi="Times New Roman" w:cs="Times New Roman"/>
                <w:sz w:val="16"/>
                <w:szCs w:val="16"/>
              </w:rPr>
            </w:pPr>
            <w:r w:rsidRPr="00D860CC">
              <w:rPr>
                <w:rFonts w:ascii="Times New Roman" w:hAnsi="Times New Roman" w:cs="Times New Roman"/>
                <w:sz w:val="16"/>
                <w:szCs w:val="16"/>
              </w:rPr>
              <w:t>COSMIN methodology for evaluating the content validity of patient-reported outcome measures: a Delphi study</w:t>
            </w:r>
          </w:p>
        </w:tc>
        <w:tc>
          <w:tcPr>
            <w:tcW w:w="1773" w:type="dxa"/>
          </w:tcPr>
          <w:p w14:paraId="68BB8D90" w14:textId="77777777" w:rsidR="009B1955" w:rsidRPr="00D860CC" w:rsidRDefault="009B1955" w:rsidP="00807EBA">
            <w:pPr>
              <w:rPr>
                <w:rFonts w:ascii="Times New Roman" w:hAnsi="Times New Roman" w:cs="Times New Roman"/>
                <w:sz w:val="16"/>
                <w:szCs w:val="16"/>
              </w:rPr>
            </w:pPr>
            <w:r w:rsidRPr="00D860CC">
              <w:rPr>
                <w:rFonts w:ascii="Times New Roman" w:hAnsi="Times New Roman" w:cs="Times New Roman"/>
                <w:sz w:val="16"/>
                <w:szCs w:val="16"/>
              </w:rPr>
              <w:t>Article</w:t>
            </w:r>
          </w:p>
        </w:tc>
      </w:tr>
      <w:tr w:rsidR="009B1955" w:rsidRPr="00D860CC" w14:paraId="1678D10C" w14:textId="77777777" w:rsidTr="00807EBA">
        <w:tc>
          <w:tcPr>
            <w:tcW w:w="2099" w:type="dxa"/>
            <w:vMerge/>
          </w:tcPr>
          <w:p w14:paraId="7985465A" w14:textId="77777777" w:rsidR="009B1955" w:rsidRPr="00D860CC" w:rsidRDefault="009B1955" w:rsidP="00807EBA">
            <w:pPr>
              <w:rPr>
                <w:rFonts w:ascii="Times New Roman" w:hAnsi="Times New Roman" w:cs="Times New Roman"/>
                <w:sz w:val="16"/>
                <w:szCs w:val="16"/>
              </w:rPr>
            </w:pPr>
          </w:p>
        </w:tc>
        <w:tc>
          <w:tcPr>
            <w:tcW w:w="1647" w:type="dxa"/>
            <w:vMerge/>
          </w:tcPr>
          <w:p w14:paraId="08E8E967" w14:textId="77777777" w:rsidR="009B1955" w:rsidRPr="00D860CC" w:rsidRDefault="009B1955" w:rsidP="00807EBA">
            <w:pPr>
              <w:rPr>
                <w:rFonts w:ascii="Times New Roman" w:hAnsi="Times New Roman" w:cs="Times New Roman"/>
                <w:sz w:val="16"/>
                <w:szCs w:val="16"/>
              </w:rPr>
            </w:pPr>
          </w:p>
        </w:tc>
        <w:tc>
          <w:tcPr>
            <w:tcW w:w="2342" w:type="dxa"/>
          </w:tcPr>
          <w:p w14:paraId="6A4ECDE3" w14:textId="77777777" w:rsidR="009B1955" w:rsidRPr="00D860CC" w:rsidRDefault="009B1955" w:rsidP="00807EBA">
            <w:pPr>
              <w:rPr>
                <w:rFonts w:ascii="Times New Roman" w:hAnsi="Times New Roman" w:cs="Times New Roman"/>
                <w:sz w:val="16"/>
                <w:szCs w:val="16"/>
              </w:rPr>
            </w:pPr>
            <w:proofErr w:type="spellStart"/>
            <w:r w:rsidRPr="00D860CC">
              <w:rPr>
                <w:rFonts w:ascii="Times New Roman" w:hAnsi="Times New Roman" w:cs="Times New Roman"/>
                <w:sz w:val="16"/>
                <w:szCs w:val="16"/>
              </w:rPr>
              <w:t>Fayers</w:t>
            </w:r>
            <w:proofErr w:type="spellEnd"/>
            <w:r w:rsidRPr="00D860CC">
              <w:rPr>
                <w:rFonts w:ascii="Times New Roman" w:hAnsi="Times New Roman" w:cs="Times New Roman"/>
                <w:sz w:val="16"/>
                <w:szCs w:val="16"/>
              </w:rPr>
              <w:t xml:space="preserve"> et al. (</w:t>
            </w:r>
            <w:r>
              <w:rPr>
                <w:rFonts w:ascii="Times New Roman" w:hAnsi="Times New Roman" w:cs="Times New Roman"/>
                <w:sz w:val="16"/>
                <w:szCs w:val="16"/>
              </w:rPr>
              <w:t>37</w:t>
            </w:r>
            <w:r w:rsidRPr="00D860CC">
              <w:rPr>
                <w:rFonts w:ascii="Times New Roman" w:hAnsi="Times New Roman" w:cs="Times New Roman"/>
                <w:sz w:val="16"/>
                <w:szCs w:val="16"/>
              </w:rPr>
              <w:t>)</w:t>
            </w:r>
            <w:r>
              <w:rPr>
                <w:rFonts w:ascii="Times New Roman" w:hAnsi="Times New Roman" w:cs="Times New Roman"/>
                <w:sz w:val="16"/>
                <w:szCs w:val="16"/>
              </w:rPr>
              <w:t>*</w:t>
            </w:r>
          </w:p>
        </w:tc>
        <w:tc>
          <w:tcPr>
            <w:tcW w:w="801" w:type="dxa"/>
          </w:tcPr>
          <w:p w14:paraId="6C3D6384" w14:textId="77777777" w:rsidR="009B1955" w:rsidRPr="00D860CC" w:rsidRDefault="009B1955" w:rsidP="00807EBA">
            <w:pPr>
              <w:rPr>
                <w:rFonts w:ascii="Times New Roman" w:hAnsi="Times New Roman" w:cs="Times New Roman"/>
                <w:sz w:val="16"/>
                <w:szCs w:val="16"/>
              </w:rPr>
            </w:pPr>
            <w:r w:rsidRPr="00D860CC">
              <w:rPr>
                <w:rFonts w:ascii="Times New Roman" w:hAnsi="Times New Roman" w:cs="Times New Roman"/>
                <w:sz w:val="16"/>
                <w:szCs w:val="16"/>
              </w:rPr>
              <w:t>201</w:t>
            </w:r>
            <w:r>
              <w:rPr>
                <w:rFonts w:ascii="Times New Roman" w:hAnsi="Times New Roman" w:cs="Times New Roman"/>
                <w:sz w:val="16"/>
                <w:szCs w:val="16"/>
              </w:rPr>
              <w:t>6</w:t>
            </w:r>
          </w:p>
        </w:tc>
        <w:tc>
          <w:tcPr>
            <w:tcW w:w="5286" w:type="dxa"/>
          </w:tcPr>
          <w:p w14:paraId="0A1FA7EE" w14:textId="77777777" w:rsidR="009B1955" w:rsidRPr="00D860CC" w:rsidRDefault="009B1955" w:rsidP="00807EBA">
            <w:pPr>
              <w:rPr>
                <w:rFonts w:ascii="Times New Roman" w:hAnsi="Times New Roman" w:cs="Times New Roman"/>
                <w:sz w:val="16"/>
                <w:szCs w:val="16"/>
              </w:rPr>
            </w:pPr>
            <w:r w:rsidRPr="00D860CC">
              <w:rPr>
                <w:rFonts w:ascii="Times New Roman" w:hAnsi="Times New Roman" w:cs="Times New Roman"/>
                <w:sz w:val="16"/>
                <w:szCs w:val="16"/>
              </w:rPr>
              <w:t>Quality of Life: The Assessment, Analysis and Interpretation of Patient-reported Outcomes.</w:t>
            </w:r>
            <w:r>
              <w:rPr>
                <w:rFonts w:ascii="Times New Roman" w:hAnsi="Times New Roman" w:cs="Times New Roman"/>
                <w:sz w:val="16"/>
                <w:szCs w:val="16"/>
              </w:rPr>
              <w:t xml:space="preserve"> 3rd</w:t>
            </w:r>
            <w:r w:rsidRPr="00D860CC">
              <w:rPr>
                <w:rFonts w:ascii="Times New Roman" w:hAnsi="Times New Roman" w:cs="Times New Roman"/>
                <w:sz w:val="16"/>
                <w:szCs w:val="16"/>
              </w:rPr>
              <w:t xml:space="preserve"> Ed.</w:t>
            </w:r>
          </w:p>
        </w:tc>
        <w:tc>
          <w:tcPr>
            <w:tcW w:w="1773" w:type="dxa"/>
          </w:tcPr>
          <w:p w14:paraId="7B7A1B5E" w14:textId="77777777" w:rsidR="009B1955" w:rsidRPr="00D860CC" w:rsidRDefault="009B1955" w:rsidP="00807EBA">
            <w:pPr>
              <w:rPr>
                <w:rFonts w:ascii="Times New Roman" w:hAnsi="Times New Roman" w:cs="Times New Roman"/>
                <w:sz w:val="16"/>
                <w:szCs w:val="16"/>
              </w:rPr>
            </w:pPr>
            <w:r w:rsidRPr="00D860CC">
              <w:rPr>
                <w:rFonts w:ascii="Times New Roman" w:hAnsi="Times New Roman" w:cs="Times New Roman"/>
                <w:sz w:val="16"/>
                <w:szCs w:val="16"/>
              </w:rPr>
              <w:t>Book</w:t>
            </w:r>
          </w:p>
        </w:tc>
      </w:tr>
      <w:tr w:rsidR="009B1955" w:rsidRPr="00D860CC" w14:paraId="2209B5A1" w14:textId="77777777" w:rsidTr="00807EBA">
        <w:tc>
          <w:tcPr>
            <w:tcW w:w="2099" w:type="dxa"/>
            <w:vMerge/>
          </w:tcPr>
          <w:p w14:paraId="33F8826A" w14:textId="77777777" w:rsidR="009B1955" w:rsidRPr="00D860CC" w:rsidRDefault="009B1955" w:rsidP="00807EBA">
            <w:pPr>
              <w:rPr>
                <w:rFonts w:ascii="Times New Roman" w:hAnsi="Times New Roman" w:cs="Times New Roman"/>
                <w:sz w:val="16"/>
                <w:szCs w:val="16"/>
              </w:rPr>
            </w:pPr>
          </w:p>
        </w:tc>
        <w:tc>
          <w:tcPr>
            <w:tcW w:w="1647" w:type="dxa"/>
            <w:vMerge w:val="restart"/>
          </w:tcPr>
          <w:p w14:paraId="5FAFFA2B" w14:textId="77777777" w:rsidR="009B1955" w:rsidRPr="00D860CC" w:rsidRDefault="009B1955" w:rsidP="00807EBA">
            <w:pPr>
              <w:rPr>
                <w:rFonts w:ascii="Times New Roman" w:hAnsi="Times New Roman" w:cs="Times New Roman"/>
                <w:sz w:val="16"/>
                <w:szCs w:val="16"/>
              </w:rPr>
            </w:pPr>
            <w:r w:rsidRPr="00D860CC">
              <w:rPr>
                <w:rFonts w:ascii="Times New Roman" w:hAnsi="Times New Roman" w:cs="Times New Roman"/>
                <w:sz w:val="16"/>
                <w:szCs w:val="16"/>
              </w:rPr>
              <w:t>Single items &amp; multi-item scales - reliability</w:t>
            </w:r>
          </w:p>
        </w:tc>
        <w:tc>
          <w:tcPr>
            <w:tcW w:w="2342" w:type="dxa"/>
          </w:tcPr>
          <w:p w14:paraId="7D1D1F68" w14:textId="77777777" w:rsidR="009B1955" w:rsidRPr="00D860CC" w:rsidRDefault="009B1955" w:rsidP="00807EBA">
            <w:pPr>
              <w:rPr>
                <w:rFonts w:ascii="Times New Roman" w:hAnsi="Times New Roman" w:cs="Times New Roman"/>
                <w:sz w:val="16"/>
                <w:szCs w:val="16"/>
              </w:rPr>
            </w:pPr>
            <w:r w:rsidRPr="00D860CC">
              <w:rPr>
                <w:rFonts w:ascii="Times New Roman" w:hAnsi="Times New Roman" w:cs="Times New Roman"/>
                <w:sz w:val="16"/>
                <w:szCs w:val="16"/>
              </w:rPr>
              <w:t>Nunnally et al. (</w:t>
            </w:r>
            <w:r>
              <w:rPr>
                <w:rFonts w:ascii="Times New Roman" w:hAnsi="Times New Roman" w:cs="Times New Roman"/>
                <w:sz w:val="16"/>
                <w:szCs w:val="16"/>
              </w:rPr>
              <w:t>43</w:t>
            </w:r>
            <w:r w:rsidRPr="00D860CC">
              <w:rPr>
                <w:rFonts w:ascii="Times New Roman" w:hAnsi="Times New Roman" w:cs="Times New Roman"/>
                <w:sz w:val="16"/>
                <w:szCs w:val="16"/>
              </w:rPr>
              <w:t>)</w:t>
            </w:r>
          </w:p>
        </w:tc>
        <w:tc>
          <w:tcPr>
            <w:tcW w:w="801" w:type="dxa"/>
          </w:tcPr>
          <w:p w14:paraId="614AC62D" w14:textId="77777777" w:rsidR="009B1955" w:rsidRPr="00D860CC" w:rsidRDefault="009B1955" w:rsidP="00807EBA">
            <w:pPr>
              <w:rPr>
                <w:rFonts w:ascii="Times New Roman" w:hAnsi="Times New Roman" w:cs="Times New Roman"/>
                <w:sz w:val="16"/>
                <w:szCs w:val="16"/>
              </w:rPr>
            </w:pPr>
            <w:r w:rsidRPr="00D860CC">
              <w:rPr>
                <w:rFonts w:ascii="Times New Roman" w:hAnsi="Times New Roman" w:cs="Times New Roman"/>
                <w:sz w:val="16"/>
                <w:szCs w:val="16"/>
              </w:rPr>
              <w:t>1994</w:t>
            </w:r>
          </w:p>
        </w:tc>
        <w:tc>
          <w:tcPr>
            <w:tcW w:w="5286" w:type="dxa"/>
          </w:tcPr>
          <w:p w14:paraId="0CA18DAF" w14:textId="77777777" w:rsidR="009B1955" w:rsidRPr="00D860CC" w:rsidRDefault="009B1955" w:rsidP="00807EBA">
            <w:pPr>
              <w:rPr>
                <w:rFonts w:ascii="Times New Roman" w:hAnsi="Times New Roman" w:cs="Times New Roman"/>
                <w:sz w:val="16"/>
                <w:szCs w:val="16"/>
              </w:rPr>
            </w:pPr>
            <w:r w:rsidRPr="00D860CC">
              <w:rPr>
                <w:rFonts w:ascii="Times New Roman" w:hAnsi="Times New Roman" w:cs="Times New Roman"/>
                <w:sz w:val="16"/>
                <w:szCs w:val="16"/>
              </w:rPr>
              <w:t>Psychometric Methods. 3rd Ed.</w:t>
            </w:r>
          </w:p>
        </w:tc>
        <w:tc>
          <w:tcPr>
            <w:tcW w:w="1773" w:type="dxa"/>
          </w:tcPr>
          <w:p w14:paraId="2CC5242E" w14:textId="77777777" w:rsidR="009B1955" w:rsidRPr="00D860CC" w:rsidRDefault="009B1955" w:rsidP="00807EBA">
            <w:pPr>
              <w:rPr>
                <w:rFonts w:ascii="Times New Roman" w:hAnsi="Times New Roman" w:cs="Times New Roman"/>
                <w:sz w:val="16"/>
                <w:szCs w:val="16"/>
              </w:rPr>
            </w:pPr>
            <w:r w:rsidRPr="00D860CC">
              <w:rPr>
                <w:rFonts w:ascii="Times New Roman" w:hAnsi="Times New Roman" w:cs="Times New Roman"/>
                <w:sz w:val="16"/>
                <w:szCs w:val="16"/>
              </w:rPr>
              <w:t>Book</w:t>
            </w:r>
          </w:p>
        </w:tc>
      </w:tr>
      <w:tr w:rsidR="009B1955" w:rsidRPr="00D860CC" w14:paraId="5A9539A7" w14:textId="77777777" w:rsidTr="00807EBA">
        <w:tc>
          <w:tcPr>
            <w:tcW w:w="2099" w:type="dxa"/>
            <w:vMerge/>
          </w:tcPr>
          <w:p w14:paraId="6989AED0" w14:textId="77777777" w:rsidR="009B1955" w:rsidRPr="00D860CC" w:rsidRDefault="009B1955" w:rsidP="00807EBA">
            <w:pPr>
              <w:rPr>
                <w:rFonts w:ascii="Times New Roman" w:hAnsi="Times New Roman" w:cs="Times New Roman"/>
                <w:sz w:val="16"/>
                <w:szCs w:val="16"/>
              </w:rPr>
            </w:pPr>
          </w:p>
        </w:tc>
        <w:tc>
          <w:tcPr>
            <w:tcW w:w="1647" w:type="dxa"/>
            <w:vMerge/>
          </w:tcPr>
          <w:p w14:paraId="62044CC8" w14:textId="77777777" w:rsidR="009B1955" w:rsidRPr="00D860CC" w:rsidRDefault="009B1955" w:rsidP="00807EBA">
            <w:pPr>
              <w:rPr>
                <w:rFonts w:ascii="Times New Roman" w:hAnsi="Times New Roman" w:cs="Times New Roman"/>
                <w:sz w:val="16"/>
                <w:szCs w:val="16"/>
              </w:rPr>
            </w:pPr>
          </w:p>
        </w:tc>
        <w:tc>
          <w:tcPr>
            <w:tcW w:w="2342" w:type="dxa"/>
          </w:tcPr>
          <w:p w14:paraId="5A029216" w14:textId="77777777" w:rsidR="009B1955" w:rsidRPr="00D860CC" w:rsidRDefault="009B1955" w:rsidP="00807EBA">
            <w:pPr>
              <w:rPr>
                <w:rFonts w:ascii="Times New Roman" w:hAnsi="Times New Roman" w:cs="Times New Roman"/>
                <w:sz w:val="16"/>
                <w:szCs w:val="16"/>
              </w:rPr>
            </w:pPr>
            <w:proofErr w:type="spellStart"/>
            <w:r w:rsidRPr="00D860CC">
              <w:rPr>
                <w:rFonts w:ascii="Times New Roman" w:hAnsi="Times New Roman" w:cs="Times New Roman"/>
                <w:sz w:val="16"/>
                <w:szCs w:val="16"/>
              </w:rPr>
              <w:t>Portney</w:t>
            </w:r>
            <w:proofErr w:type="spellEnd"/>
            <w:r w:rsidRPr="00D860CC">
              <w:rPr>
                <w:rFonts w:ascii="Times New Roman" w:hAnsi="Times New Roman" w:cs="Times New Roman"/>
                <w:sz w:val="16"/>
                <w:szCs w:val="16"/>
              </w:rPr>
              <w:t xml:space="preserve"> et al. (4</w:t>
            </w:r>
            <w:r>
              <w:rPr>
                <w:rFonts w:ascii="Times New Roman" w:hAnsi="Times New Roman" w:cs="Times New Roman"/>
                <w:sz w:val="16"/>
                <w:szCs w:val="16"/>
              </w:rPr>
              <w:t>4</w:t>
            </w:r>
            <w:r w:rsidRPr="00D860CC">
              <w:rPr>
                <w:rFonts w:ascii="Times New Roman" w:hAnsi="Times New Roman" w:cs="Times New Roman"/>
                <w:sz w:val="16"/>
                <w:szCs w:val="16"/>
              </w:rPr>
              <w:t>)</w:t>
            </w:r>
          </w:p>
        </w:tc>
        <w:tc>
          <w:tcPr>
            <w:tcW w:w="801" w:type="dxa"/>
          </w:tcPr>
          <w:p w14:paraId="2FAB3261" w14:textId="77777777" w:rsidR="009B1955" w:rsidRPr="00D860CC" w:rsidRDefault="009B1955" w:rsidP="00807EBA">
            <w:pPr>
              <w:rPr>
                <w:rFonts w:ascii="Times New Roman" w:hAnsi="Times New Roman" w:cs="Times New Roman"/>
                <w:sz w:val="16"/>
                <w:szCs w:val="16"/>
              </w:rPr>
            </w:pPr>
            <w:r w:rsidRPr="00D860CC">
              <w:rPr>
                <w:rFonts w:ascii="Times New Roman" w:hAnsi="Times New Roman" w:cs="Times New Roman"/>
                <w:sz w:val="16"/>
                <w:szCs w:val="16"/>
              </w:rPr>
              <w:t>2009</w:t>
            </w:r>
          </w:p>
        </w:tc>
        <w:tc>
          <w:tcPr>
            <w:tcW w:w="5286" w:type="dxa"/>
          </w:tcPr>
          <w:p w14:paraId="55B88BA7" w14:textId="77777777" w:rsidR="009B1955" w:rsidRPr="00D860CC" w:rsidRDefault="009B1955" w:rsidP="00807EBA">
            <w:pPr>
              <w:rPr>
                <w:rFonts w:ascii="Times New Roman" w:hAnsi="Times New Roman" w:cs="Times New Roman"/>
                <w:sz w:val="16"/>
                <w:szCs w:val="16"/>
              </w:rPr>
            </w:pPr>
            <w:r w:rsidRPr="00D860CC">
              <w:rPr>
                <w:rFonts w:ascii="Times New Roman" w:hAnsi="Times New Roman" w:cs="Times New Roman"/>
                <w:sz w:val="16"/>
                <w:szCs w:val="16"/>
              </w:rPr>
              <w:t>Foundations of Clinical Research: Applications to Practice. 3rd Ed.</w:t>
            </w:r>
          </w:p>
        </w:tc>
        <w:tc>
          <w:tcPr>
            <w:tcW w:w="1773" w:type="dxa"/>
          </w:tcPr>
          <w:p w14:paraId="23D26C66" w14:textId="77777777" w:rsidR="009B1955" w:rsidRPr="00D860CC" w:rsidRDefault="009B1955" w:rsidP="00807EBA">
            <w:pPr>
              <w:rPr>
                <w:rFonts w:ascii="Times New Roman" w:hAnsi="Times New Roman" w:cs="Times New Roman"/>
                <w:sz w:val="16"/>
                <w:szCs w:val="16"/>
              </w:rPr>
            </w:pPr>
            <w:r w:rsidRPr="00D860CC">
              <w:rPr>
                <w:rFonts w:ascii="Times New Roman" w:hAnsi="Times New Roman" w:cs="Times New Roman"/>
                <w:sz w:val="16"/>
                <w:szCs w:val="16"/>
              </w:rPr>
              <w:t>Book</w:t>
            </w:r>
          </w:p>
        </w:tc>
      </w:tr>
      <w:tr w:rsidR="009B1955" w:rsidRPr="00D860CC" w14:paraId="49D73A9D" w14:textId="77777777" w:rsidTr="00807EBA">
        <w:tc>
          <w:tcPr>
            <w:tcW w:w="2099" w:type="dxa"/>
            <w:vMerge/>
          </w:tcPr>
          <w:p w14:paraId="29D1A924" w14:textId="77777777" w:rsidR="009B1955" w:rsidRPr="00D860CC" w:rsidRDefault="009B1955" w:rsidP="00807EBA">
            <w:pPr>
              <w:rPr>
                <w:rFonts w:ascii="Times New Roman" w:hAnsi="Times New Roman" w:cs="Times New Roman"/>
                <w:sz w:val="16"/>
                <w:szCs w:val="16"/>
              </w:rPr>
            </w:pPr>
          </w:p>
        </w:tc>
        <w:tc>
          <w:tcPr>
            <w:tcW w:w="1647" w:type="dxa"/>
            <w:vMerge w:val="restart"/>
          </w:tcPr>
          <w:p w14:paraId="6B528C03" w14:textId="77777777" w:rsidR="009B1955" w:rsidRPr="00D860CC" w:rsidRDefault="009B1955" w:rsidP="00807EBA">
            <w:pPr>
              <w:rPr>
                <w:rFonts w:ascii="Times New Roman" w:hAnsi="Times New Roman" w:cs="Times New Roman"/>
                <w:sz w:val="16"/>
                <w:szCs w:val="16"/>
              </w:rPr>
            </w:pPr>
            <w:r w:rsidRPr="00D860CC">
              <w:rPr>
                <w:rFonts w:ascii="Times New Roman" w:hAnsi="Times New Roman" w:cs="Times New Roman"/>
                <w:sz w:val="16"/>
                <w:szCs w:val="16"/>
              </w:rPr>
              <w:t>Responsiveness to change</w:t>
            </w:r>
          </w:p>
        </w:tc>
        <w:tc>
          <w:tcPr>
            <w:tcW w:w="2342" w:type="dxa"/>
          </w:tcPr>
          <w:p w14:paraId="58D2494C" w14:textId="77777777" w:rsidR="009B1955" w:rsidRPr="00D860CC" w:rsidRDefault="009B1955" w:rsidP="00807EBA">
            <w:pPr>
              <w:rPr>
                <w:rFonts w:ascii="Times New Roman" w:hAnsi="Times New Roman" w:cs="Times New Roman"/>
                <w:sz w:val="16"/>
                <w:szCs w:val="16"/>
              </w:rPr>
            </w:pPr>
            <w:r w:rsidRPr="00D860CC">
              <w:rPr>
                <w:rFonts w:ascii="Times New Roman" w:hAnsi="Times New Roman" w:cs="Times New Roman"/>
                <w:sz w:val="16"/>
                <w:szCs w:val="16"/>
              </w:rPr>
              <w:t>FDA (</w:t>
            </w:r>
            <w:r>
              <w:rPr>
                <w:rFonts w:ascii="Times New Roman" w:hAnsi="Times New Roman" w:cs="Times New Roman"/>
                <w:sz w:val="16"/>
                <w:szCs w:val="16"/>
              </w:rPr>
              <w:t>20</w:t>
            </w:r>
            <w:r w:rsidRPr="00D860CC">
              <w:rPr>
                <w:rFonts w:ascii="Times New Roman" w:hAnsi="Times New Roman" w:cs="Times New Roman"/>
                <w:sz w:val="16"/>
                <w:szCs w:val="16"/>
              </w:rPr>
              <w:t>)*</w:t>
            </w:r>
          </w:p>
        </w:tc>
        <w:tc>
          <w:tcPr>
            <w:tcW w:w="801" w:type="dxa"/>
          </w:tcPr>
          <w:p w14:paraId="1652CC58" w14:textId="77777777" w:rsidR="009B1955" w:rsidRPr="00D860CC" w:rsidRDefault="009B1955" w:rsidP="00807EBA">
            <w:pPr>
              <w:rPr>
                <w:rFonts w:ascii="Times New Roman" w:hAnsi="Times New Roman" w:cs="Times New Roman"/>
                <w:sz w:val="16"/>
                <w:szCs w:val="16"/>
              </w:rPr>
            </w:pPr>
            <w:r w:rsidRPr="00D860CC">
              <w:rPr>
                <w:rFonts w:ascii="Times New Roman" w:hAnsi="Times New Roman" w:cs="Times New Roman"/>
                <w:sz w:val="16"/>
                <w:szCs w:val="16"/>
              </w:rPr>
              <w:t>2009</w:t>
            </w:r>
          </w:p>
        </w:tc>
        <w:tc>
          <w:tcPr>
            <w:tcW w:w="5286" w:type="dxa"/>
          </w:tcPr>
          <w:p w14:paraId="0175F662" w14:textId="77777777" w:rsidR="009B1955" w:rsidRPr="00D860CC" w:rsidRDefault="009B1955" w:rsidP="00807EBA">
            <w:pPr>
              <w:rPr>
                <w:rFonts w:ascii="Times New Roman" w:hAnsi="Times New Roman" w:cs="Times New Roman"/>
                <w:sz w:val="16"/>
                <w:szCs w:val="16"/>
              </w:rPr>
            </w:pPr>
            <w:r w:rsidRPr="00D860CC">
              <w:rPr>
                <w:rFonts w:ascii="Times New Roman" w:hAnsi="Times New Roman" w:cs="Times New Roman"/>
                <w:sz w:val="16"/>
                <w:szCs w:val="16"/>
              </w:rPr>
              <w:t xml:space="preserve">Guidance for Industry; Patient-Reported Outcome Measures: Use in Medical Product Development to Support </w:t>
            </w:r>
            <w:proofErr w:type="spellStart"/>
            <w:r w:rsidRPr="00D860CC">
              <w:rPr>
                <w:rFonts w:ascii="Times New Roman" w:hAnsi="Times New Roman" w:cs="Times New Roman"/>
                <w:sz w:val="16"/>
                <w:szCs w:val="16"/>
              </w:rPr>
              <w:t>Labeling</w:t>
            </w:r>
            <w:proofErr w:type="spellEnd"/>
            <w:r w:rsidRPr="00D860CC">
              <w:rPr>
                <w:rFonts w:ascii="Times New Roman" w:hAnsi="Times New Roman" w:cs="Times New Roman"/>
                <w:sz w:val="16"/>
                <w:szCs w:val="16"/>
              </w:rPr>
              <w:t xml:space="preserve"> Claims</w:t>
            </w:r>
          </w:p>
        </w:tc>
        <w:tc>
          <w:tcPr>
            <w:tcW w:w="1773" w:type="dxa"/>
          </w:tcPr>
          <w:p w14:paraId="2579B9BC" w14:textId="77777777" w:rsidR="009B1955" w:rsidRPr="00D860CC" w:rsidRDefault="009B1955" w:rsidP="00807EBA">
            <w:pPr>
              <w:rPr>
                <w:rFonts w:ascii="Times New Roman" w:hAnsi="Times New Roman" w:cs="Times New Roman"/>
                <w:sz w:val="16"/>
                <w:szCs w:val="16"/>
              </w:rPr>
            </w:pPr>
            <w:r w:rsidRPr="00D860CC">
              <w:rPr>
                <w:rFonts w:ascii="Times New Roman" w:hAnsi="Times New Roman" w:cs="Times New Roman"/>
                <w:sz w:val="16"/>
                <w:szCs w:val="16"/>
              </w:rPr>
              <w:t>Guidance document</w:t>
            </w:r>
          </w:p>
        </w:tc>
      </w:tr>
      <w:tr w:rsidR="009B1955" w:rsidRPr="00D860CC" w14:paraId="227F866B" w14:textId="77777777" w:rsidTr="00807EBA">
        <w:tc>
          <w:tcPr>
            <w:tcW w:w="2099" w:type="dxa"/>
            <w:vMerge/>
          </w:tcPr>
          <w:p w14:paraId="60F06BCB" w14:textId="77777777" w:rsidR="009B1955" w:rsidRPr="00D860CC" w:rsidRDefault="009B1955" w:rsidP="00807EBA">
            <w:pPr>
              <w:rPr>
                <w:rFonts w:ascii="Times New Roman" w:hAnsi="Times New Roman" w:cs="Times New Roman"/>
                <w:sz w:val="16"/>
                <w:szCs w:val="16"/>
              </w:rPr>
            </w:pPr>
          </w:p>
        </w:tc>
        <w:tc>
          <w:tcPr>
            <w:tcW w:w="1647" w:type="dxa"/>
            <w:vMerge/>
          </w:tcPr>
          <w:p w14:paraId="0264294F" w14:textId="77777777" w:rsidR="009B1955" w:rsidRPr="00D860CC" w:rsidRDefault="009B1955" w:rsidP="00807EBA">
            <w:pPr>
              <w:rPr>
                <w:rFonts w:ascii="Times New Roman" w:hAnsi="Times New Roman" w:cs="Times New Roman"/>
                <w:sz w:val="16"/>
                <w:szCs w:val="16"/>
              </w:rPr>
            </w:pPr>
          </w:p>
        </w:tc>
        <w:tc>
          <w:tcPr>
            <w:tcW w:w="2342" w:type="dxa"/>
          </w:tcPr>
          <w:p w14:paraId="57917804" w14:textId="77777777" w:rsidR="009B1955" w:rsidRPr="00D860CC" w:rsidRDefault="009B1955" w:rsidP="00807EBA">
            <w:pPr>
              <w:rPr>
                <w:rFonts w:ascii="Times New Roman" w:hAnsi="Times New Roman" w:cs="Times New Roman"/>
                <w:sz w:val="16"/>
                <w:szCs w:val="16"/>
              </w:rPr>
            </w:pPr>
            <w:r w:rsidRPr="00D860CC">
              <w:rPr>
                <w:rFonts w:ascii="Times New Roman" w:hAnsi="Times New Roman" w:cs="Times New Roman"/>
                <w:sz w:val="16"/>
                <w:szCs w:val="16"/>
              </w:rPr>
              <w:t>Johnson et al. (2</w:t>
            </w:r>
            <w:r>
              <w:rPr>
                <w:rFonts w:ascii="Times New Roman" w:hAnsi="Times New Roman" w:cs="Times New Roman"/>
                <w:sz w:val="16"/>
                <w:szCs w:val="16"/>
              </w:rPr>
              <w:t>1</w:t>
            </w:r>
            <w:r w:rsidRPr="00D860CC">
              <w:rPr>
                <w:rFonts w:ascii="Times New Roman" w:hAnsi="Times New Roman" w:cs="Times New Roman"/>
                <w:sz w:val="16"/>
                <w:szCs w:val="16"/>
              </w:rPr>
              <w:t>)*</w:t>
            </w:r>
          </w:p>
        </w:tc>
        <w:tc>
          <w:tcPr>
            <w:tcW w:w="801" w:type="dxa"/>
          </w:tcPr>
          <w:p w14:paraId="02B613C4" w14:textId="77777777" w:rsidR="009B1955" w:rsidRPr="00D860CC" w:rsidRDefault="009B1955" w:rsidP="00807EBA">
            <w:pPr>
              <w:rPr>
                <w:rFonts w:ascii="Times New Roman" w:hAnsi="Times New Roman" w:cs="Times New Roman"/>
                <w:sz w:val="16"/>
                <w:szCs w:val="16"/>
              </w:rPr>
            </w:pPr>
            <w:r w:rsidRPr="00D860CC">
              <w:rPr>
                <w:rFonts w:ascii="Times New Roman" w:hAnsi="Times New Roman" w:cs="Times New Roman"/>
                <w:sz w:val="16"/>
                <w:szCs w:val="16"/>
              </w:rPr>
              <w:t>2011</w:t>
            </w:r>
          </w:p>
        </w:tc>
        <w:tc>
          <w:tcPr>
            <w:tcW w:w="5286" w:type="dxa"/>
          </w:tcPr>
          <w:p w14:paraId="1E20F64F" w14:textId="77777777" w:rsidR="009B1955" w:rsidRPr="00D860CC" w:rsidRDefault="009B1955" w:rsidP="00807EBA">
            <w:pPr>
              <w:rPr>
                <w:rFonts w:ascii="Times New Roman" w:hAnsi="Times New Roman" w:cs="Times New Roman"/>
                <w:sz w:val="16"/>
                <w:szCs w:val="16"/>
              </w:rPr>
            </w:pPr>
            <w:r w:rsidRPr="00D860CC">
              <w:rPr>
                <w:rFonts w:ascii="Times New Roman" w:hAnsi="Times New Roman" w:cs="Times New Roman"/>
                <w:sz w:val="16"/>
                <w:szCs w:val="16"/>
              </w:rPr>
              <w:t>EORTC Quality of Life Group Guidelines for Developing Questionnaire Modules 4</w:t>
            </w:r>
            <w:r w:rsidRPr="00D860CC">
              <w:rPr>
                <w:rFonts w:ascii="Times New Roman" w:hAnsi="Times New Roman" w:cs="Times New Roman"/>
                <w:sz w:val="16"/>
                <w:szCs w:val="16"/>
                <w:vertAlign w:val="superscript"/>
              </w:rPr>
              <w:t>th</w:t>
            </w:r>
            <w:r w:rsidRPr="00D860CC">
              <w:rPr>
                <w:rFonts w:ascii="Times New Roman" w:hAnsi="Times New Roman" w:cs="Times New Roman"/>
                <w:sz w:val="16"/>
                <w:szCs w:val="16"/>
              </w:rPr>
              <w:t xml:space="preserve"> Ed.</w:t>
            </w:r>
          </w:p>
        </w:tc>
        <w:tc>
          <w:tcPr>
            <w:tcW w:w="1773" w:type="dxa"/>
          </w:tcPr>
          <w:p w14:paraId="7195FFB4" w14:textId="77777777" w:rsidR="009B1955" w:rsidRPr="00D860CC" w:rsidRDefault="009B1955" w:rsidP="00807EBA">
            <w:pPr>
              <w:rPr>
                <w:rFonts w:ascii="Times New Roman" w:hAnsi="Times New Roman" w:cs="Times New Roman"/>
                <w:sz w:val="16"/>
                <w:szCs w:val="16"/>
              </w:rPr>
            </w:pPr>
            <w:r w:rsidRPr="00D860CC">
              <w:rPr>
                <w:rFonts w:ascii="Times New Roman" w:hAnsi="Times New Roman" w:cs="Times New Roman"/>
                <w:sz w:val="16"/>
                <w:szCs w:val="16"/>
              </w:rPr>
              <w:t>Manual</w:t>
            </w:r>
          </w:p>
        </w:tc>
      </w:tr>
      <w:tr w:rsidR="009B1955" w:rsidRPr="00D860CC" w14:paraId="67FC0CFE" w14:textId="77777777" w:rsidTr="00807EBA">
        <w:tc>
          <w:tcPr>
            <w:tcW w:w="2099" w:type="dxa"/>
            <w:vMerge/>
          </w:tcPr>
          <w:p w14:paraId="11546B40" w14:textId="77777777" w:rsidR="009B1955" w:rsidRPr="00D860CC" w:rsidRDefault="009B1955" w:rsidP="00807EBA">
            <w:pPr>
              <w:rPr>
                <w:rFonts w:ascii="Times New Roman" w:hAnsi="Times New Roman" w:cs="Times New Roman"/>
                <w:sz w:val="16"/>
                <w:szCs w:val="16"/>
              </w:rPr>
            </w:pPr>
          </w:p>
        </w:tc>
        <w:tc>
          <w:tcPr>
            <w:tcW w:w="1647" w:type="dxa"/>
            <w:vMerge/>
          </w:tcPr>
          <w:p w14:paraId="6EA32873" w14:textId="77777777" w:rsidR="009B1955" w:rsidRPr="00D860CC" w:rsidRDefault="009B1955" w:rsidP="00807EBA">
            <w:pPr>
              <w:rPr>
                <w:rFonts w:ascii="Times New Roman" w:hAnsi="Times New Roman" w:cs="Times New Roman"/>
                <w:sz w:val="16"/>
                <w:szCs w:val="16"/>
              </w:rPr>
            </w:pPr>
          </w:p>
        </w:tc>
        <w:tc>
          <w:tcPr>
            <w:tcW w:w="2342" w:type="dxa"/>
          </w:tcPr>
          <w:p w14:paraId="0453B872" w14:textId="77777777" w:rsidR="009B1955" w:rsidRPr="00D860CC" w:rsidRDefault="009B1955" w:rsidP="00807EBA">
            <w:pPr>
              <w:rPr>
                <w:rFonts w:ascii="Times New Roman" w:hAnsi="Times New Roman" w:cs="Times New Roman"/>
                <w:sz w:val="16"/>
                <w:szCs w:val="16"/>
              </w:rPr>
            </w:pPr>
            <w:proofErr w:type="spellStart"/>
            <w:r w:rsidRPr="00D860CC">
              <w:rPr>
                <w:rFonts w:ascii="Times New Roman" w:hAnsi="Times New Roman" w:cs="Times New Roman"/>
                <w:sz w:val="16"/>
                <w:szCs w:val="16"/>
              </w:rPr>
              <w:t>Bjordal</w:t>
            </w:r>
            <w:proofErr w:type="spellEnd"/>
            <w:r w:rsidRPr="00D860CC">
              <w:rPr>
                <w:rFonts w:ascii="Times New Roman" w:hAnsi="Times New Roman" w:cs="Times New Roman"/>
                <w:sz w:val="16"/>
                <w:szCs w:val="16"/>
              </w:rPr>
              <w:t xml:space="preserve"> et al. (2</w:t>
            </w:r>
            <w:r>
              <w:rPr>
                <w:rFonts w:ascii="Times New Roman" w:hAnsi="Times New Roman" w:cs="Times New Roman"/>
                <w:sz w:val="16"/>
                <w:szCs w:val="16"/>
              </w:rPr>
              <w:t>2</w:t>
            </w:r>
            <w:r w:rsidRPr="00D860CC">
              <w:rPr>
                <w:rFonts w:ascii="Times New Roman" w:hAnsi="Times New Roman" w:cs="Times New Roman"/>
                <w:sz w:val="16"/>
                <w:szCs w:val="16"/>
              </w:rPr>
              <w:t>)*</w:t>
            </w:r>
          </w:p>
        </w:tc>
        <w:tc>
          <w:tcPr>
            <w:tcW w:w="801" w:type="dxa"/>
          </w:tcPr>
          <w:p w14:paraId="1AD799D9" w14:textId="77777777" w:rsidR="009B1955" w:rsidRPr="00D860CC" w:rsidRDefault="009B1955" w:rsidP="00807EBA">
            <w:pPr>
              <w:rPr>
                <w:rFonts w:ascii="Times New Roman" w:hAnsi="Times New Roman" w:cs="Times New Roman"/>
                <w:sz w:val="16"/>
                <w:szCs w:val="16"/>
              </w:rPr>
            </w:pPr>
            <w:r w:rsidRPr="00D860CC">
              <w:rPr>
                <w:rFonts w:ascii="Times New Roman" w:hAnsi="Times New Roman" w:cs="Times New Roman"/>
                <w:sz w:val="16"/>
                <w:szCs w:val="16"/>
              </w:rPr>
              <w:t>2021</w:t>
            </w:r>
          </w:p>
        </w:tc>
        <w:tc>
          <w:tcPr>
            <w:tcW w:w="5286" w:type="dxa"/>
          </w:tcPr>
          <w:p w14:paraId="5C35E8A8" w14:textId="77777777" w:rsidR="009B1955" w:rsidRPr="00D860CC" w:rsidRDefault="009B1955" w:rsidP="00807EBA">
            <w:pPr>
              <w:rPr>
                <w:rFonts w:ascii="Times New Roman" w:hAnsi="Times New Roman" w:cs="Times New Roman"/>
                <w:sz w:val="16"/>
                <w:szCs w:val="16"/>
              </w:rPr>
            </w:pPr>
            <w:r w:rsidRPr="00D860CC">
              <w:rPr>
                <w:rFonts w:ascii="Times New Roman" w:hAnsi="Times New Roman" w:cs="Times New Roman"/>
                <w:sz w:val="16"/>
                <w:szCs w:val="16"/>
              </w:rPr>
              <w:t>EORTC Quality of Life Group Module Development Guidelines [Internet]. 5th ed</w:t>
            </w:r>
          </w:p>
        </w:tc>
        <w:tc>
          <w:tcPr>
            <w:tcW w:w="1773" w:type="dxa"/>
          </w:tcPr>
          <w:p w14:paraId="1B2B522B" w14:textId="77777777" w:rsidR="009B1955" w:rsidRPr="00D860CC" w:rsidRDefault="009B1955" w:rsidP="00807EBA">
            <w:pPr>
              <w:rPr>
                <w:rFonts w:ascii="Times New Roman" w:hAnsi="Times New Roman" w:cs="Times New Roman"/>
                <w:sz w:val="16"/>
                <w:szCs w:val="16"/>
              </w:rPr>
            </w:pPr>
            <w:r w:rsidRPr="00D860CC">
              <w:rPr>
                <w:rFonts w:ascii="Times New Roman" w:hAnsi="Times New Roman" w:cs="Times New Roman"/>
                <w:sz w:val="16"/>
                <w:szCs w:val="16"/>
              </w:rPr>
              <w:t>Manual</w:t>
            </w:r>
          </w:p>
        </w:tc>
      </w:tr>
      <w:tr w:rsidR="009B1955" w:rsidRPr="00D860CC" w14:paraId="2B54E5A6" w14:textId="77777777" w:rsidTr="00807EBA">
        <w:tc>
          <w:tcPr>
            <w:tcW w:w="2099" w:type="dxa"/>
            <w:vMerge/>
          </w:tcPr>
          <w:p w14:paraId="4B8B5027" w14:textId="77777777" w:rsidR="009B1955" w:rsidRPr="00D860CC" w:rsidRDefault="009B1955" w:rsidP="00807EBA">
            <w:pPr>
              <w:rPr>
                <w:rFonts w:ascii="Times New Roman" w:hAnsi="Times New Roman" w:cs="Times New Roman"/>
                <w:sz w:val="16"/>
                <w:szCs w:val="16"/>
              </w:rPr>
            </w:pPr>
          </w:p>
        </w:tc>
        <w:tc>
          <w:tcPr>
            <w:tcW w:w="1647" w:type="dxa"/>
            <w:vMerge/>
          </w:tcPr>
          <w:p w14:paraId="3A8EC6E1" w14:textId="77777777" w:rsidR="009B1955" w:rsidRPr="00D860CC" w:rsidRDefault="009B1955" w:rsidP="00807EBA">
            <w:pPr>
              <w:rPr>
                <w:rFonts w:ascii="Times New Roman" w:hAnsi="Times New Roman" w:cs="Times New Roman"/>
                <w:sz w:val="16"/>
                <w:szCs w:val="16"/>
              </w:rPr>
            </w:pPr>
          </w:p>
        </w:tc>
        <w:tc>
          <w:tcPr>
            <w:tcW w:w="2342" w:type="dxa"/>
          </w:tcPr>
          <w:p w14:paraId="12706FFF" w14:textId="77777777" w:rsidR="009B1955" w:rsidRPr="00D860CC" w:rsidRDefault="009B1955" w:rsidP="00807EBA">
            <w:pPr>
              <w:rPr>
                <w:rFonts w:ascii="Times New Roman" w:hAnsi="Times New Roman" w:cs="Times New Roman"/>
                <w:sz w:val="16"/>
                <w:szCs w:val="16"/>
              </w:rPr>
            </w:pPr>
            <w:r w:rsidRPr="00D860CC">
              <w:rPr>
                <w:rFonts w:ascii="Times New Roman" w:hAnsi="Times New Roman" w:cs="Times New Roman"/>
                <w:sz w:val="16"/>
                <w:szCs w:val="16"/>
              </w:rPr>
              <w:t>Dueck et al. (4</w:t>
            </w:r>
            <w:r>
              <w:rPr>
                <w:rFonts w:ascii="Times New Roman" w:hAnsi="Times New Roman" w:cs="Times New Roman"/>
                <w:sz w:val="16"/>
                <w:szCs w:val="16"/>
              </w:rPr>
              <w:t>5</w:t>
            </w:r>
            <w:r w:rsidRPr="00D860CC">
              <w:rPr>
                <w:rFonts w:ascii="Times New Roman" w:hAnsi="Times New Roman" w:cs="Times New Roman"/>
                <w:sz w:val="16"/>
                <w:szCs w:val="16"/>
              </w:rPr>
              <w:t>)</w:t>
            </w:r>
          </w:p>
        </w:tc>
        <w:tc>
          <w:tcPr>
            <w:tcW w:w="801" w:type="dxa"/>
          </w:tcPr>
          <w:p w14:paraId="7E853D55" w14:textId="77777777" w:rsidR="009B1955" w:rsidRPr="00D860CC" w:rsidRDefault="009B1955" w:rsidP="00807EBA">
            <w:pPr>
              <w:rPr>
                <w:rFonts w:ascii="Times New Roman" w:hAnsi="Times New Roman" w:cs="Times New Roman"/>
                <w:sz w:val="16"/>
                <w:szCs w:val="16"/>
              </w:rPr>
            </w:pPr>
            <w:r w:rsidRPr="00D860CC">
              <w:rPr>
                <w:rFonts w:ascii="Times New Roman" w:hAnsi="Times New Roman" w:cs="Times New Roman"/>
                <w:sz w:val="16"/>
                <w:szCs w:val="16"/>
              </w:rPr>
              <w:t>2015</w:t>
            </w:r>
          </w:p>
        </w:tc>
        <w:tc>
          <w:tcPr>
            <w:tcW w:w="5286" w:type="dxa"/>
          </w:tcPr>
          <w:p w14:paraId="588EF2D1" w14:textId="77777777" w:rsidR="009B1955" w:rsidRPr="00D860CC" w:rsidRDefault="009B1955" w:rsidP="00807EBA">
            <w:pPr>
              <w:rPr>
                <w:rFonts w:ascii="Times New Roman" w:hAnsi="Times New Roman" w:cs="Times New Roman"/>
                <w:sz w:val="16"/>
                <w:szCs w:val="16"/>
              </w:rPr>
            </w:pPr>
            <w:r w:rsidRPr="00D860CC">
              <w:rPr>
                <w:rFonts w:ascii="Times New Roman" w:hAnsi="Times New Roman" w:cs="Times New Roman"/>
                <w:sz w:val="16"/>
                <w:szCs w:val="16"/>
              </w:rPr>
              <w:t>Validity and reliability of the us national cancer institute’s patient-reported outcomes version of the common terminology criteria for adverse events (PRO-CTCAE)</w:t>
            </w:r>
          </w:p>
        </w:tc>
        <w:tc>
          <w:tcPr>
            <w:tcW w:w="1773" w:type="dxa"/>
          </w:tcPr>
          <w:p w14:paraId="7F062F63" w14:textId="77777777" w:rsidR="009B1955" w:rsidRPr="00D860CC" w:rsidRDefault="009B1955" w:rsidP="00807EBA">
            <w:pPr>
              <w:rPr>
                <w:rFonts w:ascii="Times New Roman" w:hAnsi="Times New Roman" w:cs="Times New Roman"/>
                <w:sz w:val="16"/>
                <w:szCs w:val="16"/>
              </w:rPr>
            </w:pPr>
            <w:r w:rsidRPr="00D860CC">
              <w:rPr>
                <w:rFonts w:ascii="Times New Roman" w:hAnsi="Times New Roman" w:cs="Times New Roman"/>
                <w:sz w:val="16"/>
                <w:szCs w:val="16"/>
              </w:rPr>
              <w:t>Article</w:t>
            </w:r>
          </w:p>
        </w:tc>
      </w:tr>
      <w:tr w:rsidR="009B1955" w:rsidRPr="00D860CC" w14:paraId="59BC8249" w14:textId="77777777" w:rsidTr="00807EBA">
        <w:tc>
          <w:tcPr>
            <w:tcW w:w="2099" w:type="dxa"/>
            <w:vMerge w:val="restart"/>
          </w:tcPr>
          <w:p w14:paraId="72FACE5E" w14:textId="77777777" w:rsidR="009B1955" w:rsidRPr="00D860CC" w:rsidRDefault="009B1955" w:rsidP="00807EBA">
            <w:pPr>
              <w:rPr>
                <w:rFonts w:ascii="Times New Roman" w:hAnsi="Times New Roman" w:cs="Times New Roman"/>
                <w:sz w:val="16"/>
                <w:szCs w:val="16"/>
              </w:rPr>
            </w:pPr>
            <w:r w:rsidRPr="00D860CC">
              <w:rPr>
                <w:rFonts w:ascii="Times New Roman" w:hAnsi="Times New Roman" w:cs="Times New Roman"/>
                <w:sz w:val="16"/>
                <w:szCs w:val="16"/>
              </w:rPr>
              <w:t>How can bias be minimized in the design of item lists?</w:t>
            </w:r>
          </w:p>
        </w:tc>
        <w:tc>
          <w:tcPr>
            <w:tcW w:w="1647" w:type="dxa"/>
          </w:tcPr>
          <w:p w14:paraId="1ACBEDC7" w14:textId="77777777" w:rsidR="009B1955" w:rsidRPr="00D860CC" w:rsidRDefault="009B1955" w:rsidP="00807EBA">
            <w:pPr>
              <w:rPr>
                <w:rFonts w:ascii="Times New Roman" w:hAnsi="Times New Roman" w:cs="Times New Roman"/>
                <w:sz w:val="16"/>
                <w:szCs w:val="16"/>
              </w:rPr>
            </w:pPr>
            <w:r w:rsidRPr="00D860CC">
              <w:rPr>
                <w:rFonts w:ascii="Times New Roman" w:hAnsi="Times New Roman" w:cs="Times New Roman"/>
                <w:sz w:val="16"/>
                <w:szCs w:val="16"/>
              </w:rPr>
              <w:t>In general</w:t>
            </w:r>
          </w:p>
        </w:tc>
        <w:tc>
          <w:tcPr>
            <w:tcW w:w="2342" w:type="dxa"/>
          </w:tcPr>
          <w:p w14:paraId="1C6DA810" w14:textId="77777777" w:rsidR="009B1955" w:rsidRPr="00D860CC" w:rsidRDefault="009B1955" w:rsidP="00807EBA">
            <w:pPr>
              <w:rPr>
                <w:rFonts w:ascii="Times New Roman" w:hAnsi="Times New Roman" w:cs="Times New Roman"/>
                <w:sz w:val="16"/>
                <w:szCs w:val="16"/>
              </w:rPr>
            </w:pPr>
            <w:proofErr w:type="spellStart"/>
            <w:r w:rsidRPr="00D860CC">
              <w:rPr>
                <w:rFonts w:ascii="Times New Roman" w:hAnsi="Times New Roman" w:cs="Times New Roman"/>
                <w:sz w:val="16"/>
                <w:szCs w:val="16"/>
              </w:rPr>
              <w:t>Retzer</w:t>
            </w:r>
            <w:proofErr w:type="spellEnd"/>
            <w:r w:rsidRPr="00D860CC">
              <w:rPr>
                <w:rFonts w:ascii="Times New Roman" w:hAnsi="Times New Roman" w:cs="Times New Roman"/>
                <w:sz w:val="16"/>
                <w:szCs w:val="16"/>
              </w:rPr>
              <w:t xml:space="preserve"> at al. (3</w:t>
            </w:r>
            <w:r>
              <w:rPr>
                <w:rFonts w:ascii="Times New Roman" w:hAnsi="Times New Roman" w:cs="Times New Roman"/>
                <w:sz w:val="16"/>
                <w:szCs w:val="16"/>
              </w:rPr>
              <w:t>0</w:t>
            </w:r>
            <w:r w:rsidRPr="00D860CC">
              <w:rPr>
                <w:rFonts w:ascii="Times New Roman" w:hAnsi="Times New Roman" w:cs="Times New Roman"/>
                <w:sz w:val="16"/>
                <w:szCs w:val="16"/>
              </w:rPr>
              <w:t>)*</w:t>
            </w:r>
          </w:p>
        </w:tc>
        <w:tc>
          <w:tcPr>
            <w:tcW w:w="801" w:type="dxa"/>
          </w:tcPr>
          <w:p w14:paraId="35D52D34" w14:textId="77777777" w:rsidR="009B1955" w:rsidRPr="00D860CC" w:rsidRDefault="009B1955" w:rsidP="00807EBA">
            <w:pPr>
              <w:rPr>
                <w:rFonts w:ascii="Times New Roman" w:hAnsi="Times New Roman" w:cs="Times New Roman"/>
                <w:sz w:val="16"/>
                <w:szCs w:val="16"/>
              </w:rPr>
            </w:pPr>
            <w:r w:rsidRPr="00D860CC">
              <w:rPr>
                <w:rFonts w:ascii="Times New Roman" w:hAnsi="Times New Roman" w:cs="Times New Roman"/>
                <w:sz w:val="16"/>
                <w:szCs w:val="16"/>
              </w:rPr>
              <w:t>2022</w:t>
            </w:r>
          </w:p>
        </w:tc>
        <w:tc>
          <w:tcPr>
            <w:tcW w:w="5286" w:type="dxa"/>
          </w:tcPr>
          <w:p w14:paraId="4E33F0FE" w14:textId="77777777" w:rsidR="009B1955" w:rsidRPr="00D860CC" w:rsidRDefault="009B1955" w:rsidP="00807EBA">
            <w:pPr>
              <w:rPr>
                <w:rFonts w:ascii="Times New Roman" w:hAnsi="Times New Roman" w:cs="Times New Roman"/>
                <w:sz w:val="16"/>
                <w:szCs w:val="16"/>
              </w:rPr>
            </w:pPr>
            <w:r w:rsidRPr="00D860CC">
              <w:rPr>
                <w:rFonts w:ascii="Times New Roman" w:hAnsi="Times New Roman" w:cs="Times New Roman"/>
                <w:sz w:val="16"/>
                <w:szCs w:val="16"/>
              </w:rPr>
              <w:t>The value of patient-reported outcomes in early-phase clinical trials</w:t>
            </w:r>
          </w:p>
        </w:tc>
        <w:tc>
          <w:tcPr>
            <w:tcW w:w="1773" w:type="dxa"/>
          </w:tcPr>
          <w:p w14:paraId="39B11697" w14:textId="77777777" w:rsidR="009B1955" w:rsidRPr="00D860CC" w:rsidRDefault="009B1955" w:rsidP="00807EBA">
            <w:pPr>
              <w:rPr>
                <w:rFonts w:ascii="Times New Roman" w:hAnsi="Times New Roman" w:cs="Times New Roman"/>
                <w:sz w:val="16"/>
                <w:szCs w:val="16"/>
              </w:rPr>
            </w:pPr>
            <w:r w:rsidRPr="00D860CC">
              <w:rPr>
                <w:rFonts w:ascii="Times New Roman" w:hAnsi="Times New Roman" w:cs="Times New Roman"/>
                <w:sz w:val="16"/>
                <w:szCs w:val="16"/>
              </w:rPr>
              <w:t>Article</w:t>
            </w:r>
          </w:p>
        </w:tc>
      </w:tr>
      <w:tr w:rsidR="009B1955" w:rsidRPr="00D860CC" w14:paraId="427B782A" w14:textId="77777777" w:rsidTr="00807EBA">
        <w:tc>
          <w:tcPr>
            <w:tcW w:w="2099" w:type="dxa"/>
            <w:vMerge/>
          </w:tcPr>
          <w:p w14:paraId="2FDF05C9" w14:textId="77777777" w:rsidR="009B1955" w:rsidRPr="00D860CC" w:rsidRDefault="009B1955" w:rsidP="00807EBA">
            <w:pPr>
              <w:rPr>
                <w:rFonts w:ascii="Times New Roman" w:hAnsi="Times New Roman" w:cs="Times New Roman"/>
                <w:sz w:val="16"/>
                <w:szCs w:val="16"/>
              </w:rPr>
            </w:pPr>
          </w:p>
        </w:tc>
        <w:tc>
          <w:tcPr>
            <w:tcW w:w="1647" w:type="dxa"/>
            <w:vMerge w:val="restart"/>
          </w:tcPr>
          <w:p w14:paraId="19EDACA4" w14:textId="77777777" w:rsidR="009B1955" w:rsidRPr="00D860CC" w:rsidRDefault="009B1955" w:rsidP="00807EBA">
            <w:pPr>
              <w:rPr>
                <w:rFonts w:ascii="Times New Roman" w:hAnsi="Times New Roman" w:cs="Times New Roman"/>
                <w:sz w:val="16"/>
                <w:szCs w:val="16"/>
              </w:rPr>
            </w:pPr>
            <w:r w:rsidRPr="00D860CC">
              <w:rPr>
                <w:rFonts w:ascii="Times New Roman" w:hAnsi="Times New Roman" w:cs="Times New Roman"/>
                <w:sz w:val="16"/>
                <w:szCs w:val="16"/>
              </w:rPr>
              <w:t>For use in multi-arm clinical trials</w:t>
            </w:r>
          </w:p>
        </w:tc>
        <w:tc>
          <w:tcPr>
            <w:tcW w:w="2342" w:type="dxa"/>
          </w:tcPr>
          <w:p w14:paraId="4E04C108" w14:textId="77777777" w:rsidR="009B1955" w:rsidRPr="00D860CC" w:rsidRDefault="009B1955" w:rsidP="00807EBA">
            <w:pPr>
              <w:rPr>
                <w:rFonts w:ascii="Times New Roman" w:hAnsi="Times New Roman" w:cs="Times New Roman"/>
                <w:sz w:val="16"/>
                <w:szCs w:val="16"/>
              </w:rPr>
            </w:pPr>
            <w:proofErr w:type="spellStart"/>
            <w:r w:rsidRPr="00D860CC">
              <w:rPr>
                <w:rFonts w:ascii="Times New Roman" w:hAnsi="Times New Roman" w:cs="Times New Roman"/>
                <w:sz w:val="16"/>
                <w:szCs w:val="16"/>
              </w:rPr>
              <w:t>Piccinin</w:t>
            </w:r>
            <w:proofErr w:type="spellEnd"/>
            <w:r w:rsidRPr="00D860CC">
              <w:rPr>
                <w:rFonts w:ascii="Times New Roman" w:hAnsi="Times New Roman" w:cs="Times New Roman"/>
                <w:sz w:val="16"/>
                <w:szCs w:val="16"/>
              </w:rPr>
              <w:t xml:space="preserve"> et al. (</w:t>
            </w:r>
            <w:r>
              <w:rPr>
                <w:rFonts w:ascii="Times New Roman" w:hAnsi="Times New Roman" w:cs="Times New Roman"/>
                <w:sz w:val="16"/>
                <w:szCs w:val="16"/>
              </w:rPr>
              <w:t>38</w:t>
            </w:r>
            <w:r w:rsidRPr="00D860CC">
              <w:rPr>
                <w:rFonts w:ascii="Times New Roman" w:hAnsi="Times New Roman" w:cs="Times New Roman"/>
                <w:sz w:val="16"/>
                <w:szCs w:val="16"/>
              </w:rPr>
              <w:t xml:space="preserve">)* </w:t>
            </w:r>
          </w:p>
        </w:tc>
        <w:tc>
          <w:tcPr>
            <w:tcW w:w="801" w:type="dxa"/>
          </w:tcPr>
          <w:p w14:paraId="276E2540" w14:textId="77777777" w:rsidR="009B1955" w:rsidRPr="00D860CC" w:rsidRDefault="009B1955" w:rsidP="00807EBA">
            <w:pPr>
              <w:rPr>
                <w:rFonts w:ascii="Times New Roman" w:hAnsi="Times New Roman" w:cs="Times New Roman"/>
                <w:sz w:val="16"/>
                <w:szCs w:val="16"/>
              </w:rPr>
            </w:pPr>
            <w:r w:rsidRPr="00D860CC">
              <w:rPr>
                <w:rFonts w:ascii="Times New Roman" w:hAnsi="Times New Roman" w:cs="Times New Roman"/>
                <w:sz w:val="16"/>
                <w:szCs w:val="16"/>
              </w:rPr>
              <w:t>2019</w:t>
            </w:r>
          </w:p>
        </w:tc>
        <w:tc>
          <w:tcPr>
            <w:tcW w:w="5286" w:type="dxa"/>
          </w:tcPr>
          <w:p w14:paraId="4797DDD1" w14:textId="77777777" w:rsidR="009B1955" w:rsidRPr="00D860CC" w:rsidRDefault="009B1955" w:rsidP="00807EBA">
            <w:pPr>
              <w:rPr>
                <w:rFonts w:ascii="Times New Roman" w:hAnsi="Times New Roman" w:cs="Times New Roman"/>
                <w:sz w:val="16"/>
                <w:szCs w:val="16"/>
              </w:rPr>
            </w:pPr>
            <w:r w:rsidRPr="00D860CC">
              <w:rPr>
                <w:rFonts w:ascii="Times New Roman" w:hAnsi="Times New Roman" w:cs="Times New Roman"/>
                <w:sz w:val="16"/>
                <w:szCs w:val="16"/>
              </w:rPr>
              <w:t>PCN296 Development of scientific guidelines for use of the EORTC Item Library in cancer clinical trials</w:t>
            </w:r>
          </w:p>
        </w:tc>
        <w:tc>
          <w:tcPr>
            <w:tcW w:w="1773" w:type="dxa"/>
          </w:tcPr>
          <w:p w14:paraId="28258567" w14:textId="77777777" w:rsidR="009B1955" w:rsidRPr="00D860CC" w:rsidRDefault="009B1955" w:rsidP="00807EBA">
            <w:pPr>
              <w:rPr>
                <w:rFonts w:ascii="Times New Roman" w:hAnsi="Times New Roman" w:cs="Times New Roman"/>
                <w:sz w:val="16"/>
                <w:szCs w:val="16"/>
              </w:rPr>
            </w:pPr>
            <w:r w:rsidRPr="00D860CC">
              <w:rPr>
                <w:rFonts w:ascii="Times New Roman" w:hAnsi="Times New Roman" w:cs="Times New Roman"/>
                <w:sz w:val="16"/>
                <w:szCs w:val="16"/>
              </w:rPr>
              <w:t>Conference abstract</w:t>
            </w:r>
          </w:p>
        </w:tc>
      </w:tr>
      <w:tr w:rsidR="009B1955" w:rsidRPr="00D860CC" w14:paraId="3CD4BAAE" w14:textId="77777777" w:rsidTr="00807EBA">
        <w:tc>
          <w:tcPr>
            <w:tcW w:w="2099" w:type="dxa"/>
            <w:vMerge/>
          </w:tcPr>
          <w:p w14:paraId="15BDC27F" w14:textId="77777777" w:rsidR="009B1955" w:rsidRPr="00D860CC" w:rsidRDefault="009B1955" w:rsidP="00807EBA">
            <w:pPr>
              <w:rPr>
                <w:rFonts w:ascii="Times New Roman" w:hAnsi="Times New Roman" w:cs="Times New Roman"/>
                <w:sz w:val="16"/>
                <w:szCs w:val="16"/>
              </w:rPr>
            </w:pPr>
          </w:p>
        </w:tc>
        <w:tc>
          <w:tcPr>
            <w:tcW w:w="1647" w:type="dxa"/>
            <w:vMerge/>
          </w:tcPr>
          <w:p w14:paraId="2BDB3072" w14:textId="77777777" w:rsidR="009B1955" w:rsidRPr="00D860CC" w:rsidRDefault="009B1955" w:rsidP="00807EBA">
            <w:pPr>
              <w:rPr>
                <w:rFonts w:ascii="Times New Roman" w:hAnsi="Times New Roman" w:cs="Times New Roman"/>
                <w:sz w:val="16"/>
                <w:szCs w:val="16"/>
              </w:rPr>
            </w:pPr>
          </w:p>
        </w:tc>
        <w:tc>
          <w:tcPr>
            <w:tcW w:w="2342" w:type="dxa"/>
          </w:tcPr>
          <w:p w14:paraId="12DE42A2" w14:textId="77777777" w:rsidR="009B1955" w:rsidRPr="00D860CC" w:rsidRDefault="009B1955" w:rsidP="00807EBA">
            <w:pPr>
              <w:rPr>
                <w:rFonts w:ascii="Times New Roman" w:hAnsi="Times New Roman" w:cs="Times New Roman"/>
                <w:sz w:val="16"/>
                <w:szCs w:val="16"/>
              </w:rPr>
            </w:pPr>
            <w:proofErr w:type="spellStart"/>
            <w:r w:rsidRPr="00D860CC">
              <w:rPr>
                <w:rFonts w:ascii="Times New Roman" w:hAnsi="Times New Roman" w:cs="Times New Roman"/>
                <w:sz w:val="16"/>
                <w:szCs w:val="16"/>
              </w:rPr>
              <w:t>Piccinin</w:t>
            </w:r>
            <w:proofErr w:type="spellEnd"/>
            <w:r w:rsidRPr="00D860CC">
              <w:rPr>
                <w:rFonts w:ascii="Times New Roman" w:hAnsi="Times New Roman" w:cs="Times New Roman"/>
                <w:sz w:val="16"/>
                <w:szCs w:val="16"/>
              </w:rPr>
              <w:t xml:space="preserve"> et al. (</w:t>
            </w:r>
            <w:r>
              <w:rPr>
                <w:rFonts w:ascii="Times New Roman" w:hAnsi="Times New Roman" w:cs="Times New Roman"/>
                <w:sz w:val="16"/>
                <w:szCs w:val="16"/>
              </w:rPr>
              <w:t>39</w:t>
            </w:r>
            <w:r w:rsidRPr="00D860CC">
              <w:rPr>
                <w:rFonts w:ascii="Times New Roman" w:hAnsi="Times New Roman" w:cs="Times New Roman"/>
                <w:sz w:val="16"/>
                <w:szCs w:val="16"/>
              </w:rPr>
              <w:t xml:space="preserve">)* </w:t>
            </w:r>
          </w:p>
        </w:tc>
        <w:tc>
          <w:tcPr>
            <w:tcW w:w="801" w:type="dxa"/>
          </w:tcPr>
          <w:p w14:paraId="73AF03AF" w14:textId="77777777" w:rsidR="009B1955" w:rsidRPr="00D860CC" w:rsidRDefault="009B1955" w:rsidP="00807EBA">
            <w:pPr>
              <w:rPr>
                <w:rFonts w:ascii="Times New Roman" w:hAnsi="Times New Roman" w:cs="Times New Roman"/>
                <w:sz w:val="16"/>
                <w:szCs w:val="16"/>
              </w:rPr>
            </w:pPr>
            <w:r w:rsidRPr="00D860CC">
              <w:rPr>
                <w:rFonts w:ascii="Times New Roman" w:hAnsi="Times New Roman" w:cs="Times New Roman"/>
                <w:sz w:val="16"/>
                <w:szCs w:val="16"/>
              </w:rPr>
              <w:t>2022</w:t>
            </w:r>
          </w:p>
        </w:tc>
        <w:tc>
          <w:tcPr>
            <w:tcW w:w="5286" w:type="dxa"/>
          </w:tcPr>
          <w:p w14:paraId="1C2D51AE" w14:textId="77777777" w:rsidR="009B1955" w:rsidRPr="00D860CC" w:rsidRDefault="009B1955" w:rsidP="00807EBA">
            <w:pPr>
              <w:rPr>
                <w:rFonts w:ascii="Times New Roman" w:hAnsi="Times New Roman" w:cs="Times New Roman"/>
                <w:sz w:val="16"/>
                <w:szCs w:val="16"/>
              </w:rPr>
            </w:pPr>
            <w:r w:rsidRPr="00D860CC">
              <w:rPr>
                <w:rFonts w:ascii="Times New Roman" w:hAnsi="Times New Roman" w:cs="Times New Roman"/>
                <w:sz w:val="16"/>
                <w:szCs w:val="16"/>
              </w:rPr>
              <w:t>EORTC Quality of Life Group Item Library User Guidelines; First Edition</w:t>
            </w:r>
          </w:p>
        </w:tc>
        <w:tc>
          <w:tcPr>
            <w:tcW w:w="1773" w:type="dxa"/>
          </w:tcPr>
          <w:p w14:paraId="11A3327E" w14:textId="77777777" w:rsidR="009B1955" w:rsidRPr="00D860CC" w:rsidRDefault="009B1955" w:rsidP="00807EBA">
            <w:pPr>
              <w:rPr>
                <w:rFonts w:ascii="Times New Roman" w:hAnsi="Times New Roman" w:cs="Times New Roman"/>
                <w:sz w:val="16"/>
                <w:szCs w:val="16"/>
              </w:rPr>
            </w:pPr>
            <w:r w:rsidRPr="00D860CC">
              <w:rPr>
                <w:rFonts w:ascii="Times New Roman" w:hAnsi="Times New Roman" w:cs="Times New Roman"/>
                <w:sz w:val="16"/>
                <w:szCs w:val="16"/>
              </w:rPr>
              <w:t>Manual</w:t>
            </w:r>
          </w:p>
        </w:tc>
      </w:tr>
      <w:tr w:rsidR="009B1955" w:rsidRPr="00D860CC" w14:paraId="7BAC6958" w14:textId="77777777" w:rsidTr="00807EBA">
        <w:tc>
          <w:tcPr>
            <w:tcW w:w="2099" w:type="dxa"/>
            <w:vMerge/>
          </w:tcPr>
          <w:p w14:paraId="480A73D0" w14:textId="77777777" w:rsidR="009B1955" w:rsidRPr="00D860CC" w:rsidRDefault="009B1955" w:rsidP="00807EBA">
            <w:pPr>
              <w:rPr>
                <w:rFonts w:ascii="Times New Roman" w:hAnsi="Times New Roman" w:cs="Times New Roman"/>
                <w:sz w:val="16"/>
                <w:szCs w:val="16"/>
              </w:rPr>
            </w:pPr>
          </w:p>
        </w:tc>
        <w:tc>
          <w:tcPr>
            <w:tcW w:w="1647" w:type="dxa"/>
            <w:vMerge/>
          </w:tcPr>
          <w:p w14:paraId="5409BACB" w14:textId="77777777" w:rsidR="009B1955" w:rsidRPr="00D860CC" w:rsidRDefault="009B1955" w:rsidP="00807EBA">
            <w:pPr>
              <w:rPr>
                <w:rFonts w:ascii="Times New Roman" w:hAnsi="Times New Roman" w:cs="Times New Roman"/>
                <w:sz w:val="16"/>
                <w:szCs w:val="16"/>
              </w:rPr>
            </w:pPr>
          </w:p>
        </w:tc>
        <w:tc>
          <w:tcPr>
            <w:tcW w:w="2342" w:type="dxa"/>
          </w:tcPr>
          <w:p w14:paraId="144FDB7C" w14:textId="77777777" w:rsidR="009B1955" w:rsidRPr="00D860CC" w:rsidRDefault="009B1955" w:rsidP="00807EBA">
            <w:pPr>
              <w:rPr>
                <w:rFonts w:ascii="Times New Roman" w:hAnsi="Times New Roman" w:cs="Times New Roman"/>
                <w:sz w:val="16"/>
                <w:szCs w:val="16"/>
              </w:rPr>
            </w:pPr>
            <w:proofErr w:type="spellStart"/>
            <w:r w:rsidRPr="00D860CC">
              <w:rPr>
                <w:rFonts w:ascii="Times New Roman" w:hAnsi="Times New Roman" w:cs="Times New Roman"/>
                <w:sz w:val="16"/>
                <w:szCs w:val="16"/>
              </w:rPr>
              <w:t>Basch</w:t>
            </w:r>
            <w:proofErr w:type="spellEnd"/>
            <w:r w:rsidRPr="00D860CC">
              <w:rPr>
                <w:rFonts w:ascii="Times New Roman" w:hAnsi="Times New Roman" w:cs="Times New Roman"/>
                <w:sz w:val="16"/>
                <w:szCs w:val="16"/>
              </w:rPr>
              <w:t xml:space="preserve"> et al. (</w:t>
            </w:r>
            <w:r>
              <w:rPr>
                <w:rFonts w:ascii="Times New Roman" w:hAnsi="Times New Roman" w:cs="Times New Roman"/>
                <w:sz w:val="16"/>
                <w:szCs w:val="16"/>
              </w:rPr>
              <w:t>46</w:t>
            </w:r>
            <w:r w:rsidRPr="00D860CC">
              <w:rPr>
                <w:rFonts w:ascii="Times New Roman" w:hAnsi="Times New Roman" w:cs="Times New Roman"/>
                <w:sz w:val="16"/>
                <w:szCs w:val="16"/>
              </w:rPr>
              <w:t>)*</w:t>
            </w:r>
          </w:p>
        </w:tc>
        <w:tc>
          <w:tcPr>
            <w:tcW w:w="801" w:type="dxa"/>
          </w:tcPr>
          <w:p w14:paraId="56A3E070" w14:textId="77777777" w:rsidR="009B1955" w:rsidRPr="00D860CC" w:rsidRDefault="009B1955" w:rsidP="00807EBA">
            <w:pPr>
              <w:rPr>
                <w:rFonts w:ascii="Times New Roman" w:hAnsi="Times New Roman" w:cs="Times New Roman"/>
                <w:sz w:val="16"/>
                <w:szCs w:val="16"/>
              </w:rPr>
            </w:pPr>
            <w:r w:rsidRPr="00D860CC">
              <w:rPr>
                <w:rFonts w:ascii="Times New Roman" w:hAnsi="Times New Roman" w:cs="Times New Roman"/>
                <w:sz w:val="16"/>
                <w:szCs w:val="16"/>
              </w:rPr>
              <w:t>2016</w:t>
            </w:r>
          </w:p>
        </w:tc>
        <w:tc>
          <w:tcPr>
            <w:tcW w:w="5286" w:type="dxa"/>
          </w:tcPr>
          <w:p w14:paraId="67E611F6" w14:textId="77777777" w:rsidR="009B1955" w:rsidRPr="00D860CC" w:rsidRDefault="009B1955" w:rsidP="00807EBA">
            <w:pPr>
              <w:rPr>
                <w:rFonts w:ascii="Times New Roman" w:hAnsi="Times New Roman" w:cs="Times New Roman"/>
                <w:sz w:val="16"/>
                <w:szCs w:val="16"/>
              </w:rPr>
            </w:pPr>
            <w:r w:rsidRPr="00D860CC">
              <w:rPr>
                <w:rFonts w:ascii="Times New Roman" w:hAnsi="Times New Roman" w:cs="Times New Roman"/>
                <w:sz w:val="16"/>
                <w:szCs w:val="16"/>
              </w:rPr>
              <w:t>Methods for Implementing and Reporting Patient-reported Outcome (PRO) Measures of Symptomatic Adverse Events in Cancer Clinical Trials</w:t>
            </w:r>
          </w:p>
        </w:tc>
        <w:tc>
          <w:tcPr>
            <w:tcW w:w="1773" w:type="dxa"/>
          </w:tcPr>
          <w:p w14:paraId="004BEC14" w14:textId="77777777" w:rsidR="009B1955" w:rsidRPr="00D860CC" w:rsidRDefault="009B1955" w:rsidP="00807EBA">
            <w:pPr>
              <w:rPr>
                <w:rFonts w:ascii="Times New Roman" w:hAnsi="Times New Roman" w:cs="Times New Roman"/>
                <w:sz w:val="16"/>
                <w:szCs w:val="16"/>
              </w:rPr>
            </w:pPr>
            <w:r w:rsidRPr="00D860CC">
              <w:rPr>
                <w:rFonts w:ascii="Times New Roman" w:hAnsi="Times New Roman" w:cs="Times New Roman"/>
                <w:sz w:val="16"/>
                <w:szCs w:val="16"/>
              </w:rPr>
              <w:t>Article</w:t>
            </w:r>
          </w:p>
        </w:tc>
      </w:tr>
      <w:tr w:rsidR="009B1955" w:rsidRPr="00D860CC" w14:paraId="328B7091" w14:textId="77777777" w:rsidTr="00807EBA">
        <w:tc>
          <w:tcPr>
            <w:tcW w:w="2099" w:type="dxa"/>
            <w:vMerge/>
          </w:tcPr>
          <w:p w14:paraId="20524A03" w14:textId="77777777" w:rsidR="009B1955" w:rsidRPr="00D860CC" w:rsidRDefault="009B1955" w:rsidP="00807EBA">
            <w:pPr>
              <w:rPr>
                <w:rFonts w:ascii="Times New Roman" w:hAnsi="Times New Roman" w:cs="Times New Roman"/>
                <w:sz w:val="16"/>
                <w:szCs w:val="16"/>
              </w:rPr>
            </w:pPr>
          </w:p>
        </w:tc>
        <w:tc>
          <w:tcPr>
            <w:tcW w:w="1647" w:type="dxa"/>
            <w:vMerge/>
          </w:tcPr>
          <w:p w14:paraId="0FEE0C51" w14:textId="77777777" w:rsidR="009B1955" w:rsidRPr="00D860CC" w:rsidRDefault="009B1955" w:rsidP="00807EBA">
            <w:pPr>
              <w:rPr>
                <w:rFonts w:ascii="Times New Roman" w:hAnsi="Times New Roman" w:cs="Times New Roman"/>
                <w:sz w:val="16"/>
                <w:szCs w:val="16"/>
              </w:rPr>
            </w:pPr>
          </w:p>
        </w:tc>
        <w:tc>
          <w:tcPr>
            <w:tcW w:w="2342" w:type="dxa"/>
          </w:tcPr>
          <w:p w14:paraId="3A5B2DE2" w14:textId="77777777" w:rsidR="009B1955" w:rsidRPr="00D860CC" w:rsidRDefault="009B1955" w:rsidP="00807EBA">
            <w:pPr>
              <w:rPr>
                <w:rFonts w:ascii="Times New Roman" w:hAnsi="Times New Roman" w:cs="Times New Roman"/>
                <w:sz w:val="16"/>
                <w:szCs w:val="16"/>
              </w:rPr>
            </w:pPr>
            <w:r w:rsidRPr="00D860CC">
              <w:rPr>
                <w:rFonts w:ascii="Times New Roman" w:hAnsi="Times New Roman" w:cs="Times New Roman"/>
                <w:sz w:val="16"/>
                <w:szCs w:val="16"/>
              </w:rPr>
              <w:t>Chung et al. (</w:t>
            </w:r>
            <w:r>
              <w:rPr>
                <w:rFonts w:ascii="Times New Roman" w:hAnsi="Times New Roman" w:cs="Times New Roman"/>
                <w:sz w:val="16"/>
                <w:szCs w:val="16"/>
              </w:rPr>
              <w:t>47</w:t>
            </w:r>
            <w:r w:rsidRPr="00D860CC">
              <w:rPr>
                <w:rFonts w:ascii="Times New Roman" w:hAnsi="Times New Roman" w:cs="Times New Roman"/>
                <w:sz w:val="16"/>
                <w:szCs w:val="16"/>
              </w:rPr>
              <w:t>)*</w:t>
            </w:r>
          </w:p>
        </w:tc>
        <w:tc>
          <w:tcPr>
            <w:tcW w:w="801" w:type="dxa"/>
          </w:tcPr>
          <w:p w14:paraId="56FC0241" w14:textId="77777777" w:rsidR="009B1955" w:rsidRPr="00D860CC" w:rsidRDefault="009B1955" w:rsidP="00807EBA">
            <w:pPr>
              <w:rPr>
                <w:rFonts w:ascii="Times New Roman" w:hAnsi="Times New Roman" w:cs="Times New Roman"/>
                <w:sz w:val="16"/>
                <w:szCs w:val="16"/>
              </w:rPr>
            </w:pPr>
            <w:r w:rsidRPr="00D860CC">
              <w:rPr>
                <w:rFonts w:ascii="Times New Roman" w:hAnsi="Times New Roman" w:cs="Times New Roman"/>
                <w:sz w:val="16"/>
                <w:szCs w:val="16"/>
              </w:rPr>
              <w:t>2019</w:t>
            </w:r>
          </w:p>
        </w:tc>
        <w:tc>
          <w:tcPr>
            <w:tcW w:w="5286" w:type="dxa"/>
          </w:tcPr>
          <w:p w14:paraId="1CEF5893" w14:textId="77777777" w:rsidR="009B1955" w:rsidRPr="00D860CC" w:rsidRDefault="009B1955" w:rsidP="00807EBA">
            <w:pPr>
              <w:rPr>
                <w:rFonts w:ascii="Times New Roman" w:hAnsi="Times New Roman" w:cs="Times New Roman"/>
                <w:sz w:val="16"/>
                <w:szCs w:val="16"/>
              </w:rPr>
            </w:pPr>
            <w:r w:rsidRPr="00D860CC">
              <w:rPr>
                <w:rFonts w:ascii="Times New Roman" w:hAnsi="Times New Roman" w:cs="Times New Roman"/>
                <w:sz w:val="16"/>
                <w:szCs w:val="16"/>
              </w:rPr>
              <w:t>Patient free text reporting of symptomatic adverse events in cancer clinical research using the National Cancer Institute’s Patient-Reported Outcomes version of the Common Terminology Criteria for Adverse Events (PRO-CTCAE).</w:t>
            </w:r>
          </w:p>
        </w:tc>
        <w:tc>
          <w:tcPr>
            <w:tcW w:w="1773" w:type="dxa"/>
          </w:tcPr>
          <w:p w14:paraId="2525B487" w14:textId="77777777" w:rsidR="009B1955" w:rsidRPr="00D860CC" w:rsidRDefault="009B1955" w:rsidP="00807EBA">
            <w:pPr>
              <w:rPr>
                <w:rFonts w:ascii="Times New Roman" w:hAnsi="Times New Roman" w:cs="Times New Roman"/>
                <w:sz w:val="16"/>
                <w:szCs w:val="16"/>
              </w:rPr>
            </w:pPr>
            <w:r w:rsidRPr="00D860CC">
              <w:rPr>
                <w:rFonts w:ascii="Times New Roman" w:hAnsi="Times New Roman" w:cs="Times New Roman"/>
                <w:sz w:val="16"/>
                <w:szCs w:val="16"/>
              </w:rPr>
              <w:t>Article</w:t>
            </w:r>
          </w:p>
        </w:tc>
      </w:tr>
      <w:tr w:rsidR="009B1955" w:rsidRPr="00D860CC" w14:paraId="20E2DB7C" w14:textId="77777777" w:rsidTr="00807EBA">
        <w:tc>
          <w:tcPr>
            <w:tcW w:w="2099" w:type="dxa"/>
            <w:vMerge w:val="restart"/>
          </w:tcPr>
          <w:p w14:paraId="2A6A3621" w14:textId="77777777" w:rsidR="009B1955" w:rsidRPr="00D860CC" w:rsidRDefault="009B1955" w:rsidP="00807EBA">
            <w:pPr>
              <w:rPr>
                <w:rFonts w:ascii="Times New Roman" w:hAnsi="Times New Roman" w:cs="Times New Roman"/>
                <w:sz w:val="16"/>
                <w:szCs w:val="16"/>
              </w:rPr>
            </w:pPr>
            <w:r w:rsidRPr="00D860CC">
              <w:rPr>
                <w:rFonts w:ascii="Times New Roman" w:hAnsi="Times New Roman" w:cs="Times New Roman"/>
                <w:sz w:val="16"/>
                <w:szCs w:val="16"/>
              </w:rPr>
              <w:lastRenderedPageBreak/>
              <w:t>How can unexpected issues be measured by item lists?</w:t>
            </w:r>
          </w:p>
        </w:tc>
        <w:tc>
          <w:tcPr>
            <w:tcW w:w="1647" w:type="dxa"/>
            <w:vMerge w:val="restart"/>
          </w:tcPr>
          <w:p w14:paraId="47AB6675" w14:textId="77777777" w:rsidR="009B1955" w:rsidRPr="00D860CC" w:rsidRDefault="009B1955" w:rsidP="00807EBA">
            <w:pPr>
              <w:rPr>
                <w:rFonts w:ascii="Times New Roman" w:hAnsi="Times New Roman" w:cs="Times New Roman"/>
                <w:sz w:val="16"/>
                <w:szCs w:val="16"/>
              </w:rPr>
            </w:pPr>
            <w:r w:rsidRPr="00D860CC">
              <w:rPr>
                <w:rFonts w:ascii="Times New Roman" w:hAnsi="Times New Roman" w:cs="Times New Roman"/>
                <w:sz w:val="16"/>
                <w:szCs w:val="16"/>
              </w:rPr>
              <w:t>Using free text and predictive text reporting</w:t>
            </w:r>
          </w:p>
        </w:tc>
        <w:tc>
          <w:tcPr>
            <w:tcW w:w="2342" w:type="dxa"/>
          </w:tcPr>
          <w:p w14:paraId="15866183" w14:textId="77777777" w:rsidR="009B1955" w:rsidRPr="00D860CC" w:rsidRDefault="009B1955" w:rsidP="00807EBA">
            <w:pPr>
              <w:rPr>
                <w:rFonts w:ascii="Times New Roman" w:hAnsi="Times New Roman" w:cs="Times New Roman"/>
                <w:sz w:val="16"/>
                <w:szCs w:val="16"/>
              </w:rPr>
            </w:pPr>
            <w:r w:rsidRPr="00D860CC">
              <w:rPr>
                <w:rFonts w:ascii="Times New Roman" w:hAnsi="Times New Roman" w:cs="Times New Roman"/>
                <w:sz w:val="16"/>
                <w:szCs w:val="16"/>
              </w:rPr>
              <w:t>FDA (</w:t>
            </w:r>
            <w:r>
              <w:rPr>
                <w:rFonts w:ascii="Times New Roman" w:hAnsi="Times New Roman" w:cs="Times New Roman"/>
                <w:sz w:val="16"/>
                <w:szCs w:val="16"/>
              </w:rPr>
              <w:t>48</w:t>
            </w:r>
            <w:r w:rsidRPr="00D860CC">
              <w:rPr>
                <w:rFonts w:ascii="Times New Roman" w:hAnsi="Times New Roman" w:cs="Times New Roman"/>
                <w:sz w:val="16"/>
                <w:szCs w:val="16"/>
              </w:rPr>
              <w:t>)</w:t>
            </w:r>
          </w:p>
        </w:tc>
        <w:tc>
          <w:tcPr>
            <w:tcW w:w="801" w:type="dxa"/>
          </w:tcPr>
          <w:p w14:paraId="5F578B3F" w14:textId="77777777" w:rsidR="009B1955" w:rsidRPr="00D860CC" w:rsidRDefault="009B1955" w:rsidP="00807EBA">
            <w:pPr>
              <w:rPr>
                <w:rFonts w:ascii="Times New Roman" w:hAnsi="Times New Roman" w:cs="Times New Roman"/>
                <w:sz w:val="16"/>
                <w:szCs w:val="16"/>
              </w:rPr>
            </w:pPr>
            <w:r w:rsidRPr="00D860CC">
              <w:rPr>
                <w:rFonts w:ascii="Times New Roman" w:hAnsi="Times New Roman" w:cs="Times New Roman"/>
                <w:sz w:val="16"/>
                <w:szCs w:val="16"/>
              </w:rPr>
              <w:t>2022</w:t>
            </w:r>
          </w:p>
        </w:tc>
        <w:tc>
          <w:tcPr>
            <w:tcW w:w="5286" w:type="dxa"/>
          </w:tcPr>
          <w:p w14:paraId="3C85D39E" w14:textId="77777777" w:rsidR="009B1955" w:rsidRPr="00D860CC" w:rsidRDefault="009B1955" w:rsidP="00807EBA">
            <w:pPr>
              <w:rPr>
                <w:rFonts w:ascii="Times New Roman" w:hAnsi="Times New Roman" w:cs="Times New Roman"/>
                <w:sz w:val="16"/>
                <w:szCs w:val="16"/>
              </w:rPr>
            </w:pPr>
            <w:r w:rsidRPr="00D860CC">
              <w:rPr>
                <w:rFonts w:ascii="Times New Roman" w:hAnsi="Times New Roman" w:cs="Times New Roman"/>
                <w:sz w:val="16"/>
                <w:szCs w:val="16"/>
              </w:rPr>
              <w:t>Patient-Focused Drug Development: Methods to Identify What Is Important to Patients</w:t>
            </w:r>
          </w:p>
        </w:tc>
        <w:tc>
          <w:tcPr>
            <w:tcW w:w="1773" w:type="dxa"/>
          </w:tcPr>
          <w:p w14:paraId="7514252B" w14:textId="77777777" w:rsidR="009B1955" w:rsidRPr="00D860CC" w:rsidRDefault="009B1955" w:rsidP="00807EBA">
            <w:pPr>
              <w:rPr>
                <w:rFonts w:ascii="Times New Roman" w:hAnsi="Times New Roman" w:cs="Times New Roman"/>
                <w:sz w:val="16"/>
                <w:szCs w:val="16"/>
              </w:rPr>
            </w:pPr>
            <w:r w:rsidRPr="00D860CC">
              <w:rPr>
                <w:rFonts w:ascii="Times New Roman" w:hAnsi="Times New Roman" w:cs="Times New Roman"/>
                <w:sz w:val="16"/>
                <w:szCs w:val="16"/>
              </w:rPr>
              <w:t>Guidance document</w:t>
            </w:r>
          </w:p>
        </w:tc>
      </w:tr>
      <w:tr w:rsidR="009B1955" w:rsidRPr="00D860CC" w14:paraId="04207369" w14:textId="77777777" w:rsidTr="00807EBA">
        <w:tc>
          <w:tcPr>
            <w:tcW w:w="2099" w:type="dxa"/>
            <w:vMerge/>
          </w:tcPr>
          <w:p w14:paraId="3A0AD713" w14:textId="77777777" w:rsidR="009B1955" w:rsidRPr="00D860CC" w:rsidRDefault="009B1955" w:rsidP="00807EBA">
            <w:pPr>
              <w:rPr>
                <w:rFonts w:ascii="Times New Roman" w:hAnsi="Times New Roman" w:cs="Times New Roman"/>
                <w:sz w:val="16"/>
                <w:szCs w:val="16"/>
              </w:rPr>
            </w:pPr>
          </w:p>
        </w:tc>
        <w:tc>
          <w:tcPr>
            <w:tcW w:w="1647" w:type="dxa"/>
            <w:vMerge/>
          </w:tcPr>
          <w:p w14:paraId="4CE9C221" w14:textId="77777777" w:rsidR="009B1955" w:rsidRPr="00D860CC" w:rsidRDefault="009B1955" w:rsidP="00807EBA">
            <w:pPr>
              <w:rPr>
                <w:rFonts w:ascii="Times New Roman" w:hAnsi="Times New Roman" w:cs="Times New Roman"/>
                <w:sz w:val="16"/>
                <w:szCs w:val="16"/>
              </w:rPr>
            </w:pPr>
          </w:p>
        </w:tc>
        <w:tc>
          <w:tcPr>
            <w:tcW w:w="2342" w:type="dxa"/>
          </w:tcPr>
          <w:p w14:paraId="3EC937BE" w14:textId="77777777" w:rsidR="009B1955" w:rsidRPr="00D860CC" w:rsidRDefault="009B1955" w:rsidP="00807EBA">
            <w:pPr>
              <w:rPr>
                <w:rFonts w:ascii="Times New Roman" w:hAnsi="Times New Roman" w:cs="Times New Roman"/>
                <w:sz w:val="16"/>
                <w:szCs w:val="16"/>
              </w:rPr>
            </w:pPr>
            <w:r w:rsidRPr="00D860CC">
              <w:rPr>
                <w:rFonts w:ascii="Times New Roman" w:hAnsi="Times New Roman" w:cs="Times New Roman"/>
                <w:sz w:val="16"/>
                <w:szCs w:val="16"/>
              </w:rPr>
              <w:t>Calvert et al. (</w:t>
            </w:r>
            <w:r>
              <w:rPr>
                <w:rFonts w:ascii="Times New Roman" w:hAnsi="Times New Roman" w:cs="Times New Roman"/>
                <w:sz w:val="16"/>
                <w:szCs w:val="16"/>
              </w:rPr>
              <w:t>49</w:t>
            </w:r>
            <w:r w:rsidRPr="00D860CC">
              <w:rPr>
                <w:rFonts w:ascii="Times New Roman" w:hAnsi="Times New Roman" w:cs="Times New Roman"/>
                <w:sz w:val="16"/>
                <w:szCs w:val="16"/>
              </w:rPr>
              <w:t>)</w:t>
            </w:r>
          </w:p>
        </w:tc>
        <w:tc>
          <w:tcPr>
            <w:tcW w:w="801" w:type="dxa"/>
          </w:tcPr>
          <w:p w14:paraId="486C4000" w14:textId="77777777" w:rsidR="009B1955" w:rsidRPr="00D860CC" w:rsidRDefault="009B1955" w:rsidP="00807EBA">
            <w:pPr>
              <w:rPr>
                <w:rFonts w:ascii="Times New Roman" w:hAnsi="Times New Roman" w:cs="Times New Roman"/>
                <w:sz w:val="16"/>
                <w:szCs w:val="16"/>
              </w:rPr>
            </w:pPr>
            <w:r w:rsidRPr="00D860CC">
              <w:rPr>
                <w:rFonts w:ascii="Times New Roman" w:hAnsi="Times New Roman" w:cs="Times New Roman"/>
                <w:sz w:val="16"/>
                <w:szCs w:val="16"/>
              </w:rPr>
              <w:t>2019</w:t>
            </w:r>
          </w:p>
        </w:tc>
        <w:tc>
          <w:tcPr>
            <w:tcW w:w="5286" w:type="dxa"/>
          </w:tcPr>
          <w:p w14:paraId="7BE020E1" w14:textId="77777777" w:rsidR="009B1955" w:rsidRPr="00D860CC" w:rsidRDefault="009B1955" w:rsidP="00807EBA">
            <w:pPr>
              <w:rPr>
                <w:rFonts w:ascii="Times New Roman" w:hAnsi="Times New Roman" w:cs="Times New Roman"/>
                <w:sz w:val="16"/>
                <w:szCs w:val="16"/>
              </w:rPr>
            </w:pPr>
            <w:r w:rsidRPr="00D860CC">
              <w:rPr>
                <w:rFonts w:ascii="Times New Roman" w:hAnsi="Times New Roman" w:cs="Times New Roman"/>
                <w:sz w:val="16"/>
                <w:szCs w:val="16"/>
              </w:rPr>
              <w:t>Harnessing the patient voice in real-world evidence: the essential role of patient-reported outcomes</w:t>
            </w:r>
          </w:p>
        </w:tc>
        <w:tc>
          <w:tcPr>
            <w:tcW w:w="1773" w:type="dxa"/>
          </w:tcPr>
          <w:p w14:paraId="605A529E" w14:textId="77777777" w:rsidR="009B1955" w:rsidRPr="00D860CC" w:rsidRDefault="009B1955" w:rsidP="00807EBA">
            <w:pPr>
              <w:rPr>
                <w:rFonts w:ascii="Times New Roman" w:hAnsi="Times New Roman" w:cs="Times New Roman"/>
                <w:sz w:val="16"/>
                <w:szCs w:val="16"/>
              </w:rPr>
            </w:pPr>
            <w:r w:rsidRPr="00D860CC">
              <w:rPr>
                <w:rFonts w:ascii="Times New Roman" w:hAnsi="Times New Roman" w:cs="Times New Roman"/>
                <w:sz w:val="16"/>
                <w:szCs w:val="16"/>
              </w:rPr>
              <w:t>Article</w:t>
            </w:r>
          </w:p>
        </w:tc>
      </w:tr>
      <w:tr w:rsidR="009B1955" w:rsidRPr="00D860CC" w14:paraId="47B586B7" w14:textId="77777777" w:rsidTr="00807EBA">
        <w:tc>
          <w:tcPr>
            <w:tcW w:w="2099" w:type="dxa"/>
            <w:vMerge/>
          </w:tcPr>
          <w:p w14:paraId="6BF827DB" w14:textId="77777777" w:rsidR="009B1955" w:rsidRPr="00D860CC" w:rsidRDefault="009B1955" w:rsidP="00807EBA">
            <w:pPr>
              <w:rPr>
                <w:rFonts w:ascii="Times New Roman" w:hAnsi="Times New Roman" w:cs="Times New Roman"/>
                <w:sz w:val="16"/>
                <w:szCs w:val="16"/>
              </w:rPr>
            </w:pPr>
          </w:p>
        </w:tc>
        <w:tc>
          <w:tcPr>
            <w:tcW w:w="1647" w:type="dxa"/>
            <w:vMerge/>
          </w:tcPr>
          <w:p w14:paraId="2A1DFCEA" w14:textId="77777777" w:rsidR="009B1955" w:rsidRPr="00D860CC" w:rsidRDefault="009B1955" w:rsidP="00807EBA">
            <w:pPr>
              <w:rPr>
                <w:rFonts w:ascii="Times New Roman" w:hAnsi="Times New Roman" w:cs="Times New Roman"/>
                <w:sz w:val="16"/>
                <w:szCs w:val="16"/>
              </w:rPr>
            </w:pPr>
          </w:p>
        </w:tc>
        <w:tc>
          <w:tcPr>
            <w:tcW w:w="2342" w:type="dxa"/>
          </w:tcPr>
          <w:p w14:paraId="5B7C5654" w14:textId="77777777" w:rsidR="009B1955" w:rsidRPr="00D860CC" w:rsidRDefault="009B1955" w:rsidP="00807EBA">
            <w:pPr>
              <w:rPr>
                <w:rFonts w:ascii="Times New Roman" w:hAnsi="Times New Roman" w:cs="Times New Roman"/>
                <w:sz w:val="16"/>
                <w:szCs w:val="16"/>
              </w:rPr>
            </w:pPr>
            <w:r w:rsidRPr="00D860CC">
              <w:rPr>
                <w:rFonts w:ascii="Times New Roman" w:hAnsi="Times New Roman" w:cs="Times New Roman"/>
                <w:sz w:val="16"/>
                <w:szCs w:val="16"/>
              </w:rPr>
              <w:t>Rojas-Concha et al. (5</w:t>
            </w:r>
            <w:r>
              <w:rPr>
                <w:rFonts w:ascii="Times New Roman" w:hAnsi="Times New Roman" w:cs="Times New Roman"/>
                <w:sz w:val="16"/>
                <w:szCs w:val="16"/>
              </w:rPr>
              <w:t>0</w:t>
            </w:r>
            <w:r w:rsidRPr="00D860CC">
              <w:rPr>
                <w:rFonts w:ascii="Times New Roman" w:hAnsi="Times New Roman" w:cs="Times New Roman"/>
                <w:sz w:val="16"/>
                <w:szCs w:val="16"/>
              </w:rPr>
              <w:t>)</w:t>
            </w:r>
          </w:p>
        </w:tc>
        <w:tc>
          <w:tcPr>
            <w:tcW w:w="801" w:type="dxa"/>
          </w:tcPr>
          <w:p w14:paraId="4C08ACA2" w14:textId="77777777" w:rsidR="009B1955" w:rsidRPr="00D860CC" w:rsidRDefault="009B1955" w:rsidP="00807EBA">
            <w:pPr>
              <w:rPr>
                <w:rFonts w:ascii="Times New Roman" w:hAnsi="Times New Roman" w:cs="Times New Roman"/>
                <w:sz w:val="16"/>
                <w:szCs w:val="16"/>
              </w:rPr>
            </w:pPr>
            <w:r w:rsidRPr="00D860CC">
              <w:rPr>
                <w:rFonts w:ascii="Times New Roman" w:hAnsi="Times New Roman" w:cs="Times New Roman"/>
                <w:sz w:val="16"/>
                <w:szCs w:val="16"/>
              </w:rPr>
              <w:t>2020</w:t>
            </w:r>
          </w:p>
        </w:tc>
        <w:tc>
          <w:tcPr>
            <w:tcW w:w="5286" w:type="dxa"/>
          </w:tcPr>
          <w:p w14:paraId="03D38DB5" w14:textId="77777777" w:rsidR="009B1955" w:rsidRPr="00D860CC" w:rsidRDefault="009B1955" w:rsidP="00807EBA">
            <w:pPr>
              <w:rPr>
                <w:rFonts w:ascii="Times New Roman" w:hAnsi="Times New Roman" w:cs="Times New Roman"/>
                <w:sz w:val="16"/>
                <w:szCs w:val="16"/>
              </w:rPr>
            </w:pPr>
            <w:r w:rsidRPr="00D860CC">
              <w:rPr>
                <w:rFonts w:ascii="Times New Roman" w:hAnsi="Times New Roman" w:cs="Times New Roman"/>
                <w:sz w:val="16"/>
                <w:szCs w:val="16"/>
              </w:rPr>
              <w:t>Which symptoms and problems do advanced cancer patients admitted to specialized palliative care report in addition to those included in the EORTC QLQ-C15-PAL? A register-based national study</w:t>
            </w:r>
          </w:p>
        </w:tc>
        <w:tc>
          <w:tcPr>
            <w:tcW w:w="1773" w:type="dxa"/>
          </w:tcPr>
          <w:p w14:paraId="65F01DD6" w14:textId="77777777" w:rsidR="009B1955" w:rsidRPr="00D860CC" w:rsidRDefault="009B1955" w:rsidP="00807EBA">
            <w:pPr>
              <w:rPr>
                <w:rFonts w:ascii="Times New Roman" w:hAnsi="Times New Roman" w:cs="Times New Roman"/>
                <w:sz w:val="16"/>
                <w:szCs w:val="16"/>
              </w:rPr>
            </w:pPr>
            <w:r w:rsidRPr="00D860CC">
              <w:rPr>
                <w:rFonts w:ascii="Times New Roman" w:hAnsi="Times New Roman" w:cs="Times New Roman"/>
                <w:sz w:val="16"/>
                <w:szCs w:val="16"/>
              </w:rPr>
              <w:t>Article</w:t>
            </w:r>
          </w:p>
        </w:tc>
      </w:tr>
      <w:tr w:rsidR="009B1955" w:rsidRPr="00D860CC" w14:paraId="571E3005" w14:textId="77777777" w:rsidTr="00807EBA">
        <w:tc>
          <w:tcPr>
            <w:tcW w:w="2099" w:type="dxa"/>
            <w:vMerge/>
          </w:tcPr>
          <w:p w14:paraId="19FDEA82" w14:textId="77777777" w:rsidR="009B1955" w:rsidRPr="00D860CC" w:rsidRDefault="009B1955" w:rsidP="00807EBA">
            <w:pPr>
              <w:rPr>
                <w:rFonts w:ascii="Times New Roman" w:hAnsi="Times New Roman" w:cs="Times New Roman"/>
                <w:sz w:val="16"/>
                <w:szCs w:val="16"/>
              </w:rPr>
            </w:pPr>
          </w:p>
        </w:tc>
        <w:tc>
          <w:tcPr>
            <w:tcW w:w="1647" w:type="dxa"/>
            <w:vMerge/>
          </w:tcPr>
          <w:p w14:paraId="3D1A3067" w14:textId="77777777" w:rsidR="009B1955" w:rsidRPr="00D860CC" w:rsidRDefault="009B1955" w:rsidP="00807EBA">
            <w:pPr>
              <w:rPr>
                <w:rFonts w:ascii="Times New Roman" w:hAnsi="Times New Roman" w:cs="Times New Roman"/>
                <w:sz w:val="16"/>
                <w:szCs w:val="16"/>
              </w:rPr>
            </w:pPr>
          </w:p>
        </w:tc>
        <w:tc>
          <w:tcPr>
            <w:tcW w:w="2342" w:type="dxa"/>
          </w:tcPr>
          <w:p w14:paraId="30BFBB95" w14:textId="77777777" w:rsidR="009B1955" w:rsidRPr="00D860CC" w:rsidRDefault="009B1955" w:rsidP="00807EBA">
            <w:pPr>
              <w:rPr>
                <w:rFonts w:ascii="Times New Roman" w:hAnsi="Times New Roman" w:cs="Times New Roman"/>
                <w:sz w:val="16"/>
                <w:szCs w:val="16"/>
              </w:rPr>
            </w:pPr>
            <w:r w:rsidRPr="00D860CC">
              <w:rPr>
                <w:rFonts w:ascii="Times New Roman" w:hAnsi="Times New Roman" w:cs="Times New Roman"/>
                <w:sz w:val="16"/>
                <w:szCs w:val="16"/>
              </w:rPr>
              <w:t>Chung et al. (</w:t>
            </w:r>
            <w:r>
              <w:rPr>
                <w:rFonts w:ascii="Times New Roman" w:hAnsi="Times New Roman" w:cs="Times New Roman"/>
                <w:sz w:val="16"/>
                <w:szCs w:val="16"/>
              </w:rPr>
              <w:t>47</w:t>
            </w:r>
            <w:r w:rsidRPr="00D860CC">
              <w:rPr>
                <w:rFonts w:ascii="Times New Roman" w:hAnsi="Times New Roman" w:cs="Times New Roman"/>
                <w:sz w:val="16"/>
                <w:szCs w:val="16"/>
              </w:rPr>
              <w:t>)*</w:t>
            </w:r>
          </w:p>
        </w:tc>
        <w:tc>
          <w:tcPr>
            <w:tcW w:w="801" w:type="dxa"/>
          </w:tcPr>
          <w:p w14:paraId="468C06A4" w14:textId="77777777" w:rsidR="009B1955" w:rsidRPr="00D860CC" w:rsidRDefault="009B1955" w:rsidP="00807EBA">
            <w:pPr>
              <w:rPr>
                <w:rFonts w:ascii="Times New Roman" w:hAnsi="Times New Roman" w:cs="Times New Roman"/>
                <w:sz w:val="16"/>
                <w:szCs w:val="16"/>
              </w:rPr>
            </w:pPr>
            <w:r w:rsidRPr="00D860CC">
              <w:rPr>
                <w:rFonts w:ascii="Times New Roman" w:hAnsi="Times New Roman" w:cs="Times New Roman"/>
                <w:sz w:val="16"/>
                <w:szCs w:val="16"/>
              </w:rPr>
              <w:t>2019</w:t>
            </w:r>
          </w:p>
        </w:tc>
        <w:tc>
          <w:tcPr>
            <w:tcW w:w="5286" w:type="dxa"/>
          </w:tcPr>
          <w:p w14:paraId="04E78E4F" w14:textId="77777777" w:rsidR="009B1955" w:rsidRPr="00D860CC" w:rsidRDefault="009B1955" w:rsidP="00807EBA">
            <w:pPr>
              <w:rPr>
                <w:rFonts w:ascii="Times New Roman" w:hAnsi="Times New Roman" w:cs="Times New Roman"/>
                <w:sz w:val="16"/>
                <w:szCs w:val="16"/>
              </w:rPr>
            </w:pPr>
            <w:r w:rsidRPr="00D860CC">
              <w:rPr>
                <w:rFonts w:ascii="Times New Roman" w:hAnsi="Times New Roman" w:cs="Times New Roman"/>
                <w:sz w:val="16"/>
                <w:szCs w:val="16"/>
              </w:rPr>
              <w:t>Patient free text reporting of symptomatic adverse events in cancer clinical research using the National Cancer Institute’s Patient-Reported Outcomes version of the Common Terminology Criteria for Adverse Events (PRO-CTCAE).</w:t>
            </w:r>
          </w:p>
        </w:tc>
        <w:tc>
          <w:tcPr>
            <w:tcW w:w="1773" w:type="dxa"/>
          </w:tcPr>
          <w:p w14:paraId="424B202D" w14:textId="77777777" w:rsidR="009B1955" w:rsidRPr="00D860CC" w:rsidRDefault="009B1955" w:rsidP="00807EBA">
            <w:pPr>
              <w:rPr>
                <w:rFonts w:ascii="Times New Roman" w:hAnsi="Times New Roman" w:cs="Times New Roman"/>
                <w:sz w:val="16"/>
                <w:szCs w:val="16"/>
              </w:rPr>
            </w:pPr>
            <w:r w:rsidRPr="00D860CC">
              <w:rPr>
                <w:rFonts w:ascii="Times New Roman" w:hAnsi="Times New Roman" w:cs="Times New Roman"/>
                <w:sz w:val="16"/>
                <w:szCs w:val="16"/>
              </w:rPr>
              <w:t>Article</w:t>
            </w:r>
          </w:p>
        </w:tc>
      </w:tr>
      <w:tr w:rsidR="009B1955" w:rsidRPr="00D860CC" w14:paraId="286148EE" w14:textId="77777777" w:rsidTr="00807EBA">
        <w:tc>
          <w:tcPr>
            <w:tcW w:w="2099" w:type="dxa"/>
            <w:vMerge w:val="restart"/>
          </w:tcPr>
          <w:p w14:paraId="3C250935" w14:textId="77777777" w:rsidR="009B1955" w:rsidRPr="00D860CC" w:rsidRDefault="009B1955" w:rsidP="00807EBA">
            <w:pPr>
              <w:rPr>
                <w:rFonts w:ascii="Times New Roman" w:hAnsi="Times New Roman" w:cs="Times New Roman"/>
                <w:sz w:val="16"/>
                <w:szCs w:val="16"/>
              </w:rPr>
            </w:pPr>
            <w:r w:rsidRPr="00D860CC">
              <w:rPr>
                <w:rFonts w:ascii="Times New Roman" w:hAnsi="Times New Roman" w:cs="Times New Roman"/>
                <w:sz w:val="16"/>
                <w:szCs w:val="16"/>
              </w:rPr>
              <w:t>How should item lists be ordered?</w:t>
            </w:r>
          </w:p>
        </w:tc>
        <w:tc>
          <w:tcPr>
            <w:tcW w:w="1647" w:type="dxa"/>
          </w:tcPr>
          <w:p w14:paraId="73DF047A" w14:textId="77777777" w:rsidR="009B1955" w:rsidRPr="00D860CC" w:rsidRDefault="009B1955" w:rsidP="00807EBA">
            <w:pPr>
              <w:rPr>
                <w:rFonts w:ascii="Times New Roman" w:hAnsi="Times New Roman" w:cs="Times New Roman"/>
                <w:sz w:val="16"/>
                <w:szCs w:val="16"/>
              </w:rPr>
            </w:pPr>
            <w:r w:rsidRPr="00D860CC">
              <w:rPr>
                <w:rFonts w:ascii="Times New Roman" w:hAnsi="Times New Roman" w:cs="Times New Roman"/>
                <w:sz w:val="16"/>
                <w:szCs w:val="16"/>
              </w:rPr>
              <w:t>To ensure comprehensibility</w:t>
            </w:r>
          </w:p>
        </w:tc>
        <w:tc>
          <w:tcPr>
            <w:tcW w:w="2342" w:type="dxa"/>
          </w:tcPr>
          <w:p w14:paraId="4DBBAE70" w14:textId="77777777" w:rsidR="009B1955" w:rsidRPr="00D860CC" w:rsidRDefault="009B1955" w:rsidP="00807EBA">
            <w:pPr>
              <w:rPr>
                <w:rFonts w:ascii="Times New Roman" w:hAnsi="Times New Roman" w:cs="Times New Roman"/>
                <w:sz w:val="16"/>
                <w:szCs w:val="16"/>
              </w:rPr>
            </w:pPr>
            <w:proofErr w:type="spellStart"/>
            <w:r w:rsidRPr="00D860CC">
              <w:rPr>
                <w:rFonts w:ascii="Times New Roman" w:hAnsi="Times New Roman" w:cs="Times New Roman"/>
                <w:sz w:val="16"/>
                <w:szCs w:val="16"/>
              </w:rPr>
              <w:t>Piccinin</w:t>
            </w:r>
            <w:proofErr w:type="spellEnd"/>
            <w:r w:rsidRPr="00D860CC">
              <w:rPr>
                <w:rFonts w:ascii="Times New Roman" w:hAnsi="Times New Roman" w:cs="Times New Roman"/>
                <w:sz w:val="16"/>
                <w:szCs w:val="16"/>
              </w:rPr>
              <w:t xml:space="preserve"> et al. (</w:t>
            </w:r>
            <w:r>
              <w:rPr>
                <w:rFonts w:ascii="Times New Roman" w:hAnsi="Times New Roman" w:cs="Times New Roman"/>
                <w:sz w:val="16"/>
                <w:szCs w:val="16"/>
              </w:rPr>
              <w:t>39</w:t>
            </w:r>
            <w:r w:rsidRPr="00D860CC">
              <w:rPr>
                <w:rFonts w:ascii="Times New Roman" w:hAnsi="Times New Roman" w:cs="Times New Roman"/>
                <w:sz w:val="16"/>
                <w:szCs w:val="16"/>
              </w:rPr>
              <w:t xml:space="preserve">)* </w:t>
            </w:r>
          </w:p>
        </w:tc>
        <w:tc>
          <w:tcPr>
            <w:tcW w:w="801" w:type="dxa"/>
          </w:tcPr>
          <w:p w14:paraId="341FCABE" w14:textId="77777777" w:rsidR="009B1955" w:rsidRPr="00D860CC" w:rsidRDefault="009B1955" w:rsidP="00807EBA">
            <w:pPr>
              <w:rPr>
                <w:rFonts w:ascii="Times New Roman" w:hAnsi="Times New Roman" w:cs="Times New Roman"/>
                <w:sz w:val="16"/>
                <w:szCs w:val="16"/>
              </w:rPr>
            </w:pPr>
            <w:r w:rsidRPr="00D860CC">
              <w:rPr>
                <w:rFonts w:ascii="Times New Roman" w:hAnsi="Times New Roman" w:cs="Times New Roman"/>
                <w:sz w:val="16"/>
                <w:szCs w:val="16"/>
              </w:rPr>
              <w:t>2022</w:t>
            </w:r>
          </w:p>
        </w:tc>
        <w:tc>
          <w:tcPr>
            <w:tcW w:w="5286" w:type="dxa"/>
          </w:tcPr>
          <w:p w14:paraId="42B19C83" w14:textId="77777777" w:rsidR="009B1955" w:rsidRPr="00D860CC" w:rsidRDefault="009B1955" w:rsidP="00807EBA">
            <w:pPr>
              <w:rPr>
                <w:rFonts w:ascii="Times New Roman" w:hAnsi="Times New Roman" w:cs="Times New Roman"/>
                <w:sz w:val="16"/>
                <w:szCs w:val="16"/>
              </w:rPr>
            </w:pPr>
            <w:r w:rsidRPr="00D860CC">
              <w:rPr>
                <w:rFonts w:ascii="Times New Roman" w:hAnsi="Times New Roman" w:cs="Times New Roman"/>
                <w:sz w:val="16"/>
                <w:szCs w:val="16"/>
              </w:rPr>
              <w:t>EORTC Quality of Life Group Item Library User Guidelines; First Edition</w:t>
            </w:r>
          </w:p>
        </w:tc>
        <w:tc>
          <w:tcPr>
            <w:tcW w:w="1773" w:type="dxa"/>
          </w:tcPr>
          <w:p w14:paraId="32CE1DFD" w14:textId="77777777" w:rsidR="009B1955" w:rsidRPr="00D860CC" w:rsidRDefault="009B1955" w:rsidP="00807EBA">
            <w:pPr>
              <w:rPr>
                <w:rFonts w:ascii="Times New Roman" w:hAnsi="Times New Roman" w:cs="Times New Roman"/>
                <w:sz w:val="16"/>
                <w:szCs w:val="16"/>
              </w:rPr>
            </w:pPr>
            <w:r w:rsidRPr="00D860CC">
              <w:rPr>
                <w:rFonts w:ascii="Times New Roman" w:hAnsi="Times New Roman" w:cs="Times New Roman"/>
                <w:sz w:val="16"/>
                <w:szCs w:val="16"/>
              </w:rPr>
              <w:t>Manual</w:t>
            </w:r>
          </w:p>
        </w:tc>
      </w:tr>
      <w:tr w:rsidR="009B1955" w:rsidRPr="00D860CC" w14:paraId="5FC79647" w14:textId="77777777" w:rsidTr="00807EBA">
        <w:tc>
          <w:tcPr>
            <w:tcW w:w="2099" w:type="dxa"/>
            <w:vMerge/>
          </w:tcPr>
          <w:p w14:paraId="37379A05" w14:textId="77777777" w:rsidR="009B1955" w:rsidRPr="00D860CC" w:rsidRDefault="009B1955" w:rsidP="00807EBA">
            <w:pPr>
              <w:rPr>
                <w:rFonts w:ascii="Times New Roman" w:hAnsi="Times New Roman" w:cs="Times New Roman"/>
                <w:sz w:val="16"/>
                <w:szCs w:val="16"/>
              </w:rPr>
            </w:pPr>
          </w:p>
        </w:tc>
        <w:tc>
          <w:tcPr>
            <w:tcW w:w="1647" w:type="dxa"/>
            <w:vMerge w:val="restart"/>
          </w:tcPr>
          <w:p w14:paraId="6B1C7733" w14:textId="77777777" w:rsidR="009B1955" w:rsidRPr="00D860CC" w:rsidRDefault="009B1955" w:rsidP="00807EBA">
            <w:pPr>
              <w:rPr>
                <w:rFonts w:ascii="Times New Roman" w:hAnsi="Times New Roman" w:cs="Times New Roman"/>
                <w:sz w:val="16"/>
                <w:szCs w:val="16"/>
              </w:rPr>
            </w:pPr>
            <w:r w:rsidRPr="00D860CC">
              <w:rPr>
                <w:rFonts w:ascii="Times New Roman" w:hAnsi="Times New Roman" w:cs="Times New Roman"/>
                <w:sz w:val="16"/>
                <w:szCs w:val="16"/>
              </w:rPr>
              <w:t>To account for possible priming effects and potentially sensitive issues</w:t>
            </w:r>
          </w:p>
        </w:tc>
        <w:tc>
          <w:tcPr>
            <w:tcW w:w="2342" w:type="dxa"/>
          </w:tcPr>
          <w:p w14:paraId="3E15C102" w14:textId="77777777" w:rsidR="009B1955" w:rsidRPr="00D860CC" w:rsidRDefault="009B1955" w:rsidP="00807EBA">
            <w:pPr>
              <w:rPr>
                <w:rFonts w:ascii="Times New Roman" w:hAnsi="Times New Roman" w:cs="Times New Roman"/>
                <w:sz w:val="16"/>
                <w:szCs w:val="16"/>
              </w:rPr>
            </w:pPr>
            <w:proofErr w:type="spellStart"/>
            <w:r w:rsidRPr="00D860CC">
              <w:rPr>
                <w:rFonts w:ascii="Times New Roman" w:hAnsi="Times New Roman" w:cs="Times New Roman"/>
                <w:sz w:val="16"/>
                <w:szCs w:val="16"/>
              </w:rPr>
              <w:t>Piccinin</w:t>
            </w:r>
            <w:proofErr w:type="spellEnd"/>
            <w:r w:rsidRPr="00D860CC">
              <w:rPr>
                <w:rFonts w:ascii="Times New Roman" w:hAnsi="Times New Roman" w:cs="Times New Roman"/>
                <w:sz w:val="16"/>
                <w:szCs w:val="16"/>
              </w:rPr>
              <w:t xml:space="preserve"> et al. (</w:t>
            </w:r>
            <w:r>
              <w:rPr>
                <w:rFonts w:ascii="Times New Roman" w:hAnsi="Times New Roman" w:cs="Times New Roman"/>
                <w:sz w:val="16"/>
                <w:szCs w:val="16"/>
              </w:rPr>
              <w:t>38</w:t>
            </w:r>
            <w:r w:rsidRPr="00D860CC">
              <w:rPr>
                <w:rFonts w:ascii="Times New Roman" w:hAnsi="Times New Roman" w:cs="Times New Roman"/>
                <w:sz w:val="16"/>
                <w:szCs w:val="16"/>
              </w:rPr>
              <w:t xml:space="preserve">)* </w:t>
            </w:r>
          </w:p>
        </w:tc>
        <w:tc>
          <w:tcPr>
            <w:tcW w:w="801" w:type="dxa"/>
          </w:tcPr>
          <w:p w14:paraId="639A4FB4" w14:textId="77777777" w:rsidR="009B1955" w:rsidRPr="00D860CC" w:rsidRDefault="009B1955" w:rsidP="00807EBA">
            <w:pPr>
              <w:rPr>
                <w:rFonts w:ascii="Times New Roman" w:hAnsi="Times New Roman" w:cs="Times New Roman"/>
                <w:sz w:val="16"/>
                <w:szCs w:val="16"/>
              </w:rPr>
            </w:pPr>
            <w:r w:rsidRPr="00D860CC">
              <w:rPr>
                <w:rFonts w:ascii="Times New Roman" w:hAnsi="Times New Roman" w:cs="Times New Roman"/>
                <w:sz w:val="16"/>
                <w:szCs w:val="16"/>
              </w:rPr>
              <w:t>2019</w:t>
            </w:r>
          </w:p>
        </w:tc>
        <w:tc>
          <w:tcPr>
            <w:tcW w:w="5286" w:type="dxa"/>
          </w:tcPr>
          <w:p w14:paraId="31F08E66" w14:textId="77777777" w:rsidR="009B1955" w:rsidRPr="00D860CC" w:rsidRDefault="009B1955" w:rsidP="00807EBA">
            <w:pPr>
              <w:rPr>
                <w:rFonts w:ascii="Times New Roman" w:hAnsi="Times New Roman" w:cs="Times New Roman"/>
                <w:sz w:val="16"/>
                <w:szCs w:val="16"/>
              </w:rPr>
            </w:pPr>
            <w:r w:rsidRPr="00D860CC">
              <w:rPr>
                <w:rFonts w:ascii="Times New Roman" w:hAnsi="Times New Roman" w:cs="Times New Roman"/>
                <w:sz w:val="16"/>
                <w:szCs w:val="16"/>
              </w:rPr>
              <w:t>PCN296 Development of scientific guidelines for use of the EORTC Item Library in cancer clinical trials</w:t>
            </w:r>
          </w:p>
        </w:tc>
        <w:tc>
          <w:tcPr>
            <w:tcW w:w="1773" w:type="dxa"/>
          </w:tcPr>
          <w:p w14:paraId="7493A902" w14:textId="77777777" w:rsidR="009B1955" w:rsidRPr="00D860CC" w:rsidRDefault="009B1955" w:rsidP="00807EBA">
            <w:pPr>
              <w:rPr>
                <w:rFonts w:ascii="Times New Roman" w:hAnsi="Times New Roman" w:cs="Times New Roman"/>
                <w:sz w:val="16"/>
                <w:szCs w:val="16"/>
              </w:rPr>
            </w:pPr>
            <w:r w:rsidRPr="00D860CC">
              <w:rPr>
                <w:rFonts w:ascii="Times New Roman" w:hAnsi="Times New Roman" w:cs="Times New Roman"/>
                <w:sz w:val="16"/>
                <w:szCs w:val="16"/>
              </w:rPr>
              <w:t>Conference abstract</w:t>
            </w:r>
          </w:p>
        </w:tc>
      </w:tr>
      <w:tr w:rsidR="009B1955" w:rsidRPr="00D860CC" w14:paraId="3217C7D1" w14:textId="77777777" w:rsidTr="00807EBA">
        <w:tc>
          <w:tcPr>
            <w:tcW w:w="2099" w:type="dxa"/>
            <w:vMerge/>
          </w:tcPr>
          <w:p w14:paraId="06DD1902" w14:textId="77777777" w:rsidR="009B1955" w:rsidRPr="00D860CC" w:rsidRDefault="009B1955" w:rsidP="00807EBA">
            <w:pPr>
              <w:rPr>
                <w:rFonts w:ascii="Times New Roman" w:hAnsi="Times New Roman" w:cs="Times New Roman"/>
                <w:sz w:val="16"/>
                <w:szCs w:val="16"/>
              </w:rPr>
            </w:pPr>
          </w:p>
        </w:tc>
        <w:tc>
          <w:tcPr>
            <w:tcW w:w="1647" w:type="dxa"/>
            <w:vMerge/>
          </w:tcPr>
          <w:p w14:paraId="6B1514D3" w14:textId="77777777" w:rsidR="009B1955" w:rsidRPr="00D860CC" w:rsidRDefault="009B1955" w:rsidP="00807EBA">
            <w:pPr>
              <w:rPr>
                <w:rFonts w:ascii="Times New Roman" w:hAnsi="Times New Roman" w:cs="Times New Roman"/>
                <w:sz w:val="16"/>
                <w:szCs w:val="16"/>
              </w:rPr>
            </w:pPr>
          </w:p>
        </w:tc>
        <w:tc>
          <w:tcPr>
            <w:tcW w:w="2342" w:type="dxa"/>
          </w:tcPr>
          <w:p w14:paraId="22CCDE36" w14:textId="77777777" w:rsidR="009B1955" w:rsidRPr="00D860CC" w:rsidRDefault="009B1955" w:rsidP="00807EBA">
            <w:pPr>
              <w:rPr>
                <w:rFonts w:ascii="Times New Roman" w:hAnsi="Times New Roman" w:cs="Times New Roman"/>
                <w:sz w:val="16"/>
                <w:szCs w:val="16"/>
              </w:rPr>
            </w:pPr>
            <w:proofErr w:type="spellStart"/>
            <w:r w:rsidRPr="00D860CC">
              <w:rPr>
                <w:rFonts w:ascii="Times New Roman" w:hAnsi="Times New Roman" w:cs="Times New Roman"/>
                <w:sz w:val="16"/>
                <w:szCs w:val="16"/>
              </w:rPr>
              <w:t>Piccinin</w:t>
            </w:r>
            <w:proofErr w:type="spellEnd"/>
            <w:r w:rsidRPr="00D860CC">
              <w:rPr>
                <w:rFonts w:ascii="Times New Roman" w:hAnsi="Times New Roman" w:cs="Times New Roman"/>
                <w:sz w:val="16"/>
                <w:szCs w:val="16"/>
              </w:rPr>
              <w:t xml:space="preserve"> et al. (</w:t>
            </w:r>
            <w:r>
              <w:rPr>
                <w:rFonts w:ascii="Times New Roman" w:hAnsi="Times New Roman" w:cs="Times New Roman"/>
                <w:sz w:val="16"/>
                <w:szCs w:val="16"/>
              </w:rPr>
              <w:t>39</w:t>
            </w:r>
            <w:r w:rsidRPr="00D860CC">
              <w:rPr>
                <w:rFonts w:ascii="Times New Roman" w:hAnsi="Times New Roman" w:cs="Times New Roman"/>
                <w:sz w:val="16"/>
                <w:szCs w:val="16"/>
              </w:rPr>
              <w:t xml:space="preserve">)* </w:t>
            </w:r>
          </w:p>
        </w:tc>
        <w:tc>
          <w:tcPr>
            <w:tcW w:w="801" w:type="dxa"/>
          </w:tcPr>
          <w:p w14:paraId="28758553" w14:textId="77777777" w:rsidR="009B1955" w:rsidRPr="00D860CC" w:rsidRDefault="009B1955" w:rsidP="00807EBA">
            <w:pPr>
              <w:rPr>
                <w:rFonts w:ascii="Times New Roman" w:hAnsi="Times New Roman" w:cs="Times New Roman"/>
                <w:sz w:val="16"/>
                <w:szCs w:val="16"/>
              </w:rPr>
            </w:pPr>
            <w:r w:rsidRPr="00D860CC">
              <w:rPr>
                <w:rFonts w:ascii="Times New Roman" w:hAnsi="Times New Roman" w:cs="Times New Roman"/>
                <w:sz w:val="16"/>
                <w:szCs w:val="16"/>
              </w:rPr>
              <w:t>2022</w:t>
            </w:r>
          </w:p>
        </w:tc>
        <w:tc>
          <w:tcPr>
            <w:tcW w:w="5286" w:type="dxa"/>
          </w:tcPr>
          <w:p w14:paraId="3F889479" w14:textId="77777777" w:rsidR="009B1955" w:rsidRPr="00D860CC" w:rsidRDefault="009B1955" w:rsidP="00807EBA">
            <w:pPr>
              <w:rPr>
                <w:rFonts w:ascii="Times New Roman" w:hAnsi="Times New Roman" w:cs="Times New Roman"/>
                <w:sz w:val="16"/>
                <w:szCs w:val="16"/>
              </w:rPr>
            </w:pPr>
            <w:r w:rsidRPr="00D860CC">
              <w:rPr>
                <w:rFonts w:ascii="Times New Roman" w:hAnsi="Times New Roman" w:cs="Times New Roman"/>
                <w:sz w:val="16"/>
                <w:szCs w:val="16"/>
              </w:rPr>
              <w:t>EORTC Quality of Life Group Item Library User Guidelines; First Edition</w:t>
            </w:r>
          </w:p>
        </w:tc>
        <w:tc>
          <w:tcPr>
            <w:tcW w:w="1773" w:type="dxa"/>
          </w:tcPr>
          <w:p w14:paraId="75B4BF32" w14:textId="77777777" w:rsidR="009B1955" w:rsidRPr="00D860CC" w:rsidRDefault="009B1955" w:rsidP="00807EBA">
            <w:pPr>
              <w:rPr>
                <w:rFonts w:ascii="Times New Roman" w:hAnsi="Times New Roman" w:cs="Times New Roman"/>
                <w:sz w:val="16"/>
                <w:szCs w:val="16"/>
              </w:rPr>
            </w:pPr>
            <w:r w:rsidRPr="00D860CC">
              <w:rPr>
                <w:rFonts w:ascii="Times New Roman" w:hAnsi="Times New Roman" w:cs="Times New Roman"/>
                <w:sz w:val="16"/>
                <w:szCs w:val="16"/>
              </w:rPr>
              <w:t>Manual</w:t>
            </w:r>
          </w:p>
        </w:tc>
      </w:tr>
      <w:tr w:rsidR="009B1955" w:rsidRPr="00D860CC" w14:paraId="0BBCB599" w14:textId="77777777" w:rsidTr="00807EBA">
        <w:tc>
          <w:tcPr>
            <w:tcW w:w="2099" w:type="dxa"/>
            <w:vMerge/>
          </w:tcPr>
          <w:p w14:paraId="55597112" w14:textId="77777777" w:rsidR="009B1955" w:rsidRPr="00D860CC" w:rsidRDefault="009B1955" w:rsidP="00807EBA">
            <w:pPr>
              <w:rPr>
                <w:rFonts w:ascii="Times New Roman" w:hAnsi="Times New Roman" w:cs="Times New Roman"/>
                <w:sz w:val="16"/>
                <w:szCs w:val="16"/>
              </w:rPr>
            </w:pPr>
          </w:p>
        </w:tc>
        <w:tc>
          <w:tcPr>
            <w:tcW w:w="1647" w:type="dxa"/>
            <w:vMerge/>
          </w:tcPr>
          <w:p w14:paraId="635398B4" w14:textId="77777777" w:rsidR="009B1955" w:rsidRPr="00D860CC" w:rsidRDefault="009B1955" w:rsidP="00807EBA">
            <w:pPr>
              <w:rPr>
                <w:rFonts w:ascii="Times New Roman" w:hAnsi="Times New Roman" w:cs="Times New Roman"/>
                <w:sz w:val="16"/>
                <w:szCs w:val="16"/>
              </w:rPr>
            </w:pPr>
          </w:p>
        </w:tc>
        <w:tc>
          <w:tcPr>
            <w:tcW w:w="2342" w:type="dxa"/>
          </w:tcPr>
          <w:p w14:paraId="19161114" w14:textId="77777777" w:rsidR="009B1955" w:rsidRPr="00D860CC" w:rsidRDefault="009B1955" w:rsidP="00807EBA">
            <w:pPr>
              <w:rPr>
                <w:rFonts w:ascii="Times New Roman" w:hAnsi="Times New Roman" w:cs="Times New Roman"/>
                <w:sz w:val="16"/>
                <w:szCs w:val="16"/>
              </w:rPr>
            </w:pPr>
            <w:r w:rsidRPr="00D860CC">
              <w:rPr>
                <w:rFonts w:ascii="Times New Roman" w:hAnsi="Times New Roman" w:cs="Times New Roman"/>
                <w:sz w:val="16"/>
                <w:szCs w:val="16"/>
              </w:rPr>
              <w:t>Claessen et al. (5</w:t>
            </w:r>
            <w:r>
              <w:rPr>
                <w:rFonts w:ascii="Times New Roman" w:hAnsi="Times New Roman" w:cs="Times New Roman"/>
                <w:sz w:val="16"/>
                <w:szCs w:val="16"/>
              </w:rPr>
              <w:t>1</w:t>
            </w:r>
            <w:r w:rsidRPr="00D860CC">
              <w:rPr>
                <w:rFonts w:ascii="Times New Roman" w:hAnsi="Times New Roman" w:cs="Times New Roman"/>
                <w:sz w:val="16"/>
                <w:szCs w:val="16"/>
              </w:rPr>
              <w:t>)</w:t>
            </w:r>
          </w:p>
        </w:tc>
        <w:tc>
          <w:tcPr>
            <w:tcW w:w="801" w:type="dxa"/>
          </w:tcPr>
          <w:p w14:paraId="7E99DE04" w14:textId="77777777" w:rsidR="009B1955" w:rsidRPr="00D860CC" w:rsidRDefault="009B1955" w:rsidP="00807EBA">
            <w:pPr>
              <w:rPr>
                <w:rFonts w:ascii="Times New Roman" w:hAnsi="Times New Roman" w:cs="Times New Roman"/>
                <w:sz w:val="16"/>
                <w:szCs w:val="16"/>
              </w:rPr>
            </w:pPr>
            <w:r w:rsidRPr="00D860CC">
              <w:rPr>
                <w:rFonts w:ascii="Times New Roman" w:hAnsi="Times New Roman" w:cs="Times New Roman"/>
                <w:sz w:val="16"/>
                <w:szCs w:val="16"/>
              </w:rPr>
              <w:t>2016</w:t>
            </w:r>
          </w:p>
        </w:tc>
        <w:tc>
          <w:tcPr>
            <w:tcW w:w="5286" w:type="dxa"/>
          </w:tcPr>
          <w:p w14:paraId="6FE730AB" w14:textId="77777777" w:rsidR="009B1955" w:rsidRPr="00D860CC" w:rsidRDefault="009B1955" w:rsidP="00807EBA">
            <w:pPr>
              <w:rPr>
                <w:rFonts w:ascii="Times New Roman" w:hAnsi="Times New Roman" w:cs="Times New Roman"/>
                <w:sz w:val="16"/>
                <w:szCs w:val="16"/>
              </w:rPr>
            </w:pPr>
            <w:r w:rsidRPr="00D860CC">
              <w:rPr>
                <w:rFonts w:ascii="Times New Roman" w:hAnsi="Times New Roman" w:cs="Times New Roman"/>
                <w:sz w:val="16"/>
                <w:szCs w:val="16"/>
              </w:rPr>
              <w:t>Influence of Priming on Patient-Reported Outcome Measures: A Randomized Controlled Trial</w:t>
            </w:r>
          </w:p>
        </w:tc>
        <w:tc>
          <w:tcPr>
            <w:tcW w:w="1773" w:type="dxa"/>
          </w:tcPr>
          <w:p w14:paraId="1342FBA5" w14:textId="77777777" w:rsidR="009B1955" w:rsidRPr="00D860CC" w:rsidRDefault="009B1955" w:rsidP="00807EBA">
            <w:pPr>
              <w:rPr>
                <w:rFonts w:ascii="Times New Roman" w:hAnsi="Times New Roman" w:cs="Times New Roman"/>
                <w:sz w:val="16"/>
                <w:szCs w:val="16"/>
              </w:rPr>
            </w:pPr>
            <w:r w:rsidRPr="00D860CC">
              <w:rPr>
                <w:rFonts w:ascii="Times New Roman" w:hAnsi="Times New Roman" w:cs="Times New Roman"/>
                <w:sz w:val="16"/>
                <w:szCs w:val="16"/>
              </w:rPr>
              <w:t>Article</w:t>
            </w:r>
          </w:p>
        </w:tc>
      </w:tr>
      <w:tr w:rsidR="009B1955" w:rsidRPr="00D860CC" w14:paraId="61C0FD58" w14:textId="77777777" w:rsidTr="00807EBA">
        <w:tc>
          <w:tcPr>
            <w:tcW w:w="2099" w:type="dxa"/>
            <w:vMerge/>
          </w:tcPr>
          <w:p w14:paraId="618F5B16" w14:textId="77777777" w:rsidR="009B1955" w:rsidRPr="00D860CC" w:rsidRDefault="009B1955" w:rsidP="00807EBA">
            <w:pPr>
              <w:rPr>
                <w:rFonts w:ascii="Times New Roman" w:hAnsi="Times New Roman" w:cs="Times New Roman"/>
                <w:sz w:val="16"/>
                <w:szCs w:val="16"/>
              </w:rPr>
            </w:pPr>
          </w:p>
        </w:tc>
        <w:tc>
          <w:tcPr>
            <w:tcW w:w="1647" w:type="dxa"/>
            <w:vMerge w:val="restart"/>
          </w:tcPr>
          <w:p w14:paraId="53A65726" w14:textId="77777777" w:rsidR="009B1955" w:rsidRPr="00D860CC" w:rsidRDefault="009B1955" w:rsidP="00807EBA">
            <w:pPr>
              <w:rPr>
                <w:rFonts w:ascii="Times New Roman" w:hAnsi="Times New Roman" w:cs="Times New Roman"/>
                <w:sz w:val="16"/>
                <w:szCs w:val="16"/>
              </w:rPr>
            </w:pPr>
            <w:r w:rsidRPr="00D860CC">
              <w:rPr>
                <w:rFonts w:ascii="Times New Roman" w:hAnsi="Times New Roman" w:cs="Times New Roman"/>
                <w:sz w:val="16"/>
                <w:szCs w:val="16"/>
              </w:rPr>
              <w:t>To preserve psychometric properties, where relevant</w:t>
            </w:r>
          </w:p>
        </w:tc>
        <w:tc>
          <w:tcPr>
            <w:tcW w:w="2342" w:type="dxa"/>
          </w:tcPr>
          <w:p w14:paraId="2F6A25D2" w14:textId="77777777" w:rsidR="009B1955" w:rsidRPr="00D860CC" w:rsidRDefault="009B1955" w:rsidP="00807EBA">
            <w:pPr>
              <w:rPr>
                <w:rFonts w:ascii="Times New Roman" w:hAnsi="Times New Roman" w:cs="Times New Roman"/>
                <w:sz w:val="16"/>
                <w:szCs w:val="16"/>
              </w:rPr>
            </w:pPr>
            <w:proofErr w:type="spellStart"/>
            <w:r w:rsidRPr="00D860CC">
              <w:rPr>
                <w:rFonts w:ascii="Times New Roman" w:hAnsi="Times New Roman" w:cs="Times New Roman"/>
                <w:sz w:val="16"/>
                <w:szCs w:val="16"/>
              </w:rPr>
              <w:t>Piccinin</w:t>
            </w:r>
            <w:proofErr w:type="spellEnd"/>
            <w:r w:rsidRPr="00D860CC">
              <w:rPr>
                <w:rFonts w:ascii="Times New Roman" w:hAnsi="Times New Roman" w:cs="Times New Roman"/>
                <w:sz w:val="16"/>
                <w:szCs w:val="16"/>
              </w:rPr>
              <w:t xml:space="preserve"> et al. (</w:t>
            </w:r>
            <w:r>
              <w:rPr>
                <w:rFonts w:ascii="Times New Roman" w:hAnsi="Times New Roman" w:cs="Times New Roman"/>
                <w:sz w:val="16"/>
                <w:szCs w:val="16"/>
              </w:rPr>
              <w:t>38</w:t>
            </w:r>
            <w:r w:rsidRPr="00D860CC">
              <w:rPr>
                <w:rFonts w:ascii="Times New Roman" w:hAnsi="Times New Roman" w:cs="Times New Roman"/>
                <w:sz w:val="16"/>
                <w:szCs w:val="16"/>
              </w:rPr>
              <w:t xml:space="preserve">)* </w:t>
            </w:r>
          </w:p>
        </w:tc>
        <w:tc>
          <w:tcPr>
            <w:tcW w:w="801" w:type="dxa"/>
          </w:tcPr>
          <w:p w14:paraId="1639BB0A" w14:textId="77777777" w:rsidR="009B1955" w:rsidRPr="00D860CC" w:rsidRDefault="009B1955" w:rsidP="00807EBA">
            <w:pPr>
              <w:rPr>
                <w:rFonts w:ascii="Times New Roman" w:hAnsi="Times New Roman" w:cs="Times New Roman"/>
                <w:sz w:val="16"/>
                <w:szCs w:val="16"/>
              </w:rPr>
            </w:pPr>
            <w:r w:rsidRPr="00D860CC">
              <w:rPr>
                <w:rFonts w:ascii="Times New Roman" w:hAnsi="Times New Roman" w:cs="Times New Roman"/>
                <w:sz w:val="16"/>
                <w:szCs w:val="16"/>
              </w:rPr>
              <w:t>2019</w:t>
            </w:r>
          </w:p>
        </w:tc>
        <w:tc>
          <w:tcPr>
            <w:tcW w:w="5286" w:type="dxa"/>
          </w:tcPr>
          <w:p w14:paraId="3FC928A1" w14:textId="77777777" w:rsidR="009B1955" w:rsidRPr="00D860CC" w:rsidRDefault="009B1955" w:rsidP="00807EBA">
            <w:pPr>
              <w:rPr>
                <w:rFonts w:ascii="Times New Roman" w:hAnsi="Times New Roman" w:cs="Times New Roman"/>
                <w:sz w:val="16"/>
                <w:szCs w:val="16"/>
              </w:rPr>
            </w:pPr>
            <w:r w:rsidRPr="00D860CC">
              <w:rPr>
                <w:rFonts w:ascii="Times New Roman" w:hAnsi="Times New Roman" w:cs="Times New Roman"/>
                <w:sz w:val="16"/>
                <w:szCs w:val="16"/>
              </w:rPr>
              <w:t>PCN296 Development of scientific guidelines for use of the EORTC Item Library in cancer clinical trials</w:t>
            </w:r>
          </w:p>
        </w:tc>
        <w:tc>
          <w:tcPr>
            <w:tcW w:w="1773" w:type="dxa"/>
          </w:tcPr>
          <w:p w14:paraId="23287298" w14:textId="77777777" w:rsidR="009B1955" w:rsidRPr="00D860CC" w:rsidRDefault="009B1955" w:rsidP="00807EBA">
            <w:pPr>
              <w:rPr>
                <w:rFonts w:ascii="Times New Roman" w:hAnsi="Times New Roman" w:cs="Times New Roman"/>
                <w:sz w:val="16"/>
                <w:szCs w:val="16"/>
              </w:rPr>
            </w:pPr>
            <w:r w:rsidRPr="00D860CC">
              <w:rPr>
                <w:rFonts w:ascii="Times New Roman" w:hAnsi="Times New Roman" w:cs="Times New Roman"/>
                <w:sz w:val="16"/>
                <w:szCs w:val="16"/>
              </w:rPr>
              <w:t>Conference abstract</w:t>
            </w:r>
          </w:p>
        </w:tc>
      </w:tr>
      <w:tr w:rsidR="009B1955" w:rsidRPr="00D860CC" w14:paraId="377B19B6" w14:textId="77777777" w:rsidTr="00807EBA">
        <w:tc>
          <w:tcPr>
            <w:tcW w:w="2099" w:type="dxa"/>
            <w:vMerge/>
          </w:tcPr>
          <w:p w14:paraId="43C407CA" w14:textId="77777777" w:rsidR="009B1955" w:rsidRPr="00D860CC" w:rsidRDefault="009B1955" w:rsidP="00807EBA">
            <w:pPr>
              <w:rPr>
                <w:rFonts w:ascii="Times New Roman" w:hAnsi="Times New Roman" w:cs="Times New Roman"/>
                <w:sz w:val="16"/>
                <w:szCs w:val="16"/>
              </w:rPr>
            </w:pPr>
          </w:p>
        </w:tc>
        <w:tc>
          <w:tcPr>
            <w:tcW w:w="1647" w:type="dxa"/>
            <w:vMerge/>
          </w:tcPr>
          <w:p w14:paraId="526B9CA9" w14:textId="77777777" w:rsidR="009B1955" w:rsidRPr="00D860CC" w:rsidRDefault="009B1955" w:rsidP="00807EBA">
            <w:pPr>
              <w:rPr>
                <w:rFonts w:ascii="Times New Roman" w:hAnsi="Times New Roman" w:cs="Times New Roman"/>
                <w:sz w:val="16"/>
                <w:szCs w:val="16"/>
              </w:rPr>
            </w:pPr>
          </w:p>
        </w:tc>
        <w:tc>
          <w:tcPr>
            <w:tcW w:w="2342" w:type="dxa"/>
          </w:tcPr>
          <w:p w14:paraId="0565D5CA" w14:textId="77777777" w:rsidR="009B1955" w:rsidRPr="00D860CC" w:rsidRDefault="009B1955" w:rsidP="00807EBA">
            <w:pPr>
              <w:rPr>
                <w:rFonts w:ascii="Times New Roman" w:hAnsi="Times New Roman" w:cs="Times New Roman"/>
                <w:sz w:val="16"/>
                <w:szCs w:val="16"/>
              </w:rPr>
            </w:pPr>
            <w:proofErr w:type="spellStart"/>
            <w:r w:rsidRPr="00D860CC">
              <w:rPr>
                <w:rFonts w:ascii="Times New Roman" w:hAnsi="Times New Roman" w:cs="Times New Roman"/>
                <w:sz w:val="16"/>
                <w:szCs w:val="16"/>
              </w:rPr>
              <w:t>Piccinin</w:t>
            </w:r>
            <w:proofErr w:type="spellEnd"/>
            <w:r w:rsidRPr="00D860CC">
              <w:rPr>
                <w:rFonts w:ascii="Times New Roman" w:hAnsi="Times New Roman" w:cs="Times New Roman"/>
                <w:sz w:val="16"/>
                <w:szCs w:val="16"/>
              </w:rPr>
              <w:t xml:space="preserve"> et al. (</w:t>
            </w:r>
            <w:r>
              <w:rPr>
                <w:rFonts w:ascii="Times New Roman" w:hAnsi="Times New Roman" w:cs="Times New Roman"/>
                <w:sz w:val="16"/>
                <w:szCs w:val="16"/>
              </w:rPr>
              <w:t>39</w:t>
            </w:r>
            <w:r w:rsidRPr="00D860CC">
              <w:rPr>
                <w:rFonts w:ascii="Times New Roman" w:hAnsi="Times New Roman" w:cs="Times New Roman"/>
                <w:sz w:val="16"/>
                <w:szCs w:val="16"/>
              </w:rPr>
              <w:t xml:space="preserve">)* </w:t>
            </w:r>
          </w:p>
        </w:tc>
        <w:tc>
          <w:tcPr>
            <w:tcW w:w="801" w:type="dxa"/>
          </w:tcPr>
          <w:p w14:paraId="2EC76A6B" w14:textId="77777777" w:rsidR="009B1955" w:rsidRPr="00D860CC" w:rsidRDefault="009B1955" w:rsidP="00807EBA">
            <w:pPr>
              <w:rPr>
                <w:rFonts w:ascii="Times New Roman" w:hAnsi="Times New Roman" w:cs="Times New Roman"/>
                <w:sz w:val="16"/>
                <w:szCs w:val="16"/>
              </w:rPr>
            </w:pPr>
            <w:r w:rsidRPr="00D860CC">
              <w:rPr>
                <w:rFonts w:ascii="Times New Roman" w:hAnsi="Times New Roman" w:cs="Times New Roman"/>
                <w:sz w:val="16"/>
                <w:szCs w:val="16"/>
              </w:rPr>
              <w:t>2022</w:t>
            </w:r>
          </w:p>
        </w:tc>
        <w:tc>
          <w:tcPr>
            <w:tcW w:w="5286" w:type="dxa"/>
          </w:tcPr>
          <w:p w14:paraId="334A6204" w14:textId="77777777" w:rsidR="009B1955" w:rsidRPr="00D860CC" w:rsidRDefault="009B1955" w:rsidP="00807EBA">
            <w:pPr>
              <w:rPr>
                <w:rFonts w:ascii="Times New Roman" w:hAnsi="Times New Roman" w:cs="Times New Roman"/>
                <w:sz w:val="16"/>
                <w:szCs w:val="16"/>
              </w:rPr>
            </w:pPr>
            <w:r w:rsidRPr="00D860CC">
              <w:rPr>
                <w:rFonts w:ascii="Times New Roman" w:hAnsi="Times New Roman" w:cs="Times New Roman"/>
                <w:sz w:val="16"/>
                <w:szCs w:val="16"/>
              </w:rPr>
              <w:t>EORTC Quality of Life Group Item Library User Guidelines; First Edition</w:t>
            </w:r>
          </w:p>
        </w:tc>
        <w:tc>
          <w:tcPr>
            <w:tcW w:w="1773" w:type="dxa"/>
          </w:tcPr>
          <w:p w14:paraId="479EF072" w14:textId="77777777" w:rsidR="009B1955" w:rsidRPr="00D860CC" w:rsidRDefault="009B1955" w:rsidP="00807EBA">
            <w:pPr>
              <w:rPr>
                <w:rFonts w:ascii="Times New Roman" w:hAnsi="Times New Roman" w:cs="Times New Roman"/>
                <w:sz w:val="16"/>
                <w:szCs w:val="16"/>
              </w:rPr>
            </w:pPr>
            <w:r w:rsidRPr="00D860CC">
              <w:rPr>
                <w:rFonts w:ascii="Times New Roman" w:hAnsi="Times New Roman" w:cs="Times New Roman"/>
                <w:sz w:val="16"/>
                <w:szCs w:val="16"/>
              </w:rPr>
              <w:t>Manual</w:t>
            </w:r>
          </w:p>
        </w:tc>
      </w:tr>
      <w:tr w:rsidR="009B1955" w:rsidRPr="00D860CC" w14:paraId="7B17CD02" w14:textId="77777777" w:rsidTr="00807EBA">
        <w:tc>
          <w:tcPr>
            <w:tcW w:w="2099" w:type="dxa"/>
            <w:vMerge/>
          </w:tcPr>
          <w:p w14:paraId="08961BDC" w14:textId="77777777" w:rsidR="009B1955" w:rsidRPr="00D860CC" w:rsidRDefault="009B1955" w:rsidP="00807EBA">
            <w:pPr>
              <w:rPr>
                <w:rFonts w:ascii="Times New Roman" w:hAnsi="Times New Roman" w:cs="Times New Roman"/>
                <w:sz w:val="16"/>
                <w:szCs w:val="16"/>
              </w:rPr>
            </w:pPr>
          </w:p>
        </w:tc>
        <w:tc>
          <w:tcPr>
            <w:tcW w:w="1647" w:type="dxa"/>
            <w:vMerge/>
          </w:tcPr>
          <w:p w14:paraId="01B77801" w14:textId="77777777" w:rsidR="009B1955" w:rsidRPr="00D860CC" w:rsidRDefault="009B1955" w:rsidP="00807EBA">
            <w:pPr>
              <w:rPr>
                <w:rFonts w:ascii="Times New Roman" w:hAnsi="Times New Roman" w:cs="Times New Roman"/>
                <w:sz w:val="16"/>
                <w:szCs w:val="16"/>
              </w:rPr>
            </w:pPr>
          </w:p>
        </w:tc>
        <w:tc>
          <w:tcPr>
            <w:tcW w:w="2342" w:type="dxa"/>
          </w:tcPr>
          <w:p w14:paraId="768370DD" w14:textId="77777777" w:rsidR="009B1955" w:rsidRPr="00D860CC" w:rsidRDefault="009B1955" w:rsidP="00807EBA">
            <w:pPr>
              <w:rPr>
                <w:rFonts w:ascii="Times New Roman" w:hAnsi="Times New Roman" w:cs="Times New Roman"/>
                <w:sz w:val="16"/>
                <w:szCs w:val="16"/>
              </w:rPr>
            </w:pPr>
            <w:r w:rsidRPr="00D860CC">
              <w:rPr>
                <w:rFonts w:ascii="Times New Roman" w:hAnsi="Times New Roman" w:cs="Times New Roman"/>
                <w:sz w:val="16"/>
                <w:szCs w:val="16"/>
              </w:rPr>
              <w:t>FACIT  (</w:t>
            </w:r>
            <w:r>
              <w:rPr>
                <w:rFonts w:ascii="Times New Roman" w:hAnsi="Times New Roman" w:cs="Times New Roman"/>
                <w:sz w:val="16"/>
                <w:szCs w:val="16"/>
              </w:rPr>
              <w:t>6</w:t>
            </w:r>
            <w:r w:rsidRPr="00D860CC">
              <w:rPr>
                <w:rFonts w:ascii="Times New Roman" w:hAnsi="Times New Roman" w:cs="Times New Roman"/>
                <w:sz w:val="16"/>
                <w:szCs w:val="16"/>
              </w:rPr>
              <w:t>)*</w:t>
            </w:r>
          </w:p>
        </w:tc>
        <w:tc>
          <w:tcPr>
            <w:tcW w:w="801" w:type="dxa"/>
          </w:tcPr>
          <w:p w14:paraId="2B8DB876" w14:textId="77777777" w:rsidR="009B1955" w:rsidRPr="00D860CC" w:rsidRDefault="009B1955" w:rsidP="00807EBA">
            <w:pPr>
              <w:rPr>
                <w:rFonts w:ascii="Times New Roman" w:hAnsi="Times New Roman" w:cs="Times New Roman"/>
                <w:sz w:val="16"/>
                <w:szCs w:val="16"/>
              </w:rPr>
            </w:pPr>
            <w:r w:rsidRPr="00D860CC">
              <w:rPr>
                <w:rFonts w:ascii="Times New Roman" w:hAnsi="Times New Roman" w:cs="Times New Roman"/>
                <w:sz w:val="16"/>
                <w:szCs w:val="16"/>
              </w:rPr>
              <w:t>N/A</w:t>
            </w:r>
          </w:p>
        </w:tc>
        <w:tc>
          <w:tcPr>
            <w:tcW w:w="5286" w:type="dxa"/>
          </w:tcPr>
          <w:p w14:paraId="76EA601B" w14:textId="77777777" w:rsidR="009B1955" w:rsidRPr="00D860CC" w:rsidRDefault="009B1955" w:rsidP="00807EBA">
            <w:pPr>
              <w:rPr>
                <w:rFonts w:ascii="Times New Roman" w:hAnsi="Times New Roman" w:cs="Times New Roman"/>
                <w:sz w:val="16"/>
                <w:szCs w:val="16"/>
              </w:rPr>
            </w:pPr>
            <w:r w:rsidRPr="00D860CC">
              <w:rPr>
                <w:rFonts w:ascii="Times New Roman" w:hAnsi="Times New Roman" w:cs="Times New Roman"/>
                <w:sz w:val="16"/>
                <w:szCs w:val="16"/>
              </w:rPr>
              <w:t xml:space="preserve">FACIT Searchable Library and Custom Form Developer (Build-a-PRO) </w:t>
            </w:r>
          </w:p>
        </w:tc>
        <w:tc>
          <w:tcPr>
            <w:tcW w:w="1773" w:type="dxa"/>
          </w:tcPr>
          <w:p w14:paraId="1875D277" w14:textId="77777777" w:rsidR="009B1955" w:rsidRPr="00D860CC" w:rsidRDefault="009B1955" w:rsidP="00807EBA">
            <w:pPr>
              <w:rPr>
                <w:rFonts w:ascii="Times New Roman" w:hAnsi="Times New Roman" w:cs="Times New Roman"/>
                <w:sz w:val="16"/>
                <w:szCs w:val="16"/>
              </w:rPr>
            </w:pPr>
            <w:r w:rsidRPr="00D860CC">
              <w:rPr>
                <w:rFonts w:ascii="Times New Roman" w:hAnsi="Times New Roman" w:cs="Times New Roman"/>
                <w:sz w:val="16"/>
                <w:szCs w:val="16"/>
              </w:rPr>
              <w:t>Website</w:t>
            </w:r>
          </w:p>
        </w:tc>
      </w:tr>
      <w:tr w:rsidR="009B1955" w:rsidRPr="00D860CC" w14:paraId="6C8F80E8" w14:textId="77777777" w:rsidTr="00807EBA">
        <w:tc>
          <w:tcPr>
            <w:tcW w:w="2099" w:type="dxa"/>
            <w:vMerge w:val="restart"/>
          </w:tcPr>
          <w:p w14:paraId="5B20C541" w14:textId="77777777" w:rsidR="009B1955" w:rsidRPr="00D860CC" w:rsidRDefault="009B1955" w:rsidP="00807EBA">
            <w:pPr>
              <w:rPr>
                <w:rFonts w:ascii="Times New Roman" w:hAnsi="Times New Roman" w:cs="Times New Roman"/>
                <w:sz w:val="16"/>
                <w:szCs w:val="16"/>
              </w:rPr>
            </w:pPr>
            <w:r w:rsidRPr="00D860CC">
              <w:rPr>
                <w:rFonts w:ascii="Times New Roman" w:hAnsi="Times New Roman" w:cs="Times New Roman"/>
                <w:sz w:val="16"/>
                <w:szCs w:val="16"/>
              </w:rPr>
              <w:t>How should appropriate recall periods be selected?</w:t>
            </w:r>
          </w:p>
        </w:tc>
        <w:tc>
          <w:tcPr>
            <w:tcW w:w="1647" w:type="dxa"/>
            <w:vMerge w:val="restart"/>
          </w:tcPr>
          <w:p w14:paraId="133C2E73" w14:textId="77777777" w:rsidR="009B1955" w:rsidRPr="00D860CC" w:rsidRDefault="009B1955" w:rsidP="00807EBA">
            <w:pPr>
              <w:rPr>
                <w:rFonts w:ascii="Times New Roman" w:hAnsi="Times New Roman" w:cs="Times New Roman"/>
                <w:sz w:val="16"/>
                <w:szCs w:val="16"/>
              </w:rPr>
            </w:pPr>
            <w:r w:rsidRPr="00D860CC">
              <w:rPr>
                <w:rFonts w:ascii="Times New Roman" w:hAnsi="Times New Roman" w:cs="Times New Roman"/>
                <w:sz w:val="16"/>
                <w:szCs w:val="16"/>
              </w:rPr>
              <w:t>In general</w:t>
            </w:r>
          </w:p>
        </w:tc>
        <w:tc>
          <w:tcPr>
            <w:tcW w:w="2342" w:type="dxa"/>
          </w:tcPr>
          <w:p w14:paraId="06CEB178" w14:textId="77777777" w:rsidR="009B1955" w:rsidRPr="00D860CC" w:rsidRDefault="009B1955" w:rsidP="00807EBA">
            <w:pPr>
              <w:rPr>
                <w:rFonts w:ascii="Times New Roman" w:hAnsi="Times New Roman" w:cs="Times New Roman"/>
                <w:sz w:val="16"/>
                <w:szCs w:val="16"/>
              </w:rPr>
            </w:pPr>
            <w:r w:rsidRPr="00D860CC">
              <w:rPr>
                <w:rFonts w:ascii="Times New Roman" w:hAnsi="Times New Roman" w:cs="Times New Roman"/>
                <w:sz w:val="16"/>
                <w:szCs w:val="16"/>
              </w:rPr>
              <w:t>Mendoza et al. (5</w:t>
            </w:r>
            <w:r>
              <w:rPr>
                <w:rFonts w:ascii="Times New Roman" w:hAnsi="Times New Roman" w:cs="Times New Roman"/>
                <w:sz w:val="16"/>
                <w:szCs w:val="16"/>
              </w:rPr>
              <w:t>2</w:t>
            </w:r>
            <w:r w:rsidRPr="00D860CC">
              <w:rPr>
                <w:rFonts w:ascii="Times New Roman" w:hAnsi="Times New Roman" w:cs="Times New Roman"/>
                <w:sz w:val="16"/>
                <w:szCs w:val="16"/>
              </w:rPr>
              <w:t>)</w:t>
            </w:r>
          </w:p>
        </w:tc>
        <w:tc>
          <w:tcPr>
            <w:tcW w:w="801" w:type="dxa"/>
          </w:tcPr>
          <w:p w14:paraId="427B0B35" w14:textId="77777777" w:rsidR="009B1955" w:rsidRPr="00D860CC" w:rsidRDefault="009B1955" w:rsidP="00807EBA">
            <w:pPr>
              <w:rPr>
                <w:rFonts w:ascii="Times New Roman" w:hAnsi="Times New Roman" w:cs="Times New Roman"/>
                <w:sz w:val="16"/>
                <w:szCs w:val="16"/>
              </w:rPr>
            </w:pPr>
            <w:r w:rsidRPr="00D860CC">
              <w:rPr>
                <w:rFonts w:ascii="Times New Roman" w:hAnsi="Times New Roman" w:cs="Times New Roman"/>
                <w:sz w:val="16"/>
                <w:szCs w:val="16"/>
              </w:rPr>
              <w:t>2017</w:t>
            </w:r>
          </w:p>
        </w:tc>
        <w:tc>
          <w:tcPr>
            <w:tcW w:w="5286" w:type="dxa"/>
          </w:tcPr>
          <w:p w14:paraId="0569B617" w14:textId="77777777" w:rsidR="009B1955" w:rsidRPr="00D860CC" w:rsidRDefault="009B1955" w:rsidP="00807EBA">
            <w:pPr>
              <w:rPr>
                <w:rFonts w:ascii="Times New Roman" w:hAnsi="Times New Roman" w:cs="Times New Roman"/>
                <w:sz w:val="16"/>
                <w:szCs w:val="16"/>
              </w:rPr>
            </w:pPr>
            <w:r w:rsidRPr="00D860CC">
              <w:rPr>
                <w:rFonts w:ascii="Times New Roman" w:hAnsi="Times New Roman" w:cs="Times New Roman"/>
                <w:sz w:val="16"/>
                <w:szCs w:val="16"/>
              </w:rPr>
              <w:t>Evaluation of different recall periods for the US National Cancer Institute’s PRO-CTCAE</w:t>
            </w:r>
          </w:p>
        </w:tc>
        <w:tc>
          <w:tcPr>
            <w:tcW w:w="1773" w:type="dxa"/>
          </w:tcPr>
          <w:p w14:paraId="437B4EEC" w14:textId="77777777" w:rsidR="009B1955" w:rsidRPr="00D860CC" w:rsidRDefault="009B1955" w:rsidP="00807EBA">
            <w:pPr>
              <w:rPr>
                <w:rFonts w:ascii="Times New Roman" w:hAnsi="Times New Roman" w:cs="Times New Roman"/>
                <w:sz w:val="16"/>
                <w:szCs w:val="16"/>
              </w:rPr>
            </w:pPr>
            <w:r w:rsidRPr="00D860CC">
              <w:rPr>
                <w:rFonts w:ascii="Times New Roman" w:hAnsi="Times New Roman" w:cs="Times New Roman"/>
                <w:sz w:val="16"/>
                <w:szCs w:val="16"/>
              </w:rPr>
              <w:t>Article</w:t>
            </w:r>
          </w:p>
        </w:tc>
      </w:tr>
      <w:tr w:rsidR="009B1955" w:rsidRPr="00D860CC" w14:paraId="2166BAAA" w14:textId="77777777" w:rsidTr="00807EBA">
        <w:tc>
          <w:tcPr>
            <w:tcW w:w="2099" w:type="dxa"/>
            <w:vMerge/>
          </w:tcPr>
          <w:p w14:paraId="585147EE" w14:textId="77777777" w:rsidR="009B1955" w:rsidRPr="00D860CC" w:rsidRDefault="009B1955" w:rsidP="00807EBA">
            <w:pPr>
              <w:rPr>
                <w:rFonts w:ascii="Times New Roman" w:hAnsi="Times New Roman" w:cs="Times New Roman"/>
                <w:sz w:val="16"/>
                <w:szCs w:val="16"/>
              </w:rPr>
            </w:pPr>
          </w:p>
        </w:tc>
        <w:tc>
          <w:tcPr>
            <w:tcW w:w="1647" w:type="dxa"/>
            <w:vMerge/>
          </w:tcPr>
          <w:p w14:paraId="414154D8" w14:textId="77777777" w:rsidR="009B1955" w:rsidRPr="00D860CC" w:rsidRDefault="009B1955" w:rsidP="00807EBA">
            <w:pPr>
              <w:rPr>
                <w:rFonts w:ascii="Times New Roman" w:hAnsi="Times New Roman" w:cs="Times New Roman"/>
                <w:sz w:val="16"/>
                <w:szCs w:val="16"/>
              </w:rPr>
            </w:pPr>
          </w:p>
        </w:tc>
        <w:tc>
          <w:tcPr>
            <w:tcW w:w="2342" w:type="dxa"/>
          </w:tcPr>
          <w:p w14:paraId="0260C514" w14:textId="77777777" w:rsidR="009B1955" w:rsidRPr="00D860CC" w:rsidRDefault="009B1955" w:rsidP="00807EBA">
            <w:pPr>
              <w:rPr>
                <w:rFonts w:ascii="Times New Roman" w:hAnsi="Times New Roman" w:cs="Times New Roman"/>
                <w:sz w:val="16"/>
                <w:szCs w:val="16"/>
              </w:rPr>
            </w:pPr>
            <w:proofErr w:type="spellStart"/>
            <w:r w:rsidRPr="00D860CC">
              <w:rPr>
                <w:rFonts w:ascii="Times New Roman" w:hAnsi="Times New Roman" w:cs="Times New Roman"/>
                <w:sz w:val="16"/>
                <w:szCs w:val="16"/>
              </w:rPr>
              <w:t>Piccinin</w:t>
            </w:r>
            <w:proofErr w:type="spellEnd"/>
            <w:r w:rsidRPr="00D860CC">
              <w:rPr>
                <w:rFonts w:ascii="Times New Roman" w:hAnsi="Times New Roman" w:cs="Times New Roman"/>
                <w:sz w:val="16"/>
                <w:szCs w:val="16"/>
              </w:rPr>
              <w:t xml:space="preserve"> et al. (</w:t>
            </w:r>
            <w:r>
              <w:rPr>
                <w:rFonts w:ascii="Times New Roman" w:hAnsi="Times New Roman" w:cs="Times New Roman"/>
                <w:sz w:val="16"/>
                <w:szCs w:val="16"/>
              </w:rPr>
              <w:t>38</w:t>
            </w:r>
            <w:r w:rsidRPr="00D860CC">
              <w:rPr>
                <w:rFonts w:ascii="Times New Roman" w:hAnsi="Times New Roman" w:cs="Times New Roman"/>
                <w:sz w:val="16"/>
                <w:szCs w:val="16"/>
              </w:rPr>
              <w:t xml:space="preserve">)* </w:t>
            </w:r>
          </w:p>
        </w:tc>
        <w:tc>
          <w:tcPr>
            <w:tcW w:w="801" w:type="dxa"/>
          </w:tcPr>
          <w:p w14:paraId="5575453D" w14:textId="77777777" w:rsidR="009B1955" w:rsidRPr="00D860CC" w:rsidRDefault="009B1955" w:rsidP="00807EBA">
            <w:pPr>
              <w:rPr>
                <w:rFonts w:ascii="Times New Roman" w:hAnsi="Times New Roman" w:cs="Times New Roman"/>
                <w:sz w:val="16"/>
                <w:szCs w:val="16"/>
              </w:rPr>
            </w:pPr>
            <w:r w:rsidRPr="00D860CC">
              <w:rPr>
                <w:rFonts w:ascii="Times New Roman" w:hAnsi="Times New Roman" w:cs="Times New Roman"/>
                <w:sz w:val="16"/>
                <w:szCs w:val="16"/>
              </w:rPr>
              <w:t>2019</w:t>
            </w:r>
          </w:p>
        </w:tc>
        <w:tc>
          <w:tcPr>
            <w:tcW w:w="5286" w:type="dxa"/>
          </w:tcPr>
          <w:p w14:paraId="0EEE1F1D" w14:textId="77777777" w:rsidR="009B1955" w:rsidRPr="00D860CC" w:rsidRDefault="009B1955" w:rsidP="00807EBA">
            <w:pPr>
              <w:rPr>
                <w:rFonts w:ascii="Times New Roman" w:hAnsi="Times New Roman" w:cs="Times New Roman"/>
                <w:sz w:val="16"/>
                <w:szCs w:val="16"/>
              </w:rPr>
            </w:pPr>
            <w:r w:rsidRPr="00D860CC">
              <w:rPr>
                <w:rFonts w:ascii="Times New Roman" w:hAnsi="Times New Roman" w:cs="Times New Roman"/>
                <w:sz w:val="16"/>
                <w:szCs w:val="16"/>
              </w:rPr>
              <w:t>PCN296 Development of scientific guidelines for use of the EORTC Item Library in cancer clinical trials</w:t>
            </w:r>
          </w:p>
        </w:tc>
        <w:tc>
          <w:tcPr>
            <w:tcW w:w="1773" w:type="dxa"/>
          </w:tcPr>
          <w:p w14:paraId="602C5FDE" w14:textId="77777777" w:rsidR="009B1955" w:rsidRPr="00D860CC" w:rsidRDefault="009B1955" w:rsidP="00807EBA">
            <w:pPr>
              <w:rPr>
                <w:rFonts w:ascii="Times New Roman" w:hAnsi="Times New Roman" w:cs="Times New Roman"/>
                <w:sz w:val="16"/>
                <w:szCs w:val="16"/>
              </w:rPr>
            </w:pPr>
            <w:r w:rsidRPr="00D860CC">
              <w:rPr>
                <w:rFonts w:ascii="Times New Roman" w:hAnsi="Times New Roman" w:cs="Times New Roman"/>
                <w:sz w:val="16"/>
                <w:szCs w:val="16"/>
              </w:rPr>
              <w:t>Conference abstract</w:t>
            </w:r>
          </w:p>
        </w:tc>
      </w:tr>
      <w:tr w:rsidR="009B1955" w:rsidRPr="00D860CC" w14:paraId="0377874A" w14:textId="77777777" w:rsidTr="00807EBA">
        <w:tc>
          <w:tcPr>
            <w:tcW w:w="2099" w:type="dxa"/>
            <w:vMerge/>
          </w:tcPr>
          <w:p w14:paraId="7D13DEA0" w14:textId="77777777" w:rsidR="009B1955" w:rsidRPr="00D860CC" w:rsidRDefault="009B1955" w:rsidP="00807EBA">
            <w:pPr>
              <w:rPr>
                <w:rFonts w:ascii="Times New Roman" w:hAnsi="Times New Roman" w:cs="Times New Roman"/>
                <w:sz w:val="16"/>
                <w:szCs w:val="16"/>
              </w:rPr>
            </w:pPr>
          </w:p>
        </w:tc>
        <w:tc>
          <w:tcPr>
            <w:tcW w:w="1647" w:type="dxa"/>
            <w:vMerge/>
          </w:tcPr>
          <w:p w14:paraId="7E509C47" w14:textId="77777777" w:rsidR="009B1955" w:rsidRPr="00D860CC" w:rsidRDefault="009B1955" w:rsidP="00807EBA">
            <w:pPr>
              <w:rPr>
                <w:rFonts w:ascii="Times New Roman" w:hAnsi="Times New Roman" w:cs="Times New Roman"/>
                <w:sz w:val="16"/>
                <w:szCs w:val="16"/>
              </w:rPr>
            </w:pPr>
          </w:p>
        </w:tc>
        <w:tc>
          <w:tcPr>
            <w:tcW w:w="2342" w:type="dxa"/>
          </w:tcPr>
          <w:p w14:paraId="75884F3E" w14:textId="77777777" w:rsidR="009B1955" w:rsidRPr="00D860CC" w:rsidRDefault="009B1955" w:rsidP="00807EBA">
            <w:pPr>
              <w:rPr>
                <w:rFonts w:ascii="Times New Roman" w:hAnsi="Times New Roman" w:cs="Times New Roman"/>
                <w:sz w:val="16"/>
                <w:szCs w:val="16"/>
              </w:rPr>
            </w:pPr>
            <w:proofErr w:type="spellStart"/>
            <w:r w:rsidRPr="00D860CC">
              <w:rPr>
                <w:rFonts w:ascii="Times New Roman" w:hAnsi="Times New Roman" w:cs="Times New Roman"/>
                <w:sz w:val="16"/>
                <w:szCs w:val="16"/>
              </w:rPr>
              <w:t>Piccinin</w:t>
            </w:r>
            <w:proofErr w:type="spellEnd"/>
            <w:r w:rsidRPr="00D860CC">
              <w:rPr>
                <w:rFonts w:ascii="Times New Roman" w:hAnsi="Times New Roman" w:cs="Times New Roman"/>
                <w:sz w:val="16"/>
                <w:szCs w:val="16"/>
              </w:rPr>
              <w:t xml:space="preserve"> et al. (</w:t>
            </w:r>
            <w:r>
              <w:rPr>
                <w:rFonts w:ascii="Times New Roman" w:hAnsi="Times New Roman" w:cs="Times New Roman"/>
                <w:sz w:val="16"/>
                <w:szCs w:val="16"/>
              </w:rPr>
              <w:t>39</w:t>
            </w:r>
            <w:r w:rsidRPr="00D860CC">
              <w:rPr>
                <w:rFonts w:ascii="Times New Roman" w:hAnsi="Times New Roman" w:cs="Times New Roman"/>
                <w:sz w:val="16"/>
                <w:szCs w:val="16"/>
              </w:rPr>
              <w:t xml:space="preserve">)* </w:t>
            </w:r>
          </w:p>
        </w:tc>
        <w:tc>
          <w:tcPr>
            <w:tcW w:w="801" w:type="dxa"/>
          </w:tcPr>
          <w:p w14:paraId="0954FCAE" w14:textId="77777777" w:rsidR="009B1955" w:rsidRPr="00D860CC" w:rsidRDefault="009B1955" w:rsidP="00807EBA">
            <w:pPr>
              <w:rPr>
                <w:rFonts w:ascii="Times New Roman" w:hAnsi="Times New Roman" w:cs="Times New Roman"/>
                <w:sz w:val="16"/>
                <w:szCs w:val="16"/>
              </w:rPr>
            </w:pPr>
            <w:r w:rsidRPr="00D860CC">
              <w:rPr>
                <w:rFonts w:ascii="Times New Roman" w:hAnsi="Times New Roman" w:cs="Times New Roman"/>
                <w:sz w:val="16"/>
                <w:szCs w:val="16"/>
              </w:rPr>
              <w:t>2022</w:t>
            </w:r>
          </w:p>
        </w:tc>
        <w:tc>
          <w:tcPr>
            <w:tcW w:w="5286" w:type="dxa"/>
          </w:tcPr>
          <w:p w14:paraId="1C6E5C21" w14:textId="77777777" w:rsidR="009B1955" w:rsidRPr="00D860CC" w:rsidRDefault="009B1955" w:rsidP="00807EBA">
            <w:pPr>
              <w:rPr>
                <w:rFonts w:ascii="Times New Roman" w:hAnsi="Times New Roman" w:cs="Times New Roman"/>
                <w:sz w:val="16"/>
                <w:szCs w:val="16"/>
              </w:rPr>
            </w:pPr>
            <w:r w:rsidRPr="00D860CC">
              <w:rPr>
                <w:rFonts w:ascii="Times New Roman" w:hAnsi="Times New Roman" w:cs="Times New Roman"/>
                <w:sz w:val="16"/>
                <w:szCs w:val="16"/>
              </w:rPr>
              <w:t>EORTC Quality of Life Group Item Library User Guidelines; First Edition</w:t>
            </w:r>
          </w:p>
        </w:tc>
        <w:tc>
          <w:tcPr>
            <w:tcW w:w="1773" w:type="dxa"/>
          </w:tcPr>
          <w:p w14:paraId="50D12B50" w14:textId="77777777" w:rsidR="009B1955" w:rsidRPr="00D860CC" w:rsidRDefault="009B1955" w:rsidP="00807EBA">
            <w:pPr>
              <w:rPr>
                <w:rFonts w:ascii="Times New Roman" w:hAnsi="Times New Roman" w:cs="Times New Roman"/>
                <w:sz w:val="16"/>
                <w:szCs w:val="16"/>
              </w:rPr>
            </w:pPr>
            <w:r w:rsidRPr="00D860CC">
              <w:rPr>
                <w:rFonts w:ascii="Times New Roman" w:hAnsi="Times New Roman" w:cs="Times New Roman"/>
                <w:sz w:val="16"/>
                <w:szCs w:val="16"/>
              </w:rPr>
              <w:t>Manual</w:t>
            </w:r>
          </w:p>
        </w:tc>
      </w:tr>
      <w:tr w:rsidR="009B1955" w:rsidRPr="00D860CC" w14:paraId="78D3D883" w14:textId="77777777" w:rsidTr="00807EBA">
        <w:tc>
          <w:tcPr>
            <w:tcW w:w="2099" w:type="dxa"/>
            <w:vMerge/>
          </w:tcPr>
          <w:p w14:paraId="1B8DD297" w14:textId="77777777" w:rsidR="009B1955" w:rsidRPr="00D860CC" w:rsidRDefault="009B1955" w:rsidP="00807EBA">
            <w:pPr>
              <w:rPr>
                <w:rFonts w:ascii="Times New Roman" w:hAnsi="Times New Roman" w:cs="Times New Roman"/>
                <w:sz w:val="16"/>
                <w:szCs w:val="16"/>
              </w:rPr>
            </w:pPr>
          </w:p>
        </w:tc>
        <w:tc>
          <w:tcPr>
            <w:tcW w:w="1647" w:type="dxa"/>
            <w:vMerge w:val="restart"/>
          </w:tcPr>
          <w:p w14:paraId="2AD4A0E1" w14:textId="77777777" w:rsidR="009B1955" w:rsidRPr="00D860CC" w:rsidRDefault="009B1955" w:rsidP="00807EBA">
            <w:pPr>
              <w:rPr>
                <w:rFonts w:ascii="Times New Roman" w:hAnsi="Times New Roman" w:cs="Times New Roman"/>
                <w:sz w:val="16"/>
                <w:szCs w:val="16"/>
              </w:rPr>
            </w:pPr>
            <w:r w:rsidRPr="00D860CC">
              <w:rPr>
                <w:rFonts w:ascii="Times New Roman" w:hAnsi="Times New Roman" w:cs="Times New Roman"/>
                <w:sz w:val="16"/>
                <w:szCs w:val="16"/>
              </w:rPr>
              <w:t>Considering PRO and study/clinical characteristics</w:t>
            </w:r>
          </w:p>
        </w:tc>
        <w:tc>
          <w:tcPr>
            <w:tcW w:w="2342" w:type="dxa"/>
          </w:tcPr>
          <w:p w14:paraId="3A2CB028" w14:textId="77777777" w:rsidR="009B1955" w:rsidRPr="00D860CC" w:rsidRDefault="009B1955" w:rsidP="00807EBA">
            <w:pPr>
              <w:rPr>
                <w:rFonts w:ascii="Times New Roman" w:hAnsi="Times New Roman" w:cs="Times New Roman"/>
                <w:sz w:val="16"/>
                <w:szCs w:val="16"/>
              </w:rPr>
            </w:pPr>
            <w:proofErr w:type="spellStart"/>
            <w:r w:rsidRPr="00D860CC">
              <w:rPr>
                <w:rFonts w:ascii="Times New Roman" w:hAnsi="Times New Roman" w:cs="Times New Roman"/>
                <w:sz w:val="16"/>
                <w:szCs w:val="16"/>
              </w:rPr>
              <w:t>Basch</w:t>
            </w:r>
            <w:proofErr w:type="spellEnd"/>
            <w:r w:rsidRPr="00D860CC">
              <w:rPr>
                <w:rFonts w:ascii="Times New Roman" w:hAnsi="Times New Roman" w:cs="Times New Roman"/>
                <w:sz w:val="16"/>
                <w:szCs w:val="16"/>
              </w:rPr>
              <w:t xml:space="preserve"> et al. (5</w:t>
            </w:r>
            <w:r>
              <w:rPr>
                <w:rFonts w:ascii="Times New Roman" w:hAnsi="Times New Roman" w:cs="Times New Roman"/>
                <w:sz w:val="16"/>
                <w:szCs w:val="16"/>
              </w:rPr>
              <w:t>3</w:t>
            </w:r>
            <w:r w:rsidRPr="00D860CC">
              <w:rPr>
                <w:rFonts w:ascii="Times New Roman" w:hAnsi="Times New Roman" w:cs="Times New Roman"/>
                <w:sz w:val="16"/>
                <w:szCs w:val="16"/>
              </w:rPr>
              <w:t>)</w:t>
            </w:r>
          </w:p>
        </w:tc>
        <w:tc>
          <w:tcPr>
            <w:tcW w:w="801" w:type="dxa"/>
          </w:tcPr>
          <w:p w14:paraId="5F6EAEE5" w14:textId="77777777" w:rsidR="009B1955" w:rsidRPr="00D860CC" w:rsidRDefault="009B1955" w:rsidP="00807EBA">
            <w:pPr>
              <w:rPr>
                <w:rFonts w:ascii="Times New Roman" w:hAnsi="Times New Roman" w:cs="Times New Roman"/>
                <w:sz w:val="16"/>
                <w:szCs w:val="16"/>
              </w:rPr>
            </w:pPr>
            <w:r w:rsidRPr="00D860CC">
              <w:rPr>
                <w:rFonts w:ascii="Times New Roman" w:hAnsi="Times New Roman" w:cs="Times New Roman"/>
                <w:sz w:val="16"/>
                <w:szCs w:val="16"/>
              </w:rPr>
              <w:t>2019</w:t>
            </w:r>
          </w:p>
        </w:tc>
        <w:tc>
          <w:tcPr>
            <w:tcW w:w="5286" w:type="dxa"/>
          </w:tcPr>
          <w:p w14:paraId="34386228" w14:textId="77777777" w:rsidR="009B1955" w:rsidRPr="00D860CC" w:rsidRDefault="009B1955" w:rsidP="00807EBA">
            <w:pPr>
              <w:rPr>
                <w:rFonts w:ascii="Times New Roman" w:hAnsi="Times New Roman" w:cs="Times New Roman"/>
                <w:sz w:val="16"/>
                <w:szCs w:val="16"/>
              </w:rPr>
            </w:pPr>
            <w:proofErr w:type="spellStart"/>
            <w:r w:rsidRPr="00D860CC">
              <w:rPr>
                <w:rFonts w:ascii="Times New Roman" w:hAnsi="Times New Roman" w:cs="Times New Roman"/>
                <w:sz w:val="16"/>
                <w:szCs w:val="16"/>
              </w:rPr>
              <w:t>Cabozantinib</w:t>
            </w:r>
            <w:proofErr w:type="spellEnd"/>
            <w:r w:rsidRPr="00D860CC">
              <w:rPr>
                <w:rFonts w:ascii="Times New Roman" w:hAnsi="Times New Roman" w:cs="Times New Roman"/>
                <w:sz w:val="16"/>
                <w:szCs w:val="16"/>
              </w:rPr>
              <w:t xml:space="preserve"> Versus Mitoxantrone-prednisone in Symptomatic Metastatic Castration-resistant Prostate Cancer: A Randomized Phase 3 Trial with a Primary Pain Endpoint</w:t>
            </w:r>
          </w:p>
        </w:tc>
        <w:tc>
          <w:tcPr>
            <w:tcW w:w="1773" w:type="dxa"/>
          </w:tcPr>
          <w:p w14:paraId="721A5FA3" w14:textId="77777777" w:rsidR="009B1955" w:rsidRPr="00D860CC" w:rsidRDefault="009B1955" w:rsidP="00807EBA">
            <w:pPr>
              <w:rPr>
                <w:rFonts w:ascii="Times New Roman" w:hAnsi="Times New Roman" w:cs="Times New Roman"/>
                <w:sz w:val="16"/>
                <w:szCs w:val="16"/>
              </w:rPr>
            </w:pPr>
            <w:r w:rsidRPr="00D860CC">
              <w:rPr>
                <w:rFonts w:ascii="Times New Roman" w:hAnsi="Times New Roman" w:cs="Times New Roman"/>
                <w:sz w:val="16"/>
                <w:szCs w:val="16"/>
              </w:rPr>
              <w:t>Article</w:t>
            </w:r>
          </w:p>
        </w:tc>
      </w:tr>
      <w:tr w:rsidR="009B1955" w:rsidRPr="00D860CC" w14:paraId="4982A1FE" w14:textId="77777777" w:rsidTr="00807EBA">
        <w:tc>
          <w:tcPr>
            <w:tcW w:w="2099" w:type="dxa"/>
            <w:vMerge/>
          </w:tcPr>
          <w:p w14:paraId="722613CC" w14:textId="77777777" w:rsidR="009B1955" w:rsidRPr="00D860CC" w:rsidRDefault="009B1955" w:rsidP="00807EBA">
            <w:pPr>
              <w:rPr>
                <w:rFonts w:ascii="Times New Roman" w:hAnsi="Times New Roman" w:cs="Times New Roman"/>
                <w:sz w:val="16"/>
                <w:szCs w:val="16"/>
              </w:rPr>
            </w:pPr>
          </w:p>
        </w:tc>
        <w:tc>
          <w:tcPr>
            <w:tcW w:w="1647" w:type="dxa"/>
            <w:vMerge/>
          </w:tcPr>
          <w:p w14:paraId="39D25CD7" w14:textId="77777777" w:rsidR="009B1955" w:rsidRPr="00D860CC" w:rsidRDefault="009B1955" w:rsidP="00807EBA">
            <w:pPr>
              <w:rPr>
                <w:rFonts w:ascii="Times New Roman" w:hAnsi="Times New Roman" w:cs="Times New Roman"/>
                <w:sz w:val="16"/>
                <w:szCs w:val="16"/>
              </w:rPr>
            </w:pPr>
          </w:p>
        </w:tc>
        <w:tc>
          <w:tcPr>
            <w:tcW w:w="2342" w:type="dxa"/>
          </w:tcPr>
          <w:p w14:paraId="564074F4" w14:textId="77777777" w:rsidR="009B1955" w:rsidRPr="00D860CC" w:rsidRDefault="009B1955" w:rsidP="00807EBA">
            <w:pPr>
              <w:rPr>
                <w:rFonts w:ascii="Times New Roman" w:hAnsi="Times New Roman" w:cs="Times New Roman"/>
                <w:sz w:val="16"/>
                <w:szCs w:val="16"/>
              </w:rPr>
            </w:pPr>
            <w:r w:rsidRPr="00D860CC">
              <w:rPr>
                <w:rFonts w:ascii="Times New Roman" w:hAnsi="Times New Roman" w:cs="Times New Roman"/>
                <w:sz w:val="16"/>
                <w:szCs w:val="16"/>
              </w:rPr>
              <w:t>Lai et al. (5</w:t>
            </w:r>
            <w:r>
              <w:rPr>
                <w:rFonts w:ascii="Times New Roman" w:hAnsi="Times New Roman" w:cs="Times New Roman"/>
                <w:sz w:val="16"/>
                <w:szCs w:val="16"/>
              </w:rPr>
              <w:t>4</w:t>
            </w:r>
            <w:r w:rsidRPr="00D860CC">
              <w:rPr>
                <w:rFonts w:ascii="Times New Roman" w:hAnsi="Times New Roman" w:cs="Times New Roman"/>
                <w:sz w:val="16"/>
                <w:szCs w:val="16"/>
              </w:rPr>
              <w:t>)</w:t>
            </w:r>
          </w:p>
        </w:tc>
        <w:tc>
          <w:tcPr>
            <w:tcW w:w="801" w:type="dxa"/>
          </w:tcPr>
          <w:p w14:paraId="01D38E1C" w14:textId="77777777" w:rsidR="009B1955" w:rsidRPr="00D860CC" w:rsidRDefault="009B1955" w:rsidP="00807EBA">
            <w:pPr>
              <w:rPr>
                <w:rFonts w:ascii="Times New Roman" w:hAnsi="Times New Roman" w:cs="Times New Roman"/>
                <w:sz w:val="16"/>
                <w:szCs w:val="16"/>
              </w:rPr>
            </w:pPr>
            <w:r w:rsidRPr="00D860CC">
              <w:rPr>
                <w:rFonts w:ascii="Times New Roman" w:hAnsi="Times New Roman" w:cs="Times New Roman"/>
                <w:sz w:val="16"/>
                <w:szCs w:val="16"/>
              </w:rPr>
              <w:t>2009</w:t>
            </w:r>
          </w:p>
        </w:tc>
        <w:tc>
          <w:tcPr>
            <w:tcW w:w="5286" w:type="dxa"/>
          </w:tcPr>
          <w:p w14:paraId="2BFF7701" w14:textId="77777777" w:rsidR="009B1955" w:rsidRPr="00D860CC" w:rsidRDefault="009B1955" w:rsidP="00807EBA">
            <w:pPr>
              <w:rPr>
                <w:rFonts w:ascii="Times New Roman" w:hAnsi="Times New Roman" w:cs="Times New Roman"/>
                <w:sz w:val="16"/>
                <w:szCs w:val="16"/>
              </w:rPr>
            </w:pPr>
            <w:r w:rsidRPr="00D860CC">
              <w:rPr>
                <w:rFonts w:ascii="Times New Roman" w:hAnsi="Times New Roman" w:cs="Times New Roman"/>
                <w:sz w:val="16"/>
                <w:szCs w:val="16"/>
              </w:rPr>
              <w:t>Classical test theory and item response theory/Rasch model to assess differences between patient-reported fatigue using 7-day and 4-week recall periods</w:t>
            </w:r>
          </w:p>
        </w:tc>
        <w:tc>
          <w:tcPr>
            <w:tcW w:w="1773" w:type="dxa"/>
          </w:tcPr>
          <w:p w14:paraId="02852900" w14:textId="77777777" w:rsidR="009B1955" w:rsidRPr="00D860CC" w:rsidRDefault="009B1955" w:rsidP="00807EBA">
            <w:pPr>
              <w:rPr>
                <w:rFonts w:ascii="Times New Roman" w:hAnsi="Times New Roman" w:cs="Times New Roman"/>
                <w:sz w:val="16"/>
                <w:szCs w:val="16"/>
              </w:rPr>
            </w:pPr>
            <w:r w:rsidRPr="00D860CC">
              <w:rPr>
                <w:rFonts w:ascii="Times New Roman" w:hAnsi="Times New Roman" w:cs="Times New Roman"/>
                <w:sz w:val="16"/>
                <w:szCs w:val="16"/>
              </w:rPr>
              <w:t>Article</w:t>
            </w:r>
          </w:p>
        </w:tc>
      </w:tr>
      <w:tr w:rsidR="009B1955" w:rsidRPr="00D860CC" w14:paraId="051D5AEE" w14:textId="77777777" w:rsidTr="00807EBA">
        <w:tc>
          <w:tcPr>
            <w:tcW w:w="2099" w:type="dxa"/>
            <w:vMerge/>
          </w:tcPr>
          <w:p w14:paraId="338D6192" w14:textId="77777777" w:rsidR="009B1955" w:rsidRPr="00D860CC" w:rsidRDefault="009B1955" w:rsidP="00807EBA">
            <w:pPr>
              <w:rPr>
                <w:rFonts w:ascii="Times New Roman" w:hAnsi="Times New Roman" w:cs="Times New Roman"/>
                <w:sz w:val="16"/>
                <w:szCs w:val="16"/>
              </w:rPr>
            </w:pPr>
          </w:p>
        </w:tc>
        <w:tc>
          <w:tcPr>
            <w:tcW w:w="1647" w:type="dxa"/>
            <w:vMerge/>
          </w:tcPr>
          <w:p w14:paraId="51E4F5C8" w14:textId="77777777" w:rsidR="009B1955" w:rsidRPr="00D860CC" w:rsidRDefault="009B1955" w:rsidP="00807EBA">
            <w:pPr>
              <w:rPr>
                <w:rFonts w:ascii="Times New Roman" w:hAnsi="Times New Roman" w:cs="Times New Roman"/>
                <w:sz w:val="16"/>
                <w:szCs w:val="16"/>
              </w:rPr>
            </w:pPr>
          </w:p>
        </w:tc>
        <w:tc>
          <w:tcPr>
            <w:tcW w:w="2342" w:type="dxa"/>
          </w:tcPr>
          <w:p w14:paraId="57B5C808" w14:textId="77777777" w:rsidR="009B1955" w:rsidRPr="00D860CC" w:rsidRDefault="009B1955" w:rsidP="00807EBA">
            <w:pPr>
              <w:rPr>
                <w:rFonts w:ascii="Times New Roman" w:hAnsi="Times New Roman" w:cs="Times New Roman"/>
                <w:sz w:val="16"/>
                <w:szCs w:val="16"/>
              </w:rPr>
            </w:pPr>
            <w:proofErr w:type="spellStart"/>
            <w:r w:rsidRPr="00D860CC">
              <w:rPr>
                <w:rFonts w:ascii="Times New Roman" w:hAnsi="Times New Roman" w:cs="Times New Roman"/>
                <w:sz w:val="16"/>
                <w:szCs w:val="16"/>
              </w:rPr>
              <w:t>Thavarajah</w:t>
            </w:r>
            <w:proofErr w:type="spellEnd"/>
            <w:r w:rsidRPr="00D860CC">
              <w:rPr>
                <w:rFonts w:ascii="Times New Roman" w:hAnsi="Times New Roman" w:cs="Times New Roman"/>
                <w:sz w:val="16"/>
                <w:szCs w:val="16"/>
              </w:rPr>
              <w:t xml:space="preserve"> et al. (5</w:t>
            </w:r>
            <w:r>
              <w:rPr>
                <w:rFonts w:ascii="Times New Roman" w:hAnsi="Times New Roman" w:cs="Times New Roman"/>
                <w:sz w:val="16"/>
                <w:szCs w:val="16"/>
              </w:rPr>
              <w:t>5</w:t>
            </w:r>
            <w:r w:rsidRPr="00D860CC">
              <w:rPr>
                <w:rFonts w:ascii="Times New Roman" w:hAnsi="Times New Roman" w:cs="Times New Roman"/>
                <w:sz w:val="16"/>
                <w:szCs w:val="16"/>
              </w:rPr>
              <w:t>)</w:t>
            </w:r>
          </w:p>
        </w:tc>
        <w:tc>
          <w:tcPr>
            <w:tcW w:w="801" w:type="dxa"/>
          </w:tcPr>
          <w:p w14:paraId="73C7B498" w14:textId="77777777" w:rsidR="009B1955" w:rsidRPr="00D860CC" w:rsidRDefault="009B1955" w:rsidP="00807EBA">
            <w:pPr>
              <w:rPr>
                <w:rFonts w:ascii="Times New Roman" w:hAnsi="Times New Roman" w:cs="Times New Roman"/>
                <w:sz w:val="16"/>
                <w:szCs w:val="16"/>
              </w:rPr>
            </w:pPr>
            <w:r w:rsidRPr="00D860CC">
              <w:rPr>
                <w:rFonts w:ascii="Times New Roman" w:hAnsi="Times New Roman" w:cs="Times New Roman"/>
                <w:sz w:val="16"/>
                <w:szCs w:val="16"/>
              </w:rPr>
              <w:t>2013</w:t>
            </w:r>
          </w:p>
        </w:tc>
        <w:tc>
          <w:tcPr>
            <w:tcW w:w="5286" w:type="dxa"/>
          </w:tcPr>
          <w:p w14:paraId="4F681551" w14:textId="77777777" w:rsidR="009B1955" w:rsidRPr="00D860CC" w:rsidRDefault="009B1955" w:rsidP="00807EBA">
            <w:pPr>
              <w:rPr>
                <w:rFonts w:ascii="Times New Roman" w:hAnsi="Times New Roman" w:cs="Times New Roman"/>
                <w:sz w:val="16"/>
                <w:szCs w:val="16"/>
              </w:rPr>
            </w:pPr>
            <w:r w:rsidRPr="00D860CC">
              <w:rPr>
                <w:rFonts w:ascii="Times New Roman" w:hAnsi="Times New Roman" w:cs="Times New Roman"/>
                <w:sz w:val="16"/>
                <w:szCs w:val="16"/>
              </w:rPr>
              <w:t>The Functional Assessment of Cancer Therapy - Brain (FACT-Br) for assessing quality of life in patients with brain metastases: A comparison of recall periods</w:t>
            </w:r>
          </w:p>
        </w:tc>
        <w:tc>
          <w:tcPr>
            <w:tcW w:w="1773" w:type="dxa"/>
          </w:tcPr>
          <w:p w14:paraId="6706A60E" w14:textId="77777777" w:rsidR="009B1955" w:rsidRPr="00D860CC" w:rsidRDefault="009B1955" w:rsidP="00807EBA">
            <w:pPr>
              <w:rPr>
                <w:rFonts w:ascii="Times New Roman" w:hAnsi="Times New Roman" w:cs="Times New Roman"/>
                <w:sz w:val="16"/>
                <w:szCs w:val="16"/>
              </w:rPr>
            </w:pPr>
            <w:r w:rsidRPr="00D860CC">
              <w:rPr>
                <w:rFonts w:ascii="Times New Roman" w:hAnsi="Times New Roman" w:cs="Times New Roman"/>
                <w:sz w:val="16"/>
                <w:szCs w:val="16"/>
              </w:rPr>
              <w:t>Article</w:t>
            </w:r>
          </w:p>
        </w:tc>
      </w:tr>
      <w:tr w:rsidR="009B1955" w:rsidRPr="00D860CC" w14:paraId="796B585D" w14:textId="77777777" w:rsidTr="00807EBA">
        <w:tc>
          <w:tcPr>
            <w:tcW w:w="2099" w:type="dxa"/>
            <w:vMerge/>
          </w:tcPr>
          <w:p w14:paraId="523608E5" w14:textId="77777777" w:rsidR="009B1955" w:rsidRPr="00D860CC" w:rsidRDefault="009B1955" w:rsidP="00807EBA">
            <w:pPr>
              <w:rPr>
                <w:rFonts w:ascii="Times New Roman" w:hAnsi="Times New Roman" w:cs="Times New Roman"/>
                <w:sz w:val="16"/>
                <w:szCs w:val="16"/>
              </w:rPr>
            </w:pPr>
          </w:p>
        </w:tc>
        <w:tc>
          <w:tcPr>
            <w:tcW w:w="1647" w:type="dxa"/>
            <w:vMerge/>
          </w:tcPr>
          <w:p w14:paraId="7E000803" w14:textId="77777777" w:rsidR="009B1955" w:rsidRPr="00D860CC" w:rsidRDefault="009B1955" w:rsidP="00807EBA">
            <w:pPr>
              <w:rPr>
                <w:rFonts w:ascii="Times New Roman" w:hAnsi="Times New Roman" w:cs="Times New Roman"/>
                <w:sz w:val="16"/>
                <w:szCs w:val="16"/>
              </w:rPr>
            </w:pPr>
          </w:p>
        </w:tc>
        <w:tc>
          <w:tcPr>
            <w:tcW w:w="2342" w:type="dxa"/>
          </w:tcPr>
          <w:p w14:paraId="62405E96" w14:textId="77777777" w:rsidR="009B1955" w:rsidRPr="00D860CC" w:rsidRDefault="009B1955" w:rsidP="00807EBA">
            <w:pPr>
              <w:rPr>
                <w:rFonts w:ascii="Times New Roman" w:hAnsi="Times New Roman" w:cs="Times New Roman"/>
                <w:sz w:val="16"/>
                <w:szCs w:val="16"/>
              </w:rPr>
            </w:pPr>
            <w:r w:rsidRPr="00D860CC">
              <w:rPr>
                <w:rFonts w:ascii="Times New Roman" w:hAnsi="Times New Roman" w:cs="Times New Roman"/>
                <w:sz w:val="16"/>
                <w:szCs w:val="16"/>
              </w:rPr>
              <w:t>Condon et al. (5</w:t>
            </w:r>
            <w:r>
              <w:rPr>
                <w:rFonts w:ascii="Times New Roman" w:hAnsi="Times New Roman" w:cs="Times New Roman"/>
                <w:sz w:val="16"/>
                <w:szCs w:val="16"/>
              </w:rPr>
              <w:t>6</w:t>
            </w:r>
            <w:r w:rsidRPr="00D860CC">
              <w:rPr>
                <w:rFonts w:ascii="Times New Roman" w:hAnsi="Times New Roman" w:cs="Times New Roman"/>
                <w:sz w:val="16"/>
                <w:szCs w:val="16"/>
              </w:rPr>
              <w:t>)</w:t>
            </w:r>
          </w:p>
        </w:tc>
        <w:tc>
          <w:tcPr>
            <w:tcW w:w="801" w:type="dxa"/>
          </w:tcPr>
          <w:p w14:paraId="5A79984D" w14:textId="77777777" w:rsidR="009B1955" w:rsidRPr="00D860CC" w:rsidRDefault="009B1955" w:rsidP="00807EBA">
            <w:pPr>
              <w:rPr>
                <w:rFonts w:ascii="Times New Roman" w:hAnsi="Times New Roman" w:cs="Times New Roman"/>
                <w:sz w:val="16"/>
                <w:szCs w:val="16"/>
              </w:rPr>
            </w:pPr>
            <w:r w:rsidRPr="00D860CC">
              <w:rPr>
                <w:rFonts w:ascii="Times New Roman" w:hAnsi="Times New Roman" w:cs="Times New Roman"/>
                <w:sz w:val="16"/>
                <w:szCs w:val="16"/>
              </w:rPr>
              <w:t>2020</w:t>
            </w:r>
          </w:p>
        </w:tc>
        <w:tc>
          <w:tcPr>
            <w:tcW w:w="5286" w:type="dxa"/>
          </w:tcPr>
          <w:p w14:paraId="05D4ACD3" w14:textId="77777777" w:rsidR="009B1955" w:rsidRPr="00D860CC" w:rsidRDefault="009B1955" w:rsidP="00807EBA">
            <w:pPr>
              <w:rPr>
                <w:rFonts w:ascii="Times New Roman" w:hAnsi="Times New Roman" w:cs="Times New Roman"/>
                <w:sz w:val="16"/>
                <w:szCs w:val="16"/>
              </w:rPr>
            </w:pPr>
            <w:r w:rsidRPr="00D860CC">
              <w:rPr>
                <w:rFonts w:ascii="Times New Roman" w:hAnsi="Times New Roman" w:cs="Times New Roman"/>
                <w:sz w:val="16"/>
                <w:szCs w:val="16"/>
              </w:rPr>
              <w:t>Does recall period matter? Comparing PROMIS® physical function with no recall, 24-hr recall, and 7-day recall.</w:t>
            </w:r>
          </w:p>
        </w:tc>
        <w:tc>
          <w:tcPr>
            <w:tcW w:w="1773" w:type="dxa"/>
          </w:tcPr>
          <w:p w14:paraId="4AF6CEE1" w14:textId="77777777" w:rsidR="009B1955" w:rsidRPr="00D860CC" w:rsidRDefault="009B1955" w:rsidP="00807EBA">
            <w:pPr>
              <w:rPr>
                <w:rFonts w:ascii="Times New Roman" w:hAnsi="Times New Roman" w:cs="Times New Roman"/>
                <w:sz w:val="16"/>
                <w:szCs w:val="16"/>
              </w:rPr>
            </w:pPr>
            <w:r w:rsidRPr="00D860CC">
              <w:rPr>
                <w:rFonts w:ascii="Times New Roman" w:hAnsi="Times New Roman" w:cs="Times New Roman"/>
                <w:sz w:val="16"/>
                <w:szCs w:val="16"/>
              </w:rPr>
              <w:t>Article</w:t>
            </w:r>
          </w:p>
        </w:tc>
      </w:tr>
      <w:tr w:rsidR="009B1955" w:rsidRPr="00D860CC" w14:paraId="35AE7C10" w14:textId="77777777" w:rsidTr="00807EBA">
        <w:tc>
          <w:tcPr>
            <w:tcW w:w="2099" w:type="dxa"/>
            <w:vMerge/>
          </w:tcPr>
          <w:p w14:paraId="2629E4B1" w14:textId="77777777" w:rsidR="009B1955" w:rsidRPr="00D860CC" w:rsidRDefault="009B1955" w:rsidP="00807EBA">
            <w:pPr>
              <w:rPr>
                <w:rFonts w:ascii="Times New Roman" w:hAnsi="Times New Roman" w:cs="Times New Roman"/>
                <w:sz w:val="16"/>
                <w:szCs w:val="16"/>
              </w:rPr>
            </w:pPr>
          </w:p>
        </w:tc>
        <w:tc>
          <w:tcPr>
            <w:tcW w:w="1647" w:type="dxa"/>
            <w:vMerge/>
          </w:tcPr>
          <w:p w14:paraId="30372C59" w14:textId="77777777" w:rsidR="009B1955" w:rsidRPr="00D860CC" w:rsidRDefault="009B1955" w:rsidP="00807EBA">
            <w:pPr>
              <w:rPr>
                <w:rFonts w:ascii="Times New Roman" w:hAnsi="Times New Roman" w:cs="Times New Roman"/>
                <w:sz w:val="16"/>
                <w:szCs w:val="16"/>
              </w:rPr>
            </w:pPr>
          </w:p>
        </w:tc>
        <w:tc>
          <w:tcPr>
            <w:tcW w:w="2342" w:type="dxa"/>
          </w:tcPr>
          <w:p w14:paraId="4FAD2833" w14:textId="77777777" w:rsidR="009B1955" w:rsidRPr="00D860CC" w:rsidRDefault="009B1955" w:rsidP="00807EBA">
            <w:pPr>
              <w:rPr>
                <w:rFonts w:ascii="Times New Roman" w:hAnsi="Times New Roman" w:cs="Times New Roman"/>
                <w:sz w:val="16"/>
                <w:szCs w:val="16"/>
              </w:rPr>
            </w:pPr>
            <w:proofErr w:type="spellStart"/>
            <w:r w:rsidRPr="00D860CC">
              <w:rPr>
                <w:rFonts w:ascii="Times New Roman" w:hAnsi="Times New Roman" w:cs="Times New Roman"/>
                <w:sz w:val="16"/>
                <w:szCs w:val="16"/>
              </w:rPr>
              <w:t>Peipert</w:t>
            </w:r>
            <w:proofErr w:type="spellEnd"/>
            <w:r w:rsidRPr="00D860CC">
              <w:rPr>
                <w:rFonts w:ascii="Times New Roman" w:hAnsi="Times New Roman" w:cs="Times New Roman"/>
                <w:sz w:val="16"/>
                <w:szCs w:val="16"/>
              </w:rPr>
              <w:t xml:space="preserve"> et al. (</w:t>
            </w:r>
            <w:r>
              <w:rPr>
                <w:rFonts w:ascii="Times New Roman" w:hAnsi="Times New Roman" w:cs="Times New Roman"/>
                <w:sz w:val="16"/>
                <w:szCs w:val="16"/>
              </w:rPr>
              <w:t>57</w:t>
            </w:r>
            <w:r w:rsidRPr="00D860CC">
              <w:rPr>
                <w:rFonts w:ascii="Times New Roman" w:hAnsi="Times New Roman" w:cs="Times New Roman"/>
                <w:sz w:val="16"/>
                <w:szCs w:val="16"/>
              </w:rPr>
              <w:t>)</w:t>
            </w:r>
          </w:p>
        </w:tc>
        <w:tc>
          <w:tcPr>
            <w:tcW w:w="801" w:type="dxa"/>
          </w:tcPr>
          <w:p w14:paraId="40EC0C83" w14:textId="77777777" w:rsidR="009B1955" w:rsidRPr="00D860CC" w:rsidRDefault="009B1955" w:rsidP="00807EBA">
            <w:pPr>
              <w:rPr>
                <w:rFonts w:ascii="Times New Roman" w:hAnsi="Times New Roman" w:cs="Times New Roman"/>
                <w:sz w:val="16"/>
                <w:szCs w:val="16"/>
              </w:rPr>
            </w:pPr>
            <w:r w:rsidRPr="00D860CC">
              <w:rPr>
                <w:rFonts w:ascii="Times New Roman" w:hAnsi="Times New Roman" w:cs="Times New Roman"/>
                <w:sz w:val="16"/>
                <w:szCs w:val="16"/>
              </w:rPr>
              <w:t>2022</w:t>
            </w:r>
          </w:p>
        </w:tc>
        <w:tc>
          <w:tcPr>
            <w:tcW w:w="5286" w:type="dxa"/>
          </w:tcPr>
          <w:p w14:paraId="3AA8CB37" w14:textId="77777777" w:rsidR="009B1955" w:rsidRPr="00D860CC" w:rsidRDefault="009B1955" w:rsidP="00807EBA">
            <w:pPr>
              <w:rPr>
                <w:rFonts w:ascii="Times New Roman" w:hAnsi="Times New Roman" w:cs="Times New Roman"/>
                <w:sz w:val="16"/>
                <w:szCs w:val="16"/>
              </w:rPr>
            </w:pPr>
            <w:r w:rsidRPr="00D860CC">
              <w:rPr>
                <w:rFonts w:ascii="Times New Roman" w:hAnsi="Times New Roman" w:cs="Times New Roman"/>
                <w:sz w:val="16"/>
                <w:szCs w:val="16"/>
              </w:rPr>
              <w:t>Do You Recall?: Results From a Within-Person Recall Study of the Patient-Reported Outcomes Measurement Information System (PROMIS) Short Form v2.0 – Physical Function 8c</w:t>
            </w:r>
          </w:p>
        </w:tc>
        <w:tc>
          <w:tcPr>
            <w:tcW w:w="1773" w:type="dxa"/>
          </w:tcPr>
          <w:p w14:paraId="7888DDB6" w14:textId="77777777" w:rsidR="009B1955" w:rsidRPr="00D860CC" w:rsidRDefault="009B1955" w:rsidP="00807EBA">
            <w:pPr>
              <w:rPr>
                <w:rFonts w:ascii="Times New Roman" w:hAnsi="Times New Roman" w:cs="Times New Roman"/>
                <w:sz w:val="16"/>
                <w:szCs w:val="16"/>
              </w:rPr>
            </w:pPr>
            <w:r w:rsidRPr="00D860CC">
              <w:rPr>
                <w:rFonts w:ascii="Times New Roman" w:hAnsi="Times New Roman" w:cs="Times New Roman"/>
                <w:sz w:val="16"/>
                <w:szCs w:val="16"/>
              </w:rPr>
              <w:t>Article</w:t>
            </w:r>
          </w:p>
        </w:tc>
      </w:tr>
      <w:tr w:rsidR="009B1955" w:rsidRPr="00D860CC" w14:paraId="7A6D5273" w14:textId="77777777" w:rsidTr="00807EBA">
        <w:tc>
          <w:tcPr>
            <w:tcW w:w="2099" w:type="dxa"/>
            <w:vMerge/>
          </w:tcPr>
          <w:p w14:paraId="01DA4FDA" w14:textId="77777777" w:rsidR="009B1955" w:rsidRPr="00D860CC" w:rsidRDefault="009B1955" w:rsidP="00807EBA">
            <w:pPr>
              <w:rPr>
                <w:rFonts w:ascii="Times New Roman" w:hAnsi="Times New Roman" w:cs="Times New Roman"/>
                <w:sz w:val="16"/>
                <w:szCs w:val="16"/>
              </w:rPr>
            </w:pPr>
          </w:p>
        </w:tc>
        <w:tc>
          <w:tcPr>
            <w:tcW w:w="1647" w:type="dxa"/>
            <w:vMerge/>
          </w:tcPr>
          <w:p w14:paraId="2F361019" w14:textId="77777777" w:rsidR="009B1955" w:rsidRPr="00D860CC" w:rsidRDefault="009B1955" w:rsidP="00807EBA">
            <w:pPr>
              <w:rPr>
                <w:rFonts w:ascii="Times New Roman" w:hAnsi="Times New Roman" w:cs="Times New Roman"/>
                <w:sz w:val="16"/>
                <w:szCs w:val="16"/>
              </w:rPr>
            </w:pPr>
          </w:p>
        </w:tc>
        <w:tc>
          <w:tcPr>
            <w:tcW w:w="2342" w:type="dxa"/>
          </w:tcPr>
          <w:p w14:paraId="481467E0" w14:textId="77777777" w:rsidR="009B1955" w:rsidRPr="00D860CC" w:rsidRDefault="009B1955" w:rsidP="00807EBA">
            <w:pPr>
              <w:rPr>
                <w:rFonts w:ascii="Times New Roman" w:hAnsi="Times New Roman" w:cs="Times New Roman"/>
                <w:sz w:val="16"/>
                <w:szCs w:val="16"/>
              </w:rPr>
            </w:pPr>
            <w:r w:rsidRPr="00D860CC">
              <w:rPr>
                <w:rFonts w:ascii="Times New Roman" w:hAnsi="Times New Roman" w:cs="Times New Roman"/>
                <w:sz w:val="16"/>
                <w:szCs w:val="16"/>
              </w:rPr>
              <w:t>FDA (3</w:t>
            </w:r>
            <w:r>
              <w:rPr>
                <w:rFonts w:ascii="Times New Roman" w:hAnsi="Times New Roman" w:cs="Times New Roman"/>
                <w:sz w:val="16"/>
                <w:szCs w:val="16"/>
              </w:rPr>
              <w:t>3</w:t>
            </w:r>
            <w:r w:rsidRPr="00D860CC">
              <w:rPr>
                <w:rFonts w:ascii="Times New Roman" w:hAnsi="Times New Roman" w:cs="Times New Roman"/>
                <w:sz w:val="16"/>
                <w:szCs w:val="16"/>
              </w:rPr>
              <w:t>)*</w:t>
            </w:r>
          </w:p>
        </w:tc>
        <w:tc>
          <w:tcPr>
            <w:tcW w:w="801" w:type="dxa"/>
          </w:tcPr>
          <w:p w14:paraId="51E1D038" w14:textId="77777777" w:rsidR="009B1955" w:rsidRPr="00D860CC" w:rsidRDefault="009B1955" w:rsidP="00807EBA">
            <w:pPr>
              <w:rPr>
                <w:rFonts w:ascii="Times New Roman" w:hAnsi="Times New Roman" w:cs="Times New Roman"/>
                <w:sz w:val="16"/>
                <w:szCs w:val="16"/>
              </w:rPr>
            </w:pPr>
            <w:r w:rsidRPr="00D860CC">
              <w:rPr>
                <w:rFonts w:ascii="Times New Roman" w:hAnsi="Times New Roman" w:cs="Times New Roman"/>
                <w:sz w:val="16"/>
                <w:szCs w:val="16"/>
              </w:rPr>
              <w:t>2021</w:t>
            </w:r>
          </w:p>
        </w:tc>
        <w:tc>
          <w:tcPr>
            <w:tcW w:w="5286" w:type="dxa"/>
          </w:tcPr>
          <w:p w14:paraId="5EFDD7FF" w14:textId="77777777" w:rsidR="009B1955" w:rsidRPr="00D860CC" w:rsidRDefault="009B1955" w:rsidP="00807EBA">
            <w:pPr>
              <w:rPr>
                <w:rFonts w:ascii="Times New Roman" w:hAnsi="Times New Roman" w:cs="Times New Roman"/>
                <w:sz w:val="16"/>
                <w:szCs w:val="16"/>
              </w:rPr>
            </w:pPr>
            <w:r w:rsidRPr="00D860CC">
              <w:rPr>
                <w:rFonts w:ascii="Times New Roman" w:hAnsi="Times New Roman" w:cs="Times New Roman"/>
                <w:sz w:val="16"/>
                <w:szCs w:val="16"/>
              </w:rPr>
              <w:t>Core Patient-Reported Outcomes in Cancer Clinical Trials Guidance for Industry DRAFT GUIDANCE</w:t>
            </w:r>
          </w:p>
        </w:tc>
        <w:tc>
          <w:tcPr>
            <w:tcW w:w="1773" w:type="dxa"/>
          </w:tcPr>
          <w:p w14:paraId="4B5441CE" w14:textId="77777777" w:rsidR="009B1955" w:rsidRPr="00D860CC" w:rsidRDefault="009B1955" w:rsidP="00807EBA">
            <w:pPr>
              <w:rPr>
                <w:rFonts w:ascii="Times New Roman" w:hAnsi="Times New Roman" w:cs="Times New Roman"/>
                <w:sz w:val="16"/>
                <w:szCs w:val="16"/>
              </w:rPr>
            </w:pPr>
            <w:r w:rsidRPr="00D860CC">
              <w:rPr>
                <w:rFonts w:ascii="Times New Roman" w:hAnsi="Times New Roman" w:cs="Times New Roman"/>
                <w:sz w:val="16"/>
                <w:szCs w:val="16"/>
              </w:rPr>
              <w:t>Guidance document</w:t>
            </w:r>
          </w:p>
        </w:tc>
      </w:tr>
      <w:tr w:rsidR="009B1955" w:rsidRPr="00D860CC" w14:paraId="61356F37" w14:textId="77777777" w:rsidTr="00807EBA">
        <w:tc>
          <w:tcPr>
            <w:tcW w:w="2099" w:type="dxa"/>
            <w:vMerge/>
          </w:tcPr>
          <w:p w14:paraId="4F010514" w14:textId="77777777" w:rsidR="009B1955" w:rsidRPr="00D860CC" w:rsidRDefault="009B1955" w:rsidP="00807EBA">
            <w:pPr>
              <w:rPr>
                <w:rFonts w:ascii="Times New Roman" w:hAnsi="Times New Roman" w:cs="Times New Roman"/>
                <w:sz w:val="16"/>
                <w:szCs w:val="16"/>
              </w:rPr>
            </w:pPr>
          </w:p>
        </w:tc>
        <w:tc>
          <w:tcPr>
            <w:tcW w:w="1647" w:type="dxa"/>
            <w:vMerge/>
          </w:tcPr>
          <w:p w14:paraId="752CC17B" w14:textId="77777777" w:rsidR="009B1955" w:rsidRPr="00D860CC" w:rsidRDefault="009B1955" w:rsidP="00807EBA">
            <w:pPr>
              <w:rPr>
                <w:rFonts w:ascii="Times New Roman" w:hAnsi="Times New Roman" w:cs="Times New Roman"/>
                <w:sz w:val="16"/>
                <w:szCs w:val="16"/>
              </w:rPr>
            </w:pPr>
          </w:p>
        </w:tc>
        <w:tc>
          <w:tcPr>
            <w:tcW w:w="2342" w:type="dxa"/>
          </w:tcPr>
          <w:p w14:paraId="51077721" w14:textId="77777777" w:rsidR="009B1955" w:rsidRPr="00D860CC" w:rsidRDefault="009B1955" w:rsidP="00807EBA">
            <w:pPr>
              <w:rPr>
                <w:rFonts w:ascii="Times New Roman" w:hAnsi="Times New Roman" w:cs="Times New Roman"/>
                <w:sz w:val="16"/>
                <w:szCs w:val="16"/>
              </w:rPr>
            </w:pPr>
            <w:r w:rsidRPr="00D860CC">
              <w:rPr>
                <w:rFonts w:ascii="Times New Roman" w:hAnsi="Times New Roman" w:cs="Times New Roman"/>
                <w:sz w:val="16"/>
                <w:szCs w:val="16"/>
              </w:rPr>
              <w:t>Stull et al. (</w:t>
            </w:r>
            <w:r>
              <w:rPr>
                <w:rFonts w:ascii="Times New Roman" w:hAnsi="Times New Roman" w:cs="Times New Roman"/>
                <w:sz w:val="16"/>
                <w:szCs w:val="16"/>
              </w:rPr>
              <w:t>58</w:t>
            </w:r>
            <w:r w:rsidRPr="00D860CC">
              <w:rPr>
                <w:rFonts w:ascii="Times New Roman" w:hAnsi="Times New Roman" w:cs="Times New Roman"/>
                <w:sz w:val="16"/>
                <w:szCs w:val="16"/>
              </w:rPr>
              <w:t>)</w:t>
            </w:r>
          </w:p>
        </w:tc>
        <w:tc>
          <w:tcPr>
            <w:tcW w:w="801" w:type="dxa"/>
          </w:tcPr>
          <w:p w14:paraId="2672191D" w14:textId="77777777" w:rsidR="009B1955" w:rsidRPr="00D860CC" w:rsidRDefault="009B1955" w:rsidP="00807EBA">
            <w:pPr>
              <w:rPr>
                <w:rFonts w:ascii="Times New Roman" w:hAnsi="Times New Roman" w:cs="Times New Roman"/>
                <w:sz w:val="16"/>
                <w:szCs w:val="16"/>
              </w:rPr>
            </w:pPr>
            <w:r w:rsidRPr="00D860CC">
              <w:rPr>
                <w:rFonts w:ascii="Times New Roman" w:hAnsi="Times New Roman" w:cs="Times New Roman"/>
                <w:sz w:val="16"/>
                <w:szCs w:val="16"/>
              </w:rPr>
              <w:t>2009</w:t>
            </w:r>
          </w:p>
        </w:tc>
        <w:tc>
          <w:tcPr>
            <w:tcW w:w="5286" w:type="dxa"/>
          </w:tcPr>
          <w:p w14:paraId="023A2523" w14:textId="77777777" w:rsidR="009B1955" w:rsidRPr="00D860CC" w:rsidRDefault="009B1955" w:rsidP="00807EBA">
            <w:pPr>
              <w:rPr>
                <w:rFonts w:ascii="Times New Roman" w:hAnsi="Times New Roman" w:cs="Times New Roman"/>
                <w:sz w:val="16"/>
                <w:szCs w:val="16"/>
              </w:rPr>
            </w:pPr>
            <w:r w:rsidRPr="00D860CC">
              <w:rPr>
                <w:rFonts w:ascii="Times New Roman" w:hAnsi="Times New Roman" w:cs="Times New Roman"/>
                <w:sz w:val="16"/>
                <w:szCs w:val="16"/>
              </w:rPr>
              <w:t>Optimal recall periods for patient-reported outcomes: Challenges and potential solutions</w:t>
            </w:r>
          </w:p>
        </w:tc>
        <w:tc>
          <w:tcPr>
            <w:tcW w:w="1773" w:type="dxa"/>
          </w:tcPr>
          <w:p w14:paraId="0BAF5AA7" w14:textId="77777777" w:rsidR="009B1955" w:rsidRPr="00D860CC" w:rsidRDefault="009B1955" w:rsidP="00807EBA">
            <w:pPr>
              <w:rPr>
                <w:rFonts w:ascii="Times New Roman" w:hAnsi="Times New Roman" w:cs="Times New Roman"/>
                <w:sz w:val="16"/>
                <w:szCs w:val="16"/>
              </w:rPr>
            </w:pPr>
            <w:r w:rsidRPr="00D860CC">
              <w:rPr>
                <w:rFonts w:ascii="Times New Roman" w:hAnsi="Times New Roman" w:cs="Times New Roman"/>
                <w:sz w:val="16"/>
                <w:szCs w:val="16"/>
              </w:rPr>
              <w:t>Article</w:t>
            </w:r>
          </w:p>
        </w:tc>
      </w:tr>
      <w:tr w:rsidR="009B1955" w:rsidRPr="00D860CC" w14:paraId="240DA799" w14:textId="77777777" w:rsidTr="00807EBA">
        <w:tc>
          <w:tcPr>
            <w:tcW w:w="2099" w:type="dxa"/>
            <w:vMerge w:val="restart"/>
          </w:tcPr>
          <w:p w14:paraId="59F88ACE" w14:textId="77777777" w:rsidR="009B1955" w:rsidRPr="00D860CC" w:rsidRDefault="009B1955" w:rsidP="00807EBA">
            <w:pPr>
              <w:rPr>
                <w:rFonts w:ascii="Times New Roman" w:hAnsi="Times New Roman" w:cs="Times New Roman"/>
                <w:sz w:val="16"/>
                <w:szCs w:val="16"/>
              </w:rPr>
            </w:pPr>
            <w:r w:rsidRPr="00D860CC">
              <w:rPr>
                <w:rFonts w:ascii="Times New Roman" w:hAnsi="Times New Roman" w:cs="Times New Roman"/>
                <w:sz w:val="16"/>
                <w:szCs w:val="16"/>
              </w:rPr>
              <w:lastRenderedPageBreak/>
              <w:t>What are some of the determinants of patient burden and how can it be minimized?</w:t>
            </w:r>
          </w:p>
        </w:tc>
        <w:tc>
          <w:tcPr>
            <w:tcW w:w="1647" w:type="dxa"/>
            <w:vMerge w:val="restart"/>
          </w:tcPr>
          <w:p w14:paraId="2EF1D8BA" w14:textId="77777777" w:rsidR="009B1955" w:rsidRPr="00D860CC" w:rsidRDefault="009B1955" w:rsidP="00807EBA">
            <w:pPr>
              <w:rPr>
                <w:rFonts w:ascii="Times New Roman" w:hAnsi="Times New Roman" w:cs="Times New Roman"/>
                <w:sz w:val="16"/>
                <w:szCs w:val="16"/>
              </w:rPr>
            </w:pPr>
            <w:r w:rsidRPr="00D860CC">
              <w:rPr>
                <w:rFonts w:ascii="Times New Roman" w:hAnsi="Times New Roman" w:cs="Times New Roman"/>
                <w:sz w:val="16"/>
                <w:szCs w:val="16"/>
              </w:rPr>
              <w:t>Determinants of patient burden</w:t>
            </w:r>
          </w:p>
        </w:tc>
        <w:tc>
          <w:tcPr>
            <w:tcW w:w="2342" w:type="dxa"/>
          </w:tcPr>
          <w:p w14:paraId="0F1433E3" w14:textId="77777777" w:rsidR="009B1955" w:rsidRPr="00D860CC" w:rsidRDefault="009B1955" w:rsidP="00807EBA">
            <w:pPr>
              <w:rPr>
                <w:rFonts w:ascii="Times New Roman" w:hAnsi="Times New Roman" w:cs="Times New Roman"/>
                <w:sz w:val="16"/>
                <w:szCs w:val="16"/>
              </w:rPr>
            </w:pPr>
            <w:r w:rsidRPr="00D860CC">
              <w:rPr>
                <w:rFonts w:ascii="Times New Roman" w:hAnsi="Times New Roman" w:cs="Times New Roman"/>
                <w:sz w:val="16"/>
                <w:szCs w:val="16"/>
              </w:rPr>
              <w:t>FDA (</w:t>
            </w:r>
            <w:r>
              <w:rPr>
                <w:rFonts w:ascii="Times New Roman" w:hAnsi="Times New Roman" w:cs="Times New Roman"/>
                <w:sz w:val="16"/>
                <w:szCs w:val="16"/>
              </w:rPr>
              <w:t>20</w:t>
            </w:r>
            <w:r w:rsidRPr="00D860CC">
              <w:rPr>
                <w:rFonts w:ascii="Times New Roman" w:hAnsi="Times New Roman" w:cs="Times New Roman"/>
                <w:sz w:val="16"/>
                <w:szCs w:val="16"/>
              </w:rPr>
              <w:t>)*</w:t>
            </w:r>
          </w:p>
        </w:tc>
        <w:tc>
          <w:tcPr>
            <w:tcW w:w="801" w:type="dxa"/>
          </w:tcPr>
          <w:p w14:paraId="1517368D" w14:textId="77777777" w:rsidR="009B1955" w:rsidRPr="00D860CC" w:rsidRDefault="009B1955" w:rsidP="00807EBA">
            <w:pPr>
              <w:rPr>
                <w:rFonts w:ascii="Times New Roman" w:hAnsi="Times New Roman" w:cs="Times New Roman"/>
                <w:sz w:val="16"/>
                <w:szCs w:val="16"/>
              </w:rPr>
            </w:pPr>
            <w:r w:rsidRPr="00D860CC">
              <w:rPr>
                <w:rFonts w:ascii="Times New Roman" w:hAnsi="Times New Roman" w:cs="Times New Roman"/>
                <w:sz w:val="16"/>
                <w:szCs w:val="16"/>
              </w:rPr>
              <w:t>2009</w:t>
            </w:r>
          </w:p>
        </w:tc>
        <w:tc>
          <w:tcPr>
            <w:tcW w:w="5286" w:type="dxa"/>
          </w:tcPr>
          <w:p w14:paraId="369483B5" w14:textId="77777777" w:rsidR="009B1955" w:rsidRPr="00D860CC" w:rsidRDefault="009B1955" w:rsidP="00807EBA">
            <w:pPr>
              <w:rPr>
                <w:rFonts w:ascii="Times New Roman" w:hAnsi="Times New Roman" w:cs="Times New Roman"/>
                <w:sz w:val="16"/>
                <w:szCs w:val="16"/>
              </w:rPr>
            </w:pPr>
            <w:r w:rsidRPr="00D860CC">
              <w:rPr>
                <w:rFonts w:ascii="Times New Roman" w:hAnsi="Times New Roman" w:cs="Times New Roman"/>
                <w:sz w:val="16"/>
                <w:szCs w:val="16"/>
              </w:rPr>
              <w:t xml:space="preserve">Guidance for Industry; Patient-Reported Outcome Measures: Use in Medical Product Development to Support </w:t>
            </w:r>
            <w:proofErr w:type="spellStart"/>
            <w:r w:rsidRPr="00D860CC">
              <w:rPr>
                <w:rFonts w:ascii="Times New Roman" w:hAnsi="Times New Roman" w:cs="Times New Roman"/>
                <w:sz w:val="16"/>
                <w:szCs w:val="16"/>
              </w:rPr>
              <w:t>Labeling</w:t>
            </w:r>
            <w:proofErr w:type="spellEnd"/>
            <w:r w:rsidRPr="00D860CC">
              <w:rPr>
                <w:rFonts w:ascii="Times New Roman" w:hAnsi="Times New Roman" w:cs="Times New Roman"/>
                <w:sz w:val="16"/>
                <w:szCs w:val="16"/>
              </w:rPr>
              <w:t xml:space="preserve"> Claims</w:t>
            </w:r>
          </w:p>
        </w:tc>
        <w:tc>
          <w:tcPr>
            <w:tcW w:w="1773" w:type="dxa"/>
          </w:tcPr>
          <w:p w14:paraId="7A8D9157" w14:textId="77777777" w:rsidR="009B1955" w:rsidRPr="00D860CC" w:rsidRDefault="009B1955" w:rsidP="00807EBA">
            <w:pPr>
              <w:rPr>
                <w:rFonts w:ascii="Times New Roman" w:hAnsi="Times New Roman" w:cs="Times New Roman"/>
                <w:sz w:val="16"/>
                <w:szCs w:val="16"/>
              </w:rPr>
            </w:pPr>
            <w:r w:rsidRPr="00D860CC">
              <w:rPr>
                <w:rFonts w:ascii="Times New Roman" w:hAnsi="Times New Roman" w:cs="Times New Roman"/>
                <w:sz w:val="16"/>
                <w:szCs w:val="16"/>
              </w:rPr>
              <w:t>Guidance document</w:t>
            </w:r>
          </w:p>
        </w:tc>
      </w:tr>
      <w:tr w:rsidR="009B1955" w:rsidRPr="00D860CC" w14:paraId="138ECDDF" w14:textId="77777777" w:rsidTr="00807EBA">
        <w:tc>
          <w:tcPr>
            <w:tcW w:w="2099" w:type="dxa"/>
            <w:vMerge/>
          </w:tcPr>
          <w:p w14:paraId="3AE36F20" w14:textId="77777777" w:rsidR="009B1955" w:rsidRPr="00D860CC" w:rsidRDefault="009B1955" w:rsidP="00807EBA">
            <w:pPr>
              <w:rPr>
                <w:rFonts w:ascii="Times New Roman" w:hAnsi="Times New Roman" w:cs="Times New Roman"/>
                <w:sz w:val="16"/>
                <w:szCs w:val="16"/>
              </w:rPr>
            </w:pPr>
          </w:p>
        </w:tc>
        <w:tc>
          <w:tcPr>
            <w:tcW w:w="1647" w:type="dxa"/>
            <w:vMerge/>
          </w:tcPr>
          <w:p w14:paraId="422AF099" w14:textId="77777777" w:rsidR="009B1955" w:rsidRPr="00D860CC" w:rsidRDefault="009B1955" w:rsidP="00807EBA">
            <w:pPr>
              <w:rPr>
                <w:rFonts w:ascii="Times New Roman" w:hAnsi="Times New Roman" w:cs="Times New Roman"/>
                <w:sz w:val="16"/>
                <w:szCs w:val="16"/>
              </w:rPr>
            </w:pPr>
          </w:p>
        </w:tc>
        <w:tc>
          <w:tcPr>
            <w:tcW w:w="2342" w:type="dxa"/>
          </w:tcPr>
          <w:p w14:paraId="045CEC7C" w14:textId="77777777" w:rsidR="009B1955" w:rsidRPr="00D860CC" w:rsidRDefault="009B1955" w:rsidP="00807EBA">
            <w:pPr>
              <w:rPr>
                <w:rFonts w:ascii="Times New Roman" w:hAnsi="Times New Roman" w:cs="Times New Roman"/>
                <w:sz w:val="16"/>
                <w:szCs w:val="16"/>
              </w:rPr>
            </w:pPr>
            <w:proofErr w:type="spellStart"/>
            <w:r w:rsidRPr="00D860CC">
              <w:rPr>
                <w:rFonts w:ascii="Times New Roman" w:hAnsi="Times New Roman" w:cs="Times New Roman"/>
                <w:sz w:val="16"/>
                <w:szCs w:val="16"/>
              </w:rPr>
              <w:t>Piccinin</w:t>
            </w:r>
            <w:proofErr w:type="spellEnd"/>
            <w:r w:rsidRPr="00D860CC">
              <w:rPr>
                <w:rFonts w:ascii="Times New Roman" w:hAnsi="Times New Roman" w:cs="Times New Roman"/>
                <w:sz w:val="16"/>
                <w:szCs w:val="16"/>
              </w:rPr>
              <w:t xml:space="preserve"> et al. (</w:t>
            </w:r>
            <w:r>
              <w:rPr>
                <w:rFonts w:ascii="Times New Roman" w:hAnsi="Times New Roman" w:cs="Times New Roman"/>
                <w:sz w:val="16"/>
                <w:szCs w:val="16"/>
              </w:rPr>
              <w:t>38</w:t>
            </w:r>
            <w:r w:rsidRPr="00D860CC">
              <w:rPr>
                <w:rFonts w:ascii="Times New Roman" w:hAnsi="Times New Roman" w:cs="Times New Roman"/>
                <w:sz w:val="16"/>
                <w:szCs w:val="16"/>
              </w:rPr>
              <w:t xml:space="preserve">)* </w:t>
            </w:r>
          </w:p>
        </w:tc>
        <w:tc>
          <w:tcPr>
            <w:tcW w:w="801" w:type="dxa"/>
          </w:tcPr>
          <w:p w14:paraId="7BE90EC9" w14:textId="77777777" w:rsidR="009B1955" w:rsidRPr="00D860CC" w:rsidRDefault="009B1955" w:rsidP="00807EBA">
            <w:pPr>
              <w:rPr>
                <w:rFonts w:ascii="Times New Roman" w:hAnsi="Times New Roman" w:cs="Times New Roman"/>
                <w:sz w:val="16"/>
                <w:szCs w:val="16"/>
              </w:rPr>
            </w:pPr>
            <w:r w:rsidRPr="00D860CC">
              <w:rPr>
                <w:rFonts w:ascii="Times New Roman" w:hAnsi="Times New Roman" w:cs="Times New Roman"/>
                <w:sz w:val="16"/>
                <w:szCs w:val="16"/>
              </w:rPr>
              <w:t>2019</w:t>
            </w:r>
          </w:p>
        </w:tc>
        <w:tc>
          <w:tcPr>
            <w:tcW w:w="5286" w:type="dxa"/>
          </w:tcPr>
          <w:p w14:paraId="36E928A3" w14:textId="77777777" w:rsidR="009B1955" w:rsidRPr="00D860CC" w:rsidRDefault="009B1955" w:rsidP="00807EBA">
            <w:pPr>
              <w:rPr>
                <w:rFonts w:ascii="Times New Roman" w:hAnsi="Times New Roman" w:cs="Times New Roman"/>
                <w:sz w:val="16"/>
                <w:szCs w:val="16"/>
              </w:rPr>
            </w:pPr>
            <w:r w:rsidRPr="00D860CC">
              <w:rPr>
                <w:rFonts w:ascii="Times New Roman" w:hAnsi="Times New Roman" w:cs="Times New Roman"/>
                <w:sz w:val="16"/>
                <w:szCs w:val="16"/>
              </w:rPr>
              <w:t>PCN296 Development of scientific guidelines for use of the EORTC Item Library in cancer clinical trials</w:t>
            </w:r>
          </w:p>
        </w:tc>
        <w:tc>
          <w:tcPr>
            <w:tcW w:w="1773" w:type="dxa"/>
          </w:tcPr>
          <w:p w14:paraId="29C8B32F" w14:textId="77777777" w:rsidR="009B1955" w:rsidRPr="00D860CC" w:rsidRDefault="009B1955" w:rsidP="00807EBA">
            <w:pPr>
              <w:rPr>
                <w:rFonts w:ascii="Times New Roman" w:hAnsi="Times New Roman" w:cs="Times New Roman"/>
                <w:sz w:val="16"/>
                <w:szCs w:val="16"/>
              </w:rPr>
            </w:pPr>
            <w:r w:rsidRPr="00D860CC">
              <w:rPr>
                <w:rFonts w:ascii="Times New Roman" w:hAnsi="Times New Roman" w:cs="Times New Roman"/>
                <w:sz w:val="16"/>
                <w:szCs w:val="16"/>
              </w:rPr>
              <w:t>Conference abstract</w:t>
            </w:r>
          </w:p>
        </w:tc>
      </w:tr>
      <w:tr w:rsidR="009B1955" w:rsidRPr="00D860CC" w14:paraId="6AE8DF6F" w14:textId="77777777" w:rsidTr="00807EBA">
        <w:tc>
          <w:tcPr>
            <w:tcW w:w="2099" w:type="dxa"/>
            <w:vMerge/>
          </w:tcPr>
          <w:p w14:paraId="687C958A" w14:textId="77777777" w:rsidR="009B1955" w:rsidRPr="00D860CC" w:rsidRDefault="009B1955" w:rsidP="00807EBA">
            <w:pPr>
              <w:rPr>
                <w:rFonts w:ascii="Times New Roman" w:hAnsi="Times New Roman" w:cs="Times New Roman"/>
                <w:sz w:val="16"/>
                <w:szCs w:val="16"/>
              </w:rPr>
            </w:pPr>
          </w:p>
        </w:tc>
        <w:tc>
          <w:tcPr>
            <w:tcW w:w="1647" w:type="dxa"/>
            <w:vMerge/>
          </w:tcPr>
          <w:p w14:paraId="0E81AB73" w14:textId="77777777" w:rsidR="009B1955" w:rsidRPr="00D860CC" w:rsidRDefault="009B1955" w:rsidP="00807EBA">
            <w:pPr>
              <w:rPr>
                <w:rFonts w:ascii="Times New Roman" w:hAnsi="Times New Roman" w:cs="Times New Roman"/>
                <w:sz w:val="16"/>
                <w:szCs w:val="16"/>
              </w:rPr>
            </w:pPr>
          </w:p>
        </w:tc>
        <w:tc>
          <w:tcPr>
            <w:tcW w:w="2342" w:type="dxa"/>
          </w:tcPr>
          <w:p w14:paraId="1F9B05DD" w14:textId="77777777" w:rsidR="009B1955" w:rsidRPr="00D860CC" w:rsidRDefault="009B1955" w:rsidP="00807EBA">
            <w:pPr>
              <w:rPr>
                <w:rFonts w:ascii="Times New Roman" w:hAnsi="Times New Roman" w:cs="Times New Roman"/>
                <w:sz w:val="16"/>
                <w:szCs w:val="16"/>
              </w:rPr>
            </w:pPr>
            <w:proofErr w:type="spellStart"/>
            <w:r w:rsidRPr="00D860CC">
              <w:rPr>
                <w:rFonts w:ascii="Times New Roman" w:hAnsi="Times New Roman" w:cs="Times New Roman"/>
                <w:sz w:val="16"/>
                <w:szCs w:val="16"/>
              </w:rPr>
              <w:t>Piccinin</w:t>
            </w:r>
            <w:proofErr w:type="spellEnd"/>
            <w:r w:rsidRPr="00D860CC">
              <w:rPr>
                <w:rFonts w:ascii="Times New Roman" w:hAnsi="Times New Roman" w:cs="Times New Roman"/>
                <w:sz w:val="16"/>
                <w:szCs w:val="16"/>
              </w:rPr>
              <w:t xml:space="preserve"> et al. (</w:t>
            </w:r>
            <w:r>
              <w:rPr>
                <w:rFonts w:ascii="Times New Roman" w:hAnsi="Times New Roman" w:cs="Times New Roman"/>
                <w:sz w:val="16"/>
                <w:szCs w:val="16"/>
              </w:rPr>
              <w:t>39</w:t>
            </w:r>
            <w:r w:rsidRPr="00D860CC">
              <w:rPr>
                <w:rFonts w:ascii="Times New Roman" w:hAnsi="Times New Roman" w:cs="Times New Roman"/>
                <w:sz w:val="16"/>
                <w:szCs w:val="16"/>
              </w:rPr>
              <w:t>)*</w:t>
            </w:r>
          </w:p>
        </w:tc>
        <w:tc>
          <w:tcPr>
            <w:tcW w:w="801" w:type="dxa"/>
          </w:tcPr>
          <w:p w14:paraId="193CB3C6" w14:textId="77777777" w:rsidR="009B1955" w:rsidRPr="00D860CC" w:rsidRDefault="009B1955" w:rsidP="00807EBA">
            <w:pPr>
              <w:rPr>
                <w:rFonts w:ascii="Times New Roman" w:hAnsi="Times New Roman" w:cs="Times New Roman"/>
                <w:sz w:val="16"/>
                <w:szCs w:val="16"/>
              </w:rPr>
            </w:pPr>
            <w:r w:rsidRPr="00D860CC">
              <w:rPr>
                <w:rFonts w:ascii="Times New Roman" w:hAnsi="Times New Roman" w:cs="Times New Roman"/>
                <w:sz w:val="16"/>
                <w:szCs w:val="16"/>
              </w:rPr>
              <w:t>2022</w:t>
            </w:r>
          </w:p>
        </w:tc>
        <w:tc>
          <w:tcPr>
            <w:tcW w:w="5286" w:type="dxa"/>
          </w:tcPr>
          <w:p w14:paraId="48C96728" w14:textId="77777777" w:rsidR="009B1955" w:rsidRPr="00D860CC" w:rsidRDefault="009B1955" w:rsidP="00807EBA">
            <w:pPr>
              <w:rPr>
                <w:rFonts w:ascii="Times New Roman" w:hAnsi="Times New Roman" w:cs="Times New Roman"/>
                <w:sz w:val="16"/>
                <w:szCs w:val="16"/>
              </w:rPr>
            </w:pPr>
            <w:r w:rsidRPr="00D860CC">
              <w:rPr>
                <w:rFonts w:ascii="Times New Roman" w:hAnsi="Times New Roman" w:cs="Times New Roman"/>
                <w:sz w:val="16"/>
                <w:szCs w:val="16"/>
              </w:rPr>
              <w:t>EORTC Quality of Life Group Item Library User Guidelines; First Edition</w:t>
            </w:r>
          </w:p>
        </w:tc>
        <w:tc>
          <w:tcPr>
            <w:tcW w:w="1773" w:type="dxa"/>
          </w:tcPr>
          <w:p w14:paraId="71873428" w14:textId="77777777" w:rsidR="009B1955" w:rsidRPr="00D860CC" w:rsidRDefault="009B1955" w:rsidP="00807EBA">
            <w:pPr>
              <w:rPr>
                <w:rFonts w:ascii="Times New Roman" w:hAnsi="Times New Roman" w:cs="Times New Roman"/>
                <w:sz w:val="16"/>
                <w:szCs w:val="16"/>
              </w:rPr>
            </w:pPr>
            <w:r w:rsidRPr="00D860CC">
              <w:rPr>
                <w:rFonts w:ascii="Times New Roman" w:hAnsi="Times New Roman" w:cs="Times New Roman"/>
                <w:sz w:val="16"/>
                <w:szCs w:val="16"/>
              </w:rPr>
              <w:t>Manual</w:t>
            </w:r>
          </w:p>
        </w:tc>
      </w:tr>
      <w:tr w:rsidR="009B1955" w:rsidRPr="00D860CC" w14:paraId="48504385" w14:textId="77777777" w:rsidTr="00807EBA">
        <w:tc>
          <w:tcPr>
            <w:tcW w:w="2099" w:type="dxa"/>
            <w:vMerge/>
          </w:tcPr>
          <w:p w14:paraId="02D09DBD" w14:textId="77777777" w:rsidR="009B1955" w:rsidRPr="00D860CC" w:rsidRDefault="009B1955" w:rsidP="00807EBA">
            <w:pPr>
              <w:rPr>
                <w:rFonts w:ascii="Times New Roman" w:hAnsi="Times New Roman" w:cs="Times New Roman"/>
                <w:sz w:val="16"/>
                <w:szCs w:val="16"/>
              </w:rPr>
            </w:pPr>
          </w:p>
        </w:tc>
        <w:tc>
          <w:tcPr>
            <w:tcW w:w="1647" w:type="dxa"/>
            <w:vMerge/>
          </w:tcPr>
          <w:p w14:paraId="18400B3E" w14:textId="77777777" w:rsidR="009B1955" w:rsidRPr="00D860CC" w:rsidRDefault="009B1955" w:rsidP="00807EBA">
            <w:pPr>
              <w:rPr>
                <w:rFonts w:ascii="Times New Roman" w:hAnsi="Times New Roman" w:cs="Times New Roman"/>
                <w:sz w:val="16"/>
                <w:szCs w:val="16"/>
              </w:rPr>
            </w:pPr>
          </w:p>
        </w:tc>
        <w:tc>
          <w:tcPr>
            <w:tcW w:w="2342" w:type="dxa"/>
          </w:tcPr>
          <w:p w14:paraId="6BFC0A1D" w14:textId="77777777" w:rsidR="009B1955" w:rsidRPr="00D860CC" w:rsidRDefault="009B1955" w:rsidP="00807EBA">
            <w:pPr>
              <w:rPr>
                <w:rFonts w:ascii="Times New Roman" w:hAnsi="Times New Roman" w:cs="Times New Roman"/>
                <w:sz w:val="16"/>
                <w:szCs w:val="16"/>
              </w:rPr>
            </w:pPr>
            <w:proofErr w:type="spellStart"/>
            <w:r w:rsidRPr="00D860CC">
              <w:rPr>
                <w:rFonts w:ascii="Times New Roman" w:hAnsi="Times New Roman" w:cs="Times New Roman"/>
                <w:sz w:val="16"/>
                <w:szCs w:val="16"/>
              </w:rPr>
              <w:t>Rolstad</w:t>
            </w:r>
            <w:proofErr w:type="spellEnd"/>
            <w:r w:rsidRPr="00D860CC">
              <w:rPr>
                <w:rFonts w:ascii="Times New Roman" w:hAnsi="Times New Roman" w:cs="Times New Roman"/>
                <w:sz w:val="16"/>
                <w:szCs w:val="16"/>
              </w:rPr>
              <w:t xml:space="preserve"> et al. (</w:t>
            </w:r>
            <w:r>
              <w:rPr>
                <w:rFonts w:ascii="Times New Roman" w:hAnsi="Times New Roman" w:cs="Times New Roman"/>
                <w:sz w:val="16"/>
                <w:szCs w:val="16"/>
              </w:rPr>
              <w:t>59</w:t>
            </w:r>
            <w:r w:rsidRPr="00D860CC">
              <w:rPr>
                <w:rFonts w:ascii="Times New Roman" w:hAnsi="Times New Roman" w:cs="Times New Roman"/>
                <w:sz w:val="16"/>
                <w:szCs w:val="16"/>
              </w:rPr>
              <w:t>)</w:t>
            </w:r>
          </w:p>
        </w:tc>
        <w:tc>
          <w:tcPr>
            <w:tcW w:w="801" w:type="dxa"/>
          </w:tcPr>
          <w:p w14:paraId="3F1CDB0B" w14:textId="77777777" w:rsidR="009B1955" w:rsidRPr="00D860CC" w:rsidRDefault="009B1955" w:rsidP="00807EBA">
            <w:pPr>
              <w:rPr>
                <w:rFonts w:ascii="Times New Roman" w:hAnsi="Times New Roman" w:cs="Times New Roman"/>
                <w:sz w:val="16"/>
                <w:szCs w:val="16"/>
              </w:rPr>
            </w:pPr>
            <w:r w:rsidRPr="00D860CC">
              <w:rPr>
                <w:rFonts w:ascii="Times New Roman" w:hAnsi="Times New Roman" w:cs="Times New Roman"/>
                <w:sz w:val="16"/>
                <w:szCs w:val="16"/>
              </w:rPr>
              <w:t>2011</w:t>
            </w:r>
          </w:p>
        </w:tc>
        <w:tc>
          <w:tcPr>
            <w:tcW w:w="5286" w:type="dxa"/>
          </w:tcPr>
          <w:p w14:paraId="510C0D09" w14:textId="77777777" w:rsidR="009B1955" w:rsidRPr="00D860CC" w:rsidRDefault="009B1955" w:rsidP="00807EBA">
            <w:pPr>
              <w:rPr>
                <w:rFonts w:ascii="Times New Roman" w:hAnsi="Times New Roman" w:cs="Times New Roman"/>
                <w:sz w:val="16"/>
                <w:szCs w:val="16"/>
              </w:rPr>
            </w:pPr>
            <w:r w:rsidRPr="00D860CC">
              <w:rPr>
                <w:rFonts w:ascii="Times New Roman" w:hAnsi="Times New Roman" w:cs="Times New Roman"/>
                <w:sz w:val="16"/>
                <w:szCs w:val="16"/>
              </w:rPr>
              <w:t>Response burden and questionnaire length: Is shorter better? A review and meta-analysis</w:t>
            </w:r>
          </w:p>
        </w:tc>
        <w:tc>
          <w:tcPr>
            <w:tcW w:w="1773" w:type="dxa"/>
          </w:tcPr>
          <w:p w14:paraId="565CFC84" w14:textId="77777777" w:rsidR="009B1955" w:rsidRPr="00D860CC" w:rsidRDefault="009B1955" w:rsidP="00807EBA">
            <w:pPr>
              <w:rPr>
                <w:rFonts w:ascii="Times New Roman" w:hAnsi="Times New Roman" w:cs="Times New Roman"/>
                <w:sz w:val="16"/>
                <w:szCs w:val="16"/>
              </w:rPr>
            </w:pPr>
            <w:r w:rsidRPr="00D860CC">
              <w:rPr>
                <w:rFonts w:ascii="Times New Roman" w:hAnsi="Times New Roman" w:cs="Times New Roman"/>
                <w:sz w:val="16"/>
                <w:szCs w:val="16"/>
              </w:rPr>
              <w:t>Article</w:t>
            </w:r>
          </w:p>
        </w:tc>
      </w:tr>
      <w:tr w:rsidR="009B1955" w:rsidRPr="00D860CC" w14:paraId="76E777C1" w14:textId="77777777" w:rsidTr="00807EBA">
        <w:tc>
          <w:tcPr>
            <w:tcW w:w="2099" w:type="dxa"/>
            <w:vMerge/>
          </w:tcPr>
          <w:p w14:paraId="4A3B30EA" w14:textId="77777777" w:rsidR="009B1955" w:rsidRPr="00D860CC" w:rsidRDefault="009B1955" w:rsidP="00807EBA">
            <w:pPr>
              <w:rPr>
                <w:rFonts w:ascii="Times New Roman" w:hAnsi="Times New Roman" w:cs="Times New Roman"/>
                <w:sz w:val="16"/>
                <w:szCs w:val="16"/>
              </w:rPr>
            </w:pPr>
          </w:p>
        </w:tc>
        <w:tc>
          <w:tcPr>
            <w:tcW w:w="1647" w:type="dxa"/>
            <w:vMerge/>
          </w:tcPr>
          <w:p w14:paraId="5BD0548D" w14:textId="77777777" w:rsidR="009B1955" w:rsidRPr="00D860CC" w:rsidRDefault="009B1955" w:rsidP="00807EBA">
            <w:pPr>
              <w:rPr>
                <w:rFonts w:ascii="Times New Roman" w:hAnsi="Times New Roman" w:cs="Times New Roman"/>
                <w:sz w:val="16"/>
                <w:szCs w:val="16"/>
              </w:rPr>
            </w:pPr>
          </w:p>
        </w:tc>
        <w:tc>
          <w:tcPr>
            <w:tcW w:w="2342" w:type="dxa"/>
          </w:tcPr>
          <w:p w14:paraId="6248935E" w14:textId="77777777" w:rsidR="009B1955" w:rsidRPr="00D860CC" w:rsidRDefault="009B1955" w:rsidP="00807EBA">
            <w:pPr>
              <w:rPr>
                <w:rFonts w:ascii="Times New Roman" w:hAnsi="Times New Roman" w:cs="Times New Roman"/>
                <w:sz w:val="16"/>
                <w:szCs w:val="16"/>
              </w:rPr>
            </w:pPr>
            <w:r w:rsidRPr="00D860CC">
              <w:rPr>
                <w:rFonts w:ascii="Times New Roman" w:hAnsi="Times New Roman" w:cs="Times New Roman"/>
                <w:sz w:val="16"/>
                <w:szCs w:val="16"/>
              </w:rPr>
              <w:t>Atkinson et al. (6</w:t>
            </w:r>
            <w:r>
              <w:rPr>
                <w:rFonts w:ascii="Times New Roman" w:hAnsi="Times New Roman" w:cs="Times New Roman"/>
                <w:sz w:val="16"/>
                <w:szCs w:val="16"/>
              </w:rPr>
              <w:t>0</w:t>
            </w:r>
            <w:r w:rsidRPr="00D860CC">
              <w:rPr>
                <w:rFonts w:ascii="Times New Roman" w:hAnsi="Times New Roman" w:cs="Times New Roman"/>
                <w:sz w:val="16"/>
                <w:szCs w:val="16"/>
              </w:rPr>
              <w:t>)</w:t>
            </w:r>
          </w:p>
        </w:tc>
        <w:tc>
          <w:tcPr>
            <w:tcW w:w="801" w:type="dxa"/>
          </w:tcPr>
          <w:p w14:paraId="154A5771" w14:textId="77777777" w:rsidR="009B1955" w:rsidRPr="00D860CC" w:rsidRDefault="009B1955" w:rsidP="00807EBA">
            <w:pPr>
              <w:rPr>
                <w:rFonts w:ascii="Times New Roman" w:hAnsi="Times New Roman" w:cs="Times New Roman"/>
                <w:sz w:val="16"/>
                <w:szCs w:val="16"/>
              </w:rPr>
            </w:pPr>
            <w:r w:rsidRPr="00D860CC">
              <w:rPr>
                <w:rFonts w:ascii="Times New Roman" w:hAnsi="Times New Roman" w:cs="Times New Roman"/>
                <w:sz w:val="16"/>
                <w:szCs w:val="16"/>
              </w:rPr>
              <w:t>2019</w:t>
            </w:r>
          </w:p>
        </w:tc>
        <w:tc>
          <w:tcPr>
            <w:tcW w:w="5286" w:type="dxa"/>
          </w:tcPr>
          <w:p w14:paraId="600938CE" w14:textId="77777777" w:rsidR="009B1955" w:rsidRPr="00D860CC" w:rsidRDefault="009B1955" w:rsidP="00807EBA">
            <w:pPr>
              <w:rPr>
                <w:rFonts w:ascii="Times New Roman" w:hAnsi="Times New Roman" w:cs="Times New Roman"/>
                <w:sz w:val="16"/>
                <w:szCs w:val="16"/>
              </w:rPr>
            </w:pPr>
            <w:r w:rsidRPr="00D860CC">
              <w:rPr>
                <w:rFonts w:ascii="Times New Roman" w:hAnsi="Times New Roman" w:cs="Times New Roman"/>
                <w:sz w:val="16"/>
                <w:szCs w:val="16"/>
              </w:rPr>
              <w:t>Perceptions of Response Burden Associated with Completion of Patient-Reported Outcome Assessments in Oncology</w:t>
            </w:r>
          </w:p>
        </w:tc>
        <w:tc>
          <w:tcPr>
            <w:tcW w:w="1773" w:type="dxa"/>
          </w:tcPr>
          <w:p w14:paraId="5CD51DDC" w14:textId="77777777" w:rsidR="009B1955" w:rsidRPr="00D860CC" w:rsidRDefault="009B1955" w:rsidP="00807EBA">
            <w:pPr>
              <w:rPr>
                <w:rFonts w:ascii="Times New Roman" w:hAnsi="Times New Roman" w:cs="Times New Roman"/>
                <w:sz w:val="16"/>
                <w:szCs w:val="16"/>
              </w:rPr>
            </w:pPr>
            <w:r w:rsidRPr="00D860CC">
              <w:rPr>
                <w:rFonts w:ascii="Times New Roman" w:hAnsi="Times New Roman" w:cs="Times New Roman"/>
                <w:sz w:val="16"/>
                <w:szCs w:val="16"/>
              </w:rPr>
              <w:t>Article</w:t>
            </w:r>
          </w:p>
        </w:tc>
      </w:tr>
      <w:tr w:rsidR="009B1955" w:rsidRPr="00D860CC" w14:paraId="5D85788D" w14:textId="77777777" w:rsidTr="00807EBA">
        <w:tc>
          <w:tcPr>
            <w:tcW w:w="2099" w:type="dxa"/>
            <w:vMerge/>
          </w:tcPr>
          <w:p w14:paraId="28EA2A77" w14:textId="77777777" w:rsidR="009B1955" w:rsidRPr="00D860CC" w:rsidRDefault="009B1955" w:rsidP="00807EBA">
            <w:pPr>
              <w:rPr>
                <w:rFonts w:ascii="Times New Roman" w:hAnsi="Times New Roman" w:cs="Times New Roman"/>
                <w:sz w:val="16"/>
                <w:szCs w:val="16"/>
              </w:rPr>
            </w:pPr>
          </w:p>
        </w:tc>
        <w:tc>
          <w:tcPr>
            <w:tcW w:w="1647" w:type="dxa"/>
            <w:vMerge w:val="restart"/>
          </w:tcPr>
          <w:p w14:paraId="3A6BDABE" w14:textId="77777777" w:rsidR="009B1955" w:rsidRPr="00D860CC" w:rsidRDefault="009B1955" w:rsidP="00807EBA">
            <w:pPr>
              <w:rPr>
                <w:rFonts w:ascii="Times New Roman" w:hAnsi="Times New Roman" w:cs="Times New Roman"/>
                <w:sz w:val="16"/>
                <w:szCs w:val="16"/>
              </w:rPr>
            </w:pPr>
            <w:r w:rsidRPr="00D860CC">
              <w:rPr>
                <w:rFonts w:ascii="Times New Roman" w:hAnsi="Times New Roman" w:cs="Times New Roman"/>
                <w:sz w:val="16"/>
                <w:szCs w:val="16"/>
              </w:rPr>
              <w:t>Methods to minimize patient burden</w:t>
            </w:r>
          </w:p>
        </w:tc>
        <w:tc>
          <w:tcPr>
            <w:tcW w:w="2342" w:type="dxa"/>
          </w:tcPr>
          <w:p w14:paraId="56B377C0" w14:textId="77777777" w:rsidR="009B1955" w:rsidRPr="00D860CC" w:rsidRDefault="009B1955" w:rsidP="00807EBA">
            <w:pPr>
              <w:rPr>
                <w:rFonts w:ascii="Times New Roman" w:hAnsi="Times New Roman" w:cs="Times New Roman"/>
                <w:sz w:val="16"/>
                <w:szCs w:val="16"/>
              </w:rPr>
            </w:pPr>
            <w:proofErr w:type="spellStart"/>
            <w:r w:rsidRPr="00D860CC">
              <w:rPr>
                <w:rFonts w:ascii="Times New Roman" w:hAnsi="Times New Roman" w:cs="Times New Roman"/>
                <w:sz w:val="16"/>
                <w:szCs w:val="16"/>
              </w:rPr>
              <w:t>Basch</w:t>
            </w:r>
            <w:proofErr w:type="spellEnd"/>
            <w:r w:rsidRPr="00D860CC">
              <w:rPr>
                <w:rFonts w:ascii="Times New Roman" w:hAnsi="Times New Roman" w:cs="Times New Roman"/>
                <w:sz w:val="16"/>
                <w:szCs w:val="16"/>
              </w:rPr>
              <w:t xml:space="preserve"> et al. (4</w:t>
            </w:r>
            <w:r>
              <w:rPr>
                <w:rFonts w:ascii="Times New Roman" w:hAnsi="Times New Roman" w:cs="Times New Roman"/>
                <w:sz w:val="16"/>
                <w:szCs w:val="16"/>
              </w:rPr>
              <w:t>6</w:t>
            </w:r>
            <w:r w:rsidRPr="00D860CC">
              <w:rPr>
                <w:rFonts w:ascii="Times New Roman" w:hAnsi="Times New Roman" w:cs="Times New Roman"/>
                <w:sz w:val="16"/>
                <w:szCs w:val="16"/>
              </w:rPr>
              <w:t>)*</w:t>
            </w:r>
          </w:p>
        </w:tc>
        <w:tc>
          <w:tcPr>
            <w:tcW w:w="801" w:type="dxa"/>
          </w:tcPr>
          <w:p w14:paraId="3E05DA97" w14:textId="77777777" w:rsidR="009B1955" w:rsidRPr="00D860CC" w:rsidRDefault="009B1955" w:rsidP="00807EBA">
            <w:pPr>
              <w:rPr>
                <w:rFonts w:ascii="Times New Roman" w:hAnsi="Times New Roman" w:cs="Times New Roman"/>
                <w:sz w:val="16"/>
                <w:szCs w:val="16"/>
              </w:rPr>
            </w:pPr>
            <w:r w:rsidRPr="00D860CC">
              <w:rPr>
                <w:rFonts w:ascii="Times New Roman" w:hAnsi="Times New Roman" w:cs="Times New Roman"/>
                <w:sz w:val="16"/>
                <w:szCs w:val="16"/>
              </w:rPr>
              <w:t>2016</w:t>
            </w:r>
          </w:p>
        </w:tc>
        <w:tc>
          <w:tcPr>
            <w:tcW w:w="5286" w:type="dxa"/>
          </w:tcPr>
          <w:p w14:paraId="019FA488" w14:textId="77777777" w:rsidR="009B1955" w:rsidRPr="00D860CC" w:rsidRDefault="009B1955" w:rsidP="00807EBA">
            <w:pPr>
              <w:rPr>
                <w:rFonts w:ascii="Times New Roman" w:hAnsi="Times New Roman" w:cs="Times New Roman"/>
                <w:sz w:val="16"/>
                <w:szCs w:val="16"/>
              </w:rPr>
            </w:pPr>
            <w:r w:rsidRPr="00D860CC">
              <w:rPr>
                <w:rFonts w:ascii="Times New Roman" w:hAnsi="Times New Roman" w:cs="Times New Roman"/>
                <w:sz w:val="16"/>
                <w:szCs w:val="16"/>
              </w:rPr>
              <w:t>Methods for Implementing and Reporting Patient-reported Outcome (PRO) Measures of Symptomatic Adverse Events in Cancer Clinical Trials</w:t>
            </w:r>
          </w:p>
        </w:tc>
        <w:tc>
          <w:tcPr>
            <w:tcW w:w="1773" w:type="dxa"/>
          </w:tcPr>
          <w:p w14:paraId="6477A86E" w14:textId="77777777" w:rsidR="009B1955" w:rsidRPr="00D860CC" w:rsidRDefault="009B1955" w:rsidP="00807EBA">
            <w:pPr>
              <w:rPr>
                <w:rFonts w:ascii="Times New Roman" w:hAnsi="Times New Roman" w:cs="Times New Roman"/>
                <w:sz w:val="16"/>
                <w:szCs w:val="16"/>
              </w:rPr>
            </w:pPr>
            <w:r w:rsidRPr="00D860CC">
              <w:rPr>
                <w:rFonts w:ascii="Times New Roman" w:hAnsi="Times New Roman" w:cs="Times New Roman"/>
                <w:sz w:val="16"/>
                <w:szCs w:val="16"/>
              </w:rPr>
              <w:t>Article</w:t>
            </w:r>
          </w:p>
        </w:tc>
      </w:tr>
      <w:tr w:rsidR="009B1955" w:rsidRPr="00D860CC" w14:paraId="0DAB68AD" w14:textId="77777777" w:rsidTr="00807EBA">
        <w:tc>
          <w:tcPr>
            <w:tcW w:w="2099" w:type="dxa"/>
            <w:vMerge/>
          </w:tcPr>
          <w:p w14:paraId="646E9070" w14:textId="77777777" w:rsidR="009B1955" w:rsidRPr="00D860CC" w:rsidRDefault="009B1955" w:rsidP="00807EBA">
            <w:pPr>
              <w:rPr>
                <w:rFonts w:ascii="Times New Roman" w:hAnsi="Times New Roman" w:cs="Times New Roman"/>
                <w:sz w:val="16"/>
                <w:szCs w:val="16"/>
              </w:rPr>
            </w:pPr>
          </w:p>
        </w:tc>
        <w:tc>
          <w:tcPr>
            <w:tcW w:w="1647" w:type="dxa"/>
            <w:vMerge/>
          </w:tcPr>
          <w:p w14:paraId="00A80304" w14:textId="77777777" w:rsidR="009B1955" w:rsidRPr="00D860CC" w:rsidRDefault="009B1955" w:rsidP="00807EBA">
            <w:pPr>
              <w:rPr>
                <w:rFonts w:ascii="Times New Roman" w:hAnsi="Times New Roman" w:cs="Times New Roman"/>
                <w:sz w:val="16"/>
                <w:szCs w:val="16"/>
              </w:rPr>
            </w:pPr>
          </w:p>
        </w:tc>
        <w:tc>
          <w:tcPr>
            <w:tcW w:w="2342" w:type="dxa"/>
          </w:tcPr>
          <w:p w14:paraId="48885A43" w14:textId="77777777" w:rsidR="009B1955" w:rsidRPr="00D860CC" w:rsidRDefault="009B1955" w:rsidP="00807EBA">
            <w:pPr>
              <w:rPr>
                <w:rFonts w:ascii="Times New Roman" w:hAnsi="Times New Roman" w:cs="Times New Roman"/>
                <w:sz w:val="16"/>
                <w:szCs w:val="16"/>
              </w:rPr>
            </w:pPr>
            <w:proofErr w:type="spellStart"/>
            <w:r w:rsidRPr="00D860CC">
              <w:rPr>
                <w:rFonts w:ascii="Times New Roman" w:hAnsi="Times New Roman" w:cs="Times New Roman"/>
                <w:sz w:val="16"/>
                <w:szCs w:val="16"/>
              </w:rPr>
              <w:t>Piccinin</w:t>
            </w:r>
            <w:proofErr w:type="spellEnd"/>
            <w:r w:rsidRPr="00D860CC">
              <w:rPr>
                <w:rFonts w:ascii="Times New Roman" w:hAnsi="Times New Roman" w:cs="Times New Roman"/>
                <w:sz w:val="16"/>
                <w:szCs w:val="16"/>
              </w:rPr>
              <w:t xml:space="preserve"> et al. (</w:t>
            </w:r>
            <w:r>
              <w:rPr>
                <w:rFonts w:ascii="Times New Roman" w:hAnsi="Times New Roman" w:cs="Times New Roman"/>
                <w:sz w:val="16"/>
                <w:szCs w:val="16"/>
              </w:rPr>
              <w:t>38</w:t>
            </w:r>
            <w:r w:rsidRPr="00D860CC">
              <w:rPr>
                <w:rFonts w:ascii="Times New Roman" w:hAnsi="Times New Roman" w:cs="Times New Roman"/>
                <w:sz w:val="16"/>
                <w:szCs w:val="16"/>
              </w:rPr>
              <w:t xml:space="preserve">)* </w:t>
            </w:r>
          </w:p>
        </w:tc>
        <w:tc>
          <w:tcPr>
            <w:tcW w:w="801" w:type="dxa"/>
          </w:tcPr>
          <w:p w14:paraId="31FBA3D1" w14:textId="77777777" w:rsidR="009B1955" w:rsidRPr="00D860CC" w:rsidRDefault="009B1955" w:rsidP="00807EBA">
            <w:pPr>
              <w:rPr>
                <w:rFonts w:ascii="Times New Roman" w:hAnsi="Times New Roman" w:cs="Times New Roman"/>
                <w:sz w:val="16"/>
                <w:szCs w:val="16"/>
              </w:rPr>
            </w:pPr>
            <w:r w:rsidRPr="00D860CC">
              <w:rPr>
                <w:rFonts w:ascii="Times New Roman" w:hAnsi="Times New Roman" w:cs="Times New Roman"/>
                <w:sz w:val="16"/>
                <w:szCs w:val="16"/>
              </w:rPr>
              <w:t>2019</w:t>
            </w:r>
          </w:p>
        </w:tc>
        <w:tc>
          <w:tcPr>
            <w:tcW w:w="5286" w:type="dxa"/>
          </w:tcPr>
          <w:p w14:paraId="1DC86850" w14:textId="77777777" w:rsidR="009B1955" w:rsidRPr="00D860CC" w:rsidRDefault="009B1955" w:rsidP="00807EBA">
            <w:pPr>
              <w:rPr>
                <w:rFonts w:ascii="Times New Roman" w:hAnsi="Times New Roman" w:cs="Times New Roman"/>
                <w:sz w:val="16"/>
                <w:szCs w:val="16"/>
              </w:rPr>
            </w:pPr>
            <w:r w:rsidRPr="00D860CC">
              <w:rPr>
                <w:rFonts w:ascii="Times New Roman" w:hAnsi="Times New Roman" w:cs="Times New Roman"/>
                <w:sz w:val="16"/>
                <w:szCs w:val="16"/>
              </w:rPr>
              <w:t>PCN296 Development of scientific guidelines for use of the EORTC Item Library in cancer clinical trials</w:t>
            </w:r>
          </w:p>
        </w:tc>
        <w:tc>
          <w:tcPr>
            <w:tcW w:w="1773" w:type="dxa"/>
          </w:tcPr>
          <w:p w14:paraId="2C56814E" w14:textId="77777777" w:rsidR="009B1955" w:rsidRPr="00D860CC" w:rsidRDefault="009B1955" w:rsidP="00807EBA">
            <w:pPr>
              <w:rPr>
                <w:rFonts w:ascii="Times New Roman" w:hAnsi="Times New Roman" w:cs="Times New Roman"/>
                <w:sz w:val="16"/>
                <w:szCs w:val="16"/>
              </w:rPr>
            </w:pPr>
            <w:r w:rsidRPr="00D860CC">
              <w:rPr>
                <w:rFonts w:ascii="Times New Roman" w:hAnsi="Times New Roman" w:cs="Times New Roman"/>
                <w:sz w:val="16"/>
                <w:szCs w:val="16"/>
              </w:rPr>
              <w:t>Conference abstract</w:t>
            </w:r>
          </w:p>
        </w:tc>
      </w:tr>
      <w:tr w:rsidR="009B1955" w:rsidRPr="00D860CC" w14:paraId="74D95351" w14:textId="77777777" w:rsidTr="00807EBA">
        <w:tc>
          <w:tcPr>
            <w:tcW w:w="2099" w:type="dxa"/>
            <w:vMerge/>
          </w:tcPr>
          <w:p w14:paraId="03DB7870" w14:textId="77777777" w:rsidR="009B1955" w:rsidRPr="00D860CC" w:rsidRDefault="009B1955" w:rsidP="00807EBA">
            <w:pPr>
              <w:rPr>
                <w:rFonts w:ascii="Times New Roman" w:hAnsi="Times New Roman" w:cs="Times New Roman"/>
                <w:sz w:val="16"/>
                <w:szCs w:val="16"/>
              </w:rPr>
            </w:pPr>
          </w:p>
        </w:tc>
        <w:tc>
          <w:tcPr>
            <w:tcW w:w="1647" w:type="dxa"/>
            <w:vMerge/>
          </w:tcPr>
          <w:p w14:paraId="15A80E06" w14:textId="77777777" w:rsidR="009B1955" w:rsidRPr="00D860CC" w:rsidRDefault="009B1955" w:rsidP="00807EBA">
            <w:pPr>
              <w:rPr>
                <w:rFonts w:ascii="Times New Roman" w:hAnsi="Times New Roman" w:cs="Times New Roman"/>
                <w:sz w:val="16"/>
                <w:szCs w:val="16"/>
              </w:rPr>
            </w:pPr>
          </w:p>
        </w:tc>
        <w:tc>
          <w:tcPr>
            <w:tcW w:w="2342" w:type="dxa"/>
          </w:tcPr>
          <w:p w14:paraId="6B2EAB88" w14:textId="77777777" w:rsidR="009B1955" w:rsidRPr="00D860CC" w:rsidRDefault="009B1955" w:rsidP="00807EBA">
            <w:pPr>
              <w:rPr>
                <w:rFonts w:ascii="Times New Roman" w:hAnsi="Times New Roman" w:cs="Times New Roman"/>
                <w:sz w:val="16"/>
                <w:szCs w:val="16"/>
              </w:rPr>
            </w:pPr>
            <w:proofErr w:type="spellStart"/>
            <w:r w:rsidRPr="00D860CC">
              <w:rPr>
                <w:rFonts w:ascii="Times New Roman" w:hAnsi="Times New Roman" w:cs="Times New Roman"/>
                <w:sz w:val="16"/>
                <w:szCs w:val="16"/>
              </w:rPr>
              <w:t>Piccinin</w:t>
            </w:r>
            <w:proofErr w:type="spellEnd"/>
            <w:r w:rsidRPr="00D860CC">
              <w:rPr>
                <w:rFonts w:ascii="Times New Roman" w:hAnsi="Times New Roman" w:cs="Times New Roman"/>
                <w:sz w:val="16"/>
                <w:szCs w:val="16"/>
              </w:rPr>
              <w:t xml:space="preserve"> et al. (</w:t>
            </w:r>
            <w:r>
              <w:rPr>
                <w:rFonts w:ascii="Times New Roman" w:hAnsi="Times New Roman" w:cs="Times New Roman"/>
                <w:sz w:val="16"/>
                <w:szCs w:val="16"/>
              </w:rPr>
              <w:t>39</w:t>
            </w:r>
            <w:r w:rsidRPr="00D860CC">
              <w:rPr>
                <w:rFonts w:ascii="Times New Roman" w:hAnsi="Times New Roman" w:cs="Times New Roman"/>
                <w:sz w:val="16"/>
                <w:szCs w:val="16"/>
              </w:rPr>
              <w:t>)*</w:t>
            </w:r>
          </w:p>
        </w:tc>
        <w:tc>
          <w:tcPr>
            <w:tcW w:w="801" w:type="dxa"/>
          </w:tcPr>
          <w:p w14:paraId="787778D0" w14:textId="77777777" w:rsidR="009B1955" w:rsidRPr="00D860CC" w:rsidRDefault="009B1955" w:rsidP="00807EBA">
            <w:pPr>
              <w:rPr>
                <w:rFonts w:ascii="Times New Roman" w:hAnsi="Times New Roman" w:cs="Times New Roman"/>
                <w:sz w:val="16"/>
                <w:szCs w:val="16"/>
              </w:rPr>
            </w:pPr>
            <w:r w:rsidRPr="00D860CC">
              <w:rPr>
                <w:rFonts w:ascii="Times New Roman" w:hAnsi="Times New Roman" w:cs="Times New Roman"/>
                <w:sz w:val="16"/>
                <w:szCs w:val="16"/>
              </w:rPr>
              <w:t>2022</w:t>
            </w:r>
          </w:p>
        </w:tc>
        <w:tc>
          <w:tcPr>
            <w:tcW w:w="5286" w:type="dxa"/>
          </w:tcPr>
          <w:p w14:paraId="1A62BFDF" w14:textId="77777777" w:rsidR="009B1955" w:rsidRPr="00D860CC" w:rsidRDefault="009B1955" w:rsidP="00807EBA">
            <w:pPr>
              <w:rPr>
                <w:rFonts w:ascii="Times New Roman" w:hAnsi="Times New Roman" w:cs="Times New Roman"/>
                <w:sz w:val="16"/>
                <w:szCs w:val="16"/>
              </w:rPr>
            </w:pPr>
            <w:r w:rsidRPr="00D860CC">
              <w:rPr>
                <w:rFonts w:ascii="Times New Roman" w:hAnsi="Times New Roman" w:cs="Times New Roman"/>
                <w:sz w:val="16"/>
                <w:szCs w:val="16"/>
              </w:rPr>
              <w:t>EORTC Quality of Life Group Item Library User Guidelines; First Edition</w:t>
            </w:r>
          </w:p>
        </w:tc>
        <w:tc>
          <w:tcPr>
            <w:tcW w:w="1773" w:type="dxa"/>
          </w:tcPr>
          <w:p w14:paraId="59678EAC" w14:textId="77777777" w:rsidR="009B1955" w:rsidRPr="00D860CC" w:rsidRDefault="009B1955" w:rsidP="00807EBA">
            <w:pPr>
              <w:rPr>
                <w:rFonts w:ascii="Times New Roman" w:hAnsi="Times New Roman" w:cs="Times New Roman"/>
                <w:sz w:val="16"/>
                <w:szCs w:val="16"/>
              </w:rPr>
            </w:pPr>
            <w:r w:rsidRPr="00D860CC">
              <w:rPr>
                <w:rFonts w:ascii="Times New Roman" w:hAnsi="Times New Roman" w:cs="Times New Roman"/>
                <w:sz w:val="16"/>
                <w:szCs w:val="16"/>
              </w:rPr>
              <w:t>Manual</w:t>
            </w:r>
          </w:p>
        </w:tc>
      </w:tr>
      <w:tr w:rsidR="009B1955" w:rsidRPr="00D860CC" w14:paraId="1B645541" w14:textId="77777777" w:rsidTr="00807EBA">
        <w:tc>
          <w:tcPr>
            <w:tcW w:w="2099" w:type="dxa"/>
            <w:vMerge w:val="restart"/>
          </w:tcPr>
          <w:p w14:paraId="505E4DC6" w14:textId="77777777" w:rsidR="009B1955" w:rsidRPr="00D860CC" w:rsidRDefault="009B1955" w:rsidP="00807EBA">
            <w:pPr>
              <w:rPr>
                <w:rFonts w:ascii="Times New Roman" w:hAnsi="Times New Roman" w:cs="Times New Roman"/>
                <w:sz w:val="16"/>
                <w:szCs w:val="16"/>
              </w:rPr>
            </w:pPr>
            <w:r w:rsidRPr="00D860CC">
              <w:rPr>
                <w:rFonts w:ascii="Times New Roman" w:hAnsi="Times New Roman" w:cs="Times New Roman"/>
                <w:sz w:val="16"/>
                <w:szCs w:val="16"/>
              </w:rPr>
              <w:t>How should item lists be used in conjunction with static measures and/or other measurement systems?</w:t>
            </w:r>
          </w:p>
        </w:tc>
        <w:tc>
          <w:tcPr>
            <w:tcW w:w="1647" w:type="dxa"/>
            <w:vMerge w:val="restart"/>
          </w:tcPr>
          <w:p w14:paraId="4CDA8ECE" w14:textId="77777777" w:rsidR="009B1955" w:rsidRPr="00D860CC" w:rsidRDefault="009B1955" w:rsidP="00807EBA">
            <w:pPr>
              <w:rPr>
                <w:rFonts w:ascii="Times New Roman" w:hAnsi="Times New Roman" w:cs="Times New Roman"/>
                <w:sz w:val="16"/>
                <w:szCs w:val="16"/>
              </w:rPr>
            </w:pPr>
            <w:r w:rsidRPr="00D860CC">
              <w:rPr>
                <w:rFonts w:ascii="Times New Roman" w:hAnsi="Times New Roman" w:cs="Times New Roman"/>
                <w:sz w:val="16"/>
                <w:szCs w:val="16"/>
              </w:rPr>
              <w:t>To assure measurement of core outcomes</w:t>
            </w:r>
          </w:p>
        </w:tc>
        <w:tc>
          <w:tcPr>
            <w:tcW w:w="2342" w:type="dxa"/>
          </w:tcPr>
          <w:p w14:paraId="77A5418F" w14:textId="77777777" w:rsidR="009B1955" w:rsidRPr="00D860CC" w:rsidRDefault="009B1955" w:rsidP="00807EBA">
            <w:pPr>
              <w:rPr>
                <w:rFonts w:ascii="Times New Roman" w:hAnsi="Times New Roman" w:cs="Times New Roman"/>
                <w:sz w:val="16"/>
                <w:szCs w:val="16"/>
              </w:rPr>
            </w:pPr>
            <w:r w:rsidRPr="00D860CC">
              <w:rPr>
                <w:rFonts w:ascii="Times New Roman" w:hAnsi="Times New Roman" w:cs="Times New Roman"/>
                <w:sz w:val="16"/>
                <w:szCs w:val="16"/>
              </w:rPr>
              <w:t>FDA (3</w:t>
            </w:r>
            <w:r>
              <w:rPr>
                <w:rFonts w:ascii="Times New Roman" w:hAnsi="Times New Roman" w:cs="Times New Roman"/>
                <w:sz w:val="16"/>
                <w:szCs w:val="16"/>
              </w:rPr>
              <w:t>3</w:t>
            </w:r>
            <w:r w:rsidRPr="00D860CC">
              <w:rPr>
                <w:rFonts w:ascii="Times New Roman" w:hAnsi="Times New Roman" w:cs="Times New Roman"/>
                <w:sz w:val="16"/>
                <w:szCs w:val="16"/>
              </w:rPr>
              <w:t>)*</w:t>
            </w:r>
          </w:p>
        </w:tc>
        <w:tc>
          <w:tcPr>
            <w:tcW w:w="801" w:type="dxa"/>
          </w:tcPr>
          <w:p w14:paraId="19D10B27" w14:textId="77777777" w:rsidR="009B1955" w:rsidRPr="00D860CC" w:rsidRDefault="009B1955" w:rsidP="00807EBA">
            <w:pPr>
              <w:rPr>
                <w:rFonts w:ascii="Times New Roman" w:hAnsi="Times New Roman" w:cs="Times New Roman"/>
                <w:sz w:val="16"/>
                <w:szCs w:val="16"/>
              </w:rPr>
            </w:pPr>
            <w:r w:rsidRPr="00D860CC">
              <w:rPr>
                <w:rFonts w:ascii="Times New Roman" w:hAnsi="Times New Roman" w:cs="Times New Roman"/>
                <w:sz w:val="16"/>
                <w:szCs w:val="16"/>
              </w:rPr>
              <w:t>2021</w:t>
            </w:r>
          </w:p>
        </w:tc>
        <w:tc>
          <w:tcPr>
            <w:tcW w:w="5286" w:type="dxa"/>
          </w:tcPr>
          <w:p w14:paraId="03A5A8EB" w14:textId="77777777" w:rsidR="009B1955" w:rsidRPr="00D860CC" w:rsidRDefault="009B1955" w:rsidP="00807EBA">
            <w:pPr>
              <w:rPr>
                <w:rFonts w:ascii="Times New Roman" w:hAnsi="Times New Roman" w:cs="Times New Roman"/>
                <w:sz w:val="16"/>
                <w:szCs w:val="16"/>
              </w:rPr>
            </w:pPr>
            <w:r w:rsidRPr="00D860CC">
              <w:rPr>
                <w:rFonts w:ascii="Times New Roman" w:hAnsi="Times New Roman" w:cs="Times New Roman"/>
                <w:sz w:val="16"/>
                <w:szCs w:val="16"/>
              </w:rPr>
              <w:t>Core Patient-Reported Outcomes in Cancer Clinical Trials Guidance for Industry DRAFT GUIDANCE</w:t>
            </w:r>
          </w:p>
        </w:tc>
        <w:tc>
          <w:tcPr>
            <w:tcW w:w="1773" w:type="dxa"/>
          </w:tcPr>
          <w:p w14:paraId="054DF95F" w14:textId="77777777" w:rsidR="009B1955" w:rsidRPr="00D860CC" w:rsidRDefault="009B1955" w:rsidP="00807EBA">
            <w:pPr>
              <w:rPr>
                <w:rFonts w:ascii="Times New Roman" w:hAnsi="Times New Roman" w:cs="Times New Roman"/>
                <w:sz w:val="16"/>
                <w:szCs w:val="16"/>
              </w:rPr>
            </w:pPr>
            <w:r w:rsidRPr="00D860CC">
              <w:rPr>
                <w:rFonts w:ascii="Times New Roman" w:hAnsi="Times New Roman" w:cs="Times New Roman"/>
                <w:sz w:val="16"/>
                <w:szCs w:val="16"/>
              </w:rPr>
              <w:t>Guidance document</w:t>
            </w:r>
          </w:p>
        </w:tc>
      </w:tr>
      <w:tr w:rsidR="009B1955" w:rsidRPr="00D860CC" w14:paraId="0B9B86AE" w14:textId="77777777" w:rsidTr="00807EBA">
        <w:tc>
          <w:tcPr>
            <w:tcW w:w="2099" w:type="dxa"/>
            <w:vMerge/>
          </w:tcPr>
          <w:p w14:paraId="73276ABD" w14:textId="77777777" w:rsidR="009B1955" w:rsidRPr="00D860CC" w:rsidRDefault="009B1955" w:rsidP="00807EBA">
            <w:pPr>
              <w:rPr>
                <w:rFonts w:ascii="Times New Roman" w:hAnsi="Times New Roman" w:cs="Times New Roman"/>
                <w:sz w:val="16"/>
                <w:szCs w:val="16"/>
              </w:rPr>
            </w:pPr>
          </w:p>
        </w:tc>
        <w:tc>
          <w:tcPr>
            <w:tcW w:w="1647" w:type="dxa"/>
            <w:vMerge/>
          </w:tcPr>
          <w:p w14:paraId="4A36C37B" w14:textId="77777777" w:rsidR="009B1955" w:rsidRPr="00D860CC" w:rsidRDefault="009B1955" w:rsidP="00807EBA">
            <w:pPr>
              <w:rPr>
                <w:rFonts w:ascii="Times New Roman" w:hAnsi="Times New Roman" w:cs="Times New Roman"/>
                <w:sz w:val="16"/>
                <w:szCs w:val="16"/>
              </w:rPr>
            </w:pPr>
          </w:p>
        </w:tc>
        <w:tc>
          <w:tcPr>
            <w:tcW w:w="2342" w:type="dxa"/>
          </w:tcPr>
          <w:p w14:paraId="31F61209" w14:textId="77777777" w:rsidR="009B1955" w:rsidRPr="00D860CC" w:rsidRDefault="009B1955" w:rsidP="00807EBA">
            <w:pPr>
              <w:rPr>
                <w:rFonts w:ascii="Times New Roman" w:hAnsi="Times New Roman" w:cs="Times New Roman"/>
                <w:sz w:val="16"/>
                <w:szCs w:val="16"/>
              </w:rPr>
            </w:pPr>
            <w:r w:rsidRPr="00D860CC">
              <w:rPr>
                <w:rFonts w:ascii="Times New Roman" w:hAnsi="Times New Roman" w:cs="Times New Roman"/>
                <w:sz w:val="16"/>
                <w:szCs w:val="16"/>
              </w:rPr>
              <w:t>Reeve et al. (6</w:t>
            </w:r>
            <w:r>
              <w:rPr>
                <w:rFonts w:ascii="Times New Roman" w:hAnsi="Times New Roman" w:cs="Times New Roman"/>
                <w:sz w:val="16"/>
                <w:szCs w:val="16"/>
              </w:rPr>
              <w:t>1</w:t>
            </w:r>
            <w:r w:rsidRPr="00D860CC">
              <w:rPr>
                <w:rFonts w:ascii="Times New Roman" w:hAnsi="Times New Roman" w:cs="Times New Roman"/>
                <w:sz w:val="16"/>
                <w:szCs w:val="16"/>
              </w:rPr>
              <w:t>)</w:t>
            </w:r>
          </w:p>
        </w:tc>
        <w:tc>
          <w:tcPr>
            <w:tcW w:w="801" w:type="dxa"/>
          </w:tcPr>
          <w:p w14:paraId="481EC0A1" w14:textId="77777777" w:rsidR="009B1955" w:rsidRPr="00D860CC" w:rsidRDefault="009B1955" w:rsidP="00807EBA">
            <w:pPr>
              <w:rPr>
                <w:rFonts w:ascii="Times New Roman" w:hAnsi="Times New Roman" w:cs="Times New Roman"/>
                <w:sz w:val="16"/>
                <w:szCs w:val="16"/>
              </w:rPr>
            </w:pPr>
            <w:r w:rsidRPr="00D860CC">
              <w:rPr>
                <w:rFonts w:ascii="Times New Roman" w:hAnsi="Times New Roman" w:cs="Times New Roman"/>
                <w:sz w:val="16"/>
                <w:szCs w:val="16"/>
              </w:rPr>
              <w:t>2014</w:t>
            </w:r>
          </w:p>
        </w:tc>
        <w:tc>
          <w:tcPr>
            <w:tcW w:w="5286" w:type="dxa"/>
          </w:tcPr>
          <w:p w14:paraId="5ED0C6C4" w14:textId="77777777" w:rsidR="009B1955" w:rsidRPr="00D860CC" w:rsidRDefault="009B1955" w:rsidP="00807EBA">
            <w:pPr>
              <w:rPr>
                <w:rFonts w:ascii="Times New Roman" w:hAnsi="Times New Roman" w:cs="Times New Roman"/>
                <w:sz w:val="16"/>
                <w:szCs w:val="16"/>
              </w:rPr>
            </w:pPr>
            <w:r w:rsidRPr="00D860CC">
              <w:rPr>
                <w:rFonts w:ascii="Times New Roman" w:hAnsi="Times New Roman" w:cs="Times New Roman"/>
                <w:sz w:val="16"/>
                <w:szCs w:val="16"/>
              </w:rPr>
              <w:t>Recommended patient-reported core set of symptoms to measure in adult cancer treatment trials</w:t>
            </w:r>
          </w:p>
        </w:tc>
        <w:tc>
          <w:tcPr>
            <w:tcW w:w="1773" w:type="dxa"/>
          </w:tcPr>
          <w:p w14:paraId="0A6624B9" w14:textId="77777777" w:rsidR="009B1955" w:rsidRPr="00D860CC" w:rsidRDefault="009B1955" w:rsidP="00807EBA">
            <w:pPr>
              <w:rPr>
                <w:rFonts w:ascii="Times New Roman" w:hAnsi="Times New Roman" w:cs="Times New Roman"/>
                <w:sz w:val="16"/>
                <w:szCs w:val="16"/>
              </w:rPr>
            </w:pPr>
            <w:r w:rsidRPr="00D860CC">
              <w:rPr>
                <w:rFonts w:ascii="Times New Roman" w:hAnsi="Times New Roman" w:cs="Times New Roman"/>
                <w:sz w:val="16"/>
                <w:szCs w:val="16"/>
              </w:rPr>
              <w:t>Article</w:t>
            </w:r>
          </w:p>
        </w:tc>
      </w:tr>
      <w:tr w:rsidR="009B1955" w:rsidRPr="00D860CC" w14:paraId="1DCDC69D" w14:textId="77777777" w:rsidTr="00807EBA">
        <w:tc>
          <w:tcPr>
            <w:tcW w:w="2099" w:type="dxa"/>
            <w:vMerge/>
          </w:tcPr>
          <w:p w14:paraId="688A80E6" w14:textId="77777777" w:rsidR="009B1955" w:rsidRPr="00D860CC" w:rsidRDefault="009B1955" w:rsidP="00807EBA">
            <w:pPr>
              <w:rPr>
                <w:rFonts w:ascii="Times New Roman" w:hAnsi="Times New Roman" w:cs="Times New Roman"/>
                <w:sz w:val="16"/>
                <w:szCs w:val="16"/>
              </w:rPr>
            </w:pPr>
          </w:p>
        </w:tc>
        <w:tc>
          <w:tcPr>
            <w:tcW w:w="1647" w:type="dxa"/>
            <w:vMerge w:val="restart"/>
          </w:tcPr>
          <w:p w14:paraId="247FE088" w14:textId="77777777" w:rsidR="009B1955" w:rsidRPr="00D860CC" w:rsidRDefault="009B1955" w:rsidP="00807EBA">
            <w:pPr>
              <w:rPr>
                <w:rFonts w:ascii="Times New Roman" w:hAnsi="Times New Roman" w:cs="Times New Roman"/>
                <w:sz w:val="16"/>
                <w:szCs w:val="16"/>
              </w:rPr>
            </w:pPr>
            <w:r w:rsidRPr="00D860CC">
              <w:rPr>
                <w:rFonts w:ascii="Times New Roman" w:hAnsi="Times New Roman" w:cs="Times New Roman"/>
                <w:sz w:val="16"/>
                <w:szCs w:val="16"/>
              </w:rPr>
              <w:t>To achieve a flexible and balanced approach to PRO measurement</w:t>
            </w:r>
          </w:p>
        </w:tc>
        <w:tc>
          <w:tcPr>
            <w:tcW w:w="2342" w:type="dxa"/>
          </w:tcPr>
          <w:p w14:paraId="58D5873D" w14:textId="77777777" w:rsidR="009B1955" w:rsidRPr="00D860CC" w:rsidRDefault="009B1955" w:rsidP="00807EBA">
            <w:pPr>
              <w:rPr>
                <w:rFonts w:ascii="Times New Roman" w:hAnsi="Times New Roman" w:cs="Times New Roman"/>
                <w:sz w:val="16"/>
                <w:szCs w:val="16"/>
              </w:rPr>
            </w:pPr>
            <w:proofErr w:type="spellStart"/>
            <w:r w:rsidRPr="00D860CC">
              <w:rPr>
                <w:rFonts w:ascii="Times New Roman" w:hAnsi="Times New Roman" w:cs="Times New Roman"/>
                <w:sz w:val="16"/>
                <w:szCs w:val="16"/>
              </w:rPr>
              <w:t>Kluetz</w:t>
            </w:r>
            <w:proofErr w:type="spellEnd"/>
            <w:r w:rsidRPr="00D860CC">
              <w:rPr>
                <w:rFonts w:ascii="Times New Roman" w:hAnsi="Times New Roman" w:cs="Times New Roman"/>
                <w:sz w:val="16"/>
                <w:szCs w:val="16"/>
              </w:rPr>
              <w:t xml:space="preserve"> et al. (4</w:t>
            </w:r>
            <w:r>
              <w:rPr>
                <w:rFonts w:ascii="Times New Roman" w:hAnsi="Times New Roman" w:cs="Times New Roman"/>
                <w:sz w:val="16"/>
                <w:szCs w:val="16"/>
              </w:rPr>
              <w:t>0</w:t>
            </w:r>
            <w:r w:rsidRPr="00D860CC">
              <w:rPr>
                <w:rFonts w:ascii="Times New Roman" w:hAnsi="Times New Roman" w:cs="Times New Roman"/>
                <w:sz w:val="16"/>
                <w:szCs w:val="16"/>
              </w:rPr>
              <w:t xml:space="preserve">)* </w:t>
            </w:r>
          </w:p>
        </w:tc>
        <w:tc>
          <w:tcPr>
            <w:tcW w:w="801" w:type="dxa"/>
          </w:tcPr>
          <w:p w14:paraId="12B21417" w14:textId="77777777" w:rsidR="009B1955" w:rsidRPr="00D860CC" w:rsidRDefault="009B1955" w:rsidP="00807EBA">
            <w:pPr>
              <w:rPr>
                <w:rFonts w:ascii="Times New Roman" w:hAnsi="Times New Roman" w:cs="Times New Roman"/>
                <w:sz w:val="16"/>
                <w:szCs w:val="16"/>
              </w:rPr>
            </w:pPr>
            <w:r w:rsidRPr="00D860CC">
              <w:rPr>
                <w:rFonts w:ascii="Times New Roman" w:hAnsi="Times New Roman" w:cs="Times New Roman"/>
                <w:sz w:val="16"/>
                <w:szCs w:val="16"/>
              </w:rPr>
              <w:t>2016</w:t>
            </w:r>
          </w:p>
        </w:tc>
        <w:tc>
          <w:tcPr>
            <w:tcW w:w="5286" w:type="dxa"/>
          </w:tcPr>
          <w:p w14:paraId="54B98388" w14:textId="77777777" w:rsidR="009B1955" w:rsidRPr="00D860CC" w:rsidRDefault="009B1955" w:rsidP="00807EBA">
            <w:pPr>
              <w:rPr>
                <w:rFonts w:ascii="Times New Roman" w:hAnsi="Times New Roman" w:cs="Times New Roman"/>
                <w:sz w:val="16"/>
                <w:szCs w:val="16"/>
              </w:rPr>
            </w:pPr>
            <w:r w:rsidRPr="00D860CC">
              <w:rPr>
                <w:rFonts w:ascii="Times New Roman" w:hAnsi="Times New Roman" w:cs="Times New Roman"/>
                <w:sz w:val="16"/>
                <w:szCs w:val="16"/>
              </w:rPr>
              <w:t>Focusing on core patient-reported outcomes in cancer clinical trials: Symptomatic adverse events, physical function, and disease-related symptoms</w:t>
            </w:r>
          </w:p>
        </w:tc>
        <w:tc>
          <w:tcPr>
            <w:tcW w:w="1773" w:type="dxa"/>
          </w:tcPr>
          <w:p w14:paraId="6BF7D5B1" w14:textId="77777777" w:rsidR="009B1955" w:rsidRPr="00D860CC" w:rsidRDefault="009B1955" w:rsidP="00807EBA">
            <w:pPr>
              <w:rPr>
                <w:rFonts w:ascii="Times New Roman" w:hAnsi="Times New Roman" w:cs="Times New Roman"/>
                <w:sz w:val="16"/>
                <w:szCs w:val="16"/>
              </w:rPr>
            </w:pPr>
            <w:r w:rsidRPr="00D860CC">
              <w:rPr>
                <w:rFonts w:ascii="Times New Roman" w:hAnsi="Times New Roman" w:cs="Times New Roman"/>
                <w:sz w:val="16"/>
                <w:szCs w:val="16"/>
              </w:rPr>
              <w:t>Article</w:t>
            </w:r>
          </w:p>
        </w:tc>
      </w:tr>
      <w:tr w:rsidR="009B1955" w:rsidRPr="00D860CC" w14:paraId="71B1F369" w14:textId="77777777" w:rsidTr="00807EBA">
        <w:tc>
          <w:tcPr>
            <w:tcW w:w="2099" w:type="dxa"/>
            <w:vMerge/>
          </w:tcPr>
          <w:p w14:paraId="7A492A4E" w14:textId="77777777" w:rsidR="009B1955" w:rsidRPr="00D860CC" w:rsidRDefault="009B1955" w:rsidP="00807EBA">
            <w:pPr>
              <w:rPr>
                <w:rFonts w:ascii="Times New Roman" w:hAnsi="Times New Roman" w:cs="Times New Roman"/>
                <w:sz w:val="16"/>
                <w:szCs w:val="16"/>
              </w:rPr>
            </w:pPr>
          </w:p>
        </w:tc>
        <w:tc>
          <w:tcPr>
            <w:tcW w:w="1647" w:type="dxa"/>
            <w:vMerge/>
          </w:tcPr>
          <w:p w14:paraId="63E8F828" w14:textId="77777777" w:rsidR="009B1955" w:rsidRPr="00D860CC" w:rsidRDefault="009B1955" w:rsidP="00807EBA">
            <w:pPr>
              <w:rPr>
                <w:rFonts w:ascii="Times New Roman" w:hAnsi="Times New Roman" w:cs="Times New Roman"/>
                <w:sz w:val="16"/>
                <w:szCs w:val="16"/>
              </w:rPr>
            </w:pPr>
          </w:p>
        </w:tc>
        <w:tc>
          <w:tcPr>
            <w:tcW w:w="2342" w:type="dxa"/>
          </w:tcPr>
          <w:p w14:paraId="7B850040" w14:textId="77777777" w:rsidR="009B1955" w:rsidRPr="00D860CC" w:rsidRDefault="009B1955" w:rsidP="00807EBA">
            <w:pPr>
              <w:rPr>
                <w:rFonts w:ascii="Times New Roman" w:hAnsi="Times New Roman" w:cs="Times New Roman"/>
                <w:sz w:val="16"/>
                <w:szCs w:val="16"/>
              </w:rPr>
            </w:pPr>
            <w:proofErr w:type="spellStart"/>
            <w:r w:rsidRPr="00D860CC">
              <w:rPr>
                <w:rFonts w:ascii="Times New Roman" w:hAnsi="Times New Roman" w:cs="Times New Roman"/>
                <w:sz w:val="16"/>
                <w:szCs w:val="16"/>
              </w:rPr>
              <w:t>Kluetz</w:t>
            </w:r>
            <w:proofErr w:type="spellEnd"/>
            <w:r w:rsidRPr="00D860CC">
              <w:rPr>
                <w:rFonts w:ascii="Times New Roman" w:hAnsi="Times New Roman" w:cs="Times New Roman"/>
                <w:sz w:val="16"/>
                <w:szCs w:val="16"/>
              </w:rPr>
              <w:t xml:space="preserve"> et al. (4</w:t>
            </w:r>
            <w:r>
              <w:rPr>
                <w:rFonts w:ascii="Times New Roman" w:hAnsi="Times New Roman" w:cs="Times New Roman"/>
                <w:sz w:val="16"/>
                <w:szCs w:val="16"/>
              </w:rPr>
              <w:t>1</w:t>
            </w:r>
            <w:r w:rsidRPr="00D860CC">
              <w:rPr>
                <w:rFonts w:ascii="Times New Roman" w:hAnsi="Times New Roman" w:cs="Times New Roman"/>
                <w:sz w:val="16"/>
                <w:szCs w:val="16"/>
              </w:rPr>
              <w:t>)*</w:t>
            </w:r>
          </w:p>
        </w:tc>
        <w:tc>
          <w:tcPr>
            <w:tcW w:w="801" w:type="dxa"/>
          </w:tcPr>
          <w:p w14:paraId="3867A2C4" w14:textId="77777777" w:rsidR="009B1955" w:rsidRPr="00D860CC" w:rsidRDefault="009B1955" w:rsidP="00807EBA">
            <w:pPr>
              <w:rPr>
                <w:rFonts w:ascii="Times New Roman" w:hAnsi="Times New Roman" w:cs="Times New Roman"/>
                <w:sz w:val="16"/>
                <w:szCs w:val="16"/>
              </w:rPr>
            </w:pPr>
            <w:r w:rsidRPr="00D860CC">
              <w:rPr>
                <w:rFonts w:ascii="Times New Roman" w:hAnsi="Times New Roman" w:cs="Times New Roman"/>
                <w:sz w:val="16"/>
                <w:szCs w:val="16"/>
              </w:rPr>
              <w:t>2016</w:t>
            </w:r>
          </w:p>
        </w:tc>
        <w:tc>
          <w:tcPr>
            <w:tcW w:w="5286" w:type="dxa"/>
          </w:tcPr>
          <w:p w14:paraId="7ADC1B6E" w14:textId="77777777" w:rsidR="009B1955" w:rsidRPr="00D860CC" w:rsidRDefault="009B1955" w:rsidP="00807EBA">
            <w:pPr>
              <w:rPr>
                <w:rFonts w:ascii="Times New Roman" w:hAnsi="Times New Roman" w:cs="Times New Roman"/>
                <w:sz w:val="16"/>
                <w:szCs w:val="16"/>
              </w:rPr>
            </w:pPr>
            <w:r w:rsidRPr="00D860CC">
              <w:rPr>
                <w:rFonts w:ascii="Times New Roman" w:hAnsi="Times New Roman" w:cs="Times New Roman"/>
                <w:sz w:val="16"/>
                <w:szCs w:val="16"/>
              </w:rPr>
              <w:t>Focusing on core patient-reported outcomes in cancer clinical trials - Response</w:t>
            </w:r>
          </w:p>
        </w:tc>
        <w:tc>
          <w:tcPr>
            <w:tcW w:w="1773" w:type="dxa"/>
          </w:tcPr>
          <w:p w14:paraId="6915502E" w14:textId="77777777" w:rsidR="009B1955" w:rsidRPr="00D860CC" w:rsidRDefault="009B1955" w:rsidP="00807EBA">
            <w:pPr>
              <w:rPr>
                <w:rFonts w:ascii="Times New Roman" w:hAnsi="Times New Roman" w:cs="Times New Roman"/>
                <w:sz w:val="16"/>
                <w:szCs w:val="16"/>
              </w:rPr>
            </w:pPr>
            <w:r w:rsidRPr="00D860CC">
              <w:rPr>
                <w:rFonts w:ascii="Times New Roman" w:hAnsi="Times New Roman" w:cs="Times New Roman"/>
                <w:sz w:val="16"/>
                <w:szCs w:val="16"/>
              </w:rPr>
              <w:t>Comment</w:t>
            </w:r>
          </w:p>
        </w:tc>
      </w:tr>
      <w:tr w:rsidR="009B1955" w:rsidRPr="00D860CC" w14:paraId="3AB07DF4" w14:textId="77777777" w:rsidTr="00807EBA">
        <w:tc>
          <w:tcPr>
            <w:tcW w:w="2099" w:type="dxa"/>
            <w:vMerge/>
          </w:tcPr>
          <w:p w14:paraId="52D40944" w14:textId="77777777" w:rsidR="009B1955" w:rsidRPr="00D860CC" w:rsidRDefault="009B1955" w:rsidP="00807EBA">
            <w:pPr>
              <w:rPr>
                <w:rFonts w:ascii="Times New Roman" w:hAnsi="Times New Roman" w:cs="Times New Roman"/>
                <w:sz w:val="16"/>
                <w:szCs w:val="16"/>
              </w:rPr>
            </w:pPr>
          </w:p>
        </w:tc>
        <w:tc>
          <w:tcPr>
            <w:tcW w:w="1647" w:type="dxa"/>
            <w:vMerge/>
          </w:tcPr>
          <w:p w14:paraId="2B7454F0" w14:textId="77777777" w:rsidR="009B1955" w:rsidRPr="00D860CC" w:rsidRDefault="009B1955" w:rsidP="00807EBA">
            <w:pPr>
              <w:rPr>
                <w:rFonts w:ascii="Times New Roman" w:hAnsi="Times New Roman" w:cs="Times New Roman"/>
                <w:sz w:val="16"/>
                <w:szCs w:val="16"/>
              </w:rPr>
            </w:pPr>
          </w:p>
        </w:tc>
        <w:tc>
          <w:tcPr>
            <w:tcW w:w="2342" w:type="dxa"/>
          </w:tcPr>
          <w:p w14:paraId="28EB4FDC" w14:textId="77777777" w:rsidR="009B1955" w:rsidRPr="00D860CC" w:rsidRDefault="009B1955" w:rsidP="00807EBA">
            <w:pPr>
              <w:rPr>
                <w:rFonts w:ascii="Times New Roman" w:hAnsi="Times New Roman" w:cs="Times New Roman"/>
                <w:sz w:val="16"/>
                <w:szCs w:val="16"/>
              </w:rPr>
            </w:pPr>
            <w:proofErr w:type="spellStart"/>
            <w:r w:rsidRPr="00D860CC">
              <w:rPr>
                <w:rFonts w:ascii="Times New Roman" w:hAnsi="Times New Roman" w:cs="Times New Roman"/>
                <w:sz w:val="16"/>
                <w:szCs w:val="16"/>
              </w:rPr>
              <w:t>Basch</w:t>
            </w:r>
            <w:proofErr w:type="spellEnd"/>
            <w:r w:rsidRPr="00D860CC">
              <w:rPr>
                <w:rFonts w:ascii="Times New Roman" w:hAnsi="Times New Roman" w:cs="Times New Roman"/>
                <w:sz w:val="16"/>
                <w:szCs w:val="16"/>
              </w:rPr>
              <w:t xml:space="preserve"> et al. (4</w:t>
            </w:r>
            <w:r>
              <w:rPr>
                <w:rFonts w:ascii="Times New Roman" w:hAnsi="Times New Roman" w:cs="Times New Roman"/>
                <w:sz w:val="16"/>
                <w:szCs w:val="16"/>
              </w:rPr>
              <w:t>6</w:t>
            </w:r>
            <w:r w:rsidRPr="00D860CC">
              <w:rPr>
                <w:rFonts w:ascii="Times New Roman" w:hAnsi="Times New Roman" w:cs="Times New Roman"/>
                <w:sz w:val="16"/>
                <w:szCs w:val="16"/>
              </w:rPr>
              <w:t>)*</w:t>
            </w:r>
          </w:p>
        </w:tc>
        <w:tc>
          <w:tcPr>
            <w:tcW w:w="801" w:type="dxa"/>
          </w:tcPr>
          <w:p w14:paraId="66636823" w14:textId="77777777" w:rsidR="009B1955" w:rsidRPr="00D860CC" w:rsidRDefault="009B1955" w:rsidP="00807EBA">
            <w:pPr>
              <w:rPr>
                <w:rFonts w:ascii="Times New Roman" w:hAnsi="Times New Roman" w:cs="Times New Roman"/>
                <w:sz w:val="16"/>
                <w:szCs w:val="16"/>
              </w:rPr>
            </w:pPr>
            <w:r w:rsidRPr="00D860CC">
              <w:rPr>
                <w:rFonts w:ascii="Times New Roman" w:hAnsi="Times New Roman" w:cs="Times New Roman"/>
                <w:sz w:val="16"/>
                <w:szCs w:val="16"/>
              </w:rPr>
              <w:t>2016</w:t>
            </w:r>
          </w:p>
        </w:tc>
        <w:tc>
          <w:tcPr>
            <w:tcW w:w="5286" w:type="dxa"/>
          </w:tcPr>
          <w:p w14:paraId="0E9EEFEB" w14:textId="77777777" w:rsidR="009B1955" w:rsidRPr="00D860CC" w:rsidRDefault="009B1955" w:rsidP="00807EBA">
            <w:pPr>
              <w:rPr>
                <w:rFonts w:ascii="Times New Roman" w:hAnsi="Times New Roman" w:cs="Times New Roman"/>
                <w:sz w:val="16"/>
                <w:szCs w:val="16"/>
              </w:rPr>
            </w:pPr>
            <w:r w:rsidRPr="00D860CC">
              <w:rPr>
                <w:rFonts w:ascii="Times New Roman" w:hAnsi="Times New Roman" w:cs="Times New Roman"/>
                <w:sz w:val="16"/>
                <w:szCs w:val="16"/>
              </w:rPr>
              <w:t>Methods for Implementing and Reporting Patient-reported Outcome (PRO) Measures of Symptomatic Adverse Events in Cancer Clinical Trials</w:t>
            </w:r>
          </w:p>
        </w:tc>
        <w:tc>
          <w:tcPr>
            <w:tcW w:w="1773" w:type="dxa"/>
          </w:tcPr>
          <w:p w14:paraId="0266BEC0" w14:textId="77777777" w:rsidR="009B1955" w:rsidRPr="00D860CC" w:rsidRDefault="009B1955" w:rsidP="00807EBA">
            <w:pPr>
              <w:rPr>
                <w:rFonts w:ascii="Times New Roman" w:hAnsi="Times New Roman" w:cs="Times New Roman"/>
                <w:sz w:val="16"/>
                <w:szCs w:val="16"/>
              </w:rPr>
            </w:pPr>
            <w:r w:rsidRPr="00D860CC">
              <w:rPr>
                <w:rFonts w:ascii="Times New Roman" w:hAnsi="Times New Roman" w:cs="Times New Roman"/>
                <w:sz w:val="16"/>
                <w:szCs w:val="16"/>
              </w:rPr>
              <w:t>Article</w:t>
            </w:r>
          </w:p>
        </w:tc>
      </w:tr>
      <w:tr w:rsidR="009B1955" w:rsidRPr="00D860CC" w14:paraId="65DDE427" w14:textId="77777777" w:rsidTr="00807EBA">
        <w:tc>
          <w:tcPr>
            <w:tcW w:w="2099" w:type="dxa"/>
            <w:vMerge/>
          </w:tcPr>
          <w:p w14:paraId="1FDCC7F2" w14:textId="77777777" w:rsidR="009B1955" w:rsidRPr="00D860CC" w:rsidRDefault="009B1955" w:rsidP="00807EBA">
            <w:pPr>
              <w:rPr>
                <w:rFonts w:ascii="Times New Roman" w:hAnsi="Times New Roman" w:cs="Times New Roman"/>
                <w:sz w:val="16"/>
                <w:szCs w:val="16"/>
              </w:rPr>
            </w:pPr>
          </w:p>
        </w:tc>
        <w:tc>
          <w:tcPr>
            <w:tcW w:w="1647" w:type="dxa"/>
            <w:vMerge/>
          </w:tcPr>
          <w:p w14:paraId="73EF5246" w14:textId="77777777" w:rsidR="009B1955" w:rsidRPr="00D860CC" w:rsidRDefault="009B1955" w:rsidP="00807EBA">
            <w:pPr>
              <w:rPr>
                <w:rFonts w:ascii="Times New Roman" w:hAnsi="Times New Roman" w:cs="Times New Roman"/>
                <w:sz w:val="16"/>
                <w:szCs w:val="16"/>
              </w:rPr>
            </w:pPr>
          </w:p>
        </w:tc>
        <w:tc>
          <w:tcPr>
            <w:tcW w:w="2342" w:type="dxa"/>
          </w:tcPr>
          <w:p w14:paraId="3F342C95" w14:textId="77777777" w:rsidR="009B1955" w:rsidRPr="00D860CC" w:rsidRDefault="009B1955" w:rsidP="00807EBA">
            <w:pPr>
              <w:rPr>
                <w:rFonts w:ascii="Times New Roman" w:hAnsi="Times New Roman" w:cs="Times New Roman"/>
                <w:sz w:val="16"/>
                <w:szCs w:val="16"/>
              </w:rPr>
            </w:pPr>
            <w:r w:rsidRPr="00D860CC">
              <w:rPr>
                <w:rFonts w:ascii="Times New Roman" w:hAnsi="Times New Roman" w:cs="Times New Roman"/>
                <w:sz w:val="16"/>
                <w:szCs w:val="16"/>
              </w:rPr>
              <w:t>European Medicines Agency Committee for Medicinal Products for Human Use (CHMP) (3</w:t>
            </w:r>
            <w:r>
              <w:rPr>
                <w:rFonts w:ascii="Times New Roman" w:hAnsi="Times New Roman" w:cs="Times New Roman"/>
                <w:sz w:val="16"/>
                <w:szCs w:val="16"/>
              </w:rPr>
              <w:t>4</w:t>
            </w:r>
            <w:r w:rsidRPr="00D860CC">
              <w:rPr>
                <w:rFonts w:ascii="Times New Roman" w:hAnsi="Times New Roman" w:cs="Times New Roman"/>
                <w:sz w:val="16"/>
                <w:szCs w:val="16"/>
              </w:rPr>
              <w:t xml:space="preserve">)* </w:t>
            </w:r>
          </w:p>
        </w:tc>
        <w:tc>
          <w:tcPr>
            <w:tcW w:w="801" w:type="dxa"/>
          </w:tcPr>
          <w:p w14:paraId="4F9F325C" w14:textId="77777777" w:rsidR="009B1955" w:rsidRPr="00D860CC" w:rsidRDefault="009B1955" w:rsidP="00807EBA">
            <w:pPr>
              <w:rPr>
                <w:rFonts w:ascii="Times New Roman" w:hAnsi="Times New Roman" w:cs="Times New Roman"/>
                <w:sz w:val="16"/>
                <w:szCs w:val="16"/>
              </w:rPr>
            </w:pPr>
            <w:r w:rsidRPr="00D860CC">
              <w:rPr>
                <w:rFonts w:ascii="Times New Roman" w:hAnsi="Times New Roman" w:cs="Times New Roman"/>
                <w:sz w:val="16"/>
                <w:szCs w:val="16"/>
              </w:rPr>
              <w:t>2016</w:t>
            </w:r>
          </w:p>
        </w:tc>
        <w:tc>
          <w:tcPr>
            <w:tcW w:w="5286" w:type="dxa"/>
          </w:tcPr>
          <w:p w14:paraId="295BD248" w14:textId="77777777" w:rsidR="009B1955" w:rsidRPr="00D860CC" w:rsidRDefault="009B1955" w:rsidP="00807EBA">
            <w:pPr>
              <w:rPr>
                <w:rFonts w:ascii="Times New Roman" w:hAnsi="Times New Roman" w:cs="Times New Roman"/>
                <w:sz w:val="16"/>
                <w:szCs w:val="16"/>
              </w:rPr>
            </w:pPr>
            <w:r w:rsidRPr="00D860CC">
              <w:rPr>
                <w:rFonts w:ascii="Times New Roman" w:hAnsi="Times New Roman" w:cs="Times New Roman"/>
                <w:sz w:val="16"/>
                <w:szCs w:val="16"/>
              </w:rPr>
              <w:t>Appendix 2 to the guideline on the evaluation of anticancer medicinal products in man: The use of patient-reported outcome (PRO) measures in oncology studies</w:t>
            </w:r>
          </w:p>
        </w:tc>
        <w:tc>
          <w:tcPr>
            <w:tcW w:w="1773" w:type="dxa"/>
          </w:tcPr>
          <w:p w14:paraId="429EEC59" w14:textId="77777777" w:rsidR="009B1955" w:rsidRPr="00D860CC" w:rsidRDefault="009B1955" w:rsidP="00807EBA">
            <w:pPr>
              <w:rPr>
                <w:rFonts w:ascii="Times New Roman" w:hAnsi="Times New Roman" w:cs="Times New Roman"/>
                <w:sz w:val="16"/>
                <w:szCs w:val="16"/>
              </w:rPr>
            </w:pPr>
            <w:r w:rsidRPr="00D860CC">
              <w:rPr>
                <w:rFonts w:ascii="Times New Roman" w:hAnsi="Times New Roman" w:cs="Times New Roman"/>
                <w:sz w:val="16"/>
                <w:szCs w:val="16"/>
              </w:rPr>
              <w:t>Guidance document</w:t>
            </w:r>
          </w:p>
        </w:tc>
      </w:tr>
      <w:tr w:rsidR="009B1955" w:rsidRPr="00D860CC" w14:paraId="7378DA3E" w14:textId="77777777" w:rsidTr="00807EBA">
        <w:tc>
          <w:tcPr>
            <w:tcW w:w="2099" w:type="dxa"/>
            <w:vMerge/>
          </w:tcPr>
          <w:p w14:paraId="0C86937F" w14:textId="77777777" w:rsidR="009B1955" w:rsidRPr="00D860CC" w:rsidRDefault="009B1955" w:rsidP="00807EBA">
            <w:pPr>
              <w:rPr>
                <w:rFonts w:ascii="Times New Roman" w:hAnsi="Times New Roman" w:cs="Times New Roman"/>
                <w:sz w:val="16"/>
                <w:szCs w:val="16"/>
              </w:rPr>
            </w:pPr>
          </w:p>
        </w:tc>
        <w:tc>
          <w:tcPr>
            <w:tcW w:w="1647" w:type="dxa"/>
            <w:vMerge/>
          </w:tcPr>
          <w:p w14:paraId="21D5351F" w14:textId="77777777" w:rsidR="009B1955" w:rsidRPr="00D860CC" w:rsidRDefault="009B1955" w:rsidP="00807EBA">
            <w:pPr>
              <w:rPr>
                <w:rFonts w:ascii="Times New Roman" w:hAnsi="Times New Roman" w:cs="Times New Roman"/>
                <w:sz w:val="16"/>
                <w:szCs w:val="16"/>
              </w:rPr>
            </w:pPr>
          </w:p>
        </w:tc>
        <w:tc>
          <w:tcPr>
            <w:tcW w:w="2342" w:type="dxa"/>
          </w:tcPr>
          <w:p w14:paraId="0B63B2C4" w14:textId="77777777" w:rsidR="009B1955" w:rsidRPr="00D860CC" w:rsidRDefault="009B1955" w:rsidP="00807EBA">
            <w:pPr>
              <w:rPr>
                <w:rFonts w:ascii="Times New Roman" w:hAnsi="Times New Roman" w:cs="Times New Roman"/>
                <w:sz w:val="16"/>
                <w:szCs w:val="16"/>
              </w:rPr>
            </w:pPr>
            <w:r w:rsidRPr="00D860CC">
              <w:rPr>
                <w:rFonts w:ascii="Times New Roman" w:hAnsi="Times New Roman" w:cs="Times New Roman"/>
                <w:sz w:val="16"/>
                <w:szCs w:val="16"/>
              </w:rPr>
              <w:t>Turner et al. (2</w:t>
            </w:r>
            <w:r>
              <w:rPr>
                <w:rFonts w:ascii="Times New Roman" w:hAnsi="Times New Roman" w:cs="Times New Roman"/>
                <w:sz w:val="16"/>
                <w:szCs w:val="16"/>
              </w:rPr>
              <w:t>3</w:t>
            </w:r>
            <w:r w:rsidRPr="00D860CC">
              <w:rPr>
                <w:rFonts w:ascii="Times New Roman" w:hAnsi="Times New Roman" w:cs="Times New Roman"/>
                <w:sz w:val="16"/>
                <w:szCs w:val="16"/>
              </w:rPr>
              <w:t>)*</w:t>
            </w:r>
          </w:p>
        </w:tc>
        <w:tc>
          <w:tcPr>
            <w:tcW w:w="801" w:type="dxa"/>
          </w:tcPr>
          <w:p w14:paraId="0ACDCE24" w14:textId="77777777" w:rsidR="009B1955" w:rsidRPr="00D860CC" w:rsidRDefault="009B1955" w:rsidP="00807EBA">
            <w:pPr>
              <w:rPr>
                <w:rFonts w:ascii="Times New Roman" w:hAnsi="Times New Roman" w:cs="Times New Roman"/>
                <w:sz w:val="16"/>
                <w:szCs w:val="16"/>
              </w:rPr>
            </w:pPr>
            <w:r w:rsidRPr="00D860CC">
              <w:rPr>
                <w:rFonts w:ascii="Times New Roman" w:hAnsi="Times New Roman" w:cs="Times New Roman"/>
                <w:sz w:val="16"/>
                <w:szCs w:val="16"/>
              </w:rPr>
              <w:t>2020</w:t>
            </w:r>
          </w:p>
        </w:tc>
        <w:tc>
          <w:tcPr>
            <w:tcW w:w="5286" w:type="dxa"/>
          </w:tcPr>
          <w:p w14:paraId="1469F2C1" w14:textId="77777777" w:rsidR="009B1955" w:rsidRPr="00D860CC" w:rsidRDefault="009B1955" w:rsidP="00807EBA">
            <w:pPr>
              <w:rPr>
                <w:rFonts w:ascii="Times New Roman" w:hAnsi="Times New Roman" w:cs="Times New Roman"/>
                <w:sz w:val="16"/>
                <w:szCs w:val="16"/>
              </w:rPr>
            </w:pPr>
            <w:r w:rsidRPr="00D860CC">
              <w:rPr>
                <w:rFonts w:ascii="Times New Roman" w:hAnsi="Times New Roman" w:cs="Times New Roman"/>
                <w:sz w:val="16"/>
                <w:szCs w:val="16"/>
              </w:rPr>
              <w:t>Moving beyond project-specific patient and public involvement in research</w:t>
            </w:r>
          </w:p>
        </w:tc>
        <w:tc>
          <w:tcPr>
            <w:tcW w:w="1773" w:type="dxa"/>
          </w:tcPr>
          <w:p w14:paraId="3F928804" w14:textId="77777777" w:rsidR="009B1955" w:rsidRPr="00D860CC" w:rsidRDefault="009B1955" w:rsidP="00807EBA">
            <w:pPr>
              <w:rPr>
                <w:rFonts w:ascii="Times New Roman" w:hAnsi="Times New Roman" w:cs="Times New Roman"/>
                <w:sz w:val="16"/>
                <w:szCs w:val="16"/>
              </w:rPr>
            </w:pPr>
            <w:r w:rsidRPr="00D860CC">
              <w:rPr>
                <w:rFonts w:ascii="Times New Roman" w:hAnsi="Times New Roman" w:cs="Times New Roman"/>
                <w:sz w:val="16"/>
                <w:szCs w:val="16"/>
              </w:rPr>
              <w:t>Article</w:t>
            </w:r>
          </w:p>
        </w:tc>
      </w:tr>
      <w:tr w:rsidR="009B1955" w:rsidRPr="00D860CC" w14:paraId="32CBB201" w14:textId="77777777" w:rsidTr="00807EBA">
        <w:tc>
          <w:tcPr>
            <w:tcW w:w="2099" w:type="dxa"/>
            <w:vMerge/>
          </w:tcPr>
          <w:p w14:paraId="7E595FBA" w14:textId="77777777" w:rsidR="009B1955" w:rsidRPr="00D860CC" w:rsidRDefault="009B1955" w:rsidP="00807EBA">
            <w:pPr>
              <w:rPr>
                <w:rFonts w:ascii="Times New Roman" w:hAnsi="Times New Roman" w:cs="Times New Roman"/>
                <w:sz w:val="16"/>
                <w:szCs w:val="16"/>
              </w:rPr>
            </w:pPr>
          </w:p>
        </w:tc>
        <w:tc>
          <w:tcPr>
            <w:tcW w:w="1647" w:type="dxa"/>
            <w:vMerge/>
          </w:tcPr>
          <w:p w14:paraId="45BA4F4B" w14:textId="77777777" w:rsidR="009B1955" w:rsidRPr="00D860CC" w:rsidRDefault="009B1955" w:rsidP="00807EBA">
            <w:pPr>
              <w:rPr>
                <w:rFonts w:ascii="Times New Roman" w:hAnsi="Times New Roman" w:cs="Times New Roman"/>
                <w:sz w:val="16"/>
                <w:szCs w:val="16"/>
              </w:rPr>
            </w:pPr>
          </w:p>
        </w:tc>
        <w:tc>
          <w:tcPr>
            <w:tcW w:w="2342" w:type="dxa"/>
          </w:tcPr>
          <w:p w14:paraId="1780B94E" w14:textId="77777777" w:rsidR="009B1955" w:rsidRPr="00D860CC" w:rsidRDefault="009B1955" w:rsidP="00807EBA">
            <w:pPr>
              <w:rPr>
                <w:rFonts w:ascii="Times New Roman" w:hAnsi="Times New Roman" w:cs="Times New Roman"/>
                <w:sz w:val="16"/>
                <w:szCs w:val="16"/>
              </w:rPr>
            </w:pPr>
            <w:r w:rsidRPr="00D860CC">
              <w:rPr>
                <w:rFonts w:ascii="Times New Roman" w:hAnsi="Times New Roman" w:cs="Times New Roman"/>
                <w:sz w:val="16"/>
                <w:szCs w:val="16"/>
              </w:rPr>
              <w:t>FDA (3</w:t>
            </w:r>
            <w:r>
              <w:rPr>
                <w:rFonts w:ascii="Times New Roman" w:hAnsi="Times New Roman" w:cs="Times New Roman"/>
                <w:sz w:val="16"/>
                <w:szCs w:val="16"/>
              </w:rPr>
              <w:t>3</w:t>
            </w:r>
            <w:r w:rsidRPr="00D860CC">
              <w:rPr>
                <w:rFonts w:ascii="Times New Roman" w:hAnsi="Times New Roman" w:cs="Times New Roman"/>
                <w:sz w:val="16"/>
                <w:szCs w:val="16"/>
              </w:rPr>
              <w:t>)*</w:t>
            </w:r>
          </w:p>
        </w:tc>
        <w:tc>
          <w:tcPr>
            <w:tcW w:w="801" w:type="dxa"/>
          </w:tcPr>
          <w:p w14:paraId="40519CA2" w14:textId="77777777" w:rsidR="009B1955" w:rsidRPr="00D860CC" w:rsidRDefault="009B1955" w:rsidP="00807EBA">
            <w:pPr>
              <w:rPr>
                <w:rFonts w:ascii="Times New Roman" w:hAnsi="Times New Roman" w:cs="Times New Roman"/>
                <w:sz w:val="16"/>
                <w:szCs w:val="16"/>
              </w:rPr>
            </w:pPr>
            <w:r w:rsidRPr="00D860CC">
              <w:rPr>
                <w:rFonts w:ascii="Times New Roman" w:hAnsi="Times New Roman" w:cs="Times New Roman"/>
                <w:sz w:val="16"/>
                <w:szCs w:val="16"/>
              </w:rPr>
              <w:t>2021</w:t>
            </w:r>
          </w:p>
        </w:tc>
        <w:tc>
          <w:tcPr>
            <w:tcW w:w="5286" w:type="dxa"/>
          </w:tcPr>
          <w:p w14:paraId="15F2CEA4" w14:textId="77777777" w:rsidR="009B1955" w:rsidRPr="00D860CC" w:rsidRDefault="009B1955" w:rsidP="00807EBA">
            <w:pPr>
              <w:rPr>
                <w:rFonts w:ascii="Times New Roman" w:hAnsi="Times New Roman" w:cs="Times New Roman"/>
                <w:sz w:val="16"/>
                <w:szCs w:val="16"/>
              </w:rPr>
            </w:pPr>
            <w:r w:rsidRPr="00D860CC">
              <w:rPr>
                <w:rFonts w:ascii="Times New Roman" w:hAnsi="Times New Roman" w:cs="Times New Roman"/>
                <w:sz w:val="16"/>
                <w:szCs w:val="16"/>
              </w:rPr>
              <w:t>Core Patient-Reported Outcomes in Cancer Clinical Trials Guidance for Industry DRAFT GUIDANCE</w:t>
            </w:r>
          </w:p>
        </w:tc>
        <w:tc>
          <w:tcPr>
            <w:tcW w:w="1773" w:type="dxa"/>
          </w:tcPr>
          <w:p w14:paraId="1EEE309D" w14:textId="77777777" w:rsidR="009B1955" w:rsidRPr="00D860CC" w:rsidRDefault="009B1955" w:rsidP="00807EBA">
            <w:pPr>
              <w:rPr>
                <w:rFonts w:ascii="Times New Roman" w:hAnsi="Times New Roman" w:cs="Times New Roman"/>
                <w:sz w:val="16"/>
                <w:szCs w:val="16"/>
              </w:rPr>
            </w:pPr>
            <w:r w:rsidRPr="00D860CC">
              <w:rPr>
                <w:rFonts w:ascii="Times New Roman" w:hAnsi="Times New Roman" w:cs="Times New Roman"/>
                <w:sz w:val="16"/>
                <w:szCs w:val="16"/>
              </w:rPr>
              <w:t>Guidance document</w:t>
            </w:r>
          </w:p>
        </w:tc>
      </w:tr>
      <w:tr w:rsidR="009B1955" w:rsidRPr="00D860CC" w14:paraId="6CE8E334" w14:textId="77777777" w:rsidTr="00807EBA">
        <w:tc>
          <w:tcPr>
            <w:tcW w:w="2099" w:type="dxa"/>
            <w:vMerge/>
          </w:tcPr>
          <w:p w14:paraId="4B78A854" w14:textId="77777777" w:rsidR="009B1955" w:rsidRPr="00D860CC" w:rsidRDefault="009B1955" w:rsidP="00807EBA">
            <w:pPr>
              <w:rPr>
                <w:rFonts w:ascii="Times New Roman" w:hAnsi="Times New Roman" w:cs="Times New Roman"/>
                <w:sz w:val="16"/>
                <w:szCs w:val="16"/>
              </w:rPr>
            </w:pPr>
          </w:p>
        </w:tc>
        <w:tc>
          <w:tcPr>
            <w:tcW w:w="1647" w:type="dxa"/>
            <w:vMerge/>
          </w:tcPr>
          <w:p w14:paraId="6EDE81CB" w14:textId="77777777" w:rsidR="009B1955" w:rsidRPr="00D860CC" w:rsidRDefault="009B1955" w:rsidP="00807EBA">
            <w:pPr>
              <w:rPr>
                <w:rFonts w:ascii="Times New Roman" w:hAnsi="Times New Roman" w:cs="Times New Roman"/>
                <w:sz w:val="16"/>
                <w:szCs w:val="16"/>
              </w:rPr>
            </w:pPr>
          </w:p>
        </w:tc>
        <w:tc>
          <w:tcPr>
            <w:tcW w:w="2342" w:type="dxa"/>
          </w:tcPr>
          <w:p w14:paraId="69263C6F" w14:textId="77777777" w:rsidR="009B1955" w:rsidRPr="00D860CC" w:rsidRDefault="009B1955" w:rsidP="00807EBA">
            <w:pPr>
              <w:rPr>
                <w:rFonts w:ascii="Times New Roman" w:hAnsi="Times New Roman" w:cs="Times New Roman"/>
                <w:sz w:val="16"/>
                <w:szCs w:val="16"/>
              </w:rPr>
            </w:pPr>
            <w:r w:rsidRPr="00D860CC">
              <w:rPr>
                <w:rFonts w:ascii="Times New Roman" w:hAnsi="Times New Roman" w:cs="Times New Roman"/>
                <w:sz w:val="16"/>
                <w:szCs w:val="16"/>
              </w:rPr>
              <w:t>FACIT (</w:t>
            </w:r>
            <w:r>
              <w:rPr>
                <w:rFonts w:ascii="Times New Roman" w:hAnsi="Times New Roman" w:cs="Times New Roman"/>
                <w:sz w:val="16"/>
                <w:szCs w:val="16"/>
              </w:rPr>
              <w:t>6</w:t>
            </w:r>
            <w:r w:rsidRPr="00D860CC">
              <w:rPr>
                <w:rFonts w:ascii="Times New Roman" w:hAnsi="Times New Roman" w:cs="Times New Roman"/>
                <w:sz w:val="16"/>
                <w:szCs w:val="16"/>
              </w:rPr>
              <w:t>)*</w:t>
            </w:r>
          </w:p>
        </w:tc>
        <w:tc>
          <w:tcPr>
            <w:tcW w:w="801" w:type="dxa"/>
          </w:tcPr>
          <w:p w14:paraId="7AE9598B" w14:textId="77777777" w:rsidR="009B1955" w:rsidRPr="00D860CC" w:rsidRDefault="009B1955" w:rsidP="00807EBA">
            <w:pPr>
              <w:rPr>
                <w:rFonts w:ascii="Times New Roman" w:hAnsi="Times New Roman" w:cs="Times New Roman"/>
                <w:sz w:val="16"/>
                <w:szCs w:val="16"/>
              </w:rPr>
            </w:pPr>
            <w:r w:rsidRPr="00D860CC">
              <w:rPr>
                <w:rFonts w:ascii="Times New Roman" w:hAnsi="Times New Roman" w:cs="Times New Roman"/>
                <w:sz w:val="16"/>
                <w:szCs w:val="16"/>
              </w:rPr>
              <w:t>N/A</w:t>
            </w:r>
          </w:p>
        </w:tc>
        <w:tc>
          <w:tcPr>
            <w:tcW w:w="5286" w:type="dxa"/>
          </w:tcPr>
          <w:p w14:paraId="651D26ED" w14:textId="77777777" w:rsidR="009B1955" w:rsidRPr="00D860CC" w:rsidRDefault="009B1955" w:rsidP="00807EBA">
            <w:pPr>
              <w:rPr>
                <w:rFonts w:ascii="Times New Roman" w:hAnsi="Times New Roman" w:cs="Times New Roman"/>
                <w:sz w:val="16"/>
                <w:szCs w:val="16"/>
              </w:rPr>
            </w:pPr>
            <w:r w:rsidRPr="00D860CC">
              <w:rPr>
                <w:rFonts w:ascii="Times New Roman" w:hAnsi="Times New Roman" w:cs="Times New Roman"/>
                <w:sz w:val="16"/>
                <w:szCs w:val="16"/>
              </w:rPr>
              <w:t xml:space="preserve">FACIT Searchable Library and Custom Form Developer (Build-a-PRO) </w:t>
            </w:r>
          </w:p>
        </w:tc>
        <w:tc>
          <w:tcPr>
            <w:tcW w:w="1773" w:type="dxa"/>
          </w:tcPr>
          <w:p w14:paraId="2A6B2EA3" w14:textId="77777777" w:rsidR="009B1955" w:rsidRPr="00D860CC" w:rsidRDefault="009B1955" w:rsidP="00807EBA">
            <w:pPr>
              <w:rPr>
                <w:rFonts w:ascii="Times New Roman" w:hAnsi="Times New Roman" w:cs="Times New Roman"/>
                <w:sz w:val="16"/>
                <w:szCs w:val="16"/>
              </w:rPr>
            </w:pPr>
            <w:r w:rsidRPr="00D860CC">
              <w:rPr>
                <w:rFonts w:ascii="Times New Roman" w:hAnsi="Times New Roman" w:cs="Times New Roman"/>
                <w:sz w:val="16"/>
                <w:szCs w:val="16"/>
              </w:rPr>
              <w:t>Website</w:t>
            </w:r>
          </w:p>
        </w:tc>
      </w:tr>
      <w:tr w:rsidR="009B1955" w:rsidRPr="00D860CC" w14:paraId="146A79FE" w14:textId="77777777" w:rsidTr="00807EBA">
        <w:tc>
          <w:tcPr>
            <w:tcW w:w="2099" w:type="dxa"/>
            <w:vMerge/>
          </w:tcPr>
          <w:p w14:paraId="3D612060" w14:textId="77777777" w:rsidR="009B1955" w:rsidRPr="00D860CC" w:rsidRDefault="009B1955" w:rsidP="00807EBA">
            <w:pPr>
              <w:rPr>
                <w:rFonts w:ascii="Times New Roman" w:hAnsi="Times New Roman" w:cs="Times New Roman"/>
                <w:sz w:val="16"/>
                <w:szCs w:val="16"/>
              </w:rPr>
            </w:pPr>
          </w:p>
        </w:tc>
        <w:tc>
          <w:tcPr>
            <w:tcW w:w="1647" w:type="dxa"/>
            <w:vMerge/>
          </w:tcPr>
          <w:p w14:paraId="5223DEA9" w14:textId="77777777" w:rsidR="009B1955" w:rsidRPr="00D860CC" w:rsidRDefault="009B1955" w:rsidP="00807EBA">
            <w:pPr>
              <w:rPr>
                <w:rFonts w:ascii="Times New Roman" w:hAnsi="Times New Roman" w:cs="Times New Roman"/>
                <w:sz w:val="16"/>
                <w:szCs w:val="16"/>
              </w:rPr>
            </w:pPr>
          </w:p>
        </w:tc>
        <w:tc>
          <w:tcPr>
            <w:tcW w:w="2342" w:type="dxa"/>
          </w:tcPr>
          <w:p w14:paraId="4521E6CA" w14:textId="77777777" w:rsidR="009B1955" w:rsidRPr="00D860CC" w:rsidRDefault="009B1955" w:rsidP="00807EBA">
            <w:pPr>
              <w:rPr>
                <w:rFonts w:ascii="Times New Roman" w:hAnsi="Times New Roman" w:cs="Times New Roman"/>
                <w:sz w:val="16"/>
                <w:szCs w:val="16"/>
              </w:rPr>
            </w:pPr>
            <w:r w:rsidRPr="00D860CC">
              <w:rPr>
                <w:rFonts w:ascii="Times New Roman" w:hAnsi="Times New Roman" w:cs="Times New Roman"/>
                <w:sz w:val="16"/>
                <w:szCs w:val="16"/>
              </w:rPr>
              <w:t>MDASI (</w:t>
            </w:r>
            <w:r>
              <w:rPr>
                <w:rFonts w:ascii="Times New Roman" w:hAnsi="Times New Roman" w:cs="Times New Roman"/>
                <w:sz w:val="16"/>
                <w:szCs w:val="16"/>
              </w:rPr>
              <w:t>7</w:t>
            </w:r>
            <w:r w:rsidRPr="00D860CC">
              <w:rPr>
                <w:rFonts w:ascii="Times New Roman" w:hAnsi="Times New Roman" w:cs="Times New Roman"/>
                <w:sz w:val="16"/>
                <w:szCs w:val="16"/>
              </w:rPr>
              <w:t>)</w:t>
            </w:r>
          </w:p>
        </w:tc>
        <w:tc>
          <w:tcPr>
            <w:tcW w:w="801" w:type="dxa"/>
          </w:tcPr>
          <w:p w14:paraId="409FB4B7" w14:textId="77777777" w:rsidR="009B1955" w:rsidRPr="00D860CC" w:rsidRDefault="009B1955" w:rsidP="00807EBA">
            <w:pPr>
              <w:rPr>
                <w:rFonts w:ascii="Times New Roman" w:hAnsi="Times New Roman" w:cs="Times New Roman"/>
                <w:sz w:val="16"/>
                <w:szCs w:val="16"/>
              </w:rPr>
            </w:pPr>
            <w:r w:rsidRPr="00D860CC">
              <w:rPr>
                <w:rFonts w:ascii="Times New Roman" w:hAnsi="Times New Roman" w:cs="Times New Roman"/>
                <w:sz w:val="16"/>
                <w:szCs w:val="16"/>
              </w:rPr>
              <w:t>N/A</w:t>
            </w:r>
          </w:p>
        </w:tc>
        <w:tc>
          <w:tcPr>
            <w:tcW w:w="5286" w:type="dxa"/>
          </w:tcPr>
          <w:p w14:paraId="49E4A872" w14:textId="77777777" w:rsidR="009B1955" w:rsidRPr="00D860CC" w:rsidRDefault="009B1955" w:rsidP="00807EBA">
            <w:pPr>
              <w:rPr>
                <w:rFonts w:ascii="Times New Roman" w:hAnsi="Times New Roman" w:cs="Times New Roman"/>
                <w:sz w:val="16"/>
                <w:szCs w:val="16"/>
              </w:rPr>
            </w:pPr>
            <w:r w:rsidRPr="00D860CC">
              <w:rPr>
                <w:rFonts w:ascii="Times New Roman" w:hAnsi="Times New Roman" w:cs="Times New Roman"/>
                <w:sz w:val="16"/>
                <w:szCs w:val="16"/>
              </w:rPr>
              <w:t>MDASI Symptom Library</w:t>
            </w:r>
          </w:p>
        </w:tc>
        <w:tc>
          <w:tcPr>
            <w:tcW w:w="1773" w:type="dxa"/>
          </w:tcPr>
          <w:p w14:paraId="641F00B1" w14:textId="77777777" w:rsidR="009B1955" w:rsidRPr="00D860CC" w:rsidRDefault="009B1955" w:rsidP="00807EBA">
            <w:pPr>
              <w:rPr>
                <w:rFonts w:ascii="Times New Roman" w:hAnsi="Times New Roman" w:cs="Times New Roman"/>
                <w:sz w:val="16"/>
                <w:szCs w:val="16"/>
              </w:rPr>
            </w:pPr>
            <w:r w:rsidRPr="00D860CC">
              <w:rPr>
                <w:rFonts w:ascii="Times New Roman" w:hAnsi="Times New Roman" w:cs="Times New Roman"/>
                <w:sz w:val="16"/>
                <w:szCs w:val="16"/>
              </w:rPr>
              <w:t>Website</w:t>
            </w:r>
          </w:p>
        </w:tc>
      </w:tr>
      <w:tr w:rsidR="009B1955" w:rsidRPr="00D860CC" w14:paraId="5BC1871B" w14:textId="77777777" w:rsidTr="00807EBA">
        <w:tc>
          <w:tcPr>
            <w:tcW w:w="2099" w:type="dxa"/>
            <w:vMerge/>
          </w:tcPr>
          <w:p w14:paraId="53D6CA22" w14:textId="77777777" w:rsidR="009B1955" w:rsidRPr="00D860CC" w:rsidRDefault="009B1955" w:rsidP="00807EBA">
            <w:pPr>
              <w:rPr>
                <w:rFonts w:ascii="Times New Roman" w:hAnsi="Times New Roman" w:cs="Times New Roman"/>
                <w:sz w:val="16"/>
                <w:szCs w:val="16"/>
              </w:rPr>
            </w:pPr>
          </w:p>
        </w:tc>
        <w:tc>
          <w:tcPr>
            <w:tcW w:w="1647" w:type="dxa"/>
            <w:vMerge/>
          </w:tcPr>
          <w:p w14:paraId="7215516A" w14:textId="77777777" w:rsidR="009B1955" w:rsidRPr="00D860CC" w:rsidRDefault="009B1955" w:rsidP="00807EBA">
            <w:pPr>
              <w:rPr>
                <w:rFonts w:ascii="Times New Roman" w:hAnsi="Times New Roman" w:cs="Times New Roman"/>
                <w:sz w:val="16"/>
                <w:szCs w:val="16"/>
              </w:rPr>
            </w:pPr>
          </w:p>
        </w:tc>
        <w:tc>
          <w:tcPr>
            <w:tcW w:w="2342" w:type="dxa"/>
          </w:tcPr>
          <w:p w14:paraId="36E15242" w14:textId="77777777" w:rsidR="009B1955" w:rsidRPr="00D860CC" w:rsidRDefault="009B1955" w:rsidP="00807EBA">
            <w:pPr>
              <w:rPr>
                <w:rFonts w:ascii="Times New Roman" w:hAnsi="Times New Roman" w:cs="Times New Roman"/>
                <w:sz w:val="16"/>
                <w:szCs w:val="16"/>
              </w:rPr>
            </w:pPr>
            <w:proofErr w:type="spellStart"/>
            <w:r w:rsidRPr="00D860CC">
              <w:rPr>
                <w:rFonts w:ascii="Times New Roman" w:hAnsi="Times New Roman" w:cs="Times New Roman"/>
                <w:sz w:val="16"/>
                <w:szCs w:val="16"/>
              </w:rPr>
              <w:t>Groenvold</w:t>
            </w:r>
            <w:proofErr w:type="spellEnd"/>
            <w:r w:rsidRPr="00D860CC">
              <w:rPr>
                <w:rFonts w:ascii="Times New Roman" w:hAnsi="Times New Roman" w:cs="Times New Roman"/>
                <w:sz w:val="16"/>
                <w:szCs w:val="16"/>
              </w:rPr>
              <w:t xml:space="preserve"> et al. (6</w:t>
            </w:r>
            <w:r>
              <w:rPr>
                <w:rFonts w:ascii="Times New Roman" w:hAnsi="Times New Roman" w:cs="Times New Roman"/>
                <w:sz w:val="16"/>
                <w:szCs w:val="16"/>
              </w:rPr>
              <w:t>2</w:t>
            </w:r>
            <w:r w:rsidRPr="00D860CC">
              <w:rPr>
                <w:rFonts w:ascii="Times New Roman" w:hAnsi="Times New Roman" w:cs="Times New Roman"/>
                <w:sz w:val="16"/>
                <w:szCs w:val="16"/>
              </w:rPr>
              <w:t>)</w:t>
            </w:r>
          </w:p>
        </w:tc>
        <w:tc>
          <w:tcPr>
            <w:tcW w:w="801" w:type="dxa"/>
          </w:tcPr>
          <w:p w14:paraId="7D1D8677" w14:textId="77777777" w:rsidR="009B1955" w:rsidRPr="00D860CC" w:rsidRDefault="009B1955" w:rsidP="00807EBA">
            <w:pPr>
              <w:rPr>
                <w:rFonts w:ascii="Times New Roman" w:hAnsi="Times New Roman" w:cs="Times New Roman"/>
                <w:sz w:val="16"/>
                <w:szCs w:val="16"/>
              </w:rPr>
            </w:pPr>
            <w:r w:rsidRPr="00D860CC">
              <w:rPr>
                <w:rFonts w:ascii="Times New Roman" w:hAnsi="Times New Roman" w:cs="Times New Roman"/>
                <w:sz w:val="16"/>
                <w:szCs w:val="16"/>
              </w:rPr>
              <w:t>2016</w:t>
            </w:r>
          </w:p>
        </w:tc>
        <w:tc>
          <w:tcPr>
            <w:tcW w:w="5286" w:type="dxa"/>
          </w:tcPr>
          <w:p w14:paraId="70BC70EC" w14:textId="77777777" w:rsidR="009B1955" w:rsidRPr="00D860CC" w:rsidRDefault="009B1955" w:rsidP="00807EBA">
            <w:pPr>
              <w:rPr>
                <w:rFonts w:ascii="Times New Roman" w:hAnsi="Times New Roman" w:cs="Times New Roman"/>
                <w:sz w:val="16"/>
                <w:szCs w:val="16"/>
              </w:rPr>
            </w:pPr>
            <w:r w:rsidRPr="00D860CC">
              <w:rPr>
                <w:rFonts w:ascii="Times New Roman" w:hAnsi="Times New Roman" w:cs="Times New Roman"/>
                <w:sz w:val="16"/>
                <w:szCs w:val="16"/>
              </w:rPr>
              <w:t>Focusing on core patient-reported outcomes in cancer clinical trials - Letter.</w:t>
            </w:r>
          </w:p>
        </w:tc>
        <w:tc>
          <w:tcPr>
            <w:tcW w:w="1773" w:type="dxa"/>
          </w:tcPr>
          <w:p w14:paraId="08450AF1" w14:textId="77777777" w:rsidR="009B1955" w:rsidRPr="00D860CC" w:rsidRDefault="009B1955" w:rsidP="00807EBA">
            <w:pPr>
              <w:rPr>
                <w:rFonts w:ascii="Times New Roman" w:hAnsi="Times New Roman" w:cs="Times New Roman"/>
                <w:sz w:val="16"/>
                <w:szCs w:val="16"/>
              </w:rPr>
            </w:pPr>
            <w:r w:rsidRPr="00D860CC">
              <w:rPr>
                <w:rFonts w:ascii="Times New Roman" w:hAnsi="Times New Roman" w:cs="Times New Roman"/>
                <w:sz w:val="16"/>
                <w:szCs w:val="16"/>
              </w:rPr>
              <w:t>Comment</w:t>
            </w:r>
          </w:p>
        </w:tc>
      </w:tr>
      <w:tr w:rsidR="009B1955" w:rsidRPr="00D860CC" w14:paraId="4A36CD5F" w14:textId="77777777" w:rsidTr="00807EBA">
        <w:tc>
          <w:tcPr>
            <w:tcW w:w="2099" w:type="dxa"/>
            <w:vMerge/>
          </w:tcPr>
          <w:p w14:paraId="2A69028F" w14:textId="77777777" w:rsidR="009B1955" w:rsidRPr="00D860CC" w:rsidRDefault="009B1955" w:rsidP="00807EBA">
            <w:pPr>
              <w:rPr>
                <w:rFonts w:ascii="Times New Roman" w:hAnsi="Times New Roman" w:cs="Times New Roman"/>
                <w:sz w:val="16"/>
                <w:szCs w:val="16"/>
              </w:rPr>
            </w:pPr>
          </w:p>
        </w:tc>
        <w:tc>
          <w:tcPr>
            <w:tcW w:w="1647" w:type="dxa"/>
            <w:vMerge/>
          </w:tcPr>
          <w:p w14:paraId="1993E312" w14:textId="77777777" w:rsidR="009B1955" w:rsidRPr="00D860CC" w:rsidRDefault="009B1955" w:rsidP="00807EBA">
            <w:pPr>
              <w:rPr>
                <w:rFonts w:ascii="Times New Roman" w:hAnsi="Times New Roman" w:cs="Times New Roman"/>
                <w:sz w:val="16"/>
                <w:szCs w:val="16"/>
              </w:rPr>
            </w:pPr>
          </w:p>
        </w:tc>
        <w:tc>
          <w:tcPr>
            <w:tcW w:w="2342" w:type="dxa"/>
          </w:tcPr>
          <w:p w14:paraId="597AE914" w14:textId="77777777" w:rsidR="009B1955" w:rsidRPr="00D860CC" w:rsidRDefault="009B1955" w:rsidP="00807EBA">
            <w:pPr>
              <w:rPr>
                <w:rFonts w:ascii="Times New Roman" w:hAnsi="Times New Roman" w:cs="Times New Roman"/>
                <w:sz w:val="16"/>
                <w:szCs w:val="16"/>
              </w:rPr>
            </w:pPr>
            <w:proofErr w:type="spellStart"/>
            <w:r w:rsidRPr="00D860CC">
              <w:rPr>
                <w:rFonts w:ascii="Times New Roman" w:hAnsi="Times New Roman" w:cs="Times New Roman"/>
                <w:sz w:val="16"/>
                <w:szCs w:val="16"/>
              </w:rPr>
              <w:t>Kuliś</w:t>
            </w:r>
            <w:proofErr w:type="spellEnd"/>
            <w:r w:rsidRPr="00D860CC">
              <w:rPr>
                <w:rFonts w:ascii="Times New Roman" w:hAnsi="Times New Roman" w:cs="Times New Roman"/>
                <w:sz w:val="16"/>
                <w:szCs w:val="16"/>
              </w:rPr>
              <w:t xml:space="preserve"> et al. (6</w:t>
            </w:r>
            <w:r>
              <w:rPr>
                <w:rFonts w:ascii="Times New Roman" w:hAnsi="Times New Roman" w:cs="Times New Roman"/>
                <w:sz w:val="16"/>
                <w:szCs w:val="16"/>
              </w:rPr>
              <w:t>3</w:t>
            </w:r>
            <w:r w:rsidRPr="00D860CC">
              <w:rPr>
                <w:rFonts w:ascii="Times New Roman" w:hAnsi="Times New Roman" w:cs="Times New Roman"/>
                <w:sz w:val="16"/>
                <w:szCs w:val="16"/>
              </w:rPr>
              <w:t>)</w:t>
            </w:r>
          </w:p>
        </w:tc>
        <w:tc>
          <w:tcPr>
            <w:tcW w:w="801" w:type="dxa"/>
          </w:tcPr>
          <w:p w14:paraId="5B4C7F4D" w14:textId="77777777" w:rsidR="009B1955" w:rsidRPr="00D860CC" w:rsidRDefault="009B1955" w:rsidP="00807EBA">
            <w:pPr>
              <w:rPr>
                <w:rFonts w:ascii="Times New Roman" w:hAnsi="Times New Roman" w:cs="Times New Roman"/>
                <w:sz w:val="16"/>
                <w:szCs w:val="16"/>
              </w:rPr>
            </w:pPr>
            <w:r w:rsidRPr="00D860CC">
              <w:rPr>
                <w:rFonts w:ascii="Times New Roman" w:hAnsi="Times New Roman" w:cs="Times New Roman"/>
                <w:sz w:val="16"/>
                <w:szCs w:val="16"/>
              </w:rPr>
              <w:t>2019</w:t>
            </w:r>
          </w:p>
        </w:tc>
        <w:tc>
          <w:tcPr>
            <w:tcW w:w="5286" w:type="dxa"/>
          </w:tcPr>
          <w:p w14:paraId="20BCA16A" w14:textId="77777777" w:rsidR="009B1955" w:rsidRPr="00D860CC" w:rsidRDefault="009B1955" w:rsidP="00807EBA">
            <w:pPr>
              <w:rPr>
                <w:rFonts w:ascii="Times New Roman" w:hAnsi="Times New Roman" w:cs="Times New Roman"/>
                <w:sz w:val="16"/>
                <w:szCs w:val="16"/>
              </w:rPr>
            </w:pPr>
            <w:r w:rsidRPr="00D860CC">
              <w:rPr>
                <w:rFonts w:ascii="Times New Roman" w:hAnsi="Times New Roman" w:cs="Times New Roman"/>
                <w:sz w:val="16"/>
                <w:szCs w:val="16"/>
              </w:rPr>
              <w:t>PCN45 What to choose? creating a patient-reported outcomes (PRO) assessment strategy with EORTC measures and Item Library that can meet the needs of regulators</w:t>
            </w:r>
          </w:p>
        </w:tc>
        <w:tc>
          <w:tcPr>
            <w:tcW w:w="1773" w:type="dxa"/>
          </w:tcPr>
          <w:p w14:paraId="7F891D52" w14:textId="77777777" w:rsidR="009B1955" w:rsidRPr="00D860CC" w:rsidRDefault="009B1955" w:rsidP="00807EBA">
            <w:pPr>
              <w:rPr>
                <w:rFonts w:ascii="Times New Roman" w:hAnsi="Times New Roman" w:cs="Times New Roman"/>
                <w:sz w:val="16"/>
                <w:szCs w:val="16"/>
              </w:rPr>
            </w:pPr>
            <w:r w:rsidRPr="00D860CC">
              <w:rPr>
                <w:rFonts w:ascii="Times New Roman" w:hAnsi="Times New Roman" w:cs="Times New Roman"/>
                <w:sz w:val="16"/>
                <w:szCs w:val="16"/>
              </w:rPr>
              <w:t>Conference abstract</w:t>
            </w:r>
          </w:p>
        </w:tc>
      </w:tr>
    </w:tbl>
    <w:p w14:paraId="337195A5" w14:textId="77777777" w:rsidR="009B1955" w:rsidRPr="00D860CC" w:rsidRDefault="009B1955" w:rsidP="009B1955">
      <w:pPr>
        <w:rPr>
          <w:rFonts w:ascii="Times New Roman" w:hAnsi="Times New Roman" w:cs="Times New Roman"/>
          <w:sz w:val="16"/>
          <w:szCs w:val="16"/>
        </w:rPr>
      </w:pPr>
      <w:r w:rsidRPr="00D860CC">
        <w:rPr>
          <w:rFonts w:ascii="Times New Roman" w:hAnsi="Times New Roman" w:cs="Times New Roman"/>
          <w:noProof/>
          <w:sz w:val="16"/>
          <w:szCs w:val="16"/>
        </w:rPr>
        <mc:AlternateContent>
          <mc:Choice Requires="wps">
            <w:drawing>
              <wp:anchor distT="45720" distB="45720" distL="114300" distR="114300" simplePos="0" relativeHeight="251692032" behindDoc="0" locked="0" layoutInCell="1" allowOverlap="1" wp14:anchorId="76144B5A" wp14:editId="039BA965">
                <wp:simplePos x="0" y="0"/>
                <wp:positionH relativeFrom="column">
                  <wp:posOffset>27940</wp:posOffset>
                </wp:positionH>
                <wp:positionV relativeFrom="paragraph">
                  <wp:posOffset>107315</wp:posOffset>
                </wp:positionV>
                <wp:extent cx="2360930" cy="1404620"/>
                <wp:effectExtent l="0" t="0" r="13335" b="27305"/>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ysClr val="window" lastClr="FFFFFF"/>
                          </a:solidFill>
                          <a:miter lim="800000"/>
                          <a:headEnd/>
                          <a:tailEnd/>
                        </a:ln>
                      </wps:spPr>
                      <wps:txbx>
                        <w:txbxContent>
                          <w:p w14:paraId="01122DB1" w14:textId="77777777" w:rsidR="009B1955" w:rsidRPr="00421B68" w:rsidRDefault="009B1955" w:rsidP="009B1955">
                            <w:pPr>
                              <w:rPr>
                                <w:rFonts w:ascii="Times New Roman" w:hAnsi="Times New Roman" w:cs="Times New Roman"/>
                                <w:sz w:val="16"/>
                                <w:szCs w:val="16"/>
                              </w:rPr>
                            </w:pPr>
                            <w:r w:rsidRPr="00421B68">
                              <w:rPr>
                                <w:rFonts w:ascii="Times New Roman" w:hAnsi="Times New Roman" w:cs="Times New Roman"/>
                                <w:sz w:val="16"/>
                                <w:szCs w:val="16"/>
                              </w:rPr>
                              <w:t>*Source used in more than one set of recommendations</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76144B5A" id="_x0000_s1034" type="#_x0000_t202" style="position:absolute;margin-left:2.2pt;margin-top:8.45pt;width:185.9pt;height:110.6pt;z-index:25169203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" strokecolor="window">
                <v:textbox style="mso-fit-shape-to-text:t">
                  <w:txbxContent>
                    <w:p w14:paraId="01122DB1" w14:textId="77777777" w:rsidR="009B1955" w:rsidRPr="00421B68" w:rsidRDefault="009B1955" w:rsidP="009B1955">
                      <w:pPr>
                        <w:rPr>
                          <w:rFonts w:ascii="Times New Roman" w:hAnsi="Times New Roman" w:cs="Times New Roman"/>
                          <w:sz w:val="16"/>
                          <w:szCs w:val="16"/>
                        </w:rPr>
                      </w:pPr>
                      <w:r w:rsidRPr="00421B68">
                        <w:rPr>
                          <w:rFonts w:ascii="Times New Roman" w:hAnsi="Times New Roman" w:cs="Times New Roman"/>
                          <w:sz w:val="16"/>
                          <w:szCs w:val="16"/>
                        </w:rPr>
                        <w:t>*Source used in more than one set of recommendations</w:t>
                      </w:r>
                    </w:p>
                  </w:txbxContent>
                </v:textbox>
                <w10:wrap type="square"/>
              </v:shape>
            </w:pict>
          </mc:Fallback>
        </mc:AlternateContent>
      </w:r>
    </w:p>
    <w:p w14:paraId="2786B681" w14:textId="77777777" w:rsidR="009B1955" w:rsidRDefault="009B1955" w:rsidP="009B1955"/>
    <w:p w14:paraId="29C3ABC5" w14:textId="77777777" w:rsidR="0032603F" w:rsidRPr="00E14F7D" w:rsidRDefault="0032603F" w:rsidP="00D8372B">
      <w:pPr>
        <w:rPr>
          <w:rFonts w:ascii="Times New Roman" w:eastAsia="Arial" w:hAnsi="Times New Roman" w:cs="Times New Roman"/>
        </w:rPr>
      </w:pPr>
    </w:p>
    <w:sectPr w:rsidR="0032603F" w:rsidRPr="00E14F7D" w:rsidSect="009B1955">
      <w:headerReference w:type="default" r:id="rId18"/>
      <w:footerReference w:type="default" r:id="rId19"/>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AE0F7E" w14:textId="77777777" w:rsidR="00886EF3" w:rsidRDefault="00886EF3" w:rsidP="00BA51BF">
      <w:pPr>
        <w:spacing w:after="0" w:line="240" w:lineRule="auto"/>
      </w:pPr>
      <w:r>
        <w:separator/>
      </w:r>
    </w:p>
  </w:endnote>
  <w:endnote w:type="continuationSeparator" w:id="0">
    <w:p w14:paraId="11477B75" w14:textId="77777777" w:rsidR="00886EF3" w:rsidRDefault="00886EF3" w:rsidP="00BA51BF">
      <w:pPr>
        <w:spacing w:after="0" w:line="240" w:lineRule="auto"/>
      </w:pPr>
      <w:r>
        <w:continuationSeparator/>
      </w:r>
    </w:p>
  </w:endnote>
  <w:endnote w:type="continuationNotice" w:id="1">
    <w:p w14:paraId="0EC46683" w14:textId="77777777" w:rsidR="00886EF3" w:rsidRDefault="00886EF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9668676"/>
      <w:docPartObj>
        <w:docPartGallery w:val="Page Numbers (Bottom of Page)"/>
        <w:docPartUnique/>
      </w:docPartObj>
    </w:sdtPr>
    <w:sdtEndPr>
      <w:rPr>
        <w:noProof/>
      </w:rPr>
    </w:sdtEndPr>
    <w:sdtContent>
      <w:p w14:paraId="7A5BB879" w14:textId="25DF41EB" w:rsidR="003476C1" w:rsidRDefault="003476C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EF8004B" w14:textId="77777777" w:rsidR="003476C1" w:rsidRDefault="003476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21563805"/>
      <w:docPartObj>
        <w:docPartGallery w:val="Page Numbers (Bottom of Page)"/>
        <w:docPartUnique/>
      </w:docPartObj>
    </w:sdtPr>
    <w:sdtEndPr>
      <w:rPr>
        <w:noProof/>
      </w:rPr>
    </w:sdtEndPr>
    <w:sdtContent>
      <w:p w14:paraId="4B7B1F61" w14:textId="77777777" w:rsidR="009B1955" w:rsidRDefault="009B195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D6F9D76" w14:textId="77777777" w:rsidR="009B1955" w:rsidRDefault="009B195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38069014"/>
      <w:docPartObj>
        <w:docPartGallery w:val="Page Numbers (Bottom of Page)"/>
        <w:docPartUnique/>
      </w:docPartObj>
    </w:sdtPr>
    <w:sdtEndPr>
      <w:rPr>
        <w:noProof/>
      </w:rPr>
    </w:sdtEndPr>
    <w:sdtContent>
      <w:p w14:paraId="66DF4D76" w14:textId="77777777" w:rsidR="00725CB3" w:rsidRDefault="00725CB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FABA0BB" w14:textId="77777777" w:rsidR="00725CB3" w:rsidRDefault="00725CB3">
    <w:pPr>
      <w:pStyle w:val="Footer"/>
    </w:pPr>
  </w:p>
  <w:p w14:paraId="3D38970D" w14:textId="77777777" w:rsidR="00B459E7" w:rsidRDefault="00B459E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2A1BCF" w14:textId="77777777" w:rsidR="00886EF3" w:rsidRDefault="00886EF3" w:rsidP="00BA51BF">
      <w:pPr>
        <w:spacing w:after="0" w:line="240" w:lineRule="auto"/>
      </w:pPr>
      <w:r>
        <w:separator/>
      </w:r>
    </w:p>
  </w:footnote>
  <w:footnote w:type="continuationSeparator" w:id="0">
    <w:p w14:paraId="2EBD96D3" w14:textId="77777777" w:rsidR="00886EF3" w:rsidRDefault="00886EF3" w:rsidP="00BA51BF">
      <w:pPr>
        <w:spacing w:after="0" w:line="240" w:lineRule="auto"/>
      </w:pPr>
      <w:r>
        <w:continuationSeparator/>
      </w:r>
    </w:p>
  </w:footnote>
  <w:footnote w:type="continuationNotice" w:id="1">
    <w:p w14:paraId="27FDD977" w14:textId="77777777" w:rsidR="00886EF3" w:rsidRDefault="00886EF3">
      <w:pPr>
        <w:spacing w:after="0" w:line="240" w:lineRule="auto"/>
      </w:pPr>
    </w:p>
  </w:footnote>
  <w:footnote w:id="2">
    <w:p w14:paraId="05BE382D" w14:textId="77777777" w:rsidR="009B1955" w:rsidRPr="00B2722F" w:rsidRDefault="009B1955" w:rsidP="009B1955">
      <w:pPr>
        <w:pStyle w:val="FootnoteText"/>
        <w:rPr>
          <w:rFonts w:ascii="Times New Roman" w:hAnsi="Times New Roman" w:cs="Times New Roman"/>
        </w:rPr>
      </w:pPr>
      <w:r w:rsidRPr="00B2722F">
        <w:rPr>
          <w:rStyle w:val="FootnoteReference"/>
          <w:rFonts w:ascii="Times New Roman" w:hAnsi="Times New Roman" w:cs="Times New Roman"/>
        </w:rPr>
        <w:footnoteRef/>
      </w:r>
      <w:r w:rsidRPr="00B2722F">
        <w:rPr>
          <w:rFonts w:ascii="Times New Roman" w:hAnsi="Times New Roman" w:cs="Times New Roman"/>
        </w:rPr>
        <w:t xml:space="preserve"> </w:t>
      </w:r>
      <w:r w:rsidRPr="00B2722F">
        <w:rPr>
          <w:rFonts w:ascii="Times New Roman" w:hAnsi="Times New Roman" w:cs="Times New Roman"/>
          <w:sz w:val="16"/>
          <w:szCs w:val="16"/>
        </w:rPr>
        <w:t>ICH. International Council for Harmonisation of Technical Requirements for Pharmaceuticals for Human Use (ICH), Integrated Addendum to ICH E6(r1): Guideline for Good Clinical Practice E6(r2), EMA/CHMP/ICH/135/1995 [Internet]. 2016. Available from: https://www.ich.org</w:t>
      </w:r>
    </w:p>
  </w:footnote>
  <w:footnote w:id="3">
    <w:p w14:paraId="6D7DB777" w14:textId="77777777" w:rsidR="009B1955" w:rsidRDefault="009B1955" w:rsidP="009B1955">
      <w:pPr>
        <w:pStyle w:val="FootnoteText"/>
      </w:pPr>
      <w:r>
        <w:rPr>
          <w:rStyle w:val="FootnoteReference"/>
        </w:rPr>
        <w:footnoteRef/>
      </w:r>
      <w:r>
        <w:t xml:space="preserve"> </w:t>
      </w:r>
      <w:r w:rsidRPr="00B2722F">
        <w:rPr>
          <w:rFonts w:ascii="Times New Roman" w:hAnsi="Times New Roman" w:cs="Times New Roman"/>
          <w:sz w:val="16"/>
          <w:szCs w:val="16"/>
        </w:rPr>
        <w:t>Nguyen TH, Han HR, Kim MT, Chan KS. An introduction to item response theory for patient-reported outcome measurement. Patient. 2014.</w:t>
      </w:r>
    </w:p>
  </w:footnote>
  <w:footnote w:id="4">
    <w:p w14:paraId="0AF43503" w14:textId="77777777" w:rsidR="009B1955" w:rsidRDefault="009B1955" w:rsidP="009B1955">
      <w:pPr>
        <w:pStyle w:val="FootnoteText"/>
      </w:pPr>
      <w:r>
        <w:rPr>
          <w:rStyle w:val="FootnoteReference"/>
        </w:rPr>
        <w:footnoteRef/>
      </w:r>
      <w:r>
        <w:t xml:space="preserve"> </w:t>
      </w:r>
      <w:r w:rsidRPr="00B2722F">
        <w:rPr>
          <w:rFonts w:ascii="Times New Roman" w:hAnsi="Times New Roman" w:cs="Times New Roman"/>
          <w:sz w:val="16"/>
          <w:szCs w:val="16"/>
        </w:rPr>
        <w:t xml:space="preserve">FDA. Guidance for Industry; Patient-Reported Outcome Measures: Use in Medical Product Development to Support </w:t>
      </w:r>
      <w:proofErr w:type="spellStart"/>
      <w:r w:rsidRPr="00B2722F">
        <w:rPr>
          <w:rFonts w:ascii="Times New Roman" w:hAnsi="Times New Roman" w:cs="Times New Roman"/>
          <w:sz w:val="16"/>
          <w:szCs w:val="16"/>
        </w:rPr>
        <w:t>Labeling</w:t>
      </w:r>
      <w:proofErr w:type="spellEnd"/>
      <w:r w:rsidRPr="00B2722F">
        <w:rPr>
          <w:rFonts w:ascii="Times New Roman" w:hAnsi="Times New Roman" w:cs="Times New Roman"/>
          <w:sz w:val="16"/>
          <w:szCs w:val="16"/>
        </w:rPr>
        <w:t xml:space="preserve"> Claims. Clin Fed </w:t>
      </w:r>
      <w:proofErr w:type="spellStart"/>
      <w:r w:rsidRPr="00B2722F">
        <w:rPr>
          <w:rFonts w:ascii="Times New Roman" w:hAnsi="Times New Roman" w:cs="Times New Roman"/>
          <w:sz w:val="16"/>
          <w:szCs w:val="16"/>
        </w:rPr>
        <w:t>Regist</w:t>
      </w:r>
      <w:proofErr w:type="spellEnd"/>
      <w:r w:rsidRPr="00B2722F">
        <w:rPr>
          <w:rFonts w:ascii="Times New Roman" w:hAnsi="Times New Roman" w:cs="Times New Roman"/>
          <w:sz w:val="16"/>
          <w:szCs w:val="16"/>
        </w:rPr>
        <w:t>. 2009.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003476C1" w14:paraId="4F26C9D5" w14:textId="77777777" w:rsidTr="00B961DD">
      <w:tc>
        <w:tcPr>
          <w:tcW w:w="3005" w:type="dxa"/>
        </w:tcPr>
        <w:p w14:paraId="2C39F5F9" w14:textId="56FCD9AD" w:rsidR="003476C1" w:rsidRDefault="003476C1" w:rsidP="00B961DD">
          <w:pPr>
            <w:pStyle w:val="Header"/>
            <w:ind w:left="-115"/>
          </w:pPr>
        </w:p>
      </w:tc>
      <w:tc>
        <w:tcPr>
          <w:tcW w:w="3005" w:type="dxa"/>
        </w:tcPr>
        <w:p w14:paraId="01A2ADF0" w14:textId="7E38BDFE" w:rsidR="003476C1" w:rsidRDefault="003476C1" w:rsidP="00B961DD">
          <w:pPr>
            <w:pStyle w:val="Header"/>
            <w:jc w:val="center"/>
          </w:pPr>
        </w:p>
      </w:tc>
      <w:tc>
        <w:tcPr>
          <w:tcW w:w="3005" w:type="dxa"/>
        </w:tcPr>
        <w:p w14:paraId="61D9823C" w14:textId="6DC7A1B5" w:rsidR="003476C1" w:rsidRDefault="003476C1" w:rsidP="00B961DD">
          <w:pPr>
            <w:pStyle w:val="Header"/>
            <w:ind w:right="-115"/>
            <w:jc w:val="right"/>
          </w:pPr>
        </w:p>
      </w:tc>
    </w:tr>
  </w:tbl>
  <w:p w14:paraId="5A2DF41C" w14:textId="0EDF4027" w:rsidR="003476C1" w:rsidRDefault="003476C1" w:rsidP="00B961D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5130"/>
      <w:gridCol w:w="5130"/>
      <w:gridCol w:w="5130"/>
    </w:tblGrid>
    <w:tr w:rsidR="003476C1" w14:paraId="091E78BA" w14:textId="77777777" w:rsidTr="00B961DD">
      <w:tc>
        <w:tcPr>
          <w:tcW w:w="5130" w:type="dxa"/>
        </w:tcPr>
        <w:p w14:paraId="22FEE785" w14:textId="72CB77F1" w:rsidR="003476C1" w:rsidRDefault="003476C1" w:rsidP="00B961DD">
          <w:pPr>
            <w:pStyle w:val="Header"/>
            <w:ind w:left="-115"/>
          </w:pPr>
        </w:p>
      </w:tc>
      <w:tc>
        <w:tcPr>
          <w:tcW w:w="5130" w:type="dxa"/>
        </w:tcPr>
        <w:p w14:paraId="7DE06C23" w14:textId="3574F317" w:rsidR="003476C1" w:rsidRDefault="003476C1" w:rsidP="00B961DD">
          <w:pPr>
            <w:pStyle w:val="Header"/>
            <w:jc w:val="center"/>
          </w:pPr>
        </w:p>
      </w:tc>
      <w:tc>
        <w:tcPr>
          <w:tcW w:w="5130" w:type="dxa"/>
        </w:tcPr>
        <w:p w14:paraId="0EDC65E7" w14:textId="7EE98242" w:rsidR="003476C1" w:rsidRDefault="003476C1" w:rsidP="00B961DD">
          <w:pPr>
            <w:pStyle w:val="Header"/>
            <w:ind w:right="-115"/>
            <w:jc w:val="right"/>
          </w:pPr>
        </w:p>
      </w:tc>
    </w:tr>
  </w:tbl>
  <w:p w14:paraId="6E635D9D" w14:textId="0AF3054A" w:rsidR="003476C1" w:rsidRDefault="003476C1" w:rsidP="00B961D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003476C1" w14:paraId="51E248D7" w14:textId="77777777" w:rsidTr="00B961DD">
      <w:tc>
        <w:tcPr>
          <w:tcW w:w="3005" w:type="dxa"/>
        </w:tcPr>
        <w:p w14:paraId="3892B40A" w14:textId="76243104" w:rsidR="003476C1" w:rsidRDefault="003476C1" w:rsidP="00B961DD">
          <w:pPr>
            <w:pStyle w:val="Header"/>
            <w:ind w:left="-115"/>
          </w:pPr>
        </w:p>
      </w:tc>
      <w:tc>
        <w:tcPr>
          <w:tcW w:w="3005" w:type="dxa"/>
        </w:tcPr>
        <w:p w14:paraId="4B00F576" w14:textId="76FDEB4B" w:rsidR="003476C1" w:rsidRDefault="003476C1" w:rsidP="00B961DD">
          <w:pPr>
            <w:pStyle w:val="Header"/>
            <w:jc w:val="center"/>
          </w:pPr>
        </w:p>
      </w:tc>
      <w:tc>
        <w:tcPr>
          <w:tcW w:w="3005" w:type="dxa"/>
        </w:tcPr>
        <w:p w14:paraId="359E5191" w14:textId="725CF126" w:rsidR="003476C1" w:rsidRDefault="003476C1" w:rsidP="00B961DD">
          <w:pPr>
            <w:pStyle w:val="Header"/>
            <w:ind w:right="-115"/>
            <w:jc w:val="right"/>
          </w:pPr>
        </w:p>
      </w:tc>
    </w:tr>
  </w:tbl>
  <w:p w14:paraId="70D8A717" w14:textId="5C96BEAF" w:rsidR="003476C1" w:rsidRDefault="003476C1" w:rsidP="00B961D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003476C1" w14:paraId="041956C1" w14:textId="77777777" w:rsidTr="00B961DD">
      <w:tc>
        <w:tcPr>
          <w:tcW w:w="3005" w:type="dxa"/>
        </w:tcPr>
        <w:p w14:paraId="3415FB0A" w14:textId="226772F6" w:rsidR="003476C1" w:rsidRDefault="003476C1" w:rsidP="00B961DD">
          <w:pPr>
            <w:pStyle w:val="Header"/>
            <w:ind w:left="-115"/>
          </w:pPr>
        </w:p>
      </w:tc>
      <w:tc>
        <w:tcPr>
          <w:tcW w:w="3005" w:type="dxa"/>
        </w:tcPr>
        <w:p w14:paraId="1BF62D18" w14:textId="0B61C097" w:rsidR="003476C1" w:rsidRDefault="003476C1" w:rsidP="00B961DD">
          <w:pPr>
            <w:pStyle w:val="Header"/>
            <w:jc w:val="center"/>
          </w:pPr>
        </w:p>
      </w:tc>
      <w:tc>
        <w:tcPr>
          <w:tcW w:w="3005" w:type="dxa"/>
        </w:tcPr>
        <w:p w14:paraId="204F5346" w14:textId="520F01F2" w:rsidR="003476C1" w:rsidRDefault="003476C1" w:rsidP="00B961DD">
          <w:pPr>
            <w:pStyle w:val="Header"/>
            <w:ind w:right="-115"/>
            <w:jc w:val="right"/>
          </w:pPr>
        </w:p>
      </w:tc>
    </w:tr>
  </w:tbl>
  <w:p w14:paraId="697B9ED2" w14:textId="26375EE9" w:rsidR="003476C1" w:rsidRDefault="003476C1" w:rsidP="00B961D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724573" w14:textId="77777777" w:rsidR="009B1955" w:rsidRDefault="009B1955" w:rsidP="00B2722F">
    <w:pPr>
      <w:pStyle w:val="Header"/>
      <w:tabs>
        <w:tab w:val="clear" w:pos="4513"/>
        <w:tab w:val="clear" w:pos="9026"/>
        <w:tab w:val="left" w:pos="3015"/>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0BAB2" w14:textId="77777777" w:rsidR="00725CB3" w:rsidRDefault="00725CB3" w:rsidP="00B2722F">
    <w:pPr>
      <w:pStyle w:val="Header"/>
      <w:tabs>
        <w:tab w:val="clear" w:pos="4513"/>
        <w:tab w:val="clear" w:pos="9026"/>
        <w:tab w:val="left" w:pos="3015"/>
      </w:tabs>
    </w:pPr>
    <w:r>
      <w:tab/>
    </w:r>
  </w:p>
  <w:p w14:paraId="05C60BE8" w14:textId="77777777" w:rsidR="00B459E7" w:rsidRDefault="00B459E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B70708"/>
    <w:multiLevelType w:val="hybridMultilevel"/>
    <w:tmpl w:val="041E669C"/>
    <w:lvl w:ilvl="0" w:tplc="DBD888A8">
      <w:start w:val="1"/>
      <w:numFmt w:val="decimal"/>
      <w:lvlText w:val="%1."/>
      <w:lvlJc w:val="left"/>
      <w:pPr>
        <w:ind w:left="284" w:hanging="284"/>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2AA6474"/>
    <w:multiLevelType w:val="hybridMultilevel"/>
    <w:tmpl w:val="DF02F5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44754FF"/>
    <w:multiLevelType w:val="hybridMultilevel"/>
    <w:tmpl w:val="26DC1198"/>
    <w:lvl w:ilvl="0" w:tplc="37681AEA">
      <w:start w:val="1"/>
      <w:numFmt w:val="bullet"/>
      <w:lvlText w:val=""/>
      <w:lvlJc w:val="left"/>
      <w:pPr>
        <w:ind w:left="720" w:hanging="360"/>
      </w:pPr>
      <w:rPr>
        <w:rFonts w:ascii="Symbol" w:hAnsi="Symbol" w:hint="default"/>
      </w:rPr>
    </w:lvl>
    <w:lvl w:ilvl="1" w:tplc="E3B43456">
      <w:start w:val="1"/>
      <w:numFmt w:val="bullet"/>
      <w:lvlText w:val="o"/>
      <w:lvlJc w:val="left"/>
      <w:pPr>
        <w:ind w:left="1440" w:hanging="360"/>
      </w:pPr>
      <w:rPr>
        <w:rFonts w:ascii="Courier New" w:hAnsi="Courier New" w:hint="default"/>
      </w:rPr>
    </w:lvl>
    <w:lvl w:ilvl="2" w:tplc="43F698C4">
      <w:start w:val="1"/>
      <w:numFmt w:val="bullet"/>
      <w:lvlText w:val=""/>
      <w:lvlJc w:val="left"/>
      <w:pPr>
        <w:ind w:left="2160" w:hanging="360"/>
      </w:pPr>
      <w:rPr>
        <w:rFonts w:ascii="Wingdings" w:hAnsi="Wingdings" w:hint="default"/>
      </w:rPr>
    </w:lvl>
    <w:lvl w:ilvl="3" w:tplc="443046E6">
      <w:start w:val="1"/>
      <w:numFmt w:val="bullet"/>
      <w:lvlText w:val=""/>
      <w:lvlJc w:val="left"/>
      <w:pPr>
        <w:ind w:left="2880" w:hanging="360"/>
      </w:pPr>
      <w:rPr>
        <w:rFonts w:ascii="Symbol" w:hAnsi="Symbol" w:hint="default"/>
      </w:rPr>
    </w:lvl>
    <w:lvl w:ilvl="4" w:tplc="7528FE8A">
      <w:start w:val="1"/>
      <w:numFmt w:val="bullet"/>
      <w:lvlText w:val="o"/>
      <w:lvlJc w:val="left"/>
      <w:pPr>
        <w:ind w:left="3600" w:hanging="360"/>
      </w:pPr>
      <w:rPr>
        <w:rFonts w:ascii="Courier New" w:hAnsi="Courier New" w:hint="default"/>
      </w:rPr>
    </w:lvl>
    <w:lvl w:ilvl="5" w:tplc="AE36D2C8">
      <w:start w:val="1"/>
      <w:numFmt w:val="bullet"/>
      <w:lvlText w:val=""/>
      <w:lvlJc w:val="left"/>
      <w:pPr>
        <w:ind w:left="4320" w:hanging="360"/>
      </w:pPr>
      <w:rPr>
        <w:rFonts w:ascii="Wingdings" w:hAnsi="Wingdings" w:hint="default"/>
      </w:rPr>
    </w:lvl>
    <w:lvl w:ilvl="6" w:tplc="CCCEAF7A">
      <w:start w:val="1"/>
      <w:numFmt w:val="bullet"/>
      <w:lvlText w:val=""/>
      <w:lvlJc w:val="left"/>
      <w:pPr>
        <w:ind w:left="5040" w:hanging="360"/>
      </w:pPr>
      <w:rPr>
        <w:rFonts w:ascii="Symbol" w:hAnsi="Symbol" w:hint="default"/>
      </w:rPr>
    </w:lvl>
    <w:lvl w:ilvl="7" w:tplc="68641DBE">
      <w:start w:val="1"/>
      <w:numFmt w:val="bullet"/>
      <w:lvlText w:val="o"/>
      <w:lvlJc w:val="left"/>
      <w:pPr>
        <w:ind w:left="5760" w:hanging="360"/>
      </w:pPr>
      <w:rPr>
        <w:rFonts w:ascii="Courier New" w:hAnsi="Courier New" w:hint="default"/>
      </w:rPr>
    </w:lvl>
    <w:lvl w:ilvl="8" w:tplc="57DAC15C">
      <w:start w:val="1"/>
      <w:numFmt w:val="bullet"/>
      <w:lvlText w:val=""/>
      <w:lvlJc w:val="left"/>
      <w:pPr>
        <w:ind w:left="6480" w:hanging="360"/>
      </w:pPr>
      <w:rPr>
        <w:rFonts w:ascii="Wingdings" w:hAnsi="Wingdings" w:hint="default"/>
      </w:rPr>
    </w:lvl>
  </w:abstractNum>
  <w:abstractNum w:abstractNumId="3" w15:restartNumberingAfterBreak="0">
    <w:nsid w:val="3C0A7B35"/>
    <w:multiLevelType w:val="hybridMultilevel"/>
    <w:tmpl w:val="308E3B5A"/>
    <w:lvl w:ilvl="0" w:tplc="3D507BC6">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1B755A7"/>
    <w:multiLevelType w:val="hybridMultilevel"/>
    <w:tmpl w:val="26FAD0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EFA55FD"/>
    <w:multiLevelType w:val="hybridMultilevel"/>
    <w:tmpl w:val="49C217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B026E2E"/>
    <w:multiLevelType w:val="hybridMultilevel"/>
    <w:tmpl w:val="05B08408"/>
    <w:lvl w:ilvl="0" w:tplc="3A72A5F2">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00059868">
    <w:abstractNumId w:val="2"/>
  </w:num>
  <w:num w:numId="2" w16cid:durableId="1085607956">
    <w:abstractNumId w:val="6"/>
  </w:num>
  <w:num w:numId="3" w16cid:durableId="1964460869">
    <w:abstractNumId w:val="3"/>
  </w:num>
  <w:num w:numId="4" w16cid:durableId="238447143">
    <w:abstractNumId w:val="5"/>
  </w:num>
  <w:num w:numId="5" w16cid:durableId="2076973724">
    <w:abstractNumId w:val="4"/>
  </w:num>
  <w:num w:numId="6" w16cid:durableId="2033601694">
    <w:abstractNumId w:val="1"/>
  </w:num>
  <w:num w:numId="7" w16cid:durableId="8458972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3907"/>
    <w:rsid w:val="00001EEC"/>
    <w:rsid w:val="00005E87"/>
    <w:rsid w:val="00012673"/>
    <w:rsid w:val="000168B6"/>
    <w:rsid w:val="0002488F"/>
    <w:rsid w:val="00025EE6"/>
    <w:rsid w:val="00026692"/>
    <w:rsid w:val="00026AC3"/>
    <w:rsid w:val="00030EDA"/>
    <w:rsid w:val="00032782"/>
    <w:rsid w:val="00033DAD"/>
    <w:rsid w:val="00034097"/>
    <w:rsid w:val="00034D8E"/>
    <w:rsid w:val="0004616C"/>
    <w:rsid w:val="00052661"/>
    <w:rsid w:val="000649EF"/>
    <w:rsid w:val="00070CCF"/>
    <w:rsid w:val="00077729"/>
    <w:rsid w:val="000831CC"/>
    <w:rsid w:val="000870CB"/>
    <w:rsid w:val="00092E6D"/>
    <w:rsid w:val="00095D75"/>
    <w:rsid w:val="00097FDC"/>
    <w:rsid w:val="000A0380"/>
    <w:rsid w:val="000A1B26"/>
    <w:rsid w:val="000A1BBE"/>
    <w:rsid w:val="000A7354"/>
    <w:rsid w:val="000B5877"/>
    <w:rsid w:val="000B6769"/>
    <w:rsid w:val="000B7362"/>
    <w:rsid w:val="000C0BB0"/>
    <w:rsid w:val="000C39D0"/>
    <w:rsid w:val="000C562E"/>
    <w:rsid w:val="000C6197"/>
    <w:rsid w:val="000C69AC"/>
    <w:rsid w:val="000C6CFE"/>
    <w:rsid w:val="000D170A"/>
    <w:rsid w:val="000E36CA"/>
    <w:rsid w:val="000F0FF3"/>
    <w:rsid w:val="000F5DD4"/>
    <w:rsid w:val="001030BA"/>
    <w:rsid w:val="0010736F"/>
    <w:rsid w:val="00113D5A"/>
    <w:rsid w:val="00115189"/>
    <w:rsid w:val="00115563"/>
    <w:rsid w:val="001173D7"/>
    <w:rsid w:val="00117618"/>
    <w:rsid w:val="00121FE1"/>
    <w:rsid w:val="0012476C"/>
    <w:rsid w:val="00125A1D"/>
    <w:rsid w:val="00127B7C"/>
    <w:rsid w:val="001343E0"/>
    <w:rsid w:val="00135152"/>
    <w:rsid w:val="00143D02"/>
    <w:rsid w:val="00147506"/>
    <w:rsid w:val="00147728"/>
    <w:rsid w:val="00156509"/>
    <w:rsid w:val="00162786"/>
    <w:rsid w:val="001671A6"/>
    <w:rsid w:val="00171256"/>
    <w:rsid w:val="001739DE"/>
    <w:rsid w:val="00173D35"/>
    <w:rsid w:val="001751CA"/>
    <w:rsid w:val="00175C91"/>
    <w:rsid w:val="00176697"/>
    <w:rsid w:val="00177F84"/>
    <w:rsid w:val="001829C1"/>
    <w:rsid w:val="00182BE6"/>
    <w:rsid w:val="00183A03"/>
    <w:rsid w:val="001842CB"/>
    <w:rsid w:val="00187487"/>
    <w:rsid w:val="00191036"/>
    <w:rsid w:val="00191AF5"/>
    <w:rsid w:val="00196A8C"/>
    <w:rsid w:val="001A5266"/>
    <w:rsid w:val="001A5833"/>
    <w:rsid w:val="001A6B69"/>
    <w:rsid w:val="001B19E0"/>
    <w:rsid w:val="001B208E"/>
    <w:rsid w:val="001B7C9C"/>
    <w:rsid w:val="001D36E8"/>
    <w:rsid w:val="001D417F"/>
    <w:rsid w:val="001D5B98"/>
    <w:rsid w:val="001E0DD5"/>
    <w:rsid w:val="001E3AA6"/>
    <w:rsid w:val="001E4DF5"/>
    <w:rsid w:val="001E5CFC"/>
    <w:rsid w:val="001E62AF"/>
    <w:rsid w:val="001F3065"/>
    <w:rsid w:val="001F64C8"/>
    <w:rsid w:val="001F710B"/>
    <w:rsid w:val="0020136C"/>
    <w:rsid w:val="00202AC1"/>
    <w:rsid w:val="00204C84"/>
    <w:rsid w:val="00205930"/>
    <w:rsid w:val="00211E48"/>
    <w:rsid w:val="00216EE6"/>
    <w:rsid w:val="00221BE0"/>
    <w:rsid w:val="00221DE9"/>
    <w:rsid w:val="00224C4E"/>
    <w:rsid w:val="00225770"/>
    <w:rsid w:val="002261EA"/>
    <w:rsid w:val="00231B88"/>
    <w:rsid w:val="002332A5"/>
    <w:rsid w:val="002335DF"/>
    <w:rsid w:val="002357AE"/>
    <w:rsid w:val="002401DF"/>
    <w:rsid w:val="002412BA"/>
    <w:rsid w:val="002427E6"/>
    <w:rsid w:val="00243CDF"/>
    <w:rsid w:val="002447FB"/>
    <w:rsid w:val="00246AF5"/>
    <w:rsid w:val="00247270"/>
    <w:rsid w:val="00251128"/>
    <w:rsid w:val="00251CC9"/>
    <w:rsid w:val="00254C13"/>
    <w:rsid w:val="002564FB"/>
    <w:rsid w:val="00257A0E"/>
    <w:rsid w:val="002603B1"/>
    <w:rsid w:val="00266956"/>
    <w:rsid w:val="00272B20"/>
    <w:rsid w:val="00272BEE"/>
    <w:rsid w:val="00275A73"/>
    <w:rsid w:val="00276192"/>
    <w:rsid w:val="002849BA"/>
    <w:rsid w:val="00290032"/>
    <w:rsid w:val="00290ACA"/>
    <w:rsid w:val="00291F21"/>
    <w:rsid w:val="002A362A"/>
    <w:rsid w:val="002A4998"/>
    <w:rsid w:val="002A683D"/>
    <w:rsid w:val="002A6A30"/>
    <w:rsid w:val="002A7FB7"/>
    <w:rsid w:val="002B1255"/>
    <w:rsid w:val="002B6503"/>
    <w:rsid w:val="002C44F1"/>
    <w:rsid w:val="002C520D"/>
    <w:rsid w:val="002C74F9"/>
    <w:rsid w:val="002D3F8C"/>
    <w:rsid w:val="002D5605"/>
    <w:rsid w:val="002E06DB"/>
    <w:rsid w:val="002E43D5"/>
    <w:rsid w:val="002E6821"/>
    <w:rsid w:val="002F4AD5"/>
    <w:rsid w:val="002F5563"/>
    <w:rsid w:val="002F6707"/>
    <w:rsid w:val="002F6D90"/>
    <w:rsid w:val="00302351"/>
    <w:rsid w:val="003037BC"/>
    <w:rsid w:val="00304CF3"/>
    <w:rsid w:val="00306109"/>
    <w:rsid w:val="00307B90"/>
    <w:rsid w:val="0031474F"/>
    <w:rsid w:val="0031670C"/>
    <w:rsid w:val="00324497"/>
    <w:rsid w:val="0032603F"/>
    <w:rsid w:val="0033025C"/>
    <w:rsid w:val="0033123E"/>
    <w:rsid w:val="0033151E"/>
    <w:rsid w:val="0033442B"/>
    <w:rsid w:val="00346DA5"/>
    <w:rsid w:val="003476C1"/>
    <w:rsid w:val="00350920"/>
    <w:rsid w:val="00351919"/>
    <w:rsid w:val="003603B7"/>
    <w:rsid w:val="00360AB0"/>
    <w:rsid w:val="00364D75"/>
    <w:rsid w:val="00365340"/>
    <w:rsid w:val="003665B2"/>
    <w:rsid w:val="00371034"/>
    <w:rsid w:val="00371A7C"/>
    <w:rsid w:val="00372141"/>
    <w:rsid w:val="003739F6"/>
    <w:rsid w:val="0037512A"/>
    <w:rsid w:val="00375A81"/>
    <w:rsid w:val="00375FC3"/>
    <w:rsid w:val="00381D8D"/>
    <w:rsid w:val="0038276C"/>
    <w:rsid w:val="00385867"/>
    <w:rsid w:val="00385FC0"/>
    <w:rsid w:val="00386437"/>
    <w:rsid w:val="00386B9A"/>
    <w:rsid w:val="003902FC"/>
    <w:rsid w:val="003921A4"/>
    <w:rsid w:val="00397741"/>
    <w:rsid w:val="003A0B3B"/>
    <w:rsid w:val="003A17DE"/>
    <w:rsid w:val="003A3234"/>
    <w:rsid w:val="003A4C24"/>
    <w:rsid w:val="003A5D04"/>
    <w:rsid w:val="003B0094"/>
    <w:rsid w:val="003B0C6B"/>
    <w:rsid w:val="003B1F8A"/>
    <w:rsid w:val="003B4F14"/>
    <w:rsid w:val="003B6313"/>
    <w:rsid w:val="003C3EA2"/>
    <w:rsid w:val="003C4AEA"/>
    <w:rsid w:val="003C68BF"/>
    <w:rsid w:val="003C7BEA"/>
    <w:rsid w:val="003D2B03"/>
    <w:rsid w:val="003D47CF"/>
    <w:rsid w:val="003E0F38"/>
    <w:rsid w:val="003E37F1"/>
    <w:rsid w:val="003F7711"/>
    <w:rsid w:val="003F7CDD"/>
    <w:rsid w:val="00401A53"/>
    <w:rsid w:val="004034F3"/>
    <w:rsid w:val="004039C3"/>
    <w:rsid w:val="0040423D"/>
    <w:rsid w:val="0040642D"/>
    <w:rsid w:val="004107E6"/>
    <w:rsid w:val="00412E70"/>
    <w:rsid w:val="00415328"/>
    <w:rsid w:val="004202DF"/>
    <w:rsid w:val="00421F1D"/>
    <w:rsid w:val="004242CE"/>
    <w:rsid w:val="00424B93"/>
    <w:rsid w:val="0042546F"/>
    <w:rsid w:val="00432162"/>
    <w:rsid w:val="00432FAE"/>
    <w:rsid w:val="004334EA"/>
    <w:rsid w:val="00433FA3"/>
    <w:rsid w:val="00437EAD"/>
    <w:rsid w:val="004405FA"/>
    <w:rsid w:val="00440F46"/>
    <w:rsid w:val="00441F1C"/>
    <w:rsid w:val="00442194"/>
    <w:rsid w:val="00443ED4"/>
    <w:rsid w:val="004467F7"/>
    <w:rsid w:val="00447E80"/>
    <w:rsid w:val="004515C4"/>
    <w:rsid w:val="00454C23"/>
    <w:rsid w:val="00455B5D"/>
    <w:rsid w:val="00462A73"/>
    <w:rsid w:val="00464EF7"/>
    <w:rsid w:val="00467CF1"/>
    <w:rsid w:val="0047024C"/>
    <w:rsid w:val="00470599"/>
    <w:rsid w:val="004712B8"/>
    <w:rsid w:val="00471739"/>
    <w:rsid w:val="004731CB"/>
    <w:rsid w:val="0048124F"/>
    <w:rsid w:val="00487955"/>
    <w:rsid w:val="00492602"/>
    <w:rsid w:val="00493600"/>
    <w:rsid w:val="00494A07"/>
    <w:rsid w:val="0049550E"/>
    <w:rsid w:val="0049670E"/>
    <w:rsid w:val="004A1765"/>
    <w:rsid w:val="004A219B"/>
    <w:rsid w:val="004A55DF"/>
    <w:rsid w:val="004A7319"/>
    <w:rsid w:val="004B1849"/>
    <w:rsid w:val="004B3720"/>
    <w:rsid w:val="004B75EA"/>
    <w:rsid w:val="004B76E9"/>
    <w:rsid w:val="004B7964"/>
    <w:rsid w:val="004C19D9"/>
    <w:rsid w:val="004C7059"/>
    <w:rsid w:val="004C77DA"/>
    <w:rsid w:val="004D0EBB"/>
    <w:rsid w:val="004D2820"/>
    <w:rsid w:val="004D2F29"/>
    <w:rsid w:val="004D3175"/>
    <w:rsid w:val="004D4747"/>
    <w:rsid w:val="004D6E2E"/>
    <w:rsid w:val="004E3BF3"/>
    <w:rsid w:val="004E3D22"/>
    <w:rsid w:val="004E45E5"/>
    <w:rsid w:val="004E48B9"/>
    <w:rsid w:val="004F3B00"/>
    <w:rsid w:val="004F535B"/>
    <w:rsid w:val="004F5AA7"/>
    <w:rsid w:val="00500DB1"/>
    <w:rsid w:val="00501B94"/>
    <w:rsid w:val="00502214"/>
    <w:rsid w:val="00502DC5"/>
    <w:rsid w:val="00504A21"/>
    <w:rsid w:val="0050639A"/>
    <w:rsid w:val="005128BA"/>
    <w:rsid w:val="00520109"/>
    <w:rsid w:val="00520189"/>
    <w:rsid w:val="0052154A"/>
    <w:rsid w:val="005324FF"/>
    <w:rsid w:val="005362FE"/>
    <w:rsid w:val="00536C4F"/>
    <w:rsid w:val="00540EB6"/>
    <w:rsid w:val="0054339A"/>
    <w:rsid w:val="00543987"/>
    <w:rsid w:val="00543AC8"/>
    <w:rsid w:val="005457ED"/>
    <w:rsid w:val="0054709F"/>
    <w:rsid w:val="00551DEE"/>
    <w:rsid w:val="00552623"/>
    <w:rsid w:val="005602C7"/>
    <w:rsid w:val="00564B3A"/>
    <w:rsid w:val="005716DD"/>
    <w:rsid w:val="00571820"/>
    <w:rsid w:val="005807E4"/>
    <w:rsid w:val="00593907"/>
    <w:rsid w:val="005941F8"/>
    <w:rsid w:val="00594287"/>
    <w:rsid w:val="00596B22"/>
    <w:rsid w:val="00596F92"/>
    <w:rsid w:val="00597D4C"/>
    <w:rsid w:val="005A11C5"/>
    <w:rsid w:val="005A295A"/>
    <w:rsid w:val="005A7A25"/>
    <w:rsid w:val="005A7C38"/>
    <w:rsid w:val="005B41E4"/>
    <w:rsid w:val="005B4C0E"/>
    <w:rsid w:val="005B59C1"/>
    <w:rsid w:val="005B7135"/>
    <w:rsid w:val="005B7C37"/>
    <w:rsid w:val="005C0C9F"/>
    <w:rsid w:val="005C7329"/>
    <w:rsid w:val="005D245A"/>
    <w:rsid w:val="005D37E5"/>
    <w:rsid w:val="005D753C"/>
    <w:rsid w:val="005E2FAB"/>
    <w:rsid w:val="005E4442"/>
    <w:rsid w:val="005F1240"/>
    <w:rsid w:val="005F3FF2"/>
    <w:rsid w:val="005F49A8"/>
    <w:rsid w:val="005F5FA7"/>
    <w:rsid w:val="006074D0"/>
    <w:rsid w:val="00615BB3"/>
    <w:rsid w:val="00615C7B"/>
    <w:rsid w:val="00617551"/>
    <w:rsid w:val="006228B2"/>
    <w:rsid w:val="00625D43"/>
    <w:rsid w:val="00630501"/>
    <w:rsid w:val="00640F63"/>
    <w:rsid w:val="006410AE"/>
    <w:rsid w:val="00641943"/>
    <w:rsid w:val="0064771E"/>
    <w:rsid w:val="0065005D"/>
    <w:rsid w:val="00651076"/>
    <w:rsid w:val="00651A42"/>
    <w:rsid w:val="00652E5C"/>
    <w:rsid w:val="00652E78"/>
    <w:rsid w:val="0065355B"/>
    <w:rsid w:val="006562B6"/>
    <w:rsid w:val="00661442"/>
    <w:rsid w:val="00663D3E"/>
    <w:rsid w:val="006656C2"/>
    <w:rsid w:val="006661D6"/>
    <w:rsid w:val="00667953"/>
    <w:rsid w:val="00671A08"/>
    <w:rsid w:val="00676F1A"/>
    <w:rsid w:val="00677071"/>
    <w:rsid w:val="0068668B"/>
    <w:rsid w:val="00687446"/>
    <w:rsid w:val="00687B20"/>
    <w:rsid w:val="00696A8B"/>
    <w:rsid w:val="006A25BF"/>
    <w:rsid w:val="006A2DF0"/>
    <w:rsid w:val="006A49D6"/>
    <w:rsid w:val="006A5F6A"/>
    <w:rsid w:val="006B0FE8"/>
    <w:rsid w:val="006C2FC9"/>
    <w:rsid w:val="006C4EE4"/>
    <w:rsid w:val="006C7E3E"/>
    <w:rsid w:val="006D3C60"/>
    <w:rsid w:val="006D56E6"/>
    <w:rsid w:val="006D5821"/>
    <w:rsid w:val="006D6811"/>
    <w:rsid w:val="006D7793"/>
    <w:rsid w:val="006D79EC"/>
    <w:rsid w:val="006E05D6"/>
    <w:rsid w:val="006E064B"/>
    <w:rsid w:val="006E09EC"/>
    <w:rsid w:val="006F0608"/>
    <w:rsid w:val="006F0D89"/>
    <w:rsid w:val="006F0EE0"/>
    <w:rsid w:val="006F1EAC"/>
    <w:rsid w:val="006F27FA"/>
    <w:rsid w:val="006F3A21"/>
    <w:rsid w:val="00700D7B"/>
    <w:rsid w:val="00701389"/>
    <w:rsid w:val="00701631"/>
    <w:rsid w:val="00703CA6"/>
    <w:rsid w:val="007077FC"/>
    <w:rsid w:val="0071326A"/>
    <w:rsid w:val="00714CB4"/>
    <w:rsid w:val="0071748F"/>
    <w:rsid w:val="007236D7"/>
    <w:rsid w:val="00724BC5"/>
    <w:rsid w:val="00724EEA"/>
    <w:rsid w:val="00725CB3"/>
    <w:rsid w:val="0072675C"/>
    <w:rsid w:val="00734088"/>
    <w:rsid w:val="00734C2D"/>
    <w:rsid w:val="00735E20"/>
    <w:rsid w:val="007361C9"/>
    <w:rsid w:val="00736FD0"/>
    <w:rsid w:val="00737E01"/>
    <w:rsid w:val="007423EE"/>
    <w:rsid w:val="007441CF"/>
    <w:rsid w:val="00745C2F"/>
    <w:rsid w:val="0075313F"/>
    <w:rsid w:val="0075613F"/>
    <w:rsid w:val="00756B77"/>
    <w:rsid w:val="00757DE2"/>
    <w:rsid w:val="007609FC"/>
    <w:rsid w:val="00763105"/>
    <w:rsid w:val="007652B7"/>
    <w:rsid w:val="00765D92"/>
    <w:rsid w:val="00771703"/>
    <w:rsid w:val="00777FF4"/>
    <w:rsid w:val="0078168C"/>
    <w:rsid w:val="0078178F"/>
    <w:rsid w:val="0079026B"/>
    <w:rsid w:val="0079144C"/>
    <w:rsid w:val="00794D7A"/>
    <w:rsid w:val="0079647B"/>
    <w:rsid w:val="007A5250"/>
    <w:rsid w:val="007A7CF2"/>
    <w:rsid w:val="007A7D63"/>
    <w:rsid w:val="007B0870"/>
    <w:rsid w:val="007B09BF"/>
    <w:rsid w:val="007B1707"/>
    <w:rsid w:val="007B2588"/>
    <w:rsid w:val="007B6013"/>
    <w:rsid w:val="007B723D"/>
    <w:rsid w:val="007C1B86"/>
    <w:rsid w:val="007D6271"/>
    <w:rsid w:val="007E11BA"/>
    <w:rsid w:val="007F00AD"/>
    <w:rsid w:val="007F582D"/>
    <w:rsid w:val="007F74FF"/>
    <w:rsid w:val="00801DE3"/>
    <w:rsid w:val="00803E2F"/>
    <w:rsid w:val="0080447E"/>
    <w:rsid w:val="008052A6"/>
    <w:rsid w:val="00815AE3"/>
    <w:rsid w:val="00815B86"/>
    <w:rsid w:val="0082276F"/>
    <w:rsid w:val="00823274"/>
    <w:rsid w:val="00823A58"/>
    <w:rsid w:val="00825101"/>
    <w:rsid w:val="00825154"/>
    <w:rsid w:val="00825CA8"/>
    <w:rsid w:val="00832FA3"/>
    <w:rsid w:val="00835A12"/>
    <w:rsid w:val="0084071A"/>
    <w:rsid w:val="008444CD"/>
    <w:rsid w:val="00850FD1"/>
    <w:rsid w:val="00851FD2"/>
    <w:rsid w:val="00853CAC"/>
    <w:rsid w:val="00856FB5"/>
    <w:rsid w:val="008617F1"/>
    <w:rsid w:val="00865017"/>
    <w:rsid w:val="0087015E"/>
    <w:rsid w:val="00870E2A"/>
    <w:rsid w:val="00874F9A"/>
    <w:rsid w:val="00882481"/>
    <w:rsid w:val="00886EF3"/>
    <w:rsid w:val="00891089"/>
    <w:rsid w:val="00896180"/>
    <w:rsid w:val="008A0DD9"/>
    <w:rsid w:val="008A1D2D"/>
    <w:rsid w:val="008A2070"/>
    <w:rsid w:val="008A3D35"/>
    <w:rsid w:val="008A4783"/>
    <w:rsid w:val="008B00BD"/>
    <w:rsid w:val="008B292F"/>
    <w:rsid w:val="008B458F"/>
    <w:rsid w:val="008B5B8F"/>
    <w:rsid w:val="008B6662"/>
    <w:rsid w:val="008C0602"/>
    <w:rsid w:val="008C5558"/>
    <w:rsid w:val="008C70DA"/>
    <w:rsid w:val="008D1A96"/>
    <w:rsid w:val="008E0E0B"/>
    <w:rsid w:val="008E3480"/>
    <w:rsid w:val="008E6BE4"/>
    <w:rsid w:val="008E7EC9"/>
    <w:rsid w:val="008F134E"/>
    <w:rsid w:val="008F38B1"/>
    <w:rsid w:val="008F5243"/>
    <w:rsid w:val="00902A89"/>
    <w:rsid w:val="009061C7"/>
    <w:rsid w:val="00906D54"/>
    <w:rsid w:val="009107ED"/>
    <w:rsid w:val="009113D9"/>
    <w:rsid w:val="009129B0"/>
    <w:rsid w:val="00912E97"/>
    <w:rsid w:val="00913264"/>
    <w:rsid w:val="00914936"/>
    <w:rsid w:val="00916864"/>
    <w:rsid w:val="00916B2C"/>
    <w:rsid w:val="0092519C"/>
    <w:rsid w:val="009274B7"/>
    <w:rsid w:val="00932747"/>
    <w:rsid w:val="009328BA"/>
    <w:rsid w:val="00937957"/>
    <w:rsid w:val="0094299D"/>
    <w:rsid w:val="00945365"/>
    <w:rsid w:val="00947D45"/>
    <w:rsid w:val="00951BF2"/>
    <w:rsid w:val="00954112"/>
    <w:rsid w:val="00955C83"/>
    <w:rsid w:val="00956790"/>
    <w:rsid w:val="0095787C"/>
    <w:rsid w:val="00960139"/>
    <w:rsid w:val="00961DB2"/>
    <w:rsid w:val="00962A64"/>
    <w:rsid w:val="00965050"/>
    <w:rsid w:val="00966A81"/>
    <w:rsid w:val="00992517"/>
    <w:rsid w:val="00995B48"/>
    <w:rsid w:val="009A35C6"/>
    <w:rsid w:val="009A3EF3"/>
    <w:rsid w:val="009B1955"/>
    <w:rsid w:val="009B2C89"/>
    <w:rsid w:val="009B411F"/>
    <w:rsid w:val="009B7049"/>
    <w:rsid w:val="009C1F44"/>
    <w:rsid w:val="009C3515"/>
    <w:rsid w:val="009C5700"/>
    <w:rsid w:val="009C67A4"/>
    <w:rsid w:val="009D15C8"/>
    <w:rsid w:val="009D23E4"/>
    <w:rsid w:val="009D2A75"/>
    <w:rsid w:val="009D2F1D"/>
    <w:rsid w:val="009D648B"/>
    <w:rsid w:val="009E1092"/>
    <w:rsid w:val="009E409C"/>
    <w:rsid w:val="009E6A3B"/>
    <w:rsid w:val="009F0DBE"/>
    <w:rsid w:val="009F3080"/>
    <w:rsid w:val="00A0352E"/>
    <w:rsid w:val="00A21614"/>
    <w:rsid w:val="00A2364B"/>
    <w:rsid w:val="00A24A55"/>
    <w:rsid w:val="00A3666F"/>
    <w:rsid w:val="00A37604"/>
    <w:rsid w:val="00A37769"/>
    <w:rsid w:val="00A40180"/>
    <w:rsid w:val="00A42F9E"/>
    <w:rsid w:val="00A45D8D"/>
    <w:rsid w:val="00A54055"/>
    <w:rsid w:val="00A55BE1"/>
    <w:rsid w:val="00A619E6"/>
    <w:rsid w:val="00A645A6"/>
    <w:rsid w:val="00A65E01"/>
    <w:rsid w:val="00A717B7"/>
    <w:rsid w:val="00A72003"/>
    <w:rsid w:val="00A737DD"/>
    <w:rsid w:val="00A74EE1"/>
    <w:rsid w:val="00A75BC6"/>
    <w:rsid w:val="00A76B2B"/>
    <w:rsid w:val="00A77A61"/>
    <w:rsid w:val="00A84F82"/>
    <w:rsid w:val="00A92C6C"/>
    <w:rsid w:val="00A941BD"/>
    <w:rsid w:val="00AA350D"/>
    <w:rsid w:val="00AA4104"/>
    <w:rsid w:val="00AA5DB9"/>
    <w:rsid w:val="00AB1C2F"/>
    <w:rsid w:val="00AB57AD"/>
    <w:rsid w:val="00AC38AC"/>
    <w:rsid w:val="00AC74C4"/>
    <w:rsid w:val="00AC76C3"/>
    <w:rsid w:val="00AC7A55"/>
    <w:rsid w:val="00AD15E8"/>
    <w:rsid w:val="00AD1A9F"/>
    <w:rsid w:val="00AE35F2"/>
    <w:rsid w:val="00AE52BB"/>
    <w:rsid w:val="00AF0675"/>
    <w:rsid w:val="00AF6503"/>
    <w:rsid w:val="00B02478"/>
    <w:rsid w:val="00B04811"/>
    <w:rsid w:val="00B06D4C"/>
    <w:rsid w:val="00B06DBE"/>
    <w:rsid w:val="00B12720"/>
    <w:rsid w:val="00B12960"/>
    <w:rsid w:val="00B13258"/>
    <w:rsid w:val="00B14BA3"/>
    <w:rsid w:val="00B15345"/>
    <w:rsid w:val="00B16729"/>
    <w:rsid w:val="00B2131A"/>
    <w:rsid w:val="00B22B6F"/>
    <w:rsid w:val="00B22CCF"/>
    <w:rsid w:val="00B230DF"/>
    <w:rsid w:val="00B230FF"/>
    <w:rsid w:val="00B25D74"/>
    <w:rsid w:val="00B37F5D"/>
    <w:rsid w:val="00B40951"/>
    <w:rsid w:val="00B43CE3"/>
    <w:rsid w:val="00B448E9"/>
    <w:rsid w:val="00B459E7"/>
    <w:rsid w:val="00B52E16"/>
    <w:rsid w:val="00B5435A"/>
    <w:rsid w:val="00B554BC"/>
    <w:rsid w:val="00B576DD"/>
    <w:rsid w:val="00B63811"/>
    <w:rsid w:val="00B66B7A"/>
    <w:rsid w:val="00B721AE"/>
    <w:rsid w:val="00B73794"/>
    <w:rsid w:val="00B741F7"/>
    <w:rsid w:val="00B75CCD"/>
    <w:rsid w:val="00B75D69"/>
    <w:rsid w:val="00B9139D"/>
    <w:rsid w:val="00B961DD"/>
    <w:rsid w:val="00B97249"/>
    <w:rsid w:val="00BA0B8D"/>
    <w:rsid w:val="00BA51BF"/>
    <w:rsid w:val="00BB2982"/>
    <w:rsid w:val="00BB3438"/>
    <w:rsid w:val="00BB58BF"/>
    <w:rsid w:val="00BB6EF6"/>
    <w:rsid w:val="00BB7716"/>
    <w:rsid w:val="00BC1BA5"/>
    <w:rsid w:val="00BC5EB0"/>
    <w:rsid w:val="00BC771B"/>
    <w:rsid w:val="00BD3D69"/>
    <w:rsid w:val="00BE2809"/>
    <w:rsid w:val="00BE3924"/>
    <w:rsid w:val="00BF0816"/>
    <w:rsid w:val="00BF2261"/>
    <w:rsid w:val="00C0127B"/>
    <w:rsid w:val="00C06882"/>
    <w:rsid w:val="00C06A77"/>
    <w:rsid w:val="00C074A7"/>
    <w:rsid w:val="00C07B57"/>
    <w:rsid w:val="00C10872"/>
    <w:rsid w:val="00C1235B"/>
    <w:rsid w:val="00C126B1"/>
    <w:rsid w:val="00C12FC5"/>
    <w:rsid w:val="00C1377B"/>
    <w:rsid w:val="00C13EB1"/>
    <w:rsid w:val="00C14771"/>
    <w:rsid w:val="00C149EC"/>
    <w:rsid w:val="00C158E1"/>
    <w:rsid w:val="00C21ED5"/>
    <w:rsid w:val="00C224B2"/>
    <w:rsid w:val="00C22FD3"/>
    <w:rsid w:val="00C24398"/>
    <w:rsid w:val="00C24F0B"/>
    <w:rsid w:val="00C27A54"/>
    <w:rsid w:val="00C303BD"/>
    <w:rsid w:val="00C335C3"/>
    <w:rsid w:val="00C3748B"/>
    <w:rsid w:val="00C41D56"/>
    <w:rsid w:val="00C44270"/>
    <w:rsid w:val="00C465AD"/>
    <w:rsid w:val="00C557B7"/>
    <w:rsid w:val="00C70DEC"/>
    <w:rsid w:val="00C7128C"/>
    <w:rsid w:val="00C7764F"/>
    <w:rsid w:val="00C80125"/>
    <w:rsid w:val="00C83A5E"/>
    <w:rsid w:val="00C8499E"/>
    <w:rsid w:val="00C87D06"/>
    <w:rsid w:val="00C90BD3"/>
    <w:rsid w:val="00C93AF6"/>
    <w:rsid w:val="00C96E0E"/>
    <w:rsid w:val="00C973F9"/>
    <w:rsid w:val="00CA09A9"/>
    <w:rsid w:val="00CA6372"/>
    <w:rsid w:val="00CA7649"/>
    <w:rsid w:val="00CB203B"/>
    <w:rsid w:val="00CB3719"/>
    <w:rsid w:val="00CB567E"/>
    <w:rsid w:val="00CC18F8"/>
    <w:rsid w:val="00CC47E6"/>
    <w:rsid w:val="00CC55E5"/>
    <w:rsid w:val="00CC5F5F"/>
    <w:rsid w:val="00CD17D3"/>
    <w:rsid w:val="00CD38DD"/>
    <w:rsid w:val="00CD48A4"/>
    <w:rsid w:val="00CE1249"/>
    <w:rsid w:val="00CE27F9"/>
    <w:rsid w:val="00CE6224"/>
    <w:rsid w:val="00CE687E"/>
    <w:rsid w:val="00CE6FEA"/>
    <w:rsid w:val="00CE7675"/>
    <w:rsid w:val="00CF0897"/>
    <w:rsid w:val="00CF3441"/>
    <w:rsid w:val="00CF567D"/>
    <w:rsid w:val="00CF59AC"/>
    <w:rsid w:val="00D0246E"/>
    <w:rsid w:val="00D04059"/>
    <w:rsid w:val="00D07AE3"/>
    <w:rsid w:val="00D10ABD"/>
    <w:rsid w:val="00D10AC9"/>
    <w:rsid w:val="00D12CDE"/>
    <w:rsid w:val="00D164F8"/>
    <w:rsid w:val="00D203E6"/>
    <w:rsid w:val="00D21DFC"/>
    <w:rsid w:val="00D22A9D"/>
    <w:rsid w:val="00D33648"/>
    <w:rsid w:val="00D41075"/>
    <w:rsid w:val="00D42CB4"/>
    <w:rsid w:val="00D43629"/>
    <w:rsid w:val="00D514AF"/>
    <w:rsid w:val="00D54924"/>
    <w:rsid w:val="00D54A9C"/>
    <w:rsid w:val="00D56648"/>
    <w:rsid w:val="00D578A4"/>
    <w:rsid w:val="00D62A3E"/>
    <w:rsid w:val="00D6385D"/>
    <w:rsid w:val="00D70C6F"/>
    <w:rsid w:val="00D74866"/>
    <w:rsid w:val="00D7522D"/>
    <w:rsid w:val="00D75359"/>
    <w:rsid w:val="00D76D8C"/>
    <w:rsid w:val="00D76E5A"/>
    <w:rsid w:val="00D80436"/>
    <w:rsid w:val="00D8372B"/>
    <w:rsid w:val="00D979DC"/>
    <w:rsid w:val="00DA0B9D"/>
    <w:rsid w:val="00DA64FB"/>
    <w:rsid w:val="00DA6770"/>
    <w:rsid w:val="00DA703B"/>
    <w:rsid w:val="00DA7102"/>
    <w:rsid w:val="00DB011B"/>
    <w:rsid w:val="00DB1B81"/>
    <w:rsid w:val="00DB5B41"/>
    <w:rsid w:val="00DC0359"/>
    <w:rsid w:val="00DC12B1"/>
    <w:rsid w:val="00DC1B17"/>
    <w:rsid w:val="00DC68DB"/>
    <w:rsid w:val="00DD17C5"/>
    <w:rsid w:val="00DD2E85"/>
    <w:rsid w:val="00DD462B"/>
    <w:rsid w:val="00DD69D6"/>
    <w:rsid w:val="00DD7834"/>
    <w:rsid w:val="00DE1DEF"/>
    <w:rsid w:val="00DE321E"/>
    <w:rsid w:val="00DE4970"/>
    <w:rsid w:val="00DE6241"/>
    <w:rsid w:val="00DE70C4"/>
    <w:rsid w:val="00DF0FDE"/>
    <w:rsid w:val="00DF1486"/>
    <w:rsid w:val="00DF2C94"/>
    <w:rsid w:val="00DF6A2D"/>
    <w:rsid w:val="00E03216"/>
    <w:rsid w:val="00E05B4F"/>
    <w:rsid w:val="00E1318D"/>
    <w:rsid w:val="00E14F7D"/>
    <w:rsid w:val="00E1686A"/>
    <w:rsid w:val="00E232E3"/>
    <w:rsid w:val="00E245C2"/>
    <w:rsid w:val="00E3607D"/>
    <w:rsid w:val="00E436C7"/>
    <w:rsid w:val="00E443F2"/>
    <w:rsid w:val="00E45CD6"/>
    <w:rsid w:val="00E50272"/>
    <w:rsid w:val="00E51669"/>
    <w:rsid w:val="00E51A92"/>
    <w:rsid w:val="00E51BFE"/>
    <w:rsid w:val="00E5544A"/>
    <w:rsid w:val="00E55B68"/>
    <w:rsid w:val="00E55C27"/>
    <w:rsid w:val="00E5728C"/>
    <w:rsid w:val="00E602B2"/>
    <w:rsid w:val="00E6193F"/>
    <w:rsid w:val="00E66BBC"/>
    <w:rsid w:val="00E70B5B"/>
    <w:rsid w:val="00E72D5E"/>
    <w:rsid w:val="00E73487"/>
    <w:rsid w:val="00E76E63"/>
    <w:rsid w:val="00E832AB"/>
    <w:rsid w:val="00E83335"/>
    <w:rsid w:val="00E916A7"/>
    <w:rsid w:val="00E92722"/>
    <w:rsid w:val="00E93774"/>
    <w:rsid w:val="00E96C82"/>
    <w:rsid w:val="00EA09FD"/>
    <w:rsid w:val="00EA0A0B"/>
    <w:rsid w:val="00EA1326"/>
    <w:rsid w:val="00EA1FF8"/>
    <w:rsid w:val="00EA29A3"/>
    <w:rsid w:val="00EA3F27"/>
    <w:rsid w:val="00EA4615"/>
    <w:rsid w:val="00EA6D18"/>
    <w:rsid w:val="00EB0F2C"/>
    <w:rsid w:val="00EB123E"/>
    <w:rsid w:val="00EB2159"/>
    <w:rsid w:val="00EB2D30"/>
    <w:rsid w:val="00EB6A1C"/>
    <w:rsid w:val="00EB6B97"/>
    <w:rsid w:val="00EB6CD7"/>
    <w:rsid w:val="00EB6CE5"/>
    <w:rsid w:val="00EC1CEE"/>
    <w:rsid w:val="00EC27FC"/>
    <w:rsid w:val="00EC4133"/>
    <w:rsid w:val="00EC4F76"/>
    <w:rsid w:val="00EC65B4"/>
    <w:rsid w:val="00EC6687"/>
    <w:rsid w:val="00ED1550"/>
    <w:rsid w:val="00ED2BDC"/>
    <w:rsid w:val="00ED4C6D"/>
    <w:rsid w:val="00ED50A5"/>
    <w:rsid w:val="00ED673A"/>
    <w:rsid w:val="00EE0F94"/>
    <w:rsid w:val="00EE2290"/>
    <w:rsid w:val="00EE51AC"/>
    <w:rsid w:val="00EE6784"/>
    <w:rsid w:val="00EF438E"/>
    <w:rsid w:val="00F0404F"/>
    <w:rsid w:val="00F118F3"/>
    <w:rsid w:val="00F11D87"/>
    <w:rsid w:val="00F17F2B"/>
    <w:rsid w:val="00F23E37"/>
    <w:rsid w:val="00F254EC"/>
    <w:rsid w:val="00F254F9"/>
    <w:rsid w:val="00F31066"/>
    <w:rsid w:val="00F31AD4"/>
    <w:rsid w:val="00F340AF"/>
    <w:rsid w:val="00F40367"/>
    <w:rsid w:val="00F43163"/>
    <w:rsid w:val="00F56AAA"/>
    <w:rsid w:val="00F56B2B"/>
    <w:rsid w:val="00F6178A"/>
    <w:rsid w:val="00F63C01"/>
    <w:rsid w:val="00F6786F"/>
    <w:rsid w:val="00F67EDE"/>
    <w:rsid w:val="00F76D1F"/>
    <w:rsid w:val="00F77FDD"/>
    <w:rsid w:val="00F800E4"/>
    <w:rsid w:val="00F8241A"/>
    <w:rsid w:val="00F828AA"/>
    <w:rsid w:val="00F82914"/>
    <w:rsid w:val="00F8518F"/>
    <w:rsid w:val="00F86486"/>
    <w:rsid w:val="00F87338"/>
    <w:rsid w:val="00F91C59"/>
    <w:rsid w:val="00F967CE"/>
    <w:rsid w:val="00FA2092"/>
    <w:rsid w:val="00FA4747"/>
    <w:rsid w:val="00FA580B"/>
    <w:rsid w:val="00FA636E"/>
    <w:rsid w:val="00FB1139"/>
    <w:rsid w:val="00FB2571"/>
    <w:rsid w:val="00FB3FD2"/>
    <w:rsid w:val="00FB4759"/>
    <w:rsid w:val="00FB4BCD"/>
    <w:rsid w:val="00FB50CA"/>
    <w:rsid w:val="00FB53C1"/>
    <w:rsid w:val="00FB688A"/>
    <w:rsid w:val="00FC1E53"/>
    <w:rsid w:val="00FC35CE"/>
    <w:rsid w:val="00FC6028"/>
    <w:rsid w:val="00FC6F46"/>
    <w:rsid w:val="00FC7425"/>
    <w:rsid w:val="00FD2B50"/>
    <w:rsid w:val="00FD5CC8"/>
    <w:rsid w:val="00FD6F19"/>
    <w:rsid w:val="00FD71E3"/>
    <w:rsid w:val="00FE0312"/>
    <w:rsid w:val="00FE0617"/>
    <w:rsid w:val="00FE1C6E"/>
    <w:rsid w:val="00FE1C70"/>
    <w:rsid w:val="00FE29A4"/>
    <w:rsid w:val="00FF5B10"/>
    <w:rsid w:val="15F87ACF"/>
    <w:rsid w:val="1EFA3BB4"/>
    <w:rsid w:val="229642BE"/>
    <w:rsid w:val="263F57CC"/>
    <w:rsid w:val="294B4561"/>
    <w:rsid w:val="3C9EDB9F"/>
    <w:rsid w:val="4309F89D"/>
    <w:rsid w:val="4732125D"/>
    <w:rsid w:val="485688E2"/>
    <w:rsid w:val="4BF257C8"/>
    <w:rsid w:val="5055EF96"/>
    <w:rsid w:val="65155420"/>
    <w:rsid w:val="762EE3AF"/>
    <w:rsid w:val="7EF6502E"/>
    <w:rsid w:val="7EFBCF4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8A423F"/>
  <w15:chartTrackingRefBased/>
  <w15:docId w15:val="{80D456A1-346C-4ABA-8957-41B6E3496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2CC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24EE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4EEA"/>
    <w:rPr>
      <w:rFonts w:ascii="Segoe UI" w:hAnsi="Segoe UI" w:cs="Segoe UI"/>
      <w:sz w:val="18"/>
      <w:szCs w:val="18"/>
    </w:rPr>
  </w:style>
  <w:style w:type="table" w:styleId="TableGrid">
    <w:name w:val="Table Grid"/>
    <w:basedOn w:val="TableNormal"/>
    <w:uiPriority w:val="39"/>
    <w:rsid w:val="00724E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716DD"/>
    <w:rPr>
      <w:sz w:val="16"/>
      <w:szCs w:val="16"/>
    </w:rPr>
  </w:style>
  <w:style w:type="paragraph" w:styleId="CommentText">
    <w:name w:val="annotation text"/>
    <w:basedOn w:val="Normal"/>
    <w:link w:val="CommentTextChar"/>
    <w:uiPriority w:val="99"/>
    <w:unhideWhenUsed/>
    <w:rsid w:val="005716DD"/>
    <w:pPr>
      <w:spacing w:line="240" w:lineRule="auto"/>
    </w:pPr>
    <w:rPr>
      <w:sz w:val="20"/>
      <w:szCs w:val="20"/>
    </w:rPr>
  </w:style>
  <w:style w:type="character" w:customStyle="1" w:styleId="CommentTextChar">
    <w:name w:val="Comment Text Char"/>
    <w:basedOn w:val="DefaultParagraphFont"/>
    <w:link w:val="CommentText"/>
    <w:uiPriority w:val="99"/>
    <w:rsid w:val="005716DD"/>
    <w:rPr>
      <w:sz w:val="20"/>
      <w:szCs w:val="20"/>
    </w:rPr>
  </w:style>
  <w:style w:type="paragraph" w:styleId="CommentSubject">
    <w:name w:val="annotation subject"/>
    <w:basedOn w:val="CommentText"/>
    <w:next w:val="CommentText"/>
    <w:link w:val="CommentSubjectChar"/>
    <w:uiPriority w:val="99"/>
    <w:semiHidden/>
    <w:unhideWhenUsed/>
    <w:rsid w:val="005716DD"/>
    <w:rPr>
      <w:b/>
      <w:bCs/>
    </w:rPr>
  </w:style>
  <w:style w:type="character" w:customStyle="1" w:styleId="CommentSubjectChar">
    <w:name w:val="Comment Subject Char"/>
    <w:basedOn w:val="CommentTextChar"/>
    <w:link w:val="CommentSubject"/>
    <w:uiPriority w:val="99"/>
    <w:semiHidden/>
    <w:rsid w:val="005716DD"/>
    <w:rPr>
      <w:b/>
      <w:bCs/>
      <w:sz w:val="20"/>
      <w:szCs w:val="20"/>
    </w:rPr>
  </w:style>
  <w:style w:type="paragraph" w:styleId="Header">
    <w:name w:val="header"/>
    <w:basedOn w:val="Normal"/>
    <w:link w:val="HeaderChar"/>
    <w:uiPriority w:val="99"/>
    <w:unhideWhenUsed/>
    <w:rsid w:val="00BA51B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A51BF"/>
  </w:style>
  <w:style w:type="paragraph" w:styleId="Footer">
    <w:name w:val="footer"/>
    <w:basedOn w:val="Normal"/>
    <w:link w:val="FooterChar"/>
    <w:uiPriority w:val="99"/>
    <w:unhideWhenUsed/>
    <w:rsid w:val="00BA51B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A51BF"/>
  </w:style>
  <w:style w:type="paragraph" w:styleId="ListParagraph">
    <w:name w:val="List Paragraph"/>
    <w:basedOn w:val="Normal"/>
    <w:uiPriority w:val="34"/>
    <w:qFormat/>
    <w:rsid w:val="00C93AF6"/>
    <w:pPr>
      <w:ind w:left="720"/>
      <w:contextualSpacing/>
    </w:pPr>
  </w:style>
  <w:style w:type="paragraph" w:styleId="Caption">
    <w:name w:val="caption"/>
    <w:basedOn w:val="Normal"/>
    <w:next w:val="Normal"/>
    <w:uiPriority w:val="35"/>
    <w:unhideWhenUsed/>
    <w:qFormat/>
    <w:rsid w:val="004F535B"/>
    <w:pPr>
      <w:spacing w:after="200" w:line="240" w:lineRule="auto"/>
    </w:pPr>
    <w:rPr>
      <w:i/>
      <w:iCs/>
      <w:color w:val="44546A" w:themeColor="text2"/>
      <w:sz w:val="18"/>
      <w:szCs w:val="18"/>
    </w:rPr>
  </w:style>
  <w:style w:type="paragraph" w:styleId="Revision">
    <w:name w:val="Revision"/>
    <w:hidden/>
    <w:uiPriority w:val="99"/>
    <w:semiHidden/>
    <w:rsid w:val="00D514AF"/>
    <w:pPr>
      <w:spacing w:after="0" w:line="240" w:lineRule="auto"/>
    </w:pPr>
  </w:style>
  <w:style w:type="character" w:styleId="Hyperlink">
    <w:name w:val="Hyperlink"/>
    <w:basedOn w:val="DefaultParagraphFont"/>
    <w:uiPriority w:val="99"/>
    <w:unhideWhenUsed/>
    <w:rPr>
      <w:color w:val="0563C1" w:themeColor="hyperlink"/>
      <w:u w:val="single"/>
    </w:rPr>
  </w:style>
  <w:style w:type="character" w:customStyle="1" w:styleId="normaltextrun">
    <w:name w:val="normaltextrun"/>
    <w:basedOn w:val="DefaultParagraphFont"/>
    <w:rsid w:val="00A74EE1"/>
  </w:style>
  <w:style w:type="paragraph" w:styleId="NoSpacing">
    <w:name w:val="No Spacing"/>
    <w:uiPriority w:val="1"/>
    <w:qFormat/>
    <w:rsid w:val="00B961DD"/>
    <w:pPr>
      <w:spacing w:after="0" w:line="240" w:lineRule="auto"/>
    </w:pPr>
  </w:style>
  <w:style w:type="character" w:styleId="FollowedHyperlink">
    <w:name w:val="FollowedHyperlink"/>
    <w:basedOn w:val="DefaultParagraphFont"/>
    <w:uiPriority w:val="99"/>
    <w:semiHidden/>
    <w:unhideWhenUsed/>
    <w:rsid w:val="007F74FF"/>
    <w:rPr>
      <w:color w:val="954F72" w:themeColor="followedHyperlink"/>
      <w:u w:val="single"/>
    </w:rPr>
  </w:style>
  <w:style w:type="character" w:styleId="UnresolvedMention">
    <w:name w:val="Unresolved Mention"/>
    <w:basedOn w:val="DefaultParagraphFont"/>
    <w:uiPriority w:val="99"/>
    <w:semiHidden/>
    <w:unhideWhenUsed/>
    <w:rsid w:val="00794D7A"/>
    <w:rPr>
      <w:color w:val="605E5C"/>
      <w:shd w:val="clear" w:color="auto" w:fill="E1DFDD"/>
    </w:rPr>
  </w:style>
  <w:style w:type="paragraph" w:styleId="FootnoteText">
    <w:name w:val="footnote text"/>
    <w:basedOn w:val="Normal"/>
    <w:link w:val="FootnoteTextChar"/>
    <w:uiPriority w:val="99"/>
    <w:semiHidden/>
    <w:unhideWhenUsed/>
    <w:rsid w:val="00725CB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25CB3"/>
    <w:rPr>
      <w:sz w:val="20"/>
      <w:szCs w:val="20"/>
    </w:rPr>
  </w:style>
  <w:style w:type="character" w:styleId="FootnoteReference">
    <w:name w:val="footnote reference"/>
    <w:basedOn w:val="DefaultParagraphFont"/>
    <w:uiPriority w:val="99"/>
    <w:semiHidden/>
    <w:unhideWhenUsed/>
    <w:rsid w:val="00725CB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1861100">
      <w:bodyDiv w:val="1"/>
      <w:marLeft w:val="0"/>
      <w:marRight w:val="0"/>
      <w:marTop w:val="0"/>
      <w:marBottom w:val="0"/>
      <w:divBdr>
        <w:top w:val="none" w:sz="0" w:space="0" w:color="auto"/>
        <w:left w:val="none" w:sz="0" w:space="0" w:color="auto"/>
        <w:bottom w:val="none" w:sz="0" w:space="0" w:color="auto"/>
        <w:right w:val="none" w:sz="0" w:space="0" w:color="auto"/>
      </w:divBdr>
    </w:div>
    <w:div w:id="1505172860">
      <w:bodyDiv w:val="1"/>
      <w:marLeft w:val="0"/>
      <w:marRight w:val="0"/>
      <w:marTop w:val="0"/>
      <w:marBottom w:val="0"/>
      <w:divBdr>
        <w:top w:val="none" w:sz="0" w:space="0" w:color="auto"/>
        <w:left w:val="none" w:sz="0" w:space="0" w:color="auto"/>
        <w:bottom w:val="none" w:sz="0" w:space="0" w:color="auto"/>
        <w:right w:val="none" w:sz="0" w:space="0" w:color="auto"/>
      </w:divBdr>
      <w:divsChild>
        <w:div w:id="1383291272">
          <w:marLeft w:val="0"/>
          <w:marRight w:val="0"/>
          <w:marTop w:val="0"/>
          <w:marBottom w:val="0"/>
          <w:divBdr>
            <w:top w:val="none" w:sz="0" w:space="0" w:color="auto"/>
            <w:left w:val="none" w:sz="0" w:space="0" w:color="auto"/>
            <w:bottom w:val="none" w:sz="0" w:space="0" w:color="auto"/>
            <w:right w:val="none" w:sz="0" w:space="0" w:color="auto"/>
          </w:divBdr>
        </w:div>
      </w:divsChild>
    </w:div>
    <w:div w:id="1630934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header" Target="header6.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4.xml"/><Relationship Id="rId10" Type="http://schemas.openxmlformats.org/officeDocument/2006/relationships/hyperlink" Target="mailto:claire.piccinin@eortc.org" TargetMode="External"/><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EFBBDD9F0ACC4C4094BBA50EF7D5EF89" ma:contentTypeVersion="9" ma:contentTypeDescription="Create a new document." ma:contentTypeScope="" ma:versionID="2b3f2f95897b74b50733566147ecfe32">
  <xsd:schema xmlns:xsd="http://www.w3.org/2001/XMLSchema" xmlns:xs="http://www.w3.org/2001/XMLSchema" xmlns:p="http://schemas.microsoft.com/office/2006/metadata/properties" xmlns:ns3="5282ba90-ddec-4a13-ae54-b66a1cb5bf68" targetNamespace="http://schemas.microsoft.com/office/2006/metadata/properties" ma:root="true" ma:fieldsID="b9f6f20d3d2afc8ffe0b45f442ac2293" ns3:_="">
    <xsd:import namespace="5282ba90-ddec-4a13-ae54-b66a1cb5bf68"/>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82ba90-ddec-4a13-ae54-b66a1cb5bf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B2171D0-2766-4DCA-9A74-99A0EA1316B6}">
  <ds:schemaRefs>
    <ds:schemaRef ds:uri="http://schemas.microsoft.com/sharepoint/v3/contenttype/forms"/>
  </ds:schemaRefs>
</ds:datastoreItem>
</file>

<file path=customXml/itemProps2.xml><?xml version="1.0" encoding="utf-8"?>
<ds:datastoreItem xmlns:ds="http://schemas.openxmlformats.org/officeDocument/2006/customXml" ds:itemID="{CFD8F266-459D-4657-8702-1CBB032F6C47}">
  <ds:schemaRefs>
    <ds:schemaRef ds:uri="http://schemas.openxmlformats.org/officeDocument/2006/bibliography"/>
  </ds:schemaRefs>
</ds:datastoreItem>
</file>

<file path=customXml/itemProps3.xml><?xml version="1.0" encoding="utf-8"?>
<ds:datastoreItem xmlns:ds="http://schemas.openxmlformats.org/officeDocument/2006/customXml" ds:itemID="{3C657299-E7E5-4CEB-A834-334AEEE900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82ba90-ddec-4a13-ae54-b66a1cb5bf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48948</Words>
  <Characters>279005</Characters>
  <Application>Microsoft Office Word</Application>
  <DocSecurity>0</DocSecurity>
  <Lines>2325</Lines>
  <Paragraphs>654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327299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Piccinin</dc:creator>
  <cp:keywords/>
  <dc:description/>
  <cp:lastModifiedBy>Izabela Ossolinska</cp:lastModifiedBy>
  <cp:revision>12</cp:revision>
  <dcterms:created xsi:type="dcterms:W3CDTF">2023-02-16T12:54:00Z</dcterms:created>
  <dcterms:modified xsi:type="dcterms:W3CDTF">2023-02-16T16:10:00Z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d9c00a0d-8365-3eb3-932f-2bf7f47eb126</vt:lpwstr>
  </property>
  <property fmtid="{D5CDD505-2E9C-101B-9397-08002B2CF9AE}" pid="4" name="Mendeley Citation Style_1">
    <vt:lpwstr>http://www.zotero.org/styles/vancouver-superscript</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7th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vt:lpwstr>
  </property>
  <property fmtid="{D5CDD505-2E9C-101B-9397-08002B2CF9AE}" pid="11" name="Mendeley Recent Style Id 3_1">
    <vt:lpwstr>http://www.zotero.org/styles/harvard-cite-them-right</vt:lpwstr>
  </property>
  <property fmtid="{D5CDD505-2E9C-101B-9397-08002B2CF9AE}" pid="12" name="Mendeley Recent Style Name 3_1">
    <vt:lpwstr>Cite Them Right 10th edition - Harvard</vt:lpwstr>
  </property>
  <property fmtid="{D5CDD505-2E9C-101B-9397-08002B2CF9AE}" pid="13" name="Mendeley Recent Style Id 4_1">
    <vt:lpwstr>http://www.zotero.org/styles/ieee</vt:lpwstr>
  </property>
  <property fmtid="{D5CDD505-2E9C-101B-9397-08002B2CF9AE}" pid="14" name="Mendeley Recent Style Name 4_1">
    <vt:lpwstr>IEEE</vt:lpwstr>
  </property>
  <property fmtid="{D5CDD505-2E9C-101B-9397-08002B2CF9AE}" pid="15" name="Mendeley Recent Style Id 5_1">
    <vt:lpwstr>http://www.zotero.org/styles/modern-humanities-research-association</vt:lpwstr>
  </property>
  <property fmtid="{D5CDD505-2E9C-101B-9397-08002B2CF9AE}" pid="16" name="Mendeley Recent Style Name 5_1">
    <vt:lpwstr>Modern Humanities Research Association 3rd edition (note with bibliography)</vt:lpwstr>
  </property>
  <property fmtid="{D5CDD505-2E9C-101B-9397-08002B2CF9AE}" pid="17" name="Mendeley Recent Style Id 6_1">
    <vt:lpwstr>http://www.zotero.org/styles/modern-language-association</vt:lpwstr>
  </property>
  <property fmtid="{D5CDD505-2E9C-101B-9397-08002B2CF9AE}" pid="18" name="Mendeley Recent Style Name 6_1">
    <vt:lpwstr>Modern Language Association 8th edition</vt:lpwstr>
  </property>
  <property fmtid="{D5CDD505-2E9C-101B-9397-08002B2CF9AE}" pid="19" name="Mendeley Recent Style Id 7_1">
    <vt:lpwstr>http://www.zotero.org/styles/nature</vt:lpwstr>
  </property>
  <property fmtid="{D5CDD505-2E9C-101B-9397-08002B2CF9AE}" pid="20" name="Mendeley Recent Style Name 7_1">
    <vt:lpwstr>Nature</vt:lpwstr>
  </property>
  <property fmtid="{D5CDD505-2E9C-101B-9397-08002B2CF9AE}" pid="21" name="Mendeley Recent Style Id 8_1">
    <vt:lpwstr>http://www.zotero.org/styles/vancouver</vt:lpwstr>
  </property>
  <property fmtid="{D5CDD505-2E9C-101B-9397-08002B2CF9AE}" pid="22" name="Mendeley Recent Style Name 8_1">
    <vt:lpwstr>Vancouver</vt:lpwstr>
  </property>
  <property fmtid="{D5CDD505-2E9C-101B-9397-08002B2CF9AE}" pid="23" name="Mendeley Recent Style Id 9_1">
    <vt:lpwstr>http://www.zotero.org/styles/vancouver-superscript</vt:lpwstr>
  </property>
  <property fmtid="{D5CDD505-2E9C-101B-9397-08002B2CF9AE}" pid="24" name="Mendeley Recent Style Name 9_1">
    <vt:lpwstr>Vancouver (superscript)</vt:lpwstr>
  </property>
  <property fmtid="{D5CDD505-2E9C-101B-9397-08002B2CF9AE}" pid="25" name="ContentTypeId">
    <vt:lpwstr>0x010100EFBBDD9F0ACC4C4094BBA50EF7D5EF89</vt:lpwstr>
  </property>
</Properties>
</file>