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3A5" w:rsidRPr="00363AA9" w:rsidRDefault="00F943A5" w:rsidP="00F943A5">
      <w:pPr>
        <w:jc w:val="center"/>
        <w:rPr>
          <w:rFonts w:ascii="Times New Roman" w:hAnsi="Times New Roman"/>
          <w:b/>
          <w:bCs/>
          <w:color w:val="000000" w:themeColor="text1"/>
          <w:sz w:val="28"/>
          <w:szCs w:val="28"/>
        </w:rPr>
      </w:pPr>
      <w:r w:rsidRPr="00363AA9">
        <w:rPr>
          <w:rFonts w:ascii="Times New Roman" w:hAnsi="Times New Roman"/>
          <w:b/>
          <w:bCs/>
          <w:color w:val="000000" w:themeColor="text1"/>
          <w:sz w:val="28"/>
          <w:szCs w:val="28"/>
        </w:rPr>
        <w:t>A preliminary study of the rare earth element-enriched Twyfelskupje carbonatite complex, Southern Namibia</w:t>
      </w:r>
    </w:p>
    <w:p w:rsidR="00F943A5" w:rsidRPr="00363AA9" w:rsidRDefault="00F943A5" w:rsidP="00F943A5">
      <w:pPr>
        <w:jc w:val="center"/>
        <w:rPr>
          <w:rFonts w:ascii="Times New Roman" w:hAnsi="Times New Roman"/>
          <w:b/>
          <w:bCs/>
          <w:color w:val="000000" w:themeColor="text1"/>
        </w:rPr>
      </w:pPr>
    </w:p>
    <w:p w:rsidR="00F943A5" w:rsidRPr="00363AA9" w:rsidRDefault="00F943A5" w:rsidP="00F943A5">
      <w:pPr>
        <w:jc w:val="center"/>
        <w:rPr>
          <w:rFonts w:ascii="Times New Roman" w:hAnsi="Times New Roman"/>
          <w:b/>
          <w:bCs/>
          <w:color w:val="000000" w:themeColor="text1"/>
        </w:rPr>
      </w:pPr>
    </w:p>
    <w:p w:rsidR="00F943A5" w:rsidRPr="00363AA9" w:rsidRDefault="00F943A5" w:rsidP="00F943A5">
      <w:pPr>
        <w:numPr>
          <w:ilvl w:val="0"/>
          <w:numId w:val="2"/>
        </w:numPr>
        <w:jc w:val="center"/>
        <w:rPr>
          <w:rFonts w:ascii="Times New Roman" w:hAnsi="Times New Roman"/>
          <w:bCs/>
          <w:color w:val="000000" w:themeColor="text1"/>
          <w:sz w:val="24"/>
          <w:szCs w:val="24"/>
        </w:rPr>
      </w:pPr>
      <w:r w:rsidRPr="00363AA9">
        <w:rPr>
          <w:rFonts w:ascii="Times New Roman" w:hAnsi="Times New Roman"/>
          <w:bCs/>
          <w:color w:val="000000" w:themeColor="text1"/>
          <w:sz w:val="24"/>
          <w:szCs w:val="24"/>
        </w:rPr>
        <w:t>G. Marlow</w:t>
      </w:r>
      <w:r w:rsidRPr="00363AA9">
        <w:rPr>
          <w:rFonts w:ascii="Times New Roman" w:hAnsi="Times New Roman"/>
          <w:bCs/>
          <w:color w:val="000000" w:themeColor="text1"/>
          <w:sz w:val="24"/>
          <w:szCs w:val="24"/>
          <w:vertAlign w:val="superscript"/>
        </w:rPr>
        <w:t>1</w:t>
      </w:r>
      <w:r w:rsidRPr="00363AA9">
        <w:rPr>
          <w:rFonts w:ascii="Times New Roman" w:hAnsi="Times New Roman"/>
          <w:bCs/>
          <w:color w:val="000000" w:themeColor="text1"/>
          <w:sz w:val="24"/>
          <w:szCs w:val="24"/>
        </w:rPr>
        <w:t xml:space="preserve"> and M. R. Palmer</w:t>
      </w:r>
      <w:r w:rsidRPr="00363AA9">
        <w:rPr>
          <w:rFonts w:ascii="Times New Roman" w:hAnsi="Times New Roman"/>
          <w:bCs/>
          <w:color w:val="000000" w:themeColor="text1"/>
          <w:sz w:val="24"/>
          <w:szCs w:val="24"/>
          <w:vertAlign w:val="superscript"/>
        </w:rPr>
        <w:t>2</w:t>
      </w:r>
      <w:r w:rsidRPr="00363AA9">
        <w:rPr>
          <w:rFonts w:ascii="Times New Roman" w:hAnsi="Times New Roman"/>
          <w:bCs/>
          <w:color w:val="000000" w:themeColor="text1"/>
          <w:sz w:val="24"/>
          <w:szCs w:val="24"/>
        </w:rPr>
        <w:t>*</w:t>
      </w:r>
    </w:p>
    <w:p w:rsidR="00F943A5" w:rsidRPr="00363AA9" w:rsidRDefault="00F943A5" w:rsidP="00F943A5">
      <w:pPr>
        <w:rPr>
          <w:rFonts w:ascii="Times New Roman" w:hAnsi="Times New Roman"/>
          <w:b/>
          <w:bCs/>
          <w:color w:val="000000" w:themeColor="text1"/>
          <w:sz w:val="24"/>
          <w:szCs w:val="24"/>
        </w:rPr>
      </w:pPr>
    </w:p>
    <w:p w:rsidR="00F943A5" w:rsidRPr="00363AA9" w:rsidRDefault="00F943A5" w:rsidP="00F943A5">
      <w:pPr>
        <w:jc w:val="both"/>
        <w:rPr>
          <w:rFonts w:ascii="Times New Roman" w:hAnsi="Times New Roman"/>
          <w:bCs/>
          <w:i/>
          <w:color w:val="000000" w:themeColor="text1"/>
          <w:sz w:val="24"/>
          <w:szCs w:val="24"/>
        </w:rPr>
      </w:pPr>
      <w:r w:rsidRPr="00363AA9">
        <w:rPr>
          <w:rFonts w:ascii="Times New Roman" w:hAnsi="Times New Roman"/>
          <w:bCs/>
          <w:i/>
          <w:color w:val="000000" w:themeColor="text1"/>
          <w:sz w:val="24"/>
          <w:szCs w:val="24"/>
        </w:rPr>
        <w:t xml:space="preserve">1. Avanti Resources, Mornington, VIC 3931, Australia </w:t>
      </w:r>
    </w:p>
    <w:p w:rsidR="00F943A5" w:rsidRPr="00363AA9" w:rsidRDefault="00F943A5" w:rsidP="00F943A5">
      <w:pPr>
        <w:rPr>
          <w:rFonts w:ascii="Times New Roman" w:hAnsi="Times New Roman"/>
          <w:bCs/>
          <w:i/>
          <w:color w:val="000000" w:themeColor="text1"/>
          <w:sz w:val="24"/>
          <w:szCs w:val="24"/>
        </w:rPr>
      </w:pPr>
      <w:r w:rsidRPr="00363AA9">
        <w:rPr>
          <w:rFonts w:ascii="Times New Roman" w:hAnsi="Times New Roman"/>
          <w:bCs/>
          <w:i/>
          <w:color w:val="000000" w:themeColor="text1"/>
          <w:sz w:val="24"/>
          <w:szCs w:val="24"/>
        </w:rPr>
        <w:t>2. School of Ocean and Earth Science, University of Southampton, Southampton SO14 3ZH, UK</w:t>
      </w:r>
    </w:p>
    <w:p w:rsidR="00F943A5" w:rsidRPr="00363AA9" w:rsidRDefault="00F943A5" w:rsidP="00F943A5">
      <w:pPr>
        <w:rPr>
          <w:rFonts w:ascii="Times New Roman" w:hAnsi="Times New Roman"/>
          <w:bCs/>
          <w:color w:val="000000" w:themeColor="text1"/>
          <w:sz w:val="24"/>
          <w:szCs w:val="24"/>
        </w:rPr>
      </w:pPr>
      <w:r w:rsidRPr="00363AA9">
        <w:rPr>
          <w:rFonts w:ascii="Times New Roman" w:hAnsi="Times New Roman"/>
          <w:bCs/>
          <w:color w:val="000000" w:themeColor="text1"/>
          <w:sz w:val="24"/>
          <w:szCs w:val="24"/>
        </w:rPr>
        <w:t>*Corresponding author: mrp1@soton.ac.uk</w:t>
      </w:r>
    </w:p>
    <w:p w:rsidR="00F943A5" w:rsidRPr="00363AA9" w:rsidRDefault="00F943A5" w:rsidP="00F943A5">
      <w:pPr>
        <w:autoSpaceDE w:val="0"/>
        <w:autoSpaceDN w:val="0"/>
        <w:adjustRightInd w:val="0"/>
        <w:jc w:val="both"/>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Keywords</w:t>
      </w:r>
    </w:p>
    <w:p w:rsidR="00F943A5" w:rsidRPr="00363AA9" w:rsidRDefault="00F943A5" w:rsidP="00F943A5">
      <w:pPr>
        <w:autoSpaceDE w:val="0"/>
        <w:autoSpaceDN w:val="0"/>
        <w:adjustRightInd w:val="0"/>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Rare earth elements, Carbonatite, Southern Namibia</w:t>
      </w:r>
    </w:p>
    <w:p w:rsidR="00F943A5" w:rsidRPr="00363AA9" w:rsidRDefault="00F943A5" w:rsidP="00F943A5">
      <w:pPr>
        <w:autoSpaceDE w:val="0"/>
        <w:autoSpaceDN w:val="0"/>
        <w:adjustRightInd w:val="0"/>
        <w:jc w:val="both"/>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Running Title</w:t>
      </w:r>
    </w:p>
    <w:p w:rsidR="00F943A5" w:rsidRPr="00363AA9" w:rsidRDefault="00F943A5" w:rsidP="00F943A5">
      <w:pPr>
        <w:autoSpaceDE w:val="0"/>
        <w:autoSpaceDN w:val="0"/>
        <w:adjustRightInd w:val="0"/>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REE-enriched </w:t>
      </w:r>
      <w:r w:rsidRPr="00363AA9">
        <w:rPr>
          <w:rFonts w:ascii="Times New Roman" w:hAnsi="Times New Roman"/>
          <w:bCs/>
          <w:color w:val="000000" w:themeColor="text1"/>
          <w:sz w:val="24"/>
          <w:szCs w:val="24"/>
        </w:rPr>
        <w:t>Twyfelskupje carbonatite, Namibia</w:t>
      </w:r>
    </w:p>
    <w:p w:rsidR="00F943A5" w:rsidRPr="00363AA9" w:rsidRDefault="00F943A5" w:rsidP="00F943A5">
      <w:pPr>
        <w:autoSpaceDE w:val="0"/>
        <w:autoSpaceDN w:val="0"/>
        <w:adjustRightInd w:val="0"/>
        <w:jc w:val="both"/>
        <w:rPr>
          <w:rFonts w:ascii="Times New Roman" w:hAnsi="Times New Roman" w:cs="Times New Roman"/>
          <w:color w:val="000000" w:themeColor="text1"/>
          <w:sz w:val="24"/>
          <w:szCs w:val="24"/>
        </w:rPr>
      </w:pPr>
    </w:p>
    <w:p w:rsidR="00F943A5" w:rsidRPr="00363AA9" w:rsidRDefault="00F943A5" w:rsidP="00F943A5">
      <w:pPr>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br w:type="page"/>
      </w:r>
    </w:p>
    <w:p w:rsidR="00F943A5" w:rsidRPr="00363AA9" w:rsidRDefault="00F943A5" w:rsidP="00F943A5">
      <w:pPr>
        <w:autoSpaceDE w:val="0"/>
        <w:autoSpaceDN w:val="0"/>
        <w:adjustRightInd w:val="0"/>
        <w:jc w:val="both"/>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lastRenderedPageBreak/>
        <w:t>Abstract</w:t>
      </w:r>
    </w:p>
    <w:p w:rsidR="00F943A5" w:rsidRPr="00363AA9" w:rsidRDefault="00F943A5" w:rsidP="00F943A5">
      <w:pPr>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Twyfelskupje carbonatite complex (TCC), Southern Namibia, exhibits the typical igneous emplacement structures of carbonatites; including plugs, cone sheets and dyke stockworks.  The excellent exposure allows for detailed studies of the high-level geochemical and structural evolution of the carbonatite, and the nature of the concomitant rare earth element (REE) mineralization.  Radiogenic isotope analyses (Sr, Nd, Pb) reveal that, in common with many other carbonatites, the TCC appears to be predominantly derived from mixing between HIMU and EM1 mantle endmembers.  Following partial melting of these mantle sources, the geochemical and structural evolution of the TCC proceeded by a staged process involving separate magma pulses, a series of emplacement structures, sub-solidus crystallization, fractionation, and low temperature hydrothermal alteration.</w:t>
      </w:r>
    </w:p>
    <w:p w:rsidR="00F943A5" w:rsidRPr="00363AA9" w:rsidRDefault="00F943A5" w:rsidP="00F943A5">
      <w:pPr>
        <w:autoSpaceDE w:val="0"/>
        <w:autoSpaceDN w:val="0"/>
        <w:adjustRightInd w:val="0"/>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dominant REE minerals in the TCC are fluorcarbonates and monazite, and are characterized by variable Ca, high F, and LREE in the order Ce&gt;La&gt;Nd.  Comparison between the REE concentrations of the whole rocks, dominant REE minerals and carbonates, suggests that ~95% of the total REE abundance of the TCC is contained within fluorcarbonates and monazite.  Overall, the early calcio-carbonatite plugs are REE enriched (mean 4.47 wt. % REO) relative to the magnesio-carbonatite cone sheets (mean 2.51 wt. % REO).</w:t>
      </w:r>
    </w:p>
    <w:p w:rsidR="00F943A5" w:rsidRPr="00363AA9" w:rsidRDefault="00F943A5" w:rsidP="00F943A5">
      <w:pPr>
        <w:autoSpaceDE w:val="0"/>
        <w:autoSpaceDN w:val="0"/>
        <w:adjustRightInd w:val="0"/>
        <w:jc w:val="both"/>
        <w:rPr>
          <w:rFonts w:ascii="Times New Roman" w:hAnsi="Times New Roman" w:cs="Times New Roman"/>
          <w:b/>
          <w:color w:val="000000" w:themeColor="text1"/>
          <w:sz w:val="28"/>
          <w:szCs w:val="28"/>
        </w:rPr>
      </w:pPr>
    </w:p>
    <w:p w:rsidR="00F943A5" w:rsidRPr="00363AA9" w:rsidRDefault="00F943A5" w:rsidP="00F943A5">
      <w:pPr>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br w:type="page"/>
      </w:r>
    </w:p>
    <w:p w:rsidR="00F943A5" w:rsidRPr="00363AA9" w:rsidRDefault="00F943A5" w:rsidP="00F943A5">
      <w:pPr>
        <w:pStyle w:val="ListParagraph"/>
        <w:numPr>
          <w:ilvl w:val="0"/>
          <w:numId w:val="8"/>
        </w:numPr>
        <w:autoSpaceDE w:val="0"/>
        <w:autoSpaceDN w:val="0"/>
        <w:adjustRightInd w:val="0"/>
        <w:jc w:val="both"/>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lastRenderedPageBreak/>
        <w:t>Introduction</w:t>
      </w:r>
    </w:p>
    <w:p w:rsidR="00F943A5" w:rsidRPr="00363AA9" w:rsidRDefault="00F943A5" w:rsidP="00F943A5">
      <w:pPr>
        <w:autoSpaceDE w:val="0"/>
        <w:autoSpaceDN w:val="0"/>
        <w:adjustRightInd w:val="0"/>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IUGS classification of igneous rocks defines carbonatites as being composed of &gt;50 modal % primary (magmatic) carbonate and containing &lt;20 wt.% 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(Le Maitre, 2002), although a rock containing 50 modal % carbonate can contain up to 20 wt.% 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depending on the mineralogy of the non-carbonate phases (Gittins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2005; Mitchell, 2005).  Carbonatites can be produced through: (1) partial melting of a metasomatised mantle source, (2) immiscible separation at high or low pressures from a carbonated silicate melt, (3) crystal fractionation of a carbonated alkali silicate melt (Bell &amp; Tilton, 2001; Tappe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2017; Nabyl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2020).  Regardless of their origin, the geochemical, textural, and petrological features of carbonatites can be subject to a complex interplay of magmatic and hydrothermal processes that can make it difficult to relate the composition of carbonatites to their petrogenesis.  In addition, carbonatites show large modal variations at a metre-scale due to the low viscosity of the magmas that enhances mineral settling and results in complex differential movement of consanguineous crystals and melts (Gittins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2005).</w:t>
      </w:r>
    </w:p>
    <w:p w:rsidR="00F943A5" w:rsidRPr="00363AA9" w:rsidRDefault="00F943A5" w:rsidP="00F943A5">
      <w:pPr>
        <w:autoSpaceDE w:val="0"/>
        <w:autoSpaceDN w:val="0"/>
        <w:adjustRightInd w:val="0"/>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These processes also complicate models of the economic geology of carbonatites, which are currently the major source of rare earth elements (REE) (Chakhmouradian &amp; Wall, 2012).  There are three main processes by which REE are enriched to economic levels within carbonatites: (1) primary magmatism, (2) subsolidus hydrothermal, (3) supergene enrichment.  Some deposits (most notably Mountain Pass, California) are considered to largely derive their economic REE mineralisation from igneous crystallization (Castor, 2008; Mariano &amp; Mariano, 2012), whereas other (e.g., Wicheeda, Canada) appear to be dominated by REE enrichment during sub-solidus hydrothermal processes that result in remobilisation and precipitation of a variety of REE minerals (e.g. fluorcarbona</w:t>
      </w:r>
      <w:r w:rsidR="00CF1CC8" w:rsidRPr="00363AA9">
        <w:rPr>
          <w:rFonts w:ascii="Times New Roman" w:hAnsi="Times New Roman" w:cs="Times New Roman"/>
          <w:color w:val="000000" w:themeColor="text1"/>
          <w:sz w:val="24"/>
          <w:szCs w:val="24"/>
        </w:rPr>
        <w:t>tes, such as bastnäsite, pari</w:t>
      </w:r>
      <w:r w:rsidRPr="00363AA9">
        <w:rPr>
          <w:rFonts w:ascii="Times New Roman" w:hAnsi="Times New Roman" w:cs="Times New Roman"/>
          <w:color w:val="000000" w:themeColor="text1"/>
          <w:sz w:val="24"/>
          <w:szCs w:val="24"/>
        </w:rPr>
        <w:t xml:space="preserve">site and synchysite) (e.g., Trofanenko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In most cases, there is likely a continuum between magmatic and hydrothermal REE enrichment, with early magmatic phases being largely replaced by later </w:t>
      </w:r>
      <w:r w:rsidRPr="00363AA9">
        <w:rPr>
          <w:rFonts w:ascii="Times New Roman" w:hAnsi="Times New Roman" w:cs="Times New Roman"/>
          <w:color w:val="000000" w:themeColor="text1"/>
          <w:sz w:val="24"/>
          <w:szCs w:val="24"/>
        </w:rPr>
        <w:lastRenderedPageBreak/>
        <w:t xml:space="preserve">hydrothermal mineralisation (Anenburg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2022).  Supergene REE-rich ore deposits can also form by concentration pre-existing carbonatite minerals during weathering (Andersen, 1987) and formation of secondary REE-rich minerals (Lottermoser, 1990).</w:t>
      </w:r>
    </w:p>
    <w:p w:rsidR="00F943A5" w:rsidRPr="00363AA9" w:rsidRDefault="00F943A5" w:rsidP="00F943A5">
      <w:pPr>
        <w:autoSpaceDE w:val="0"/>
        <w:autoSpaceDN w:val="0"/>
        <w:adjustRightInd w:val="0"/>
        <w:ind w:firstLine="284"/>
        <w:jc w:val="both"/>
        <w:rPr>
          <w:rFonts w:ascii="Times New Roman" w:hAnsi="Times New Roman" w:cs="Times New Roman"/>
          <w:color w:val="000000" w:themeColor="text1"/>
          <w:sz w:val="24"/>
          <w:szCs w:val="24"/>
        </w:rPr>
      </w:pPr>
      <w:bookmarkStart w:id="0" w:name="_Hlk19810536"/>
      <w:r w:rsidRPr="00363AA9">
        <w:rPr>
          <w:rFonts w:ascii="Times New Roman" w:hAnsi="Times New Roman" w:cs="Times New Roman"/>
          <w:color w:val="000000" w:themeColor="text1"/>
          <w:sz w:val="24"/>
          <w:szCs w:val="24"/>
        </w:rPr>
        <w:t>Here, we present a preliminary study of the Twyfelskupje carbonatite complex (</w:t>
      </w:r>
      <w:smartTag w:uri="urn:schemas-microsoft-com:office:smarttags" w:element="stockticker">
        <w:r w:rsidRPr="00363AA9">
          <w:rPr>
            <w:rFonts w:ascii="Times New Roman" w:hAnsi="Times New Roman" w:cs="Times New Roman"/>
            <w:color w:val="000000" w:themeColor="text1"/>
            <w:sz w:val="24"/>
            <w:szCs w:val="24"/>
          </w:rPr>
          <w:t>TCC</w:t>
        </w:r>
      </w:smartTag>
      <w:r w:rsidRPr="00363AA9">
        <w:rPr>
          <w:rFonts w:ascii="Times New Roman" w:hAnsi="Times New Roman" w:cs="Times New Roman"/>
          <w:color w:val="000000" w:themeColor="text1"/>
          <w:sz w:val="24"/>
          <w:szCs w:val="24"/>
        </w:rPr>
        <w:t xml:space="preserve">), located in the Sperrgebiet, Southern Namibia (Fig. 1), where it is associated with other </w:t>
      </w:r>
      <w:r w:rsidR="006A17AA" w:rsidRPr="00363AA9">
        <w:rPr>
          <w:rFonts w:ascii="Times New Roman" w:hAnsi="Times New Roman" w:cs="Times New Roman"/>
          <w:color w:val="000000" w:themeColor="text1"/>
          <w:sz w:val="24"/>
          <w:szCs w:val="24"/>
        </w:rPr>
        <w:t>carbonatites; including, the Kie</w:t>
      </w:r>
      <w:r w:rsidRPr="00363AA9">
        <w:rPr>
          <w:rFonts w:ascii="Times New Roman" w:hAnsi="Times New Roman" w:cs="Times New Roman"/>
          <w:color w:val="000000" w:themeColor="text1"/>
          <w:sz w:val="24"/>
          <w:szCs w:val="24"/>
        </w:rPr>
        <w:t>sh</w:t>
      </w:r>
      <w:r w:rsidR="006A17AA" w:rsidRPr="00363AA9">
        <w:rPr>
          <w:rFonts w:ascii="Times New Roman" w:hAnsi="Times New Roman" w:cs="Times New Roman"/>
          <w:color w:val="000000" w:themeColor="text1"/>
          <w:sz w:val="24"/>
          <w:szCs w:val="24"/>
        </w:rPr>
        <w:t>ö</w:t>
      </w:r>
      <w:r w:rsidRPr="00363AA9">
        <w:rPr>
          <w:rFonts w:ascii="Times New Roman" w:hAnsi="Times New Roman" w:cs="Times New Roman"/>
          <w:color w:val="000000" w:themeColor="text1"/>
          <w:sz w:val="24"/>
          <w:szCs w:val="24"/>
        </w:rPr>
        <w:t xml:space="preserve">ehe (KCC) and Dicker Willem carbonatite complexes (Verwoerd, 1993).  The young age of this group of carbonatites (49±1 Ma; Reid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1990), arid conditions and sparse vegetation in the region results in extensive carbonatite exposures. Thus, the TCC provides an excellent opportunity to study the origin of carbonatites, together with their geochemical and structural evolution, and how these processes are related to the REE mineralisation of the carbonatite.</w:t>
      </w:r>
      <w:bookmarkEnd w:id="0"/>
      <w:r w:rsidRPr="00363AA9">
        <w:rPr>
          <w:rFonts w:ascii="Times New Roman" w:hAnsi="Times New Roman" w:cs="Times New Roman"/>
          <w:color w:val="000000" w:themeColor="text1"/>
          <w:sz w:val="24"/>
          <w:szCs w:val="24"/>
        </w:rPr>
        <w:t xml:space="preserve">  To this end, we present the results of a field study and geochemical analyses of whole r</w:t>
      </w:r>
      <w:r w:rsidR="00E56A75" w:rsidRPr="00363AA9">
        <w:rPr>
          <w:rFonts w:ascii="Times New Roman" w:hAnsi="Times New Roman" w:cs="Times New Roman"/>
          <w:color w:val="000000" w:themeColor="text1"/>
          <w:sz w:val="24"/>
          <w:szCs w:val="24"/>
        </w:rPr>
        <w:t xml:space="preserve">ocks and minerals to develop </w:t>
      </w:r>
      <w:r w:rsidRPr="00363AA9">
        <w:rPr>
          <w:rFonts w:ascii="Times New Roman" w:hAnsi="Times New Roman" w:cs="Times New Roman"/>
          <w:color w:val="000000" w:themeColor="text1"/>
          <w:sz w:val="24"/>
          <w:szCs w:val="24"/>
        </w:rPr>
        <w:t xml:space="preserve">initial </w:t>
      </w:r>
      <w:r w:rsidR="00E56A75" w:rsidRPr="00363AA9">
        <w:rPr>
          <w:rFonts w:ascii="Times New Roman" w:hAnsi="Times New Roman" w:cs="Times New Roman"/>
          <w:color w:val="000000" w:themeColor="text1"/>
          <w:sz w:val="24"/>
          <w:szCs w:val="24"/>
        </w:rPr>
        <w:t>hypothese</w:t>
      </w:r>
      <w:r w:rsidRPr="00363AA9">
        <w:rPr>
          <w:rFonts w:ascii="Times New Roman" w:hAnsi="Times New Roman" w:cs="Times New Roman"/>
          <w:color w:val="000000" w:themeColor="text1"/>
          <w:sz w:val="24"/>
          <w:szCs w:val="24"/>
        </w:rPr>
        <w:t>s to describe these processes within the TCC and that may be tested by future, more detailed, studies.</w:t>
      </w:r>
    </w:p>
    <w:p w:rsidR="00F943A5" w:rsidRPr="00363AA9" w:rsidRDefault="00F943A5" w:rsidP="00F943A5">
      <w:pPr>
        <w:autoSpaceDE w:val="0"/>
        <w:autoSpaceDN w:val="0"/>
        <w:adjustRightInd w:val="0"/>
        <w:jc w:val="both"/>
        <w:rPr>
          <w:rFonts w:ascii="Times New Roman" w:hAnsi="Times New Roman" w:cs="Times New Roman"/>
          <w:color w:val="000000" w:themeColor="text1"/>
          <w:sz w:val="24"/>
          <w:szCs w:val="24"/>
        </w:rPr>
      </w:pPr>
    </w:p>
    <w:p w:rsidR="00F943A5" w:rsidRPr="00363AA9" w:rsidRDefault="00F943A5" w:rsidP="00F943A5">
      <w:pPr>
        <w:pStyle w:val="ListParagraph"/>
        <w:numPr>
          <w:ilvl w:val="0"/>
          <w:numId w:val="8"/>
        </w:numPr>
        <w:autoSpaceDE w:val="0"/>
        <w:autoSpaceDN w:val="0"/>
        <w:adjustRightInd w:val="0"/>
        <w:jc w:val="both"/>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t>Geological Setting</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TCC intrudes the Namaqua metamorphic upper crustal basement.  Detailed geological mapping outside the immediate area of the carbonatite is tightly regulated within the Sperrgebiet (“restricted area”), hence it is only possible to present an overview of the regional geological setting.  In this area, the Namaqua Province comprises pre-tectonic migmatitic granulite-facies metasediments and metabasites of the Garub Group (Jackson, 1976), syn- to late-tectonic granitic gneisses (with subordinate aluminous metasediments, metapsammites, mafic granulite and calc-silicate) and post-tectonic leucogranites and pegmatites at 1004±6 Ma (Diener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2013).  </w:t>
      </w:r>
    </w:p>
    <w:p w:rsidR="00F943A5" w:rsidRPr="00363AA9" w:rsidRDefault="00F943A5" w:rsidP="00F943A5">
      <w:pPr>
        <w:autoSpaceDE w:val="0"/>
        <w:autoSpaceDN w:val="0"/>
        <w:adjustRightInd w:val="0"/>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Following a period of comparative quiescence, a number of alkaline to highly alkaline intrusive bodies of late Cretaceous to early Tertiary age were emplaced in southern Namibia </w:t>
      </w:r>
      <w:r w:rsidRPr="00363AA9">
        <w:rPr>
          <w:rFonts w:ascii="Times New Roman" w:eastAsia="CharisSIL" w:hAnsi="Times New Roman" w:cs="Times New Roman"/>
          <w:color w:val="000000" w:themeColor="text1"/>
          <w:sz w:val="24"/>
          <w:szCs w:val="24"/>
        </w:rPr>
        <w:lastRenderedPageBreak/>
        <w:t xml:space="preserve">(Miller, 2008), including the </w:t>
      </w:r>
      <w:smartTag w:uri="urn:schemas-microsoft-com:office:smarttags" w:element="stockticker">
        <w:r w:rsidRPr="00363AA9">
          <w:rPr>
            <w:rFonts w:ascii="Times New Roman" w:hAnsi="Times New Roman" w:cs="Times New Roman"/>
            <w:color w:val="000000" w:themeColor="text1"/>
            <w:sz w:val="24"/>
            <w:szCs w:val="24"/>
          </w:rPr>
          <w:t>TCC</w:t>
        </w:r>
      </w:smartTag>
      <w:r w:rsidRPr="00363AA9">
        <w:rPr>
          <w:rFonts w:ascii="Times New Roman" w:hAnsi="Times New Roman" w:cs="Times New Roman"/>
          <w:color w:val="000000" w:themeColor="text1"/>
          <w:sz w:val="24"/>
          <w:szCs w:val="24"/>
        </w:rPr>
        <w:t xml:space="preserve"> and spatially associated with the Dicker Willem, Keish</w:t>
      </w:r>
      <w:r w:rsidR="006A17AA" w:rsidRPr="00363AA9">
        <w:rPr>
          <w:rFonts w:ascii="Times New Roman" w:hAnsi="Times New Roman" w:cs="Times New Roman"/>
          <w:color w:val="000000" w:themeColor="text1"/>
          <w:sz w:val="24"/>
          <w:szCs w:val="24"/>
        </w:rPr>
        <w:t>ö</w:t>
      </w:r>
      <w:r w:rsidRPr="00363AA9">
        <w:rPr>
          <w:rFonts w:ascii="Times New Roman" w:hAnsi="Times New Roman" w:cs="Times New Roman"/>
          <w:color w:val="000000" w:themeColor="text1"/>
          <w:sz w:val="24"/>
          <w:szCs w:val="24"/>
        </w:rPr>
        <w:t xml:space="preserve">ehe, and Kaukasib carbonatite complexes (Fig. 1).  The large Dicker Willem complex is interpreted as a high-level, sub-volcanic carbonatite (Cooper &amp; Reid, 1991; 2000).  It has a K/Ar mica and Rb/Sr mica-calcite isotopic age of 49±1 Ma (Reid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1990), and the spatial relationship between the four carbonatites is taken to imply a common age (Verwoerd, 1993). (INSERT FIG. 1)</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closest alkaline complex to the TCC is the recently described Tsirub nephelenite intrusions, ~20 km south of Dicker Willem and ~35 km ENE of the TCC (Nakashole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2020).  The extent to which the carbonatites and alkaline complexes lie on a structural lineament (the northeast striking Luderitz lineament), possibly created during a period of Gondwanaland rifting and crustal extension is uncertain (Reid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1990; Woolley, 2001; Alfonso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2022).  Nevertheless, other anorogenic alkaline provinces aligned along east-northeast striking zones in Namibia are suggested to be related to pre-existing crustal zones of weakness (Reid, 1991; Smithies &amp; Marsh, 1996; Homrighausen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2018).  It has been suggested that emplacement of carbonatites and kimberlites in southern Africa are related to melting of the sub-continental lithospheric mantle initiated by passage of the African plate over </w:t>
      </w:r>
      <w:r w:rsidR="00E56A75" w:rsidRPr="00363AA9">
        <w:rPr>
          <w:rFonts w:ascii="Times New Roman" w:hAnsi="Times New Roman" w:cs="Times New Roman"/>
          <w:color w:val="000000" w:themeColor="text1"/>
          <w:sz w:val="24"/>
          <w:szCs w:val="24"/>
        </w:rPr>
        <w:t>a</w:t>
      </w:r>
      <w:r w:rsidRPr="00363AA9">
        <w:rPr>
          <w:rFonts w:ascii="Times New Roman" w:hAnsi="Times New Roman" w:cs="Times New Roman"/>
          <w:color w:val="000000" w:themeColor="text1"/>
          <w:sz w:val="24"/>
          <w:szCs w:val="24"/>
        </w:rPr>
        <w:t xml:space="preserve"> mantle plume (Hartnady &amp; le Roex, 1985).  In this context, formation of the southern Namibian carbonatites appear to be related to the passage of the Vesma hot-spot track that first emerged in the Late Jurassic/Early Cretaceous beneath the East African rift, tracked southwest, before passing beneath the TCC ~40-50 Ma and now lies beneath the South Atlantic (Alfonso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2022). </w:t>
      </w:r>
    </w:p>
    <w:p w:rsidR="00F943A5" w:rsidRPr="00363AA9" w:rsidRDefault="00F943A5" w:rsidP="00F943A5">
      <w:pPr>
        <w:ind w:firstLine="720"/>
        <w:jc w:val="both"/>
        <w:rPr>
          <w:rFonts w:ascii="Times New Roman" w:hAnsi="Times New Roman" w:cs="Times New Roman"/>
          <w:color w:val="000000" w:themeColor="text1"/>
          <w:sz w:val="24"/>
          <w:szCs w:val="24"/>
        </w:rPr>
      </w:pPr>
    </w:p>
    <w:p w:rsidR="00F943A5" w:rsidRPr="00363AA9" w:rsidRDefault="00F943A5" w:rsidP="00F943A5">
      <w:pPr>
        <w:pStyle w:val="ListParagraph"/>
        <w:widowControl w:val="0"/>
        <w:numPr>
          <w:ilvl w:val="0"/>
          <w:numId w:val="8"/>
        </w:numPr>
        <w:autoSpaceDE w:val="0"/>
        <w:autoSpaceDN w:val="0"/>
        <w:adjustRightInd w:val="0"/>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t>Local Geology and Structure</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exposed portions of the TCC stand ~120 m above the surrounding sand and calcrete covered plains (Fig. 2A).  The basement rocks of the Namaqua Metamorphic Province are </w:t>
      </w:r>
      <w:r w:rsidRPr="00363AA9">
        <w:rPr>
          <w:rFonts w:ascii="Times New Roman" w:hAnsi="Times New Roman" w:cs="Times New Roman"/>
          <w:color w:val="000000" w:themeColor="text1"/>
          <w:sz w:val="24"/>
          <w:szCs w:val="24"/>
        </w:rPr>
        <w:lastRenderedPageBreak/>
        <w:t>exposed in gullies radiating from the carbonatite complex.  The basement consists predominantly of strongly foliated, biotite-quartz-feldspar gneiss, with subordinate pegmatite, quartz schist, quartzite and amphibolite present throughout the wider area. (INSERT FIG. 2)</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Dicker Willem contains small exposures (0.12 % by area) of ijolite, but no other occurrences of genetically linked silicate magmatic rocks (Cooper &amp; Reid, 2000).  However, the TCC (as well as Keishoehe and Kaukasib) is a member of the ~20 % of carbonatite complexes worldwide (Woolley &amp; Kjarsgaard, 2008) that do not have any exposures of associated volcanic or plutonic alumino-silicate rocks within, or surrounding the complex.</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TCC forms a tectonically undeformed circular group of hills with a diameter of ~1 km.  Eight outcropping areas of the complex are recognized and designated TK1A and B, and TK2 through to TK7 (Fig. 2B).  The outcrops form a central zone (TK1A and B, and TK2) and a peripheral zone occupied by TK3 through to TK7. </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TCC geology is summarised in Figure 3.  The central zone consists of two distinct structural units; (1) sub-vertically banded, pale coloured, linear (TK1A) and arcuate (TK1B), carbonatite plugs, and (2) sub-vertical to steeply dipping, commonly darker coloured, irregularly oriented, and sometimes intersecting, carbonatite dykes (TK2).  The dykes form a stockwork surrounding the TK1B outcrop area.  Structurally, the peripheral zone is represented by shallow dipping, darker coloured, banded, carbonatite cone sheets (TK3-TK7).  In the outlying areas of the TK2 dyke stockwork, several ~1 m thick, vertical, southeast trending dykes cut the shallow dipping TK6 cone sheet. The absence of cone sheet outcrops on the northeast side of the central zone suggests the complex plunges to the northeast, and that any cone sheets on this side of the complex may have been removed by erosion. (INSERT FIG. 3)</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sub-vertically banded, pale grey carbonatites form a linear plug at TK1A, and an arcuate plug at TK1B, adjacent to the northeast edge of TK2.  The dyke stockwork extends for ~450 </w:t>
      </w:r>
      <w:r w:rsidRPr="00363AA9">
        <w:rPr>
          <w:rFonts w:ascii="Times New Roman" w:hAnsi="Times New Roman" w:cs="Times New Roman"/>
          <w:color w:val="000000" w:themeColor="text1"/>
          <w:sz w:val="24"/>
          <w:szCs w:val="24"/>
        </w:rPr>
        <w:lastRenderedPageBreak/>
        <w:t>m in an east-west direction, and ~380 m north-south, with the density of the TK2 dykes within the stockwork increasing in the area of the elevated TK2 outcrop.</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peripheral zone occupied by the TK3 through to TK7 outcrops, forms a third, distinct structural unit.  Each outcrop area represents an individual cone sheet of varying thickness and orientation, which together form part of the overall peripheral cone sheet system.  The structurally lower TK6 cone sheet has a thickness of a few metres, and forms an arched structure plunging ~10</w:t>
      </w:r>
      <w:r w:rsidRPr="00363AA9">
        <w:rPr>
          <w:rFonts w:ascii="Times New Roman" w:hAnsi="Times New Roman" w:cs="Times New Roman"/>
          <w:color w:val="000000" w:themeColor="text1"/>
          <w:sz w:val="24"/>
          <w:szCs w:val="24"/>
          <w:vertAlign w:val="superscript"/>
        </w:rPr>
        <w:t>o</w:t>
      </w:r>
      <w:r w:rsidRPr="00363AA9">
        <w:rPr>
          <w:rFonts w:ascii="Times New Roman" w:hAnsi="Times New Roman" w:cs="Times New Roman"/>
          <w:color w:val="000000" w:themeColor="text1"/>
          <w:sz w:val="24"/>
          <w:szCs w:val="24"/>
        </w:rPr>
        <w:t xml:space="preserve"> to the north.  However, the base of the cone sheet undulates and locally displays dips of up to 30</w:t>
      </w:r>
      <w:r w:rsidRPr="00363AA9">
        <w:rPr>
          <w:rFonts w:ascii="Times New Roman" w:hAnsi="Times New Roman" w:cs="Times New Roman"/>
          <w:color w:val="000000" w:themeColor="text1"/>
          <w:sz w:val="24"/>
          <w:szCs w:val="24"/>
          <w:vertAlign w:val="superscript"/>
        </w:rPr>
        <w:t>o</w:t>
      </w:r>
      <w:r w:rsidRPr="00363AA9">
        <w:rPr>
          <w:rFonts w:ascii="Times New Roman" w:hAnsi="Times New Roman" w:cs="Times New Roman"/>
          <w:color w:val="000000" w:themeColor="text1"/>
          <w:sz w:val="24"/>
          <w:szCs w:val="24"/>
        </w:rPr>
        <w:t>.  Units of Namaqua basement up to ~1 m thick are intercalated between individual layers of the TK6 cone sheet, and increase in thickness towards the top of the cone sheet.  The TK6 cone sheet is overlain by the TK5 cone sheet to the west and the TK7 cone sheet to the east.  The TK5 sheet resembles an asymmetric synclinal structure and plunges ~10</w:t>
      </w:r>
      <w:r w:rsidRPr="00363AA9">
        <w:rPr>
          <w:rFonts w:ascii="Times New Roman" w:hAnsi="Times New Roman" w:cs="Times New Roman"/>
          <w:color w:val="000000" w:themeColor="text1"/>
          <w:sz w:val="24"/>
          <w:szCs w:val="24"/>
          <w:vertAlign w:val="superscript"/>
        </w:rPr>
        <w:t>o</w:t>
      </w:r>
      <w:r w:rsidRPr="00363AA9">
        <w:rPr>
          <w:rFonts w:ascii="Times New Roman" w:hAnsi="Times New Roman" w:cs="Times New Roman"/>
          <w:color w:val="000000" w:themeColor="text1"/>
          <w:sz w:val="24"/>
          <w:szCs w:val="24"/>
        </w:rPr>
        <w:t xml:space="preserve"> to the north.  The western limb of the syncline is ~30 m thick, while the eastern limb is only a few metres thick.  The thinner eastern limb of the TK5 synclinal cone sheet overlies the western limb of the TK6 arch.  The TK6 and TK5 cone sheets are separated by a unit of Namaqua basement a few metres thick.  The TK5 cone sheet extends to outcrop TK4, and structural continuity of individual layers of carbonatite between the two cone sheets is seen in the lowest point of the ridge between them.  Intercalations of Namaqua basement up to 2 m thick occur near the base of the TK5 cone sheet.  The cone sheet exposed over TK3 is separated from, and appears slightly structurally higher than, the TK4 cone sheet.  The footwall contacts of the TK3 and TK4 cone sheets have a shallow to sub-horizontal dip.  Cone sheet TK7 is ~30 m thick, dips ~25</w:t>
      </w:r>
      <w:r w:rsidRPr="00363AA9">
        <w:rPr>
          <w:rFonts w:ascii="Times New Roman" w:hAnsi="Times New Roman" w:cs="Times New Roman"/>
          <w:color w:val="000000" w:themeColor="text1"/>
          <w:sz w:val="24"/>
          <w:szCs w:val="24"/>
          <w:vertAlign w:val="superscript"/>
        </w:rPr>
        <w:t>o</w:t>
      </w:r>
      <w:r w:rsidRPr="00363AA9">
        <w:rPr>
          <w:rFonts w:ascii="Times New Roman" w:hAnsi="Times New Roman" w:cs="Times New Roman"/>
          <w:color w:val="000000" w:themeColor="text1"/>
          <w:sz w:val="24"/>
          <w:szCs w:val="24"/>
        </w:rPr>
        <w:t xml:space="preserve"> to the</w:t>
      </w:r>
      <w:r w:rsidR="00376199" w:rsidRPr="00363AA9">
        <w:rPr>
          <w:rFonts w:ascii="Times New Roman" w:hAnsi="Times New Roman" w:cs="Times New Roman"/>
          <w:color w:val="000000" w:themeColor="text1"/>
          <w:sz w:val="24"/>
          <w:szCs w:val="24"/>
        </w:rPr>
        <w:t xml:space="preserve"> nor</w:t>
      </w:r>
      <w:r w:rsidRPr="00363AA9">
        <w:rPr>
          <w:rFonts w:ascii="Times New Roman" w:hAnsi="Times New Roman" w:cs="Times New Roman"/>
          <w:color w:val="000000" w:themeColor="text1"/>
          <w:sz w:val="24"/>
          <w:szCs w:val="24"/>
        </w:rPr>
        <w:t xml:space="preserve">theast and forms the most prominent hill within the TCC.  The TK7 cone sheet is also structurally higher than the TK6 cone sheet, and they are separated by a few metres of Namaqua basement.  The TK5 and TK7 cone sheets may have been structurally continuous prior to denudation, which resulted in the structurally lower TK6 cone sheet being exposed over the north plunging arch between </w:t>
      </w:r>
      <w:bookmarkStart w:id="1" w:name="_Hlk41051924"/>
      <w:r w:rsidRPr="00363AA9">
        <w:rPr>
          <w:rFonts w:ascii="Times New Roman" w:hAnsi="Times New Roman" w:cs="Times New Roman"/>
          <w:color w:val="000000" w:themeColor="text1"/>
          <w:sz w:val="24"/>
          <w:szCs w:val="24"/>
        </w:rPr>
        <w:t>TK5 and TK7</w:t>
      </w:r>
      <w:bookmarkEnd w:id="1"/>
      <w:r w:rsidRPr="00363AA9">
        <w:rPr>
          <w:rFonts w:ascii="Times New Roman" w:hAnsi="Times New Roman" w:cs="Times New Roman"/>
          <w:color w:val="000000" w:themeColor="text1"/>
          <w:sz w:val="24"/>
          <w:szCs w:val="24"/>
        </w:rPr>
        <w:t xml:space="preserve">.  The TK3, TK4 and TK7 cone </w:t>
      </w:r>
      <w:r w:rsidRPr="00363AA9">
        <w:rPr>
          <w:rFonts w:ascii="Times New Roman" w:hAnsi="Times New Roman" w:cs="Times New Roman"/>
          <w:color w:val="000000" w:themeColor="text1"/>
          <w:sz w:val="24"/>
          <w:szCs w:val="24"/>
        </w:rPr>
        <w:lastRenderedPageBreak/>
        <w:t xml:space="preserve">sheets dip in a radial direction, and define a common apex plunging </w:t>
      </w:r>
      <w:r w:rsidR="00376199" w:rsidRPr="00363AA9">
        <w:rPr>
          <w:rFonts w:ascii="Times New Roman" w:hAnsi="Times New Roman" w:cs="Times New Roman"/>
          <w:color w:val="000000" w:themeColor="text1"/>
          <w:sz w:val="24"/>
          <w:szCs w:val="24"/>
        </w:rPr>
        <w:t>north</w:t>
      </w:r>
      <w:r w:rsidRPr="00363AA9">
        <w:rPr>
          <w:rFonts w:ascii="Times New Roman" w:hAnsi="Times New Roman" w:cs="Times New Roman"/>
          <w:color w:val="000000" w:themeColor="text1"/>
          <w:sz w:val="24"/>
          <w:szCs w:val="24"/>
        </w:rPr>
        <w:t>east (Fig. 3).  The dip of the banding within the carbonatites parallels the footwall contact, and progressively increases upwards through the cone sheets to peak at ~35</w:t>
      </w:r>
      <w:r w:rsidRPr="00363AA9">
        <w:rPr>
          <w:rFonts w:ascii="Times New Roman" w:hAnsi="Times New Roman" w:cs="Times New Roman"/>
          <w:color w:val="000000" w:themeColor="text1"/>
          <w:sz w:val="24"/>
          <w:szCs w:val="24"/>
          <w:vertAlign w:val="superscript"/>
        </w:rPr>
        <w:t>o</w:t>
      </w:r>
      <w:r w:rsidRPr="00363AA9">
        <w:rPr>
          <w:rFonts w:ascii="Times New Roman" w:hAnsi="Times New Roman" w:cs="Times New Roman"/>
          <w:color w:val="000000" w:themeColor="text1"/>
          <w:sz w:val="24"/>
          <w:szCs w:val="24"/>
        </w:rPr>
        <w:t xml:space="preserve"> near the hanging wall, implying that the cone sheets steepen and thin down-dip towards a central common apex.  The carbonatite layers at the base of both the TK5 and TK7 cone sheets transgress to higher structural levels within the basement gneisses, with vertical transgressions of a few metres taking place over a lateral distance of &lt;10 m.  </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basement is not well exposed around the TCC; hence, it is difficult to assess the extent of alteration by fluids derived from the carbonatite.  In addition, throughout southern Namibia the Namaqua basement underwent at least three phases of deformation under high-grade metamorphism prior to emplacement of the TCC (Jackson, 1976).  Hence, it is also difficult to differentiate regional structural deformation from that associated with emplacement of the carbonatite.  Basement rocks in direct contact with the carbonatite, especially in the footwall of the cone sheets, are brecciated and display drag folds and small faults and shears with &lt;1 m displacements.  Small apophyses of carbonatite extend from the footwall contact for a few tens of cm into the basement, where fenitisation is marked by the presence of riebeckite (Fig. 4A). (INSERT FIG. 4)</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geological (and other) features of the different outcrops are summarised in Table 1. (INSERT TABLE 1)</w:t>
      </w:r>
    </w:p>
    <w:p w:rsidR="00F943A5" w:rsidRPr="00363AA9" w:rsidRDefault="00F943A5" w:rsidP="00F943A5">
      <w:pPr>
        <w:jc w:val="both"/>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3.a. Central zone pale grey carbonatites (TK1)</w:t>
      </w:r>
    </w:p>
    <w:p w:rsidR="00F943A5" w:rsidRPr="00363AA9" w:rsidRDefault="00F943A5" w:rsidP="00F943A5">
      <w:pPr>
        <w:ind w:firstLine="284"/>
        <w:jc w:val="both"/>
        <w:rPr>
          <w:rFonts w:ascii="Times New Roman" w:hAnsi="Times New Roman" w:cs="Times New Roman"/>
          <w:i/>
          <w:color w:val="000000" w:themeColor="text1"/>
          <w:sz w:val="24"/>
          <w:szCs w:val="24"/>
        </w:rPr>
      </w:pPr>
      <w:r w:rsidRPr="00363AA9">
        <w:rPr>
          <w:rFonts w:ascii="Times New Roman" w:hAnsi="Times New Roman" w:cs="Times New Roman"/>
          <w:color w:val="000000" w:themeColor="text1"/>
          <w:sz w:val="24"/>
          <w:szCs w:val="24"/>
        </w:rPr>
        <w:t xml:space="preserve">The carbonatites display variable textures including spotted, porphyritic, mottled, sheared, slumped and weakly- to strongly-, or finely- to coarsely-banded.  The variable colours and textures of carbonatites reflect varying degrees of fractionation as well as differing styles and intensities of alteration (Verwoerd, 1993).  The pale grey, sub-vertically banded carbonatites in the central zone consist of multiple phases of fine- and coarse-grained, well-banded, grey to </w:t>
      </w:r>
      <w:r w:rsidRPr="00363AA9">
        <w:rPr>
          <w:rFonts w:ascii="Times New Roman" w:hAnsi="Times New Roman" w:cs="Times New Roman"/>
          <w:color w:val="000000" w:themeColor="text1"/>
          <w:sz w:val="24"/>
          <w:szCs w:val="24"/>
        </w:rPr>
        <w:lastRenderedPageBreak/>
        <w:t>pale brown carbonatite.  Contacts between individual carbonatite units may be sharp, gradational, or sheared.  The scale of banding varies from a few mm to 1 m, and is defined by variations in the concentration of yellow REE fluorcarbonate</w:t>
      </w:r>
      <w:r w:rsidR="008840EE" w:rsidRPr="00363AA9">
        <w:rPr>
          <w:rFonts w:ascii="Times New Roman" w:hAnsi="Times New Roman" w:cs="Times New Roman"/>
          <w:color w:val="000000" w:themeColor="text1"/>
          <w:sz w:val="24"/>
          <w:szCs w:val="24"/>
        </w:rPr>
        <w:t xml:space="preserve"> minerals</w:t>
      </w:r>
      <w:r w:rsidRPr="00363AA9">
        <w:rPr>
          <w:rFonts w:ascii="Times New Roman" w:hAnsi="Times New Roman" w:cs="Times New Roman"/>
          <w:color w:val="000000" w:themeColor="text1"/>
          <w:sz w:val="24"/>
          <w:szCs w:val="24"/>
        </w:rPr>
        <w:t>, or by alternations of calcic and slightly dolomitic carbonatite.  The fluorcarbonate mineralisation is well developed, and locally comprises up to 40 modal % of the carbonatite.  Individual fluorcarbonate</w:t>
      </w:r>
      <w:r w:rsidR="008840EE" w:rsidRPr="00363AA9">
        <w:rPr>
          <w:rFonts w:ascii="Times New Roman" w:hAnsi="Times New Roman" w:cs="Times New Roman"/>
          <w:color w:val="000000" w:themeColor="text1"/>
          <w:sz w:val="24"/>
          <w:szCs w:val="24"/>
        </w:rPr>
        <w:t>-rich</w:t>
      </w:r>
      <w:r w:rsidRPr="00363AA9">
        <w:rPr>
          <w:rFonts w:ascii="Times New Roman" w:hAnsi="Times New Roman" w:cs="Times New Roman"/>
          <w:color w:val="000000" w:themeColor="text1"/>
          <w:sz w:val="24"/>
          <w:szCs w:val="24"/>
        </w:rPr>
        <w:t xml:space="preserve"> layers can be traced for several tens of metres along strike, but more commonly form banded metre-sized blocks within a carbonatite matrix (Fig. 4B), which can be folded (Fig. 4C), and some fluorcarbonate</w:t>
      </w:r>
      <w:r w:rsidR="008840EE" w:rsidRPr="00363AA9">
        <w:rPr>
          <w:rFonts w:ascii="Times New Roman" w:hAnsi="Times New Roman" w:cs="Times New Roman"/>
          <w:color w:val="000000" w:themeColor="text1"/>
          <w:sz w:val="24"/>
          <w:szCs w:val="24"/>
        </w:rPr>
        <w:t>-rich</w:t>
      </w:r>
      <w:r w:rsidRPr="00363AA9">
        <w:rPr>
          <w:rFonts w:ascii="Times New Roman" w:hAnsi="Times New Roman" w:cs="Times New Roman"/>
          <w:color w:val="000000" w:themeColor="text1"/>
          <w:sz w:val="24"/>
          <w:szCs w:val="24"/>
        </w:rPr>
        <w:t xml:space="preserve"> outcrops show both ductile and brittle deformation (Fig. 4D).  There are also small areas of larger (3-4 mm) euhedral fluorcarbonate grains, together with finer-grained magnetite (partially altered to martite) (Fig. 4E). </w:t>
      </w:r>
    </w:p>
    <w:p w:rsidR="00F943A5" w:rsidRPr="00363AA9" w:rsidRDefault="00F943A5" w:rsidP="00F943A5">
      <w:pPr>
        <w:jc w:val="both"/>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3.b. Peripheral cone sheet carbonatites (TK3 – TK7)</w:t>
      </w:r>
    </w:p>
    <w:p w:rsidR="00F943A5" w:rsidRPr="00363AA9" w:rsidRDefault="00F943A5" w:rsidP="00F943A5">
      <w:pPr>
        <w:ind w:firstLine="284"/>
        <w:jc w:val="both"/>
        <w:rPr>
          <w:rFonts w:ascii="Times New Roman" w:hAnsi="Times New Roman" w:cs="Times New Roman"/>
          <w:i/>
          <w:color w:val="000000" w:themeColor="text1"/>
          <w:sz w:val="24"/>
          <w:szCs w:val="24"/>
        </w:rPr>
      </w:pPr>
      <w:r w:rsidRPr="00363AA9">
        <w:rPr>
          <w:rFonts w:ascii="Times New Roman" w:hAnsi="Times New Roman" w:cs="Times New Roman"/>
          <w:color w:val="000000" w:themeColor="text1"/>
          <w:sz w:val="24"/>
          <w:szCs w:val="24"/>
        </w:rPr>
        <w:t xml:space="preserve">All the cone sheets commonly show cm-scale banding that parallels the lower footwall contact with the basement rocks and appears to be an emplacement fabric (Fig. 4F).  Other than TK6, the cone sheets are composed of dark brown, typically banded, carbonatite.  The TK6 cone sheet is composed of yellow ankerite carbonatite consisting of a fine-grained groundmass of calcite and ankerite, and typically contains abundant subhedral magnetite.  The magnetite is partially altered to martite, and occurs as disseminations or well-developed rhythmic bands. </w:t>
      </w:r>
    </w:p>
    <w:p w:rsidR="00F943A5" w:rsidRPr="00363AA9" w:rsidRDefault="00F943A5" w:rsidP="00F943A5">
      <w:pPr>
        <w:jc w:val="both"/>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3.c. Central zone dyke stockwork carbonatites (TK2)</w:t>
      </w:r>
    </w:p>
    <w:p w:rsidR="00F943A5" w:rsidRPr="00363AA9" w:rsidRDefault="00F943A5" w:rsidP="00F943A5">
      <w:pPr>
        <w:ind w:firstLine="284"/>
        <w:jc w:val="both"/>
        <w:rPr>
          <w:rFonts w:ascii="Times New Roman" w:hAnsi="Times New Roman" w:cs="Times New Roman"/>
          <w:i/>
          <w:color w:val="000000" w:themeColor="text1"/>
          <w:sz w:val="24"/>
          <w:szCs w:val="24"/>
        </w:rPr>
      </w:pPr>
      <w:r w:rsidRPr="00363AA9">
        <w:rPr>
          <w:rFonts w:ascii="Times New Roman" w:hAnsi="Times New Roman" w:cs="Times New Roman"/>
          <w:color w:val="000000" w:themeColor="text1"/>
          <w:sz w:val="24"/>
          <w:szCs w:val="24"/>
        </w:rPr>
        <w:t>The central dyke stockwork in and around the TK2 area, consists of one main, sub-vertical to steep northeast dipp</w:t>
      </w:r>
      <w:r w:rsidR="008840EE" w:rsidRPr="00363AA9">
        <w:rPr>
          <w:rFonts w:ascii="Times New Roman" w:hAnsi="Times New Roman" w:cs="Times New Roman"/>
          <w:color w:val="000000" w:themeColor="text1"/>
          <w:sz w:val="24"/>
          <w:szCs w:val="24"/>
        </w:rPr>
        <w:t>ing dyke, surrounded by a stock</w:t>
      </w:r>
      <w:r w:rsidRPr="00363AA9">
        <w:rPr>
          <w:rFonts w:ascii="Times New Roman" w:hAnsi="Times New Roman" w:cs="Times New Roman"/>
          <w:color w:val="000000" w:themeColor="text1"/>
          <w:sz w:val="24"/>
          <w:szCs w:val="24"/>
        </w:rPr>
        <w:t xml:space="preserve">work of smaller, mainly </w:t>
      </w:r>
      <w:bookmarkStart w:id="2" w:name="_Hlk19816210"/>
      <w:r w:rsidRPr="00363AA9">
        <w:rPr>
          <w:rFonts w:ascii="Times New Roman" w:hAnsi="Times New Roman" w:cs="Times New Roman"/>
          <w:color w:val="000000" w:themeColor="text1"/>
          <w:sz w:val="24"/>
          <w:szCs w:val="24"/>
        </w:rPr>
        <w:t xml:space="preserve">sub-vertical, irregularly oriented and occasionally intersecting dykes </w:t>
      </w:r>
      <w:bookmarkEnd w:id="2"/>
      <w:r w:rsidRPr="00363AA9">
        <w:rPr>
          <w:rFonts w:ascii="Times New Roman" w:hAnsi="Times New Roman" w:cs="Times New Roman"/>
          <w:color w:val="000000" w:themeColor="text1"/>
          <w:sz w:val="24"/>
          <w:szCs w:val="24"/>
        </w:rPr>
        <w:t xml:space="preserve">intruding into Namaqua basement.  The main dyke is weakly banded and consists mainly of massive dark grey carbonatite, and subordinate massive dark brown carbonatite.  This dyke thins to the southeast, where it becomes sub-vertical.  Prominent dykes in the southern part of TK2 are typically banded, dark grey to dark brown carbonatites, containing REE fluorcarbonates.  The darker brown </w:t>
      </w:r>
      <w:r w:rsidRPr="00363AA9">
        <w:rPr>
          <w:rFonts w:ascii="Times New Roman" w:hAnsi="Times New Roman" w:cs="Times New Roman"/>
          <w:color w:val="000000" w:themeColor="text1"/>
          <w:sz w:val="24"/>
          <w:szCs w:val="24"/>
        </w:rPr>
        <w:lastRenderedPageBreak/>
        <w:t>carbonatites contain inclusions of fine-grained, pale grey carbonatite.  In the western of TK2 area, a darker brown carbonatite dyke passes gradually into a yellow ankerite carbonatite over a front a few metres wide.</w:t>
      </w:r>
    </w:p>
    <w:p w:rsidR="00F943A5" w:rsidRPr="00363AA9" w:rsidRDefault="00F943A5" w:rsidP="00F943A5">
      <w:pPr>
        <w:jc w:val="both"/>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3.e. Late-stage, yellow ankerite carbonatite and black Mn-rich carbonatite veining</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Minor late-stage, yellow, magnetite-bearing, ankerite carbonatite veining and black, Mn-rich, siliceous, ferric carbonatite veining, occurs locally throughout the TCC.  The ankerite carbonatite veins are best developed within the dark brown carbonatite dykes of the central dyke stockwork, whereas the Mn-rich, siliceous carbonatite veins are best developed within the dark brown carbonates of the TK3 cone sheet.  Minor, thin ankerite carbonatite veins also cut the grey calcio-carbonatites of the central zone.  The yellow ankerite carbonatite veins are typically irregular, discordant, 1-10 cm thick, and commonly contain martite after magnetite.  The ankerite carbonatite veins are similar in appearance to the yellow ankerite carbonatites of the TK6 cone sheet.  The black Mn-rich veins and segregations are typically only a few mm to 30 cm in thickness, but locally constitute up to ~10 vol. % of the rock.  The veins are typically sub-parallel to the banding in the host brown carbonatites.  The last stage of veining is marked by mm-scale quartz veins that cut the black Mn-rich veins and late-stage segregations.</w:t>
      </w:r>
    </w:p>
    <w:p w:rsidR="00F943A5" w:rsidRPr="00363AA9" w:rsidRDefault="00F943A5" w:rsidP="00F943A5">
      <w:pPr>
        <w:ind w:firstLine="284"/>
        <w:jc w:val="both"/>
        <w:rPr>
          <w:rFonts w:ascii="Times New Roman" w:hAnsi="Times New Roman" w:cs="Times New Roman"/>
          <w:color w:val="000000" w:themeColor="text1"/>
          <w:sz w:val="24"/>
          <w:szCs w:val="24"/>
        </w:rPr>
      </w:pPr>
    </w:p>
    <w:p w:rsidR="00F943A5" w:rsidRPr="00363AA9" w:rsidRDefault="00F943A5" w:rsidP="00F943A5">
      <w:pPr>
        <w:pStyle w:val="ListParagraph"/>
        <w:numPr>
          <w:ilvl w:val="0"/>
          <w:numId w:val="8"/>
        </w:numPr>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t>Mineralogical Methods and Results</w:t>
      </w:r>
    </w:p>
    <w:p w:rsidR="00F943A5" w:rsidRPr="00363AA9" w:rsidRDefault="00F943A5" w:rsidP="00F943A5">
      <w:pPr>
        <w:jc w:val="both"/>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 xml:space="preserve">4.a. Optical and </w:t>
      </w:r>
      <w:smartTag w:uri="urn:schemas-microsoft-com:office:smarttags" w:element="stockticker">
        <w:r w:rsidRPr="00363AA9">
          <w:rPr>
            <w:rFonts w:ascii="Times New Roman" w:hAnsi="Times New Roman" w:cs="Times New Roman"/>
            <w:b/>
            <w:i/>
            <w:color w:val="000000" w:themeColor="text1"/>
            <w:sz w:val="24"/>
            <w:szCs w:val="24"/>
          </w:rPr>
          <w:t>SEM</w:t>
        </w:r>
      </w:smartTag>
      <w:r w:rsidRPr="00363AA9">
        <w:rPr>
          <w:rFonts w:ascii="Times New Roman" w:hAnsi="Times New Roman" w:cs="Times New Roman"/>
          <w:b/>
          <w:i/>
          <w:color w:val="000000" w:themeColor="text1"/>
          <w:sz w:val="24"/>
          <w:szCs w:val="24"/>
        </w:rPr>
        <w:t xml:space="preserve"> Microscopy</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A Carl Zeiss LEO1450VP </w:t>
      </w:r>
      <w:smartTag w:uri="urn:schemas-microsoft-com:office:smarttags" w:element="stockticker">
        <w:r w:rsidRPr="00363AA9">
          <w:rPr>
            <w:rFonts w:ascii="Times New Roman" w:hAnsi="Times New Roman" w:cs="Times New Roman"/>
            <w:color w:val="000000" w:themeColor="text1"/>
            <w:sz w:val="24"/>
            <w:szCs w:val="24"/>
          </w:rPr>
          <w:t>SEM</w:t>
        </w:r>
      </w:smartTag>
      <w:r w:rsidRPr="00363AA9">
        <w:rPr>
          <w:rFonts w:ascii="Times New Roman" w:hAnsi="Times New Roman" w:cs="Times New Roman"/>
          <w:color w:val="000000" w:themeColor="text1"/>
          <w:sz w:val="24"/>
          <w:szCs w:val="24"/>
        </w:rPr>
        <w:t xml:space="preserve"> (School of Ocean and Earth Science, University of Southampton) was used to capture high-resolution backscattered electron (BSE) images (Fig. 5).  Elemental maps were also produced to assist mineral identification in advance of semi-quantitative microanalysis.  Elemental analyses were calculated using oxygen stoichiometry, and all data normalised to 100% to allow for easier comparison of the data.  Elemental mapping and semi-quantitative microanalyses was undertaken using energy dispersive spectrometry </w:t>
      </w:r>
      <w:r w:rsidRPr="00363AA9">
        <w:rPr>
          <w:rFonts w:ascii="Times New Roman" w:hAnsi="Times New Roman" w:cs="Times New Roman"/>
          <w:color w:val="000000" w:themeColor="text1"/>
          <w:sz w:val="24"/>
          <w:szCs w:val="24"/>
        </w:rPr>
        <w:lastRenderedPageBreak/>
        <w:t>(</w:t>
      </w:r>
      <w:smartTag w:uri="urn:schemas-microsoft-com:office:smarttags" w:element="stockticker">
        <w:r w:rsidRPr="00363AA9">
          <w:rPr>
            <w:rFonts w:ascii="Times New Roman" w:hAnsi="Times New Roman" w:cs="Times New Roman"/>
            <w:color w:val="000000" w:themeColor="text1"/>
            <w:sz w:val="24"/>
            <w:szCs w:val="24"/>
          </w:rPr>
          <w:t>EDS</w:t>
        </w:r>
      </w:smartTag>
      <w:r w:rsidRPr="00363AA9">
        <w:rPr>
          <w:rFonts w:ascii="Times New Roman" w:hAnsi="Times New Roman" w:cs="Times New Roman"/>
          <w:color w:val="000000" w:themeColor="text1"/>
          <w:sz w:val="24"/>
          <w:szCs w:val="24"/>
        </w:rPr>
        <w:t xml:space="preserve">), with an Oxford Instruments X-Act 10 mmP2P area Silicon Drift Detector, coupled with Aztec Energy software. The </w:t>
      </w:r>
      <w:smartTag w:uri="urn:schemas-microsoft-com:office:smarttags" w:element="stockticker">
        <w:r w:rsidRPr="00363AA9">
          <w:rPr>
            <w:rFonts w:ascii="Times New Roman" w:hAnsi="Times New Roman" w:cs="Times New Roman"/>
            <w:color w:val="000000" w:themeColor="text1"/>
            <w:sz w:val="24"/>
            <w:szCs w:val="24"/>
          </w:rPr>
          <w:t>SEM</w:t>
        </w:r>
      </w:smartTag>
      <w:r w:rsidRPr="00363AA9">
        <w:rPr>
          <w:rFonts w:ascii="Times New Roman" w:hAnsi="Times New Roman" w:cs="Times New Roman"/>
          <w:color w:val="000000" w:themeColor="text1"/>
          <w:sz w:val="24"/>
          <w:szCs w:val="24"/>
        </w:rPr>
        <w:t xml:space="preserve"> operated at 20 kV, with a focal length of 20 mm. (INSERT FIG. 5)</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Optical microscopy of the carbonatites reveals a fine-grained (50-200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m) allotriomorphic-textured groundmass of calcite or dolomite grains overgrown by irregular shaped aggregates of equally fine-grained yellow to brown REE fluorcarbonate, and Fe-oxide.  The carbonate groundmass may pseudomorph earlier coarser-grained rhombic primary calcite (up to 1 mm grain size), or it may occur as very fine-grained recrystallized carbonate, intergrown with mainly iron oxides, barite and fluorcarbonates.  The carbonate groundmass may also be replaced by rhythmically zoned and colloform banded intergrowths of fine-grained calcite and hematite, or calcite and barite, with the hematite displaying topotactic replacements along the calcite cleavage.  Matrix-supported carbonatite micro-breccias containing rounded, milled quartz and perthite basement clasts, as well as carbonatite, and carbonatite breccia, also occur as inclusions in the central zone calcio-carbonatites.</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fine-grained fluorcarbonate aggregates are composed of masses of acicular needles, which typically occur as plumose to fibro-radial aggregates that vary in size from a few µm</w:t>
      </w:r>
      <w:r w:rsidRPr="00363AA9" w:rsidDel="00286BE3">
        <w:rPr>
          <w:rFonts w:ascii="Times New Roman" w:hAnsi="Times New Roman" w:cs="Times New Roman"/>
          <w:color w:val="000000" w:themeColor="text1"/>
          <w:sz w:val="24"/>
          <w:szCs w:val="24"/>
        </w:rPr>
        <w:t xml:space="preserve"> </w:t>
      </w:r>
      <w:r w:rsidRPr="00363AA9">
        <w:rPr>
          <w:rFonts w:ascii="Times New Roman" w:hAnsi="Times New Roman" w:cs="Times New Roman"/>
          <w:color w:val="000000" w:themeColor="text1"/>
          <w:sz w:val="24"/>
          <w:szCs w:val="24"/>
        </w:rPr>
        <w:t>to a few mm.  Narrow sub-mm scale veinlets containing quartz and carbonate cut the carbonate-hematite-fluorcarbonate mineral assemblage, whereas the strongly silica altered carbonatites contain quartz veins and segregations up to a few mm in size.  The quartz occurs as coarse, strained grains, or crystalline grains rimmed by radial overgrowths of microcrystalline quartz.</w:t>
      </w:r>
    </w:p>
    <w:p w:rsidR="00F943A5" w:rsidRPr="00363AA9" w:rsidRDefault="00F943A5" w:rsidP="00F943A5">
      <w:pPr>
        <w:ind w:firstLine="284"/>
        <w:jc w:val="both"/>
        <w:rPr>
          <w:rFonts w:ascii="Times New Roman" w:eastAsia="PMingLiU" w:hAnsi="Times New Roman" w:cs="Times New Roman"/>
          <w:color w:val="000000" w:themeColor="text1"/>
          <w:sz w:val="24"/>
          <w:szCs w:val="24"/>
          <w:lang w:eastAsia="zh-TW"/>
        </w:rPr>
      </w:pPr>
      <w:r w:rsidRPr="00363AA9">
        <w:rPr>
          <w:rFonts w:ascii="Times New Roman" w:hAnsi="Times New Roman" w:cs="Times New Roman"/>
          <w:color w:val="000000" w:themeColor="text1"/>
          <w:sz w:val="24"/>
          <w:szCs w:val="24"/>
        </w:rPr>
        <w:t xml:space="preserve">Plumose to fibro-radial aggregates of fluorcarbonate </w:t>
      </w:r>
      <w:r w:rsidR="00740A0C" w:rsidRPr="00363AA9">
        <w:rPr>
          <w:rFonts w:ascii="Times New Roman" w:hAnsi="Times New Roman" w:cs="Times New Roman"/>
          <w:color w:val="000000" w:themeColor="text1"/>
          <w:sz w:val="24"/>
          <w:szCs w:val="24"/>
        </w:rPr>
        <w:t xml:space="preserve">minerals are </w:t>
      </w:r>
      <w:r w:rsidRPr="00363AA9">
        <w:rPr>
          <w:rFonts w:ascii="Times New Roman" w:hAnsi="Times New Roman" w:cs="Times New Roman"/>
          <w:color w:val="000000" w:themeColor="text1"/>
          <w:sz w:val="24"/>
          <w:szCs w:val="24"/>
        </w:rPr>
        <w:t xml:space="preserve">most abundant in the central zone carbonatite (TK1) and are prominent in BSE images (Fig. 5A), with individual fluorcarbonate needles varying from &lt;1 µm to a few µm wide, and 20 to 60 µm long.  Typical plumose, fibro-radial aggregates of fluorcarbonate </w:t>
      </w:r>
      <w:r w:rsidR="006F34AF" w:rsidRPr="00363AA9">
        <w:rPr>
          <w:rFonts w:ascii="Times New Roman" w:hAnsi="Times New Roman" w:cs="Times New Roman"/>
          <w:color w:val="000000" w:themeColor="text1"/>
          <w:sz w:val="24"/>
          <w:szCs w:val="24"/>
        </w:rPr>
        <w:t xml:space="preserve">minerals </w:t>
      </w:r>
      <w:r w:rsidRPr="00363AA9">
        <w:rPr>
          <w:rFonts w:ascii="Times New Roman" w:hAnsi="Times New Roman" w:cs="Times New Roman"/>
          <w:color w:val="000000" w:themeColor="text1"/>
          <w:sz w:val="24"/>
          <w:szCs w:val="24"/>
        </w:rPr>
        <w:t>are 50 to 300 µm in diameter and individual needles may be curvilinear.</w:t>
      </w:r>
      <w:r w:rsidRPr="00363AA9">
        <w:rPr>
          <w:rFonts w:ascii="Times New Roman" w:eastAsia="PMingLiU" w:hAnsi="Times New Roman" w:cs="Times New Roman"/>
          <w:color w:val="000000" w:themeColor="text1"/>
          <w:sz w:val="24"/>
          <w:szCs w:val="24"/>
          <w:lang w:eastAsia="zh-TW"/>
        </w:rPr>
        <w:t xml:space="preserve"> </w:t>
      </w:r>
    </w:p>
    <w:p w:rsidR="00F943A5" w:rsidRPr="00363AA9" w:rsidRDefault="00F943A5" w:rsidP="00F943A5">
      <w:pPr>
        <w:ind w:firstLine="284"/>
        <w:jc w:val="both"/>
        <w:rPr>
          <w:rFonts w:ascii="Times New Roman" w:eastAsia="PMingLiU" w:hAnsi="Times New Roman" w:cs="Times New Roman"/>
          <w:color w:val="000000" w:themeColor="text1"/>
          <w:sz w:val="24"/>
          <w:szCs w:val="24"/>
          <w:lang w:eastAsia="zh-TW"/>
        </w:rPr>
      </w:pPr>
      <w:r w:rsidRPr="00363AA9">
        <w:rPr>
          <w:rFonts w:ascii="Times New Roman" w:hAnsi="Times New Roman" w:cs="Times New Roman"/>
          <w:color w:val="000000" w:themeColor="text1"/>
          <w:sz w:val="24"/>
          <w:szCs w:val="24"/>
        </w:rPr>
        <w:lastRenderedPageBreak/>
        <w:t>The carbonatites contain calcite, ankerite, REE fluorcarbonate</w:t>
      </w:r>
      <w:r w:rsidR="00AC0A18" w:rsidRPr="00363AA9">
        <w:rPr>
          <w:rFonts w:ascii="Times New Roman" w:hAnsi="Times New Roman" w:cs="Times New Roman"/>
          <w:color w:val="000000" w:themeColor="text1"/>
          <w:sz w:val="24"/>
          <w:szCs w:val="24"/>
        </w:rPr>
        <w:t>s</w:t>
      </w:r>
      <w:r w:rsidRPr="00363AA9">
        <w:rPr>
          <w:rFonts w:ascii="Times New Roman" w:hAnsi="Times New Roman" w:cs="Times New Roman"/>
          <w:color w:val="000000" w:themeColor="text1"/>
          <w:sz w:val="24"/>
          <w:szCs w:val="24"/>
        </w:rPr>
        <w:t xml:space="preserve">, barite, apatite, monazite, fluorite, celestine, pyrochlore, magnetite, and Fe-Mg silicates.  The barite is present in the central zone and cone sheets, where the morphology varies from coarse-grained (up to 1.5 mm) within the fine-grained carbonate groundmass, to finer-grained barite rimming the coarse-grained variety, or alternatively </w:t>
      </w:r>
      <w:bookmarkStart w:id="3" w:name="_Hlk39226625"/>
      <w:r w:rsidRPr="00363AA9">
        <w:rPr>
          <w:rFonts w:ascii="Times New Roman" w:hAnsi="Times New Roman" w:cs="Times New Roman"/>
          <w:color w:val="000000" w:themeColor="text1"/>
          <w:sz w:val="24"/>
          <w:szCs w:val="24"/>
        </w:rPr>
        <w:t xml:space="preserve">radiating rhythmic alternations with calcite and Fe-Mn-oxide </w:t>
      </w:r>
      <w:bookmarkEnd w:id="3"/>
      <w:r w:rsidRPr="00363AA9">
        <w:rPr>
          <w:rFonts w:ascii="Times New Roman" w:hAnsi="Times New Roman" w:cs="Times New Roman"/>
          <w:color w:val="000000" w:themeColor="text1"/>
          <w:sz w:val="24"/>
          <w:szCs w:val="24"/>
        </w:rPr>
        <w:t>(Fig. 5B).</w:t>
      </w:r>
      <w:bookmarkStart w:id="4" w:name="_Hlk9506418"/>
      <w:r w:rsidRPr="00363AA9">
        <w:rPr>
          <w:rFonts w:ascii="Times New Roman" w:hAnsi="Times New Roman" w:cs="Times New Roman"/>
          <w:color w:val="000000" w:themeColor="text1"/>
          <w:sz w:val="24"/>
          <w:szCs w:val="24"/>
        </w:rPr>
        <w:t xml:space="preserve"> </w:t>
      </w:r>
      <w:bookmarkEnd w:id="4"/>
      <w:r w:rsidRPr="00363AA9">
        <w:rPr>
          <w:rFonts w:ascii="Times New Roman" w:hAnsi="Times New Roman" w:cs="Times New Roman"/>
          <w:color w:val="000000" w:themeColor="text1"/>
          <w:sz w:val="24"/>
          <w:szCs w:val="24"/>
        </w:rPr>
        <w:t xml:space="preserve"> Barite also occurs as fine grains intimately associated with the fluorcarbonate segregations.</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Apatite is most abundant in central zone dyke stockwork (TK2), </w:t>
      </w:r>
      <w:r w:rsidR="00E73590" w:rsidRPr="00363AA9">
        <w:rPr>
          <w:rFonts w:ascii="Times New Roman" w:hAnsi="Times New Roman" w:cs="Times New Roman"/>
          <w:color w:val="000000" w:themeColor="text1"/>
          <w:sz w:val="24"/>
          <w:szCs w:val="24"/>
        </w:rPr>
        <w:t xml:space="preserve">and </w:t>
      </w:r>
      <w:r w:rsidRPr="00363AA9">
        <w:rPr>
          <w:rFonts w:ascii="Times New Roman" w:hAnsi="Times New Roman" w:cs="Times New Roman"/>
          <w:color w:val="000000" w:themeColor="text1"/>
          <w:sz w:val="24"/>
          <w:szCs w:val="24"/>
        </w:rPr>
        <w:t xml:space="preserve">where present it may constitute up to 10 modal % in the form of irregular shaped masses, or as bladed aggregates up to 300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 xml:space="preserve">m across, </w:t>
      </w:r>
      <w:bookmarkStart w:id="5" w:name="_Hlk39226728"/>
      <w:r w:rsidRPr="00363AA9">
        <w:rPr>
          <w:rFonts w:ascii="Times New Roman" w:hAnsi="Times New Roman" w:cs="Times New Roman"/>
          <w:color w:val="000000" w:themeColor="text1"/>
          <w:sz w:val="24"/>
          <w:szCs w:val="24"/>
        </w:rPr>
        <w:t>intergrown with carbonate</w:t>
      </w:r>
      <w:bookmarkEnd w:id="5"/>
      <w:r w:rsidRPr="00363AA9">
        <w:rPr>
          <w:rFonts w:ascii="Times New Roman" w:hAnsi="Times New Roman" w:cs="Times New Roman"/>
          <w:color w:val="000000" w:themeColor="text1"/>
          <w:sz w:val="24"/>
          <w:szCs w:val="24"/>
        </w:rPr>
        <w:t xml:space="preserve"> (Fig. 5C).  Monazite is also most abundant in TK2, where it typically occurs as irregular shaped masses up to a few 100 µm</w:t>
      </w:r>
      <w:r w:rsidRPr="00363AA9" w:rsidDel="00286BE3">
        <w:rPr>
          <w:rFonts w:ascii="Times New Roman" w:hAnsi="Times New Roman" w:cs="Times New Roman"/>
          <w:color w:val="000000" w:themeColor="text1"/>
          <w:sz w:val="24"/>
          <w:szCs w:val="24"/>
        </w:rPr>
        <w:t xml:space="preserve"> </w:t>
      </w:r>
      <w:r w:rsidRPr="00363AA9">
        <w:rPr>
          <w:rFonts w:ascii="Times New Roman" w:hAnsi="Times New Roman" w:cs="Times New Roman"/>
          <w:color w:val="000000" w:themeColor="text1"/>
          <w:sz w:val="24"/>
          <w:szCs w:val="24"/>
        </w:rPr>
        <w:t xml:space="preserve">across, which </w:t>
      </w:r>
      <w:bookmarkStart w:id="6" w:name="_Hlk39227092"/>
      <w:r w:rsidRPr="00363AA9">
        <w:rPr>
          <w:rFonts w:ascii="Times New Roman" w:hAnsi="Times New Roman" w:cs="Times New Roman"/>
          <w:color w:val="000000" w:themeColor="text1"/>
          <w:sz w:val="24"/>
          <w:szCs w:val="24"/>
        </w:rPr>
        <w:t xml:space="preserve">overgrow and include apatite and carbonate </w:t>
      </w:r>
      <w:bookmarkEnd w:id="6"/>
      <w:r w:rsidRPr="00363AA9">
        <w:rPr>
          <w:rFonts w:ascii="Times New Roman" w:hAnsi="Times New Roman" w:cs="Times New Roman"/>
          <w:color w:val="000000" w:themeColor="text1"/>
          <w:sz w:val="24"/>
          <w:szCs w:val="24"/>
        </w:rPr>
        <w:t xml:space="preserve">(Fig. 5D).  The monazite also forms rims to the plumose aggregates of fluorcarbonate, or more rarely as 5-10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 xml:space="preserve">m sub-rounded grains that overgrow the carbonate groundmass and the plumose fluorcarbonate aggregates.  Fluorite forms early euhedral to anhedral grains up to 500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 xml:space="preserve">m across in the carbonate groundmass, and is overgrown by barite and fluorcarbonate.  </w:t>
      </w:r>
      <w:bookmarkStart w:id="7" w:name="_Hlk39227453"/>
      <w:r w:rsidRPr="00363AA9">
        <w:rPr>
          <w:rFonts w:ascii="Times New Roman" w:hAnsi="Times New Roman" w:cs="Times New Roman"/>
          <w:color w:val="000000" w:themeColor="text1"/>
          <w:sz w:val="24"/>
          <w:szCs w:val="24"/>
        </w:rPr>
        <w:t xml:space="preserve">Late-stage, colloform banded, concentric assemblages of fluorite and Mn-oxide (up to 200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 xml:space="preserve">m), overgrow early fluorite </w:t>
      </w:r>
      <w:bookmarkEnd w:id="7"/>
      <w:r w:rsidRPr="00363AA9">
        <w:rPr>
          <w:rFonts w:ascii="Times New Roman" w:hAnsi="Times New Roman" w:cs="Times New Roman"/>
          <w:color w:val="000000" w:themeColor="text1"/>
          <w:sz w:val="24"/>
          <w:szCs w:val="24"/>
        </w:rPr>
        <w:t xml:space="preserve">(Fig. 5E) and are most prominent in the cone sheets (TK3 to TK7).  Celestine occurs throughout the TCC as anhedral grains (up to 50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m) which overgrow barite</w:t>
      </w:r>
      <w:bookmarkStart w:id="8" w:name="_Hlk39227557"/>
      <w:r w:rsidRPr="00363AA9">
        <w:rPr>
          <w:rFonts w:ascii="Times New Roman" w:hAnsi="Times New Roman" w:cs="Times New Roman"/>
          <w:color w:val="000000" w:themeColor="text1"/>
          <w:sz w:val="24"/>
          <w:szCs w:val="24"/>
        </w:rPr>
        <w:t xml:space="preserve"> and fluorcarbonate</w:t>
      </w:r>
      <w:bookmarkEnd w:id="8"/>
      <w:r w:rsidRPr="00363AA9">
        <w:rPr>
          <w:rFonts w:ascii="Times New Roman" w:hAnsi="Times New Roman" w:cs="Times New Roman"/>
          <w:color w:val="000000" w:themeColor="text1"/>
          <w:sz w:val="24"/>
          <w:szCs w:val="24"/>
        </w:rPr>
        <w:t xml:space="preserve"> (Fig. 5F).</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Orthomagmatic constituents of the carbonatite include pyrochlore, various Fe-Mg silicates and magnetite.  Pyrochlore is an accessory constituent, which occurs in the TK1A central zone calcio-carbonatite plug as interstitial, euhedral grains typically to </w:t>
      </w:r>
      <w:bookmarkStart w:id="9" w:name="_Hlk31723216"/>
      <w:r w:rsidRPr="00363AA9">
        <w:rPr>
          <w:rFonts w:ascii="Times New Roman" w:hAnsi="Times New Roman" w:cs="Times New Roman"/>
          <w:color w:val="000000" w:themeColor="text1"/>
          <w:sz w:val="24"/>
          <w:szCs w:val="24"/>
        </w:rPr>
        <w:t xml:space="preserve">20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 xml:space="preserve">m </w:t>
      </w:r>
      <w:bookmarkEnd w:id="9"/>
      <w:r w:rsidRPr="00363AA9">
        <w:rPr>
          <w:rFonts w:ascii="Times New Roman" w:hAnsi="Times New Roman" w:cs="Times New Roman"/>
          <w:color w:val="000000" w:themeColor="text1"/>
          <w:sz w:val="24"/>
          <w:szCs w:val="24"/>
        </w:rPr>
        <w:t>(Fig. 5A).  The presence of Fe-Mg silicate phases is typical of carbonatites and can account for &gt;10 wt.% 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in magnesio-carbonatites elsewhere (Gittins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2005), but the silicates at TCC are rare accessory constituents with a grain size typically &lt;10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 xml:space="preserve">m.  Indeed, most of the bulk rock silica </w:t>
      </w:r>
      <w:r w:rsidRPr="00363AA9">
        <w:rPr>
          <w:rFonts w:ascii="Times New Roman" w:hAnsi="Times New Roman" w:cs="Times New Roman"/>
          <w:color w:val="000000" w:themeColor="text1"/>
          <w:sz w:val="24"/>
          <w:szCs w:val="24"/>
        </w:rPr>
        <w:lastRenderedPageBreak/>
        <w:t>within the carbonatites, results from quartz veining and vug filling associated with late-stage hydrothermal silica alteration.</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Magnetite forms euhedral to anhedral grains (typically 0.5 to 1 mm).  Colloform and banded textures identified in BSE images, result from variations in abundance of Fe and Mn, and reflect late stage alteration of early (magmatic) magnetite.  The magnetite may be rimmed by barite, or exist as alternations of barite and magnetite.  The magnetite also contains Cr, Zn, Pb, and Cu (with the latter having concentrations of up to 4 wt. %), and most base metals reported in the bulk whole rock geochemistry are sequestered within magnetite, martite and other Fe- and Mn-oxides.</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Metasomatic alteration of the Namaqua basement associated with fenitisation is mainly restricted within and adjacent to veins, and pervasive alteration is limited.  Biotite-bearing quartz feldspar gneisses are altered to sodic syenite fenites.</w:t>
      </w:r>
    </w:p>
    <w:p w:rsidR="00F943A5" w:rsidRPr="00363AA9" w:rsidRDefault="00F943A5" w:rsidP="00F943A5">
      <w:pPr>
        <w:jc w:val="both"/>
        <w:rPr>
          <w:rFonts w:ascii="Times New Roman" w:hAnsi="Times New Roman" w:cs="Times New Roman"/>
          <w:color w:val="000000" w:themeColor="text1"/>
          <w:sz w:val="24"/>
          <w:szCs w:val="24"/>
        </w:rPr>
      </w:pPr>
    </w:p>
    <w:p w:rsidR="00F943A5" w:rsidRPr="00363AA9" w:rsidRDefault="00F943A5" w:rsidP="00F943A5">
      <w:pPr>
        <w:pStyle w:val="ListParagraph"/>
        <w:numPr>
          <w:ilvl w:val="0"/>
          <w:numId w:val="8"/>
        </w:numPr>
        <w:autoSpaceDE w:val="0"/>
        <w:autoSpaceDN w:val="0"/>
        <w:adjustRightInd w:val="0"/>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t>Geochemical Methodology</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Continuous channel samples (~10 cm deep, ~5 cm wide) across the </w:t>
      </w:r>
      <w:smartTag w:uri="urn:schemas-microsoft-com:office:smarttags" w:element="stockticker">
        <w:r w:rsidRPr="00363AA9">
          <w:rPr>
            <w:rFonts w:ascii="Times New Roman" w:hAnsi="Times New Roman" w:cs="Times New Roman"/>
            <w:color w:val="000000" w:themeColor="text1"/>
            <w:sz w:val="24"/>
            <w:szCs w:val="24"/>
          </w:rPr>
          <w:t>TCC</w:t>
        </w:r>
      </w:smartTag>
      <w:r w:rsidRPr="00363AA9">
        <w:rPr>
          <w:rFonts w:ascii="Times New Roman" w:hAnsi="Times New Roman" w:cs="Times New Roman"/>
          <w:color w:val="000000" w:themeColor="text1"/>
          <w:sz w:val="24"/>
          <w:szCs w:val="24"/>
        </w:rPr>
        <w:t xml:space="preserve"> normal to the banding provided a representative sample suite.</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shd w:val="clear" w:color="auto" w:fill="FFFFFF"/>
        </w:rPr>
        <w:t>Samples were prepared at the ALS laboratory in Swakopmund by ALS method PREP-31: (c</w:t>
      </w:r>
      <w:r w:rsidRPr="00363AA9">
        <w:rPr>
          <w:rFonts w:ascii="Times New Roman" w:hAnsi="Times New Roman" w:cs="Times New Roman"/>
          <w:color w:val="000000" w:themeColor="text1"/>
          <w:sz w:val="24"/>
          <w:szCs w:val="24"/>
        </w:rPr>
        <w:t xml:space="preserve">rush sample until at least 70% is less than 2 mm, then riffle split off 250 g, and finally pulverize the 250 g split until at least 85% is less than 75 microns).  REE and trace element analysis of lithium-borate flux of the pulps was undertaken at the </w:t>
      </w:r>
      <w:smartTag w:uri="urn:schemas-microsoft-com:office:smarttags" w:element="stockticker">
        <w:r w:rsidRPr="00363AA9">
          <w:rPr>
            <w:rFonts w:ascii="Times New Roman" w:hAnsi="Times New Roman" w:cs="Times New Roman"/>
            <w:color w:val="000000" w:themeColor="text1"/>
            <w:sz w:val="24"/>
            <w:szCs w:val="24"/>
          </w:rPr>
          <w:t>ALS</w:t>
        </w:r>
      </w:smartTag>
      <w:r w:rsidRPr="00363AA9">
        <w:rPr>
          <w:rFonts w:ascii="Times New Roman" w:hAnsi="Times New Roman" w:cs="Times New Roman"/>
          <w:color w:val="000000" w:themeColor="text1"/>
          <w:sz w:val="24"/>
          <w:szCs w:val="24"/>
        </w:rPr>
        <w:t xml:space="preserve"> laboratory in </w:t>
      </w:r>
      <w:smartTag w:uri="urn:schemas-microsoft-com:office:smarttags" w:element="stockticker">
        <w:r w:rsidRPr="00363AA9">
          <w:rPr>
            <w:rFonts w:ascii="Times New Roman" w:hAnsi="Times New Roman" w:cs="Times New Roman"/>
            <w:color w:val="000000" w:themeColor="text1"/>
            <w:sz w:val="24"/>
            <w:szCs w:val="24"/>
          </w:rPr>
          <w:t>Vancouver</w:t>
        </w:r>
      </w:smartTag>
      <w:r w:rsidRPr="00363AA9">
        <w:rPr>
          <w:rFonts w:ascii="Times New Roman" w:hAnsi="Times New Roman" w:cs="Times New Roman"/>
          <w:color w:val="000000" w:themeColor="text1"/>
          <w:sz w:val="24"/>
          <w:szCs w:val="24"/>
        </w:rPr>
        <w:t xml:space="preserve"> by inductively coupled plasma mass spectrometry (ICP-MS), with a precision of ±5%, (</w:t>
      </w:r>
      <w:smartTag w:uri="urn:schemas-microsoft-com:office:smarttags" w:element="stockticker">
        <w:r w:rsidRPr="00363AA9">
          <w:rPr>
            <w:rFonts w:ascii="Times New Roman" w:hAnsi="Times New Roman" w:cs="Times New Roman"/>
            <w:color w:val="000000" w:themeColor="text1"/>
            <w:sz w:val="24"/>
            <w:szCs w:val="24"/>
          </w:rPr>
          <w:t>ALS</w:t>
        </w:r>
      </w:smartTag>
      <w:r w:rsidRPr="00363AA9">
        <w:rPr>
          <w:rFonts w:ascii="Times New Roman" w:hAnsi="Times New Roman" w:cs="Times New Roman"/>
          <w:color w:val="000000" w:themeColor="text1"/>
          <w:sz w:val="24"/>
          <w:szCs w:val="24"/>
        </w:rPr>
        <w:t xml:space="preserve"> method ME-MS85).  High REE concentrations (Ce &gt;10,000 ppm; La &gt;10,000 ppm, Nd &gt;10,000 ppm; Pr &gt;1,000 ppm, and Sm &gt;1,000 ppm), were reanalysed at higher dilution by ICP atomic emission spectrometry (ICP-</w:t>
      </w:r>
      <w:smartTag w:uri="urn:schemas-microsoft-com:office:smarttags" w:element="stockticker">
        <w:r w:rsidRPr="00363AA9">
          <w:rPr>
            <w:rFonts w:ascii="Times New Roman" w:hAnsi="Times New Roman" w:cs="Times New Roman"/>
            <w:color w:val="000000" w:themeColor="text1"/>
            <w:sz w:val="24"/>
            <w:szCs w:val="24"/>
          </w:rPr>
          <w:t>AES</w:t>
        </w:r>
      </w:smartTag>
      <w:r w:rsidRPr="00363AA9">
        <w:rPr>
          <w:rFonts w:ascii="Times New Roman" w:hAnsi="Times New Roman" w:cs="Times New Roman"/>
          <w:color w:val="000000" w:themeColor="text1"/>
          <w:sz w:val="24"/>
          <w:szCs w:val="24"/>
        </w:rPr>
        <w:t xml:space="preserve">; </w:t>
      </w:r>
      <w:smartTag w:uri="urn:schemas-microsoft-com:office:smarttags" w:element="stockticker">
        <w:r w:rsidRPr="00363AA9">
          <w:rPr>
            <w:rFonts w:ascii="Times New Roman" w:hAnsi="Times New Roman" w:cs="Times New Roman"/>
            <w:color w:val="000000" w:themeColor="text1"/>
            <w:sz w:val="24"/>
            <w:szCs w:val="24"/>
          </w:rPr>
          <w:t>ALS</w:t>
        </w:r>
      </w:smartTag>
      <w:r w:rsidRPr="00363AA9">
        <w:rPr>
          <w:rFonts w:ascii="Times New Roman" w:hAnsi="Times New Roman" w:cs="Times New Roman"/>
          <w:color w:val="000000" w:themeColor="text1"/>
          <w:sz w:val="24"/>
          <w:szCs w:val="24"/>
        </w:rPr>
        <w:t xml:space="preserve"> method ME-OGREE).  Major oxides were analysed by ICP-</w:t>
      </w:r>
      <w:smartTag w:uri="urn:schemas-microsoft-com:office:smarttags" w:element="stockticker">
        <w:r w:rsidRPr="00363AA9">
          <w:rPr>
            <w:rFonts w:ascii="Times New Roman" w:hAnsi="Times New Roman" w:cs="Times New Roman"/>
            <w:color w:val="000000" w:themeColor="text1"/>
            <w:sz w:val="24"/>
            <w:szCs w:val="24"/>
          </w:rPr>
          <w:t>AES</w:t>
        </w:r>
      </w:smartTag>
      <w:r w:rsidRPr="00363AA9">
        <w:rPr>
          <w:rFonts w:ascii="Times New Roman" w:hAnsi="Times New Roman" w:cs="Times New Roman"/>
          <w:color w:val="000000" w:themeColor="text1"/>
          <w:sz w:val="24"/>
          <w:szCs w:val="24"/>
        </w:rPr>
        <w:t>, on the same fusion products (</w:t>
      </w:r>
      <w:smartTag w:uri="urn:schemas-microsoft-com:office:smarttags" w:element="stockticker">
        <w:r w:rsidRPr="00363AA9">
          <w:rPr>
            <w:rFonts w:ascii="Times New Roman" w:hAnsi="Times New Roman" w:cs="Times New Roman"/>
            <w:color w:val="000000" w:themeColor="text1"/>
            <w:sz w:val="24"/>
            <w:szCs w:val="24"/>
          </w:rPr>
          <w:t>ALS</w:t>
        </w:r>
      </w:smartTag>
      <w:r w:rsidRPr="00363AA9">
        <w:rPr>
          <w:rFonts w:ascii="Times New Roman" w:hAnsi="Times New Roman" w:cs="Times New Roman"/>
          <w:color w:val="000000" w:themeColor="text1"/>
          <w:sz w:val="24"/>
          <w:szCs w:val="24"/>
        </w:rPr>
        <w:t xml:space="preserve"> method ME-ICP06).</w:t>
      </w:r>
    </w:p>
    <w:p w:rsidR="00F943A5" w:rsidRPr="00363AA9" w:rsidRDefault="00F943A5" w:rsidP="00C71107">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lastRenderedPageBreak/>
        <w:t xml:space="preserve">Thirteen field duplicates were included in the 295 channel samples collected at the </w:t>
      </w:r>
      <w:smartTag w:uri="urn:schemas-microsoft-com:office:smarttags" w:element="stockticker">
        <w:r w:rsidRPr="00363AA9">
          <w:rPr>
            <w:rFonts w:ascii="Times New Roman" w:hAnsi="Times New Roman" w:cs="Times New Roman"/>
            <w:color w:val="000000" w:themeColor="text1"/>
            <w:sz w:val="24"/>
            <w:szCs w:val="24"/>
          </w:rPr>
          <w:t>TCC and</w:t>
        </w:r>
      </w:smartTag>
      <w:r w:rsidRPr="00363AA9">
        <w:rPr>
          <w:rFonts w:ascii="Times New Roman" w:hAnsi="Times New Roman" w:cs="Times New Roman"/>
          <w:color w:val="000000" w:themeColor="text1"/>
          <w:sz w:val="24"/>
          <w:szCs w:val="24"/>
        </w:rPr>
        <w:t xml:space="preserve"> 40 Certified Reference Material (</w:t>
      </w:r>
      <w:smartTag w:uri="urn:schemas-microsoft-com:office:smarttags" w:element="stockticker">
        <w:r w:rsidRPr="00363AA9">
          <w:rPr>
            <w:rFonts w:ascii="Times New Roman" w:hAnsi="Times New Roman" w:cs="Times New Roman"/>
            <w:color w:val="000000" w:themeColor="text1"/>
            <w:sz w:val="24"/>
            <w:szCs w:val="24"/>
          </w:rPr>
          <w:t>CRM</w:t>
        </w:r>
      </w:smartTag>
      <w:r w:rsidRPr="00363AA9">
        <w:rPr>
          <w:rFonts w:ascii="Times New Roman" w:hAnsi="Times New Roman" w:cs="Times New Roman"/>
          <w:color w:val="000000" w:themeColor="text1"/>
          <w:sz w:val="24"/>
          <w:szCs w:val="24"/>
        </w:rPr>
        <w:t xml:space="preserve">) samples, supplied by Ore Research &amp; Exploration in </w:t>
      </w:r>
      <w:smartTag w:uri="urn:schemas-microsoft-com:office:smarttags" w:element="stockticker">
        <w:r w:rsidRPr="00363AA9">
          <w:rPr>
            <w:rFonts w:ascii="Times New Roman" w:hAnsi="Times New Roman" w:cs="Times New Roman"/>
            <w:color w:val="000000" w:themeColor="text1"/>
            <w:sz w:val="24"/>
            <w:szCs w:val="24"/>
          </w:rPr>
          <w:t>Melbourne</w:t>
        </w:r>
      </w:smartTag>
      <w:r w:rsidRPr="00363AA9">
        <w:rPr>
          <w:rFonts w:ascii="Times New Roman" w:hAnsi="Times New Roman" w:cs="Times New Roman"/>
          <w:color w:val="000000" w:themeColor="text1"/>
          <w:sz w:val="24"/>
          <w:szCs w:val="24"/>
        </w:rPr>
        <w:t>, were included in the submission (20 OREAS22D blanks and 20 OREAS463 REE standards).  The OREAS</w:t>
      </w:r>
      <w:r w:rsidR="00C71107"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color w:val="000000" w:themeColor="text1"/>
          <w:sz w:val="24"/>
          <w:szCs w:val="24"/>
        </w:rPr>
        <w:t>463 REE standard is a supergene carbonatite REE-Nb ore with a TREO (total rare earth oxide) content of 2.08%</w:t>
      </w:r>
      <w:r w:rsidR="00C71107" w:rsidRPr="00363AA9">
        <w:rPr>
          <w:rFonts w:ascii="Times New Roman" w:hAnsi="Times New Roman" w:cs="Times New Roman"/>
          <w:color w:val="000000" w:themeColor="text1"/>
          <w:sz w:val="24"/>
          <w:szCs w:val="24"/>
        </w:rPr>
        <w:t xml:space="preserve"> that is a matrix-matched reference material prepared and certified by Ore Research and Exploration (Oreas.com/crm-463)</w:t>
      </w:r>
      <w:r w:rsidRPr="00363AA9">
        <w:rPr>
          <w:rFonts w:ascii="Times New Roman" w:hAnsi="Times New Roman" w:cs="Times New Roman"/>
          <w:color w:val="000000" w:themeColor="text1"/>
          <w:sz w:val="24"/>
          <w:szCs w:val="24"/>
        </w:rPr>
        <w:t>.  The values obtained for the submitted standard agreed with the certified values of CeO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La</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3</w:t>
      </w:r>
      <w:r w:rsidRPr="00363AA9">
        <w:rPr>
          <w:rFonts w:ascii="Times New Roman" w:hAnsi="Times New Roman" w:cs="Times New Roman"/>
          <w:color w:val="000000" w:themeColor="text1"/>
          <w:sz w:val="24"/>
          <w:szCs w:val="24"/>
        </w:rPr>
        <w:t>, Nd</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3</w:t>
      </w:r>
      <w:r w:rsidRPr="00363AA9">
        <w:rPr>
          <w:rFonts w:ascii="Times New Roman" w:hAnsi="Times New Roman" w:cs="Times New Roman"/>
          <w:color w:val="000000" w:themeColor="text1"/>
          <w:sz w:val="24"/>
          <w:szCs w:val="24"/>
        </w:rPr>
        <w:t>, and Pr</w:t>
      </w:r>
      <w:r w:rsidR="00C71107" w:rsidRPr="00363AA9">
        <w:rPr>
          <w:rFonts w:ascii="Times New Roman" w:hAnsi="Times New Roman" w:cs="Times New Roman"/>
          <w:color w:val="000000" w:themeColor="text1"/>
          <w:sz w:val="24"/>
          <w:szCs w:val="24"/>
          <w:vertAlign w:val="subscript"/>
        </w:rPr>
        <w:t>6</w:t>
      </w:r>
      <w:r w:rsidRPr="00363AA9">
        <w:rPr>
          <w:rFonts w:ascii="Times New Roman" w:hAnsi="Times New Roman" w:cs="Times New Roman"/>
          <w:color w:val="000000" w:themeColor="text1"/>
          <w:sz w:val="24"/>
          <w:szCs w:val="24"/>
        </w:rPr>
        <w:t>O</w:t>
      </w:r>
      <w:r w:rsidR="00C71107" w:rsidRPr="00363AA9">
        <w:rPr>
          <w:rFonts w:ascii="Times New Roman" w:hAnsi="Times New Roman" w:cs="Times New Roman"/>
          <w:color w:val="000000" w:themeColor="text1"/>
          <w:sz w:val="24"/>
          <w:szCs w:val="24"/>
          <w:vertAlign w:val="subscript"/>
        </w:rPr>
        <w:t>11</w:t>
      </w:r>
      <w:r w:rsidRPr="00363AA9">
        <w:rPr>
          <w:rFonts w:ascii="Times New Roman" w:hAnsi="Times New Roman" w:cs="Times New Roman"/>
          <w:color w:val="000000" w:themeColor="text1"/>
          <w:sz w:val="24"/>
          <w:szCs w:val="24"/>
        </w:rPr>
        <w:t xml:space="preserve"> (0.810 wt. %, 5824 ppm, 4295 ppm, and 1212 ppm, respectively) within analytical uncertainty.</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Laser-ablation ICP-MS was used to determine REE and trace element concentrations in REE-rich minerals and carbonates.  The analyses were performed on 200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m thick polished sections with a Thermo Scientific Element XR high resolution ICP-MS attached to a New Wave Research 193 nm ArF laser ablation system with a standard ~30 cm</w:t>
      </w:r>
      <w:r w:rsidRPr="00363AA9">
        <w:rPr>
          <w:rFonts w:ascii="Times New Roman" w:hAnsi="Times New Roman" w:cs="Times New Roman"/>
          <w:color w:val="000000" w:themeColor="text1"/>
          <w:sz w:val="24"/>
          <w:szCs w:val="24"/>
          <w:vertAlign w:val="superscript"/>
        </w:rPr>
        <w:t>3</w:t>
      </w:r>
      <w:r w:rsidRPr="00363AA9">
        <w:rPr>
          <w:rFonts w:ascii="Times New Roman" w:hAnsi="Times New Roman" w:cs="Times New Roman"/>
          <w:color w:val="000000" w:themeColor="text1"/>
          <w:sz w:val="24"/>
          <w:szCs w:val="24"/>
        </w:rPr>
        <w:t xml:space="preserve"> cell and 100% He (mixed with Ar and N</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after the cell) at the University of Southampton.  The instrument was calibrated with the NIST-610 glass standard.  The BCR-2 and BHVO-1 standards were analysed at the start and end of the run and the REE concentrations were consistently within 10% of the certified values (Kent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2004).  The laser was focused to a 25 mm spot with a fluence of ~5 J/cm</w:t>
      </w:r>
      <w:r w:rsidRPr="00363AA9">
        <w:rPr>
          <w:rFonts w:ascii="Times New Roman" w:hAnsi="Times New Roman" w:cs="Times New Roman"/>
          <w:color w:val="000000" w:themeColor="text1"/>
          <w:sz w:val="24"/>
          <w:szCs w:val="24"/>
          <w:vertAlign w:val="superscript"/>
        </w:rPr>
        <w:t>2</w:t>
      </w:r>
      <w:r w:rsidRPr="00363AA9">
        <w:rPr>
          <w:rFonts w:ascii="Times New Roman" w:hAnsi="Times New Roman" w:cs="Times New Roman"/>
          <w:color w:val="000000" w:themeColor="text1"/>
          <w:sz w:val="24"/>
          <w:szCs w:val="24"/>
        </w:rPr>
        <w:t xml:space="preserve"> and a 4 Hz repetition rate.</w:t>
      </w:r>
    </w:p>
    <w:p w:rsidR="00F943A5" w:rsidRPr="00363AA9" w:rsidRDefault="00F943A5" w:rsidP="00F943A5">
      <w:pPr>
        <w:autoSpaceDE w:val="0"/>
        <w:autoSpaceDN w:val="0"/>
        <w:adjustRightInd w:val="0"/>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All radiogenic isotope analyses were also carried out at the University of Southampton.  Sr isotopes were measured by thermal ionization mass spectrometry (TIMS), and Nd and Pb isotope ratios were measured by multi-collector inductively coupled plasma mass spectrometry (MC-ICP-MS) using methods of Ishizuka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(2007).  </w:t>
      </w:r>
      <w:r w:rsidRPr="00363AA9">
        <w:rPr>
          <w:rFonts w:ascii="Times New Roman" w:hAnsi="Times New Roman" w:cs="Times New Roman"/>
          <w:color w:val="000000" w:themeColor="text1"/>
          <w:sz w:val="24"/>
          <w:szCs w:val="24"/>
          <w:vertAlign w:val="superscript"/>
        </w:rPr>
        <w:t>87</w:t>
      </w:r>
      <w:r w:rsidRPr="00363AA9">
        <w:rPr>
          <w:rFonts w:ascii="Times New Roman" w:hAnsi="Times New Roman" w:cs="Times New Roman"/>
          <w:color w:val="000000" w:themeColor="text1"/>
          <w:sz w:val="24"/>
          <w:szCs w:val="24"/>
        </w:rPr>
        <w:t>Sr/</w:t>
      </w:r>
      <w:r w:rsidRPr="00363AA9">
        <w:rPr>
          <w:rFonts w:ascii="Times New Roman" w:hAnsi="Times New Roman" w:cs="Times New Roman"/>
          <w:color w:val="000000" w:themeColor="text1"/>
          <w:sz w:val="24"/>
          <w:szCs w:val="24"/>
          <w:vertAlign w:val="superscript"/>
        </w:rPr>
        <w:t>86</w:t>
      </w:r>
      <w:r w:rsidRPr="00363AA9">
        <w:rPr>
          <w:rFonts w:ascii="Times New Roman" w:hAnsi="Times New Roman" w:cs="Times New Roman"/>
          <w:color w:val="000000" w:themeColor="text1"/>
          <w:sz w:val="24"/>
          <w:szCs w:val="24"/>
        </w:rPr>
        <w:t xml:space="preserve">Sr data were normalised to </w:t>
      </w:r>
      <w:r w:rsidRPr="00363AA9">
        <w:rPr>
          <w:rFonts w:ascii="Times New Roman" w:hAnsi="Times New Roman" w:cs="Times New Roman"/>
          <w:color w:val="000000" w:themeColor="text1"/>
          <w:sz w:val="24"/>
          <w:szCs w:val="24"/>
          <w:vertAlign w:val="superscript"/>
        </w:rPr>
        <w:t>86</w:t>
      </w:r>
      <w:r w:rsidRPr="00363AA9">
        <w:rPr>
          <w:rFonts w:ascii="Times New Roman" w:hAnsi="Times New Roman" w:cs="Times New Roman"/>
          <w:color w:val="000000" w:themeColor="text1"/>
          <w:sz w:val="24"/>
          <w:szCs w:val="24"/>
        </w:rPr>
        <w:t>Sr/</w:t>
      </w:r>
      <w:r w:rsidRPr="00363AA9">
        <w:rPr>
          <w:rFonts w:ascii="Times New Roman" w:hAnsi="Times New Roman" w:cs="Times New Roman"/>
          <w:color w:val="000000" w:themeColor="text1"/>
          <w:sz w:val="24"/>
          <w:szCs w:val="24"/>
          <w:vertAlign w:val="superscript"/>
        </w:rPr>
        <w:t>88</w:t>
      </w:r>
      <w:r w:rsidRPr="00363AA9">
        <w:rPr>
          <w:rFonts w:ascii="Times New Roman" w:hAnsi="Times New Roman" w:cs="Times New Roman"/>
          <w:color w:val="000000" w:themeColor="text1"/>
          <w:sz w:val="24"/>
          <w:szCs w:val="24"/>
        </w:rPr>
        <w:t xml:space="preserve">Sr of 0.1194. During the course of the study, Sr standard NIST SRM 987 was measured as 0.710247 ± 10.  </w:t>
      </w:r>
      <w:r w:rsidRPr="00363AA9">
        <w:rPr>
          <w:rFonts w:ascii="Times New Roman" w:hAnsi="Times New Roman" w:cs="Times New Roman"/>
          <w:color w:val="000000" w:themeColor="text1"/>
          <w:sz w:val="24"/>
          <w:szCs w:val="24"/>
          <w:vertAlign w:val="superscript"/>
        </w:rPr>
        <w:t>143</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144</w:t>
      </w:r>
      <w:r w:rsidRPr="00363AA9">
        <w:rPr>
          <w:rFonts w:ascii="Times New Roman" w:hAnsi="Times New Roman" w:cs="Times New Roman"/>
          <w:color w:val="000000" w:themeColor="text1"/>
          <w:sz w:val="24"/>
          <w:szCs w:val="24"/>
        </w:rPr>
        <w:t xml:space="preserve">Nd data were normalised to </w:t>
      </w:r>
      <w:r w:rsidRPr="00363AA9">
        <w:rPr>
          <w:rFonts w:ascii="Times New Roman" w:hAnsi="Times New Roman" w:cs="Times New Roman"/>
          <w:color w:val="000000" w:themeColor="text1"/>
          <w:sz w:val="24"/>
          <w:szCs w:val="24"/>
          <w:vertAlign w:val="superscript"/>
        </w:rPr>
        <w:t>146</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144</w:t>
      </w:r>
      <w:r w:rsidRPr="00363AA9">
        <w:rPr>
          <w:rFonts w:ascii="Times New Roman" w:hAnsi="Times New Roman" w:cs="Times New Roman"/>
          <w:color w:val="000000" w:themeColor="text1"/>
          <w:sz w:val="24"/>
          <w:szCs w:val="24"/>
        </w:rPr>
        <w:t xml:space="preserve">Nd of 0.7219.  Measurement </w:t>
      </w:r>
      <w:r w:rsidRPr="00363AA9">
        <w:rPr>
          <w:rFonts w:ascii="Times New Roman" w:hAnsi="Times New Roman" w:cs="Times New Roman"/>
          <w:color w:val="000000" w:themeColor="text1"/>
          <w:sz w:val="24"/>
          <w:szCs w:val="24"/>
        </w:rPr>
        <w:lastRenderedPageBreak/>
        <w:t xml:space="preserve">of the La Jolla Nd standard gave a value of 0.511846 ± 5.  Pb standard NBS 981 gave results of 16.9403 ± 27 for </w:t>
      </w:r>
      <w:r w:rsidRPr="00363AA9">
        <w:rPr>
          <w:rFonts w:ascii="Times New Roman" w:hAnsi="Times New Roman" w:cs="Times New Roman"/>
          <w:color w:val="000000" w:themeColor="text1"/>
          <w:sz w:val="24"/>
          <w:szCs w:val="24"/>
          <w:vertAlign w:val="superscript"/>
        </w:rPr>
        <w:t>206</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 xml:space="preserve">Pb, 15.4973 ± 21 for </w:t>
      </w:r>
      <w:r w:rsidRPr="00363AA9">
        <w:rPr>
          <w:rFonts w:ascii="Times New Roman" w:hAnsi="Times New Roman" w:cs="Times New Roman"/>
          <w:color w:val="000000" w:themeColor="text1"/>
          <w:sz w:val="24"/>
          <w:szCs w:val="24"/>
          <w:vertAlign w:val="superscript"/>
        </w:rPr>
        <w:t>207</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 xml:space="preserve">Pb and 36.7169 ± 66 for </w:t>
      </w:r>
      <w:r w:rsidRPr="00363AA9">
        <w:rPr>
          <w:rFonts w:ascii="Times New Roman" w:hAnsi="Times New Roman" w:cs="Times New Roman"/>
          <w:color w:val="000000" w:themeColor="text1"/>
          <w:sz w:val="24"/>
          <w:szCs w:val="24"/>
          <w:vertAlign w:val="superscript"/>
        </w:rPr>
        <w:t>208</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 xml:space="preserve">Pb.  </w:t>
      </w:r>
    </w:p>
    <w:p w:rsidR="00F943A5" w:rsidRPr="00363AA9" w:rsidRDefault="00F943A5" w:rsidP="00F943A5">
      <w:pPr>
        <w:ind w:firstLine="284"/>
        <w:jc w:val="both"/>
        <w:rPr>
          <w:rFonts w:ascii="Times New Roman" w:hAnsi="Times New Roman" w:cs="Times New Roman"/>
          <w:color w:val="000000" w:themeColor="text1"/>
          <w:sz w:val="24"/>
          <w:szCs w:val="24"/>
        </w:rPr>
      </w:pPr>
    </w:p>
    <w:p w:rsidR="00F943A5" w:rsidRPr="00363AA9" w:rsidRDefault="00F943A5" w:rsidP="00F943A5">
      <w:pPr>
        <w:pStyle w:val="ListParagraph"/>
        <w:numPr>
          <w:ilvl w:val="0"/>
          <w:numId w:val="8"/>
        </w:numPr>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t>Results</w:t>
      </w:r>
    </w:p>
    <w:p w:rsidR="00F943A5" w:rsidRPr="00363AA9" w:rsidRDefault="00F943A5" w:rsidP="00F943A5">
      <w:pPr>
        <w:tabs>
          <w:tab w:val="left" w:pos="7380"/>
        </w:tabs>
        <w:jc w:val="both"/>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6.a. Whole rock major elements</w:t>
      </w:r>
    </w:p>
    <w:p w:rsidR="00F943A5" w:rsidRPr="00363AA9" w:rsidRDefault="00F943A5" w:rsidP="00F943A5">
      <w:pPr>
        <w:tabs>
          <w:tab w:val="left" w:pos="7380"/>
        </w:tabs>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Summaries of the whole rock major element, REE and trace element data are presented in Tables 2-4 and the complete data set (n = 295 samples) is available in the on-line supplementary information.  According to the classification scheme of Woolley &amp; Kempe (1989), the carbonatite samples largely range in composition from calcio-carbonatites (i.e., sövites) to magnesio-carbonatites (i.e., beforsites), with &lt;5 % falling in the ferro-carbonatite field (Fig. 6A). (INSERT TABLES 2, 3 &amp; 4 AND FIG. 6)</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pale grey carbonatites of the central zone plug (TK1A and TK1B; n =</w:t>
      </w:r>
      <w:r w:rsidR="00AC0A18"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color w:val="000000" w:themeColor="text1"/>
          <w:sz w:val="24"/>
          <w:szCs w:val="24"/>
        </w:rPr>
        <w:t xml:space="preserve">67) form a tightly clustered field of calcio-carbonatites.  By contrast, the dark brown carbonatites of the TK4 (n = 115) peripheral cone sheet display a continuous trend from the calcio-carbonatite field to the magnesio-carbonatite field, and the carbonatite dykes in the central stockwork (TK2; n = 32) display a distinct trend towards ferro-carbonatites.  The trend from calcio-carbonatite to magnesio-carbonatite may reflect a fractionation trend from more primitive to more evolved carbonatite (Chakhmouradian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In which case, the TK3 (n = 32), TK5 (n = 18), TK6 (n = 7), and TK7 (n = 24) cone sheets form an extended fractionation trend, with the TK6 and TK7 cone sheets containing the most Mg-rich carbonatites.  </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Deviations to higher (FeO + MnO) from points along the fractionation trend likely reflects hydrothermal alteration (Anderson, 1987), with these fractionation and hydrothermal alteration trends being common to many carbonatites (e.g., Broom-Fendley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2017).  Overall, the mean CaO/MgO ratios for the central zone calcio-carbonatites, the peripheral cone sheets and the TK2 dykes are 71.7, 4.4, and 12.1, respectively (Table 1).</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lastRenderedPageBreak/>
        <w:t>The large range of 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contents (&lt;1 to &gt;40 wt. %) in samples from the </w:t>
      </w:r>
      <w:smartTag w:uri="urn:schemas-microsoft-com:office:smarttags" w:element="stockticker">
        <w:r w:rsidRPr="00363AA9">
          <w:rPr>
            <w:rFonts w:ascii="Times New Roman" w:hAnsi="Times New Roman" w:cs="Times New Roman"/>
            <w:color w:val="000000" w:themeColor="text1"/>
            <w:sz w:val="24"/>
            <w:szCs w:val="24"/>
          </w:rPr>
          <w:t>TCC</w:t>
        </w:r>
      </w:smartTag>
      <w:r w:rsidRPr="00363AA9">
        <w:rPr>
          <w:rFonts w:ascii="Times New Roman" w:hAnsi="Times New Roman" w:cs="Times New Roman"/>
          <w:color w:val="000000" w:themeColor="text1"/>
          <w:sz w:val="24"/>
          <w:szCs w:val="24"/>
        </w:rPr>
        <w:t xml:space="preserve"> (Fig. 6B) most likely derives from hydrothermal silica alteration. </w:t>
      </w:r>
      <w:bookmarkStart w:id="10" w:name="_Hlk19816718"/>
      <w:r w:rsidRPr="00363AA9">
        <w:rPr>
          <w:rFonts w:ascii="Times New Roman" w:hAnsi="Times New Roman" w:cs="Times New Roman"/>
          <w:color w:val="000000" w:themeColor="text1"/>
          <w:sz w:val="24"/>
          <w:szCs w:val="24"/>
        </w:rPr>
        <w:t xml:space="preserve">  All structural components of the TCC show some silica enrichment, but it is most pronounced in the cone sheets, such that the mean CaO/SiO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ratio falls from ~17 in the central zone calcio-carbonatites to &lt;8 in the peripheral cone sheets (Table 1).  </w:t>
      </w:r>
      <w:bookmarkEnd w:id="10"/>
      <w:r w:rsidRPr="00363AA9">
        <w:rPr>
          <w:rFonts w:ascii="Times New Roman" w:hAnsi="Times New Roman" w:cs="Times New Roman"/>
          <w:color w:val="000000" w:themeColor="text1"/>
          <w:sz w:val="24"/>
          <w:szCs w:val="24"/>
        </w:rPr>
        <w:t>There is, however, no correlation between silica and iron.  Indeed, the most iron-enriched carbonatites are depleted in silica, which suggests there were at least two stages of hydrothermal alteration, consistent with field and mineralogical observations showing quartz veins crosscutting the ankerite carbonatites.</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An alternative explanation for the trend towards high 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contents is that they reflect assimilation of basement rocks.  We consider this to be unlikely because Namaqua metapelites, metapsammites and mafic granulites typically contain Al</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3</w:t>
      </w:r>
      <w:r w:rsidRPr="00363AA9">
        <w:rPr>
          <w:rFonts w:ascii="Times New Roman" w:hAnsi="Times New Roman" w:cs="Times New Roman"/>
          <w:color w:val="000000" w:themeColor="text1"/>
          <w:sz w:val="24"/>
          <w:szCs w:val="24"/>
        </w:rPr>
        <w:t xml:space="preserve"> contents of 22.3, 11.0 and 13.7 wt.%, respectively (Diener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2013).  In, comparison, none of the whole rock TCC samples contain &gt;0.66 wt.% Al</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3</w:t>
      </w:r>
      <w:r w:rsidRPr="00363AA9">
        <w:rPr>
          <w:rFonts w:ascii="Times New Roman" w:hAnsi="Times New Roman" w:cs="Times New Roman"/>
          <w:color w:val="000000" w:themeColor="text1"/>
          <w:sz w:val="24"/>
          <w:szCs w:val="24"/>
        </w:rPr>
        <w:t xml:space="preserve"> and the sample containing the highest 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concentration (42.40 wt.%) contains only 0.06 wt.% Al</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3</w:t>
      </w:r>
      <w:r w:rsidRPr="00363AA9">
        <w:rPr>
          <w:rFonts w:ascii="Times New Roman" w:hAnsi="Times New Roman" w:cs="Times New Roman"/>
          <w:color w:val="000000" w:themeColor="text1"/>
          <w:sz w:val="24"/>
          <w:szCs w:val="24"/>
        </w:rPr>
        <w:t>.</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Carbonatites typically contain ~0.45 wt. % BaO with increasing BaO during magmatic differentiation (Le Bas, 1987; Jones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2013).  The wide range of BaO (2-12 wt. %) within the TCC carbonatites, reflects variable, and locally high modal barite, but there is no clear relationship between BaO contents and CaO/MgO ratios either within or between the different TK units.  In addition, there is no statistically significant correlation between BaO concentrations and typical geochemical indices of differentiation (e.g. Zr) either across the whole dataset or within the individual units.  Hence, it is likely that the distribution of BaO reflects hydrothermal reworking of the carbonatites that also led to formation of the REE-fluorcarbonates, as commonly observed in carbonatites elsewhere (Doroshkevich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2009; Moore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2015).  There is, however, no clear relationship between REE, BaO or 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contents either within or between the different TK units, which suggests there were several </w:t>
      </w:r>
      <w:r w:rsidRPr="00363AA9">
        <w:rPr>
          <w:rFonts w:ascii="Times New Roman" w:hAnsi="Times New Roman" w:cs="Times New Roman"/>
          <w:color w:val="000000" w:themeColor="text1"/>
          <w:sz w:val="24"/>
          <w:szCs w:val="24"/>
        </w:rPr>
        <w:lastRenderedPageBreak/>
        <w:t>stages of hydrothermal mineralisation.  This is similar to the picture seen within the Tundulu carbonatite complex (Malawi) where the fractionation/hydrothermal sequence appears to start with synchysite, is followed by barite, and terminates with quartz (Ngwenya, 1994).</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Globally, carbonatites average 1.73 wt. % P</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5</w:t>
      </w:r>
      <w:r w:rsidRPr="00363AA9">
        <w:rPr>
          <w:rFonts w:ascii="Times New Roman" w:hAnsi="Times New Roman" w:cs="Times New Roman"/>
          <w:color w:val="000000" w:themeColor="text1"/>
          <w:sz w:val="24"/>
          <w:szCs w:val="24"/>
        </w:rPr>
        <w:t xml:space="preserve"> (Le Bas, 1987), but individual carbonatites can incorporate as much as 20 wt. % P</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5</w:t>
      </w:r>
      <w:r w:rsidRPr="00363AA9">
        <w:rPr>
          <w:rFonts w:ascii="Times New Roman" w:hAnsi="Times New Roman" w:cs="Times New Roman"/>
          <w:color w:val="000000" w:themeColor="text1"/>
          <w:sz w:val="24"/>
          <w:szCs w:val="24"/>
        </w:rPr>
        <w:t xml:space="preserve"> (Chakhmouradian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This range is reflected in the TCC data, with carbonatite samples from the TK2 dykes </w:t>
      </w:r>
      <w:bookmarkStart w:id="11" w:name="_Hlk19864479"/>
      <w:r w:rsidRPr="00363AA9">
        <w:rPr>
          <w:rFonts w:ascii="Times New Roman" w:hAnsi="Times New Roman" w:cs="Times New Roman"/>
          <w:color w:val="000000" w:themeColor="text1"/>
          <w:sz w:val="24"/>
          <w:szCs w:val="24"/>
        </w:rPr>
        <w:t>averaging 2.36 wt. % P</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5</w:t>
      </w:r>
      <w:bookmarkEnd w:id="11"/>
      <w:r w:rsidRPr="00363AA9">
        <w:rPr>
          <w:rFonts w:ascii="Times New Roman" w:hAnsi="Times New Roman" w:cs="Times New Roman"/>
          <w:color w:val="000000" w:themeColor="text1"/>
          <w:sz w:val="24"/>
          <w:szCs w:val="24"/>
        </w:rPr>
        <w:t xml:space="preserve"> (up to 6.10 wt. %), whereas the peripheral cone sheets generally contain &lt;</w:t>
      </w:r>
      <w:bookmarkStart w:id="12" w:name="_Hlk19864577"/>
      <w:r w:rsidRPr="00363AA9">
        <w:rPr>
          <w:rFonts w:ascii="Times New Roman" w:hAnsi="Times New Roman" w:cs="Times New Roman"/>
          <w:color w:val="000000" w:themeColor="text1"/>
          <w:sz w:val="24"/>
          <w:szCs w:val="24"/>
        </w:rPr>
        <w:t>1 wt. % P</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5</w:t>
      </w:r>
      <w:r w:rsidRPr="00363AA9">
        <w:rPr>
          <w:rFonts w:ascii="Times New Roman" w:hAnsi="Times New Roman" w:cs="Times New Roman"/>
          <w:color w:val="000000" w:themeColor="text1"/>
          <w:sz w:val="24"/>
          <w:szCs w:val="24"/>
        </w:rPr>
        <w:t xml:space="preserve"> </w:t>
      </w:r>
      <w:bookmarkEnd w:id="12"/>
      <w:r w:rsidRPr="00363AA9">
        <w:rPr>
          <w:rFonts w:ascii="Times New Roman" w:hAnsi="Times New Roman" w:cs="Times New Roman"/>
          <w:color w:val="000000" w:themeColor="text1"/>
          <w:sz w:val="24"/>
          <w:szCs w:val="24"/>
        </w:rPr>
        <w:t xml:space="preserve">and the central zone calcio-carbonatites contain </w:t>
      </w:r>
      <w:bookmarkStart w:id="13" w:name="_Hlk19864607"/>
      <w:r w:rsidRPr="00363AA9">
        <w:rPr>
          <w:rFonts w:ascii="Times New Roman" w:hAnsi="Times New Roman" w:cs="Times New Roman"/>
          <w:color w:val="000000" w:themeColor="text1"/>
          <w:sz w:val="24"/>
          <w:szCs w:val="24"/>
        </w:rPr>
        <w:t>1-2 wt. % P</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5</w:t>
      </w:r>
      <w:bookmarkEnd w:id="13"/>
      <w:r w:rsidRPr="00363AA9">
        <w:rPr>
          <w:rFonts w:ascii="Times New Roman" w:hAnsi="Times New Roman" w:cs="Times New Roman"/>
          <w:color w:val="000000" w:themeColor="text1"/>
          <w:sz w:val="24"/>
          <w:szCs w:val="24"/>
        </w:rPr>
        <w:t xml:space="preserve"> (Table 1).  Throughout the TCC, the phosphate minerals are predominantly present as apatite and monazite.</w:t>
      </w:r>
    </w:p>
    <w:p w:rsidR="00F943A5" w:rsidRPr="00363AA9" w:rsidRDefault="00F943A5" w:rsidP="00F943A5">
      <w:pPr>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6.b. Whole Rock Rare Earth Elements</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chondrite normalised REE patterns of the TCC outcrop areas all display steep LREE-enriched patterns (Fig. 7A) that are similar to those observed in examples of other major REE-mineralised carbonatites (Fig. 7B), and closely resemble those from Bear Lodge (Moore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2015).  The mean REO abundance for all 295 whole rock samples is 3.12 wt. %.  Overall, all the TCC carbonatite samples contain &gt;1.0 wt. % REO, with &lt;10 % of samples having &lt;2 wt. % REO, and 50% having &gt;2.8 wt. % REO.  </w:t>
      </w:r>
      <w:r w:rsidR="00957524" w:rsidRPr="00363AA9">
        <w:rPr>
          <w:rFonts w:ascii="Times New Roman" w:hAnsi="Times New Roman" w:cs="Times New Roman"/>
          <w:color w:val="000000" w:themeColor="text1"/>
          <w:sz w:val="24"/>
          <w:szCs w:val="24"/>
        </w:rPr>
        <w:t>There is no statistically significant correlation between the CaO/MgO ratios and REO contents of individual samples, but we note that t</w:t>
      </w:r>
      <w:r w:rsidRPr="00363AA9">
        <w:rPr>
          <w:rFonts w:ascii="Times New Roman" w:hAnsi="Times New Roman" w:cs="Times New Roman"/>
          <w:color w:val="000000" w:themeColor="text1"/>
          <w:sz w:val="24"/>
          <w:szCs w:val="24"/>
        </w:rPr>
        <w:t xml:space="preserve">he calcio-carbonatites from the central zone show the highest </w:t>
      </w:r>
      <w:r w:rsidR="00957524" w:rsidRPr="00363AA9">
        <w:rPr>
          <w:rFonts w:ascii="Times New Roman" w:hAnsi="Times New Roman" w:cs="Times New Roman"/>
          <w:color w:val="000000" w:themeColor="text1"/>
          <w:sz w:val="24"/>
          <w:szCs w:val="24"/>
        </w:rPr>
        <w:t xml:space="preserve">average </w:t>
      </w:r>
      <w:r w:rsidRPr="00363AA9">
        <w:rPr>
          <w:rFonts w:ascii="Times New Roman" w:hAnsi="Times New Roman" w:cs="Times New Roman"/>
          <w:color w:val="000000" w:themeColor="text1"/>
          <w:sz w:val="24"/>
          <w:szCs w:val="24"/>
        </w:rPr>
        <w:t>REO abundances (mean of 4.47 wt. %, n = 54), although the TK2 dyke stockwork also has a high mean abundance (4.18 wt. %, n = 45)</w:t>
      </w:r>
      <w:r w:rsidR="00957524" w:rsidRPr="00363AA9">
        <w:rPr>
          <w:rFonts w:ascii="Times New Roman" w:hAnsi="Times New Roman" w:cs="Times New Roman"/>
          <w:color w:val="000000" w:themeColor="text1"/>
          <w:sz w:val="24"/>
          <w:szCs w:val="24"/>
        </w:rPr>
        <w:t>.  In comparison</w:t>
      </w:r>
      <w:r w:rsidRPr="00363AA9">
        <w:rPr>
          <w:rFonts w:ascii="Times New Roman" w:hAnsi="Times New Roman" w:cs="Times New Roman"/>
          <w:color w:val="000000" w:themeColor="text1"/>
          <w:sz w:val="24"/>
          <w:szCs w:val="24"/>
        </w:rPr>
        <w:t xml:space="preserve">, the magnesio-carbonatites from the peripheral cone sheets have a lower </w:t>
      </w:r>
      <w:r w:rsidR="00957524" w:rsidRPr="00363AA9">
        <w:rPr>
          <w:rFonts w:ascii="Times New Roman" w:hAnsi="Times New Roman" w:cs="Times New Roman"/>
          <w:color w:val="000000" w:themeColor="text1"/>
          <w:sz w:val="24"/>
          <w:szCs w:val="24"/>
        </w:rPr>
        <w:t xml:space="preserve">average </w:t>
      </w:r>
      <w:r w:rsidRPr="00363AA9">
        <w:rPr>
          <w:rFonts w:ascii="Times New Roman" w:hAnsi="Times New Roman" w:cs="Times New Roman"/>
          <w:color w:val="000000" w:themeColor="text1"/>
          <w:sz w:val="24"/>
          <w:szCs w:val="24"/>
        </w:rPr>
        <w:t xml:space="preserve">abundance (2.51 wt. %, n = 196) (Table 1).  As noted above, the evolution from calcic to magnesian compositions in carbonatites worldwide has been interpreted as a fractionation trend (Chakhmouradian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and, in the case of the TCC, this trend is accompanied by progressive depletion in REO.</w:t>
      </w:r>
    </w:p>
    <w:p w:rsidR="00F943A5" w:rsidRPr="00363AA9" w:rsidRDefault="00F943A5" w:rsidP="00F943A5">
      <w:pPr>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6.c. Mineral Rare Earth Elements</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lastRenderedPageBreak/>
        <w:t xml:space="preserve">The similarity between the whole rock REE contents of the TCC and Bear Lodge deposit (Moore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2015) is also reflec</w:t>
      </w:r>
      <w:r w:rsidR="00CF1CC8" w:rsidRPr="00363AA9">
        <w:rPr>
          <w:rFonts w:ascii="Times New Roman" w:hAnsi="Times New Roman" w:cs="Times New Roman"/>
          <w:color w:val="000000" w:themeColor="text1"/>
          <w:sz w:val="24"/>
          <w:szCs w:val="24"/>
        </w:rPr>
        <w:t>ted in the LREE contents of pari</w:t>
      </w:r>
      <w:r w:rsidRPr="00363AA9">
        <w:rPr>
          <w:rFonts w:ascii="Times New Roman" w:hAnsi="Times New Roman" w:cs="Times New Roman"/>
          <w:color w:val="000000" w:themeColor="text1"/>
          <w:sz w:val="24"/>
          <w:szCs w:val="24"/>
        </w:rPr>
        <w:t>site, synchysite and monazite in each of the two deposits (as determined by EDS), although the TCC REE-minerals have slightly higher (La/Ce)</w:t>
      </w:r>
      <w:r w:rsidRPr="00363AA9">
        <w:rPr>
          <w:rFonts w:ascii="Times New Roman" w:hAnsi="Times New Roman" w:cs="Times New Roman"/>
          <w:color w:val="000000" w:themeColor="text1"/>
          <w:sz w:val="24"/>
          <w:szCs w:val="24"/>
          <w:vertAlign w:val="subscript"/>
        </w:rPr>
        <w:t>N</w:t>
      </w:r>
      <w:r w:rsidRPr="00363AA9">
        <w:rPr>
          <w:rFonts w:ascii="Times New Roman" w:hAnsi="Times New Roman" w:cs="Times New Roman"/>
          <w:color w:val="000000" w:themeColor="text1"/>
          <w:sz w:val="24"/>
          <w:szCs w:val="24"/>
        </w:rPr>
        <w:t xml:space="preserve"> and (La/Nd)</w:t>
      </w:r>
      <w:r w:rsidRPr="00363AA9">
        <w:rPr>
          <w:rFonts w:ascii="Times New Roman" w:hAnsi="Times New Roman" w:cs="Times New Roman"/>
          <w:color w:val="000000" w:themeColor="text1"/>
          <w:sz w:val="24"/>
          <w:szCs w:val="24"/>
          <w:vertAlign w:val="subscript"/>
        </w:rPr>
        <w:t>N</w:t>
      </w:r>
      <w:r w:rsidRPr="00363AA9">
        <w:rPr>
          <w:rFonts w:ascii="Times New Roman" w:hAnsi="Times New Roman" w:cs="Times New Roman"/>
          <w:color w:val="000000" w:themeColor="text1"/>
          <w:sz w:val="24"/>
          <w:szCs w:val="24"/>
        </w:rPr>
        <w:t xml:space="preserve"> ratios than the equivalent minerals from Bear Lodge (Fig. 8).  The light REE compositions of the major REE-rich minerals from TCC are listed in the on-line supplementary information.  It is also noteworthy that the whole rock carbonatite (La/Ce)</w:t>
      </w:r>
      <w:r w:rsidRPr="00363AA9">
        <w:rPr>
          <w:rFonts w:ascii="Times New Roman" w:hAnsi="Times New Roman" w:cs="Times New Roman"/>
          <w:color w:val="000000" w:themeColor="text1"/>
          <w:sz w:val="24"/>
          <w:szCs w:val="24"/>
          <w:vertAlign w:val="subscript"/>
        </w:rPr>
        <w:t>N</w:t>
      </w:r>
      <w:r w:rsidRPr="00363AA9">
        <w:rPr>
          <w:rFonts w:ascii="Times New Roman" w:hAnsi="Times New Roman" w:cs="Times New Roman"/>
          <w:color w:val="000000" w:themeColor="text1"/>
          <w:sz w:val="24"/>
          <w:szCs w:val="24"/>
        </w:rPr>
        <w:t xml:space="preserve"> and (La/Nd)</w:t>
      </w:r>
      <w:r w:rsidRPr="00363AA9">
        <w:rPr>
          <w:rFonts w:ascii="Times New Roman" w:hAnsi="Times New Roman" w:cs="Times New Roman"/>
          <w:color w:val="000000" w:themeColor="text1"/>
          <w:sz w:val="24"/>
          <w:szCs w:val="24"/>
          <w:vertAlign w:val="subscript"/>
        </w:rPr>
        <w:t>N</w:t>
      </w:r>
      <w:r w:rsidRPr="00363AA9">
        <w:rPr>
          <w:rFonts w:ascii="Times New Roman" w:hAnsi="Times New Roman" w:cs="Times New Roman"/>
          <w:color w:val="000000" w:themeColor="text1"/>
          <w:sz w:val="24"/>
          <w:szCs w:val="24"/>
        </w:rPr>
        <w:t xml:space="preserve"> ratios from both deposits are lower than those of the REE-rich phases.  This likely reflects dilution of the parisite/synchysite/monazite signature by carbonate minerals, which have much lower REE contents (typically &lt;1,000 ppm total REE) and (La/Ce)</w:t>
      </w:r>
      <w:r w:rsidRPr="00363AA9">
        <w:rPr>
          <w:rFonts w:ascii="Times New Roman" w:hAnsi="Times New Roman" w:cs="Times New Roman"/>
          <w:color w:val="000000" w:themeColor="text1"/>
          <w:sz w:val="24"/>
          <w:szCs w:val="24"/>
          <w:vertAlign w:val="subscript"/>
        </w:rPr>
        <w:t>N</w:t>
      </w:r>
      <w:r w:rsidRPr="00363AA9">
        <w:rPr>
          <w:rFonts w:ascii="Times New Roman" w:hAnsi="Times New Roman" w:cs="Times New Roman"/>
          <w:color w:val="000000" w:themeColor="text1"/>
          <w:sz w:val="24"/>
          <w:szCs w:val="24"/>
        </w:rPr>
        <w:t xml:space="preserve"> and (La/Nd)</w:t>
      </w:r>
      <w:r w:rsidRPr="00363AA9">
        <w:rPr>
          <w:rFonts w:ascii="Times New Roman" w:hAnsi="Times New Roman" w:cs="Times New Roman"/>
          <w:color w:val="000000" w:themeColor="text1"/>
          <w:sz w:val="24"/>
          <w:szCs w:val="24"/>
          <w:vertAlign w:val="subscript"/>
        </w:rPr>
        <w:t>N</w:t>
      </w:r>
      <w:r w:rsidRPr="00363AA9">
        <w:rPr>
          <w:rFonts w:ascii="Times New Roman" w:hAnsi="Times New Roman" w:cs="Times New Roman"/>
          <w:color w:val="000000" w:themeColor="text1"/>
          <w:sz w:val="24"/>
          <w:szCs w:val="24"/>
        </w:rPr>
        <w:t xml:space="preserve"> ratios that are close to unity (Moore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2015). (INSERT FIGS. 7 &amp; 8)</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There is good agreement between the average REE patterns of the REE-rich minerals determined by LA-ICP-MS (n = 30) and the LREE that could be measured by EDS (n = 31) (Fig. 7C).  The average carbonates (n = 101) have much lower total REE contents and are less LREE enriched.  Also shown on Figure 7C is the average REE pattern of all the whole rock TCC samples.  A simple mixing calculation assuming that the whole rock REE concentrations are derived from carbonate plus REE-rich minerals (fluorcarbonates and monazite), suggests that ~95% of the total REE within the whole rock derive from the REE-rich minerals.</w:t>
      </w:r>
    </w:p>
    <w:p w:rsidR="00F943A5" w:rsidRPr="00363AA9" w:rsidRDefault="00F943A5" w:rsidP="00F943A5">
      <w:pPr>
        <w:ind w:firstLine="284"/>
        <w:jc w:val="both"/>
        <w:rPr>
          <w:rFonts w:ascii="Times New Roman" w:hAnsi="Times New Roman" w:cs="Times New Roman"/>
          <w:color w:val="000000" w:themeColor="text1"/>
          <w:sz w:val="24"/>
          <w:szCs w:val="24"/>
        </w:rPr>
      </w:pPr>
    </w:p>
    <w:p w:rsidR="00F943A5" w:rsidRPr="00363AA9" w:rsidRDefault="00F943A5" w:rsidP="00F943A5">
      <w:pPr>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6.d. Trace elements</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average trace element contents of the TCC outcrops are compared in primitive mantle-normalised plots in Figure 9A and to other major REE-mineralised carbonatites in Figure 9B.  The TK4, TK6, and TK7 cone sheets display more elevated Th than the REE-rich central zone calcio-carbonatites, and stockwork dykes, whereas the central zone and stockwork dykes tend to have more elevated Nb contents than the peripheral cone sheets.  This likely reflects the </w:t>
      </w:r>
      <w:r w:rsidRPr="00363AA9">
        <w:rPr>
          <w:rFonts w:ascii="Times New Roman" w:hAnsi="Times New Roman" w:cs="Times New Roman"/>
          <w:color w:val="000000" w:themeColor="text1"/>
          <w:sz w:val="24"/>
          <w:szCs w:val="24"/>
        </w:rPr>
        <w:lastRenderedPageBreak/>
        <w:t xml:space="preserve">presence of more accessory pyrochlore in the central zone as this is the principal Nb-bearing mineral in carbonatites (Le Bas, 1981).  All the REE-enriched carbonatites shown display similar features on the PM-normalized plots – i.e. they are all depleted in the alkali elements K and Rb and the high field strength elements Zr and Ti, which suggests that they share common origins and/or formation processes.  A notable feature of the TCC carbonatites is that the U concentrations are relatively low (0.5 to 8.2 ppm, mean 2.6 ppm) in the TCC compared to many other carbonatites (e.g., Trofanenko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Broom-Fendley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2017).  The average trace element pattern of the TCC is similar to that of the Bear Lodge carbonatites, although the TCC tends to have higher Ba and lower Sr contents. (INSERT FIG. 9)</w:t>
      </w:r>
    </w:p>
    <w:p w:rsidR="00F943A5" w:rsidRPr="00363AA9" w:rsidRDefault="00F943A5" w:rsidP="00F943A5">
      <w:pPr>
        <w:jc w:val="both"/>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6.d. Isotopes</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Sr, Nd and Pb isotope ratios were measured on seven samples, and the data are listed in Table 5.  The </w:t>
      </w:r>
      <w:r w:rsidRPr="00363AA9">
        <w:rPr>
          <w:rFonts w:ascii="Symbol" w:hAnsi="Symbol" w:cs="Times New Roman"/>
          <w:color w:val="000000" w:themeColor="text1"/>
          <w:sz w:val="24"/>
          <w:szCs w:val="24"/>
        </w:rPr>
        <w:t></w:t>
      </w:r>
      <w:r w:rsidRPr="00363AA9">
        <w:rPr>
          <w:rFonts w:ascii="Times New Roman" w:hAnsi="Times New Roman" w:cs="Times New Roman"/>
          <w:color w:val="000000" w:themeColor="text1"/>
          <w:sz w:val="24"/>
          <w:szCs w:val="24"/>
        </w:rPr>
        <w:t xml:space="preserve">Nd(t) values are also given, assuming that the TCC was emplaced at the same time as (~50 Ma) as the Dicker Willem carbonatite (Reid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1990) and the Tsirub nephelinite intrusions (Nakashole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2020). (INSERT TABLE 5)</w:t>
      </w:r>
    </w:p>
    <w:p w:rsidR="00F943A5" w:rsidRPr="00363AA9" w:rsidRDefault="00F943A5" w:rsidP="00F943A5">
      <w:pPr>
        <w:ind w:firstLine="284"/>
        <w:jc w:val="both"/>
        <w:rPr>
          <w:rFonts w:ascii="Times New Roman" w:hAnsi="Times New Roman" w:cs="Times New Roman"/>
          <w:color w:val="000000" w:themeColor="text1"/>
          <w:sz w:val="24"/>
          <w:szCs w:val="24"/>
        </w:rPr>
      </w:pPr>
    </w:p>
    <w:p w:rsidR="00F943A5" w:rsidRPr="00363AA9" w:rsidRDefault="00F943A5" w:rsidP="00F943A5">
      <w:pPr>
        <w:pStyle w:val="ListParagraph"/>
        <w:numPr>
          <w:ilvl w:val="0"/>
          <w:numId w:val="8"/>
        </w:numPr>
        <w:jc w:val="both"/>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t>Discussion</w:t>
      </w:r>
    </w:p>
    <w:p w:rsidR="00F943A5" w:rsidRPr="00363AA9" w:rsidRDefault="00F943A5" w:rsidP="00F943A5">
      <w:pPr>
        <w:jc w:val="both"/>
        <w:rPr>
          <w:rFonts w:ascii="Times New Roman" w:hAnsi="Times New Roman" w:cs="Times New Roman"/>
          <w:b/>
          <w:i/>
          <w:color w:val="000000" w:themeColor="text1"/>
          <w:sz w:val="24"/>
          <w:szCs w:val="24"/>
        </w:rPr>
      </w:pPr>
      <w:r w:rsidRPr="00363AA9">
        <w:rPr>
          <w:rFonts w:ascii="Times New Roman" w:hAnsi="Times New Roman" w:cs="Times New Roman"/>
          <w:b/>
          <w:i/>
          <w:color w:val="000000" w:themeColor="text1"/>
          <w:sz w:val="24"/>
          <w:szCs w:val="24"/>
        </w:rPr>
        <w:t>7.a. Geochemical evolution</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Worldwide, carbonatites show evidence of hydrothermal alteration during and immediately after their formation.  In addition, even though the TCC is located in a very arid environment, drill cores from the nearby Kiesh</w:t>
      </w:r>
      <w:r w:rsidR="006A17AA" w:rsidRPr="00363AA9">
        <w:rPr>
          <w:rFonts w:ascii="Times New Roman" w:hAnsi="Times New Roman" w:cs="Times New Roman"/>
          <w:color w:val="000000" w:themeColor="text1"/>
          <w:sz w:val="24"/>
          <w:szCs w:val="24"/>
        </w:rPr>
        <w:t>ő</w:t>
      </w:r>
      <w:r w:rsidRPr="00363AA9">
        <w:rPr>
          <w:rFonts w:ascii="Times New Roman" w:hAnsi="Times New Roman" w:cs="Times New Roman"/>
          <w:color w:val="000000" w:themeColor="text1"/>
          <w:sz w:val="24"/>
          <w:szCs w:val="24"/>
        </w:rPr>
        <w:t xml:space="preserve">ehe carbonatite show evidence of weathering to a depth of up to ~70 m below the present land surface.  Hence, any discussion of the geochemical evolution of the TCC must consider the potential impacts of these processes.  While there is clear evidence of the effects of hydrothermal alteration of the TCC (e.g., Fig. 6), the distinct geochemical identity of the TCC outcrops (Table 1) and the presence of sharp boundaries </w:t>
      </w:r>
      <w:r w:rsidRPr="00363AA9">
        <w:rPr>
          <w:rFonts w:ascii="Times New Roman" w:hAnsi="Times New Roman" w:cs="Times New Roman"/>
          <w:color w:val="000000" w:themeColor="text1"/>
          <w:sz w:val="24"/>
          <w:szCs w:val="24"/>
        </w:rPr>
        <w:lastRenderedPageBreak/>
        <w:t>between distinct lithologies (e.g. Fig. 4B) suggests that post magmatic processes (hydrothermal and/or weathering) have not obscured all the original geochemical features of the deposit.</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While radiogenic isotope mantle endmembers were originally defined from mid-ocean ridge basalt and oceanic island basalt compositions, Bell &amp; Tilton (2001) demonstrated that Sr, Nd and Pb isotope ratios can also be applied to studying the mantle origin of African carbonatites, with only minimal evidence of lithospheric contamination.  They showed that binary plots between </w:t>
      </w:r>
      <w:r w:rsidRPr="00363AA9">
        <w:rPr>
          <w:rFonts w:ascii="Times New Roman" w:hAnsi="Times New Roman" w:cs="Times New Roman"/>
          <w:color w:val="000000" w:themeColor="text1"/>
          <w:sz w:val="24"/>
          <w:szCs w:val="24"/>
          <w:vertAlign w:val="superscript"/>
        </w:rPr>
        <w:t>87</w:t>
      </w:r>
      <w:r w:rsidRPr="00363AA9">
        <w:rPr>
          <w:rFonts w:ascii="Times New Roman" w:hAnsi="Times New Roman" w:cs="Times New Roman"/>
          <w:color w:val="000000" w:themeColor="text1"/>
          <w:sz w:val="24"/>
          <w:szCs w:val="24"/>
        </w:rPr>
        <w:t>Sr/</w:t>
      </w:r>
      <w:r w:rsidRPr="00363AA9">
        <w:rPr>
          <w:rFonts w:ascii="Times New Roman" w:hAnsi="Times New Roman" w:cs="Times New Roman"/>
          <w:color w:val="000000" w:themeColor="text1"/>
          <w:sz w:val="24"/>
          <w:szCs w:val="24"/>
          <w:vertAlign w:val="superscript"/>
        </w:rPr>
        <w:t>86</w:t>
      </w:r>
      <w:r w:rsidRPr="00363AA9">
        <w:rPr>
          <w:rFonts w:ascii="Times New Roman" w:hAnsi="Times New Roman" w:cs="Times New Roman"/>
          <w:color w:val="000000" w:themeColor="text1"/>
          <w:sz w:val="24"/>
          <w:szCs w:val="24"/>
        </w:rPr>
        <w:t>Sr-</w:t>
      </w:r>
      <w:r w:rsidRPr="00363AA9">
        <w:rPr>
          <w:rFonts w:ascii="Times New Roman" w:hAnsi="Times New Roman" w:cs="Times New Roman"/>
          <w:color w:val="000000" w:themeColor="text1"/>
          <w:sz w:val="24"/>
          <w:szCs w:val="24"/>
          <w:vertAlign w:val="superscript"/>
        </w:rPr>
        <w:t>143</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144</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206</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 xml:space="preserve">Pb ratios of carbonatites from East Africa (Fig. 10) reveal that much of the variation in their isotope compositions can be described by mixing between the HIMU and EM1 mantle endmembers, but that at least one more component (DMM) is required to describe the composition of a significant proportion of the data.  The question as to whether the enriched mantle isotope signatures arise from asthenospheric mantle sources or derive from sub-continental lithospheric mantle that has experienced subduction-related contamination (e.g. Fitzpaine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2019) has important implications for the origins of both carbonatites and kimberlites.  However, novel insights into this problem lies beyond the scope of this study, and we are most concerned with comparing the data from Southern Namibia with other African carbonatites.  Hence, we use the same approach as Bell &amp; Tilton (2001) to study of the TCC radiogenic isotope data.  (INSERT FIG. 10</w:t>
      </w:r>
      <w:r w:rsidR="007C2DC8" w:rsidRPr="00363AA9">
        <w:rPr>
          <w:rFonts w:ascii="Times New Roman" w:hAnsi="Times New Roman" w:cs="Times New Roman"/>
          <w:color w:val="000000" w:themeColor="text1"/>
          <w:sz w:val="24"/>
          <w:szCs w:val="24"/>
        </w:rPr>
        <w:t>A</w:t>
      </w:r>
      <w:r w:rsidRPr="00363AA9">
        <w:rPr>
          <w:rFonts w:ascii="Times New Roman" w:hAnsi="Times New Roman" w:cs="Times New Roman"/>
          <w:color w:val="000000" w:themeColor="text1"/>
          <w:sz w:val="24"/>
          <w:szCs w:val="24"/>
        </w:rPr>
        <w:t>)</w:t>
      </w:r>
      <w:r w:rsidR="007C2DC8" w:rsidRPr="00363AA9">
        <w:rPr>
          <w:rFonts w:ascii="Times New Roman" w:hAnsi="Times New Roman" w:cs="Times New Roman"/>
          <w:color w:val="000000" w:themeColor="text1"/>
          <w:sz w:val="24"/>
          <w:szCs w:val="24"/>
        </w:rPr>
        <w:t xml:space="preserve"> (INSERT FIG. 10B)</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Homrighausen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(2018) also compared the mantle sources of the Dicker Willem carbonatites with those of the Walvis Ridge alkali basalts in the nearby South Atlantic, and also suggested that the Sr-Nd-Pb isotope compositions of both groups lie on similar trends that largely represent mixing between HIMU and EM1 sources.  They proposed that the EM1 source derives from upwelling of a deep source along a hot-spot track and that the HIMU material may either derive from upwelling of mantle plume that then flows westward along the base of the sub-continental lithospheric mantle, or may arise from discrete diapirs of HIMU material rising from the deep mantle.  As noted, Alfonso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(2022) recently proposed that </w:t>
      </w:r>
      <w:r w:rsidRPr="00363AA9">
        <w:rPr>
          <w:rFonts w:ascii="Times New Roman" w:hAnsi="Times New Roman" w:cs="Times New Roman"/>
          <w:color w:val="000000" w:themeColor="text1"/>
          <w:sz w:val="24"/>
          <w:szCs w:val="24"/>
        </w:rPr>
        <w:lastRenderedPageBreak/>
        <w:t>Walvis Ridge (South Atlantic) and the southern Namibia carbonatites lie along a hot-spot track that youngs from the northeast to southwest, thus supporting the plume model for the HIMU source.</w:t>
      </w:r>
    </w:p>
    <w:p w:rsidR="00F943A5" w:rsidRPr="00363AA9" w:rsidRDefault="00F943A5" w:rsidP="00F943A5">
      <w:pPr>
        <w:autoSpaceDE w:val="0"/>
        <w:autoSpaceDN w:val="0"/>
        <w:adjustRightInd w:val="0"/>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position of the TCC samples in the Sr-Nd-Pb binary plots also suggest that they are predominantly derived from mixing between HIMU and EM1 sources.  Nevertheless, the multi-dimensional space occupied by Sr-Nd-Pb isotopes means that the distribution of samples are best examined on a 3-dimensional mantle plane (cf. Zindler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1982).  Using this approach (Fig. 10H), it can be seen that the vast majority of the carbonatite data (including the TCC) plot along the mantle plane described by the DMM, HIMU and EM1 mantle endmembers.  The residual deviation to more radiogenic Sr and Pb isotope ratios may either reflect small degrees of high-level crustal assimilation and/or post magmatic alteration by hydrothermal/weathering processes, but we concur with the Bell &amp; Tilton (2001) that the carbonatite isotope data predominantly reflect their mantle source, whether that be from asthenospheric sources and/or also from the sub-continental lithospheric mantle.</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Following mantle melting, the initial emplacement of the calcio-carbonatites at the TCC was rapidly followed by sub-solidus formation of the REE fluorcarbonate minerals in distinct layers by circulation of endogenous fluids just below solidus temperatures.  Deformation then occurred as the layered calcio-carbonatite cooled through the ductile-brittle transition to yield the textures observed in Figures 5C and 5D.  Chakhmouradian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envisaged that analogous textures in carbonatites could arise during collision zone deformation, but successive intrusion of cone sheets into resistant basement would also create compressive stresses during emplacement. </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All the cone sheets have more dolomitic compositions (mean CaO/MgO = 4.4) and may have formed during fractionation of the same magma (Chakhmouradian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that formed the original calcio-carbonatites (mean CaO/MgO = 71.7) (Table 1).  However, by this </w:t>
      </w:r>
      <w:r w:rsidRPr="00363AA9">
        <w:rPr>
          <w:rFonts w:ascii="Times New Roman" w:hAnsi="Times New Roman" w:cs="Times New Roman"/>
          <w:color w:val="000000" w:themeColor="text1"/>
          <w:sz w:val="24"/>
          <w:szCs w:val="24"/>
        </w:rPr>
        <w:lastRenderedPageBreak/>
        <w:t>stage in its evolution the primary magma may have been depleted in its original volatile content, such that the cone sheets did not display dominant sub-solidus REE mineralization.</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final magmatic event may have involved fresh injection of melt to yield the calcic carbonatite dykes (mean CaO/MgO = 12.1) in the centre of the TCC.  This fresh batch of melt came with sufficient volatile concentrations to allow further formation of REE fluorcarbonates in some of the dykes.  Note, however, that it is important to distinguish between the high temperature sub-solidus hydrothermal processes (&gt;400</w:t>
      </w:r>
      <w:r w:rsidRPr="00363AA9">
        <w:rPr>
          <w:rFonts w:ascii="Times New Roman" w:hAnsi="Times New Roman" w:cs="Times New Roman"/>
          <w:color w:val="000000" w:themeColor="text1"/>
          <w:sz w:val="24"/>
          <w:szCs w:val="24"/>
          <w:vertAlign w:val="superscript"/>
        </w:rPr>
        <w:t>o</w:t>
      </w:r>
      <w:r w:rsidRPr="00363AA9">
        <w:rPr>
          <w:rFonts w:ascii="Times New Roman" w:hAnsi="Times New Roman" w:cs="Times New Roman"/>
          <w:color w:val="000000" w:themeColor="text1"/>
          <w:sz w:val="24"/>
          <w:szCs w:val="24"/>
        </w:rPr>
        <w:t xml:space="preserve">C, Trofanenko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that led to formation of the REE fluorcarbonates from the later, relatively low temperature (possibly hydrostatically limited; cf. Smith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hydrothermal silica and Fe-Mn hydrothermal activity that is pervasive throughout the TCC (Fig. 6).</w:t>
      </w:r>
    </w:p>
    <w:p w:rsidR="00F943A5" w:rsidRPr="00363AA9" w:rsidRDefault="00F943A5" w:rsidP="00F943A5">
      <w:pPr>
        <w:jc w:val="both"/>
        <w:rPr>
          <w:rFonts w:ascii="Times New Roman" w:hAnsi="Times New Roman" w:cs="Times New Roman"/>
          <w:b/>
          <w:i/>
          <w:iCs/>
          <w:color w:val="000000" w:themeColor="text1"/>
          <w:sz w:val="24"/>
          <w:szCs w:val="24"/>
        </w:rPr>
      </w:pPr>
      <w:r w:rsidRPr="00363AA9">
        <w:rPr>
          <w:rFonts w:ascii="Times New Roman" w:hAnsi="Times New Roman" w:cs="Times New Roman"/>
          <w:b/>
          <w:i/>
          <w:iCs/>
          <w:color w:val="000000" w:themeColor="text1"/>
          <w:sz w:val="24"/>
          <w:szCs w:val="24"/>
        </w:rPr>
        <w:t>7.b. Structural evolution</w:t>
      </w:r>
    </w:p>
    <w:p w:rsidR="00F943A5" w:rsidRPr="00363AA9" w:rsidRDefault="00F943A5" w:rsidP="00F943A5">
      <w:pPr>
        <w:widowControl w:val="0"/>
        <w:autoSpaceDE w:val="0"/>
        <w:autoSpaceDN w:val="0"/>
        <w:adjustRightInd w:val="0"/>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geochemical and structural evolution of the TCC was a staged process involving separate magma pulses, a series of emplacement structures, fractional crystallization, and low temperature silica and Fe-Mn hydrothermal alteration (Fig. 11).  The distribution of the shallow dipping peripheral cone sheets surrounding the central zone of the TCC implies the cone sheets were emplaced within a r</w:t>
      </w:r>
      <w:bookmarkStart w:id="14" w:name="_Hlk40185860"/>
      <w:r w:rsidRPr="00363AA9">
        <w:rPr>
          <w:rFonts w:ascii="Times New Roman" w:hAnsi="Times New Roman" w:cs="Times New Roman"/>
          <w:color w:val="000000" w:themeColor="text1"/>
          <w:sz w:val="24"/>
          <w:szCs w:val="24"/>
        </w:rPr>
        <w:t>ing fracture system, which developed in response to the emplacement of the calcio-carbonatites</w:t>
      </w:r>
      <w:bookmarkEnd w:id="14"/>
      <w:r w:rsidRPr="00363AA9">
        <w:rPr>
          <w:rFonts w:ascii="Times New Roman" w:hAnsi="Times New Roman" w:cs="Times New Roman"/>
          <w:color w:val="000000" w:themeColor="text1"/>
          <w:sz w:val="24"/>
          <w:szCs w:val="24"/>
        </w:rPr>
        <w:t xml:space="preserve">.  The change from emplacement of magma in a </w:t>
      </w:r>
      <w:bookmarkStart w:id="15" w:name="_Hlk40185891"/>
      <w:r w:rsidRPr="00363AA9">
        <w:rPr>
          <w:rFonts w:ascii="Times New Roman" w:hAnsi="Times New Roman" w:cs="Times New Roman"/>
          <w:color w:val="000000" w:themeColor="text1"/>
          <w:sz w:val="24"/>
          <w:szCs w:val="24"/>
        </w:rPr>
        <w:t>sub-vertical conduit</w:t>
      </w:r>
      <w:bookmarkEnd w:id="15"/>
      <w:r w:rsidRPr="00363AA9">
        <w:rPr>
          <w:rFonts w:ascii="Times New Roman" w:hAnsi="Times New Roman" w:cs="Times New Roman"/>
          <w:color w:val="000000" w:themeColor="text1"/>
          <w:sz w:val="24"/>
          <w:szCs w:val="24"/>
        </w:rPr>
        <w:t xml:space="preserve">, to its emplacement in </w:t>
      </w:r>
      <w:bookmarkStart w:id="16" w:name="_Hlk40185920"/>
      <w:r w:rsidRPr="00363AA9">
        <w:rPr>
          <w:rFonts w:ascii="Times New Roman" w:hAnsi="Times New Roman" w:cs="Times New Roman"/>
          <w:color w:val="000000" w:themeColor="text1"/>
          <w:sz w:val="24"/>
          <w:szCs w:val="24"/>
        </w:rPr>
        <w:t xml:space="preserve">shallow dipping cone sheets </w:t>
      </w:r>
      <w:bookmarkEnd w:id="16"/>
      <w:r w:rsidRPr="00363AA9">
        <w:rPr>
          <w:rFonts w:ascii="Times New Roman" w:hAnsi="Times New Roman" w:cs="Times New Roman"/>
          <w:color w:val="000000" w:themeColor="text1"/>
          <w:sz w:val="24"/>
          <w:szCs w:val="24"/>
        </w:rPr>
        <w:t xml:space="preserve">within a ring structure, and finally to emplacement in a </w:t>
      </w:r>
      <w:bookmarkStart w:id="17" w:name="_Hlk40185948"/>
      <w:r w:rsidRPr="00363AA9">
        <w:rPr>
          <w:rFonts w:ascii="Times New Roman" w:hAnsi="Times New Roman" w:cs="Times New Roman"/>
          <w:color w:val="000000" w:themeColor="text1"/>
          <w:sz w:val="24"/>
          <w:szCs w:val="24"/>
        </w:rPr>
        <w:t xml:space="preserve">sub-vertical dyke stockwork, </w:t>
      </w:r>
      <w:bookmarkEnd w:id="17"/>
      <w:r w:rsidRPr="00363AA9">
        <w:rPr>
          <w:rFonts w:ascii="Times New Roman" w:hAnsi="Times New Roman" w:cs="Times New Roman"/>
          <w:color w:val="000000" w:themeColor="text1"/>
          <w:sz w:val="24"/>
          <w:szCs w:val="24"/>
        </w:rPr>
        <w:t xml:space="preserve">suggests modification of the stress fields, and possibly changes in melt viscosity.  The ubiquitous, sub-vertically hinged flow folds in the central zone plugs likely resulted from </w:t>
      </w:r>
      <w:bookmarkStart w:id="18" w:name="_Hlk40185994"/>
      <w:bookmarkStart w:id="19" w:name="_Hlk39840468"/>
      <w:r w:rsidRPr="00363AA9">
        <w:rPr>
          <w:rFonts w:ascii="Times New Roman" w:hAnsi="Times New Roman" w:cs="Times New Roman"/>
          <w:color w:val="000000" w:themeColor="text1"/>
          <w:sz w:val="24"/>
          <w:szCs w:val="24"/>
        </w:rPr>
        <w:t xml:space="preserve">frictional plug-wall shear </w:t>
      </w:r>
      <w:bookmarkEnd w:id="18"/>
      <w:r w:rsidRPr="00363AA9">
        <w:rPr>
          <w:rFonts w:ascii="Times New Roman" w:hAnsi="Times New Roman" w:cs="Times New Roman"/>
          <w:color w:val="000000" w:themeColor="text1"/>
          <w:sz w:val="24"/>
          <w:szCs w:val="24"/>
        </w:rPr>
        <w:t>during plug intrusion, as well</w:t>
      </w:r>
      <w:r w:rsidRPr="00363AA9">
        <w:rPr>
          <w:rFonts w:ascii="Times New Roman" w:hAnsi="Times New Roman" w:cs="Times New Roman"/>
          <w:color w:val="000000" w:themeColor="text1"/>
          <w:sz w:val="24"/>
          <w:szCs w:val="24"/>
          <w:shd w:val="clear" w:color="auto" w:fill="FFFFFF"/>
        </w:rPr>
        <w:t xml:space="preserve"> as </w:t>
      </w:r>
      <w:bookmarkStart w:id="20" w:name="_Hlk40186047"/>
      <w:r w:rsidRPr="00363AA9">
        <w:rPr>
          <w:rFonts w:ascii="Times New Roman" w:hAnsi="Times New Roman" w:cs="Times New Roman"/>
          <w:color w:val="000000" w:themeColor="text1"/>
          <w:sz w:val="24"/>
          <w:szCs w:val="24"/>
        </w:rPr>
        <w:t xml:space="preserve">shear stress modification during successive intrusions of the cone sheets </w:t>
      </w:r>
      <w:bookmarkEnd w:id="19"/>
      <w:bookmarkEnd w:id="20"/>
      <w:r w:rsidRPr="00363AA9">
        <w:rPr>
          <w:rFonts w:ascii="Times New Roman" w:hAnsi="Times New Roman" w:cs="Times New Roman"/>
          <w:color w:val="000000" w:themeColor="text1"/>
          <w:sz w:val="24"/>
          <w:szCs w:val="24"/>
        </w:rPr>
        <w:t xml:space="preserve">into resistant basement peripheral to the plugs.  </w:t>
      </w:r>
    </w:p>
    <w:p w:rsidR="00F943A5" w:rsidRPr="00363AA9" w:rsidRDefault="00F943A5" w:rsidP="00F943A5">
      <w:pPr>
        <w:widowControl w:val="0"/>
        <w:autoSpaceDE w:val="0"/>
        <w:autoSpaceDN w:val="0"/>
        <w:adjustRightInd w:val="0"/>
        <w:ind w:firstLine="284"/>
        <w:jc w:val="both"/>
        <w:rPr>
          <w:rFonts w:ascii="Times New Roman" w:hAnsi="Times New Roman" w:cs="Times New Roman"/>
          <w:color w:val="000000" w:themeColor="text1"/>
          <w:sz w:val="24"/>
          <w:szCs w:val="24"/>
        </w:rPr>
      </w:pPr>
      <w:r w:rsidRPr="00363AA9">
        <w:rPr>
          <w:rFonts w:ascii="Times New Roman" w:eastAsia="Times New Roman" w:hAnsi="Times New Roman" w:cs="Times New Roman"/>
          <w:color w:val="000000" w:themeColor="text1"/>
          <w:spacing w:val="-2"/>
          <w:sz w:val="24"/>
          <w:szCs w:val="24"/>
        </w:rPr>
        <w:t>From analogy with the modification of the regional stress field by magma intrusion and formation of tabular granitic plutons (</w:t>
      </w:r>
      <w:r w:rsidRPr="00363AA9">
        <w:rPr>
          <w:rFonts w:ascii="Times New Roman" w:hAnsi="Times New Roman" w:cs="Times New Roman"/>
          <w:color w:val="000000" w:themeColor="text1"/>
          <w:sz w:val="24"/>
          <w:szCs w:val="24"/>
        </w:rPr>
        <w:t xml:space="preserve">Vigneresse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1999</w:t>
      </w:r>
      <w:r w:rsidRPr="00363AA9">
        <w:rPr>
          <w:rFonts w:ascii="Times New Roman" w:eastAsia="Times New Roman" w:hAnsi="Times New Roman" w:cs="Times New Roman"/>
          <w:color w:val="000000" w:themeColor="text1"/>
          <w:spacing w:val="-2"/>
          <w:sz w:val="24"/>
          <w:szCs w:val="24"/>
        </w:rPr>
        <w:t>), w</w:t>
      </w:r>
      <w:r w:rsidRPr="00363AA9">
        <w:rPr>
          <w:rFonts w:ascii="Times New Roman" w:hAnsi="Times New Roman" w:cs="Times New Roman"/>
          <w:color w:val="000000" w:themeColor="text1"/>
          <w:sz w:val="24"/>
          <w:szCs w:val="24"/>
        </w:rPr>
        <w:t xml:space="preserve">e suggest that the initial pulse </w:t>
      </w:r>
      <w:r w:rsidRPr="00363AA9">
        <w:rPr>
          <w:rFonts w:ascii="Times New Roman" w:hAnsi="Times New Roman" w:cs="Times New Roman"/>
          <w:color w:val="000000" w:themeColor="text1"/>
          <w:sz w:val="24"/>
          <w:szCs w:val="24"/>
        </w:rPr>
        <w:lastRenderedPageBreak/>
        <w:t>of magma</w:t>
      </w:r>
      <w:r w:rsidRPr="00363AA9">
        <w:rPr>
          <w:rFonts w:ascii="Times New Roman" w:eastAsia="Times New Roman" w:hAnsi="Times New Roman" w:cs="Times New Roman"/>
          <w:color w:val="000000" w:themeColor="text1"/>
          <w:spacing w:val="-2"/>
          <w:sz w:val="24"/>
          <w:szCs w:val="24"/>
        </w:rPr>
        <w:t xml:space="preserve"> associated with the central zone plugs, was preferentially emplaced in a vertical plane perpendicular to the least</w:t>
      </w:r>
      <w:r w:rsidRPr="00363AA9">
        <w:rPr>
          <w:rFonts w:ascii="Times New Roman" w:hAnsi="Times New Roman" w:cs="Times New Roman"/>
          <w:color w:val="000000" w:themeColor="text1"/>
          <w:sz w:val="24"/>
          <w:szCs w:val="24"/>
        </w:rPr>
        <w:t xml:space="preserve"> </w:t>
      </w:r>
      <w:bookmarkStart w:id="21" w:name="_Hlk40186151"/>
      <w:r w:rsidRPr="00363AA9">
        <w:rPr>
          <w:rFonts w:ascii="Times New Roman" w:eastAsia="Times New Roman" w:hAnsi="Times New Roman" w:cs="Times New Roman"/>
          <w:color w:val="000000" w:themeColor="text1"/>
          <w:spacing w:val="-2"/>
          <w:sz w:val="24"/>
          <w:szCs w:val="24"/>
        </w:rPr>
        <w:t xml:space="preserve">principal stress component. </w:t>
      </w:r>
      <w:bookmarkStart w:id="22" w:name="_Hlk40186097"/>
      <w:bookmarkEnd w:id="21"/>
      <w:r w:rsidRPr="00363AA9">
        <w:rPr>
          <w:rFonts w:ascii="Times New Roman" w:eastAsia="Times New Roman" w:hAnsi="Times New Roman" w:cs="Times New Roman"/>
          <w:color w:val="000000" w:themeColor="text1"/>
          <w:spacing w:val="-2"/>
          <w:sz w:val="24"/>
          <w:szCs w:val="24"/>
        </w:rPr>
        <w:t xml:space="preserve"> Following this analogy, dilation would have caused local re-organization of the stress ﬁeld, </w:t>
      </w:r>
      <w:bookmarkEnd w:id="22"/>
      <w:r w:rsidRPr="00363AA9">
        <w:rPr>
          <w:rFonts w:ascii="Times New Roman" w:eastAsia="Times New Roman" w:hAnsi="Times New Roman" w:cs="Times New Roman"/>
          <w:color w:val="000000" w:themeColor="text1"/>
          <w:spacing w:val="-2"/>
          <w:sz w:val="24"/>
          <w:szCs w:val="24"/>
        </w:rPr>
        <w:t xml:space="preserve">by increasing the minor and intermediate principal stress components, and when these overcame the lithostatic load, a change in the orientation of the opening plane would have led to a switch from vertical plugs to sub-horizontal cone sheets. </w:t>
      </w:r>
      <w:r w:rsidRPr="00363AA9">
        <w:rPr>
          <w:rFonts w:ascii="Times New Roman" w:hAnsi="Times New Roman" w:cs="Times New Roman"/>
          <w:color w:val="000000" w:themeColor="text1"/>
          <w:sz w:val="24"/>
          <w:szCs w:val="24"/>
        </w:rPr>
        <w:t xml:space="preserve"> The topographic prominence of the TCC can be explained by vertical upheaval of the surrounding basement host rocks and dilation associated with emplacement of the carbonatite.  The synclinal shape of the TK4 </w:t>
      </w:r>
      <w:r w:rsidR="00106534" w:rsidRPr="00363AA9">
        <w:rPr>
          <w:rFonts w:ascii="Times New Roman" w:hAnsi="Times New Roman" w:cs="Times New Roman"/>
          <w:color w:val="000000" w:themeColor="text1"/>
          <w:sz w:val="24"/>
          <w:szCs w:val="24"/>
        </w:rPr>
        <w:t xml:space="preserve">and TK7 </w:t>
      </w:r>
      <w:r w:rsidRPr="00363AA9">
        <w:rPr>
          <w:rFonts w:ascii="Times New Roman" w:hAnsi="Times New Roman" w:cs="Times New Roman"/>
          <w:color w:val="000000" w:themeColor="text1"/>
          <w:sz w:val="24"/>
          <w:szCs w:val="24"/>
        </w:rPr>
        <w:t>cone sheet</w:t>
      </w:r>
      <w:r w:rsidR="00106534" w:rsidRPr="00363AA9">
        <w:rPr>
          <w:rFonts w:ascii="Times New Roman" w:hAnsi="Times New Roman" w:cs="Times New Roman"/>
          <w:color w:val="000000" w:themeColor="text1"/>
          <w:sz w:val="24"/>
          <w:szCs w:val="24"/>
        </w:rPr>
        <w:t>s</w:t>
      </w:r>
      <w:r w:rsidRPr="00363AA9">
        <w:rPr>
          <w:rFonts w:ascii="Times New Roman" w:hAnsi="Times New Roman" w:cs="Times New Roman"/>
          <w:color w:val="000000" w:themeColor="text1"/>
          <w:sz w:val="24"/>
          <w:szCs w:val="24"/>
        </w:rPr>
        <w:t xml:space="preserve">, and the arched structure of the TK6 cone sheet, may thus have resulted from cone sheet emplacement during basement doming.  Further evidence of structural upheaval and deformation during emplacement is provided by the relationship between the prominent TK2 dyke outcrop and the TK1B central zone plug outcrop.  Here, the (originally linear?) TK1B plug, wraps around the TK2 dyke that forms the prominent topographic hill directly southwest of the plug.  The contact zone between the TK2 dyke and the TK1B plug can be compared with the high strain zone that develops at the contact of a ballooning granitoid (Castro, 1987).  High strain in a ductile environment resulted in the flow fold fabrics seen in the calcio-carbonatites at TK1B.  Experimental studies of the dynamics of dykes and cone sheets in volcanic systems indicate that cone sheets form preferentially when the </w:t>
      </w:r>
      <w:bookmarkStart w:id="23" w:name="_Hlk40186441"/>
      <w:r w:rsidRPr="00363AA9">
        <w:rPr>
          <w:rFonts w:ascii="Times New Roman" w:hAnsi="Times New Roman" w:cs="Times New Roman"/>
          <w:color w:val="000000" w:themeColor="text1"/>
          <w:sz w:val="24"/>
          <w:szCs w:val="24"/>
        </w:rPr>
        <w:t>magma influx velocity (or viscosity) is high</w:t>
      </w:r>
      <w:bookmarkEnd w:id="23"/>
      <w:r w:rsidRPr="00363AA9">
        <w:rPr>
          <w:rFonts w:ascii="Times New Roman" w:hAnsi="Times New Roman" w:cs="Times New Roman"/>
          <w:color w:val="000000" w:themeColor="text1"/>
          <w:sz w:val="24"/>
          <w:szCs w:val="24"/>
        </w:rPr>
        <w:t xml:space="preserve">, and dykes form when the magma influx rate (or viscosity) is low (Galland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2014). (INSERT FIG. 11)</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TCC is composed of a complex series of intrusions, which likely acted as magma transport conduits between one or more sub-volcanic magma chambers to higher structural levels.  The TK3, TK4, and TK7 cone sheets form a uniform radial system, defining a cone with a central apex located at a depth of at least a few hundred metres, below a point a few hundred metres </w:t>
      </w:r>
      <w:r w:rsidR="00F937FB" w:rsidRPr="00363AA9">
        <w:rPr>
          <w:rFonts w:ascii="Times New Roman" w:hAnsi="Times New Roman" w:cs="Times New Roman"/>
          <w:color w:val="000000" w:themeColor="text1"/>
          <w:sz w:val="24"/>
          <w:szCs w:val="24"/>
        </w:rPr>
        <w:t>nor</w:t>
      </w:r>
      <w:r w:rsidRPr="00363AA9">
        <w:rPr>
          <w:rFonts w:ascii="Times New Roman" w:hAnsi="Times New Roman" w:cs="Times New Roman"/>
          <w:color w:val="000000" w:themeColor="text1"/>
          <w:sz w:val="24"/>
          <w:szCs w:val="24"/>
        </w:rPr>
        <w:t>theast of the TK1A plug outcrop.</w:t>
      </w:r>
      <w:bookmarkStart w:id="24" w:name="_Hlk40186573"/>
      <w:r w:rsidRPr="00363AA9">
        <w:rPr>
          <w:rFonts w:ascii="Times New Roman" w:hAnsi="Times New Roman" w:cs="Times New Roman"/>
          <w:color w:val="000000" w:themeColor="text1"/>
          <w:sz w:val="24"/>
          <w:szCs w:val="24"/>
        </w:rPr>
        <w:t xml:space="preserve">  Radial dipping cone sheets generally form by magma flow radiating upwards and outwards from a magma chamber situated at the </w:t>
      </w:r>
      <w:r w:rsidRPr="00363AA9">
        <w:rPr>
          <w:rFonts w:ascii="Times New Roman" w:hAnsi="Times New Roman" w:cs="Times New Roman"/>
          <w:color w:val="000000" w:themeColor="text1"/>
          <w:sz w:val="24"/>
          <w:szCs w:val="24"/>
        </w:rPr>
        <w:lastRenderedPageBreak/>
        <w:t xml:space="preserve">common apex.  </w:t>
      </w:r>
      <w:bookmarkEnd w:id="24"/>
      <w:r w:rsidRPr="00363AA9">
        <w:rPr>
          <w:rFonts w:ascii="Times New Roman" w:hAnsi="Times New Roman" w:cs="Times New Roman"/>
          <w:color w:val="000000" w:themeColor="text1"/>
          <w:sz w:val="24"/>
          <w:szCs w:val="24"/>
        </w:rPr>
        <w:t xml:space="preserve">This flow may either occur throughout the cone sheets, or it may be restricted to an ascent zone from which it then propagates laterally (Magee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2012; Andersson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2016).  Both lateral and vertical flow are evident in the carbonatite layers at the base of the TK5 and TK7 cone sheets where transgressing and closing structures are observed.  Carbonatite cone sheet thinning at TCC is associated with dominantly lateral flow in basement arch environments, whilst carbonatite cone sheet thickening is associated with dominantly vertical flow in basement environments lacking upheaval.  Thus, the transgressing and closing structures observed at the TCC reflect a change in the dominant flow regime during cone sheet emplacement.  The final shape of the cone sheets reflects both the attitude of the initial ring fracture and basement deformation associated with ballooning and dilation, as well as the relative extent of lateral versus vertical magma flow.</w:t>
      </w:r>
    </w:p>
    <w:p w:rsidR="00F943A5" w:rsidRPr="00363AA9" w:rsidRDefault="00F943A5" w:rsidP="00F943A5">
      <w:pPr>
        <w:pStyle w:val="Default"/>
        <w:spacing w:line="480" w:lineRule="auto"/>
        <w:jc w:val="both"/>
        <w:rPr>
          <w:b/>
          <w:i/>
          <w:iCs/>
          <w:color w:val="000000" w:themeColor="text1"/>
        </w:rPr>
      </w:pPr>
      <w:r w:rsidRPr="00363AA9">
        <w:rPr>
          <w:b/>
          <w:i/>
          <w:iCs/>
          <w:color w:val="000000" w:themeColor="text1"/>
        </w:rPr>
        <w:t>7.c. REE economic potential</w:t>
      </w:r>
    </w:p>
    <w:p w:rsidR="00F943A5" w:rsidRPr="00363AA9" w:rsidRDefault="00F943A5" w:rsidP="00F943A5">
      <w:pPr>
        <w:ind w:firstLine="284"/>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The data presented here indicates the dominant REE-rich minerals within the TCC belong to the REE fluorcarbonate group of minerals characterized by variable Ca, high F, and LREE.    Chondrite-normalised REE profiles of the REE fluorcarbonates and monazite show a similar degree of LREE enrichment as the whole rocks, confirming that these minerals collectively define the REE abundance of the overall deposit.  By contrast, apatite and fluorite do not contain significant quantities of REE.  Phosphate minerals in carbonatites commonly include both apatite and monazite, and significant quantities of REE may be present within apatite (e.g., Songwe carbonatite, Malawi (Broom-Fendley </w:t>
      </w:r>
      <w:r w:rsidRPr="00363AA9">
        <w:rPr>
          <w:rFonts w:ascii="Times New Roman" w:hAnsi="Times New Roman" w:cs="Times New Roman"/>
          <w:i/>
          <w:color w:val="000000" w:themeColor="text1"/>
          <w:sz w:val="24"/>
          <w:szCs w:val="24"/>
        </w:rPr>
        <w:t>et al.</w:t>
      </w:r>
      <w:r w:rsidRPr="00363AA9">
        <w:rPr>
          <w:rFonts w:ascii="Times New Roman" w:hAnsi="Times New Roman" w:cs="Times New Roman"/>
          <w:color w:val="000000" w:themeColor="text1"/>
          <w:sz w:val="24"/>
          <w:szCs w:val="24"/>
        </w:rPr>
        <w:t xml:space="preserve"> 2017)).  However, monazite is the only important REE-rich phosphate phase at the TCC.</w:t>
      </w:r>
    </w:p>
    <w:p w:rsidR="00F943A5" w:rsidRPr="00363AA9" w:rsidRDefault="00F943A5" w:rsidP="00F943A5">
      <w:pPr>
        <w:jc w:val="both"/>
        <w:rPr>
          <w:rFonts w:ascii="Times New Roman" w:hAnsi="Times New Roman" w:cs="Times New Roman"/>
          <w:color w:val="000000" w:themeColor="text1"/>
          <w:sz w:val="24"/>
          <w:szCs w:val="24"/>
        </w:rPr>
      </w:pPr>
    </w:p>
    <w:p w:rsidR="00F943A5" w:rsidRPr="00363AA9" w:rsidRDefault="00F943A5" w:rsidP="00F943A5">
      <w:pPr>
        <w:pStyle w:val="ListParagraph"/>
        <w:numPr>
          <w:ilvl w:val="0"/>
          <w:numId w:val="8"/>
        </w:numPr>
        <w:jc w:val="both"/>
        <w:rPr>
          <w:rFonts w:ascii="Times New Roman" w:hAnsi="Times New Roman" w:cs="Times New Roman"/>
          <w:b/>
          <w:color w:val="000000" w:themeColor="text1"/>
          <w:sz w:val="28"/>
          <w:szCs w:val="28"/>
        </w:rPr>
      </w:pPr>
      <w:r w:rsidRPr="00363AA9">
        <w:rPr>
          <w:rFonts w:ascii="Times New Roman" w:hAnsi="Times New Roman" w:cs="Times New Roman"/>
          <w:b/>
          <w:color w:val="000000" w:themeColor="text1"/>
          <w:sz w:val="28"/>
          <w:szCs w:val="28"/>
        </w:rPr>
        <w:t>Conclusions</w:t>
      </w:r>
    </w:p>
    <w:p w:rsidR="00F943A5" w:rsidRPr="00363AA9" w:rsidRDefault="00F943A5" w:rsidP="00F04F50">
      <w:pPr>
        <w:pStyle w:val="ListParagraph"/>
        <w:numPr>
          <w:ilvl w:val="3"/>
          <w:numId w:val="9"/>
        </w:numPr>
        <w:ind w:left="357" w:hanging="357"/>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We have undertaken a geological and geochemical study of the Twyfelskupje carbonatite complex (TCC), Southern Namibia.</w:t>
      </w:r>
    </w:p>
    <w:p w:rsidR="00F943A5" w:rsidRPr="00363AA9" w:rsidRDefault="00F943A5" w:rsidP="00F04F50">
      <w:pPr>
        <w:pStyle w:val="ListParagraph"/>
        <w:numPr>
          <w:ilvl w:val="0"/>
          <w:numId w:val="9"/>
        </w:numPr>
        <w:ind w:left="357" w:hanging="357"/>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lastRenderedPageBreak/>
        <w:t>Radiogenic isotope studies (Sr, Nd and Pb) show that the TCC lies on the same mantle array defined by East African carbonatites between a HIMU-rich plume rising and an enriched EM1-type source that may reside in the lower mantle or sub-continental lithospheric mantle.</w:t>
      </w:r>
    </w:p>
    <w:p w:rsidR="00F943A5" w:rsidRPr="00363AA9" w:rsidRDefault="00F943A5" w:rsidP="00F04F50">
      <w:pPr>
        <w:pStyle w:val="ListParagraph"/>
        <w:numPr>
          <w:ilvl w:val="0"/>
          <w:numId w:val="9"/>
        </w:numPr>
        <w:ind w:left="357" w:hanging="357"/>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geochemical and structural evolution proposed for the TCC is a staged process involving separate magma pulses, a series of emplacement structures, fractional crystallization, and low temperature hydrothermal alteration.</w:t>
      </w:r>
    </w:p>
    <w:p w:rsidR="00F943A5" w:rsidRPr="00363AA9" w:rsidRDefault="00F943A5" w:rsidP="00F04F50">
      <w:pPr>
        <w:pStyle w:val="ListParagraph"/>
        <w:numPr>
          <w:ilvl w:val="0"/>
          <w:numId w:val="9"/>
        </w:numPr>
        <w:ind w:left="357" w:hanging="357"/>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The initial stage involved emplacement of REE enriched calcio-carbonatites to form linear plugs.  Sub-solidus crystallization of REE-enriched melt/fluids resulted in abundant REE fluorcarbonates and REE-rich monazite within the plugs.  This was followed by emplacement of cone sheets peripheral to plugs and resulted in deformation of REE fluorcarbonate layers formed within the plugs.  Subsequent fractionation of the melt and emplacement of magnesio-carbonatites cone sheets from REE-depleted melt, within a ring fracture peripheral to the volcanic neck, resulted in lower abundance of REE minerals within the cone sheets.  A stockwork of dominant calcio-carbonatite and subordinate magnesio-carbonatite dykes was then emplaced around the central plugs as a result of an additional influx of melt to the original magma chamber.  The final stage in the evolution of the TCC was characterised by pervasive low-temperature 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-FeO-MnO hydrothermal alteration throughout the complex.</w:t>
      </w:r>
    </w:p>
    <w:p w:rsidR="00F943A5" w:rsidRPr="00363AA9" w:rsidRDefault="00F943A5" w:rsidP="00F943A5">
      <w:pPr>
        <w:autoSpaceDE w:val="0"/>
        <w:autoSpaceDN w:val="0"/>
        <w:adjustRightInd w:val="0"/>
        <w:jc w:val="both"/>
        <w:rPr>
          <w:rFonts w:ascii="Times New Roman" w:hAnsi="Times New Roman" w:cs="Times New Roman"/>
          <w:color w:val="000000" w:themeColor="text1"/>
          <w:sz w:val="24"/>
          <w:szCs w:val="24"/>
        </w:rPr>
      </w:pPr>
    </w:p>
    <w:p w:rsidR="00F943A5" w:rsidRPr="00363AA9" w:rsidRDefault="00F943A5" w:rsidP="00F943A5">
      <w:pPr>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Acknowledgements. </w:t>
      </w:r>
      <w:r w:rsidRPr="00363AA9">
        <w:rPr>
          <w:rFonts w:ascii="Times New Roman" w:hAnsi="Times New Roman" w:cs="Times New Roman"/>
          <w:color w:val="000000" w:themeColor="text1"/>
          <w:sz w:val="24"/>
          <w:szCs w:val="24"/>
        </w:rPr>
        <w:t xml:space="preserve">Thanks to Shali for funding the logistical support for the mapping and channel sampling programs and the bulk lithochemistry undertaken by ALS.  The isotope analyses were funded by the University of Southampton.  Thanks are due to Shali Group geologists Emmanuel Shilongo, Vengesai Verengerav, Andreas Stiehler and Jack Palmer for assistance with mapping and channel sampling.  Thanks to Andy Milton, Richard Pearce, </w:t>
      </w:r>
      <w:r w:rsidRPr="00363AA9">
        <w:rPr>
          <w:rFonts w:ascii="Times New Roman" w:hAnsi="Times New Roman" w:cs="Times New Roman"/>
          <w:color w:val="000000" w:themeColor="text1"/>
          <w:sz w:val="24"/>
          <w:szCs w:val="24"/>
        </w:rPr>
        <w:lastRenderedPageBreak/>
        <w:t xml:space="preserve">Dominic Browne, Matt Ball and George Martin-Johnson for analytical assistance at Southampton.  We are also grateful to Sam Broom-Fendley, Charles Beard and </w:t>
      </w:r>
      <w:r w:rsidR="006A17AA" w:rsidRPr="00363AA9">
        <w:rPr>
          <w:rFonts w:ascii="Times New Roman" w:hAnsi="Times New Roman" w:cs="Times New Roman"/>
          <w:color w:val="000000" w:themeColor="text1"/>
          <w:sz w:val="24"/>
          <w:szCs w:val="24"/>
        </w:rPr>
        <w:t xml:space="preserve">two </w:t>
      </w:r>
      <w:r w:rsidRPr="00363AA9">
        <w:rPr>
          <w:rFonts w:ascii="Times New Roman" w:hAnsi="Times New Roman" w:cs="Times New Roman"/>
          <w:color w:val="000000" w:themeColor="text1"/>
          <w:sz w:val="24"/>
          <w:szCs w:val="24"/>
        </w:rPr>
        <w:t>anonymous reviewer</w:t>
      </w:r>
      <w:r w:rsidR="006A17AA" w:rsidRPr="00363AA9">
        <w:rPr>
          <w:rFonts w:ascii="Times New Roman" w:hAnsi="Times New Roman" w:cs="Times New Roman"/>
          <w:color w:val="000000" w:themeColor="text1"/>
          <w:sz w:val="24"/>
          <w:szCs w:val="24"/>
        </w:rPr>
        <w:t>s</w:t>
      </w:r>
      <w:r w:rsidRPr="00363AA9">
        <w:rPr>
          <w:rFonts w:ascii="Times New Roman" w:hAnsi="Times New Roman" w:cs="Times New Roman"/>
          <w:color w:val="000000" w:themeColor="text1"/>
          <w:sz w:val="24"/>
          <w:szCs w:val="24"/>
        </w:rPr>
        <w:t>, whose detailed and constructive comments greatly improved this paper.</w:t>
      </w:r>
    </w:p>
    <w:p w:rsidR="00F943A5" w:rsidRPr="00363AA9" w:rsidRDefault="00F943A5" w:rsidP="00F943A5">
      <w:pPr>
        <w:jc w:val="both"/>
        <w:rPr>
          <w:rFonts w:ascii="Times New Roman" w:hAnsi="Times New Roman" w:cs="Times New Roman"/>
          <w:color w:val="000000" w:themeColor="text1"/>
          <w:sz w:val="24"/>
          <w:szCs w:val="24"/>
        </w:rPr>
      </w:pPr>
    </w:p>
    <w:p w:rsidR="00F943A5" w:rsidRPr="00363AA9" w:rsidRDefault="00F943A5" w:rsidP="00F943A5">
      <w:pPr>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Declaration of interests.</w:t>
      </w:r>
      <w:r w:rsidRPr="00363AA9">
        <w:rPr>
          <w:rFonts w:ascii="Times New Roman" w:hAnsi="Times New Roman" w:cs="Times New Roman"/>
          <w:color w:val="000000" w:themeColor="text1"/>
          <w:sz w:val="24"/>
          <w:szCs w:val="24"/>
        </w:rPr>
        <w:t xml:space="preserve"> The authors declare the following financial interests/personal relationships which may be considered as potential competing interests: A.G. Marlow is a shareholder of Bonya Exploration (Pty) Ltd which holds EPL6691 over the </w:t>
      </w:r>
      <w:r w:rsidRPr="00363AA9">
        <w:rPr>
          <w:rFonts w:ascii="Times New Roman" w:hAnsi="Times New Roman"/>
          <w:bCs/>
          <w:color w:val="000000" w:themeColor="text1"/>
          <w:sz w:val="24"/>
          <w:szCs w:val="24"/>
        </w:rPr>
        <w:t>Twyfelskupje carbonatite</w:t>
      </w:r>
      <w:r w:rsidRPr="00363AA9">
        <w:rPr>
          <w:rFonts w:ascii="Times New Roman" w:hAnsi="Times New Roman" w:cs="Times New Roman"/>
          <w:color w:val="000000" w:themeColor="text1"/>
          <w:sz w:val="24"/>
          <w:szCs w:val="24"/>
        </w:rPr>
        <w:t>.</w:t>
      </w:r>
    </w:p>
    <w:p w:rsidR="00F943A5" w:rsidRPr="00363AA9" w:rsidRDefault="00F943A5" w:rsidP="00F943A5">
      <w:pPr>
        <w:jc w:val="both"/>
        <w:rPr>
          <w:rFonts w:ascii="Times New Roman" w:hAnsi="Times New Roman" w:cs="Times New Roman"/>
          <w:color w:val="000000" w:themeColor="text1"/>
          <w:sz w:val="24"/>
          <w:szCs w:val="24"/>
        </w:rPr>
      </w:pPr>
    </w:p>
    <w:p w:rsidR="00F943A5" w:rsidRPr="00363AA9" w:rsidRDefault="00F943A5" w:rsidP="00F943A5">
      <w:pPr>
        <w:autoSpaceDE w:val="0"/>
        <w:autoSpaceDN w:val="0"/>
        <w:adjustRightInd w:val="0"/>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Supplementary material.</w:t>
      </w:r>
      <w:r w:rsidRPr="00363AA9">
        <w:rPr>
          <w:rFonts w:ascii="Times New Roman" w:hAnsi="Times New Roman" w:cs="Times New Roman"/>
          <w:color w:val="000000" w:themeColor="text1"/>
          <w:sz w:val="24"/>
          <w:szCs w:val="24"/>
        </w:rPr>
        <w:t xml:space="preserve"> There are four supplementary files containing all the geochemical data used in this study.</w:t>
      </w:r>
    </w:p>
    <w:p w:rsidR="00F943A5" w:rsidRPr="00363AA9" w:rsidRDefault="00F943A5" w:rsidP="00F943A5">
      <w:pPr>
        <w:autoSpaceDE w:val="0"/>
        <w:autoSpaceDN w:val="0"/>
        <w:adjustRightInd w:val="0"/>
        <w:jc w:val="both"/>
        <w:rPr>
          <w:rFonts w:ascii="Times New Roman" w:hAnsi="Times New Roman" w:cs="Times New Roman"/>
          <w:color w:val="000000" w:themeColor="text1"/>
          <w:sz w:val="24"/>
          <w:szCs w:val="24"/>
        </w:rPr>
      </w:pPr>
    </w:p>
    <w:p w:rsidR="00F943A5" w:rsidRPr="00363AA9" w:rsidRDefault="00F943A5" w:rsidP="00F943A5">
      <w:pPr>
        <w:jc w:val="both"/>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References</w:t>
      </w:r>
    </w:p>
    <w:p w:rsidR="00F943A5" w:rsidRPr="00363AA9" w:rsidRDefault="00F943A5" w:rsidP="00F943A5">
      <w:pPr>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Alfonso JC, Ben Masour W, O’Reilly SYO, Griffin WL, Salajeghegh F, Foley S, Begg G, Selway K, Macdonald A, Januszczak N, Fomin I, Nyblade AA and Yang Y </w:t>
      </w:r>
      <w:r w:rsidRPr="00363AA9">
        <w:rPr>
          <w:rFonts w:ascii="Times New Roman" w:hAnsi="Times New Roman" w:cs="Times New Roman"/>
          <w:color w:val="000000" w:themeColor="text1"/>
          <w:sz w:val="24"/>
          <w:szCs w:val="24"/>
        </w:rPr>
        <w:t xml:space="preserve">(2022) Thermochemical structure and evolution of cratonic lithosphere in central and southern Africa. </w:t>
      </w:r>
      <w:r w:rsidRPr="00363AA9">
        <w:rPr>
          <w:rFonts w:ascii="Times New Roman" w:hAnsi="Times New Roman" w:cs="Times New Roman"/>
          <w:i/>
          <w:color w:val="000000" w:themeColor="text1"/>
          <w:sz w:val="24"/>
          <w:szCs w:val="24"/>
        </w:rPr>
        <w:t>Nature Geoscience</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15,</w:t>
      </w:r>
      <w:r w:rsidRPr="00363AA9">
        <w:rPr>
          <w:rFonts w:ascii="Times New Roman" w:hAnsi="Times New Roman" w:cs="Times New Roman"/>
          <w:color w:val="000000" w:themeColor="text1"/>
          <w:sz w:val="24"/>
          <w:szCs w:val="24"/>
        </w:rPr>
        <w:t xml:space="preserve"> 405-410.</w:t>
      </w:r>
    </w:p>
    <w:p w:rsidR="00F943A5" w:rsidRPr="00363AA9" w:rsidRDefault="00F943A5" w:rsidP="00F943A5">
      <w:pPr>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Andersson M, Almqvist BSG, Burchardt S, Troll VR, Malehmir A, Snowball I and Kübler L</w:t>
      </w:r>
      <w:r w:rsidRPr="00363AA9">
        <w:rPr>
          <w:rFonts w:ascii="Times New Roman" w:hAnsi="Times New Roman" w:cs="Times New Roman"/>
          <w:color w:val="000000" w:themeColor="text1"/>
          <w:sz w:val="24"/>
          <w:szCs w:val="24"/>
        </w:rPr>
        <w:t xml:space="preserve"> (2016) Magma transport in sheet intrusions of the Alnö carbonatite complex, central Sweden. </w:t>
      </w:r>
      <w:r w:rsidRPr="00363AA9">
        <w:rPr>
          <w:rFonts w:ascii="Times New Roman" w:hAnsi="Times New Roman" w:cs="Times New Roman"/>
          <w:i/>
          <w:color w:val="000000" w:themeColor="text1"/>
          <w:sz w:val="24"/>
          <w:szCs w:val="24"/>
        </w:rPr>
        <w:t>Nature Scientific Reports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6,</w:t>
      </w:r>
      <w:r w:rsidRPr="00363AA9">
        <w:rPr>
          <w:rFonts w:ascii="Times New Roman" w:hAnsi="Times New Roman" w:cs="Times New Roman"/>
          <w:color w:val="000000" w:themeColor="text1"/>
          <w:sz w:val="24"/>
          <w:szCs w:val="24"/>
        </w:rPr>
        <w:t xml:space="preserve"> 27635.</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Andersen T</w:t>
      </w:r>
      <w:r w:rsidRPr="00363AA9">
        <w:rPr>
          <w:rFonts w:ascii="Times New Roman" w:hAnsi="Times New Roman" w:cs="Times New Roman"/>
          <w:color w:val="000000" w:themeColor="text1"/>
          <w:sz w:val="24"/>
          <w:szCs w:val="24"/>
        </w:rPr>
        <w:t xml:space="preserve"> (1987) A model for the evolution of hematite carbonatite, based on whole-rock major and trace element data from the Fen complex, southeast Norway. </w:t>
      </w:r>
      <w:r w:rsidRPr="00363AA9">
        <w:rPr>
          <w:rFonts w:ascii="Times New Roman" w:hAnsi="Times New Roman" w:cs="Times New Roman"/>
          <w:i/>
          <w:color w:val="000000" w:themeColor="text1"/>
          <w:sz w:val="24"/>
          <w:szCs w:val="24"/>
        </w:rPr>
        <w:t>Applied Geochemistry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2,</w:t>
      </w:r>
      <w:r w:rsidRPr="00363AA9">
        <w:rPr>
          <w:rFonts w:ascii="Times New Roman" w:hAnsi="Times New Roman" w:cs="Times New Roman"/>
          <w:color w:val="000000" w:themeColor="text1"/>
          <w:sz w:val="24"/>
          <w:szCs w:val="24"/>
        </w:rPr>
        <w:t xml:space="preserve"> 163-180.</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Anenburg M, Broom-Fendley S and Chen W </w:t>
      </w:r>
      <w:r w:rsidRPr="00363AA9">
        <w:rPr>
          <w:rFonts w:ascii="Times New Roman" w:hAnsi="Times New Roman" w:cs="Times New Roman"/>
          <w:color w:val="000000" w:themeColor="text1"/>
          <w:sz w:val="24"/>
          <w:szCs w:val="24"/>
        </w:rPr>
        <w:t xml:space="preserve">(2022) Formation of rare earth deposits in carbonatite. </w:t>
      </w:r>
      <w:r w:rsidRPr="00363AA9">
        <w:rPr>
          <w:rFonts w:ascii="Times New Roman" w:hAnsi="Times New Roman" w:cs="Times New Roman"/>
          <w:i/>
          <w:color w:val="000000" w:themeColor="text1"/>
          <w:sz w:val="24"/>
          <w:szCs w:val="24"/>
        </w:rPr>
        <w:t>Elements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17,</w:t>
      </w:r>
      <w:r w:rsidRPr="00363AA9">
        <w:rPr>
          <w:rFonts w:ascii="Times New Roman" w:hAnsi="Times New Roman" w:cs="Times New Roman"/>
          <w:color w:val="000000" w:themeColor="text1"/>
          <w:sz w:val="24"/>
          <w:szCs w:val="24"/>
        </w:rPr>
        <w:t xml:space="preserve"> 327-331.</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lastRenderedPageBreak/>
        <w:t>Bell K, Tilton GR</w:t>
      </w:r>
      <w:r w:rsidRPr="00363AA9">
        <w:rPr>
          <w:rFonts w:ascii="Times New Roman" w:hAnsi="Times New Roman" w:cs="Times New Roman"/>
          <w:color w:val="000000" w:themeColor="text1"/>
          <w:sz w:val="24"/>
          <w:szCs w:val="24"/>
        </w:rPr>
        <w:t xml:space="preserve"> (2001) Nd, Pb and Sr isotopic compositions of East African carbonatites: Evidence for mantle mixing and plume inhomogeneity. </w:t>
      </w:r>
      <w:r w:rsidRPr="00363AA9">
        <w:rPr>
          <w:rFonts w:ascii="Times New Roman" w:hAnsi="Times New Roman" w:cs="Times New Roman"/>
          <w:i/>
          <w:color w:val="000000" w:themeColor="text1"/>
          <w:sz w:val="24"/>
          <w:szCs w:val="24"/>
        </w:rPr>
        <w:t>Journal of Petrology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42,</w:t>
      </w:r>
      <w:r w:rsidRPr="00363AA9">
        <w:rPr>
          <w:rFonts w:ascii="Times New Roman" w:hAnsi="Times New Roman" w:cs="Times New Roman"/>
          <w:color w:val="000000" w:themeColor="text1"/>
          <w:sz w:val="24"/>
          <w:szCs w:val="24"/>
        </w:rPr>
        <w:t xml:space="preserve"> 1927-1945.</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Broom-Fendley S, Brady AE, Wall F, Gunn G and Dawes W</w:t>
      </w:r>
      <w:r w:rsidRPr="00363AA9">
        <w:rPr>
          <w:rFonts w:ascii="Times New Roman" w:hAnsi="Times New Roman" w:cs="Times New Roman"/>
          <w:color w:val="000000" w:themeColor="text1"/>
          <w:sz w:val="24"/>
          <w:szCs w:val="24"/>
        </w:rPr>
        <w:t xml:space="preserve"> (2017) REE minerals at the Songwe Hill carbonatite, Malawi: HREE-enrichment in late-stage apatite. </w:t>
      </w:r>
      <w:r w:rsidRPr="00363AA9">
        <w:rPr>
          <w:rFonts w:ascii="Times New Roman" w:hAnsi="Times New Roman" w:cs="Times New Roman"/>
          <w:i/>
          <w:color w:val="000000" w:themeColor="text1"/>
          <w:sz w:val="24"/>
          <w:szCs w:val="24"/>
        </w:rPr>
        <w:t>Ore Geology Reviews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81,</w:t>
      </w:r>
      <w:r w:rsidRPr="00363AA9">
        <w:rPr>
          <w:rFonts w:ascii="Times New Roman" w:hAnsi="Times New Roman" w:cs="Times New Roman"/>
          <w:color w:val="000000" w:themeColor="text1"/>
          <w:sz w:val="24"/>
          <w:szCs w:val="24"/>
        </w:rPr>
        <w:t xml:space="preserve"> 23-41.</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Bühn B </w:t>
      </w:r>
      <w:r w:rsidRPr="00363AA9">
        <w:rPr>
          <w:rFonts w:ascii="Times New Roman" w:hAnsi="Times New Roman" w:cs="Times New Roman"/>
          <w:color w:val="000000" w:themeColor="text1"/>
          <w:sz w:val="24"/>
          <w:szCs w:val="24"/>
        </w:rPr>
        <w:t xml:space="preserve">(2008) The role of the volatile phase for REE and Y fractionation in low-silica carbonate magmas: implication from natural carbonatites, Namibia. </w:t>
      </w:r>
      <w:r w:rsidRPr="00363AA9">
        <w:rPr>
          <w:rFonts w:ascii="Times New Roman" w:hAnsi="Times New Roman" w:cs="Times New Roman"/>
          <w:i/>
          <w:color w:val="000000" w:themeColor="text1"/>
          <w:sz w:val="24"/>
          <w:szCs w:val="24"/>
        </w:rPr>
        <w:t>Mineralogy and Petrology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92,</w:t>
      </w:r>
      <w:r w:rsidRPr="00363AA9">
        <w:rPr>
          <w:rFonts w:ascii="Times New Roman" w:hAnsi="Times New Roman" w:cs="Times New Roman"/>
          <w:color w:val="000000" w:themeColor="text1"/>
          <w:sz w:val="24"/>
          <w:szCs w:val="24"/>
        </w:rPr>
        <w:t xml:space="preserve"> 453-470.</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Castor SB</w:t>
      </w:r>
      <w:r w:rsidRPr="00363AA9">
        <w:rPr>
          <w:rFonts w:ascii="Times New Roman" w:hAnsi="Times New Roman" w:cs="Times New Roman"/>
          <w:color w:val="000000" w:themeColor="text1"/>
          <w:sz w:val="24"/>
          <w:szCs w:val="24"/>
        </w:rPr>
        <w:t xml:space="preserve"> (2008) The Mountain Pass rare-earth carbonatite and associated ultrapotassic rocks, California. </w:t>
      </w:r>
      <w:r w:rsidRPr="00363AA9">
        <w:rPr>
          <w:rFonts w:ascii="Times New Roman" w:hAnsi="Times New Roman" w:cs="Times New Roman"/>
          <w:i/>
          <w:color w:val="000000" w:themeColor="text1"/>
          <w:sz w:val="24"/>
          <w:szCs w:val="24"/>
        </w:rPr>
        <w:t>Canadian Mineralogist</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46,</w:t>
      </w:r>
      <w:r w:rsidRPr="00363AA9">
        <w:rPr>
          <w:rFonts w:ascii="Times New Roman" w:hAnsi="Times New Roman" w:cs="Times New Roman"/>
          <w:color w:val="000000" w:themeColor="text1"/>
          <w:sz w:val="24"/>
          <w:szCs w:val="24"/>
        </w:rPr>
        <w:t xml:space="preserve"> 779-806.</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Castro A</w:t>
      </w:r>
      <w:r w:rsidRPr="00363AA9">
        <w:rPr>
          <w:rFonts w:ascii="Times New Roman" w:hAnsi="Times New Roman" w:cs="Times New Roman"/>
          <w:color w:val="000000" w:themeColor="text1"/>
          <w:sz w:val="24"/>
          <w:szCs w:val="24"/>
        </w:rPr>
        <w:t xml:space="preserve"> (1987) On granitoid emplacement and related structures. A review. </w:t>
      </w:r>
      <w:r w:rsidRPr="00363AA9">
        <w:rPr>
          <w:rFonts w:ascii="Times New Roman" w:hAnsi="Times New Roman" w:cs="Times New Roman"/>
          <w:i/>
          <w:color w:val="000000" w:themeColor="text1"/>
          <w:sz w:val="24"/>
          <w:szCs w:val="24"/>
        </w:rPr>
        <w:t>Geologische Rundschau</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76,</w:t>
      </w:r>
      <w:r w:rsidRPr="00363AA9">
        <w:rPr>
          <w:rFonts w:ascii="Times New Roman" w:hAnsi="Times New Roman" w:cs="Times New Roman"/>
          <w:color w:val="000000" w:themeColor="text1"/>
          <w:sz w:val="24"/>
          <w:szCs w:val="24"/>
        </w:rPr>
        <w:t xml:space="preserve"> 101-124.</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Chakhmouradian AR and Wall F</w:t>
      </w:r>
      <w:r w:rsidRPr="00363AA9">
        <w:rPr>
          <w:rFonts w:ascii="Times New Roman" w:hAnsi="Times New Roman" w:cs="Times New Roman"/>
          <w:color w:val="000000" w:themeColor="text1"/>
          <w:sz w:val="24"/>
          <w:szCs w:val="24"/>
        </w:rPr>
        <w:t xml:space="preserve"> (2012) Rare earth elements: Minerals, mines, magnets (and more). </w:t>
      </w:r>
      <w:r w:rsidRPr="00363AA9">
        <w:rPr>
          <w:rFonts w:ascii="Times New Roman" w:hAnsi="Times New Roman" w:cs="Times New Roman"/>
          <w:i/>
          <w:color w:val="000000" w:themeColor="text1"/>
          <w:sz w:val="24"/>
          <w:szCs w:val="24"/>
        </w:rPr>
        <w:t>Elements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8,</w:t>
      </w:r>
      <w:r w:rsidRPr="00363AA9">
        <w:rPr>
          <w:rFonts w:ascii="Times New Roman" w:hAnsi="Times New Roman" w:cs="Times New Roman"/>
          <w:color w:val="000000" w:themeColor="text1"/>
          <w:sz w:val="24"/>
          <w:szCs w:val="24"/>
        </w:rPr>
        <w:t xml:space="preserve"> 333-340.</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Chakhmouradian AR, Reguir EP and Zaitsev AN</w:t>
      </w:r>
      <w:r w:rsidRPr="00363AA9">
        <w:rPr>
          <w:rFonts w:ascii="Times New Roman" w:hAnsi="Times New Roman" w:cs="Times New Roman"/>
          <w:color w:val="000000" w:themeColor="text1"/>
          <w:sz w:val="24"/>
          <w:szCs w:val="24"/>
        </w:rPr>
        <w:t xml:space="preserve"> (2016) Calcite and dolomite in intrusive carbonatites. I. Textural variations. </w:t>
      </w:r>
      <w:r w:rsidRPr="00363AA9">
        <w:rPr>
          <w:rFonts w:ascii="Times New Roman" w:hAnsi="Times New Roman" w:cs="Times New Roman"/>
          <w:i/>
          <w:color w:val="000000" w:themeColor="text1"/>
          <w:sz w:val="24"/>
          <w:szCs w:val="24"/>
        </w:rPr>
        <w:t>Mineralogy and Petrology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110,</w:t>
      </w:r>
      <w:r w:rsidRPr="00363AA9">
        <w:rPr>
          <w:rFonts w:ascii="Times New Roman" w:hAnsi="Times New Roman" w:cs="Times New Roman"/>
          <w:color w:val="000000" w:themeColor="text1"/>
          <w:sz w:val="24"/>
          <w:szCs w:val="24"/>
        </w:rPr>
        <w:t xml:space="preserve"> 333-360.</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Cooper AF and Reid DL</w:t>
      </w:r>
      <w:r w:rsidRPr="00363AA9">
        <w:rPr>
          <w:rFonts w:ascii="Times New Roman" w:hAnsi="Times New Roman" w:cs="Times New Roman"/>
          <w:color w:val="000000" w:themeColor="text1"/>
          <w:sz w:val="24"/>
          <w:szCs w:val="24"/>
        </w:rPr>
        <w:t xml:space="preserve"> (1991) Textural evidence for calcite carbonatite magmas, Dicker Willem, south-west Namibia. </w:t>
      </w:r>
      <w:r w:rsidRPr="00363AA9">
        <w:rPr>
          <w:rFonts w:ascii="Times New Roman" w:hAnsi="Times New Roman" w:cs="Times New Roman"/>
          <w:i/>
          <w:color w:val="000000" w:themeColor="text1"/>
          <w:sz w:val="24"/>
          <w:szCs w:val="24"/>
        </w:rPr>
        <w:t>Geology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19,</w:t>
      </w:r>
      <w:r w:rsidRPr="00363AA9">
        <w:rPr>
          <w:rFonts w:ascii="Times New Roman" w:hAnsi="Times New Roman" w:cs="Times New Roman"/>
          <w:color w:val="000000" w:themeColor="text1"/>
          <w:sz w:val="24"/>
          <w:szCs w:val="24"/>
        </w:rPr>
        <w:t xml:space="preserve"> 1193-1196.</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Cooper AF and Reid DL</w:t>
      </w:r>
      <w:r w:rsidRPr="00363AA9">
        <w:rPr>
          <w:rFonts w:ascii="Times New Roman" w:hAnsi="Times New Roman" w:cs="Times New Roman"/>
          <w:color w:val="000000" w:themeColor="text1"/>
          <w:sz w:val="24"/>
          <w:szCs w:val="24"/>
        </w:rPr>
        <w:t xml:space="preserve"> (2000) The association of potassic trachytes and carbonatites at the Dicker Willem Complex, southwest Namibia: coexisting, immiscible, but not cogenetic magmas. </w:t>
      </w:r>
      <w:r w:rsidRPr="00363AA9">
        <w:rPr>
          <w:rFonts w:ascii="Times New Roman" w:hAnsi="Times New Roman" w:cs="Times New Roman"/>
          <w:i/>
          <w:color w:val="000000" w:themeColor="text1"/>
          <w:sz w:val="24"/>
          <w:szCs w:val="24"/>
        </w:rPr>
        <w:t>Contributions to Mineralogy and Petrology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139,</w:t>
      </w:r>
      <w:r w:rsidRPr="00363AA9">
        <w:rPr>
          <w:rFonts w:ascii="Times New Roman" w:hAnsi="Times New Roman" w:cs="Times New Roman"/>
          <w:color w:val="000000" w:themeColor="text1"/>
          <w:sz w:val="24"/>
          <w:szCs w:val="24"/>
        </w:rPr>
        <w:t xml:space="preserve"> 570-583.</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Diener JFA, White RW, Link K, Dreyer TS and Moodley A </w:t>
      </w:r>
      <w:r w:rsidRPr="00363AA9">
        <w:rPr>
          <w:rFonts w:ascii="Times New Roman" w:hAnsi="Times New Roman" w:cs="Times New Roman"/>
          <w:color w:val="000000" w:themeColor="text1"/>
          <w:sz w:val="24"/>
          <w:szCs w:val="24"/>
        </w:rPr>
        <w:t xml:space="preserve">(2013) Clockwise, low-P metamorphism of the Aus granulite terrain, southern Namibia, during the Mesoproterozoic Namaqua Orogeny. </w:t>
      </w:r>
      <w:r w:rsidRPr="00363AA9">
        <w:rPr>
          <w:rFonts w:ascii="Times New Roman" w:hAnsi="Times New Roman" w:cs="Times New Roman"/>
          <w:i/>
          <w:color w:val="000000" w:themeColor="text1"/>
          <w:sz w:val="24"/>
          <w:szCs w:val="24"/>
        </w:rPr>
        <w:t>Precambrian Research</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224,</w:t>
      </w:r>
      <w:r w:rsidRPr="00363AA9">
        <w:rPr>
          <w:rFonts w:ascii="Times New Roman" w:hAnsi="Times New Roman" w:cs="Times New Roman"/>
          <w:color w:val="000000" w:themeColor="text1"/>
          <w:sz w:val="24"/>
          <w:szCs w:val="24"/>
        </w:rPr>
        <w:t xml:space="preserve"> 629-652.</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lastRenderedPageBreak/>
        <w:t>Doroshkevich AG, Viladkar SG, Ripp GS and Burtseva MV</w:t>
      </w:r>
      <w:r w:rsidRPr="00363AA9">
        <w:rPr>
          <w:rFonts w:ascii="Times New Roman" w:hAnsi="Times New Roman" w:cs="Times New Roman"/>
          <w:color w:val="000000" w:themeColor="text1"/>
          <w:sz w:val="24"/>
          <w:szCs w:val="24"/>
        </w:rPr>
        <w:t xml:space="preserve"> (2009) Hydrothermal REE mineralization in the Amba Dongar carbonatite complex, Gujarat, India. </w:t>
      </w:r>
      <w:r w:rsidRPr="00363AA9">
        <w:rPr>
          <w:rFonts w:ascii="Times New Roman" w:hAnsi="Times New Roman" w:cs="Times New Roman"/>
          <w:i/>
          <w:color w:val="000000" w:themeColor="text1"/>
          <w:sz w:val="24"/>
          <w:szCs w:val="24"/>
        </w:rPr>
        <w:t>Canadian Mineralogist</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47,</w:t>
      </w:r>
      <w:r w:rsidRPr="00363AA9">
        <w:rPr>
          <w:rFonts w:ascii="Times New Roman" w:hAnsi="Times New Roman" w:cs="Times New Roman"/>
          <w:color w:val="000000" w:themeColor="text1"/>
          <w:sz w:val="24"/>
          <w:szCs w:val="24"/>
        </w:rPr>
        <w:t xml:space="preserve"> 1105-1116.</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Fitzpaine A, Giuliani A, Maas R, Hergt J, Janney P and Phillips D </w:t>
      </w:r>
      <w:r w:rsidRPr="00363AA9">
        <w:rPr>
          <w:rFonts w:ascii="Times New Roman" w:hAnsi="Times New Roman" w:cs="Times New Roman"/>
          <w:color w:val="000000" w:themeColor="text1"/>
          <w:sz w:val="24"/>
          <w:szCs w:val="24"/>
        </w:rPr>
        <w:t xml:space="preserve">(2019) Progressive metasomatism of the mantle by kimberlite melts: Sr-Nd-Hf-Pb isotope compositions of MARID and PIC minerals. </w:t>
      </w:r>
      <w:r w:rsidRPr="00363AA9">
        <w:rPr>
          <w:rFonts w:ascii="Times New Roman" w:hAnsi="Times New Roman" w:cs="Times New Roman"/>
          <w:i/>
          <w:color w:val="000000" w:themeColor="text1"/>
          <w:sz w:val="24"/>
          <w:szCs w:val="24"/>
        </w:rPr>
        <w:t>Earth and Planetary Science Letters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509,</w:t>
      </w:r>
      <w:r w:rsidRPr="00363AA9">
        <w:rPr>
          <w:rFonts w:ascii="Times New Roman" w:hAnsi="Times New Roman" w:cs="Times New Roman"/>
          <w:color w:val="000000" w:themeColor="text1"/>
          <w:sz w:val="24"/>
          <w:szCs w:val="24"/>
        </w:rPr>
        <w:t xml:space="preserve"> 15-26.</w:t>
      </w:r>
    </w:p>
    <w:p w:rsidR="00F943A5" w:rsidRPr="00363AA9" w:rsidRDefault="00F943A5" w:rsidP="00F943A5">
      <w:pPr>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Galland O, Burchardt S, Hallot E, Mourgues R and Bulois C</w:t>
      </w:r>
      <w:r w:rsidRPr="00363AA9">
        <w:rPr>
          <w:rFonts w:ascii="Times New Roman" w:hAnsi="Times New Roman" w:cs="Times New Roman"/>
          <w:color w:val="000000" w:themeColor="text1"/>
          <w:sz w:val="24"/>
          <w:szCs w:val="24"/>
        </w:rPr>
        <w:t xml:space="preserve"> (2014) Dynamics of dikes versus cone sheets in volcanic systems. </w:t>
      </w:r>
      <w:r w:rsidRPr="00363AA9">
        <w:rPr>
          <w:rFonts w:ascii="Times New Roman" w:hAnsi="Times New Roman" w:cs="Times New Roman"/>
          <w:i/>
          <w:color w:val="000000" w:themeColor="text1"/>
          <w:sz w:val="24"/>
          <w:szCs w:val="24"/>
        </w:rPr>
        <w:t>Journal of Geophysical Research</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119,</w:t>
      </w:r>
      <w:r w:rsidRPr="00363AA9">
        <w:rPr>
          <w:rFonts w:ascii="Times New Roman" w:hAnsi="Times New Roman" w:cs="Times New Roman"/>
          <w:color w:val="000000" w:themeColor="text1"/>
          <w:sz w:val="24"/>
          <w:szCs w:val="24"/>
        </w:rPr>
        <w:t xml:space="preserve"> 6178-6192.</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Gittins J, Harmer RE and Barker DS</w:t>
      </w:r>
      <w:r w:rsidRPr="00363AA9">
        <w:rPr>
          <w:rFonts w:ascii="Times New Roman" w:hAnsi="Times New Roman" w:cs="Times New Roman"/>
          <w:color w:val="000000" w:themeColor="text1"/>
          <w:sz w:val="24"/>
          <w:szCs w:val="24"/>
        </w:rPr>
        <w:t xml:space="preserve"> (2005) The bimodal composition of carbonatites: Reality or misconception? </w:t>
      </w:r>
      <w:r w:rsidRPr="00363AA9">
        <w:rPr>
          <w:rFonts w:ascii="Times New Roman" w:hAnsi="Times New Roman" w:cs="Times New Roman"/>
          <w:i/>
          <w:color w:val="000000" w:themeColor="text1"/>
          <w:sz w:val="24"/>
          <w:szCs w:val="24"/>
        </w:rPr>
        <w:t>Lithos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85,</w:t>
      </w:r>
      <w:r w:rsidRPr="00363AA9">
        <w:rPr>
          <w:rFonts w:ascii="Times New Roman" w:hAnsi="Times New Roman" w:cs="Times New Roman"/>
          <w:color w:val="000000" w:themeColor="text1"/>
          <w:sz w:val="24"/>
          <w:szCs w:val="24"/>
        </w:rPr>
        <w:t xml:space="preserve"> 129-139.</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Hartnady CJH and le Roex AP </w:t>
      </w:r>
      <w:r w:rsidRPr="00363AA9">
        <w:rPr>
          <w:rFonts w:ascii="Times New Roman" w:hAnsi="Times New Roman" w:cs="Times New Roman"/>
          <w:color w:val="000000" w:themeColor="text1"/>
          <w:sz w:val="24"/>
          <w:szCs w:val="24"/>
        </w:rPr>
        <w:t xml:space="preserve">(1985) Southern Ocean hotspot tracks and the Cenozoic absolute motion of the Africa, Antarctic, and South American plates. </w:t>
      </w:r>
      <w:r w:rsidRPr="00363AA9">
        <w:rPr>
          <w:rFonts w:ascii="Times New Roman" w:hAnsi="Times New Roman" w:cs="Times New Roman"/>
          <w:i/>
          <w:color w:val="000000" w:themeColor="text1"/>
          <w:sz w:val="24"/>
          <w:szCs w:val="24"/>
        </w:rPr>
        <w:t>Earth and Planetary Science Letters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75,</w:t>
      </w:r>
      <w:r w:rsidRPr="00363AA9">
        <w:rPr>
          <w:rFonts w:ascii="Times New Roman" w:hAnsi="Times New Roman" w:cs="Times New Roman"/>
          <w:color w:val="000000" w:themeColor="text1"/>
          <w:sz w:val="24"/>
          <w:szCs w:val="24"/>
        </w:rPr>
        <w:t xml:space="preserve"> 245-257.</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Haxel GB</w:t>
      </w:r>
      <w:r w:rsidRPr="00363AA9">
        <w:rPr>
          <w:rFonts w:ascii="Times New Roman" w:hAnsi="Times New Roman" w:cs="Times New Roman"/>
          <w:color w:val="000000" w:themeColor="text1"/>
          <w:sz w:val="24"/>
          <w:szCs w:val="24"/>
        </w:rPr>
        <w:t xml:space="preserve"> (2007) Ultrapotassic rocks, carbonatite, and rare earth element deposit, Mountain Pass, southern California. In. Geology and Mineral Resources of the East Mojave National Scenic Area, San Bernardino County, California (ed TG Theodore). </w:t>
      </w:r>
      <w:r w:rsidRPr="00363AA9">
        <w:rPr>
          <w:rFonts w:ascii="Times New Roman" w:hAnsi="Times New Roman" w:cs="Times New Roman"/>
          <w:i/>
          <w:color w:val="000000" w:themeColor="text1"/>
          <w:sz w:val="24"/>
          <w:szCs w:val="24"/>
        </w:rPr>
        <w:t>USGS. Bulletin</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2160,</w:t>
      </w:r>
      <w:r w:rsidRPr="00363AA9">
        <w:rPr>
          <w:rFonts w:ascii="Times New Roman" w:hAnsi="Times New Roman" w:cs="Times New Roman"/>
          <w:color w:val="000000" w:themeColor="text1"/>
          <w:sz w:val="24"/>
          <w:szCs w:val="24"/>
        </w:rPr>
        <w:t xml:space="preserve"> 17-55.</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Homrighausen S, Hoernle K, Geldmacher J, Wartho JA, Hauf F, Portnyagin M, Werner R, van den Bogaard P and Garbe-Schönberg D</w:t>
      </w:r>
      <w:r w:rsidRPr="00363AA9">
        <w:rPr>
          <w:rFonts w:ascii="Times New Roman" w:hAnsi="Times New Roman" w:cs="Times New Roman"/>
          <w:color w:val="000000" w:themeColor="text1"/>
          <w:sz w:val="24"/>
          <w:szCs w:val="24"/>
        </w:rPr>
        <w:t xml:space="preserve"> (2018) Unexpected HIMU-type later-stage volcanism on the Walvis Ridge. </w:t>
      </w:r>
      <w:r w:rsidRPr="00363AA9">
        <w:rPr>
          <w:rFonts w:ascii="Times New Roman" w:hAnsi="Times New Roman" w:cs="Times New Roman"/>
          <w:i/>
          <w:color w:val="000000" w:themeColor="text1"/>
          <w:sz w:val="24"/>
          <w:szCs w:val="24"/>
        </w:rPr>
        <w:t>Earth and Planetary Science Letters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492,</w:t>
      </w:r>
      <w:r w:rsidRPr="00363AA9">
        <w:rPr>
          <w:rFonts w:ascii="Times New Roman" w:hAnsi="Times New Roman" w:cs="Times New Roman"/>
          <w:color w:val="000000" w:themeColor="text1"/>
          <w:sz w:val="24"/>
          <w:szCs w:val="24"/>
        </w:rPr>
        <w:t xml:space="preserve"> 251-263.</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Ishizuka O, Taylor RN, Yuasa M, Milton JA, Nesbitt RW, Uto K and Sakamoto I</w:t>
      </w:r>
      <w:r w:rsidRPr="00363AA9">
        <w:rPr>
          <w:rFonts w:ascii="Times New Roman" w:hAnsi="Times New Roman" w:cs="Times New Roman"/>
          <w:color w:val="000000" w:themeColor="text1"/>
          <w:sz w:val="24"/>
          <w:szCs w:val="24"/>
        </w:rPr>
        <w:t xml:space="preserve"> (2007) Processes controlling along-arc isotopic variation of the southern Izu-Bonin arc. </w:t>
      </w:r>
      <w:r w:rsidRPr="00363AA9">
        <w:rPr>
          <w:rFonts w:ascii="Times New Roman" w:hAnsi="Times New Roman" w:cs="Times New Roman"/>
          <w:i/>
          <w:color w:val="000000" w:themeColor="text1"/>
          <w:sz w:val="24"/>
          <w:szCs w:val="24"/>
        </w:rPr>
        <w:t>Geochemistry Geophysics Geosystems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8,</w:t>
      </w:r>
      <w:r w:rsidRPr="00363AA9">
        <w:rPr>
          <w:rFonts w:ascii="Times New Roman" w:hAnsi="Times New Roman" w:cs="Times New Roman"/>
          <w:color w:val="000000" w:themeColor="text1"/>
          <w:sz w:val="24"/>
          <w:szCs w:val="24"/>
        </w:rPr>
        <w:t xml:space="preserve"> Q06008.</w:t>
      </w:r>
    </w:p>
    <w:p w:rsidR="00F943A5" w:rsidRPr="00363AA9" w:rsidRDefault="00F943A5" w:rsidP="00F943A5">
      <w:pPr>
        <w:autoSpaceDE w:val="0"/>
        <w:autoSpaceDN w:val="0"/>
        <w:adjustRightInd w:val="0"/>
        <w:ind w:left="284" w:hanging="284"/>
        <w:jc w:val="both"/>
        <w:rPr>
          <w:rFonts w:ascii="Times New Roman" w:eastAsia="CharisSIL" w:hAnsi="Times New Roman" w:cs="Times New Roman"/>
          <w:color w:val="000000" w:themeColor="text1"/>
          <w:sz w:val="24"/>
          <w:szCs w:val="24"/>
        </w:rPr>
      </w:pPr>
      <w:r w:rsidRPr="00363AA9">
        <w:rPr>
          <w:rFonts w:ascii="Times New Roman" w:hAnsi="Times New Roman" w:cs="Times New Roman"/>
          <w:b/>
          <w:color w:val="000000" w:themeColor="text1"/>
          <w:sz w:val="24"/>
          <w:szCs w:val="24"/>
        </w:rPr>
        <w:lastRenderedPageBreak/>
        <w:t>Jackson MPA</w:t>
      </w:r>
      <w:r w:rsidRPr="00363AA9">
        <w:rPr>
          <w:rFonts w:ascii="Times New Roman" w:hAnsi="Times New Roman" w:cs="Times New Roman"/>
          <w:color w:val="000000" w:themeColor="text1"/>
          <w:sz w:val="24"/>
          <w:szCs w:val="24"/>
        </w:rPr>
        <w:t xml:space="preserve"> (1976) </w:t>
      </w:r>
      <w:r w:rsidRPr="00363AA9">
        <w:rPr>
          <w:rFonts w:ascii="Times New Roman" w:eastAsia="CharisSIL" w:hAnsi="Times New Roman" w:cs="Times New Roman"/>
          <w:color w:val="000000" w:themeColor="text1"/>
          <w:sz w:val="24"/>
          <w:szCs w:val="24"/>
        </w:rPr>
        <w:t xml:space="preserve">High-grade metamorphism and migmatization of the Namaqua metamorphic complex around Aus in the Southern Namib Desert, South West Africa. </w:t>
      </w:r>
      <w:r w:rsidRPr="00363AA9">
        <w:rPr>
          <w:rFonts w:ascii="Times New Roman" w:eastAsia="CharisSIL" w:hAnsi="Times New Roman" w:cs="Times New Roman"/>
          <w:i/>
          <w:color w:val="000000" w:themeColor="text1"/>
          <w:sz w:val="24"/>
          <w:szCs w:val="24"/>
        </w:rPr>
        <w:t>PhD Thesis, University of Cape Town</w:t>
      </w:r>
      <w:r w:rsidRPr="00363AA9">
        <w:rPr>
          <w:rFonts w:ascii="Times New Roman" w:eastAsia="CharisSIL" w:hAnsi="Times New Roman" w:cs="Times New Roman"/>
          <w:color w:val="000000" w:themeColor="text1"/>
          <w:sz w:val="24"/>
          <w:szCs w:val="24"/>
        </w:rPr>
        <w:t xml:space="preserve"> 343 pp.</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Jones AP, Genge M and Carmody L</w:t>
      </w:r>
      <w:r w:rsidRPr="00363AA9">
        <w:rPr>
          <w:rFonts w:ascii="Times New Roman" w:hAnsi="Times New Roman" w:cs="Times New Roman"/>
          <w:color w:val="000000" w:themeColor="text1"/>
          <w:sz w:val="24"/>
          <w:szCs w:val="24"/>
        </w:rPr>
        <w:t xml:space="preserve"> (2013) Carbonate melts and carbonatites. </w:t>
      </w:r>
      <w:r w:rsidRPr="00363AA9">
        <w:rPr>
          <w:rFonts w:ascii="Times New Roman" w:hAnsi="Times New Roman" w:cs="Times New Roman"/>
          <w:i/>
          <w:color w:val="000000" w:themeColor="text1"/>
          <w:sz w:val="24"/>
          <w:szCs w:val="24"/>
        </w:rPr>
        <w:t>Reviews in Mineralogy and Geochemistry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75,</w:t>
      </w:r>
      <w:r w:rsidRPr="00363AA9">
        <w:rPr>
          <w:rFonts w:ascii="Times New Roman" w:hAnsi="Times New Roman" w:cs="Times New Roman"/>
          <w:color w:val="000000" w:themeColor="text1"/>
          <w:sz w:val="24"/>
          <w:szCs w:val="24"/>
        </w:rPr>
        <w:t xml:space="preserve"> 289-322.</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Kent AJR, Jacobsen B, Peate DW, Waight TE and Baker JA </w:t>
      </w:r>
      <w:r w:rsidRPr="00363AA9">
        <w:rPr>
          <w:rFonts w:ascii="Times New Roman" w:hAnsi="Times New Roman" w:cs="Times New Roman"/>
          <w:color w:val="000000" w:themeColor="text1"/>
          <w:sz w:val="24"/>
          <w:szCs w:val="24"/>
        </w:rPr>
        <w:t xml:space="preserve">(2004) Isotope dilution MC-ICP-MS rare earth element analysis of geochemical reference materials NIST SRM 610, NIST SRM 612, NIST SRM 614, BHVO-2G, BHVO-2, BCR-2G, JB-2, WS-E, W-2, AGV-1 and AGV-2. </w:t>
      </w:r>
      <w:r w:rsidRPr="00363AA9">
        <w:rPr>
          <w:rFonts w:ascii="Times New Roman" w:hAnsi="Times New Roman" w:cs="Times New Roman"/>
          <w:i/>
          <w:color w:val="000000" w:themeColor="text1"/>
          <w:sz w:val="24"/>
          <w:szCs w:val="24"/>
        </w:rPr>
        <w:t>Geostandards and Geoanalytical Research</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28,</w:t>
      </w:r>
      <w:r w:rsidRPr="00363AA9">
        <w:rPr>
          <w:rFonts w:ascii="Times New Roman" w:hAnsi="Times New Roman" w:cs="Times New Roman"/>
          <w:color w:val="000000" w:themeColor="text1"/>
          <w:sz w:val="24"/>
          <w:szCs w:val="24"/>
        </w:rPr>
        <w:t xml:space="preserve"> 417-429.</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Le Bas MJ</w:t>
      </w:r>
      <w:r w:rsidRPr="00363AA9">
        <w:rPr>
          <w:rFonts w:ascii="Times New Roman" w:hAnsi="Times New Roman" w:cs="Times New Roman"/>
          <w:color w:val="000000" w:themeColor="text1"/>
          <w:sz w:val="24"/>
          <w:szCs w:val="24"/>
        </w:rPr>
        <w:t xml:space="preserve"> (1987) Nephelinites and carbonatites. </w:t>
      </w:r>
      <w:r w:rsidRPr="00363AA9">
        <w:rPr>
          <w:rFonts w:ascii="Times New Roman" w:hAnsi="Times New Roman" w:cs="Times New Roman"/>
          <w:i/>
          <w:color w:val="000000" w:themeColor="text1"/>
          <w:sz w:val="24"/>
          <w:szCs w:val="24"/>
        </w:rPr>
        <w:t>Geological Society Special Publication</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30,</w:t>
      </w:r>
      <w:r w:rsidRPr="00363AA9">
        <w:rPr>
          <w:rFonts w:ascii="Times New Roman" w:hAnsi="Times New Roman" w:cs="Times New Roman"/>
          <w:color w:val="000000" w:themeColor="text1"/>
          <w:sz w:val="24"/>
          <w:szCs w:val="24"/>
        </w:rPr>
        <w:t xml:space="preserve"> 53-83.</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Le Maitre RW</w:t>
      </w:r>
      <w:r w:rsidRPr="00363AA9">
        <w:rPr>
          <w:rFonts w:ascii="Times New Roman" w:hAnsi="Times New Roman" w:cs="Times New Roman"/>
          <w:color w:val="000000" w:themeColor="text1"/>
          <w:sz w:val="24"/>
          <w:szCs w:val="24"/>
        </w:rPr>
        <w:t xml:space="preserve"> (ed) (2002) </w:t>
      </w:r>
      <w:r w:rsidRPr="00363AA9">
        <w:rPr>
          <w:rFonts w:ascii="Times New Roman" w:hAnsi="Times New Roman" w:cs="Times New Roman"/>
          <w:i/>
          <w:iCs/>
          <w:color w:val="000000" w:themeColor="text1"/>
          <w:sz w:val="24"/>
          <w:szCs w:val="24"/>
        </w:rPr>
        <w:t>Igneous Rocks: a Classification and Glossary of Terms</w:t>
      </w:r>
      <w:r w:rsidRPr="00363AA9">
        <w:rPr>
          <w:rFonts w:ascii="Times New Roman" w:hAnsi="Times New Roman" w:cs="Times New Roman"/>
          <w:color w:val="000000" w:themeColor="text1"/>
          <w:sz w:val="24"/>
          <w:szCs w:val="24"/>
        </w:rPr>
        <w:t>. (2</w:t>
      </w:r>
      <w:r w:rsidRPr="00363AA9">
        <w:rPr>
          <w:rFonts w:ascii="Times New Roman" w:hAnsi="Times New Roman" w:cs="Times New Roman"/>
          <w:color w:val="000000" w:themeColor="text1"/>
          <w:sz w:val="24"/>
          <w:szCs w:val="24"/>
          <w:vertAlign w:val="superscript"/>
        </w:rPr>
        <w:t>nd</w:t>
      </w:r>
      <w:r w:rsidRPr="00363AA9">
        <w:rPr>
          <w:rFonts w:ascii="Times New Roman" w:hAnsi="Times New Roman" w:cs="Times New Roman"/>
          <w:color w:val="000000" w:themeColor="text1"/>
          <w:sz w:val="24"/>
          <w:szCs w:val="24"/>
        </w:rPr>
        <w:t xml:space="preserve"> ed) Cambridge University</w:t>
      </w:r>
      <w:r w:rsidRPr="00363AA9">
        <w:rPr>
          <w:rFonts w:ascii="Times New Roman" w:hAnsi="Times New Roman" w:cs="Times New Roman"/>
          <w:i/>
          <w:iCs/>
          <w:color w:val="000000" w:themeColor="text1"/>
          <w:sz w:val="24"/>
          <w:szCs w:val="24"/>
        </w:rPr>
        <w:t xml:space="preserve"> </w:t>
      </w:r>
      <w:r w:rsidRPr="00363AA9">
        <w:rPr>
          <w:rFonts w:ascii="Times New Roman" w:hAnsi="Times New Roman" w:cs="Times New Roman"/>
          <w:color w:val="000000" w:themeColor="text1"/>
          <w:sz w:val="24"/>
          <w:szCs w:val="24"/>
        </w:rPr>
        <w:t>Press, Cambridge, U.K. 236 pp.</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Lottermoser BG</w:t>
      </w:r>
      <w:r w:rsidRPr="00363AA9">
        <w:rPr>
          <w:rFonts w:ascii="Times New Roman" w:hAnsi="Times New Roman" w:cs="Times New Roman"/>
          <w:color w:val="000000" w:themeColor="text1"/>
          <w:sz w:val="24"/>
          <w:szCs w:val="24"/>
        </w:rPr>
        <w:t xml:space="preserve"> (1990) Rare-element mineralization within the Mt. Weld carbonatite laterite, Western Australia. </w:t>
      </w:r>
      <w:r w:rsidRPr="00363AA9">
        <w:rPr>
          <w:rFonts w:ascii="Times New Roman" w:hAnsi="Times New Roman" w:cs="Times New Roman"/>
          <w:i/>
          <w:color w:val="000000" w:themeColor="text1"/>
          <w:sz w:val="24"/>
          <w:szCs w:val="24"/>
        </w:rPr>
        <w:t>Lithos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24,</w:t>
      </w:r>
      <w:r w:rsidRPr="00363AA9">
        <w:rPr>
          <w:rFonts w:ascii="Times New Roman" w:hAnsi="Times New Roman" w:cs="Times New Roman"/>
          <w:color w:val="000000" w:themeColor="text1"/>
          <w:sz w:val="24"/>
          <w:szCs w:val="24"/>
        </w:rPr>
        <w:t xml:space="preserve"> 151-167.</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Magee C, Stevenson C, O’Driscoll B, Schofield N and McDermott K</w:t>
      </w:r>
      <w:r w:rsidRPr="00363AA9">
        <w:rPr>
          <w:rFonts w:ascii="Times New Roman" w:hAnsi="Times New Roman" w:cs="Times New Roman"/>
          <w:color w:val="000000" w:themeColor="text1"/>
          <w:sz w:val="24"/>
          <w:szCs w:val="24"/>
        </w:rPr>
        <w:t xml:space="preserve"> (2012) An alternative emplacement model for the classic Ardnamurchan cone sheet swarm, NW Scotland, involving lateral magma supply via regional dykes. </w:t>
      </w:r>
      <w:r w:rsidRPr="00363AA9">
        <w:rPr>
          <w:rFonts w:ascii="Times New Roman" w:hAnsi="Times New Roman" w:cs="Times New Roman"/>
          <w:i/>
          <w:color w:val="000000" w:themeColor="text1"/>
          <w:sz w:val="24"/>
          <w:szCs w:val="24"/>
        </w:rPr>
        <w:t>Journal of Structural Geology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43,</w:t>
      </w:r>
      <w:r w:rsidRPr="00363AA9">
        <w:rPr>
          <w:rFonts w:ascii="Times New Roman" w:hAnsi="Times New Roman" w:cs="Times New Roman"/>
          <w:color w:val="000000" w:themeColor="text1"/>
          <w:sz w:val="24"/>
          <w:szCs w:val="24"/>
        </w:rPr>
        <w:t xml:space="preserve"> 73-91.</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Mariano AN, and Mariano A</w:t>
      </w:r>
      <w:r w:rsidRPr="00363AA9">
        <w:rPr>
          <w:rFonts w:ascii="Times New Roman" w:hAnsi="Times New Roman" w:cs="Times New Roman"/>
          <w:color w:val="000000" w:themeColor="text1"/>
          <w:sz w:val="24"/>
          <w:szCs w:val="24"/>
        </w:rPr>
        <w:t xml:space="preserve"> (2012) Rare earth mining and exploration in North America. </w:t>
      </w:r>
      <w:r w:rsidRPr="00363AA9">
        <w:rPr>
          <w:rFonts w:ascii="Times New Roman" w:hAnsi="Times New Roman" w:cs="Times New Roman"/>
          <w:i/>
          <w:color w:val="000000" w:themeColor="text1"/>
          <w:sz w:val="24"/>
          <w:szCs w:val="24"/>
        </w:rPr>
        <w:t>Elements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8,</w:t>
      </w:r>
      <w:r w:rsidRPr="00363AA9">
        <w:rPr>
          <w:rFonts w:ascii="Times New Roman" w:hAnsi="Times New Roman" w:cs="Times New Roman"/>
          <w:color w:val="000000" w:themeColor="text1"/>
          <w:sz w:val="24"/>
          <w:szCs w:val="24"/>
        </w:rPr>
        <w:t xml:space="preserve"> 369-376.</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Miller RM </w:t>
      </w:r>
      <w:r w:rsidRPr="00363AA9">
        <w:rPr>
          <w:rFonts w:ascii="Times New Roman" w:hAnsi="Times New Roman" w:cs="Times New Roman"/>
          <w:color w:val="000000" w:themeColor="text1"/>
          <w:sz w:val="24"/>
          <w:szCs w:val="24"/>
        </w:rPr>
        <w:t xml:space="preserve">(2008) The Geology of Namibia, volume 1. </w:t>
      </w:r>
      <w:r w:rsidRPr="00363AA9">
        <w:rPr>
          <w:rFonts w:ascii="Times New Roman" w:hAnsi="Times New Roman" w:cs="Times New Roman"/>
          <w:i/>
          <w:color w:val="000000" w:themeColor="text1"/>
          <w:sz w:val="24"/>
          <w:szCs w:val="24"/>
        </w:rPr>
        <w:t>Ministry of Mines and Energy, Geological Survey, Namibia, Windhoek, Namibia</w:t>
      </w:r>
      <w:r w:rsidRPr="00363AA9">
        <w:rPr>
          <w:rFonts w:ascii="Times New Roman" w:hAnsi="Times New Roman" w:cs="Times New Roman"/>
          <w:color w:val="000000" w:themeColor="text1"/>
          <w:sz w:val="24"/>
          <w:szCs w:val="24"/>
        </w:rPr>
        <w:t>.</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Mitchell RH </w:t>
      </w:r>
      <w:r w:rsidRPr="00363AA9">
        <w:rPr>
          <w:rFonts w:ascii="Times New Roman" w:hAnsi="Times New Roman" w:cs="Times New Roman"/>
          <w:color w:val="000000" w:themeColor="text1"/>
          <w:sz w:val="24"/>
          <w:szCs w:val="24"/>
        </w:rPr>
        <w:t xml:space="preserve">(2005) Carbonatites and carbonatites and carbonatites. </w:t>
      </w:r>
      <w:r w:rsidRPr="00363AA9">
        <w:rPr>
          <w:rFonts w:ascii="Times New Roman" w:hAnsi="Times New Roman" w:cs="Times New Roman"/>
          <w:i/>
          <w:color w:val="000000" w:themeColor="text1"/>
          <w:sz w:val="24"/>
          <w:szCs w:val="24"/>
        </w:rPr>
        <w:t>The Canadian Mineralogist</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43,</w:t>
      </w:r>
      <w:r w:rsidRPr="00363AA9">
        <w:rPr>
          <w:rFonts w:ascii="Times New Roman" w:hAnsi="Times New Roman" w:cs="Times New Roman"/>
          <w:color w:val="000000" w:themeColor="text1"/>
          <w:sz w:val="24"/>
          <w:szCs w:val="24"/>
        </w:rPr>
        <w:t xml:space="preserve"> 2049-2068.</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lastRenderedPageBreak/>
        <w:t>Moore M, Chakhmouradian AR, Mariano AN, and Sidhu R</w:t>
      </w:r>
      <w:r w:rsidRPr="00363AA9">
        <w:rPr>
          <w:rFonts w:ascii="Times New Roman" w:hAnsi="Times New Roman" w:cs="Times New Roman"/>
          <w:color w:val="000000" w:themeColor="text1"/>
          <w:sz w:val="24"/>
          <w:szCs w:val="24"/>
        </w:rPr>
        <w:t xml:space="preserve"> (2015) Evolution of rare-earth mineralization in the Bear Lodge carbonatite, Wyoming: Mineralogical and isotopic evidence. </w:t>
      </w:r>
      <w:r w:rsidRPr="00363AA9">
        <w:rPr>
          <w:rFonts w:ascii="Times New Roman" w:hAnsi="Times New Roman" w:cs="Times New Roman"/>
          <w:i/>
          <w:color w:val="000000" w:themeColor="text1"/>
          <w:sz w:val="24"/>
          <w:szCs w:val="24"/>
        </w:rPr>
        <w:t>Ore Geology Reviews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64,</w:t>
      </w:r>
      <w:r w:rsidRPr="00363AA9">
        <w:rPr>
          <w:rFonts w:ascii="Times New Roman" w:hAnsi="Times New Roman" w:cs="Times New Roman"/>
          <w:color w:val="000000" w:themeColor="text1"/>
          <w:sz w:val="24"/>
          <w:szCs w:val="24"/>
        </w:rPr>
        <w:t xml:space="preserve"> 499-521.</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Nabyl Z, Massuyeau M, Gaillard F, Tuduri J, Iaocono-Marziano G, Rogerie G, Le Trong E, Di Carlo I, Melleton J, and Bailly L </w:t>
      </w:r>
      <w:r w:rsidRPr="00363AA9">
        <w:rPr>
          <w:rFonts w:ascii="Times New Roman" w:hAnsi="Times New Roman" w:cs="Times New Roman"/>
          <w:color w:val="000000" w:themeColor="text1"/>
          <w:sz w:val="24"/>
          <w:szCs w:val="24"/>
        </w:rPr>
        <w:t xml:space="preserve">(2020) A window in the course of alkaline magma differentiation conducive to immiscible REE-rich carbonatites. </w:t>
      </w:r>
      <w:r w:rsidRPr="00363AA9">
        <w:rPr>
          <w:rFonts w:ascii="Times New Roman" w:hAnsi="Times New Roman" w:cs="Times New Roman"/>
          <w:i/>
          <w:color w:val="000000" w:themeColor="text1"/>
          <w:sz w:val="24"/>
          <w:szCs w:val="24"/>
        </w:rPr>
        <w:t>Geochimica et Cosmochimica Acta</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282,</w:t>
      </w:r>
      <w:r w:rsidRPr="00363AA9">
        <w:rPr>
          <w:rFonts w:ascii="Times New Roman" w:hAnsi="Times New Roman" w:cs="Times New Roman"/>
          <w:color w:val="000000" w:themeColor="text1"/>
          <w:sz w:val="24"/>
          <w:szCs w:val="24"/>
        </w:rPr>
        <w:t xml:space="preserve"> 297-323.</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Nakashole A, le Roex A, and Reid D</w:t>
      </w:r>
      <w:r w:rsidRPr="00363AA9">
        <w:rPr>
          <w:rFonts w:ascii="Times New Roman" w:hAnsi="Times New Roman" w:cs="Times New Roman"/>
          <w:color w:val="000000" w:themeColor="text1"/>
          <w:sz w:val="24"/>
          <w:szCs w:val="24"/>
        </w:rPr>
        <w:t xml:space="preserve"> (2020) Geochemistry and petrogenesis of the Tsirub nephelenite intrusions, southern Namibia. </w:t>
      </w:r>
      <w:r w:rsidRPr="00363AA9">
        <w:rPr>
          <w:rFonts w:ascii="Times New Roman" w:hAnsi="Times New Roman" w:cs="Times New Roman"/>
          <w:i/>
          <w:color w:val="000000" w:themeColor="text1"/>
          <w:sz w:val="24"/>
          <w:szCs w:val="24"/>
        </w:rPr>
        <w:t>Journal of African Earth Science</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162,</w:t>
      </w:r>
      <w:r w:rsidRPr="00363AA9">
        <w:rPr>
          <w:rFonts w:ascii="Times New Roman" w:hAnsi="Times New Roman" w:cs="Times New Roman"/>
          <w:color w:val="000000" w:themeColor="text1"/>
          <w:sz w:val="24"/>
          <w:szCs w:val="24"/>
        </w:rPr>
        <w:t xml:space="preserve"> 103701.</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Ngwenya BT</w:t>
      </w:r>
      <w:r w:rsidRPr="00363AA9">
        <w:rPr>
          <w:rFonts w:ascii="Times New Roman" w:hAnsi="Times New Roman" w:cs="Times New Roman"/>
          <w:color w:val="000000" w:themeColor="text1"/>
          <w:sz w:val="24"/>
          <w:szCs w:val="24"/>
        </w:rPr>
        <w:t xml:space="preserve"> (1994) Hydrothermal rare earth mineralisation in carbonatites of the Tundulu complex, Malawi: Processes at the fluid/rock interface. </w:t>
      </w:r>
      <w:r w:rsidRPr="00363AA9">
        <w:rPr>
          <w:rFonts w:ascii="Times New Roman" w:hAnsi="Times New Roman" w:cs="Times New Roman"/>
          <w:i/>
          <w:color w:val="000000" w:themeColor="text1"/>
          <w:sz w:val="24"/>
          <w:szCs w:val="24"/>
        </w:rPr>
        <w:t>Geochimica et Cosmochimica Acta</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58,</w:t>
      </w:r>
      <w:r w:rsidRPr="00363AA9">
        <w:rPr>
          <w:rFonts w:ascii="Times New Roman" w:hAnsi="Times New Roman" w:cs="Times New Roman"/>
          <w:color w:val="000000" w:themeColor="text1"/>
          <w:sz w:val="24"/>
          <w:szCs w:val="24"/>
        </w:rPr>
        <w:t xml:space="preserve"> 2061-2072.</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Reid DL, Cooper AF, Rex DC, and Harmes RE</w:t>
      </w:r>
      <w:r w:rsidRPr="00363AA9">
        <w:rPr>
          <w:rFonts w:ascii="Times New Roman" w:hAnsi="Times New Roman" w:cs="Times New Roman"/>
          <w:color w:val="000000" w:themeColor="text1"/>
          <w:sz w:val="24"/>
          <w:szCs w:val="24"/>
        </w:rPr>
        <w:t xml:space="preserve"> (1990) Timing of post Karoo alkaline volcanism in southern Namibia. </w:t>
      </w:r>
      <w:r w:rsidRPr="00363AA9">
        <w:rPr>
          <w:rFonts w:ascii="Times New Roman" w:hAnsi="Times New Roman" w:cs="Times New Roman"/>
          <w:i/>
          <w:color w:val="000000" w:themeColor="text1"/>
          <w:sz w:val="24"/>
          <w:szCs w:val="24"/>
        </w:rPr>
        <w:t>Geological Magazine</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127,</w:t>
      </w:r>
      <w:r w:rsidRPr="00363AA9">
        <w:rPr>
          <w:rFonts w:ascii="Times New Roman" w:hAnsi="Times New Roman" w:cs="Times New Roman"/>
          <w:color w:val="000000" w:themeColor="text1"/>
          <w:sz w:val="24"/>
          <w:szCs w:val="24"/>
        </w:rPr>
        <w:t xml:space="preserve"> 427-433.</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Reid DL</w:t>
      </w:r>
      <w:r w:rsidRPr="00363AA9">
        <w:rPr>
          <w:rFonts w:ascii="Times New Roman" w:hAnsi="Times New Roman" w:cs="Times New Roman"/>
          <w:color w:val="000000" w:themeColor="text1"/>
          <w:sz w:val="24"/>
          <w:szCs w:val="24"/>
        </w:rPr>
        <w:t xml:space="preserve"> (1991) Alkaline rocks in the Kuboos-Bremen igneous province, southern Namibia: The Kanabeam multiple ring complex. </w:t>
      </w:r>
      <w:r w:rsidRPr="00363AA9">
        <w:rPr>
          <w:rFonts w:ascii="Times New Roman" w:hAnsi="Times New Roman" w:cs="Times New Roman"/>
          <w:i/>
          <w:color w:val="000000" w:themeColor="text1"/>
          <w:sz w:val="24"/>
          <w:szCs w:val="24"/>
        </w:rPr>
        <w:t>Communications of the Geological Survey of Namibia</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7,</w:t>
      </w:r>
      <w:r w:rsidRPr="00363AA9">
        <w:rPr>
          <w:rFonts w:ascii="Times New Roman" w:hAnsi="Times New Roman" w:cs="Times New Roman"/>
          <w:color w:val="000000" w:themeColor="text1"/>
          <w:sz w:val="24"/>
          <w:szCs w:val="24"/>
        </w:rPr>
        <w:t xml:space="preserve"> 3-13.</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Smith MP, Moore K, Kavecsánszki D, Finch AA, Kynicky J, and Wall F</w:t>
      </w:r>
      <w:r w:rsidRPr="00363AA9">
        <w:rPr>
          <w:rFonts w:ascii="Times New Roman" w:hAnsi="Times New Roman" w:cs="Times New Roman"/>
          <w:color w:val="000000" w:themeColor="text1"/>
          <w:sz w:val="24"/>
          <w:szCs w:val="24"/>
        </w:rPr>
        <w:t xml:space="preserve"> (2016) </w:t>
      </w:r>
      <w:hyperlink r:id="rId7" w:history="1">
        <w:r w:rsidRPr="00363AA9">
          <w:rPr>
            <w:rFonts w:ascii="Times New Roman" w:hAnsi="Times New Roman" w:cs="Times New Roman"/>
            <w:color w:val="000000" w:themeColor="text1"/>
            <w:sz w:val="24"/>
            <w:szCs w:val="24"/>
          </w:rPr>
          <w:t>From mantle to critical zone: A review of large and giant sized deposits of the rare earth elements</w:t>
        </w:r>
      </w:hyperlink>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i/>
          <w:color w:val="000000" w:themeColor="text1"/>
          <w:sz w:val="24"/>
          <w:szCs w:val="24"/>
        </w:rPr>
        <w:t>Geoscience Frontiers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7,</w:t>
      </w:r>
      <w:r w:rsidRPr="00363AA9">
        <w:rPr>
          <w:rFonts w:ascii="Times New Roman" w:hAnsi="Times New Roman" w:cs="Times New Roman"/>
          <w:color w:val="000000" w:themeColor="text1"/>
          <w:sz w:val="24"/>
          <w:szCs w:val="24"/>
        </w:rPr>
        <w:t xml:space="preserve"> 315-334.</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bookmarkStart w:id="25" w:name="_Hlk22721928"/>
      <w:r w:rsidRPr="00363AA9">
        <w:rPr>
          <w:rFonts w:ascii="Times New Roman" w:hAnsi="Times New Roman" w:cs="Times New Roman"/>
          <w:b/>
          <w:color w:val="000000" w:themeColor="text1"/>
          <w:sz w:val="24"/>
          <w:szCs w:val="24"/>
        </w:rPr>
        <w:t>Smithies RH and Marsh JS</w:t>
      </w:r>
      <w:r w:rsidRPr="00363AA9">
        <w:rPr>
          <w:rFonts w:ascii="Times New Roman" w:hAnsi="Times New Roman" w:cs="Times New Roman"/>
          <w:color w:val="000000" w:themeColor="text1"/>
          <w:sz w:val="24"/>
          <w:szCs w:val="24"/>
        </w:rPr>
        <w:t xml:space="preserve"> (1996</w:t>
      </w:r>
      <w:bookmarkEnd w:id="25"/>
      <w:r w:rsidRPr="00363AA9">
        <w:rPr>
          <w:rFonts w:ascii="Times New Roman" w:hAnsi="Times New Roman" w:cs="Times New Roman"/>
          <w:color w:val="000000" w:themeColor="text1"/>
          <w:sz w:val="24"/>
          <w:szCs w:val="24"/>
        </w:rPr>
        <w:t xml:space="preserve">) Alkaline rocks in the Kuboos-Bremen Igneous Province, southern Namibia: the Grootpenseiland and Marinkas Kwela Complexes. </w:t>
      </w:r>
      <w:r w:rsidRPr="00363AA9">
        <w:rPr>
          <w:rFonts w:ascii="Times New Roman" w:hAnsi="Times New Roman" w:cs="Times New Roman"/>
          <w:i/>
          <w:color w:val="000000" w:themeColor="text1"/>
          <w:sz w:val="24"/>
          <w:szCs w:val="24"/>
        </w:rPr>
        <w:t>Communications of the Geological Survey of Namibia</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11,</w:t>
      </w:r>
      <w:r w:rsidRPr="00363AA9">
        <w:rPr>
          <w:rFonts w:ascii="Times New Roman" w:hAnsi="Times New Roman" w:cs="Times New Roman"/>
          <w:color w:val="000000" w:themeColor="text1"/>
          <w:sz w:val="24"/>
          <w:szCs w:val="24"/>
        </w:rPr>
        <w:t xml:space="preserve"> 13-21.</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Tappe S, Romer RL, Stracke A, Steenfelt A, Smart KA, Muehlenbachs K, and Torsvik TH </w:t>
      </w:r>
      <w:r w:rsidRPr="00363AA9">
        <w:rPr>
          <w:rFonts w:ascii="Times New Roman" w:hAnsi="Times New Roman" w:cs="Times New Roman"/>
          <w:color w:val="000000" w:themeColor="text1"/>
          <w:sz w:val="24"/>
          <w:szCs w:val="24"/>
        </w:rPr>
        <w:t>(2017)</w:t>
      </w:r>
      <w:r w:rsidRPr="00363AA9">
        <w:rPr>
          <w:rFonts w:ascii="Times New Roman" w:hAnsi="Times New Roman" w:cs="Times New Roman"/>
          <w:b/>
          <w:color w:val="000000" w:themeColor="text1"/>
          <w:sz w:val="24"/>
          <w:szCs w:val="24"/>
        </w:rPr>
        <w:t xml:space="preserve"> </w:t>
      </w:r>
      <w:r w:rsidRPr="00363AA9">
        <w:rPr>
          <w:rFonts w:ascii="Times New Roman" w:hAnsi="Times New Roman" w:cs="Times New Roman"/>
          <w:color w:val="000000" w:themeColor="text1"/>
          <w:sz w:val="24"/>
          <w:szCs w:val="24"/>
        </w:rPr>
        <w:t xml:space="preserve">Sources and mobility of carbonate melts beneath cratons, with implications for </w:t>
      </w:r>
      <w:r w:rsidRPr="00363AA9">
        <w:rPr>
          <w:rFonts w:ascii="Times New Roman" w:hAnsi="Times New Roman" w:cs="Times New Roman"/>
          <w:color w:val="000000" w:themeColor="text1"/>
          <w:sz w:val="24"/>
          <w:szCs w:val="24"/>
        </w:rPr>
        <w:lastRenderedPageBreak/>
        <w:t xml:space="preserve">deep carbon recycling, metasomatism and rift initiation. </w:t>
      </w:r>
      <w:r w:rsidRPr="00363AA9">
        <w:rPr>
          <w:rFonts w:ascii="Times New Roman" w:hAnsi="Times New Roman" w:cs="Times New Roman"/>
          <w:i/>
          <w:color w:val="000000" w:themeColor="text1"/>
          <w:sz w:val="24"/>
          <w:szCs w:val="24"/>
        </w:rPr>
        <w:t>Earth and Planetary Science Letters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466,</w:t>
      </w:r>
      <w:r w:rsidRPr="00363AA9">
        <w:rPr>
          <w:rFonts w:ascii="Times New Roman" w:hAnsi="Times New Roman" w:cs="Times New Roman"/>
          <w:color w:val="000000" w:themeColor="text1"/>
          <w:sz w:val="24"/>
          <w:szCs w:val="24"/>
        </w:rPr>
        <w:t xml:space="preserve"> 152-167.</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Trofanenko J, Williams-Jones AE, Simandl GJ and Migdisov AA</w:t>
      </w:r>
      <w:r w:rsidRPr="00363AA9">
        <w:rPr>
          <w:rFonts w:ascii="Times New Roman" w:hAnsi="Times New Roman" w:cs="Times New Roman"/>
          <w:color w:val="000000" w:themeColor="text1"/>
          <w:sz w:val="24"/>
          <w:szCs w:val="24"/>
        </w:rPr>
        <w:t xml:space="preserve"> (2016) The nature and origin of the REE mineralization in the Wicheeda carbonatite, British Columbia, Canada. </w:t>
      </w:r>
      <w:r w:rsidRPr="00363AA9">
        <w:rPr>
          <w:rFonts w:ascii="Times New Roman" w:hAnsi="Times New Roman" w:cs="Times New Roman"/>
          <w:i/>
          <w:color w:val="000000" w:themeColor="text1"/>
          <w:sz w:val="24"/>
          <w:szCs w:val="24"/>
        </w:rPr>
        <w:t>Economic Geology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111,</w:t>
      </w:r>
      <w:r w:rsidRPr="00363AA9">
        <w:rPr>
          <w:rFonts w:ascii="Times New Roman" w:hAnsi="Times New Roman" w:cs="Times New Roman"/>
          <w:color w:val="000000" w:themeColor="text1"/>
          <w:sz w:val="24"/>
          <w:szCs w:val="24"/>
        </w:rPr>
        <w:t xml:space="preserve"> 199-223.</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Verwoerd WJ</w:t>
      </w:r>
      <w:r w:rsidRPr="00363AA9">
        <w:rPr>
          <w:rFonts w:ascii="Times New Roman" w:hAnsi="Times New Roman" w:cs="Times New Roman"/>
          <w:color w:val="000000" w:themeColor="text1"/>
          <w:sz w:val="24"/>
          <w:szCs w:val="24"/>
        </w:rPr>
        <w:t xml:space="preserve"> (1993) Update on carbonatites of South Africa and Namibia. </w:t>
      </w:r>
      <w:r w:rsidRPr="00363AA9">
        <w:rPr>
          <w:rFonts w:ascii="Times New Roman" w:hAnsi="Times New Roman" w:cs="Times New Roman"/>
          <w:i/>
          <w:color w:val="000000" w:themeColor="text1"/>
          <w:sz w:val="24"/>
          <w:szCs w:val="24"/>
        </w:rPr>
        <w:t>South African Journal of Geology</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96,</w:t>
      </w:r>
      <w:r w:rsidRPr="00363AA9">
        <w:rPr>
          <w:rFonts w:ascii="Times New Roman" w:hAnsi="Times New Roman" w:cs="Times New Roman"/>
          <w:color w:val="000000" w:themeColor="text1"/>
          <w:sz w:val="24"/>
          <w:szCs w:val="24"/>
        </w:rPr>
        <w:t xml:space="preserve"> 75-95.</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Vigneresse JL, Tikoff B and Améglio L</w:t>
      </w:r>
      <w:r w:rsidRPr="00363AA9">
        <w:rPr>
          <w:rFonts w:ascii="Times New Roman" w:hAnsi="Times New Roman" w:cs="Times New Roman"/>
          <w:color w:val="000000" w:themeColor="text1"/>
          <w:sz w:val="24"/>
          <w:szCs w:val="24"/>
        </w:rPr>
        <w:t xml:space="preserve"> (1999) Modification of the regional stress field by magma intrusion and formation of tabular granitic plutons. </w:t>
      </w:r>
      <w:r w:rsidRPr="00363AA9">
        <w:rPr>
          <w:rFonts w:ascii="Times New Roman" w:hAnsi="Times New Roman" w:cs="Times New Roman"/>
          <w:i/>
          <w:color w:val="000000" w:themeColor="text1"/>
          <w:sz w:val="24"/>
          <w:szCs w:val="24"/>
        </w:rPr>
        <w:t>Tectonophysics</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302,</w:t>
      </w:r>
      <w:r w:rsidRPr="00363AA9">
        <w:rPr>
          <w:rFonts w:ascii="Times New Roman" w:hAnsi="Times New Roman" w:cs="Times New Roman"/>
          <w:color w:val="000000" w:themeColor="text1"/>
          <w:sz w:val="24"/>
          <w:szCs w:val="24"/>
        </w:rPr>
        <w:t xml:space="preserve"> 203-224.</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Woolley AR</w:t>
      </w:r>
      <w:r w:rsidRPr="00363AA9">
        <w:rPr>
          <w:rFonts w:ascii="Times New Roman" w:hAnsi="Times New Roman" w:cs="Times New Roman"/>
          <w:color w:val="000000" w:themeColor="text1"/>
          <w:sz w:val="24"/>
          <w:szCs w:val="24"/>
        </w:rPr>
        <w:t xml:space="preserve"> (2001) Alkaline Rocks and Carbonatites of the world. Part 3: Africa, Namibia. </w:t>
      </w:r>
      <w:r w:rsidRPr="00363AA9">
        <w:rPr>
          <w:rFonts w:ascii="Times New Roman" w:hAnsi="Times New Roman" w:cs="Times New Roman"/>
          <w:i/>
          <w:color w:val="000000" w:themeColor="text1"/>
          <w:sz w:val="24"/>
          <w:szCs w:val="24"/>
        </w:rPr>
        <w:t>The Geological Society Publishing House, Bath, UK</w:t>
      </w:r>
      <w:r w:rsidRPr="00363AA9">
        <w:rPr>
          <w:rFonts w:ascii="Times New Roman" w:hAnsi="Times New Roman" w:cs="Times New Roman"/>
          <w:color w:val="000000" w:themeColor="text1"/>
          <w:sz w:val="24"/>
          <w:szCs w:val="24"/>
        </w:rPr>
        <w:t xml:space="preserve"> 202-222.</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Woolley AR and Kempe DRC</w:t>
      </w:r>
      <w:r w:rsidRPr="00363AA9">
        <w:rPr>
          <w:rFonts w:ascii="Times New Roman" w:hAnsi="Times New Roman" w:cs="Times New Roman"/>
          <w:color w:val="000000" w:themeColor="text1"/>
          <w:sz w:val="24"/>
          <w:szCs w:val="24"/>
        </w:rPr>
        <w:t xml:space="preserve"> (1989) Carbonatites: nomenclature, average chemical compositions, and element distribution. In </w:t>
      </w:r>
      <w:r w:rsidRPr="00363AA9">
        <w:rPr>
          <w:rFonts w:ascii="Times New Roman" w:hAnsi="Times New Roman" w:cs="Times New Roman"/>
          <w:i/>
          <w:color w:val="000000" w:themeColor="text1"/>
          <w:sz w:val="24"/>
          <w:szCs w:val="24"/>
        </w:rPr>
        <w:t>Carbonatites, Genesis and Evolution</w:t>
      </w:r>
      <w:r w:rsidRPr="00363AA9">
        <w:rPr>
          <w:rFonts w:ascii="Times New Roman" w:hAnsi="Times New Roman" w:cs="Times New Roman"/>
          <w:color w:val="000000" w:themeColor="text1"/>
          <w:sz w:val="24"/>
          <w:szCs w:val="24"/>
        </w:rPr>
        <w:t xml:space="preserve"> (ed. K Bell, K)</w:t>
      </w:r>
      <w:r w:rsidRPr="00363AA9">
        <w:rPr>
          <w:rFonts w:ascii="Times New Roman" w:hAnsi="Times New Roman" w:cs="Times New Roman"/>
          <w:i/>
          <w:color w:val="000000" w:themeColor="text1"/>
          <w:sz w:val="24"/>
          <w:szCs w:val="24"/>
        </w:rPr>
        <w:t>,</w:t>
      </w:r>
      <w:r w:rsidRPr="00363AA9">
        <w:rPr>
          <w:rFonts w:ascii="Times New Roman" w:hAnsi="Times New Roman" w:cs="Times New Roman"/>
          <w:color w:val="000000" w:themeColor="text1"/>
          <w:sz w:val="24"/>
          <w:szCs w:val="24"/>
        </w:rPr>
        <w:t xml:space="preserve"> pp. 1-14. London, Unwin Hyman.</w:t>
      </w:r>
    </w:p>
    <w:p w:rsidR="00F943A5" w:rsidRPr="00363AA9" w:rsidRDefault="00F943A5" w:rsidP="00F943A5">
      <w:pPr>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Woolley AR and Kjarsgaard BA</w:t>
      </w:r>
      <w:r w:rsidRPr="00363AA9">
        <w:rPr>
          <w:rFonts w:ascii="Times New Roman" w:hAnsi="Times New Roman" w:cs="Times New Roman"/>
          <w:color w:val="000000" w:themeColor="text1"/>
          <w:sz w:val="24"/>
          <w:szCs w:val="24"/>
        </w:rPr>
        <w:t xml:space="preserve"> (2008) Carbonatite occurrences of the world: map and database. </w:t>
      </w:r>
      <w:r w:rsidRPr="00363AA9">
        <w:rPr>
          <w:rFonts w:ascii="Times New Roman" w:hAnsi="Times New Roman" w:cs="Times New Roman"/>
          <w:i/>
          <w:color w:val="000000" w:themeColor="text1"/>
          <w:sz w:val="24"/>
          <w:szCs w:val="24"/>
        </w:rPr>
        <w:t>Geological Survey of Canada Open File</w:t>
      </w: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b/>
          <w:color w:val="000000" w:themeColor="text1"/>
          <w:sz w:val="24"/>
          <w:szCs w:val="24"/>
        </w:rPr>
        <w:t>5796,</w:t>
      </w:r>
      <w:r w:rsidRPr="00363AA9">
        <w:rPr>
          <w:rFonts w:ascii="Times New Roman" w:hAnsi="Times New Roman" w:cs="Times New Roman"/>
          <w:color w:val="000000" w:themeColor="text1"/>
          <w:sz w:val="24"/>
          <w:szCs w:val="24"/>
        </w:rPr>
        <w:t xml:space="preserve"> 28 pp.</w:t>
      </w:r>
    </w:p>
    <w:p w:rsidR="00F943A5" w:rsidRPr="00363AA9" w:rsidRDefault="00F943A5" w:rsidP="00F943A5">
      <w:pPr>
        <w:widowControl w:val="0"/>
        <w:autoSpaceDE w:val="0"/>
        <w:autoSpaceDN w:val="0"/>
        <w:adjustRightInd w:val="0"/>
        <w:ind w:left="284" w:hanging="284"/>
        <w:jc w:val="both"/>
        <w:rPr>
          <w:rFonts w:ascii="Times New Roman" w:hAnsi="Times New Roman" w:cs="Times New Roman"/>
          <w:color w:val="000000" w:themeColor="text1"/>
          <w:sz w:val="24"/>
          <w:szCs w:val="24"/>
        </w:rPr>
      </w:pPr>
      <w:r w:rsidRPr="00363AA9">
        <w:rPr>
          <w:rFonts w:ascii="Times New Roman" w:hAnsi="Times New Roman" w:cs="Times New Roman"/>
          <w:b/>
          <w:bCs/>
          <w:color w:val="000000" w:themeColor="text1"/>
          <w:sz w:val="24"/>
          <w:szCs w:val="24"/>
        </w:rPr>
        <w:t>Zindler A, Jagoutz E and Goldstein S</w:t>
      </w:r>
      <w:r w:rsidRPr="00363AA9">
        <w:rPr>
          <w:rFonts w:ascii="Times New Roman" w:hAnsi="Times New Roman" w:cs="Times New Roman"/>
          <w:bCs/>
          <w:color w:val="000000" w:themeColor="text1"/>
          <w:sz w:val="24"/>
          <w:szCs w:val="24"/>
        </w:rPr>
        <w:t xml:space="preserve"> (1982) Nd, Sr and Pb isotopic systematics in a three-component mantle: a new perspective. </w:t>
      </w:r>
      <w:r w:rsidRPr="00363AA9">
        <w:rPr>
          <w:rFonts w:ascii="Times New Roman" w:hAnsi="Times New Roman" w:cs="Times New Roman"/>
          <w:bCs/>
          <w:i/>
          <w:color w:val="000000" w:themeColor="text1"/>
          <w:sz w:val="24"/>
          <w:szCs w:val="24"/>
        </w:rPr>
        <w:t>Nature</w:t>
      </w:r>
      <w:r w:rsidRPr="00363AA9">
        <w:rPr>
          <w:rFonts w:ascii="Times New Roman" w:hAnsi="Times New Roman" w:cs="Times New Roman"/>
          <w:bCs/>
          <w:color w:val="000000" w:themeColor="text1"/>
          <w:sz w:val="24"/>
          <w:szCs w:val="24"/>
        </w:rPr>
        <w:t xml:space="preserve"> </w:t>
      </w:r>
      <w:r w:rsidRPr="00363AA9">
        <w:rPr>
          <w:rFonts w:ascii="Times New Roman" w:hAnsi="Times New Roman" w:cs="Times New Roman"/>
          <w:b/>
          <w:bCs/>
          <w:color w:val="000000" w:themeColor="text1"/>
          <w:sz w:val="24"/>
          <w:szCs w:val="24"/>
        </w:rPr>
        <w:t>298,</w:t>
      </w:r>
      <w:r w:rsidRPr="00363AA9">
        <w:rPr>
          <w:rFonts w:ascii="Times New Roman" w:hAnsi="Times New Roman" w:cs="Times New Roman"/>
          <w:bCs/>
          <w:color w:val="000000" w:themeColor="text1"/>
          <w:sz w:val="24"/>
          <w:szCs w:val="24"/>
        </w:rPr>
        <w:t xml:space="preserve"> 519-523.</w:t>
      </w:r>
    </w:p>
    <w:p w:rsidR="00F943A5" w:rsidRPr="00363AA9" w:rsidRDefault="00F943A5" w:rsidP="00F943A5">
      <w:pPr>
        <w:autoSpaceDE w:val="0"/>
        <w:autoSpaceDN w:val="0"/>
        <w:adjustRightInd w:val="0"/>
        <w:rPr>
          <w:rFonts w:ascii="Times New Roman" w:hAnsi="Times New Roman" w:cs="Times New Roman"/>
          <w:i/>
          <w:iCs/>
          <w:color w:val="000000" w:themeColor="text1"/>
          <w:sz w:val="24"/>
          <w:szCs w:val="24"/>
        </w:rPr>
      </w:pPr>
    </w:p>
    <w:p w:rsidR="00F943A5" w:rsidRPr="00363AA9" w:rsidRDefault="00F943A5" w:rsidP="00F943A5">
      <w:pPr>
        <w:rPr>
          <w:rFonts w:ascii="Times New Roman" w:hAnsi="Times New Roman"/>
          <w:b/>
          <w:color w:val="000000" w:themeColor="text1"/>
          <w:sz w:val="24"/>
          <w:szCs w:val="24"/>
        </w:rPr>
      </w:pPr>
      <w:r w:rsidRPr="00363AA9">
        <w:rPr>
          <w:rFonts w:ascii="Times New Roman" w:hAnsi="Times New Roman"/>
          <w:b/>
          <w:color w:val="000000" w:themeColor="text1"/>
          <w:sz w:val="24"/>
          <w:szCs w:val="24"/>
        </w:rPr>
        <w:t>Figure Captions</w:t>
      </w:r>
    </w:p>
    <w:p w:rsidR="00F943A5" w:rsidRPr="00363AA9" w:rsidRDefault="00F943A5" w:rsidP="00F943A5">
      <w:pPr>
        <w:rPr>
          <w:rFonts w:ascii="Times New Roman" w:hAnsi="Times New Roman"/>
          <w:color w:val="000000" w:themeColor="text1"/>
          <w:sz w:val="24"/>
          <w:szCs w:val="24"/>
        </w:rPr>
      </w:pPr>
      <w:r w:rsidRPr="00363AA9">
        <w:rPr>
          <w:rFonts w:ascii="Times New Roman" w:hAnsi="Times New Roman"/>
          <w:b/>
          <w:color w:val="000000" w:themeColor="text1"/>
          <w:sz w:val="24"/>
          <w:szCs w:val="24"/>
        </w:rPr>
        <w:t>Fig. 1.</w:t>
      </w:r>
      <w:r w:rsidRPr="00363AA9">
        <w:rPr>
          <w:rFonts w:ascii="Times New Roman" w:hAnsi="Times New Roman"/>
          <w:color w:val="000000" w:themeColor="text1"/>
          <w:sz w:val="24"/>
          <w:szCs w:val="24"/>
        </w:rPr>
        <w:t xml:space="preserve"> Southern Namibia carbonatite localities.</w:t>
      </w:r>
    </w:p>
    <w:p w:rsidR="00F943A5" w:rsidRPr="00363AA9" w:rsidRDefault="00F943A5" w:rsidP="00F943A5">
      <w:pPr>
        <w:jc w:val="both"/>
        <w:rPr>
          <w:rFonts w:ascii="Times New Roman" w:hAnsi="Times New Roman" w:cs="Times New Roman"/>
          <w:color w:val="000000" w:themeColor="text1"/>
          <w:sz w:val="24"/>
          <w:szCs w:val="24"/>
        </w:rPr>
      </w:pPr>
      <w:r w:rsidRPr="00363AA9">
        <w:rPr>
          <w:rFonts w:ascii="Times New Roman" w:hAnsi="Times New Roman"/>
          <w:b/>
          <w:color w:val="000000" w:themeColor="text1"/>
          <w:sz w:val="24"/>
          <w:szCs w:val="24"/>
        </w:rPr>
        <w:t>Fig. 2.</w:t>
      </w:r>
      <w:r w:rsidRPr="00363AA9">
        <w:rPr>
          <w:rFonts w:ascii="Times New Roman" w:hAnsi="Times New Roman"/>
          <w:color w:val="000000" w:themeColor="text1"/>
          <w:sz w:val="24"/>
          <w:szCs w:val="24"/>
        </w:rPr>
        <w:t xml:space="preserve"> (Colour online) </w:t>
      </w:r>
      <w:r w:rsidRPr="00363AA9">
        <w:rPr>
          <w:rFonts w:ascii="Times New Roman" w:hAnsi="Times New Roman" w:cs="Times New Roman"/>
          <w:color w:val="000000" w:themeColor="text1"/>
          <w:sz w:val="24"/>
          <w:szCs w:val="24"/>
        </w:rPr>
        <w:t xml:space="preserve">Twyfelskupje carbonatite complex (TCC).  </w:t>
      </w:r>
    </w:p>
    <w:p w:rsidR="00F943A5" w:rsidRPr="00363AA9" w:rsidRDefault="00F943A5" w:rsidP="00F943A5">
      <w:pPr>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(A) The direction of view is approximately south-southeast.  The outcrops extend to ~120 m above the desert plain. </w:t>
      </w:r>
    </w:p>
    <w:p w:rsidR="00F943A5" w:rsidRPr="00363AA9" w:rsidRDefault="00F943A5" w:rsidP="00F943A5">
      <w:pPr>
        <w:jc w:val="both"/>
        <w:rPr>
          <w:rFonts w:ascii="Times New Roman" w:hAnsi="Times New Roman"/>
          <w:color w:val="000000" w:themeColor="text1"/>
          <w:sz w:val="24"/>
          <w:szCs w:val="24"/>
        </w:rPr>
      </w:pPr>
      <w:r w:rsidRPr="00363AA9">
        <w:rPr>
          <w:rFonts w:ascii="Times New Roman" w:hAnsi="Times New Roman" w:cs="Times New Roman"/>
          <w:color w:val="000000" w:themeColor="text1"/>
          <w:sz w:val="24"/>
          <w:szCs w:val="24"/>
        </w:rPr>
        <w:t>(B) Aerial view of TCC (scale bar is 500 m).</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lastRenderedPageBreak/>
        <w:t xml:space="preserve">Fig. 3. </w:t>
      </w:r>
      <w:r w:rsidRPr="00363AA9">
        <w:rPr>
          <w:rFonts w:ascii="Times New Roman" w:hAnsi="Times New Roman" w:cs="Times New Roman"/>
          <w:color w:val="000000" w:themeColor="text1"/>
          <w:sz w:val="24"/>
          <w:szCs w:val="24"/>
        </w:rPr>
        <w:t>Simplified geologic map of Twyfelskupje carbonatite complex.</w:t>
      </w:r>
    </w:p>
    <w:p w:rsidR="00F943A5" w:rsidRPr="00363AA9" w:rsidRDefault="00F943A5" w:rsidP="00F943A5">
      <w:pPr>
        <w:pStyle w:val="Default"/>
        <w:spacing w:line="480" w:lineRule="auto"/>
        <w:jc w:val="both"/>
        <w:rPr>
          <w:color w:val="000000" w:themeColor="text1"/>
        </w:rPr>
      </w:pPr>
      <w:r w:rsidRPr="00363AA9">
        <w:rPr>
          <w:b/>
          <w:color w:val="000000" w:themeColor="text1"/>
        </w:rPr>
        <w:t>Fig. 4.</w:t>
      </w:r>
      <w:r w:rsidRPr="00363AA9">
        <w:rPr>
          <w:color w:val="000000" w:themeColor="text1"/>
        </w:rPr>
        <w:t xml:space="preserve"> (Colour online) Field photographs of the TCC (see text for details). </w:t>
      </w:r>
    </w:p>
    <w:p w:rsidR="00F943A5" w:rsidRPr="00363AA9" w:rsidRDefault="00F943A5" w:rsidP="00F943A5">
      <w:pPr>
        <w:pStyle w:val="Default"/>
        <w:spacing w:line="480" w:lineRule="auto"/>
        <w:jc w:val="both"/>
        <w:rPr>
          <w:color w:val="000000" w:themeColor="text1"/>
        </w:rPr>
      </w:pPr>
      <w:r w:rsidRPr="00363AA9">
        <w:rPr>
          <w:color w:val="000000" w:themeColor="text1"/>
        </w:rPr>
        <w:t xml:space="preserve">(A) Basement contact at the base of the TK6 cone sheet, showing apophyses of carbonatite extending into basement.  </w:t>
      </w:r>
    </w:p>
    <w:p w:rsidR="00F943A5" w:rsidRPr="00363AA9" w:rsidRDefault="00F943A5" w:rsidP="00F943A5">
      <w:pPr>
        <w:pStyle w:val="Default"/>
        <w:spacing w:line="480" w:lineRule="auto"/>
        <w:jc w:val="both"/>
        <w:rPr>
          <w:color w:val="000000" w:themeColor="text1"/>
        </w:rPr>
      </w:pPr>
      <w:r w:rsidRPr="00363AA9">
        <w:rPr>
          <w:color w:val="000000" w:themeColor="text1"/>
        </w:rPr>
        <w:t xml:space="preserve">(B) Block of layered fluorcarbonate mineralization in carbonatite matrix in TK1A.  </w:t>
      </w:r>
    </w:p>
    <w:p w:rsidR="00F943A5" w:rsidRPr="00363AA9" w:rsidRDefault="00F943A5" w:rsidP="00F943A5">
      <w:pPr>
        <w:pStyle w:val="Default"/>
        <w:spacing w:line="480" w:lineRule="auto"/>
        <w:jc w:val="both"/>
        <w:rPr>
          <w:color w:val="000000" w:themeColor="text1"/>
        </w:rPr>
      </w:pPr>
      <w:r w:rsidRPr="00363AA9">
        <w:rPr>
          <w:color w:val="000000" w:themeColor="text1"/>
        </w:rPr>
        <w:t>(C) Intensely folded fluorcarbonate layers in TK1B.  (D) Brittle and ductile deformation in fluorcarbonate layers in TK1A.  (E) Euhedral fluorcarbonate grains (3-4 mm) and fine-grained magnetite in carbonatite matrix in TK1A. Horizontal field of view ~2 cm.  (F) Fine scale banding in TK5 parallel to basement contact.</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Fig. 5.</w:t>
      </w:r>
      <w:r w:rsidRPr="00363AA9">
        <w:rPr>
          <w:rFonts w:ascii="Times New Roman" w:hAnsi="Times New Roman" w:cs="Times New Roman"/>
          <w:color w:val="000000" w:themeColor="text1"/>
          <w:sz w:val="24"/>
          <w:szCs w:val="24"/>
        </w:rPr>
        <w:t xml:space="preserve"> Back-scattered electron images of TCC samples. </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(A) fibro-radial aggregates of fluorcarbonate (from TK1). </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(B) radiating rhythmic alternations of barite with calcite and Fe-Mn-oxide (from TK3). </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(C) bladed aggregates of apatite intergrown with carbonate and Fe- and Fe-Mn-oxides (from TK2). </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(D) monazite overgrowing and including apatite and carbonate (from TK2). </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(E) Colloform banded, concentric assemblages of fluorite and Mn-oxide (from TK3). </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(F) Celestine overgrowing barite and fluorcarbonate (from TK1). </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Fig. 6.</w:t>
      </w:r>
      <w:r w:rsidRPr="00363AA9">
        <w:rPr>
          <w:rFonts w:ascii="Times New Roman" w:hAnsi="Times New Roman" w:cs="Times New Roman"/>
          <w:color w:val="000000" w:themeColor="text1"/>
          <w:sz w:val="24"/>
          <w:szCs w:val="24"/>
        </w:rPr>
        <w:t xml:space="preserve">  Major element ternary plots for TCC. TK1 (circles), TK2 (squares), TK3 &amp; 5 (triangles), TK4 (+), TK6 &amp; 7 (X).  The hydrothermal alteration trends are those expected for fluids consisting predominantly of Fe, Mn and Si.</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(A) Carbonatite classification diagram (</w:t>
      </w:r>
      <w:r w:rsidRPr="00363AA9">
        <w:rPr>
          <w:rFonts w:ascii="Times New Roman" w:hAnsi="Times New Roman" w:cs="Times New Roman"/>
          <w:color w:val="000000" w:themeColor="text1"/>
          <w:sz w:val="24"/>
          <w:szCs w:val="24"/>
          <w:lang w:val="en-US"/>
        </w:rPr>
        <w:t>Woolley &amp; Kempe, 1989</w:t>
      </w:r>
      <w:r w:rsidRPr="00363AA9">
        <w:rPr>
          <w:rFonts w:ascii="Times New Roman" w:hAnsi="Times New Roman" w:cs="Times New Roman"/>
          <w:color w:val="000000" w:themeColor="text1"/>
          <w:sz w:val="24"/>
          <w:szCs w:val="24"/>
        </w:rPr>
        <w:t xml:space="preserve">).  </w:t>
      </w:r>
    </w:p>
    <w:p w:rsidR="00F943A5" w:rsidRPr="00363AA9" w:rsidRDefault="00F943A5" w:rsidP="00F943A5">
      <w:pP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(B) MgO-CaO-SiO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 xml:space="preserve"> plot.  </w:t>
      </w:r>
    </w:p>
    <w:p w:rsidR="00F943A5" w:rsidRPr="00363AA9" w:rsidRDefault="00F943A5" w:rsidP="00F943A5">
      <w:pPr>
        <w:pStyle w:val="Default"/>
        <w:spacing w:line="480" w:lineRule="auto"/>
        <w:rPr>
          <w:b/>
          <w:bCs/>
          <w:color w:val="000000" w:themeColor="text1"/>
        </w:rPr>
      </w:pPr>
      <w:r w:rsidRPr="00363AA9">
        <w:rPr>
          <w:b/>
          <w:bCs/>
          <w:color w:val="000000" w:themeColor="text1"/>
        </w:rPr>
        <w:t xml:space="preserve">Fig. 7.  </w:t>
      </w:r>
      <w:r w:rsidRPr="00363AA9">
        <w:rPr>
          <w:bCs/>
          <w:color w:val="000000" w:themeColor="text1"/>
        </w:rPr>
        <w:t>REE plots</w:t>
      </w:r>
    </w:p>
    <w:p w:rsidR="00F943A5" w:rsidRPr="00363AA9" w:rsidRDefault="00F943A5" w:rsidP="00F943A5">
      <w:pPr>
        <w:pStyle w:val="Default"/>
        <w:spacing w:line="480" w:lineRule="auto"/>
        <w:rPr>
          <w:color w:val="000000" w:themeColor="text1"/>
        </w:rPr>
      </w:pPr>
      <w:r w:rsidRPr="00363AA9">
        <w:rPr>
          <w:bCs/>
          <w:color w:val="000000" w:themeColor="text1"/>
        </w:rPr>
        <w:t>(A)</w:t>
      </w:r>
      <w:r w:rsidRPr="00363AA9">
        <w:rPr>
          <w:b/>
          <w:bCs/>
          <w:color w:val="000000" w:themeColor="text1"/>
        </w:rPr>
        <w:t xml:space="preserve"> </w:t>
      </w:r>
      <w:r w:rsidRPr="00363AA9">
        <w:rPr>
          <w:color w:val="000000" w:themeColor="text1"/>
        </w:rPr>
        <w:t xml:space="preserve">Average chondrite normalized REE patterns for TCC outcrops (symbols as in Fig. 6). </w:t>
      </w:r>
    </w:p>
    <w:p w:rsidR="00F943A5" w:rsidRPr="00363AA9" w:rsidRDefault="00F943A5" w:rsidP="00F943A5">
      <w:pPr>
        <w:pStyle w:val="Default"/>
        <w:spacing w:line="480" w:lineRule="auto"/>
        <w:rPr>
          <w:color w:val="000000" w:themeColor="text1"/>
        </w:rPr>
      </w:pPr>
      <w:r w:rsidRPr="00363AA9">
        <w:rPr>
          <w:color w:val="000000" w:themeColor="text1"/>
        </w:rPr>
        <w:lastRenderedPageBreak/>
        <w:t>(B) Selected carbonatites from elsewhere. TCC (circles), Bear Lodge (squares), Kalkfeld (crosses), Mountain Pass (diamonds), Wicheeda (triangles). Data from Moore et al. (2015), B</w:t>
      </w:r>
      <w:r w:rsidR="006A17AA" w:rsidRPr="00363AA9">
        <w:rPr>
          <w:color w:val="000000" w:themeColor="text1"/>
        </w:rPr>
        <w:t>ü</w:t>
      </w:r>
      <w:r w:rsidRPr="00363AA9">
        <w:rPr>
          <w:color w:val="000000" w:themeColor="text1"/>
        </w:rPr>
        <w:t xml:space="preserve">hn (2008), Haxel (2007), Trofanenko et al. (2016). </w:t>
      </w:r>
    </w:p>
    <w:p w:rsidR="00F943A5" w:rsidRPr="00363AA9" w:rsidRDefault="00F943A5" w:rsidP="00F943A5">
      <w:pPr>
        <w:pStyle w:val="Default"/>
        <w:spacing w:line="480" w:lineRule="auto"/>
        <w:rPr>
          <w:b/>
          <w:bCs/>
          <w:color w:val="000000" w:themeColor="text1"/>
        </w:rPr>
      </w:pPr>
      <w:r w:rsidRPr="00363AA9">
        <w:rPr>
          <w:color w:val="000000" w:themeColor="text1"/>
        </w:rPr>
        <w:t xml:space="preserve">(C) Comparison between REE patterns of REE enriched minerals determined by LA-ICP-MS (dashed line), REE enriched minerals determined by EDS (dotted line), carbonate minerals (dash-dot line) and average TCC whole rock (solid line). </w:t>
      </w:r>
    </w:p>
    <w:p w:rsidR="00F943A5" w:rsidRPr="00363AA9" w:rsidRDefault="00F943A5" w:rsidP="00F943A5">
      <w:pPr>
        <w:tabs>
          <w:tab w:val="left" w:pos="1300"/>
        </w:tabs>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 xml:space="preserve">Fig. 8. </w:t>
      </w:r>
      <w:r w:rsidRPr="00363AA9">
        <w:rPr>
          <w:rFonts w:ascii="Times New Roman" w:hAnsi="Times New Roman" w:cs="Times New Roman"/>
          <w:color w:val="000000" w:themeColor="text1"/>
          <w:sz w:val="24"/>
          <w:szCs w:val="24"/>
        </w:rPr>
        <w:t>Chondrite normalized La/Ce versus La/Nd ratios for samples from TCC and Bear Lodg</w:t>
      </w:r>
      <w:r w:rsidR="00CF1CC8" w:rsidRPr="00363AA9">
        <w:rPr>
          <w:rFonts w:ascii="Times New Roman" w:hAnsi="Times New Roman" w:cs="Times New Roman"/>
          <w:color w:val="000000" w:themeColor="text1"/>
          <w:sz w:val="24"/>
          <w:szCs w:val="24"/>
        </w:rPr>
        <w:t>e (Moore et al. 2015).  TCC pari</w:t>
      </w:r>
      <w:r w:rsidRPr="00363AA9">
        <w:rPr>
          <w:rFonts w:ascii="Times New Roman" w:hAnsi="Times New Roman" w:cs="Times New Roman"/>
          <w:color w:val="000000" w:themeColor="text1"/>
          <w:sz w:val="24"/>
          <w:szCs w:val="24"/>
        </w:rPr>
        <w:t>site (squares), synchysite (diamonds), monazite (triangles), whole rock carbonatite from difference centres</w:t>
      </w:r>
      <w:r w:rsidR="00CF1CC8" w:rsidRPr="00363AA9">
        <w:rPr>
          <w:rFonts w:ascii="Times New Roman" w:hAnsi="Times New Roman" w:cs="Times New Roman"/>
          <w:color w:val="000000" w:themeColor="text1"/>
          <w:sz w:val="24"/>
          <w:szCs w:val="24"/>
        </w:rPr>
        <w:t xml:space="preserve"> (open circles); Bear Lodge pari</w:t>
      </w:r>
      <w:r w:rsidRPr="00363AA9">
        <w:rPr>
          <w:rFonts w:ascii="Times New Roman" w:hAnsi="Times New Roman" w:cs="Times New Roman"/>
          <w:color w:val="000000" w:themeColor="text1"/>
          <w:sz w:val="24"/>
          <w:szCs w:val="24"/>
        </w:rPr>
        <w:t>site (crosses), synchysite (pluses), monazite (asterisks), whole rocks carbonatites (filled circles).</w:t>
      </w:r>
    </w:p>
    <w:p w:rsidR="00F943A5" w:rsidRPr="00363AA9" w:rsidRDefault="00F943A5" w:rsidP="00F943A5">
      <w:pPr>
        <w:tabs>
          <w:tab w:val="left" w:pos="1300"/>
        </w:tabs>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Fig. 9.</w:t>
      </w:r>
      <w:r w:rsidRPr="00363AA9">
        <w:rPr>
          <w:rFonts w:ascii="Times New Roman" w:hAnsi="Times New Roman" w:cs="Times New Roman"/>
          <w:color w:val="000000" w:themeColor="text1"/>
          <w:sz w:val="24"/>
          <w:szCs w:val="24"/>
        </w:rPr>
        <w:t xml:space="preserve"> Primitive-mantle normalized spider diagram for whole-rock carbonatites. </w:t>
      </w:r>
    </w:p>
    <w:p w:rsidR="00F943A5" w:rsidRPr="00363AA9" w:rsidRDefault="00F943A5" w:rsidP="00F943A5">
      <w:pPr>
        <w:pStyle w:val="ListParagraph"/>
        <w:numPr>
          <w:ilvl w:val="0"/>
          <w:numId w:val="5"/>
        </w:numPr>
        <w:tabs>
          <w:tab w:val="left" w:pos="1300"/>
        </w:tabs>
        <w:ind w:left="357" w:hanging="357"/>
        <w:rPr>
          <w:rFonts w:ascii="Times New Roman" w:hAnsi="Times New Roman" w:cs="Times New Roman"/>
          <w:b/>
          <w:color w:val="000000" w:themeColor="text1"/>
          <w:sz w:val="24"/>
          <w:szCs w:val="24"/>
        </w:rPr>
      </w:pPr>
      <w:r w:rsidRPr="00363AA9">
        <w:rPr>
          <w:rFonts w:ascii="Times New Roman" w:hAnsi="Times New Roman" w:cs="Times New Roman"/>
          <w:color w:val="000000" w:themeColor="text1"/>
          <w:sz w:val="24"/>
          <w:szCs w:val="24"/>
        </w:rPr>
        <w:t>TCC. Symbols Figure 7A.</w:t>
      </w:r>
    </w:p>
    <w:p w:rsidR="00F943A5" w:rsidRPr="00363AA9" w:rsidRDefault="00F943A5" w:rsidP="00F943A5">
      <w:pPr>
        <w:pStyle w:val="ListParagraph"/>
        <w:numPr>
          <w:ilvl w:val="0"/>
          <w:numId w:val="5"/>
        </w:numPr>
        <w:tabs>
          <w:tab w:val="left" w:pos="1300"/>
        </w:tabs>
        <w:ind w:left="357" w:hanging="357"/>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Selected REE-enriched carbonatites. Symbols and data sources as in Figure 7B.</w:t>
      </w:r>
    </w:p>
    <w:p w:rsidR="00F943A5" w:rsidRPr="00363AA9" w:rsidRDefault="00F943A5" w:rsidP="00F943A5">
      <w:pPr>
        <w:tabs>
          <w:tab w:val="left" w:pos="1300"/>
        </w:tabs>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Fig. 10.</w:t>
      </w:r>
      <w:r w:rsidRPr="00363AA9">
        <w:rPr>
          <w:rFonts w:ascii="Times New Roman" w:hAnsi="Times New Roman" w:cs="Times New Roman"/>
          <w:color w:val="000000" w:themeColor="text1"/>
          <w:sz w:val="24"/>
          <w:szCs w:val="24"/>
        </w:rPr>
        <w:t xml:space="preserve"> </w:t>
      </w:r>
      <w:r w:rsidR="00F23DB9" w:rsidRPr="00363AA9">
        <w:rPr>
          <w:rFonts w:ascii="Times New Roman" w:hAnsi="Times New Roman" w:cs="Times New Roman"/>
          <w:color w:val="000000" w:themeColor="text1"/>
          <w:sz w:val="24"/>
          <w:szCs w:val="24"/>
        </w:rPr>
        <w:t xml:space="preserve">Initial </w:t>
      </w:r>
      <w:r w:rsidRPr="00363AA9">
        <w:rPr>
          <w:rFonts w:ascii="Times New Roman" w:hAnsi="Times New Roman" w:cs="Times New Roman"/>
          <w:color w:val="000000" w:themeColor="text1"/>
          <w:sz w:val="24"/>
          <w:szCs w:val="24"/>
        </w:rPr>
        <w:t>Sr-Nd-Pb isotope systematics of TK (+, this study), Dicker Willem (X, Cooper &amp; Reid, 2000), East African carbonatites (open circles, Bell &amp; Tilton, 2001) and Walvis Ridge, South Atlantic closed circles (filled circles, Homrighausen et al., 2018).  In all cases, the analytical uncertainties of the data obtained for the TCC samples are smaller than the data symbols.</w:t>
      </w:r>
      <w:r w:rsidR="00F23DB9" w:rsidRPr="00363AA9">
        <w:rPr>
          <w:rFonts w:ascii="Times New Roman" w:hAnsi="Times New Roman" w:cs="Times New Roman"/>
          <w:color w:val="000000" w:themeColor="text1"/>
          <w:sz w:val="24"/>
          <w:szCs w:val="24"/>
        </w:rPr>
        <w:t xml:space="preserve">  The Namibian data are initial ratios based on the 49±1 Ma age for Dicker Willem (Reid </w:t>
      </w:r>
      <w:r w:rsidR="00F23DB9" w:rsidRPr="00363AA9">
        <w:rPr>
          <w:rFonts w:ascii="Times New Roman" w:hAnsi="Times New Roman" w:cs="Times New Roman"/>
          <w:i/>
          <w:color w:val="000000" w:themeColor="text1"/>
          <w:sz w:val="24"/>
          <w:szCs w:val="24"/>
        </w:rPr>
        <w:t>et al.</w:t>
      </w:r>
      <w:r w:rsidR="00F23DB9" w:rsidRPr="00363AA9">
        <w:rPr>
          <w:rFonts w:ascii="Times New Roman" w:hAnsi="Times New Roman" w:cs="Times New Roman"/>
          <w:color w:val="000000" w:themeColor="text1"/>
          <w:sz w:val="24"/>
          <w:szCs w:val="24"/>
        </w:rPr>
        <w:t xml:space="preserve"> 1990).</w:t>
      </w:r>
    </w:p>
    <w:p w:rsidR="00F943A5" w:rsidRPr="00363AA9" w:rsidRDefault="00F943A5" w:rsidP="00F943A5">
      <w:pPr>
        <w:pStyle w:val="ListParagraph"/>
        <w:numPr>
          <w:ilvl w:val="0"/>
          <w:numId w:val="6"/>
        </w:numPr>
        <w:tabs>
          <w:tab w:val="left" w:pos="1300"/>
        </w:tabs>
        <w:ind w:left="357" w:hanging="357"/>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color w:val="000000" w:themeColor="text1"/>
          <w:sz w:val="24"/>
          <w:szCs w:val="24"/>
          <w:vertAlign w:val="superscript"/>
        </w:rPr>
        <w:t>143</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144</w:t>
      </w:r>
      <w:r w:rsidRPr="00363AA9">
        <w:rPr>
          <w:rFonts w:ascii="Times New Roman" w:hAnsi="Times New Roman" w:cs="Times New Roman"/>
          <w:color w:val="000000" w:themeColor="text1"/>
          <w:sz w:val="24"/>
          <w:szCs w:val="24"/>
        </w:rPr>
        <w:t xml:space="preserve">Nd versus </w:t>
      </w:r>
      <w:r w:rsidRPr="00363AA9">
        <w:rPr>
          <w:rFonts w:ascii="Times New Roman" w:hAnsi="Times New Roman" w:cs="Times New Roman"/>
          <w:color w:val="000000" w:themeColor="text1"/>
          <w:sz w:val="24"/>
          <w:szCs w:val="24"/>
          <w:vertAlign w:val="superscript"/>
        </w:rPr>
        <w:t>87</w:t>
      </w:r>
      <w:r w:rsidRPr="00363AA9">
        <w:rPr>
          <w:rFonts w:ascii="Times New Roman" w:hAnsi="Times New Roman" w:cs="Times New Roman"/>
          <w:color w:val="000000" w:themeColor="text1"/>
          <w:sz w:val="24"/>
          <w:szCs w:val="24"/>
        </w:rPr>
        <w:t>Sr/</w:t>
      </w:r>
      <w:r w:rsidRPr="00363AA9">
        <w:rPr>
          <w:rFonts w:ascii="Times New Roman" w:hAnsi="Times New Roman" w:cs="Times New Roman"/>
          <w:color w:val="000000" w:themeColor="text1"/>
          <w:sz w:val="24"/>
          <w:szCs w:val="24"/>
          <w:vertAlign w:val="superscript"/>
        </w:rPr>
        <w:t>86</w:t>
      </w:r>
      <w:r w:rsidRPr="00363AA9">
        <w:rPr>
          <w:rFonts w:ascii="Times New Roman" w:hAnsi="Times New Roman" w:cs="Times New Roman"/>
          <w:color w:val="000000" w:themeColor="text1"/>
          <w:sz w:val="24"/>
          <w:szCs w:val="24"/>
        </w:rPr>
        <w:t>Sr</w:t>
      </w:r>
    </w:p>
    <w:p w:rsidR="00F943A5" w:rsidRPr="00363AA9" w:rsidRDefault="00F943A5" w:rsidP="00F943A5">
      <w:pPr>
        <w:pStyle w:val="ListParagraph"/>
        <w:numPr>
          <w:ilvl w:val="0"/>
          <w:numId w:val="6"/>
        </w:numPr>
        <w:tabs>
          <w:tab w:val="left" w:pos="1300"/>
        </w:tabs>
        <w:ind w:left="357" w:hanging="357"/>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vertAlign w:val="superscript"/>
        </w:rPr>
        <w:t xml:space="preserve"> 207</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 xml:space="preserve">Pb versus </w:t>
      </w:r>
      <w:r w:rsidRPr="00363AA9">
        <w:rPr>
          <w:rFonts w:ascii="Times New Roman" w:hAnsi="Times New Roman" w:cs="Times New Roman"/>
          <w:color w:val="000000" w:themeColor="text1"/>
          <w:sz w:val="24"/>
          <w:szCs w:val="24"/>
          <w:vertAlign w:val="superscript"/>
        </w:rPr>
        <w:t>206</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Pb</w:t>
      </w:r>
    </w:p>
    <w:p w:rsidR="00F943A5" w:rsidRPr="00363AA9" w:rsidRDefault="00F943A5" w:rsidP="00F943A5">
      <w:pPr>
        <w:pStyle w:val="ListParagraph"/>
        <w:numPr>
          <w:ilvl w:val="0"/>
          <w:numId w:val="6"/>
        </w:numPr>
        <w:tabs>
          <w:tab w:val="left" w:pos="1300"/>
        </w:tabs>
        <w:ind w:left="357" w:hanging="357"/>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vertAlign w:val="superscript"/>
        </w:rPr>
        <w:t xml:space="preserve"> 208</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 xml:space="preserve">Pb versus </w:t>
      </w:r>
      <w:r w:rsidRPr="00363AA9">
        <w:rPr>
          <w:rFonts w:ascii="Times New Roman" w:hAnsi="Times New Roman" w:cs="Times New Roman"/>
          <w:color w:val="000000" w:themeColor="text1"/>
          <w:sz w:val="24"/>
          <w:szCs w:val="24"/>
          <w:vertAlign w:val="superscript"/>
        </w:rPr>
        <w:t>206</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Pb</w:t>
      </w:r>
    </w:p>
    <w:p w:rsidR="00F943A5" w:rsidRPr="00363AA9" w:rsidRDefault="00F943A5" w:rsidP="00F943A5">
      <w:pPr>
        <w:pStyle w:val="ListParagraph"/>
        <w:numPr>
          <w:ilvl w:val="0"/>
          <w:numId w:val="6"/>
        </w:numPr>
        <w:tabs>
          <w:tab w:val="left" w:pos="1300"/>
        </w:tabs>
        <w:ind w:left="357" w:hanging="357"/>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vertAlign w:val="superscript"/>
        </w:rPr>
        <w:t xml:space="preserve"> 87</w:t>
      </w:r>
      <w:r w:rsidRPr="00363AA9">
        <w:rPr>
          <w:rFonts w:ascii="Times New Roman" w:hAnsi="Times New Roman" w:cs="Times New Roman"/>
          <w:color w:val="000000" w:themeColor="text1"/>
          <w:sz w:val="24"/>
          <w:szCs w:val="24"/>
        </w:rPr>
        <w:t>Sr/</w:t>
      </w:r>
      <w:r w:rsidRPr="00363AA9">
        <w:rPr>
          <w:rFonts w:ascii="Times New Roman" w:hAnsi="Times New Roman" w:cs="Times New Roman"/>
          <w:color w:val="000000" w:themeColor="text1"/>
          <w:sz w:val="24"/>
          <w:szCs w:val="24"/>
          <w:vertAlign w:val="superscript"/>
        </w:rPr>
        <w:t>86</w:t>
      </w:r>
      <w:r w:rsidRPr="00363AA9">
        <w:rPr>
          <w:rFonts w:ascii="Times New Roman" w:hAnsi="Times New Roman" w:cs="Times New Roman"/>
          <w:color w:val="000000" w:themeColor="text1"/>
          <w:sz w:val="24"/>
          <w:szCs w:val="24"/>
        </w:rPr>
        <w:t xml:space="preserve">Sr versus </w:t>
      </w:r>
      <w:r w:rsidRPr="00363AA9">
        <w:rPr>
          <w:rFonts w:ascii="Times New Roman" w:hAnsi="Times New Roman" w:cs="Times New Roman"/>
          <w:color w:val="000000" w:themeColor="text1"/>
          <w:sz w:val="24"/>
          <w:szCs w:val="24"/>
          <w:vertAlign w:val="superscript"/>
        </w:rPr>
        <w:t>206</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Pb</w:t>
      </w:r>
    </w:p>
    <w:p w:rsidR="00F943A5" w:rsidRPr="00363AA9" w:rsidRDefault="00F943A5" w:rsidP="00F943A5">
      <w:pPr>
        <w:pStyle w:val="ListParagraph"/>
        <w:numPr>
          <w:ilvl w:val="0"/>
          <w:numId w:val="6"/>
        </w:numPr>
        <w:tabs>
          <w:tab w:val="left" w:pos="1300"/>
        </w:tabs>
        <w:ind w:left="357" w:hanging="357"/>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 </w:t>
      </w:r>
      <w:r w:rsidRPr="00363AA9">
        <w:rPr>
          <w:rFonts w:ascii="Times New Roman" w:hAnsi="Times New Roman" w:cs="Times New Roman"/>
          <w:color w:val="000000" w:themeColor="text1"/>
          <w:sz w:val="24"/>
          <w:szCs w:val="24"/>
          <w:vertAlign w:val="superscript"/>
        </w:rPr>
        <w:t>143</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144</w:t>
      </w:r>
      <w:r w:rsidRPr="00363AA9">
        <w:rPr>
          <w:rFonts w:ascii="Times New Roman" w:hAnsi="Times New Roman" w:cs="Times New Roman"/>
          <w:color w:val="000000" w:themeColor="text1"/>
          <w:sz w:val="24"/>
          <w:szCs w:val="24"/>
        </w:rPr>
        <w:t xml:space="preserve">Nd versus </w:t>
      </w:r>
      <w:r w:rsidRPr="00363AA9">
        <w:rPr>
          <w:rFonts w:ascii="Times New Roman" w:hAnsi="Times New Roman" w:cs="Times New Roman"/>
          <w:color w:val="000000" w:themeColor="text1"/>
          <w:sz w:val="24"/>
          <w:szCs w:val="24"/>
          <w:vertAlign w:val="superscript"/>
        </w:rPr>
        <w:t>206</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Pb</w:t>
      </w:r>
    </w:p>
    <w:p w:rsidR="00F943A5" w:rsidRPr="00363AA9" w:rsidRDefault="00F943A5" w:rsidP="00F943A5">
      <w:pPr>
        <w:pStyle w:val="ListParagraph"/>
        <w:numPr>
          <w:ilvl w:val="0"/>
          <w:numId w:val="6"/>
        </w:numPr>
        <w:tabs>
          <w:tab w:val="left" w:pos="1300"/>
        </w:tabs>
        <w:ind w:left="357" w:hanging="357"/>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vertAlign w:val="superscript"/>
        </w:rPr>
        <w:t xml:space="preserve"> 87</w:t>
      </w:r>
      <w:r w:rsidRPr="00363AA9">
        <w:rPr>
          <w:rFonts w:ascii="Times New Roman" w:hAnsi="Times New Roman" w:cs="Times New Roman"/>
          <w:color w:val="000000" w:themeColor="text1"/>
          <w:sz w:val="24"/>
          <w:szCs w:val="24"/>
        </w:rPr>
        <w:t>Sr/</w:t>
      </w:r>
      <w:r w:rsidRPr="00363AA9">
        <w:rPr>
          <w:rFonts w:ascii="Times New Roman" w:hAnsi="Times New Roman" w:cs="Times New Roman"/>
          <w:color w:val="000000" w:themeColor="text1"/>
          <w:sz w:val="24"/>
          <w:szCs w:val="24"/>
          <w:vertAlign w:val="superscript"/>
        </w:rPr>
        <w:t>86</w:t>
      </w:r>
      <w:r w:rsidRPr="00363AA9">
        <w:rPr>
          <w:rFonts w:ascii="Times New Roman" w:hAnsi="Times New Roman" w:cs="Times New Roman"/>
          <w:color w:val="000000" w:themeColor="text1"/>
          <w:sz w:val="24"/>
          <w:szCs w:val="24"/>
        </w:rPr>
        <w:t xml:space="preserve">Sr versus </w:t>
      </w:r>
      <w:r w:rsidRPr="00363AA9">
        <w:rPr>
          <w:rFonts w:ascii="Times New Roman" w:hAnsi="Times New Roman" w:cs="Times New Roman"/>
          <w:color w:val="000000" w:themeColor="text1"/>
          <w:sz w:val="24"/>
          <w:szCs w:val="24"/>
          <w:vertAlign w:val="superscript"/>
        </w:rPr>
        <w:t>208</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Pb</w:t>
      </w:r>
    </w:p>
    <w:p w:rsidR="00F943A5" w:rsidRPr="00363AA9" w:rsidRDefault="00F943A5" w:rsidP="00F943A5">
      <w:pPr>
        <w:pStyle w:val="ListParagraph"/>
        <w:numPr>
          <w:ilvl w:val="0"/>
          <w:numId w:val="6"/>
        </w:numPr>
        <w:tabs>
          <w:tab w:val="left" w:pos="1300"/>
        </w:tabs>
        <w:ind w:left="357" w:hanging="357"/>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vertAlign w:val="superscript"/>
        </w:rPr>
        <w:lastRenderedPageBreak/>
        <w:t xml:space="preserve"> 143</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144</w:t>
      </w:r>
      <w:r w:rsidRPr="00363AA9">
        <w:rPr>
          <w:rFonts w:ascii="Times New Roman" w:hAnsi="Times New Roman" w:cs="Times New Roman"/>
          <w:color w:val="000000" w:themeColor="text1"/>
          <w:sz w:val="24"/>
          <w:szCs w:val="24"/>
        </w:rPr>
        <w:t xml:space="preserve">Nd versus </w:t>
      </w:r>
      <w:r w:rsidRPr="00363AA9">
        <w:rPr>
          <w:rFonts w:ascii="Times New Roman" w:hAnsi="Times New Roman" w:cs="Times New Roman"/>
          <w:color w:val="000000" w:themeColor="text1"/>
          <w:sz w:val="24"/>
          <w:szCs w:val="24"/>
          <w:vertAlign w:val="superscript"/>
        </w:rPr>
        <w:t>208</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Pb</w:t>
      </w:r>
    </w:p>
    <w:p w:rsidR="00F943A5" w:rsidRPr="00363AA9" w:rsidRDefault="00F943A5" w:rsidP="00F943A5">
      <w:pPr>
        <w:pStyle w:val="ListParagraph"/>
        <w:numPr>
          <w:ilvl w:val="0"/>
          <w:numId w:val="6"/>
        </w:numPr>
        <w:tabs>
          <w:tab w:val="left" w:pos="1300"/>
        </w:tabs>
        <w:ind w:left="357" w:hanging="357"/>
        <w:jc w:val="both"/>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 xml:space="preserve"> f(Nd,Pb) versus </w:t>
      </w:r>
      <w:r w:rsidRPr="00363AA9">
        <w:rPr>
          <w:rFonts w:ascii="Times New Roman" w:hAnsi="Times New Roman" w:cs="Times New Roman"/>
          <w:color w:val="000000" w:themeColor="text1"/>
          <w:sz w:val="24"/>
          <w:szCs w:val="24"/>
          <w:vertAlign w:val="superscript"/>
        </w:rPr>
        <w:t>87</w:t>
      </w:r>
      <w:r w:rsidRPr="00363AA9">
        <w:rPr>
          <w:rFonts w:ascii="Times New Roman" w:hAnsi="Times New Roman" w:cs="Times New Roman"/>
          <w:color w:val="000000" w:themeColor="text1"/>
          <w:sz w:val="24"/>
          <w:szCs w:val="24"/>
        </w:rPr>
        <w:t>Sr/</w:t>
      </w:r>
      <w:r w:rsidRPr="00363AA9">
        <w:rPr>
          <w:rFonts w:ascii="Times New Roman" w:hAnsi="Times New Roman" w:cs="Times New Roman"/>
          <w:color w:val="000000" w:themeColor="text1"/>
          <w:sz w:val="24"/>
          <w:szCs w:val="24"/>
          <w:vertAlign w:val="superscript"/>
        </w:rPr>
        <w:t>86</w:t>
      </w:r>
      <w:r w:rsidRPr="00363AA9">
        <w:rPr>
          <w:rFonts w:ascii="Times New Roman" w:hAnsi="Times New Roman" w:cs="Times New Roman"/>
          <w:color w:val="000000" w:themeColor="text1"/>
          <w:sz w:val="24"/>
          <w:szCs w:val="24"/>
        </w:rPr>
        <w:t>Sr, where f(Nd,Pb) = [(</w:t>
      </w:r>
      <w:r w:rsidRPr="00363AA9">
        <w:rPr>
          <w:rFonts w:ascii="Times New Roman" w:hAnsi="Times New Roman" w:cs="Times New Roman"/>
          <w:color w:val="000000" w:themeColor="text1"/>
          <w:sz w:val="24"/>
          <w:szCs w:val="24"/>
          <w:vertAlign w:val="superscript"/>
        </w:rPr>
        <w:t>143</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144</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2</w:t>
      </w:r>
      <w:r w:rsidRPr="00363AA9">
        <w:rPr>
          <w:rFonts w:ascii="Times New Roman" w:hAnsi="Times New Roman" w:cs="Times New Roman"/>
          <w:color w:val="000000" w:themeColor="text1"/>
          <w:sz w:val="16"/>
          <w:szCs w:val="16"/>
        </w:rPr>
        <w:t xml:space="preserve"> </w:t>
      </w:r>
      <w:r w:rsidRPr="00363AA9">
        <w:rPr>
          <w:rFonts w:ascii="Times New Roman" w:hAnsi="Times New Roman" w:cs="Times New Roman"/>
          <w:color w:val="000000" w:themeColor="text1"/>
          <w:sz w:val="24"/>
          <w:szCs w:val="24"/>
        </w:rPr>
        <w:t>+ (</w:t>
      </w:r>
      <w:r w:rsidRPr="00363AA9">
        <w:rPr>
          <w:rFonts w:ascii="Times New Roman" w:hAnsi="Times New Roman" w:cs="Times New Roman"/>
          <w:color w:val="000000" w:themeColor="text1"/>
          <w:sz w:val="24"/>
          <w:szCs w:val="24"/>
          <w:vertAlign w:val="superscript"/>
        </w:rPr>
        <w:t>206</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w:t>
      </w:r>
      <w:r w:rsidRPr="00363AA9">
        <w:rPr>
          <w:rFonts w:ascii="Times New Roman" w:hAnsi="Times New Roman" w:cs="Times New Roman"/>
          <w:color w:val="000000" w:themeColor="text1"/>
          <w:sz w:val="24"/>
          <w:szCs w:val="24"/>
        </w:rPr>
        <w:t>]</w:t>
      </w:r>
      <w:r w:rsidRPr="00363AA9">
        <w:rPr>
          <w:rFonts w:ascii="Times New Roman" w:hAnsi="Times New Roman" w:cs="Times New Roman"/>
          <w:color w:val="000000" w:themeColor="text1"/>
          <w:sz w:val="24"/>
          <w:szCs w:val="24"/>
          <w:vertAlign w:val="superscript"/>
        </w:rPr>
        <w:t>0.5</w:t>
      </w:r>
      <w:r w:rsidRPr="00363AA9">
        <w:rPr>
          <w:rFonts w:ascii="Times New Roman" w:hAnsi="Times New Roman" w:cs="Times New Roman"/>
          <w:color w:val="000000" w:themeColor="text1"/>
          <w:sz w:val="24"/>
          <w:szCs w:val="24"/>
        </w:rPr>
        <w:t>.{sin[arctan(</w:t>
      </w:r>
      <w:r w:rsidRPr="00363AA9">
        <w:rPr>
          <w:rFonts w:ascii="Times New Roman" w:hAnsi="Times New Roman" w:cs="Times New Roman"/>
          <w:color w:val="000000" w:themeColor="text1"/>
          <w:sz w:val="24"/>
          <w:szCs w:val="24"/>
          <w:vertAlign w:val="superscript"/>
        </w:rPr>
        <w:t>143</w:t>
      </w:r>
      <w:r w:rsidRPr="00363AA9">
        <w:rPr>
          <w:rFonts w:ascii="Times New Roman" w:hAnsi="Times New Roman" w:cs="Times New Roman"/>
          <w:color w:val="000000" w:themeColor="text1"/>
          <w:sz w:val="24"/>
          <w:szCs w:val="24"/>
        </w:rPr>
        <w:t>Nd/</w:t>
      </w:r>
      <w:r w:rsidRPr="00363AA9">
        <w:rPr>
          <w:rFonts w:ascii="Times New Roman" w:hAnsi="Times New Roman" w:cs="Times New Roman"/>
          <w:color w:val="000000" w:themeColor="text1"/>
          <w:sz w:val="24"/>
          <w:szCs w:val="24"/>
          <w:vertAlign w:val="superscript"/>
        </w:rPr>
        <w:t>144</w:t>
      </w:r>
      <w:r w:rsidRPr="00363AA9">
        <w:rPr>
          <w:rFonts w:ascii="Times New Roman" w:hAnsi="Times New Roman" w:cs="Times New Roman"/>
          <w:color w:val="000000" w:themeColor="text1"/>
          <w:sz w:val="24"/>
          <w:szCs w:val="24"/>
        </w:rPr>
        <w:t xml:space="preserve">Nd / </w:t>
      </w:r>
      <w:r w:rsidRPr="00363AA9">
        <w:rPr>
          <w:rFonts w:ascii="Times New Roman" w:hAnsi="Times New Roman" w:cs="Times New Roman"/>
          <w:color w:val="000000" w:themeColor="text1"/>
          <w:sz w:val="24"/>
          <w:szCs w:val="24"/>
          <w:vertAlign w:val="superscript"/>
        </w:rPr>
        <w:t>206</w:t>
      </w:r>
      <w:r w:rsidRPr="00363AA9">
        <w:rPr>
          <w:rFonts w:ascii="Times New Roman" w:hAnsi="Times New Roman" w:cs="Times New Roman"/>
          <w:color w:val="000000" w:themeColor="text1"/>
          <w:sz w:val="24"/>
          <w:szCs w:val="24"/>
        </w:rPr>
        <w:t>Pb/</w:t>
      </w:r>
      <w:r w:rsidRPr="00363AA9">
        <w:rPr>
          <w:rFonts w:ascii="Times New Roman" w:hAnsi="Times New Roman" w:cs="Times New Roman"/>
          <w:color w:val="000000" w:themeColor="text1"/>
          <w:sz w:val="24"/>
          <w:szCs w:val="24"/>
          <w:vertAlign w:val="superscript"/>
        </w:rPr>
        <w:t>204</w:t>
      </w:r>
      <w:r w:rsidRPr="00363AA9">
        <w:rPr>
          <w:rFonts w:ascii="Times New Roman" w:hAnsi="Times New Roman" w:cs="Times New Roman"/>
          <w:color w:val="000000" w:themeColor="text1"/>
          <w:sz w:val="24"/>
          <w:szCs w:val="24"/>
        </w:rPr>
        <w:t>Pb) + 0.000064]} (Zindler et al. 1982; Bell &amp; Tilton, 2001).</w:t>
      </w:r>
    </w:p>
    <w:p w:rsidR="00F943A5" w:rsidRPr="00363AA9" w:rsidRDefault="00F943A5" w:rsidP="00F943A5">
      <w:pPr>
        <w:tabs>
          <w:tab w:val="left" w:pos="1300"/>
        </w:tabs>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Fig. 11.</w:t>
      </w:r>
      <w:r w:rsidRPr="00363AA9">
        <w:rPr>
          <w:rFonts w:ascii="Times New Roman" w:hAnsi="Times New Roman" w:cs="Times New Roman"/>
          <w:color w:val="000000" w:themeColor="text1"/>
          <w:sz w:val="24"/>
          <w:szCs w:val="24"/>
        </w:rPr>
        <w:t xml:space="preserve"> (Colour online) Schematic evolution of the TCC. </w:t>
      </w:r>
    </w:p>
    <w:p w:rsidR="00F943A5" w:rsidRPr="00363AA9" w:rsidRDefault="00F943A5" w:rsidP="00F943A5">
      <w:pPr>
        <w:tabs>
          <w:tab w:val="left" w:pos="1300"/>
        </w:tabs>
        <w:contextualSpacing/>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Stage 1.</w:t>
      </w:r>
      <w:r w:rsidRPr="00363AA9">
        <w:rPr>
          <w:rFonts w:ascii="Times New Roman" w:hAnsi="Times New Roman" w:cs="Times New Roman"/>
          <w:color w:val="000000" w:themeColor="text1"/>
          <w:sz w:val="24"/>
          <w:szCs w:val="24"/>
        </w:rPr>
        <w:t xml:space="preserve"> Initial emplacement of REE enriched calcio-carbonatites to form linear plugs at the top of a volcanic neck, at least 400m in diameter, above a shallow magma chamber.  Crystallization of REE-enriched melt resulted in abundant REE fluorcarbonates and REE-rich monazite within the plugs. Shear stress associated with frictional plug–wall shear (photo 1). </w:t>
      </w:r>
    </w:p>
    <w:p w:rsidR="00F943A5" w:rsidRPr="00363AA9" w:rsidRDefault="00F943A5" w:rsidP="00F943A5">
      <w:pPr>
        <w:tabs>
          <w:tab w:val="left" w:pos="1300"/>
        </w:tabs>
        <w:contextualSpacing/>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Stage 2.</w:t>
      </w:r>
      <w:r w:rsidRPr="00363AA9">
        <w:rPr>
          <w:rFonts w:ascii="Times New Roman" w:hAnsi="Times New Roman" w:cs="Times New Roman"/>
          <w:color w:val="000000" w:themeColor="text1"/>
          <w:sz w:val="24"/>
          <w:szCs w:val="24"/>
        </w:rPr>
        <w:t xml:space="preserve"> A change in the dominant shear stress direction and dilation associated with the emplacement of cone sheets peripheral to plugs, resulted in deformation of REE fluorcarbonate layers formed during crystal settling within the plugs. Deformation produced flow fold fabrics in the plugs (photo 2).  Subsequent fractionation of the melt and emplacement of magnesio-carbonatites cone sheets from REE-depleted melt, within a ring fracture peripheral to the volcanic neck, resulted in lower abundance of REE minerals within the cone sheets. </w:t>
      </w:r>
    </w:p>
    <w:p w:rsidR="00F943A5" w:rsidRPr="00363AA9" w:rsidRDefault="00F943A5" w:rsidP="00F943A5">
      <w:pPr>
        <w:tabs>
          <w:tab w:val="left" w:pos="1300"/>
        </w:tabs>
        <w:contextualSpacing/>
        <w:jc w:val="both"/>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Stage 3.</w:t>
      </w:r>
      <w:r w:rsidRPr="00363AA9">
        <w:rPr>
          <w:rFonts w:ascii="Times New Roman" w:hAnsi="Times New Roman" w:cs="Times New Roman"/>
          <w:color w:val="000000" w:themeColor="text1"/>
          <w:sz w:val="24"/>
          <w:szCs w:val="24"/>
        </w:rPr>
        <w:t xml:space="preserve"> Stockwork of dominant calcio-carbonatite and subordinate magnesio-carbonatite dykes (photo 3) emplaced around the central plugs.  The dykes were emplaced from additional influx of melt enriched in REE, P</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O</w:t>
      </w:r>
      <w:r w:rsidRPr="00363AA9">
        <w:rPr>
          <w:rFonts w:ascii="Times New Roman" w:hAnsi="Times New Roman" w:cs="Times New Roman"/>
          <w:color w:val="000000" w:themeColor="text1"/>
          <w:sz w:val="24"/>
          <w:szCs w:val="24"/>
          <w:vertAlign w:val="subscript"/>
        </w:rPr>
        <w:t>5</w:t>
      </w:r>
      <w:r w:rsidRPr="00363AA9">
        <w:rPr>
          <w:rFonts w:ascii="Times New Roman" w:hAnsi="Times New Roman" w:cs="Times New Roman"/>
          <w:color w:val="000000" w:themeColor="text1"/>
          <w:sz w:val="24"/>
          <w:szCs w:val="24"/>
        </w:rPr>
        <w:t xml:space="preserve"> and SrO to the original magma chamber following the intrusion of the cone sheets.  Final stage in the evolution was characterised by pervasive low-temperature SiO</w:t>
      </w:r>
      <w:r w:rsidRPr="00363AA9">
        <w:rPr>
          <w:rFonts w:ascii="Times New Roman" w:hAnsi="Times New Roman" w:cs="Times New Roman"/>
          <w:color w:val="000000" w:themeColor="text1"/>
          <w:sz w:val="24"/>
          <w:szCs w:val="24"/>
          <w:vertAlign w:val="subscript"/>
        </w:rPr>
        <w:t>2</w:t>
      </w:r>
      <w:r w:rsidRPr="00363AA9">
        <w:rPr>
          <w:rFonts w:ascii="Times New Roman" w:hAnsi="Times New Roman" w:cs="Times New Roman"/>
          <w:color w:val="000000" w:themeColor="text1"/>
          <w:sz w:val="24"/>
          <w:szCs w:val="24"/>
        </w:rPr>
        <w:t>-FeO-MnO hydrothermal alteration throughout the complex.</w:t>
      </w:r>
    </w:p>
    <w:p w:rsidR="00DF42BB" w:rsidRPr="00363AA9" w:rsidRDefault="00DF42BB">
      <w:pPr>
        <w:spacing w:after="160" w:line="259" w:lineRule="auto"/>
        <w:rPr>
          <w:color w:val="000000" w:themeColor="text1"/>
        </w:rPr>
        <w:sectPr w:rsidR="00DF42BB" w:rsidRPr="00363AA9" w:rsidSect="00DF42BB">
          <w:pgSz w:w="11906" w:h="16838"/>
          <w:pgMar w:top="1440" w:right="1440" w:bottom="1440" w:left="1440" w:header="708" w:footer="708" w:gutter="0"/>
          <w:lnNumType w:countBy="1" w:restart="continuous"/>
          <w:cols w:space="708"/>
          <w:docGrid w:linePitch="360"/>
        </w:sectPr>
      </w:pPr>
      <w:r w:rsidRPr="00363AA9">
        <w:rPr>
          <w:color w:val="000000" w:themeColor="text1"/>
        </w:rPr>
        <w:br w:type="page"/>
      </w:r>
    </w:p>
    <w:p w:rsidR="00DF42BB" w:rsidRPr="00363AA9" w:rsidRDefault="00DF42BB" w:rsidP="00DF42BB">
      <w:pPr>
        <w:spacing w:line="240" w:lineRule="auto"/>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lastRenderedPageBreak/>
        <w:t>Table 1.</w:t>
      </w:r>
      <w:r w:rsidRPr="00363AA9">
        <w:rPr>
          <w:rFonts w:ascii="Times New Roman" w:hAnsi="Times New Roman" w:cs="Times New Roman"/>
          <w:color w:val="000000" w:themeColor="text1"/>
          <w:sz w:val="24"/>
          <w:szCs w:val="24"/>
        </w:rPr>
        <w:t xml:space="preserve">  Characteristic features of TK structural components</w:t>
      </w:r>
    </w:p>
    <w:tbl>
      <w:tblPr>
        <w:tblStyle w:val="TableGrid"/>
        <w:tblW w:w="14406" w:type="dxa"/>
        <w:tblLook w:val="04A0" w:firstRow="1" w:lastRow="0" w:firstColumn="1" w:lastColumn="0" w:noHBand="0" w:noVBand="1"/>
      </w:tblPr>
      <w:tblGrid>
        <w:gridCol w:w="2876"/>
        <w:gridCol w:w="1636"/>
        <w:gridCol w:w="1723"/>
        <w:gridCol w:w="2625"/>
        <w:gridCol w:w="1058"/>
        <w:gridCol w:w="850"/>
        <w:gridCol w:w="1134"/>
        <w:gridCol w:w="993"/>
        <w:gridCol w:w="1511"/>
      </w:tblGrid>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Zone</w:t>
            </w:r>
          </w:p>
        </w:tc>
        <w:tc>
          <w:tcPr>
            <w:tcW w:w="5984" w:type="dxa"/>
            <w:gridSpan w:val="3"/>
          </w:tcPr>
          <w:p w:rsidR="00DF42BB" w:rsidRPr="00363AA9" w:rsidRDefault="00DF42BB" w:rsidP="00DF42BB">
            <w:pPr>
              <w:spacing w:line="240" w:lineRule="auto"/>
              <w:jc w:val="center"/>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Central Zone</w:t>
            </w:r>
          </w:p>
        </w:tc>
        <w:tc>
          <w:tcPr>
            <w:tcW w:w="5546" w:type="dxa"/>
            <w:gridSpan w:val="5"/>
          </w:tcPr>
          <w:p w:rsidR="00DF42BB" w:rsidRPr="00363AA9" w:rsidRDefault="00DF42BB" w:rsidP="00DF42BB">
            <w:pPr>
              <w:spacing w:line="240" w:lineRule="auto"/>
              <w:jc w:val="center"/>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Peripheral Zone</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Outcrop no.</w:t>
            </w:r>
          </w:p>
        </w:tc>
        <w:tc>
          <w:tcPr>
            <w:tcW w:w="1636"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TK1A</w:t>
            </w:r>
          </w:p>
        </w:tc>
        <w:tc>
          <w:tcPr>
            <w:tcW w:w="1723"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TK1B</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TK2</w:t>
            </w:r>
          </w:p>
        </w:tc>
        <w:tc>
          <w:tcPr>
            <w:tcW w:w="1058"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TK3</w:t>
            </w:r>
          </w:p>
        </w:tc>
        <w:tc>
          <w:tcPr>
            <w:tcW w:w="850"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TK4</w:t>
            </w:r>
          </w:p>
        </w:tc>
        <w:tc>
          <w:tcPr>
            <w:tcW w:w="1134"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TK5</w:t>
            </w:r>
          </w:p>
        </w:tc>
        <w:tc>
          <w:tcPr>
            <w:tcW w:w="993"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TK6</w:t>
            </w:r>
          </w:p>
        </w:tc>
        <w:tc>
          <w:tcPr>
            <w:tcW w:w="1511"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TK7</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Banding (bd)</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sub-vertical</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sub-vertical to steep</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shallow dipping, parallels lower footwall contact</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Structure</w:t>
            </w:r>
          </w:p>
        </w:tc>
        <w:tc>
          <w:tcPr>
            <w:tcW w:w="1636"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elongate plug</w:t>
            </w:r>
          </w:p>
        </w:tc>
        <w:tc>
          <w:tcPr>
            <w:tcW w:w="1723"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arcuate plug</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dyke stockwork</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cone-sheets</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Dip</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sub-vertical</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sub-vertical to steep</w:t>
            </w:r>
          </w:p>
        </w:tc>
        <w:tc>
          <w:tcPr>
            <w:tcW w:w="1058"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SE</w:t>
            </w:r>
          </w:p>
        </w:tc>
        <w:tc>
          <w:tcPr>
            <w:tcW w:w="850"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E-SE</w:t>
            </w:r>
          </w:p>
        </w:tc>
        <w:tc>
          <w:tcPr>
            <w:tcW w:w="1134"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E-NE</w:t>
            </w:r>
          </w:p>
        </w:tc>
        <w:tc>
          <w:tcPr>
            <w:tcW w:w="993"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N</w:t>
            </w:r>
          </w:p>
        </w:tc>
        <w:tc>
          <w:tcPr>
            <w:tcW w:w="1511"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E</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Plunge</w:t>
            </w:r>
          </w:p>
        </w:tc>
        <w:tc>
          <w:tcPr>
            <w:tcW w:w="1636"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S-SE</w:t>
            </w:r>
          </w:p>
        </w:tc>
        <w:tc>
          <w:tcPr>
            <w:tcW w:w="1723"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unknown</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irregular orientation</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radial direction of dip defines apex plunging NE</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Colour</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pale grey-pale brown</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dark grey-to dark brown</w:t>
            </w:r>
          </w:p>
        </w:tc>
        <w:tc>
          <w:tcPr>
            <w:tcW w:w="3042" w:type="dxa"/>
            <w:gridSpan w:val="3"/>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grey, dark brown</w:t>
            </w:r>
          </w:p>
        </w:tc>
        <w:tc>
          <w:tcPr>
            <w:tcW w:w="993"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yellow</w:t>
            </w:r>
          </w:p>
        </w:tc>
        <w:tc>
          <w:tcPr>
            <w:tcW w:w="1511"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brown</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Carbonatite class</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calcic</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calcic &amp; dolomitic</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calcic, dolomitic &amp; ferric</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Mineral textures</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strong bd, slumped &amp; sheared</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massive or weak bd</w:t>
            </w:r>
          </w:p>
        </w:tc>
        <w:tc>
          <w:tcPr>
            <w:tcW w:w="4035" w:type="dxa"/>
            <w:gridSpan w:val="4"/>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weak bd, spotted &amp; mottled</w:t>
            </w:r>
          </w:p>
        </w:tc>
        <w:tc>
          <w:tcPr>
            <w:tcW w:w="1511"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rhythmic bd</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Internal contacts</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sharp, gradational &amp; sheared</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sharp &amp; gradational</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typically gradational</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Key accessory minerals</w:t>
            </w:r>
          </w:p>
        </w:tc>
        <w:tc>
          <w:tcPr>
            <w:tcW w:w="1636"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pyrochlore</w:t>
            </w:r>
          </w:p>
        </w:tc>
        <w:tc>
          <w:tcPr>
            <w:tcW w:w="1723"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more barite</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more apatite &amp; monazite</w:t>
            </w:r>
          </w:p>
        </w:tc>
        <w:tc>
          <w:tcPr>
            <w:tcW w:w="4035" w:type="dxa"/>
            <w:gridSpan w:val="4"/>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more barite</w:t>
            </w:r>
          </w:p>
        </w:tc>
        <w:tc>
          <w:tcPr>
            <w:tcW w:w="1511"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magnetite</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Late-stage veining</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minor, thin ankerite carbonatite</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ankerite carbonatite</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Mn-rich, siliceous carbonatite</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Mean CaO/MgO</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71.7</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12.1</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4.4</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Mean CaO/SiO</w:t>
            </w:r>
            <w:r w:rsidRPr="00363AA9">
              <w:rPr>
                <w:rFonts w:ascii="Times New Roman" w:hAnsi="Times New Roman" w:cs="Times New Roman"/>
                <w:b/>
                <w:color w:val="000000" w:themeColor="text1"/>
                <w:sz w:val="24"/>
                <w:szCs w:val="24"/>
                <w:vertAlign w:val="subscript"/>
              </w:rPr>
              <w:t>2</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~17</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13.5</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&lt; 8</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Mean wt. % P</w:t>
            </w:r>
            <w:r w:rsidRPr="00363AA9">
              <w:rPr>
                <w:rFonts w:ascii="Times New Roman" w:hAnsi="Times New Roman" w:cs="Times New Roman"/>
                <w:b/>
                <w:color w:val="000000" w:themeColor="text1"/>
                <w:sz w:val="24"/>
                <w:szCs w:val="24"/>
                <w:vertAlign w:val="subscript"/>
              </w:rPr>
              <w:t>2</w:t>
            </w:r>
            <w:r w:rsidRPr="00363AA9">
              <w:rPr>
                <w:rFonts w:ascii="Times New Roman" w:hAnsi="Times New Roman" w:cs="Times New Roman"/>
                <w:b/>
                <w:color w:val="000000" w:themeColor="text1"/>
                <w:sz w:val="24"/>
                <w:szCs w:val="24"/>
              </w:rPr>
              <w:t>O</w:t>
            </w:r>
            <w:r w:rsidRPr="00363AA9">
              <w:rPr>
                <w:rFonts w:ascii="Times New Roman" w:hAnsi="Times New Roman" w:cs="Times New Roman"/>
                <w:b/>
                <w:color w:val="000000" w:themeColor="text1"/>
                <w:sz w:val="24"/>
                <w:szCs w:val="24"/>
                <w:vertAlign w:val="subscript"/>
              </w:rPr>
              <w:t>5</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2.36</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1 to 2</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&lt; 1</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Mean wt. % REO</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4.46 (n = 54)</w:t>
            </w:r>
          </w:p>
        </w:tc>
        <w:tc>
          <w:tcPr>
            <w:tcW w:w="2625" w:type="dxa"/>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4.18 (n = 45)</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2.51 (n = 196)</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Key enriched elements</w:t>
            </w:r>
          </w:p>
        </w:tc>
        <w:tc>
          <w:tcPr>
            <w:tcW w:w="5984" w:type="dxa"/>
            <w:gridSpan w:val="3"/>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Nb</w:t>
            </w:r>
          </w:p>
        </w:tc>
        <w:tc>
          <w:tcPr>
            <w:tcW w:w="5546" w:type="dxa"/>
            <w:gridSpan w:val="5"/>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Th</w:t>
            </w:r>
          </w:p>
        </w:tc>
      </w:tr>
      <w:tr w:rsidR="00363AA9"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Hydrothermal alteration</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less altered</w:t>
            </w:r>
          </w:p>
        </w:tc>
        <w:tc>
          <w:tcPr>
            <w:tcW w:w="8171" w:type="dxa"/>
            <w:gridSpan w:val="6"/>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more altered</w:t>
            </w:r>
          </w:p>
        </w:tc>
      </w:tr>
      <w:tr w:rsidR="00DF42BB" w:rsidRPr="00363AA9" w:rsidTr="007C2DC8">
        <w:tc>
          <w:tcPr>
            <w:tcW w:w="2876" w:type="dxa"/>
          </w:tcPr>
          <w:p w:rsidR="00DF42BB" w:rsidRPr="00363AA9" w:rsidRDefault="00DF42BB" w:rsidP="00DF42BB">
            <w:pPr>
              <w:spacing w:line="240" w:lineRule="auto"/>
              <w:rPr>
                <w:rFonts w:ascii="Times New Roman" w:hAnsi="Times New Roman" w:cs="Times New Roman"/>
                <w:b/>
                <w:color w:val="000000" w:themeColor="text1"/>
                <w:sz w:val="24"/>
                <w:szCs w:val="24"/>
              </w:rPr>
            </w:pPr>
            <w:r w:rsidRPr="00363AA9">
              <w:rPr>
                <w:rFonts w:ascii="Times New Roman" w:hAnsi="Times New Roman" w:cs="Times New Roman"/>
                <w:b/>
                <w:color w:val="000000" w:themeColor="text1"/>
                <w:sz w:val="24"/>
                <w:szCs w:val="24"/>
              </w:rPr>
              <w:t>Carbonatite evolution</w:t>
            </w:r>
          </w:p>
        </w:tc>
        <w:tc>
          <w:tcPr>
            <w:tcW w:w="3359" w:type="dxa"/>
            <w:gridSpan w:val="2"/>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less evolved</w:t>
            </w:r>
          </w:p>
        </w:tc>
        <w:tc>
          <w:tcPr>
            <w:tcW w:w="8171" w:type="dxa"/>
            <w:gridSpan w:val="6"/>
          </w:tcPr>
          <w:p w:rsidR="00DF42BB" w:rsidRPr="00363AA9" w:rsidRDefault="00DF42BB" w:rsidP="00DF42BB">
            <w:pPr>
              <w:spacing w:line="240" w:lineRule="auto"/>
              <w:jc w:val="center"/>
              <w:rPr>
                <w:rFonts w:ascii="Times New Roman" w:hAnsi="Times New Roman" w:cs="Times New Roman"/>
                <w:color w:val="000000" w:themeColor="text1"/>
                <w:sz w:val="24"/>
                <w:szCs w:val="24"/>
              </w:rPr>
            </w:pPr>
            <w:r w:rsidRPr="00363AA9">
              <w:rPr>
                <w:rFonts w:ascii="Times New Roman" w:hAnsi="Times New Roman" w:cs="Times New Roman"/>
                <w:color w:val="000000" w:themeColor="text1"/>
                <w:sz w:val="24"/>
                <w:szCs w:val="24"/>
              </w:rPr>
              <w:t>more evolved</w:t>
            </w:r>
          </w:p>
        </w:tc>
      </w:tr>
    </w:tbl>
    <w:p w:rsidR="00DF42BB" w:rsidRPr="00363AA9" w:rsidRDefault="00DF42BB" w:rsidP="00DF42BB">
      <w:pPr>
        <w:spacing w:line="240" w:lineRule="auto"/>
        <w:rPr>
          <w:rFonts w:ascii="Times New Roman" w:hAnsi="Times New Roman" w:cs="Times New Roman"/>
          <w:color w:val="000000" w:themeColor="text1"/>
          <w:sz w:val="24"/>
          <w:szCs w:val="24"/>
        </w:rPr>
      </w:pPr>
    </w:p>
    <w:p w:rsidR="00DF42BB" w:rsidRPr="00363AA9" w:rsidRDefault="00DF42BB">
      <w:pPr>
        <w:spacing w:after="160" w:line="259" w:lineRule="auto"/>
        <w:rPr>
          <w:color w:val="000000" w:themeColor="text1"/>
        </w:rPr>
      </w:pPr>
      <w:r w:rsidRPr="00363AA9">
        <w:rPr>
          <w:color w:val="000000" w:themeColor="text1"/>
        </w:rPr>
        <w:br w:type="page"/>
      </w:r>
    </w:p>
    <w:tbl>
      <w:tblPr>
        <w:tblW w:w="12643" w:type="dxa"/>
        <w:tblLook w:val="04A0" w:firstRow="1" w:lastRow="0" w:firstColumn="1" w:lastColumn="0" w:noHBand="0" w:noVBand="1"/>
      </w:tblPr>
      <w:tblGrid>
        <w:gridCol w:w="832"/>
        <w:gridCol w:w="968"/>
        <w:gridCol w:w="756"/>
        <w:gridCol w:w="803"/>
        <w:gridCol w:w="816"/>
        <w:gridCol w:w="756"/>
        <w:gridCol w:w="756"/>
        <w:gridCol w:w="776"/>
        <w:gridCol w:w="709"/>
        <w:gridCol w:w="710"/>
        <w:gridCol w:w="791"/>
        <w:gridCol w:w="710"/>
        <w:gridCol w:w="756"/>
        <w:gridCol w:w="756"/>
        <w:gridCol w:w="756"/>
        <w:gridCol w:w="992"/>
      </w:tblGrid>
      <w:tr w:rsidR="00363AA9" w:rsidRPr="00363AA9" w:rsidTr="007C2DC8">
        <w:trPr>
          <w:trHeight w:val="232"/>
        </w:trPr>
        <w:tc>
          <w:tcPr>
            <w:tcW w:w="832"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lastRenderedPageBreak/>
              <w:t>Area</w:t>
            </w:r>
          </w:p>
        </w:tc>
        <w:tc>
          <w:tcPr>
            <w:tcW w:w="968"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b/>
                <w:bCs/>
                <w:color w:val="000000" w:themeColor="text1"/>
                <w:sz w:val="24"/>
                <w:szCs w:val="24"/>
                <w:lang w:eastAsia="en-GB"/>
              </w:rPr>
            </w:pPr>
          </w:p>
        </w:tc>
        <w:tc>
          <w:tcPr>
            <w:tcW w:w="756"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SiO</w:t>
            </w:r>
            <w:r w:rsidRPr="00363AA9">
              <w:rPr>
                <w:rFonts w:ascii="Times New Roman" w:eastAsia="Times New Roman" w:hAnsi="Times New Roman" w:cs="Times New Roman"/>
                <w:b/>
                <w:bCs/>
                <w:color w:val="000000" w:themeColor="text1"/>
                <w:sz w:val="24"/>
                <w:szCs w:val="24"/>
                <w:vertAlign w:val="subscript"/>
                <w:lang w:eastAsia="en-GB"/>
              </w:rPr>
              <w:t>2</w:t>
            </w:r>
          </w:p>
        </w:tc>
        <w:tc>
          <w:tcPr>
            <w:tcW w:w="803"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Al</w:t>
            </w:r>
            <w:r w:rsidRPr="00363AA9">
              <w:rPr>
                <w:rFonts w:ascii="Times New Roman" w:eastAsia="Times New Roman" w:hAnsi="Times New Roman" w:cs="Times New Roman"/>
                <w:b/>
                <w:bCs/>
                <w:color w:val="000000" w:themeColor="text1"/>
                <w:sz w:val="24"/>
                <w:szCs w:val="24"/>
                <w:vertAlign w:val="subscript"/>
                <w:lang w:eastAsia="en-GB"/>
              </w:rPr>
              <w:t>2</w:t>
            </w:r>
            <w:r w:rsidRPr="00363AA9">
              <w:rPr>
                <w:rFonts w:ascii="Times New Roman" w:eastAsia="Times New Roman" w:hAnsi="Times New Roman" w:cs="Times New Roman"/>
                <w:b/>
                <w:bCs/>
                <w:color w:val="000000" w:themeColor="text1"/>
                <w:sz w:val="24"/>
                <w:szCs w:val="24"/>
                <w:lang w:eastAsia="en-GB"/>
              </w:rPr>
              <w:t>O</w:t>
            </w:r>
            <w:r w:rsidRPr="00363AA9">
              <w:rPr>
                <w:rFonts w:ascii="Times New Roman" w:eastAsia="Times New Roman" w:hAnsi="Times New Roman" w:cs="Times New Roman"/>
                <w:b/>
                <w:bCs/>
                <w:color w:val="000000" w:themeColor="text1"/>
                <w:sz w:val="24"/>
                <w:szCs w:val="24"/>
                <w:vertAlign w:val="subscript"/>
                <w:lang w:eastAsia="en-GB"/>
              </w:rPr>
              <w:t>3</w:t>
            </w:r>
          </w:p>
        </w:tc>
        <w:tc>
          <w:tcPr>
            <w:tcW w:w="816"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Fe</w:t>
            </w:r>
            <w:r w:rsidRPr="00363AA9">
              <w:rPr>
                <w:rFonts w:ascii="Times New Roman" w:eastAsia="Times New Roman" w:hAnsi="Times New Roman" w:cs="Times New Roman"/>
                <w:b/>
                <w:bCs/>
                <w:color w:val="000000" w:themeColor="text1"/>
                <w:sz w:val="24"/>
                <w:szCs w:val="24"/>
                <w:vertAlign w:val="subscript"/>
                <w:lang w:eastAsia="en-GB"/>
              </w:rPr>
              <w:t>2</w:t>
            </w:r>
            <w:r w:rsidRPr="00363AA9">
              <w:rPr>
                <w:rFonts w:ascii="Times New Roman" w:eastAsia="Times New Roman" w:hAnsi="Times New Roman" w:cs="Times New Roman"/>
                <w:b/>
                <w:bCs/>
                <w:color w:val="000000" w:themeColor="text1"/>
                <w:sz w:val="24"/>
                <w:szCs w:val="24"/>
                <w:lang w:eastAsia="en-GB"/>
              </w:rPr>
              <w:t>O</w:t>
            </w:r>
            <w:r w:rsidRPr="00363AA9">
              <w:rPr>
                <w:rFonts w:ascii="Times New Roman" w:eastAsia="Times New Roman" w:hAnsi="Times New Roman" w:cs="Times New Roman"/>
                <w:b/>
                <w:bCs/>
                <w:color w:val="000000" w:themeColor="text1"/>
                <w:sz w:val="24"/>
                <w:szCs w:val="24"/>
                <w:vertAlign w:val="subscript"/>
                <w:lang w:eastAsia="en-GB"/>
              </w:rPr>
              <w:t>3</w:t>
            </w:r>
          </w:p>
        </w:tc>
        <w:tc>
          <w:tcPr>
            <w:tcW w:w="756"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CaO</w:t>
            </w:r>
          </w:p>
        </w:tc>
        <w:tc>
          <w:tcPr>
            <w:tcW w:w="756"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MgO</w:t>
            </w:r>
          </w:p>
        </w:tc>
        <w:tc>
          <w:tcPr>
            <w:tcW w:w="776"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Na</w:t>
            </w:r>
            <w:r w:rsidRPr="00363AA9">
              <w:rPr>
                <w:rFonts w:ascii="Times New Roman" w:eastAsia="Times New Roman" w:hAnsi="Times New Roman" w:cs="Times New Roman"/>
                <w:b/>
                <w:bCs/>
                <w:color w:val="000000" w:themeColor="text1"/>
                <w:sz w:val="24"/>
                <w:szCs w:val="24"/>
                <w:vertAlign w:val="subscript"/>
                <w:lang w:eastAsia="en-GB"/>
              </w:rPr>
              <w:t>2</w:t>
            </w:r>
            <w:r w:rsidRPr="00363AA9">
              <w:rPr>
                <w:rFonts w:ascii="Times New Roman" w:eastAsia="Times New Roman" w:hAnsi="Times New Roman" w:cs="Times New Roman"/>
                <w:b/>
                <w:bCs/>
                <w:color w:val="000000" w:themeColor="text1"/>
                <w:sz w:val="24"/>
                <w:szCs w:val="24"/>
                <w:lang w:eastAsia="en-GB"/>
              </w:rPr>
              <w:t>O</w:t>
            </w:r>
          </w:p>
        </w:tc>
        <w:tc>
          <w:tcPr>
            <w:tcW w:w="709"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K</w:t>
            </w:r>
            <w:r w:rsidRPr="00363AA9">
              <w:rPr>
                <w:rFonts w:ascii="Times New Roman" w:eastAsia="Times New Roman" w:hAnsi="Times New Roman" w:cs="Times New Roman"/>
                <w:b/>
                <w:bCs/>
                <w:color w:val="000000" w:themeColor="text1"/>
                <w:sz w:val="24"/>
                <w:szCs w:val="24"/>
                <w:vertAlign w:val="subscript"/>
                <w:lang w:eastAsia="en-GB"/>
              </w:rPr>
              <w:t>2</w:t>
            </w:r>
            <w:r w:rsidRPr="00363AA9">
              <w:rPr>
                <w:rFonts w:ascii="Times New Roman" w:eastAsia="Times New Roman" w:hAnsi="Times New Roman" w:cs="Times New Roman"/>
                <w:b/>
                <w:bCs/>
                <w:color w:val="000000" w:themeColor="text1"/>
                <w:sz w:val="24"/>
                <w:szCs w:val="24"/>
                <w:lang w:eastAsia="en-GB"/>
              </w:rPr>
              <w:t>O</w:t>
            </w:r>
          </w:p>
        </w:tc>
        <w:tc>
          <w:tcPr>
            <w:tcW w:w="710"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TiO</w:t>
            </w:r>
            <w:r w:rsidRPr="00363AA9">
              <w:rPr>
                <w:rFonts w:ascii="Times New Roman" w:eastAsia="Times New Roman" w:hAnsi="Times New Roman" w:cs="Times New Roman"/>
                <w:b/>
                <w:bCs/>
                <w:color w:val="000000" w:themeColor="text1"/>
                <w:sz w:val="24"/>
                <w:szCs w:val="24"/>
                <w:vertAlign w:val="subscript"/>
                <w:lang w:eastAsia="en-GB"/>
              </w:rPr>
              <w:t>2</w:t>
            </w:r>
          </w:p>
        </w:tc>
        <w:tc>
          <w:tcPr>
            <w:tcW w:w="791"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MnO</w:t>
            </w:r>
          </w:p>
        </w:tc>
        <w:tc>
          <w:tcPr>
            <w:tcW w:w="710"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P</w:t>
            </w:r>
            <w:r w:rsidRPr="00363AA9">
              <w:rPr>
                <w:rFonts w:ascii="Times New Roman" w:eastAsia="Times New Roman" w:hAnsi="Times New Roman" w:cs="Times New Roman"/>
                <w:b/>
                <w:bCs/>
                <w:color w:val="000000" w:themeColor="text1"/>
                <w:sz w:val="24"/>
                <w:szCs w:val="24"/>
                <w:vertAlign w:val="subscript"/>
                <w:lang w:eastAsia="en-GB"/>
              </w:rPr>
              <w:t>2</w:t>
            </w:r>
            <w:r w:rsidRPr="00363AA9">
              <w:rPr>
                <w:rFonts w:ascii="Times New Roman" w:eastAsia="Times New Roman" w:hAnsi="Times New Roman" w:cs="Times New Roman"/>
                <w:b/>
                <w:bCs/>
                <w:color w:val="000000" w:themeColor="text1"/>
                <w:sz w:val="24"/>
                <w:szCs w:val="24"/>
                <w:lang w:eastAsia="en-GB"/>
              </w:rPr>
              <w:t>O</w:t>
            </w:r>
            <w:r w:rsidRPr="00363AA9">
              <w:rPr>
                <w:rFonts w:ascii="Times New Roman" w:eastAsia="Times New Roman" w:hAnsi="Times New Roman" w:cs="Times New Roman"/>
                <w:b/>
                <w:bCs/>
                <w:color w:val="000000" w:themeColor="text1"/>
                <w:sz w:val="24"/>
                <w:szCs w:val="24"/>
                <w:vertAlign w:val="subscript"/>
                <w:lang w:eastAsia="en-GB"/>
              </w:rPr>
              <w:t>5</w:t>
            </w:r>
          </w:p>
        </w:tc>
        <w:tc>
          <w:tcPr>
            <w:tcW w:w="756"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SrO</w:t>
            </w:r>
          </w:p>
        </w:tc>
        <w:tc>
          <w:tcPr>
            <w:tcW w:w="756"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BaO</w:t>
            </w:r>
          </w:p>
        </w:tc>
        <w:tc>
          <w:tcPr>
            <w:tcW w:w="756"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LOI</w:t>
            </w:r>
          </w:p>
        </w:tc>
        <w:tc>
          <w:tcPr>
            <w:tcW w:w="992" w:type="dxa"/>
            <w:tcBorders>
              <w:top w:val="single" w:sz="4" w:space="0" w:color="auto"/>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Total</w:t>
            </w:r>
          </w:p>
        </w:tc>
      </w:tr>
      <w:tr w:rsidR="00363AA9" w:rsidRPr="00363AA9" w:rsidTr="007C2DC8">
        <w:trPr>
          <w:trHeight w:val="232"/>
        </w:trPr>
        <w:tc>
          <w:tcPr>
            <w:tcW w:w="832"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TK1A</w:t>
            </w:r>
          </w:p>
        </w:tc>
        <w:tc>
          <w:tcPr>
            <w:tcW w:w="968"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4.29</w:t>
            </w:r>
          </w:p>
        </w:tc>
        <w:tc>
          <w:tcPr>
            <w:tcW w:w="803"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0.22</w:t>
            </w:r>
          </w:p>
        </w:tc>
        <w:tc>
          <w:tcPr>
            <w:tcW w:w="81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3.63</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41.00</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0.94</w:t>
            </w:r>
          </w:p>
        </w:tc>
        <w:tc>
          <w:tcPr>
            <w:tcW w:w="77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0.08</w:t>
            </w:r>
          </w:p>
        </w:tc>
        <w:tc>
          <w:tcPr>
            <w:tcW w:w="709"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0.10</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0.06</w:t>
            </w:r>
          </w:p>
        </w:tc>
        <w:tc>
          <w:tcPr>
            <w:tcW w:w="791"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1.14</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1.16</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0.35</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5.92</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33.51</w:t>
            </w:r>
          </w:p>
        </w:tc>
        <w:tc>
          <w:tcPr>
            <w:tcW w:w="992"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92.40</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n=54</w:t>
            </w: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14.05</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0.66</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14.00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49.40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3.42</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0.36</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0.25</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0.26</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1.82</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2.42</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1.57</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11.90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39.30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97.25</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0.78</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0.04</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1.31</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34.30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0.20</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0.02</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0.04</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0.64</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0.42</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0.13</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2.38</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27.60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88.22</w:t>
            </w:r>
          </w:p>
        </w:tc>
      </w:tr>
      <w:tr w:rsidR="00363AA9" w:rsidRPr="00363AA9" w:rsidTr="007C2DC8">
        <w:trPr>
          <w:trHeight w:val="232"/>
        </w:trPr>
        <w:tc>
          <w:tcPr>
            <w:tcW w:w="832"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TK1B</w:t>
            </w:r>
          </w:p>
        </w:tc>
        <w:tc>
          <w:tcPr>
            <w:tcW w:w="968"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4.13</w:t>
            </w:r>
          </w:p>
        </w:tc>
        <w:tc>
          <w:tcPr>
            <w:tcW w:w="803"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0.05</w:t>
            </w:r>
          </w:p>
        </w:tc>
        <w:tc>
          <w:tcPr>
            <w:tcW w:w="81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5.84</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32.69</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5.34</w:t>
            </w:r>
          </w:p>
        </w:tc>
        <w:tc>
          <w:tcPr>
            <w:tcW w:w="77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0.26</w:t>
            </w:r>
          </w:p>
        </w:tc>
        <w:tc>
          <w:tcPr>
            <w:tcW w:w="709"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0.06</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0.17</w:t>
            </w:r>
          </w:p>
        </w:tc>
        <w:tc>
          <w:tcPr>
            <w:tcW w:w="791"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0.98</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2.12</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3.41</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3.72</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31.83</w:t>
            </w:r>
          </w:p>
        </w:tc>
        <w:tc>
          <w:tcPr>
            <w:tcW w:w="992"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90.58</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n=13</w:t>
            </w: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15.00</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0.08</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15.70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40.60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13.75</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0.43</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0.10</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0.65</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1.45</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4.47</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6.35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36.10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96.09</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0.71</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0.02</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1.86</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23.50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2.20</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0.17</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0.02</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0.62</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0.55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1.74</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24.70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84.79</w:t>
            </w:r>
          </w:p>
        </w:tc>
      </w:tr>
      <w:tr w:rsidR="00363AA9" w:rsidRPr="00363AA9" w:rsidTr="007C2DC8">
        <w:trPr>
          <w:trHeight w:val="232"/>
        </w:trPr>
        <w:tc>
          <w:tcPr>
            <w:tcW w:w="832"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TK2</w:t>
            </w:r>
          </w:p>
        </w:tc>
        <w:tc>
          <w:tcPr>
            <w:tcW w:w="968"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6.78</w:t>
            </w:r>
          </w:p>
        </w:tc>
        <w:tc>
          <w:tcPr>
            <w:tcW w:w="803"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0.09</w:t>
            </w:r>
          </w:p>
        </w:tc>
        <w:tc>
          <w:tcPr>
            <w:tcW w:w="81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4.43</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33.58</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4.93</w:t>
            </w:r>
          </w:p>
        </w:tc>
        <w:tc>
          <w:tcPr>
            <w:tcW w:w="77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0.29</w:t>
            </w:r>
          </w:p>
        </w:tc>
        <w:tc>
          <w:tcPr>
            <w:tcW w:w="709"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0.07</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0.11</w:t>
            </w:r>
          </w:p>
        </w:tc>
        <w:tc>
          <w:tcPr>
            <w:tcW w:w="791"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1.20</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2.36</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2.93</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3.60</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31.97</w:t>
            </w:r>
          </w:p>
        </w:tc>
        <w:tc>
          <w:tcPr>
            <w:tcW w:w="992"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92.33</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n=32</w:t>
            </w: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26.30</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0.60</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13.35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45.60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13.70</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0.60</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0.23</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2.35</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3.66</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6.10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10.55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7.86</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38.10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95.64</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0.59</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1.91</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24.50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0.75</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0.06</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0.03</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0.62</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0.29</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0.40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1.69</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22.20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84.79</w:t>
            </w:r>
          </w:p>
        </w:tc>
      </w:tr>
      <w:tr w:rsidR="00363AA9" w:rsidRPr="00363AA9" w:rsidTr="007C2DC8">
        <w:trPr>
          <w:trHeight w:val="232"/>
        </w:trPr>
        <w:tc>
          <w:tcPr>
            <w:tcW w:w="832"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TK3</w:t>
            </w:r>
          </w:p>
        </w:tc>
        <w:tc>
          <w:tcPr>
            <w:tcW w:w="968"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7.45</w:t>
            </w:r>
          </w:p>
        </w:tc>
        <w:tc>
          <w:tcPr>
            <w:tcW w:w="803"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0.04</w:t>
            </w:r>
          </w:p>
        </w:tc>
        <w:tc>
          <w:tcPr>
            <w:tcW w:w="81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3.00</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27.07</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12.87</w:t>
            </w:r>
          </w:p>
        </w:tc>
        <w:tc>
          <w:tcPr>
            <w:tcW w:w="77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0.04</w:t>
            </w:r>
          </w:p>
        </w:tc>
        <w:tc>
          <w:tcPr>
            <w:tcW w:w="709"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0.04</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0.03</w:t>
            </w:r>
          </w:p>
        </w:tc>
        <w:tc>
          <w:tcPr>
            <w:tcW w:w="791"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1.94</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0.24</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0.50</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4.74</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34.71</w:t>
            </w:r>
          </w:p>
        </w:tc>
        <w:tc>
          <w:tcPr>
            <w:tcW w:w="992"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92.65</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n=32</w:t>
            </w: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20.90</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0.09</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7.28</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32.70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15.75</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0.12</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0.13</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0.20</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4.48</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0.44</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0.74</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10.20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40.00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97.91</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0.67</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20.20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8.78</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1.37</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0.11</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0.31</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3.11</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25.90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89.11</w:t>
            </w:r>
          </w:p>
        </w:tc>
      </w:tr>
      <w:tr w:rsidR="00363AA9" w:rsidRPr="00363AA9" w:rsidTr="007C2DC8">
        <w:trPr>
          <w:trHeight w:val="232"/>
        </w:trPr>
        <w:tc>
          <w:tcPr>
            <w:tcW w:w="832"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TK4</w:t>
            </w:r>
          </w:p>
        </w:tc>
        <w:tc>
          <w:tcPr>
            <w:tcW w:w="968"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13.99</w:t>
            </w:r>
          </w:p>
        </w:tc>
        <w:tc>
          <w:tcPr>
            <w:tcW w:w="803"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0.15</w:t>
            </w:r>
          </w:p>
        </w:tc>
        <w:tc>
          <w:tcPr>
            <w:tcW w:w="81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3.34</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29.44</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9.10</w:t>
            </w:r>
          </w:p>
        </w:tc>
        <w:tc>
          <w:tcPr>
            <w:tcW w:w="77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0.09</w:t>
            </w:r>
          </w:p>
        </w:tc>
        <w:tc>
          <w:tcPr>
            <w:tcW w:w="709"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0.07</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0.03</w:t>
            </w:r>
          </w:p>
        </w:tc>
        <w:tc>
          <w:tcPr>
            <w:tcW w:w="791"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1.51</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0.41</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0.48</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4.66</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30.07</w:t>
            </w:r>
          </w:p>
        </w:tc>
        <w:tc>
          <w:tcPr>
            <w:tcW w:w="992"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93.33</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n=115</w:t>
            </w: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42.40</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0.60</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7.70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42.40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16.05</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0.20</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0.18</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0.45</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2.69</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0.86</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0.92</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12.40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43.50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101.97</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0.81</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1.84</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14.30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0.63</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0.02</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0.02</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0.84</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0.12</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0.09</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1.62</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16.45</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85.66</w:t>
            </w:r>
          </w:p>
        </w:tc>
      </w:tr>
      <w:tr w:rsidR="00363AA9" w:rsidRPr="00363AA9" w:rsidTr="007C2DC8">
        <w:trPr>
          <w:trHeight w:val="232"/>
        </w:trPr>
        <w:tc>
          <w:tcPr>
            <w:tcW w:w="832"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TK5</w:t>
            </w:r>
          </w:p>
        </w:tc>
        <w:tc>
          <w:tcPr>
            <w:tcW w:w="968"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7.46</w:t>
            </w:r>
          </w:p>
        </w:tc>
        <w:tc>
          <w:tcPr>
            <w:tcW w:w="803"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0.05</w:t>
            </w:r>
          </w:p>
        </w:tc>
        <w:tc>
          <w:tcPr>
            <w:tcW w:w="81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4.94</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27.43</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12.03</w:t>
            </w:r>
          </w:p>
        </w:tc>
        <w:tc>
          <w:tcPr>
            <w:tcW w:w="77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0.21</w:t>
            </w:r>
          </w:p>
        </w:tc>
        <w:tc>
          <w:tcPr>
            <w:tcW w:w="709"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0.07</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0.03</w:t>
            </w:r>
          </w:p>
        </w:tc>
        <w:tc>
          <w:tcPr>
            <w:tcW w:w="791"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1.84</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0.64</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0.55</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5.27</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30.37</w:t>
            </w:r>
          </w:p>
        </w:tc>
        <w:tc>
          <w:tcPr>
            <w:tcW w:w="992"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90.86</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n=18</w:t>
            </w: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24.50</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0.10</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10.35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33.60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14.75</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1.77</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0.10</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0.07</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3.91</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1.01</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0.99</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10.85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34.80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95.95</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0.73</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0.02</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3.08</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19.80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9.63</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0.05</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0.04</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1.40</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0.26</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0.33</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25.80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86.62</w:t>
            </w:r>
          </w:p>
        </w:tc>
      </w:tr>
      <w:tr w:rsidR="00363AA9" w:rsidRPr="00363AA9" w:rsidTr="007C2DC8">
        <w:trPr>
          <w:trHeight w:val="232"/>
        </w:trPr>
        <w:tc>
          <w:tcPr>
            <w:tcW w:w="832"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TK6</w:t>
            </w:r>
          </w:p>
        </w:tc>
        <w:tc>
          <w:tcPr>
            <w:tcW w:w="968"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1.16</w:t>
            </w:r>
          </w:p>
        </w:tc>
        <w:tc>
          <w:tcPr>
            <w:tcW w:w="803"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0.07</w:t>
            </w:r>
          </w:p>
        </w:tc>
        <w:tc>
          <w:tcPr>
            <w:tcW w:w="81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5.76</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26.21</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14.54</w:t>
            </w:r>
          </w:p>
        </w:tc>
        <w:tc>
          <w:tcPr>
            <w:tcW w:w="77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0.11</w:t>
            </w:r>
          </w:p>
        </w:tc>
        <w:tc>
          <w:tcPr>
            <w:tcW w:w="709"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0.08</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0.06</w:t>
            </w:r>
          </w:p>
        </w:tc>
        <w:tc>
          <w:tcPr>
            <w:tcW w:w="791"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2.17</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0.81</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0.97</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4.46</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33.76</w:t>
            </w:r>
          </w:p>
        </w:tc>
        <w:tc>
          <w:tcPr>
            <w:tcW w:w="992"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90.16</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n=7</w:t>
            </w: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2.15</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0.21</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12.55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31.10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16.40</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0.17</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0.13</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0.27</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3.73</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0.98</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2.07</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6.79</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37.80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94.83</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0.64</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0.02</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3.28</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21.80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12.25</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0.07</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0.06</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1.49</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0.54</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0.51</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3.25</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26.60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83.18</w:t>
            </w:r>
          </w:p>
        </w:tc>
      </w:tr>
      <w:tr w:rsidR="00363AA9" w:rsidRPr="00363AA9" w:rsidTr="007C2DC8">
        <w:trPr>
          <w:trHeight w:val="232"/>
        </w:trPr>
        <w:tc>
          <w:tcPr>
            <w:tcW w:w="832"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TK7</w:t>
            </w:r>
          </w:p>
        </w:tc>
        <w:tc>
          <w:tcPr>
            <w:tcW w:w="968" w:type="dxa"/>
            <w:tcBorders>
              <w:top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15.12</w:t>
            </w:r>
          </w:p>
        </w:tc>
        <w:tc>
          <w:tcPr>
            <w:tcW w:w="803"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0.10</w:t>
            </w:r>
          </w:p>
        </w:tc>
        <w:tc>
          <w:tcPr>
            <w:tcW w:w="81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4.29</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25.25</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11.18</w:t>
            </w:r>
          </w:p>
        </w:tc>
        <w:tc>
          <w:tcPr>
            <w:tcW w:w="77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0.10</w:t>
            </w:r>
          </w:p>
        </w:tc>
        <w:tc>
          <w:tcPr>
            <w:tcW w:w="709"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0.08</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0.02</w:t>
            </w:r>
          </w:p>
        </w:tc>
        <w:tc>
          <w:tcPr>
            <w:tcW w:w="791"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1.94</w:t>
            </w:r>
          </w:p>
        </w:tc>
        <w:tc>
          <w:tcPr>
            <w:tcW w:w="710"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0.77</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0.70</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3.95</w:t>
            </w:r>
          </w:p>
        </w:tc>
        <w:tc>
          <w:tcPr>
            <w:tcW w:w="756"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28.89</w:t>
            </w:r>
          </w:p>
        </w:tc>
        <w:tc>
          <w:tcPr>
            <w:tcW w:w="992" w:type="dxa"/>
            <w:tcBorders>
              <w:top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92.39</w:t>
            </w:r>
          </w:p>
        </w:tc>
      </w:tr>
      <w:tr w:rsidR="00363AA9" w:rsidRPr="00363AA9" w:rsidTr="007C2DC8">
        <w:trPr>
          <w:trHeight w:val="232"/>
        </w:trPr>
        <w:tc>
          <w:tcPr>
            <w:tcW w:w="83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n=24</w:t>
            </w:r>
          </w:p>
        </w:tc>
        <w:tc>
          <w:tcPr>
            <w:tcW w:w="968" w:type="dxa"/>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33.30</w:t>
            </w:r>
          </w:p>
        </w:tc>
        <w:tc>
          <w:tcPr>
            <w:tcW w:w="803"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0.42</w:t>
            </w:r>
          </w:p>
        </w:tc>
        <w:tc>
          <w:tcPr>
            <w:tcW w:w="81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8.39</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40.60</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13.55</w:t>
            </w:r>
          </w:p>
        </w:tc>
        <w:tc>
          <w:tcPr>
            <w:tcW w:w="77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0.18</w:t>
            </w:r>
          </w:p>
        </w:tc>
        <w:tc>
          <w:tcPr>
            <w:tcW w:w="709"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0.21</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0.06</w:t>
            </w:r>
          </w:p>
        </w:tc>
        <w:tc>
          <w:tcPr>
            <w:tcW w:w="791"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3.82</w:t>
            </w:r>
          </w:p>
        </w:tc>
        <w:tc>
          <w:tcPr>
            <w:tcW w:w="710"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1.63</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1.18</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5.62</w:t>
            </w:r>
          </w:p>
        </w:tc>
        <w:tc>
          <w:tcPr>
            <w:tcW w:w="756"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35.20</w:t>
            </w:r>
          </w:p>
        </w:tc>
        <w:tc>
          <w:tcPr>
            <w:tcW w:w="992" w:type="dxa"/>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95.88</w:t>
            </w:r>
          </w:p>
        </w:tc>
      </w:tr>
      <w:tr w:rsidR="00DF42BB" w:rsidRPr="00363AA9" w:rsidTr="007C2DC8">
        <w:trPr>
          <w:trHeight w:val="232"/>
        </w:trPr>
        <w:tc>
          <w:tcPr>
            <w:tcW w:w="832"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8" w:type="dxa"/>
            <w:tcBorders>
              <w:bottom w:val="single" w:sz="4" w:space="0" w:color="auto"/>
            </w:tcBorders>
            <w:shd w:val="clear" w:color="auto" w:fill="auto"/>
            <w:noWrap/>
            <w:vAlign w:val="bottom"/>
            <w:hideMark/>
          </w:tcPr>
          <w:p w:rsidR="00DF42BB" w:rsidRPr="00363AA9" w:rsidRDefault="00DF42BB" w:rsidP="007C2DC8">
            <w:pPr>
              <w:spacing w:line="240" w:lineRule="auto"/>
              <w:jc w:val="right"/>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756"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2.12</w:t>
            </w:r>
          </w:p>
        </w:tc>
        <w:tc>
          <w:tcPr>
            <w:tcW w:w="803"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0.02</w:t>
            </w:r>
          </w:p>
        </w:tc>
        <w:tc>
          <w:tcPr>
            <w:tcW w:w="816"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1.96</w:t>
            </w:r>
          </w:p>
        </w:tc>
        <w:tc>
          <w:tcPr>
            <w:tcW w:w="756"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14.00</w:t>
            </w:r>
          </w:p>
        </w:tc>
        <w:tc>
          <w:tcPr>
            <w:tcW w:w="756"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8.66</w:t>
            </w:r>
          </w:p>
        </w:tc>
        <w:tc>
          <w:tcPr>
            <w:tcW w:w="776"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0.05</w:t>
            </w:r>
          </w:p>
        </w:tc>
        <w:tc>
          <w:tcPr>
            <w:tcW w:w="709"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0.04</w:t>
            </w:r>
          </w:p>
        </w:tc>
        <w:tc>
          <w:tcPr>
            <w:tcW w:w="710"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0.01</w:t>
            </w:r>
          </w:p>
        </w:tc>
        <w:tc>
          <w:tcPr>
            <w:tcW w:w="791"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0.79</w:t>
            </w:r>
          </w:p>
        </w:tc>
        <w:tc>
          <w:tcPr>
            <w:tcW w:w="710"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0.22</w:t>
            </w:r>
          </w:p>
        </w:tc>
        <w:tc>
          <w:tcPr>
            <w:tcW w:w="756"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0.38</w:t>
            </w:r>
          </w:p>
        </w:tc>
        <w:tc>
          <w:tcPr>
            <w:tcW w:w="756"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2.50</w:t>
            </w:r>
          </w:p>
        </w:tc>
        <w:tc>
          <w:tcPr>
            <w:tcW w:w="756"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22.30</w:t>
            </w:r>
          </w:p>
        </w:tc>
        <w:tc>
          <w:tcPr>
            <w:tcW w:w="992" w:type="dxa"/>
            <w:tcBorders>
              <w:bottom w:val="single" w:sz="4" w:space="0" w:color="auto"/>
            </w:tcBorders>
            <w:shd w:val="clear" w:color="auto" w:fill="auto"/>
            <w:noWrap/>
            <w:vAlign w:val="bottom"/>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87.50</w:t>
            </w:r>
          </w:p>
        </w:tc>
      </w:tr>
    </w:tbl>
    <w:p w:rsidR="00DF42BB" w:rsidRPr="00363AA9" w:rsidRDefault="00DF42BB" w:rsidP="00DF42BB">
      <w:pPr>
        <w:rPr>
          <w:color w:val="000000" w:themeColor="text1"/>
        </w:rPr>
      </w:pPr>
    </w:p>
    <w:p w:rsidR="00DF42BB" w:rsidRPr="00363AA9" w:rsidRDefault="00DF42BB" w:rsidP="00DF42BB">
      <w:pPr>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Table 2:</w:t>
      </w:r>
      <w:r w:rsidRPr="00363AA9">
        <w:rPr>
          <w:rFonts w:ascii="Times New Roman" w:hAnsi="Times New Roman" w:cs="Times New Roman"/>
          <w:color w:val="000000" w:themeColor="text1"/>
          <w:sz w:val="24"/>
          <w:szCs w:val="24"/>
        </w:rPr>
        <w:t xml:space="preserve"> Average major element concentrations (wt %) of TCC outcrop areas.</w:t>
      </w:r>
    </w:p>
    <w:p w:rsidR="00DF42BB" w:rsidRPr="00363AA9" w:rsidRDefault="00DF42BB">
      <w:pPr>
        <w:spacing w:after="160" w:line="259" w:lineRule="auto"/>
        <w:rPr>
          <w:color w:val="000000" w:themeColor="text1"/>
        </w:rPr>
      </w:pPr>
      <w:r w:rsidRPr="00363AA9">
        <w:rPr>
          <w:color w:val="000000" w:themeColor="text1"/>
        </w:rPr>
        <w:br w:type="page"/>
      </w:r>
    </w:p>
    <w:tbl>
      <w:tblPr>
        <w:tblW w:w="13196" w:type="dxa"/>
        <w:tblLook w:val="04A0" w:firstRow="1" w:lastRow="0" w:firstColumn="1" w:lastColumn="0" w:noHBand="0" w:noVBand="1"/>
      </w:tblPr>
      <w:tblGrid>
        <w:gridCol w:w="1016"/>
        <w:gridCol w:w="1072"/>
        <w:gridCol w:w="850"/>
        <w:gridCol w:w="850"/>
        <w:gridCol w:w="850"/>
        <w:gridCol w:w="850"/>
        <w:gridCol w:w="794"/>
        <w:gridCol w:w="680"/>
        <w:gridCol w:w="680"/>
        <w:gridCol w:w="680"/>
        <w:gridCol w:w="680"/>
        <w:gridCol w:w="680"/>
        <w:gridCol w:w="680"/>
        <w:gridCol w:w="680"/>
        <w:gridCol w:w="680"/>
        <w:gridCol w:w="680"/>
        <w:gridCol w:w="794"/>
      </w:tblGrid>
      <w:tr w:rsidR="00363AA9" w:rsidRPr="00363AA9" w:rsidTr="007C2DC8">
        <w:trPr>
          <w:trHeight w:val="255"/>
        </w:trPr>
        <w:tc>
          <w:tcPr>
            <w:tcW w:w="1016"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lastRenderedPageBreak/>
              <w:t>outcrop</w:t>
            </w:r>
          </w:p>
        </w:tc>
        <w:tc>
          <w:tcPr>
            <w:tcW w:w="1072"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p>
        </w:tc>
        <w:tc>
          <w:tcPr>
            <w:tcW w:w="85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La</w:t>
            </w:r>
          </w:p>
        </w:tc>
        <w:tc>
          <w:tcPr>
            <w:tcW w:w="85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Ce</w:t>
            </w:r>
          </w:p>
        </w:tc>
        <w:tc>
          <w:tcPr>
            <w:tcW w:w="85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Pr</w:t>
            </w:r>
          </w:p>
        </w:tc>
        <w:tc>
          <w:tcPr>
            <w:tcW w:w="85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Nd</w:t>
            </w:r>
          </w:p>
        </w:tc>
        <w:tc>
          <w:tcPr>
            <w:tcW w:w="794"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Sm</w:t>
            </w:r>
          </w:p>
        </w:tc>
        <w:tc>
          <w:tcPr>
            <w:tcW w:w="68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Eu</w:t>
            </w:r>
          </w:p>
        </w:tc>
        <w:tc>
          <w:tcPr>
            <w:tcW w:w="68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Gd</w:t>
            </w:r>
          </w:p>
        </w:tc>
        <w:tc>
          <w:tcPr>
            <w:tcW w:w="68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Tb</w:t>
            </w:r>
          </w:p>
        </w:tc>
        <w:tc>
          <w:tcPr>
            <w:tcW w:w="68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Dy</w:t>
            </w:r>
          </w:p>
        </w:tc>
        <w:tc>
          <w:tcPr>
            <w:tcW w:w="68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Ho</w:t>
            </w:r>
          </w:p>
        </w:tc>
        <w:tc>
          <w:tcPr>
            <w:tcW w:w="68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Er</w:t>
            </w:r>
          </w:p>
        </w:tc>
        <w:tc>
          <w:tcPr>
            <w:tcW w:w="68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Tm</w:t>
            </w:r>
          </w:p>
        </w:tc>
        <w:tc>
          <w:tcPr>
            <w:tcW w:w="68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Yb</w:t>
            </w:r>
          </w:p>
        </w:tc>
        <w:tc>
          <w:tcPr>
            <w:tcW w:w="68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Lu</w:t>
            </w:r>
          </w:p>
        </w:tc>
        <w:tc>
          <w:tcPr>
            <w:tcW w:w="794"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Y</w:t>
            </w:r>
          </w:p>
        </w:tc>
      </w:tr>
      <w:tr w:rsidR="00363AA9" w:rsidRPr="00363AA9" w:rsidTr="007C2DC8">
        <w:trPr>
          <w:trHeight w:val="238"/>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TK1A</w:t>
            </w:r>
          </w:p>
        </w:tc>
        <w:tc>
          <w:tcPr>
            <w:tcW w:w="1072"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9220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17800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1990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7130</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805</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181</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391</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39</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149</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455</w:t>
            </w:r>
          </w:p>
        </w:tc>
      </w:tr>
      <w:tr w:rsidR="00363AA9" w:rsidRPr="00363AA9" w:rsidTr="007C2DC8">
        <w:trPr>
          <w:trHeight w:val="238"/>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n=54</w:t>
            </w:r>
          </w:p>
        </w:tc>
        <w:tc>
          <w:tcPr>
            <w:tcW w:w="1072"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16800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30400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3050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10100</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1000</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240</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580</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58</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224</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4.8</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656</w:t>
            </w:r>
          </w:p>
        </w:tc>
      </w:tr>
      <w:tr w:rsidR="00363AA9" w:rsidRPr="00363AA9" w:rsidTr="007C2DC8">
        <w:trPr>
          <w:trHeight w:val="238"/>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1072"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3610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9370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1160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4730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604</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132</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274</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27</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101</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313</w:t>
            </w:r>
          </w:p>
        </w:tc>
      </w:tr>
      <w:tr w:rsidR="00363AA9" w:rsidRPr="00363AA9" w:rsidTr="007C2DC8">
        <w:trPr>
          <w:trHeight w:val="238"/>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TK1B</w:t>
            </w:r>
          </w:p>
        </w:tc>
        <w:tc>
          <w:tcPr>
            <w:tcW w:w="1072"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10400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17700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1860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6750</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834</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193</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438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164</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40</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511</w:t>
            </w:r>
          </w:p>
        </w:tc>
      </w:tr>
      <w:tr w:rsidR="00363AA9" w:rsidRPr="00363AA9" w:rsidTr="007C2DC8">
        <w:trPr>
          <w:trHeight w:val="238"/>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n=13</w:t>
            </w:r>
          </w:p>
        </w:tc>
        <w:tc>
          <w:tcPr>
            <w:tcW w:w="1072"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14950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23500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2460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8910</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1110</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282</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617</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61</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254</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66</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6.0</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839</w:t>
            </w:r>
          </w:p>
        </w:tc>
      </w:tr>
      <w:tr w:rsidR="00363AA9" w:rsidRPr="00363AA9" w:rsidTr="007C2DC8">
        <w:trPr>
          <w:trHeight w:val="238"/>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1072"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4000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9000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1075</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4140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353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154</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54</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7.0</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0.5</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179</w:t>
            </w:r>
          </w:p>
        </w:tc>
      </w:tr>
      <w:tr w:rsidR="00363AA9" w:rsidRPr="00363AA9" w:rsidTr="007C2DC8">
        <w:trPr>
          <w:trHeight w:val="238"/>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TK2</w:t>
            </w:r>
          </w:p>
        </w:tc>
        <w:tc>
          <w:tcPr>
            <w:tcW w:w="1072"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8080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15200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1710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6590</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889</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546</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56</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232</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61</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5.5</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780</w:t>
            </w:r>
          </w:p>
        </w:tc>
      </w:tr>
      <w:tr w:rsidR="00363AA9" w:rsidRPr="00363AA9" w:rsidTr="007C2DC8">
        <w:trPr>
          <w:trHeight w:val="238"/>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n=32</w:t>
            </w:r>
          </w:p>
        </w:tc>
        <w:tc>
          <w:tcPr>
            <w:tcW w:w="1072"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15300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24300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2520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9630</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1145</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339</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776</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79</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388</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65</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134</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11.9</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1685</w:t>
            </w:r>
          </w:p>
        </w:tc>
      </w:tr>
      <w:tr w:rsidR="00363AA9" w:rsidRPr="00363AA9" w:rsidTr="007C2DC8">
        <w:trPr>
          <w:trHeight w:val="238"/>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1072"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1400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9610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1270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4280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377</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79</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170</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8.2</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5.5</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203</w:t>
            </w:r>
          </w:p>
        </w:tc>
      </w:tr>
      <w:tr w:rsidR="00363AA9" w:rsidRPr="00363AA9" w:rsidTr="007C2DC8">
        <w:trPr>
          <w:trHeight w:val="238"/>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TK3</w:t>
            </w:r>
          </w:p>
        </w:tc>
        <w:tc>
          <w:tcPr>
            <w:tcW w:w="1072"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5740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10400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1120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3820</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479</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107</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116</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35</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3.5</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414</w:t>
            </w:r>
          </w:p>
        </w:tc>
      </w:tr>
      <w:tr w:rsidR="00363AA9" w:rsidRPr="00363AA9" w:rsidTr="007C2DC8">
        <w:trPr>
          <w:trHeight w:val="238"/>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n=32</w:t>
            </w:r>
          </w:p>
        </w:tc>
        <w:tc>
          <w:tcPr>
            <w:tcW w:w="1072"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8580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14800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5750</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877</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171</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392</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44</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207</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34</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72</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7.8</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38</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931</w:t>
            </w:r>
          </w:p>
        </w:tc>
      </w:tr>
      <w:tr w:rsidR="00363AA9" w:rsidRPr="00363AA9" w:rsidTr="007C2DC8">
        <w:trPr>
          <w:trHeight w:val="238"/>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1072"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2650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1180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708</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2360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360</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81</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186</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278</w:t>
            </w:r>
          </w:p>
        </w:tc>
      </w:tr>
      <w:tr w:rsidR="00363AA9" w:rsidRPr="00363AA9" w:rsidTr="007C2DC8">
        <w:trPr>
          <w:trHeight w:val="238"/>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TK4</w:t>
            </w:r>
          </w:p>
        </w:tc>
        <w:tc>
          <w:tcPr>
            <w:tcW w:w="1072"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4990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9010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956</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3310</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480</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127</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318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37</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160</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41</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530</w:t>
            </w:r>
          </w:p>
        </w:tc>
      </w:tr>
      <w:tr w:rsidR="00363AA9" w:rsidRPr="00363AA9" w:rsidTr="007C2DC8">
        <w:trPr>
          <w:trHeight w:val="238"/>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n=115</w:t>
            </w:r>
          </w:p>
        </w:tc>
        <w:tc>
          <w:tcPr>
            <w:tcW w:w="1072"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9930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15350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1570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5340</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833</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236</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749</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104</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498</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68</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119</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11.6</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58</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7.2</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1555</w:t>
            </w:r>
          </w:p>
        </w:tc>
      </w:tr>
      <w:tr w:rsidR="00363AA9" w:rsidRPr="00363AA9" w:rsidTr="007C2DC8">
        <w:trPr>
          <w:trHeight w:val="238"/>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1072"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2120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4460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513</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1935</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276</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71</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167</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79</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0.8</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258</w:t>
            </w:r>
          </w:p>
        </w:tc>
      </w:tr>
      <w:tr w:rsidR="00363AA9" w:rsidRPr="00363AA9" w:rsidTr="007C2DC8">
        <w:trPr>
          <w:trHeight w:val="238"/>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TK5</w:t>
            </w:r>
          </w:p>
        </w:tc>
        <w:tc>
          <w:tcPr>
            <w:tcW w:w="1072"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5470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9430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1040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3720</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628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163</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430</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190</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45</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4.1</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632</w:t>
            </w:r>
          </w:p>
        </w:tc>
      </w:tr>
      <w:tr w:rsidR="00363AA9" w:rsidRPr="00363AA9" w:rsidTr="007C2DC8">
        <w:trPr>
          <w:trHeight w:val="238"/>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n=18</w:t>
            </w:r>
          </w:p>
        </w:tc>
        <w:tc>
          <w:tcPr>
            <w:tcW w:w="1072"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7160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13900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5470</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825</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227</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617</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76</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331</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48</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86</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8.4</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39</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4.5</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1190</w:t>
            </w:r>
          </w:p>
        </w:tc>
      </w:tr>
      <w:tr w:rsidR="00363AA9" w:rsidRPr="00363AA9" w:rsidTr="007C2DC8">
        <w:trPr>
          <w:trHeight w:val="238"/>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1072"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3180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1080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759</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2580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415</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91</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221</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97</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29</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2.9</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378</w:t>
            </w:r>
          </w:p>
        </w:tc>
      </w:tr>
      <w:tr w:rsidR="00363AA9" w:rsidRPr="00363AA9" w:rsidTr="007C2DC8">
        <w:trPr>
          <w:trHeight w:val="238"/>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TK6</w:t>
            </w:r>
          </w:p>
        </w:tc>
        <w:tc>
          <w:tcPr>
            <w:tcW w:w="1072"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6340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13000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1470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5540</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888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504</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29</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4.8</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705</w:t>
            </w:r>
          </w:p>
        </w:tc>
      </w:tr>
      <w:tr w:rsidR="00363AA9" w:rsidRPr="00363AA9" w:rsidTr="007C2DC8">
        <w:trPr>
          <w:trHeight w:val="238"/>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n=8</w:t>
            </w:r>
          </w:p>
        </w:tc>
        <w:tc>
          <w:tcPr>
            <w:tcW w:w="1072"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7520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15000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1700</w:t>
            </w:r>
          </w:p>
        </w:tc>
        <w:tc>
          <w:tcPr>
            <w:tcW w:w="85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6700</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993</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237</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604</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69</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279</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39</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72</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6.6</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w:t>
            </w:r>
          </w:p>
        </w:tc>
        <w:tc>
          <w:tcPr>
            <w:tcW w:w="68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3.5</w:t>
            </w:r>
          </w:p>
        </w:tc>
        <w:tc>
          <w:tcPr>
            <w:tcW w:w="794"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954</w:t>
            </w:r>
          </w:p>
        </w:tc>
      </w:tr>
      <w:tr w:rsidR="00363AA9" w:rsidRPr="00363AA9" w:rsidTr="007C2DC8">
        <w:trPr>
          <w:trHeight w:val="238"/>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1072"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4660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10100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1300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4810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777</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180</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446</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46</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168</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40</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3.5</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567</w:t>
            </w:r>
          </w:p>
        </w:tc>
      </w:tr>
      <w:tr w:rsidR="00363AA9" w:rsidRPr="00363AA9" w:rsidTr="007C2DC8">
        <w:trPr>
          <w:trHeight w:val="238"/>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TK7</w:t>
            </w:r>
          </w:p>
        </w:tc>
        <w:tc>
          <w:tcPr>
            <w:tcW w:w="1072"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5480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10600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1140</w:t>
            </w:r>
          </w:p>
        </w:tc>
        <w:tc>
          <w:tcPr>
            <w:tcW w:w="85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4230</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634</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172</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437</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52</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211</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5.1</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w:t>
            </w:r>
          </w:p>
        </w:tc>
        <w:tc>
          <w:tcPr>
            <w:tcW w:w="68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2.3</w:t>
            </w:r>
          </w:p>
        </w:tc>
        <w:tc>
          <w:tcPr>
            <w:tcW w:w="794"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704</w:t>
            </w:r>
          </w:p>
        </w:tc>
      </w:tr>
      <w:tr w:rsidR="00363AA9" w:rsidRPr="00363AA9" w:rsidTr="007C2DC8">
        <w:trPr>
          <w:trHeight w:val="238"/>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n=18</w:t>
            </w:r>
          </w:p>
        </w:tc>
        <w:tc>
          <w:tcPr>
            <w:tcW w:w="1072"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8320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13700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1400</w:t>
            </w:r>
          </w:p>
        </w:tc>
        <w:tc>
          <w:tcPr>
            <w:tcW w:w="85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5310</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802</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220</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543</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62</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269</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41</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75</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7.4</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38</w:t>
            </w:r>
          </w:p>
        </w:tc>
        <w:tc>
          <w:tcPr>
            <w:tcW w:w="68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4.8</w:t>
            </w:r>
          </w:p>
        </w:tc>
        <w:tc>
          <w:tcPr>
            <w:tcW w:w="794"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994</w:t>
            </w:r>
          </w:p>
        </w:tc>
      </w:tr>
      <w:tr w:rsidR="00DF42BB" w:rsidRPr="00363AA9" w:rsidTr="007C2DC8">
        <w:trPr>
          <w:trHeight w:val="238"/>
        </w:trPr>
        <w:tc>
          <w:tcPr>
            <w:tcW w:w="1016"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1072"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85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4040</w:t>
            </w:r>
          </w:p>
        </w:tc>
        <w:tc>
          <w:tcPr>
            <w:tcW w:w="85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8030</w:t>
            </w:r>
          </w:p>
        </w:tc>
        <w:tc>
          <w:tcPr>
            <w:tcW w:w="85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844</w:t>
            </w:r>
          </w:p>
        </w:tc>
        <w:tc>
          <w:tcPr>
            <w:tcW w:w="85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2850</w:t>
            </w:r>
          </w:p>
        </w:tc>
        <w:tc>
          <w:tcPr>
            <w:tcW w:w="794"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467</w:t>
            </w:r>
          </w:p>
        </w:tc>
        <w:tc>
          <w:tcPr>
            <w:tcW w:w="68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135</w:t>
            </w:r>
          </w:p>
        </w:tc>
        <w:tc>
          <w:tcPr>
            <w:tcW w:w="68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367</w:t>
            </w:r>
          </w:p>
        </w:tc>
        <w:tc>
          <w:tcPr>
            <w:tcW w:w="68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46</w:t>
            </w:r>
          </w:p>
        </w:tc>
        <w:tc>
          <w:tcPr>
            <w:tcW w:w="68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155</w:t>
            </w:r>
          </w:p>
        </w:tc>
        <w:tc>
          <w:tcPr>
            <w:tcW w:w="68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w:t>
            </w:r>
          </w:p>
        </w:tc>
        <w:tc>
          <w:tcPr>
            <w:tcW w:w="68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37</w:t>
            </w:r>
          </w:p>
        </w:tc>
        <w:tc>
          <w:tcPr>
            <w:tcW w:w="68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3.4</w:t>
            </w:r>
          </w:p>
        </w:tc>
        <w:tc>
          <w:tcPr>
            <w:tcW w:w="68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w:t>
            </w:r>
          </w:p>
        </w:tc>
        <w:tc>
          <w:tcPr>
            <w:tcW w:w="68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w:t>
            </w:r>
          </w:p>
        </w:tc>
        <w:tc>
          <w:tcPr>
            <w:tcW w:w="794"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468</w:t>
            </w:r>
          </w:p>
        </w:tc>
      </w:tr>
    </w:tbl>
    <w:p w:rsidR="00DF42BB" w:rsidRPr="00363AA9" w:rsidRDefault="00DF42BB" w:rsidP="00DF42BB">
      <w:pPr>
        <w:rPr>
          <w:color w:val="000000" w:themeColor="text1"/>
        </w:rPr>
      </w:pPr>
    </w:p>
    <w:p w:rsidR="00DF42BB" w:rsidRPr="00363AA9" w:rsidRDefault="00DF42BB" w:rsidP="00DF42BB">
      <w:pPr>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Table 3:</w:t>
      </w:r>
      <w:r w:rsidRPr="00363AA9">
        <w:rPr>
          <w:rFonts w:ascii="Times New Roman" w:hAnsi="Times New Roman" w:cs="Times New Roman"/>
          <w:color w:val="000000" w:themeColor="text1"/>
          <w:sz w:val="24"/>
          <w:szCs w:val="24"/>
        </w:rPr>
        <w:t xml:space="preserve"> Rare earth element concentrations (ppm) of TCC outcrop areas.</w:t>
      </w:r>
    </w:p>
    <w:p w:rsidR="00DF42BB" w:rsidRPr="00363AA9" w:rsidRDefault="00DF42BB">
      <w:pPr>
        <w:spacing w:after="160" w:line="259" w:lineRule="auto"/>
        <w:rPr>
          <w:color w:val="000000" w:themeColor="text1"/>
        </w:rPr>
      </w:pPr>
      <w:r w:rsidRPr="00363AA9">
        <w:rPr>
          <w:color w:val="000000" w:themeColor="text1"/>
        </w:rPr>
        <w:br w:type="page"/>
      </w:r>
    </w:p>
    <w:p w:rsidR="00DF42BB" w:rsidRPr="00363AA9" w:rsidRDefault="00DF42BB">
      <w:pPr>
        <w:spacing w:after="160" w:line="259" w:lineRule="auto"/>
        <w:rPr>
          <w:color w:val="000000" w:themeColor="text1"/>
        </w:rPr>
        <w:sectPr w:rsidR="00DF42BB" w:rsidRPr="00363AA9" w:rsidSect="007C2DC8">
          <w:pgSz w:w="16838" w:h="11906" w:orient="landscape"/>
          <w:pgMar w:top="1440" w:right="1440" w:bottom="1440" w:left="1440" w:header="708" w:footer="708" w:gutter="0"/>
          <w:cols w:space="708"/>
          <w:docGrid w:linePitch="360"/>
        </w:sectPr>
      </w:pPr>
    </w:p>
    <w:tbl>
      <w:tblPr>
        <w:tblW w:w="4856" w:type="dxa"/>
        <w:tblLook w:val="04A0" w:firstRow="1" w:lastRow="0" w:firstColumn="1" w:lastColumn="0" w:noHBand="0" w:noVBand="1"/>
      </w:tblPr>
      <w:tblGrid>
        <w:gridCol w:w="1016"/>
        <w:gridCol w:w="960"/>
        <w:gridCol w:w="960"/>
        <w:gridCol w:w="960"/>
        <w:gridCol w:w="960"/>
      </w:tblGrid>
      <w:tr w:rsidR="00363AA9" w:rsidRPr="00363AA9" w:rsidTr="007C2DC8">
        <w:trPr>
          <w:trHeight w:val="232"/>
        </w:trPr>
        <w:tc>
          <w:tcPr>
            <w:tcW w:w="1016"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lastRenderedPageBreak/>
              <w:t>outcrop</w:t>
            </w:r>
          </w:p>
        </w:tc>
        <w:tc>
          <w:tcPr>
            <w:tcW w:w="96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p>
        </w:tc>
        <w:tc>
          <w:tcPr>
            <w:tcW w:w="96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Nb</w:t>
            </w:r>
          </w:p>
        </w:tc>
        <w:tc>
          <w:tcPr>
            <w:tcW w:w="96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Th</w:t>
            </w:r>
          </w:p>
        </w:tc>
        <w:tc>
          <w:tcPr>
            <w:tcW w:w="960" w:type="dxa"/>
            <w:tcBorders>
              <w:top w:val="single" w:sz="4" w:space="0" w:color="auto"/>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b/>
                <w:bCs/>
                <w:color w:val="000000" w:themeColor="text1"/>
                <w:sz w:val="24"/>
                <w:szCs w:val="24"/>
                <w:lang w:eastAsia="en-GB"/>
              </w:rPr>
            </w:pPr>
            <w:r w:rsidRPr="00363AA9">
              <w:rPr>
                <w:rFonts w:ascii="Times New Roman" w:eastAsia="Times New Roman" w:hAnsi="Times New Roman" w:cs="Times New Roman"/>
                <w:b/>
                <w:bCs/>
                <w:color w:val="000000" w:themeColor="text1"/>
                <w:sz w:val="24"/>
                <w:szCs w:val="24"/>
                <w:lang w:eastAsia="en-GB"/>
              </w:rPr>
              <w:t>U</w:t>
            </w:r>
          </w:p>
        </w:tc>
      </w:tr>
      <w:tr w:rsidR="00363AA9" w:rsidRPr="00363AA9" w:rsidTr="007C2DC8">
        <w:trPr>
          <w:trHeight w:val="232"/>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TK1A</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400</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175</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2.2</w:t>
            </w:r>
          </w:p>
        </w:tc>
      </w:tr>
      <w:tr w:rsidR="00363AA9" w:rsidRPr="00363AA9" w:rsidTr="007C2DC8">
        <w:trPr>
          <w:trHeight w:val="232"/>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n=54</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2440</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450</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4.6</w:t>
            </w:r>
          </w:p>
        </w:tc>
      </w:tr>
      <w:tr w:rsidR="00363AA9" w:rsidRPr="00363AA9" w:rsidTr="007C2DC8">
        <w:trPr>
          <w:trHeight w:val="232"/>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0.9</w:t>
            </w:r>
          </w:p>
        </w:tc>
      </w:tr>
      <w:tr w:rsidR="00363AA9" w:rsidRPr="00363AA9" w:rsidTr="007C2DC8">
        <w:trPr>
          <w:trHeight w:val="232"/>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TK1B</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266</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136</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1.6</w:t>
            </w:r>
          </w:p>
        </w:tc>
      </w:tr>
      <w:tr w:rsidR="00363AA9" w:rsidRPr="00363AA9" w:rsidTr="007C2DC8">
        <w:trPr>
          <w:trHeight w:val="232"/>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n=13</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695</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323</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3.0</w:t>
            </w:r>
          </w:p>
        </w:tc>
      </w:tr>
      <w:tr w:rsidR="00363AA9" w:rsidRPr="00363AA9" w:rsidTr="007C2DC8">
        <w:trPr>
          <w:trHeight w:val="232"/>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55</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0.6</w:t>
            </w:r>
          </w:p>
        </w:tc>
      </w:tr>
      <w:tr w:rsidR="00363AA9" w:rsidRPr="00363AA9" w:rsidTr="007C2DC8">
        <w:trPr>
          <w:trHeight w:val="232"/>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TK2</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191</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264</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w:t>
            </w:r>
          </w:p>
        </w:tc>
      </w:tr>
      <w:tr w:rsidR="00363AA9" w:rsidRPr="00363AA9" w:rsidTr="007C2DC8">
        <w:trPr>
          <w:trHeight w:val="232"/>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n=32</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1255</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754</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4.9</w:t>
            </w:r>
          </w:p>
        </w:tc>
      </w:tr>
      <w:tr w:rsidR="00363AA9" w:rsidRPr="00363AA9" w:rsidTr="007C2DC8">
        <w:trPr>
          <w:trHeight w:val="232"/>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5.2</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0.5</w:t>
            </w:r>
          </w:p>
        </w:tc>
      </w:tr>
      <w:tr w:rsidR="00363AA9" w:rsidRPr="00363AA9" w:rsidTr="007C2DC8">
        <w:trPr>
          <w:trHeight w:val="232"/>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TK3</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29</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141</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w:t>
            </w:r>
          </w:p>
        </w:tc>
      </w:tr>
      <w:tr w:rsidR="00363AA9" w:rsidRPr="00363AA9" w:rsidTr="007C2DC8">
        <w:trPr>
          <w:trHeight w:val="232"/>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n=32</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180</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530</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4.8</w:t>
            </w:r>
          </w:p>
        </w:tc>
      </w:tr>
      <w:tr w:rsidR="00363AA9" w:rsidRPr="00363AA9" w:rsidTr="007C2DC8">
        <w:trPr>
          <w:trHeight w:val="232"/>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7.3</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49</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1.0</w:t>
            </w:r>
          </w:p>
        </w:tc>
      </w:tr>
      <w:tr w:rsidR="00363AA9" w:rsidRPr="00363AA9" w:rsidTr="007C2DC8">
        <w:trPr>
          <w:trHeight w:val="232"/>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TK4</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29</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530</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3.4</w:t>
            </w:r>
          </w:p>
        </w:tc>
      </w:tr>
      <w:tr w:rsidR="00363AA9" w:rsidRPr="00363AA9" w:rsidTr="007C2DC8">
        <w:trPr>
          <w:trHeight w:val="232"/>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n=115</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459</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1175</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8.2</w:t>
            </w:r>
          </w:p>
        </w:tc>
      </w:tr>
      <w:tr w:rsidR="00363AA9" w:rsidRPr="00363AA9" w:rsidTr="007C2DC8">
        <w:trPr>
          <w:trHeight w:val="232"/>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201</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w:t>
            </w:r>
          </w:p>
        </w:tc>
      </w:tr>
      <w:tr w:rsidR="00363AA9" w:rsidRPr="00363AA9" w:rsidTr="007C2DC8">
        <w:trPr>
          <w:trHeight w:val="232"/>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TK5</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69</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425</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1.2</w:t>
            </w:r>
          </w:p>
        </w:tc>
      </w:tr>
      <w:tr w:rsidR="00363AA9" w:rsidRPr="00363AA9" w:rsidTr="007C2DC8">
        <w:trPr>
          <w:trHeight w:val="232"/>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n=18</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192</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687</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2.5</w:t>
            </w:r>
          </w:p>
        </w:tc>
      </w:tr>
      <w:tr w:rsidR="00363AA9" w:rsidRPr="00363AA9" w:rsidTr="007C2DC8">
        <w:trPr>
          <w:trHeight w:val="232"/>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201</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0.5</w:t>
            </w:r>
          </w:p>
        </w:tc>
      </w:tr>
      <w:tr w:rsidR="00363AA9" w:rsidRPr="00363AA9" w:rsidTr="007C2DC8">
        <w:trPr>
          <w:trHeight w:val="232"/>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TK6</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84</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388</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2.1</w:t>
            </w:r>
          </w:p>
        </w:tc>
      </w:tr>
      <w:tr w:rsidR="00363AA9" w:rsidRPr="00363AA9" w:rsidTr="007C2DC8">
        <w:trPr>
          <w:trHeight w:val="232"/>
        </w:trPr>
        <w:tc>
          <w:tcPr>
            <w:tcW w:w="1016"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n=8</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260</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921</w:t>
            </w:r>
          </w:p>
        </w:tc>
        <w:tc>
          <w:tcPr>
            <w:tcW w:w="960" w:type="dxa"/>
            <w:tcBorders>
              <w:top w:val="nil"/>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6.5</w:t>
            </w:r>
          </w:p>
        </w:tc>
      </w:tr>
      <w:tr w:rsidR="00363AA9" w:rsidRPr="00363AA9" w:rsidTr="007C2DC8">
        <w:trPr>
          <w:trHeight w:val="232"/>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17</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144</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0.7</w:t>
            </w:r>
          </w:p>
        </w:tc>
      </w:tr>
      <w:tr w:rsidR="00363AA9" w:rsidRPr="00363AA9" w:rsidTr="007C2DC8">
        <w:trPr>
          <w:trHeight w:val="232"/>
        </w:trPr>
        <w:tc>
          <w:tcPr>
            <w:tcW w:w="1016"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TK7</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mean</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18</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438</w:t>
            </w:r>
          </w:p>
        </w:tc>
        <w:tc>
          <w:tcPr>
            <w:tcW w:w="960" w:type="dxa"/>
            <w:tcBorders>
              <w:top w:val="single" w:sz="4" w:space="0" w:color="auto"/>
              <w:left w:val="nil"/>
              <w:bottom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2.9</w:t>
            </w:r>
          </w:p>
        </w:tc>
      </w:tr>
      <w:tr w:rsidR="00363AA9" w:rsidRPr="00363AA9" w:rsidTr="007C2DC8">
        <w:trPr>
          <w:trHeight w:val="232"/>
        </w:trPr>
        <w:tc>
          <w:tcPr>
            <w:tcW w:w="1016"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n=24</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max</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84</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631</w:t>
            </w:r>
          </w:p>
        </w:tc>
        <w:tc>
          <w:tcPr>
            <w:tcW w:w="960" w:type="dxa"/>
            <w:tcBorders>
              <w:top w:val="nil"/>
              <w:left w:val="nil"/>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7.9</w:t>
            </w:r>
          </w:p>
        </w:tc>
      </w:tr>
      <w:tr w:rsidR="00DF42BB" w:rsidRPr="00363AA9" w:rsidTr="007C2DC8">
        <w:trPr>
          <w:trHeight w:val="232"/>
        </w:trPr>
        <w:tc>
          <w:tcPr>
            <w:tcW w:w="1016"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p>
        </w:tc>
        <w:tc>
          <w:tcPr>
            <w:tcW w:w="96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min</w:t>
            </w:r>
          </w:p>
        </w:tc>
        <w:tc>
          <w:tcPr>
            <w:tcW w:w="96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1.3</w:t>
            </w:r>
          </w:p>
        </w:tc>
        <w:tc>
          <w:tcPr>
            <w:tcW w:w="96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294</w:t>
            </w:r>
          </w:p>
        </w:tc>
        <w:tc>
          <w:tcPr>
            <w:tcW w:w="960" w:type="dxa"/>
            <w:tcBorders>
              <w:top w:val="nil"/>
              <w:left w:val="nil"/>
              <w:bottom w:val="single" w:sz="4" w:space="0" w:color="auto"/>
              <w:right w:val="nil"/>
            </w:tcBorders>
            <w:shd w:val="clear" w:color="auto" w:fill="auto"/>
            <w:noWrap/>
            <w:vAlign w:val="center"/>
            <w:hideMark/>
          </w:tcPr>
          <w:p w:rsidR="00DF42BB" w:rsidRPr="00363AA9" w:rsidRDefault="00DF42BB" w:rsidP="007C2DC8">
            <w:pPr>
              <w:spacing w:line="240" w:lineRule="auto"/>
              <w:jc w:val="center"/>
              <w:rPr>
                <w:rFonts w:ascii="Times New Roman" w:eastAsia="Times New Roman" w:hAnsi="Times New Roman" w:cs="Times New Roman"/>
                <w:color w:val="000000" w:themeColor="text1"/>
                <w:sz w:val="24"/>
                <w:szCs w:val="24"/>
                <w:lang w:eastAsia="en-GB"/>
              </w:rPr>
            </w:pPr>
            <w:r w:rsidRPr="00363AA9">
              <w:rPr>
                <w:rFonts w:ascii="Times New Roman" w:eastAsia="Times New Roman" w:hAnsi="Times New Roman" w:cs="Times New Roman"/>
                <w:color w:val="000000" w:themeColor="text1"/>
                <w:sz w:val="24"/>
                <w:szCs w:val="24"/>
                <w:lang w:eastAsia="en-GB"/>
              </w:rPr>
              <w:t>0.9</w:t>
            </w:r>
          </w:p>
        </w:tc>
      </w:tr>
    </w:tbl>
    <w:p w:rsidR="00DF42BB" w:rsidRPr="00363AA9" w:rsidRDefault="00DF42BB" w:rsidP="00DF42BB">
      <w:pPr>
        <w:rPr>
          <w:color w:val="000000" w:themeColor="text1"/>
        </w:rPr>
      </w:pPr>
    </w:p>
    <w:p w:rsidR="00DF42BB" w:rsidRPr="00363AA9" w:rsidRDefault="00DF42BB" w:rsidP="00DF42BB">
      <w:pPr>
        <w:rPr>
          <w:rFonts w:ascii="Times New Roman" w:hAnsi="Times New Roman" w:cs="Times New Roman"/>
          <w:color w:val="000000" w:themeColor="text1"/>
          <w:sz w:val="24"/>
          <w:szCs w:val="24"/>
        </w:rPr>
      </w:pPr>
      <w:r w:rsidRPr="00363AA9">
        <w:rPr>
          <w:rFonts w:ascii="Times New Roman" w:hAnsi="Times New Roman" w:cs="Times New Roman"/>
          <w:b/>
          <w:color w:val="000000" w:themeColor="text1"/>
          <w:sz w:val="24"/>
          <w:szCs w:val="24"/>
        </w:rPr>
        <w:t>Table 4:</w:t>
      </w:r>
      <w:r w:rsidRPr="00363AA9">
        <w:rPr>
          <w:rFonts w:ascii="Times New Roman" w:hAnsi="Times New Roman" w:cs="Times New Roman"/>
          <w:color w:val="000000" w:themeColor="text1"/>
          <w:sz w:val="24"/>
          <w:szCs w:val="24"/>
        </w:rPr>
        <w:t xml:space="preserve"> Trace element concentrations (ppm) of TCC outcrop areas.</w:t>
      </w:r>
    </w:p>
    <w:p w:rsidR="00DF42BB" w:rsidRPr="00E4639E" w:rsidRDefault="00DF42BB">
      <w:pPr>
        <w:spacing w:after="160" w:line="259" w:lineRule="auto"/>
      </w:pPr>
      <w:r w:rsidRPr="00E4639E">
        <w:br w:type="page"/>
      </w:r>
    </w:p>
    <w:p w:rsidR="00DF42BB" w:rsidRPr="001A6537" w:rsidRDefault="00DF42BB" w:rsidP="00DF42BB">
      <w:pPr>
        <w:spacing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0"/>
        <w:gridCol w:w="1236"/>
        <w:gridCol w:w="1497"/>
        <w:gridCol w:w="783"/>
        <w:gridCol w:w="1450"/>
        <w:gridCol w:w="1450"/>
        <w:gridCol w:w="1450"/>
      </w:tblGrid>
      <w:tr w:rsidR="00DF42BB" w:rsidRPr="001A6537" w:rsidTr="007C2DC8">
        <w:tc>
          <w:tcPr>
            <w:tcW w:w="1000" w:type="dxa"/>
            <w:tcBorders>
              <w:top w:val="single" w:sz="4" w:space="0" w:color="auto"/>
              <w:bottom w:val="single" w:sz="4" w:space="0" w:color="auto"/>
            </w:tcBorders>
          </w:tcPr>
          <w:p w:rsidR="00DF42BB" w:rsidRPr="001A6537" w:rsidRDefault="00DF42BB" w:rsidP="00DF42BB">
            <w:pPr>
              <w:spacing w:line="240" w:lineRule="auto"/>
              <w:jc w:val="both"/>
              <w:rPr>
                <w:rFonts w:ascii="Times New Roman" w:hAnsi="Times New Roman" w:cs="Times New Roman"/>
                <w:b/>
                <w:sz w:val="24"/>
                <w:szCs w:val="24"/>
              </w:rPr>
            </w:pPr>
            <w:r w:rsidRPr="001A6537">
              <w:rPr>
                <w:rFonts w:ascii="Times New Roman" w:hAnsi="Times New Roman" w:cs="Times New Roman"/>
                <w:b/>
                <w:sz w:val="24"/>
                <w:szCs w:val="24"/>
              </w:rPr>
              <w:t>Sample</w:t>
            </w:r>
          </w:p>
        </w:tc>
        <w:tc>
          <w:tcPr>
            <w:tcW w:w="1236" w:type="dxa"/>
            <w:tcBorders>
              <w:top w:val="single" w:sz="4" w:space="0" w:color="auto"/>
              <w:bottom w:val="single" w:sz="4" w:space="0" w:color="auto"/>
            </w:tcBorders>
          </w:tcPr>
          <w:p w:rsidR="00DF42BB" w:rsidRPr="001A6537" w:rsidRDefault="00DF42BB" w:rsidP="00DF42BB">
            <w:pPr>
              <w:spacing w:line="240" w:lineRule="auto"/>
              <w:jc w:val="center"/>
              <w:rPr>
                <w:rFonts w:ascii="Times New Roman" w:hAnsi="Times New Roman" w:cs="Times New Roman"/>
                <w:b/>
                <w:sz w:val="24"/>
                <w:szCs w:val="24"/>
              </w:rPr>
            </w:pPr>
            <w:r w:rsidRPr="001A6537">
              <w:rPr>
                <w:rFonts w:ascii="Times New Roman" w:hAnsi="Times New Roman" w:cs="Times New Roman"/>
                <w:b/>
                <w:sz w:val="24"/>
                <w:szCs w:val="24"/>
                <w:vertAlign w:val="superscript"/>
              </w:rPr>
              <w:t>87</w:t>
            </w:r>
            <w:r w:rsidRPr="001A6537">
              <w:rPr>
                <w:rFonts w:ascii="Times New Roman" w:hAnsi="Times New Roman" w:cs="Times New Roman"/>
                <w:b/>
                <w:sz w:val="24"/>
                <w:szCs w:val="24"/>
              </w:rPr>
              <w:t>Sr/</w:t>
            </w:r>
            <w:r w:rsidRPr="001A6537">
              <w:rPr>
                <w:rFonts w:ascii="Times New Roman" w:hAnsi="Times New Roman" w:cs="Times New Roman"/>
                <w:b/>
                <w:sz w:val="24"/>
                <w:szCs w:val="24"/>
                <w:vertAlign w:val="superscript"/>
              </w:rPr>
              <w:t>86</w:t>
            </w:r>
            <w:r w:rsidRPr="001A6537">
              <w:rPr>
                <w:rFonts w:ascii="Times New Roman" w:hAnsi="Times New Roman" w:cs="Times New Roman"/>
                <w:b/>
                <w:sz w:val="24"/>
                <w:szCs w:val="24"/>
              </w:rPr>
              <w:t>Sr</w:t>
            </w:r>
          </w:p>
        </w:tc>
        <w:tc>
          <w:tcPr>
            <w:tcW w:w="1497" w:type="dxa"/>
            <w:tcBorders>
              <w:top w:val="single" w:sz="4" w:space="0" w:color="auto"/>
              <w:bottom w:val="single" w:sz="4" w:space="0" w:color="auto"/>
            </w:tcBorders>
          </w:tcPr>
          <w:p w:rsidR="00DF42BB" w:rsidRPr="001A6537" w:rsidRDefault="00DF42BB" w:rsidP="00DF42BB">
            <w:pPr>
              <w:spacing w:line="240" w:lineRule="auto"/>
              <w:jc w:val="center"/>
              <w:rPr>
                <w:rFonts w:ascii="Times New Roman" w:hAnsi="Times New Roman" w:cs="Times New Roman"/>
                <w:b/>
                <w:sz w:val="24"/>
                <w:szCs w:val="24"/>
              </w:rPr>
            </w:pPr>
            <w:r w:rsidRPr="001A6537">
              <w:rPr>
                <w:rFonts w:ascii="Times New Roman" w:hAnsi="Times New Roman" w:cs="Times New Roman"/>
                <w:b/>
                <w:sz w:val="24"/>
                <w:szCs w:val="24"/>
                <w:vertAlign w:val="superscript"/>
              </w:rPr>
              <w:t>143</w:t>
            </w:r>
            <w:r w:rsidRPr="001A6537">
              <w:rPr>
                <w:rFonts w:ascii="Times New Roman" w:hAnsi="Times New Roman" w:cs="Times New Roman"/>
                <w:b/>
                <w:sz w:val="24"/>
                <w:szCs w:val="24"/>
              </w:rPr>
              <w:t>Nd/</w:t>
            </w:r>
            <w:r w:rsidRPr="001A6537">
              <w:rPr>
                <w:rFonts w:ascii="Times New Roman" w:hAnsi="Times New Roman" w:cs="Times New Roman"/>
                <w:b/>
                <w:sz w:val="24"/>
                <w:szCs w:val="24"/>
                <w:vertAlign w:val="superscript"/>
              </w:rPr>
              <w:t>144</w:t>
            </w:r>
            <w:r w:rsidRPr="001A6537">
              <w:rPr>
                <w:rFonts w:ascii="Times New Roman" w:hAnsi="Times New Roman" w:cs="Times New Roman"/>
                <w:b/>
                <w:sz w:val="24"/>
                <w:szCs w:val="24"/>
              </w:rPr>
              <w:t>Nd</w:t>
            </w:r>
          </w:p>
        </w:tc>
        <w:tc>
          <w:tcPr>
            <w:tcW w:w="783" w:type="dxa"/>
            <w:tcBorders>
              <w:top w:val="single" w:sz="4" w:space="0" w:color="auto"/>
              <w:bottom w:val="single" w:sz="4" w:space="0" w:color="auto"/>
            </w:tcBorders>
          </w:tcPr>
          <w:p w:rsidR="00DF42BB" w:rsidRPr="001A6537" w:rsidRDefault="00DF42BB" w:rsidP="00DF42BB">
            <w:pPr>
              <w:spacing w:line="240" w:lineRule="auto"/>
              <w:jc w:val="center"/>
              <w:rPr>
                <w:rFonts w:ascii="Times New Roman" w:hAnsi="Times New Roman" w:cs="Times New Roman"/>
                <w:b/>
                <w:sz w:val="24"/>
                <w:szCs w:val="24"/>
              </w:rPr>
            </w:pPr>
            <w:r w:rsidRPr="001A6537">
              <w:rPr>
                <w:rFonts w:ascii="Times New Roman" w:hAnsi="Times New Roman" w:cs="Times New Roman"/>
                <w:b/>
                <w:sz w:val="24"/>
                <w:szCs w:val="24"/>
              </w:rPr>
              <w:t>ɛNd</w:t>
            </w:r>
          </w:p>
        </w:tc>
        <w:tc>
          <w:tcPr>
            <w:tcW w:w="1450" w:type="dxa"/>
            <w:tcBorders>
              <w:top w:val="single" w:sz="4" w:space="0" w:color="auto"/>
              <w:bottom w:val="single" w:sz="4" w:space="0" w:color="auto"/>
            </w:tcBorders>
          </w:tcPr>
          <w:p w:rsidR="00DF42BB" w:rsidRPr="001A6537" w:rsidRDefault="00DF42BB" w:rsidP="00DF42BB">
            <w:pPr>
              <w:spacing w:line="240" w:lineRule="auto"/>
              <w:jc w:val="center"/>
              <w:rPr>
                <w:rFonts w:ascii="Times New Roman" w:hAnsi="Times New Roman" w:cs="Times New Roman"/>
                <w:b/>
                <w:sz w:val="24"/>
                <w:szCs w:val="24"/>
              </w:rPr>
            </w:pPr>
            <w:r w:rsidRPr="001A6537">
              <w:rPr>
                <w:rFonts w:ascii="Times New Roman" w:hAnsi="Times New Roman" w:cs="Times New Roman"/>
                <w:b/>
                <w:sz w:val="24"/>
                <w:szCs w:val="24"/>
                <w:vertAlign w:val="superscript"/>
              </w:rPr>
              <w:t>206</w:t>
            </w:r>
            <w:r w:rsidRPr="001A6537">
              <w:rPr>
                <w:rFonts w:ascii="Times New Roman" w:hAnsi="Times New Roman" w:cs="Times New Roman"/>
                <w:b/>
                <w:sz w:val="24"/>
                <w:szCs w:val="24"/>
              </w:rPr>
              <w:t>Pb/</w:t>
            </w:r>
            <w:r w:rsidRPr="001A6537">
              <w:rPr>
                <w:rFonts w:ascii="Times New Roman" w:hAnsi="Times New Roman" w:cs="Times New Roman"/>
                <w:b/>
                <w:sz w:val="24"/>
                <w:szCs w:val="24"/>
                <w:vertAlign w:val="superscript"/>
              </w:rPr>
              <w:t>204</w:t>
            </w:r>
            <w:r w:rsidRPr="001A6537">
              <w:rPr>
                <w:rFonts w:ascii="Times New Roman" w:hAnsi="Times New Roman" w:cs="Times New Roman"/>
                <w:b/>
                <w:sz w:val="24"/>
                <w:szCs w:val="24"/>
              </w:rPr>
              <w:t>Pb</w:t>
            </w:r>
          </w:p>
        </w:tc>
        <w:tc>
          <w:tcPr>
            <w:tcW w:w="1450" w:type="dxa"/>
            <w:tcBorders>
              <w:top w:val="single" w:sz="4" w:space="0" w:color="auto"/>
              <w:bottom w:val="single" w:sz="4" w:space="0" w:color="auto"/>
            </w:tcBorders>
          </w:tcPr>
          <w:p w:rsidR="00DF42BB" w:rsidRPr="001A6537" w:rsidRDefault="00DF42BB" w:rsidP="00DF42BB">
            <w:pPr>
              <w:spacing w:line="240" w:lineRule="auto"/>
              <w:jc w:val="center"/>
              <w:rPr>
                <w:rFonts w:ascii="Times New Roman" w:hAnsi="Times New Roman" w:cs="Times New Roman"/>
                <w:b/>
                <w:sz w:val="24"/>
                <w:szCs w:val="24"/>
              </w:rPr>
            </w:pPr>
            <w:r w:rsidRPr="001A6537">
              <w:rPr>
                <w:rFonts w:ascii="Times New Roman" w:hAnsi="Times New Roman" w:cs="Times New Roman"/>
                <w:b/>
                <w:sz w:val="24"/>
                <w:szCs w:val="24"/>
                <w:vertAlign w:val="superscript"/>
              </w:rPr>
              <w:t>207</w:t>
            </w:r>
            <w:r w:rsidRPr="001A6537">
              <w:rPr>
                <w:rFonts w:ascii="Times New Roman" w:hAnsi="Times New Roman" w:cs="Times New Roman"/>
                <w:b/>
                <w:sz w:val="24"/>
                <w:szCs w:val="24"/>
              </w:rPr>
              <w:t>Pb/</w:t>
            </w:r>
            <w:r w:rsidRPr="001A6537">
              <w:rPr>
                <w:rFonts w:ascii="Times New Roman" w:hAnsi="Times New Roman" w:cs="Times New Roman"/>
                <w:b/>
                <w:sz w:val="24"/>
                <w:szCs w:val="24"/>
                <w:vertAlign w:val="superscript"/>
              </w:rPr>
              <w:t>204</w:t>
            </w:r>
            <w:r w:rsidRPr="001A6537">
              <w:rPr>
                <w:rFonts w:ascii="Times New Roman" w:hAnsi="Times New Roman" w:cs="Times New Roman"/>
                <w:b/>
                <w:sz w:val="24"/>
                <w:szCs w:val="24"/>
              </w:rPr>
              <w:t>Pb</w:t>
            </w:r>
          </w:p>
        </w:tc>
        <w:tc>
          <w:tcPr>
            <w:tcW w:w="1450" w:type="dxa"/>
            <w:tcBorders>
              <w:top w:val="single" w:sz="4" w:space="0" w:color="auto"/>
              <w:bottom w:val="single" w:sz="4" w:space="0" w:color="auto"/>
            </w:tcBorders>
          </w:tcPr>
          <w:p w:rsidR="00DF42BB" w:rsidRPr="001A6537" w:rsidRDefault="00DF42BB" w:rsidP="00DF42BB">
            <w:pPr>
              <w:spacing w:line="240" w:lineRule="auto"/>
              <w:jc w:val="center"/>
              <w:rPr>
                <w:rFonts w:ascii="Times New Roman" w:hAnsi="Times New Roman" w:cs="Times New Roman"/>
                <w:b/>
                <w:sz w:val="24"/>
                <w:szCs w:val="24"/>
              </w:rPr>
            </w:pPr>
            <w:r w:rsidRPr="001A6537">
              <w:rPr>
                <w:rFonts w:ascii="Times New Roman" w:hAnsi="Times New Roman" w:cs="Times New Roman"/>
                <w:b/>
                <w:sz w:val="24"/>
                <w:szCs w:val="24"/>
                <w:vertAlign w:val="superscript"/>
              </w:rPr>
              <w:t>208</w:t>
            </w:r>
            <w:r w:rsidRPr="001A6537">
              <w:rPr>
                <w:rFonts w:ascii="Times New Roman" w:hAnsi="Times New Roman" w:cs="Times New Roman"/>
                <w:b/>
                <w:sz w:val="24"/>
                <w:szCs w:val="24"/>
              </w:rPr>
              <w:t>Pb/</w:t>
            </w:r>
            <w:r w:rsidRPr="001A6537">
              <w:rPr>
                <w:rFonts w:ascii="Times New Roman" w:hAnsi="Times New Roman" w:cs="Times New Roman"/>
                <w:b/>
                <w:sz w:val="24"/>
                <w:szCs w:val="24"/>
                <w:vertAlign w:val="superscript"/>
              </w:rPr>
              <w:t>204</w:t>
            </w:r>
            <w:r w:rsidRPr="001A6537">
              <w:rPr>
                <w:rFonts w:ascii="Times New Roman" w:hAnsi="Times New Roman" w:cs="Times New Roman"/>
                <w:b/>
                <w:sz w:val="24"/>
                <w:szCs w:val="24"/>
              </w:rPr>
              <w:t>Pb</w:t>
            </w:r>
          </w:p>
        </w:tc>
      </w:tr>
      <w:tr w:rsidR="00DF42BB" w:rsidRPr="001A6537" w:rsidTr="007C2DC8">
        <w:tc>
          <w:tcPr>
            <w:tcW w:w="1000" w:type="dxa"/>
            <w:tcBorders>
              <w:top w:val="single" w:sz="4" w:space="0" w:color="auto"/>
            </w:tcBorders>
          </w:tcPr>
          <w:p w:rsidR="00DF42BB" w:rsidRPr="001A6537" w:rsidRDefault="00DF42BB" w:rsidP="00DF42BB">
            <w:pPr>
              <w:spacing w:line="240" w:lineRule="auto"/>
              <w:jc w:val="both"/>
              <w:rPr>
                <w:rFonts w:ascii="Times New Roman" w:hAnsi="Times New Roman" w:cs="Times New Roman"/>
                <w:sz w:val="24"/>
                <w:szCs w:val="24"/>
              </w:rPr>
            </w:pPr>
            <w:r w:rsidRPr="001A6537">
              <w:rPr>
                <w:rFonts w:ascii="Times New Roman" w:hAnsi="Times New Roman" w:cs="Times New Roman"/>
                <w:sz w:val="24"/>
                <w:szCs w:val="24"/>
              </w:rPr>
              <w:t>TK1A</w:t>
            </w:r>
          </w:p>
        </w:tc>
        <w:tc>
          <w:tcPr>
            <w:tcW w:w="1236" w:type="dxa"/>
            <w:tcBorders>
              <w:top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0.704952</w:t>
            </w:r>
          </w:p>
        </w:tc>
        <w:tc>
          <w:tcPr>
            <w:tcW w:w="1497" w:type="dxa"/>
            <w:tcBorders>
              <w:top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0.512547</w:t>
            </w:r>
          </w:p>
        </w:tc>
        <w:tc>
          <w:tcPr>
            <w:tcW w:w="783" w:type="dxa"/>
            <w:tcBorders>
              <w:top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-0.76</w:t>
            </w:r>
          </w:p>
        </w:tc>
        <w:tc>
          <w:tcPr>
            <w:tcW w:w="1450" w:type="dxa"/>
            <w:tcBorders>
              <w:top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20.2733</w:t>
            </w:r>
          </w:p>
        </w:tc>
        <w:tc>
          <w:tcPr>
            <w:tcW w:w="1450" w:type="dxa"/>
            <w:tcBorders>
              <w:top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15.8150</w:t>
            </w:r>
          </w:p>
        </w:tc>
        <w:tc>
          <w:tcPr>
            <w:tcW w:w="1450" w:type="dxa"/>
            <w:tcBorders>
              <w:top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40.0503</w:t>
            </w:r>
          </w:p>
        </w:tc>
      </w:tr>
      <w:tr w:rsidR="00DF42BB" w:rsidRPr="001A6537" w:rsidTr="007C2DC8">
        <w:tc>
          <w:tcPr>
            <w:tcW w:w="1000" w:type="dxa"/>
          </w:tcPr>
          <w:p w:rsidR="00DF42BB" w:rsidRPr="001A6537" w:rsidRDefault="00DF42BB" w:rsidP="00DF42BB">
            <w:pPr>
              <w:spacing w:line="240" w:lineRule="auto"/>
              <w:jc w:val="both"/>
              <w:rPr>
                <w:rFonts w:ascii="Times New Roman" w:hAnsi="Times New Roman" w:cs="Times New Roman"/>
                <w:sz w:val="24"/>
                <w:szCs w:val="24"/>
              </w:rPr>
            </w:pPr>
            <w:r w:rsidRPr="001A6537">
              <w:rPr>
                <w:rFonts w:ascii="Times New Roman" w:hAnsi="Times New Roman" w:cs="Times New Roman"/>
                <w:sz w:val="24"/>
                <w:szCs w:val="24"/>
              </w:rPr>
              <w:t>TK1B</w:t>
            </w:r>
          </w:p>
        </w:tc>
        <w:tc>
          <w:tcPr>
            <w:tcW w:w="1236"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0.705179</w:t>
            </w:r>
          </w:p>
        </w:tc>
        <w:tc>
          <w:tcPr>
            <w:tcW w:w="1497" w:type="dxa"/>
          </w:tcPr>
          <w:p w:rsidR="00DF42BB" w:rsidRPr="001A6537" w:rsidRDefault="00DF42BB" w:rsidP="00DF42BB">
            <w:pPr>
              <w:spacing w:line="240" w:lineRule="auto"/>
              <w:jc w:val="center"/>
              <w:rPr>
                <w:rFonts w:ascii="Times New Roman" w:hAnsi="Times New Roman" w:cs="Times New Roman"/>
                <w:sz w:val="24"/>
                <w:szCs w:val="24"/>
              </w:rPr>
            </w:pPr>
          </w:p>
        </w:tc>
        <w:tc>
          <w:tcPr>
            <w:tcW w:w="783" w:type="dxa"/>
          </w:tcPr>
          <w:p w:rsidR="00DF42BB" w:rsidRPr="001A6537" w:rsidRDefault="00DF42BB" w:rsidP="00DF42BB">
            <w:pPr>
              <w:spacing w:line="240" w:lineRule="auto"/>
              <w:jc w:val="center"/>
              <w:rPr>
                <w:rFonts w:ascii="Times New Roman" w:hAnsi="Times New Roman" w:cs="Times New Roman"/>
                <w:sz w:val="24"/>
                <w:szCs w:val="24"/>
              </w:rPr>
            </w:pP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20.2807</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15.8147</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39.9514</w:t>
            </w:r>
          </w:p>
        </w:tc>
      </w:tr>
      <w:tr w:rsidR="00DF42BB" w:rsidRPr="001A6537" w:rsidTr="007C2DC8">
        <w:tc>
          <w:tcPr>
            <w:tcW w:w="1000" w:type="dxa"/>
          </w:tcPr>
          <w:p w:rsidR="00DF42BB" w:rsidRPr="001A6537" w:rsidRDefault="00DF42BB" w:rsidP="00DF42BB">
            <w:pPr>
              <w:spacing w:line="240" w:lineRule="auto"/>
              <w:jc w:val="both"/>
              <w:rPr>
                <w:rFonts w:ascii="Times New Roman" w:hAnsi="Times New Roman" w:cs="Times New Roman"/>
                <w:sz w:val="24"/>
                <w:szCs w:val="24"/>
              </w:rPr>
            </w:pPr>
            <w:r w:rsidRPr="001A6537">
              <w:rPr>
                <w:rFonts w:ascii="Times New Roman" w:hAnsi="Times New Roman" w:cs="Times New Roman"/>
                <w:sz w:val="24"/>
                <w:szCs w:val="24"/>
              </w:rPr>
              <w:t>TK2A</w:t>
            </w:r>
          </w:p>
        </w:tc>
        <w:tc>
          <w:tcPr>
            <w:tcW w:w="1236"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0.704046</w:t>
            </w:r>
          </w:p>
        </w:tc>
        <w:tc>
          <w:tcPr>
            <w:tcW w:w="1497"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0.512587</w:t>
            </w:r>
          </w:p>
        </w:tc>
        <w:tc>
          <w:tcPr>
            <w:tcW w:w="783"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0.16</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20.5187</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15.8295</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40.3570</w:t>
            </w:r>
          </w:p>
        </w:tc>
      </w:tr>
      <w:tr w:rsidR="00DF42BB" w:rsidRPr="001A6537" w:rsidTr="007C2DC8">
        <w:tc>
          <w:tcPr>
            <w:tcW w:w="1000" w:type="dxa"/>
          </w:tcPr>
          <w:p w:rsidR="00DF42BB" w:rsidRPr="001A6537" w:rsidRDefault="00DF42BB" w:rsidP="00DF42BB">
            <w:pPr>
              <w:spacing w:line="240" w:lineRule="auto"/>
              <w:jc w:val="both"/>
              <w:rPr>
                <w:rFonts w:ascii="Times New Roman" w:hAnsi="Times New Roman" w:cs="Times New Roman"/>
                <w:sz w:val="24"/>
                <w:szCs w:val="24"/>
              </w:rPr>
            </w:pPr>
            <w:r w:rsidRPr="001A6537">
              <w:rPr>
                <w:rFonts w:ascii="Times New Roman" w:hAnsi="Times New Roman" w:cs="Times New Roman"/>
                <w:sz w:val="24"/>
                <w:szCs w:val="24"/>
              </w:rPr>
              <w:t>TK2B</w:t>
            </w:r>
          </w:p>
        </w:tc>
        <w:tc>
          <w:tcPr>
            <w:tcW w:w="1236"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0.704581</w:t>
            </w:r>
          </w:p>
        </w:tc>
        <w:tc>
          <w:tcPr>
            <w:tcW w:w="1497"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0.512560</w:t>
            </w:r>
          </w:p>
        </w:tc>
        <w:tc>
          <w:tcPr>
            <w:tcW w:w="783"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-0.37</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20.4417</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15.8245</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40.1127</w:t>
            </w:r>
          </w:p>
        </w:tc>
      </w:tr>
      <w:tr w:rsidR="00DF42BB" w:rsidRPr="001A6537" w:rsidTr="007C2DC8">
        <w:tc>
          <w:tcPr>
            <w:tcW w:w="1000" w:type="dxa"/>
          </w:tcPr>
          <w:p w:rsidR="00DF42BB" w:rsidRPr="001A6537" w:rsidRDefault="00DF42BB" w:rsidP="00DF42BB">
            <w:pPr>
              <w:spacing w:line="240" w:lineRule="auto"/>
              <w:jc w:val="both"/>
              <w:rPr>
                <w:rFonts w:ascii="Times New Roman" w:hAnsi="Times New Roman" w:cs="Times New Roman"/>
                <w:sz w:val="24"/>
                <w:szCs w:val="24"/>
              </w:rPr>
            </w:pPr>
            <w:r w:rsidRPr="001A6537">
              <w:rPr>
                <w:rFonts w:ascii="Times New Roman" w:hAnsi="Times New Roman" w:cs="Times New Roman"/>
                <w:sz w:val="24"/>
                <w:szCs w:val="24"/>
              </w:rPr>
              <w:t>TK4</w:t>
            </w:r>
          </w:p>
        </w:tc>
        <w:tc>
          <w:tcPr>
            <w:tcW w:w="1236"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0.704342</w:t>
            </w:r>
          </w:p>
        </w:tc>
        <w:tc>
          <w:tcPr>
            <w:tcW w:w="1497"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0.512584</w:t>
            </w:r>
          </w:p>
        </w:tc>
        <w:tc>
          <w:tcPr>
            <w:tcW w:w="783"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-0.03</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20.3276</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15.8168</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41.2957</w:t>
            </w:r>
          </w:p>
        </w:tc>
      </w:tr>
      <w:tr w:rsidR="00DF42BB" w:rsidRPr="001A6537" w:rsidTr="007C2DC8">
        <w:tc>
          <w:tcPr>
            <w:tcW w:w="1000" w:type="dxa"/>
          </w:tcPr>
          <w:p w:rsidR="00DF42BB" w:rsidRPr="001A6537" w:rsidRDefault="00DF42BB" w:rsidP="00DF42BB">
            <w:pPr>
              <w:spacing w:line="240" w:lineRule="auto"/>
              <w:jc w:val="both"/>
              <w:rPr>
                <w:rFonts w:ascii="Times New Roman" w:hAnsi="Times New Roman" w:cs="Times New Roman"/>
                <w:sz w:val="24"/>
                <w:szCs w:val="24"/>
              </w:rPr>
            </w:pPr>
            <w:r w:rsidRPr="001A6537">
              <w:rPr>
                <w:rFonts w:ascii="Times New Roman" w:hAnsi="Times New Roman" w:cs="Times New Roman"/>
                <w:sz w:val="24"/>
                <w:szCs w:val="24"/>
              </w:rPr>
              <w:t>TK6</w:t>
            </w:r>
          </w:p>
        </w:tc>
        <w:tc>
          <w:tcPr>
            <w:tcW w:w="1236"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0.704682</w:t>
            </w:r>
          </w:p>
        </w:tc>
        <w:tc>
          <w:tcPr>
            <w:tcW w:w="1497" w:type="dxa"/>
          </w:tcPr>
          <w:p w:rsidR="00DF42BB" w:rsidRPr="001A6537" w:rsidRDefault="00DF42BB" w:rsidP="00DF42BB">
            <w:pPr>
              <w:spacing w:line="240" w:lineRule="auto"/>
              <w:jc w:val="center"/>
              <w:rPr>
                <w:rFonts w:ascii="Times New Roman" w:hAnsi="Times New Roman" w:cs="Times New Roman"/>
                <w:sz w:val="24"/>
                <w:szCs w:val="24"/>
              </w:rPr>
            </w:pPr>
          </w:p>
        </w:tc>
        <w:tc>
          <w:tcPr>
            <w:tcW w:w="783" w:type="dxa"/>
          </w:tcPr>
          <w:p w:rsidR="00DF42BB" w:rsidRPr="001A6537" w:rsidRDefault="00DF42BB" w:rsidP="00DF42BB">
            <w:pPr>
              <w:spacing w:line="240" w:lineRule="auto"/>
              <w:jc w:val="center"/>
              <w:rPr>
                <w:rFonts w:ascii="Times New Roman" w:hAnsi="Times New Roman" w:cs="Times New Roman"/>
                <w:sz w:val="24"/>
                <w:szCs w:val="24"/>
              </w:rPr>
            </w:pP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20.3606</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15.8205</w:t>
            </w:r>
          </w:p>
        </w:tc>
        <w:tc>
          <w:tcPr>
            <w:tcW w:w="1450" w:type="dxa"/>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40.2784</w:t>
            </w:r>
          </w:p>
        </w:tc>
      </w:tr>
      <w:tr w:rsidR="00DF42BB" w:rsidRPr="001A6537" w:rsidTr="007C2DC8">
        <w:tc>
          <w:tcPr>
            <w:tcW w:w="1000" w:type="dxa"/>
            <w:tcBorders>
              <w:bottom w:val="single" w:sz="4" w:space="0" w:color="auto"/>
            </w:tcBorders>
          </w:tcPr>
          <w:p w:rsidR="00DF42BB" w:rsidRPr="001A6537" w:rsidRDefault="00DF42BB" w:rsidP="00DF42BB">
            <w:pPr>
              <w:spacing w:line="240" w:lineRule="auto"/>
              <w:jc w:val="both"/>
              <w:rPr>
                <w:rFonts w:ascii="Times New Roman" w:hAnsi="Times New Roman" w:cs="Times New Roman"/>
                <w:sz w:val="24"/>
                <w:szCs w:val="24"/>
              </w:rPr>
            </w:pPr>
            <w:r w:rsidRPr="001A6537">
              <w:rPr>
                <w:rFonts w:ascii="Times New Roman" w:hAnsi="Times New Roman" w:cs="Times New Roman"/>
                <w:sz w:val="24"/>
                <w:szCs w:val="24"/>
              </w:rPr>
              <w:t>TK7</w:t>
            </w:r>
          </w:p>
        </w:tc>
        <w:tc>
          <w:tcPr>
            <w:tcW w:w="1236" w:type="dxa"/>
            <w:tcBorders>
              <w:bottom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p>
        </w:tc>
        <w:tc>
          <w:tcPr>
            <w:tcW w:w="1497" w:type="dxa"/>
            <w:tcBorders>
              <w:bottom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p>
        </w:tc>
        <w:tc>
          <w:tcPr>
            <w:tcW w:w="783" w:type="dxa"/>
            <w:tcBorders>
              <w:bottom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p>
        </w:tc>
        <w:tc>
          <w:tcPr>
            <w:tcW w:w="1450" w:type="dxa"/>
            <w:tcBorders>
              <w:bottom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20.3945</w:t>
            </w:r>
          </w:p>
        </w:tc>
        <w:tc>
          <w:tcPr>
            <w:tcW w:w="1450" w:type="dxa"/>
            <w:tcBorders>
              <w:bottom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15.8214</w:t>
            </w:r>
          </w:p>
        </w:tc>
        <w:tc>
          <w:tcPr>
            <w:tcW w:w="1450" w:type="dxa"/>
            <w:tcBorders>
              <w:bottom w:val="single" w:sz="4" w:space="0" w:color="auto"/>
            </w:tcBorders>
          </w:tcPr>
          <w:p w:rsidR="00DF42BB" w:rsidRPr="001A6537" w:rsidRDefault="00DF42BB" w:rsidP="00DF42BB">
            <w:pPr>
              <w:spacing w:line="240" w:lineRule="auto"/>
              <w:jc w:val="center"/>
              <w:rPr>
                <w:rFonts w:ascii="Times New Roman" w:hAnsi="Times New Roman" w:cs="Times New Roman"/>
                <w:sz w:val="24"/>
                <w:szCs w:val="24"/>
              </w:rPr>
            </w:pPr>
            <w:r w:rsidRPr="001A6537">
              <w:rPr>
                <w:rFonts w:ascii="Times New Roman" w:hAnsi="Times New Roman" w:cs="Times New Roman"/>
                <w:sz w:val="24"/>
                <w:szCs w:val="24"/>
              </w:rPr>
              <w:t>40.3086</w:t>
            </w:r>
          </w:p>
        </w:tc>
      </w:tr>
    </w:tbl>
    <w:p w:rsidR="00DF42BB" w:rsidRPr="001A6537" w:rsidRDefault="00DF42BB" w:rsidP="00DF42BB">
      <w:pPr>
        <w:rPr>
          <w:rFonts w:ascii="Times New Roman" w:hAnsi="Times New Roman" w:cs="Times New Roman"/>
          <w:sz w:val="24"/>
          <w:szCs w:val="24"/>
        </w:rPr>
      </w:pPr>
    </w:p>
    <w:p w:rsidR="00DF42BB" w:rsidRDefault="00DF42BB" w:rsidP="00DF42BB">
      <w:pPr>
        <w:rPr>
          <w:rFonts w:ascii="Times New Roman" w:hAnsi="Times New Roman" w:cs="Times New Roman"/>
          <w:sz w:val="24"/>
          <w:szCs w:val="24"/>
        </w:rPr>
      </w:pPr>
      <w:r>
        <w:rPr>
          <w:rFonts w:ascii="Times New Roman" w:hAnsi="Times New Roman" w:cs="Times New Roman"/>
          <w:b/>
          <w:sz w:val="24"/>
          <w:szCs w:val="24"/>
        </w:rPr>
        <w:t>Table 5</w:t>
      </w:r>
      <w:r w:rsidRPr="001A6537">
        <w:rPr>
          <w:rFonts w:ascii="Times New Roman" w:hAnsi="Times New Roman" w:cs="Times New Roman"/>
          <w:b/>
          <w:sz w:val="24"/>
          <w:szCs w:val="24"/>
        </w:rPr>
        <w:t>.</w:t>
      </w:r>
      <w:r>
        <w:rPr>
          <w:rFonts w:ascii="Times New Roman" w:hAnsi="Times New Roman" w:cs="Times New Roman"/>
          <w:sz w:val="24"/>
          <w:szCs w:val="24"/>
        </w:rPr>
        <w:t xml:space="preserve">  TCC Radiogenic isotope data</w:t>
      </w:r>
    </w:p>
    <w:p w:rsidR="00363AA9" w:rsidRPr="00363AA9" w:rsidRDefault="00363AA9">
      <w:pPr>
        <w:spacing w:after="160" w:line="259" w:lineRule="auto"/>
        <w:rPr>
          <w:rFonts w:ascii="Times New Roman" w:hAnsi="Times New Roman" w:cs="Times New Roman"/>
          <w:b/>
          <w:sz w:val="24"/>
          <w:szCs w:val="24"/>
        </w:rPr>
      </w:pPr>
      <w:r>
        <w:rPr>
          <w:rFonts w:ascii="Times New Roman" w:hAnsi="Times New Roman" w:cs="Times New Roman"/>
          <w:sz w:val="24"/>
          <w:szCs w:val="24"/>
        </w:rPr>
        <w:br w:type="page"/>
      </w:r>
    </w:p>
    <w:p w:rsidR="00363AA9" w:rsidRDefault="00363AA9" w:rsidP="00363AA9">
      <w:r w:rsidRPr="00D634A7">
        <w:rPr>
          <w:noProof/>
          <w:lang w:eastAsia="en-GB"/>
        </w:rPr>
        <w:lastRenderedPageBreak/>
        <w:drawing>
          <wp:inline distT="0" distB="0" distL="0" distR="0" wp14:anchorId="0EA4122D" wp14:editId="475A0E2E">
            <wp:extent cx="5731510" cy="5839652"/>
            <wp:effectExtent l="0" t="0" r="2540" b="8890"/>
            <wp:docPr id="2" name="Picture 2" descr="C:\Users\pmrp\Documents\Geochemistry Group\Palmer\Marlow\Revised paper\Jan 2022\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rp\Documents\Geochemistry Group\Palmer\Marlow\Revised paper\Jan 2022\fig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839652"/>
                    </a:xfrm>
                    <a:prstGeom prst="rect">
                      <a:avLst/>
                    </a:prstGeom>
                    <a:noFill/>
                    <a:ln>
                      <a:noFill/>
                    </a:ln>
                  </pic:spPr>
                </pic:pic>
              </a:graphicData>
            </a:graphic>
          </wp:inline>
        </w:drawing>
      </w:r>
    </w:p>
    <w:p w:rsidR="00363AA9" w:rsidRPr="00D85EDA" w:rsidRDefault="00363AA9" w:rsidP="00363AA9">
      <w:pPr>
        <w:rPr>
          <w:rFonts w:ascii="Times New Roman" w:hAnsi="Times New Roman"/>
          <w:sz w:val="24"/>
          <w:szCs w:val="24"/>
        </w:rPr>
      </w:pPr>
      <w:r w:rsidRPr="00D85EDA">
        <w:rPr>
          <w:rFonts w:ascii="Times New Roman" w:hAnsi="Times New Roman"/>
          <w:b/>
          <w:sz w:val="24"/>
          <w:szCs w:val="24"/>
        </w:rPr>
        <w:t>Fig. 1.</w:t>
      </w:r>
      <w:r w:rsidRPr="00D85EDA">
        <w:rPr>
          <w:rFonts w:ascii="Times New Roman" w:hAnsi="Times New Roman"/>
          <w:sz w:val="24"/>
          <w:szCs w:val="24"/>
        </w:rPr>
        <w:t xml:space="preserve"> Southern Namibia carbonatite localities.</w:t>
      </w:r>
    </w:p>
    <w:p w:rsidR="00363AA9" w:rsidRDefault="00363AA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63AA9" w:rsidRDefault="00363AA9" w:rsidP="00363AA9">
      <w:r w:rsidRPr="00082974">
        <w:rPr>
          <w:noProof/>
          <w:lang w:eastAsia="en-GB"/>
        </w:rPr>
        <w:lastRenderedPageBreak/>
        <w:drawing>
          <wp:inline distT="0" distB="0" distL="0" distR="0" wp14:anchorId="69010BE2" wp14:editId="6831C4BA">
            <wp:extent cx="4379185" cy="7077075"/>
            <wp:effectExtent l="0" t="0" r="2540" b="0"/>
            <wp:docPr id="1" name="Picture 1" descr="C:\Users\pmrp\Documents\Geochemistry Group\Palmer\Marlow\Revised paper\Jan 2022\Marlow 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rp\Documents\Geochemistry Group\Palmer\Marlow\Revised paper\Jan 2022\Marlow Fig.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4546" cy="7085739"/>
                    </a:xfrm>
                    <a:prstGeom prst="rect">
                      <a:avLst/>
                    </a:prstGeom>
                    <a:noFill/>
                    <a:ln>
                      <a:noFill/>
                    </a:ln>
                  </pic:spPr>
                </pic:pic>
              </a:graphicData>
            </a:graphic>
          </wp:inline>
        </w:drawing>
      </w:r>
    </w:p>
    <w:p w:rsidR="00363AA9" w:rsidRPr="00D85EDA" w:rsidRDefault="00363AA9" w:rsidP="00363AA9">
      <w:pPr>
        <w:jc w:val="both"/>
        <w:rPr>
          <w:rFonts w:ascii="Times New Roman" w:hAnsi="Times New Roman" w:cs="Times New Roman"/>
          <w:sz w:val="24"/>
          <w:szCs w:val="24"/>
        </w:rPr>
      </w:pPr>
      <w:r w:rsidRPr="00D85EDA">
        <w:rPr>
          <w:rFonts w:ascii="Times New Roman" w:hAnsi="Times New Roman"/>
          <w:b/>
          <w:sz w:val="24"/>
          <w:szCs w:val="24"/>
        </w:rPr>
        <w:t>Fig. 2.</w:t>
      </w:r>
      <w:r w:rsidRPr="00D85EDA">
        <w:rPr>
          <w:rFonts w:ascii="Times New Roman" w:hAnsi="Times New Roman"/>
          <w:sz w:val="24"/>
          <w:szCs w:val="24"/>
        </w:rPr>
        <w:t xml:space="preserve"> (Colour online) </w:t>
      </w:r>
      <w:r w:rsidRPr="00D85EDA">
        <w:rPr>
          <w:rFonts w:ascii="Times New Roman" w:hAnsi="Times New Roman" w:cs="Times New Roman"/>
          <w:sz w:val="24"/>
          <w:szCs w:val="24"/>
        </w:rPr>
        <w:t xml:space="preserve">Twyfelskupje carbonatite complex (TCC).  </w:t>
      </w:r>
    </w:p>
    <w:p w:rsidR="00363AA9" w:rsidRPr="00D85EDA" w:rsidRDefault="00363AA9" w:rsidP="00363AA9">
      <w:pPr>
        <w:jc w:val="both"/>
        <w:rPr>
          <w:rFonts w:ascii="Times New Roman" w:hAnsi="Times New Roman" w:cs="Times New Roman"/>
          <w:sz w:val="24"/>
          <w:szCs w:val="24"/>
        </w:rPr>
      </w:pPr>
      <w:r w:rsidRPr="00D85EDA">
        <w:rPr>
          <w:rFonts w:ascii="Times New Roman" w:hAnsi="Times New Roman" w:cs="Times New Roman"/>
          <w:sz w:val="24"/>
          <w:szCs w:val="24"/>
        </w:rPr>
        <w:t xml:space="preserve">(A) The direction of view is approximately south-southeast.  The outcrops extend to ~120 m above the desert plain. </w:t>
      </w:r>
    </w:p>
    <w:p w:rsidR="00363AA9" w:rsidRPr="00D85EDA" w:rsidRDefault="00363AA9" w:rsidP="00363AA9">
      <w:pPr>
        <w:jc w:val="both"/>
        <w:rPr>
          <w:rFonts w:ascii="Times New Roman" w:hAnsi="Times New Roman"/>
          <w:sz w:val="24"/>
          <w:szCs w:val="24"/>
        </w:rPr>
      </w:pPr>
      <w:r w:rsidRPr="00D85EDA">
        <w:rPr>
          <w:rFonts w:ascii="Times New Roman" w:hAnsi="Times New Roman" w:cs="Times New Roman"/>
          <w:sz w:val="24"/>
          <w:szCs w:val="24"/>
        </w:rPr>
        <w:t>(B) Aerial view of TCC (scale bar is 500 m).</w:t>
      </w:r>
    </w:p>
    <w:p w:rsidR="00363AA9" w:rsidRDefault="00363AA9">
      <w:pPr>
        <w:spacing w:after="160" w:line="259" w:lineRule="auto"/>
      </w:pPr>
      <w:r>
        <w:br w:type="page"/>
      </w:r>
    </w:p>
    <w:p w:rsidR="00363AA9" w:rsidRDefault="00363AA9" w:rsidP="00363AA9">
      <w:pPr>
        <w:rPr>
          <w:rFonts w:ascii="Times New Roman" w:hAnsi="Times New Roman" w:cs="Times New Roman"/>
          <w:b/>
          <w:sz w:val="24"/>
          <w:szCs w:val="24"/>
        </w:rPr>
      </w:pPr>
      <w:r w:rsidRPr="00D1000C">
        <w:rPr>
          <w:rFonts w:ascii="Times New Roman" w:hAnsi="Times New Roman" w:cs="Times New Roman"/>
          <w:b/>
          <w:noProof/>
          <w:sz w:val="24"/>
          <w:szCs w:val="24"/>
          <w:lang w:eastAsia="en-GB"/>
        </w:rPr>
        <w:lastRenderedPageBreak/>
        <w:drawing>
          <wp:inline distT="0" distB="0" distL="0" distR="0" wp14:anchorId="3A39A6E0" wp14:editId="50C3A402">
            <wp:extent cx="5731510" cy="5400277"/>
            <wp:effectExtent l="0" t="0" r="2540" b="0"/>
            <wp:docPr id="3" name="Picture 3" descr="C:\Users\pmrp\Documents\Geochemistry Group\Palmer\Marlow\Revised paper\Jan 2022\3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rp\Documents\Geochemistry Group\Palmer\Marlow\Revised paper\Jan 2022\3 revis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400277"/>
                    </a:xfrm>
                    <a:prstGeom prst="rect">
                      <a:avLst/>
                    </a:prstGeom>
                    <a:noFill/>
                    <a:ln>
                      <a:noFill/>
                    </a:ln>
                  </pic:spPr>
                </pic:pic>
              </a:graphicData>
            </a:graphic>
          </wp:inline>
        </w:drawing>
      </w:r>
    </w:p>
    <w:p w:rsidR="00363AA9" w:rsidRPr="00D85EDA" w:rsidRDefault="00363AA9" w:rsidP="00363AA9">
      <w:pPr>
        <w:rPr>
          <w:rFonts w:ascii="Times New Roman" w:hAnsi="Times New Roman" w:cs="Times New Roman"/>
          <w:sz w:val="24"/>
          <w:szCs w:val="24"/>
        </w:rPr>
      </w:pPr>
      <w:r w:rsidRPr="00D85EDA">
        <w:rPr>
          <w:rFonts w:ascii="Times New Roman" w:hAnsi="Times New Roman" w:cs="Times New Roman"/>
          <w:b/>
          <w:sz w:val="24"/>
          <w:szCs w:val="24"/>
        </w:rPr>
        <w:t xml:space="preserve">Fig. 3. </w:t>
      </w:r>
      <w:r w:rsidRPr="00D85EDA">
        <w:rPr>
          <w:rFonts w:ascii="Times New Roman" w:hAnsi="Times New Roman" w:cs="Times New Roman"/>
          <w:sz w:val="24"/>
          <w:szCs w:val="24"/>
        </w:rPr>
        <w:t>Simplified geologic map of Twyfelskupje carbonatite complex.</w:t>
      </w:r>
    </w:p>
    <w:p w:rsidR="00363AA9" w:rsidRDefault="00363AA9">
      <w:pPr>
        <w:spacing w:after="160" w:line="259" w:lineRule="auto"/>
      </w:pPr>
      <w:r>
        <w:br w:type="page"/>
      </w:r>
    </w:p>
    <w:p w:rsidR="00363AA9" w:rsidRDefault="00363AA9" w:rsidP="00363AA9">
      <w:r w:rsidRPr="0069481A">
        <w:rPr>
          <w:noProof/>
          <w:lang w:eastAsia="en-GB"/>
        </w:rPr>
        <w:lastRenderedPageBreak/>
        <w:drawing>
          <wp:inline distT="0" distB="0" distL="0" distR="0" wp14:anchorId="63D68E31" wp14:editId="3919D953">
            <wp:extent cx="8863330" cy="4440594"/>
            <wp:effectExtent l="1587" t="0" r="0" b="0"/>
            <wp:docPr id="5" name="Picture 5" descr="C:\Users\pmrp\Documents\Geochemistry Group\Palmer\Marlow\Revised paper\Jan 2022\Marlow 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rp\Documents\Geochemistry Group\Palmer\Marlow\Revised paper\Jan 2022\Marlow Fig.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863330" cy="4440594"/>
                    </a:xfrm>
                    <a:prstGeom prst="rect">
                      <a:avLst/>
                    </a:prstGeom>
                    <a:noFill/>
                    <a:ln>
                      <a:noFill/>
                    </a:ln>
                  </pic:spPr>
                </pic:pic>
              </a:graphicData>
            </a:graphic>
          </wp:inline>
        </w:drawing>
      </w:r>
    </w:p>
    <w:p w:rsidR="00363AA9" w:rsidRDefault="00363AA9" w:rsidP="00363AA9">
      <w:pPr>
        <w:pStyle w:val="Default"/>
        <w:jc w:val="both"/>
        <w:rPr>
          <w:b/>
          <w:color w:val="auto"/>
        </w:rPr>
      </w:pPr>
    </w:p>
    <w:p w:rsidR="00363AA9" w:rsidRDefault="00363AA9" w:rsidP="00363AA9">
      <w:pPr>
        <w:pStyle w:val="Default"/>
        <w:jc w:val="both"/>
        <w:rPr>
          <w:color w:val="auto"/>
        </w:rPr>
      </w:pPr>
      <w:r w:rsidRPr="0069481A">
        <w:rPr>
          <w:b/>
          <w:color w:val="auto"/>
        </w:rPr>
        <w:t>Fig. 4.</w:t>
      </w:r>
      <w:r w:rsidRPr="0069481A">
        <w:rPr>
          <w:color w:val="auto"/>
        </w:rPr>
        <w:t xml:space="preserve"> (Colour online) Field photographs of the TCC (see text for details). (A) Basement contact at the base of the TK6 cone sheet, showing apophyses of carbonatite extending into basement.  (B) Block of layered </w:t>
      </w:r>
      <w:r w:rsidRPr="0069481A">
        <w:rPr>
          <w:color w:val="FF0000"/>
        </w:rPr>
        <w:t>fluorcarbonate</w:t>
      </w:r>
      <w:r w:rsidRPr="0069481A">
        <w:rPr>
          <w:color w:val="auto"/>
        </w:rPr>
        <w:t xml:space="preserve"> mineralization </w:t>
      </w:r>
      <w:r>
        <w:rPr>
          <w:color w:val="auto"/>
        </w:rPr>
        <w:t xml:space="preserve">in carbonatite matrix in TK1A.  </w:t>
      </w:r>
      <w:r w:rsidRPr="0069481A">
        <w:rPr>
          <w:color w:val="auto"/>
        </w:rPr>
        <w:t xml:space="preserve">(C) Intensely folded </w:t>
      </w:r>
      <w:r w:rsidRPr="0069481A">
        <w:rPr>
          <w:color w:val="FF0000"/>
        </w:rPr>
        <w:t>fluorcarbonate</w:t>
      </w:r>
      <w:r w:rsidRPr="0069481A">
        <w:rPr>
          <w:color w:val="auto"/>
        </w:rPr>
        <w:t xml:space="preserve"> layers in TK1B.  (D) Brittle and ductile deformation in </w:t>
      </w:r>
      <w:r w:rsidRPr="0069481A">
        <w:rPr>
          <w:color w:val="FF0000"/>
        </w:rPr>
        <w:t xml:space="preserve">fluorcarbonate </w:t>
      </w:r>
      <w:r w:rsidRPr="0069481A">
        <w:rPr>
          <w:color w:val="auto"/>
        </w:rPr>
        <w:t xml:space="preserve">layers in TK1A.  (E) Euhedral </w:t>
      </w:r>
      <w:r w:rsidRPr="0069481A">
        <w:rPr>
          <w:color w:val="FF0000"/>
        </w:rPr>
        <w:t>fluorcarbonate</w:t>
      </w:r>
      <w:r w:rsidRPr="0069481A">
        <w:rPr>
          <w:color w:val="auto"/>
        </w:rPr>
        <w:t xml:space="preserve"> grains (3-4 mm) and fine-grained magnetite in carbonatite matrix in TK1A. Horizontal field of view ~2 cm.  (F) Fine scale banding in TK5 parallel to basement contact.</w:t>
      </w:r>
    </w:p>
    <w:p w:rsidR="00363AA9" w:rsidRDefault="00363AA9">
      <w:pPr>
        <w:spacing w:after="160" w:line="259" w:lineRule="auto"/>
        <w:rPr>
          <w:rFonts w:ascii="Times New Roman" w:hAnsi="Times New Roman" w:cs="Times New Roman"/>
          <w:sz w:val="24"/>
          <w:szCs w:val="24"/>
        </w:rPr>
      </w:pPr>
      <w:r>
        <w:br w:type="page"/>
      </w:r>
    </w:p>
    <w:p w:rsidR="00363AA9" w:rsidRDefault="00363AA9" w:rsidP="00363AA9">
      <w:r w:rsidRPr="009F4B85">
        <w:rPr>
          <w:noProof/>
          <w:lang w:eastAsia="en-GB"/>
        </w:rPr>
        <w:lastRenderedPageBreak/>
        <w:drawing>
          <wp:inline distT="0" distB="0" distL="0" distR="0" wp14:anchorId="71081890" wp14:editId="5EA33297">
            <wp:extent cx="8863330" cy="4254613"/>
            <wp:effectExtent l="0" t="635" r="0" b="0"/>
            <wp:docPr id="6" name="Picture 6" descr="C:\Users\pmrp\Documents\Geochemistry Group\Palmer\Marlow\Revised paper\June 2021\B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rp\Documents\Geochemistry Group\Palmer\Marlow\Revised paper\June 2021\BS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863330" cy="4254613"/>
                    </a:xfrm>
                    <a:prstGeom prst="rect">
                      <a:avLst/>
                    </a:prstGeom>
                    <a:noFill/>
                    <a:ln>
                      <a:noFill/>
                    </a:ln>
                  </pic:spPr>
                </pic:pic>
              </a:graphicData>
            </a:graphic>
          </wp:inline>
        </w:drawing>
      </w:r>
    </w:p>
    <w:p w:rsidR="00363AA9" w:rsidRPr="00D85EDA" w:rsidRDefault="00363AA9" w:rsidP="00363AA9">
      <w:pPr>
        <w:rPr>
          <w:rFonts w:ascii="Times New Roman" w:hAnsi="Times New Roman" w:cs="Times New Roman"/>
          <w:sz w:val="24"/>
          <w:szCs w:val="24"/>
        </w:rPr>
      </w:pPr>
      <w:r w:rsidRPr="00D85EDA">
        <w:rPr>
          <w:rFonts w:ascii="Times New Roman" w:hAnsi="Times New Roman" w:cs="Times New Roman"/>
          <w:b/>
          <w:sz w:val="24"/>
          <w:szCs w:val="24"/>
        </w:rPr>
        <w:lastRenderedPageBreak/>
        <w:t>Fig. 5.</w:t>
      </w:r>
      <w:r w:rsidRPr="00D85EDA">
        <w:rPr>
          <w:rFonts w:ascii="Times New Roman" w:hAnsi="Times New Roman" w:cs="Times New Roman"/>
          <w:sz w:val="24"/>
          <w:szCs w:val="24"/>
        </w:rPr>
        <w:t xml:space="preserve"> Back-scattered electron images of TCC samples. </w:t>
      </w:r>
    </w:p>
    <w:p w:rsidR="00363AA9" w:rsidRDefault="00363AA9" w:rsidP="00363AA9">
      <w:pPr>
        <w:rPr>
          <w:rFonts w:ascii="Times New Roman" w:hAnsi="Times New Roman" w:cs="Times New Roman"/>
          <w:sz w:val="24"/>
          <w:szCs w:val="24"/>
        </w:rPr>
      </w:pPr>
      <w:r w:rsidRPr="00D85EDA">
        <w:rPr>
          <w:rFonts w:ascii="Times New Roman" w:hAnsi="Times New Roman" w:cs="Times New Roman"/>
          <w:sz w:val="24"/>
          <w:szCs w:val="24"/>
        </w:rPr>
        <w:t xml:space="preserve">(A) fibro-radial aggregates of </w:t>
      </w:r>
      <w:r w:rsidRPr="00A73F0D">
        <w:rPr>
          <w:rFonts w:ascii="Times New Roman" w:hAnsi="Times New Roman" w:cs="Times New Roman"/>
          <w:color w:val="FF0000"/>
          <w:sz w:val="24"/>
          <w:szCs w:val="24"/>
        </w:rPr>
        <w:t>fluorcarbonate (from TK1)</w:t>
      </w:r>
      <w:r w:rsidRPr="00D85E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85EDA">
        <w:rPr>
          <w:rFonts w:ascii="Times New Roman" w:hAnsi="Times New Roman" w:cs="Times New Roman"/>
          <w:sz w:val="24"/>
          <w:szCs w:val="24"/>
        </w:rPr>
        <w:t>(B) radiating rhythmic alternations of barite with calcite and Fe-Mn-oxide</w:t>
      </w:r>
      <w:r>
        <w:rPr>
          <w:rFonts w:ascii="Times New Roman" w:hAnsi="Times New Roman" w:cs="Times New Roman"/>
          <w:sz w:val="24"/>
          <w:szCs w:val="24"/>
        </w:rPr>
        <w:t xml:space="preserve"> </w:t>
      </w:r>
      <w:r w:rsidRPr="00A73F0D">
        <w:rPr>
          <w:rFonts w:ascii="Times New Roman" w:hAnsi="Times New Roman" w:cs="Times New Roman"/>
          <w:color w:val="FF0000"/>
          <w:sz w:val="24"/>
          <w:szCs w:val="24"/>
        </w:rPr>
        <w:t>(from TK3)</w:t>
      </w:r>
      <w:r w:rsidRPr="00D85E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85EDA">
        <w:rPr>
          <w:rFonts w:ascii="Times New Roman" w:hAnsi="Times New Roman" w:cs="Times New Roman"/>
          <w:sz w:val="24"/>
          <w:szCs w:val="24"/>
        </w:rPr>
        <w:t>(C) bladed aggregates of apatite intergrown with carbonate and Fe- and Fe-Mn-oxides</w:t>
      </w:r>
      <w:r>
        <w:rPr>
          <w:rFonts w:ascii="Times New Roman" w:hAnsi="Times New Roman" w:cs="Times New Roman"/>
          <w:sz w:val="24"/>
          <w:szCs w:val="24"/>
        </w:rPr>
        <w:t xml:space="preserve"> </w:t>
      </w:r>
      <w:r w:rsidRPr="00A73F0D">
        <w:rPr>
          <w:rFonts w:ascii="Times New Roman" w:hAnsi="Times New Roman" w:cs="Times New Roman"/>
          <w:color w:val="FF0000"/>
          <w:sz w:val="24"/>
          <w:szCs w:val="24"/>
        </w:rPr>
        <w:t>(from TK2)</w:t>
      </w:r>
      <w:r w:rsidRPr="00D85EDA">
        <w:rPr>
          <w:rFonts w:ascii="Times New Roman" w:hAnsi="Times New Roman" w:cs="Times New Roman"/>
          <w:sz w:val="24"/>
          <w:szCs w:val="24"/>
        </w:rPr>
        <w:t>. (D) monazite overgrowing and including apatite and carbonate</w:t>
      </w:r>
      <w:r>
        <w:rPr>
          <w:rFonts w:ascii="Times New Roman" w:hAnsi="Times New Roman" w:cs="Times New Roman"/>
          <w:sz w:val="24"/>
          <w:szCs w:val="24"/>
        </w:rPr>
        <w:t xml:space="preserve"> </w:t>
      </w:r>
      <w:r w:rsidRPr="00A73F0D">
        <w:rPr>
          <w:rFonts w:ascii="Times New Roman" w:hAnsi="Times New Roman" w:cs="Times New Roman"/>
          <w:color w:val="FF0000"/>
          <w:sz w:val="24"/>
          <w:szCs w:val="24"/>
        </w:rPr>
        <w:t>(from TK2)</w:t>
      </w:r>
      <w:r w:rsidRPr="00D85EDA">
        <w:rPr>
          <w:rFonts w:ascii="Times New Roman" w:hAnsi="Times New Roman" w:cs="Times New Roman"/>
          <w:sz w:val="24"/>
          <w:szCs w:val="24"/>
        </w:rPr>
        <w:t>. (E) Colloform banded, concentric assemblages of fluorite and Mn-oxide</w:t>
      </w:r>
      <w:r>
        <w:rPr>
          <w:rFonts w:ascii="Times New Roman" w:hAnsi="Times New Roman" w:cs="Times New Roman"/>
          <w:sz w:val="24"/>
          <w:szCs w:val="24"/>
        </w:rPr>
        <w:t xml:space="preserve"> </w:t>
      </w:r>
      <w:r w:rsidRPr="00A73F0D">
        <w:rPr>
          <w:rFonts w:ascii="Times New Roman" w:hAnsi="Times New Roman" w:cs="Times New Roman"/>
          <w:color w:val="FF0000"/>
          <w:sz w:val="24"/>
          <w:szCs w:val="24"/>
        </w:rPr>
        <w:t>(from TK3)</w:t>
      </w:r>
      <w:r w:rsidRPr="00D85EDA">
        <w:rPr>
          <w:rFonts w:ascii="Times New Roman" w:hAnsi="Times New Roman" w:cs="Times New Roman"/>
          <w:sz w:val="24"/>
          <w:szCs w:val="24"/>
        </w:rPr>
        <w:t xml:space="preserve">. (F) Celestine overgrowing barite and </w:t>
      </w:r>
      <w:r w:rsidRPr="00A73F0D">
        <w:rPr>
          <w:rFonts w:ascii="Times New Roman" w:hAnsi="Times New Roman" w:cs="Times New Roman"/>
          <w:color w:val="FF0000"/>
          <w:sz w:val="24"/>
          <w:szCs w:val="24"/>
        </w:rPr>
        <w:t>fluorcarbonate (from TK1)</w:t>
      </w:r>
      <w:r w:rsidRPr="00D85EDA">
        <w:rPr>
          <w:rFonts w:ascii="Times New Roman" w:hAnsi="Times New Roman" w:cs="Times New Roman"/>
          <w:sz w:val="24"/>
          <w:szCs w:val="24"/>
        </w:rPr>
        <w:t xml:space="preserve">. </w:t>
      </w:r>
    </w:p>
    <w:p w:rsidR="00363AA9" w:rsidRDefault="00363AA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C1B63" w:rsidRDefault="002C1B63" w:rsidP="002C1B63">
      <w:r w:rsidRPr="00A47614">
        <w:rPr>
          <w:noProof/>
          <w:lang w:eastAsia="en-GB"/>
        </w:rPr>
        <w:lastRenderedPageBreak/>
        <w:drawing>
          <wp:inline distT="0" distB="0" distL="0" distR="0" wp14:anchorId="6110CD50" wp14:editId="5CA16687">
            <wp:extent cx="4686300" cy="4034218"/>
            <wp:effectExtent l="0" t="0" r="0" b="4445"/>
            <wp:docPr id="7" name="Picture 7" descr="C:\Users\pmrp\Documents\Geochemistry Group\Palmer\Marlow\Revised paper\Jan 2022\CaMgFe t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rp\Documents\Geochemistry Group\Palmer\Marlow\Revised paper\Jan 2022\CaMgFe tri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7832" cy="4044145"/>
                    </a:xfrm>
                    <a:prstGeom prst="rect">
                      <a:avLst/>
                    </a:prstGeom>
                    <a:noFill/>
                    <a:ln>
                      <a:noFill/>
                    </a:ln>
                  </pic:spPr>
                </pic:pic>
              </a:graphicData>
            </a:graphic>
          </wp:inline>
        </w:drawing>
      </w:r>
    </w:p>
    <w:p w:rsidR="002C1B63" w:rsidRPr="00A47614" w:rsidRDefault="002C1B63" w:rsidP="002C1B63">
      <w:pPr>
        <w:rPr>
          <w:rFonts w:ascii="Times New Roman" w:hAnsi="Times New Roman" w:cs="Times New Roman"/>
          <w:sz w:val="24"/>
          <w:szCs w:val="24"/>
        </w:rPr>
      </w:pPr>
      <w:r w:rsidRPr="00A47614">
        <w:rPr>
          <w:rFonts w:ascii="Times New Roman" w:hAnsi="Times New Roman" w:cs="Times New Roman"/>
          <w:sz w:val="24"/>
          <w:szCs w:val="24"/>
        </w:rPr>
        <w:t>A</w:t>
      </w:r>
    </w:p>
    <w:p w:rsidR="002C1B63" w:rsidRDefault="002C1B63" w:rsidP="002C1B63">
      <w:pPr>
        <w:rPr>
          <w:rFonts w:ascii="Times New Roman" w:hAnsi="Times New Roman" w:cs="Times New Roman"/>
          <w:sz w:val="24"/>
          <w:szCs w:val="24"/>
        </w:rPr>
      </w:pPr>
      <w:r w:rsidRPr="001C2B82">
        <w:rPr>
          <w:rFonts w:ascii="Times New Roman" w:hAnsi="Times New Roman" w:cs="Times New Roman"/>
          <w:sz w:val="24"/>
          <w:szCs w:val="24"/>
        </w:rPr>
        <w:t xml:space="preserve"> </w:t>
      </w:r>
      <w:r w:rsidRPr="00A47614">
        <w:rPr>
          <w:rFonts w:ascii="Times New Roman" w:hAnsi="Times New Roman" w:cs="Times New Roman"/>
          <w:noProof/>
          <w:sz w:val="24"/>
          <w:szCs w:val="24"/>
          <w:lang w:eastAsia="en-GB"/>
        </w:rPr>
        <w:drawing>
          <wp:inline distT="0" distB="0" distL="0" distR="0" wp14:anchorId="36E73B89" wp14:editId="5FE3BF39">
            <wp:extent cx="4666839" cy="4010025"/>
            <wp:effectExtent l="0" t="0" r="635" b="0"/>
            <wp:docPr id="8" name="Picture 8" descr="C:\Users\pmrp\Documents\Geochemistry Group\Palmer\Marlow\Revised paper\Jan 2022\CaMgSi t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rp\Documents\Geochemistry Group\Palmer\Marlow\Revised paper\Jan 2022\CaMgSi tri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8959" cy="4020439"/>
                    </a:xfrm>
                    <a:prstGeom prst="rect">
                      <a:avLst/>
                    </a:prstGeom>
                    <a:noFill/>
                    <a:ln>
                      <a:noFill/>
                    </a:ln>
                  </pic:spPr>
                </pic:pic>
              </a:graphicData>
            </a:graphic>
          </wp:inline>
        </w:drawing>
      </w:r>
    </w:p>
    <w:p w:rsidR="002C1B63" w:rsidRDefault="002C1B63" w:rsidP="002C1B63">
      <w:pPr>
        <w:rPr>
          <w:rFonts w:ascii="Times New Roman" w:hAnsi="Times New Roman" w:cs="Times New Roman"/>
          <w:sz w:val="24"/>
          <w:szCs w:val="24"/>
        </w:rPr>
      </w:pPr>
      <w:r>
        <w:rPr>
          <w:rFonts w:ascii="Times New Roman" w:hAnsi="Times New Roman" w:cs="Times New Roman"/>
          <w:sz w:val="24"/>
          <w:szCs w:val="24"/>
        </w:rPr>
        <w:lastRenderedPageBreak/>
        <w:t>B</w:t>
      </w:r>
    </w:p>
    <w:p w:rsidR="002C1B63" w:rsidRDefault="002C1B63" w:rsidP="002C1B63">
      <w:pPr>
        <w:rPr>
          <w:rFonts w:ascii="Times New Roman" w:hAnsi="Times New Roman" w:cs="Times New Roman"/>
          <w:sz w:val="24"/>
          <w:szCs w:val="24"/>
        </w:rPr>
      </w:pPr>
    </w:p>
    <w:p w:rsidR="002C1B63" w:rsidRDefault="002C1B63" w:rsidP="002C1B63">
      <w:pPr>
        <w:rPr>
          <w:rFonts w:ascii="Times New Roman" w:hAnsi="Times New Roman" w:cs="Times New Roman"/>
          <w:sz w:val="24"/>
          <w:szCs w:val="24"/>
        </w:rPr>
      </w:pPr>
      <w:r>
        <w:rPr>
          <w:rFonts w:ascii="Times New Roman" w:hAnsi="Times New Roman" w:cs="Times New Roman"/>
          <w:b/>
          <w:sz w:val="24"/>
          <w:szCs w:val="24"/>
        </w:rPr>
        <w:t>Figure 6</w:t>
      </w:r>
      <w:r w:rsidRPr="00A430EB">
        <w:rPr>
          <w:rFonts w:ascii="Times New Roman" w:hAnsi="Times New Roman" w:cs="Times New Roman"/>
          <w:b/>
          <w:sz w:val="24"/>
          <w:szCs w:val="24"/>
        </w:rPr>
        <w:t>.</w:t>
      </w:r>
      <w:r>
        <w:rPr>
          <w:rFonts w:ascii="Times New Roman" w:hAnsi="Times New Roman" w:cs="Times New Roman"/>
          <w:sz w:val="24"/>
          <w:szCs w:val="24"/>
        </w:rPr>
        <w:t xml:space="preserve">  Major element ternary plots for TCC. TK1 (circles), TK2 (squares), TK3 &amp; 5 (triangles), TK4 (+), TK6 &amp; 7 (X). The hydrothermal alteration trends are those expected for fluids consisting predominantly of Fe, Mn and Si.</w:t>
      </w:r>
    </w:p>
    <w:p w:rsidR="002C1B63" w:rsidRDefault="002C1B63" w:rsidP="002C1B63">
      <w:pPr>
        <w:rPr>
          <w:rFonts w:ascii="Times New Roman" w:hAnsi="Times New Roman" w:cs="Times New Roman"/>
          <w:sz w:val="24"/>
          <w:szCs w:val="24"/>
        </w:rPr>
      </w:pPr>
      <w:r>
        <w:rPr>
          <w:rFonts w:ascii="Times New Roman" w:hAnsi="Times New Roman" w:cs="Times New Roman"/>
          <w:sz w:val="24"/>
          <w:szCs w:val="24"/>
        </w:rPr>
        <w:t>(A) Carbonatite classification diagram (</w:t>
      </w:r>
      <w:r w:rsidRPr="00BD6D9C">
        <w:rPr>
          <w:rFonts w:ascii="Times New Roman" w:hAnsi="Times New Roman" w:cs="Times New Roman"/>
          <w:color w:val="0000FF"/>
          <w:sz w:val="24"/>
          <w:szCs w:val="24"/>
          <w:lang w:val="en-US"/>
        </w:rPr>
        <w:t>Woolley and Kempe</w:t>
      </w:r>
      <w:r>
        <w:rPr>
          <w:rFonts w:ascii="Times New Roman" w:hAnsi="Times New Roman" w:cs="Times New Roman"/>
          <w:color w:val="0000FF"/>
          <w:sz w:val="24"/>
          <w:szCs w:val="24"/>
          <w:lang w:val="en-US"/>
        </w:rPr>
        <w:t xml:space="preserve">, </w:t>
      </w:r>
      <w:r w:rsidRPr="00BD6D9C">
        <w:rPr>
          <w:rFonts w:ascii="Times New Roman" w:hAnsi="Times New Roman" w:cs="Times New Roman"/>
          <w:color w:val="0000FF"/>
          <w:sz w:val="24"/>
          <w:szCs w:val="24"/>
          <w:lang w:val="en-US"/>
        </w:rPr>
        <w:t>1989</w:t>
      </w:r>
      <w:r>
        <w:rPr>
          <w:rFonts w:ascii="Times New Roman" w:hAnsi="Times New Roman" w:cs="Times New Roman"/>
          <w:sz w:val="24"/>
          <w:szCs w:val="24"/>
        </w:rPr>
        <w:t>).</w:t>
      </w:r>
    </w:p>
    <w:p w:rsidR="002C1B63" w:rsidRPr="00477DF8" w:rsidRDefault="002C1B63" w:rsidP="002C1B63">
      <w:pPr>
        <w:rPr>
          <w:rFonts w:ascii="Times New Roman" w:hAnsi="Times New Roman" w:cs="Times New Roman"/>
          <w:sz w:val="24"/>
          <w:szCs w:val="24"/>
        </w:rPr>
      </w:pPr>
      <w:r>
        <w:rPr>
          <w:rFonts w:ascii="Times New Roman" w:hAnsi="Times New Roman" w:cs="Times New Roman"/>
          <w:sz w:val="24"/>
          <w:szCs w:val="24"/>
        </w:rPr>
        <w:t>(B) MgO-CaO-SiO</w:t>
      </w:r>
      <w:r w:rsidRPr="00E9334C">
        <w:rPr>
          <w:rFonts w:ascii="Times New Roman" w:hAnsi="Times New Roman" w:cs="Times New Roman"/>
          <w:sz w:val="24"/>
          <w:szCs w:val="24"/>
          <w:vertAlign w:val="subscript"/>
        </w:rPr>
        <w:t>2</w:t>
      </w:r>
      <w:r>
        <w:rPr>
          <w:rFonts w:ascii="Times New Roman" w:hAnsi="Times New Roman" w:cs="Times New Roman"/>
          <w:sz w:val="24"/>
          <w:szCs w:val="24"/>
        </w:rPr>
        <w:t xml:space="preserve"> plot.  </w:t>
      </w:r>
    </w:p>
    <w:p w:rsidR="002C1B63" w:rsidRDefault="002C1B6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C1B63" w:rsidRDefault="002C1B63" w:rsidP="002C1B63">
      <w:r w:rsidRPr="006F7AF7">
        <w:rPr>
          <w:noProof/>
          <w:lang w:eastAsia="en-GB"/>
        </w:rPr>
        <w:lastRenderedPageBreak/>
        <w:drawing>
          <wp:inline distT="0" distB="0" distL="0" distR="0" wp14:anchorId="45038F13" wp14:editId="3494993B">
            <wp:extent cx="4743450" cy="2838399"/>
            <wp:effectExtent l="0" t="0" r="0" b="635"/>
            <wp:docPr id="9" name="Picture 9" descr="C:\Users\pmrp\Documents\Geochemistry Group\Palmer\Marlow\Revised paper\Jan 2022\RE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rp\Documents\Geochemistry Group\Palmer\Marlow\Revised paper\Jan 2022\REE 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9857" cy="2854200"/>
                    </a:xfrm>
                    <a:prstGeom prst="rect">
                      <a:avLst/>
                    </a:prstGeom>
                    <a:noFill/>
                    <a:ln>
                      <a:noFill/>
                    </a:ln>
                  </pic:spPr>
                </pic:pic>
              </a:graphicData>
            </a:graphic>
          </wp:inline>
        </w:drawing>
      </w:r>
    </w:p>
    <w:p w:rsidR="002C1B63" w:rsidRDefault="002C1B63" w:rsidP="002C1B63">
      <w:r w:rsidRPr="003E0D14">
        <w:rPr>
          <w:noProof/>
          <w:lang w:eastAsia="en-GB"/>
        </w:rPr>
        <w:drawing>
          <wp:inline distT="0" distB="0" distL="0" distR="0" wp14:anchorId="43C7314B" wp14:editId="4BBAE150">
            <wp:extent cx="4743450" cy="2811642"/>
            <wp:effectExtent l="0" t="0" r="0" b="8255"/>
            <wp:docPr id="10" name="Picture 10" descr="C:\Users\pmrp\Documents\Geochemistry Group\Palmer\Marlow\Revised paper\Jan 2022\RE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rp\Documents\Geochemistry Group\Palmer\Marlow\Revised paper\Jan 2022\REE 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176" cy="2828669"/>
                    </a:xfrm>
                    <a:prstGeom prst="rect">
                      <a:avLst/>
                    </a:prstGeom>
                    <a:noFill/>
                    <a:ln>
                      <a:noFill/>
                    </a:ln>
                  </pic:spPr>
                </pic:pic>
              </a:graphicData>
            </a:graphic>
          </wp:inline>
        </w:drawing>
      </w:r>
    </w:p>
    <w:p w:rsidR="002C1B63" w:rsidRDefault="002C1B63" w:rsidP="002C1B63">
      <w:r w:rsidRPr="002D1CD3">
        <w:rPr>
          <w:noProof/>
          <w:lang w:eastAsia="en-GB"/>
        </w:rPr>
        <w:drawing>
          <wp:inline distT="0" distB="0" distL="0" distR="0" wp14:anchorId="5B629673" wp14:editId="70329231">
            <wp:extent cx="4743450" cy="2805267"/>
            <wp:effectExtent l="0" t="0" r="0" b="0"/>
            <wp:docPr id="4" name="Picture 4" descr="C:\Users\pmrp\Documents\Geochemistry Group\Palmer\Marlow\Revised paper\Jan 2022\RE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rp\Documents\Geochemistry Group\Palmer\Marlow\Revised paper\Jan 2022\REE 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8473" cy="2820065"/>
                    </a:xfrm>
                    <a:prstGeom prst="rect">
                      <a:avLst/>
                    </a:prstGeom>
                    <a:noFill/>
                    <a:ln>
                      <a:noFill/>
                    </a:ln>
                  </pic:spPr>
                </pic:pic>
              </a:graphicData>
            </a:graphic>
          </wp:inline>
        </w:drawing>
      </w:r>
    </w:p>
    <w:p w:rsidR="002C1B63" w:rsidRDefault="002C1B63" w:rsidP="002C1B63">
      <w:pPr>
        <w:pStyle w:val="Default"/>
        <w:rPr>
          <w:b/>
          <w:bCs/>
        </w:rPr>
      </w:pPr>
      <w:r>
        <w:rPr>
          <w:b/>
          <w:bCs/>
        </w:rPr>
        <w:lastRenderedPageBreak/>
        <w:t>Figure 7</w:t>
      </w:r>
      <w:r w:rsidRPr="009D354A">
        <w:rPr>
          <w:b/>
          <w:bCs/>
        </w:rPr>
        <w:t xml:space="preserve">: </w:t>
      </w:r>
    </w:p>
    <w:p w:rsidR="002C1B63" w:rsidRDefault="002C1B63" w:rsidP="002C1B63">
      <w:pPr>
        <w:pStyle w:val="Default"/>
      </w:pPr>
      <w:r w:rsidRPr="005033E8">
        <w:rPr>
          <w:bCs/>
        </w:rPr>
        <w:t>(A)</w:t>
      </w:r>
      <w:r>
        <w:rPr>
          <w:b/>
          <w:bCs/>
        </w:rPr>
        <w:t xml:space="preserve"> </w:t>
      </w:r>
      <w:r w:rsidRPr="009D354A">
        <w:t>Average chondrite normalized REE patterns</w:t>
      </w:r>
      <w:r>
        <w:t xml:space="preserve"> for TCC outcrops (symbols as in Fig. 6)</w:t>
      </w:r>
      <w:r w:rsidRPr="009D354A">
        <w:t xml:space="preserve">. </w:t>
      </w:r>
    </w:p>
    <w:p w:rsidR="002C1B63" w:rsidRDefault="002C1B63" w:rsidP="002C1B63">
      <w:pPr>
        <w:pStyle w:val="Default"/>
      </w:pPr>
    </w:p>
    <w:p w:rsidR="002C1B63" w:rsidRPr="009D354A" w:rsidRDefault="002C1B63" w:rsidP="002C1B63">
      <w:pPr>
        <w:pStyle w:val="Default"/>
        <w:spacing w:after="197"/>
      </w:pPr>
      <w:r w:rsidRPr="009D354A">
        <w:t>(B) Selected carbonatites from elsewhere. TCC (circles),</w:t>
      </w:r>
      <w:r>
        <w:t xml:space="preserve"> Bear Lodge (squares), Kalkfeld </w:t>
      </w:r>
      <w:r w:rsidRPr="009D354A">
        <w:t>(crosses), Mountain Pass (diamonds), Wicheeda (triangles).</w:t>
      </w:r>
      <w:r>
        <w:t xml:space="preserve"> Data from Moore et al. (2015), </w:t>
      </w:r>
      <w:r w:rsidRPr="009D354A">
        <w:t xml:space="preserve">Buhn (2008), Haxel (2007), Trofanenko et al. (2016). </w:t>
      </w:r>
    </w:p>
    <w:p w:rsidR="002C1B63" w:rsidRPr="009D354A" w:rsidRDefault="002C1B63" w:rsidP="002C1B63">
      <w:pPr>
        <w:pStyle w:val="Default"/>
      </w:pPr>
      <w:r w:rsidRPr="009D354A">
        <w:t>(C) Comparison between REE patterns of REE enriched m</w:t>
      </w:r>
      <w:r>
        <w:t>inerals determined by LA-ICP-MS (dashed line</w:t>
      </w:r>
      <w:r w:rsidRPr="009D354A">
        <w:t>), REE enriched minerals determined by EDS</w:t>
      </w:r>
      <w:r>
        <w:t xml:space="preserve"> (dotted line)</w:t>
      </w:r>
      <w:r w:rsidRPr="009D354A">
        <w:t>, carbona</w:t>
      </w:r>
      <w:r>
        <w:t xml:space="preserve">te minerals (dash-dot line) and average </w:t>
      </w:r>
      <w:r w:rsidRPr="009D354A">
        <w:t>TCC whole rock (</w:t>
      </w:r>
      <w:r>
        <w:t>solid line</w:t>
      </w:r>
      <w:r w:rsidRPr="009D354A">
        <w:t xml:space="preserve">). </w:t>
      </w:r>
    </w:p>
    <w:p w:rsidR="002C1B63" w:rsidRDefault="002C1B63">
      <w:pPr>
        <w:spacing w:after="160" w:line="259" w:lineRule="auto"/>
      </w:pPr>
      <w:r>
        <w:br w:type="page"/>
      </w:r>
    </w:p>
    <w:p w:rsidR="00E44BE7" w:rsidRDefault="00E44BE7" w:rsidP="00E44BE7">
      <w:pPr>
        <w:rPr>
          <w:rFonts w:ascii="Times New Roman" w:hAnsi="Times New Roman" w:cs="Times New Roman"/>
          <w:b/>
          <w:sz w:val="24"/>
          <w:szCs w:val="24"/>
        </w:rPr>
      </w:pPr>
      <w:r w:rsidRPr="00D16009">
        <w:rPr>
          <w:rFonts w:ascii="Times New Roman" w:hAnsi="Times New Roman" w:cs="Times New Roman"/>
          <w:b/>
          <w:noProof/>
          <w:sz w:val="24"/>
          <w:szCs w:val="24"/>
          <w:lang w:eastAsia="en-GB"/>
        </w:rPr>
        <w:lastRenderedPageBreak/>
        <w:drawing>
          <wp:inline distT="0" distB="0" distL="0" distR="0" wp14:anchorId="6A4D8A93" wp14:editId="3BCA1FB7">
            <wp:extent cx="5731510" cy="4951085"/>
            <wp:effectExtent l="0" t="0" r="2540" b="2540"/>
            <wp:docPr id="11" name="Picture 11" descr="C:\Users\pmrp\Documents\Geochemistry Group\Palmer\Marlow\Revised paper\June 2021\Resubmitted Oct 2021\Fi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rp\Documents\Geochemistry Group\Palmer\Marlow\Revised paper\June 2021\Resubmitted Oct 2021\Fig 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951085"/>
                    </a:xfrm>
                    <a:prstGeom prst="rect">
                      <a:avLst/>
                    </a:prstGeom>
                    <a:noFill/>
                    <a:ln>
                      <a:noFill/>
                    </a:ln>
                  </pic:spPr>
                </pic:pic>
              </a:graphicData>
            </a:graphic>
          </wp:inline>
        </w:drawing>
      </w:r>
    </w:p>
    <w:p w:rsidR="00E44BE7" w:rsidRPr="008D7FEA" w:rsidRDefault="00E44BE7" w:rsidP="00E44BE7">
      <w:pPr>
        <w:autoSpaceDE w:val="0"/>
        <w:autoSpaceDN w:val="0"/>
        <w:adjustRightInd w:val="0"/>
        <w:spacing w:line="240" w:lineRule="auto"/>
        <w:jc w:val="both"/>
        <w:rPr>
          <w:rFonts w:ascii="Times New Roman" w:hAnsi="Times New Roman" w:cs="Times New Roman"/>
          <w:color w:val="000000"/>
          <w:sz w:val="24"/>
          <w:szCs w:val="24"/>
        </w:rPr>
      </w:pPr>
      <w:r w:rsidRPr="008D7FEA">
        <w:rPr>
          <w:rFonts w:ascii="Times New Roman" w:hAnsi="Times New Roman" w:cs="Times New Roman"/>
          <w:b/>
          <w:color w:val="000000"/>
          <w:sz w:val="24"/>
          <w:szCs w:val="24"/>
        </w:rPr>
        <w:t>Figure 8.</w:t>
      </w:r>
      <w:r>
        <w:rPr>
          <w:rFonts w:ascii="Times New Roman" w:hAnsi="Times New Roman" w:cs="Times New Roman"/>
          <w:color w:val="000000"/>
          <w:sz w:val="24"/>
          <w:szCs w:val="24"/>
        </w:rPr>
        <w:t xml:space="preserve"> Chondrite normalized La/Ce versus La/Nd ratios for samples from TCC and Bear Lodge (</w:t>
      </w:r>
      <w:r>
        <w:rPr>
          <w:rFonts w:ascii="Times New Roman" w:hAnsi="Times New Roman" w:cs="Times New Roman"/>
          <w:color w:val="0000FF"/>
          <w:sz w:val="24"/>
          <w:szCs w:val="24"/>
        </w:rPr>
        <w:t>Moore et al., 2015</w:t>
      </w:r>
      <w:r>
        <w:rPr>
          <w:rFonts w:ascii="Times New Roman" w:hAnsi="Times New Roman" w:cs="Times New Roman"/>
          <w:color w:val="000000"/>
          <w:sz w:val="24"/>
          <w:szCs w:val="24"/>
        </w:rPr>
        <w:t>). TCC parasite (squares), synchysite (diamonds), monazite (triangles), whole rock carbonatite from difference centres (open circles); Bear Lodge parasite (crosses), synchysite (pluses), monazite (asterisks), whole rocks carbonatites (filled circles).</w:t>
      </w:r>
    </w:p>
    <w:p w:rsidR="00E44BE7" w:rsidRDefault="00E44BE7">
      <w:pPr>
        <w:spacing w:after="160" w:line="259" w:lineRule="auto"/>
      </w:pPr>
      <w:r>
        <w:br w:type="page"/>
      </w:r>
    </w:p>
    <w:p w:rsidR="0008650D" w:rsidRDefault="0008650D" w:rsidP="0008650D"/>
    <w:p w:rsidR="0008650D" w:rsidRDefault="0008650D" w:rsidP="0008650D">
      <w:pPr>
        <w:pStyle w:val="Default"/>
        <w:rPr>
          <w:b/>
          <w:bCs/>
          <w:sz w:val="23"/>
          <w:szCs w:val="23"/>
        </w:rPr>
      </w:pPr>
      <w:r w:rsidRPr="00BA5C00">
        <w:rPr>
          <w:b/>
          <w:bCs/>
          <w:noProof/>
          <w:sz w:val="23"/>
          <w:szCs w:val="23"/>
          <w:lang w:eastAsia="en-GB"/>
        </w:rPr>
        <w:drawing>
          <wp:inline distT="0" distB="0" distL="0" distR="0" wp14:anchorId="5B6022FA" wp14:editId="122ABA9F">
            <wp:extent cx="5640074" cy="3371850"/>
            <wp:effectExtent l="0" t="0" r="0" b="0"/>
            <wp:docPr id="12" name="Picture 12" descr="C:\Users\pmrp\Documents\Geochemistry Group\Palmer\Marlow\Revised paper\Jan 2022\spider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rp\Documents\Geochemistry Group\Palmer\Marlow\Revised paper\Jan 2022\spider 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3282" cy="3373768"/>
                    </a:xfrm>
                    <a:prstGeom prst="rect">
                      <a:avLst/>
                    </a:prstGeom>
                    <a:noFill/>
                    <a:ln>
                      <a:noFill/>
                    </a:ln>
                  </pic:spPr>
                </pic:pic>
              </a:graphicData>
            </a:graphic>
          </wp:inline>
        </w:drawing>
      </w:r>
    </w:p>
    <w:p w:rsidR="0008650D" w:rsidRDefault="0008650D" w:rsidP="0008650D">
      <w:pPr>
        <w:pStyle w:val="Default"/>
        <w:rPr>
          <w:b/>
          <w:bCs/>
          <w:sz w:val="23"/>
          <w:szCs w:val="23"/>
        </w:rPr>
      </w:pPr>
      <w:r w:rsidRPr="008663BF">
        <w:rPr>
          <w:b/>
          <w:bCs/>
          <w:noProof/>
          <w:sz w:val="23"/>
          <w:szCs w:val="23"/>
          <w:lang w:eastAsia="en-GB"/>
        </w:rPr>
        <w:drawing>
          <wp:inline distT="0" distB="0" distL="0" distR="0" wp14:anchorId="0C462B86" wp14:editId="7B006B46">
            <wp:extent cx="5640070" cy="3371978"/>
            <wp:effectExtent l="0" t="0" r="0" b="0"/>
            <wp:docPr id="13" name="Picture 13" descr="C:\Users\pmrp\Documents\Geochemistry Group\Palmer\Marlow\Revised paper\Jan 2022\spider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rp\Documents\Geochemistry Group\Palmer\Marlow\Revised paper\Jan 2022\spider 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3934" cy="3374288"/>
                    </a:xfrm>
                    <a:prstGeom prst="rect">
                      <a:avLst/>
                    </a:prstGeom>
                    <a:noFill/>
                    <a:ln>
                      <a:noFill/>
                    </a:ln>
                  </pic:spPr>
                </pic:pic>
              </a:graphicData>
            </a:graphic>
          </wp:inline>
        </w:drawing>
      </w:r>
    </w:p>
    <w:p w:rsidR="0008650D" w:rsidRDefault="0008650D" w:rsidP="0008650D">
      <w:pPr>
        <w:pStyle w:val="Default"/>
        <w:rPr>
          <w:sz w:val="23"/>
          <w:szCs w:val="23"/>
        </w:rPr>
      </w:pPr>
      <w:r>
        <w:rPr>
          <w:b/>
          <w:bCs/>
          <w:sz w:val="23"/>
          <w:szCs w:val="23"/>
        </w:rPr>
        <w:t xml:space="preserve">Figure 9: </w:t>
      </w:r>
      <w:r>
        <w:rPr>
          <w:sz w:val="23"/>
          <w:szCs w:val="23"/>
        </w:rPr>
        <w:t>Primitive-mantle normalized spider diagram for whole-rock carbonatites.</w:t>
      </w:r>
    </w:p>
    <w:p w:rsidR="0008650D" w:rsidRDefault="0008650D" w:rsidP="0008650D">
      <w:pPr>
        <w:pStyle w:val="Default"/>
        <w:rPr>
          <w:sz w:val="23"/>
          <w:szCs w:val="23"/>
        </w:rPr>
      </w:pPr>
    </w:p>
    <w:p w:rsidR="0008650D" w:rsidRDefault="0008650D" w:rsidP="0008650D">
      <w:pPr>
        <w:pStyle w:val="Default"/>
        <w:spacing w:after="198"/>
        <w:rPr>
          <w:sz w:val="23"/>
          <w:szCs w:val="23"/>
        </w:rPr>
      </w:pPr>
      <w:r>
        <w:rPr>
          <w:sz w:val="23"/>
          <w:szCs w:val="23"/>
        </w:rPr>
        <w:t xml:space="preserve">(A)  TCC. Symbols as in Figure 7A. </w:t>
      </w:r>
    </w:p>
    <w:p w:rsidR="0008650D" w:rsidRDefault="0008650D" w:rsidP="0008650D">
      <w:pPr>
        <w:pStyle w:val="Default"/>
        <w:rPr>
          <w:sz w:val="23"/>
          <w:szCs w:val="23"/>
        </w:rPr>
      </w:pPr>
      <w:r>
        <w:rPr>
          <w:sz w:val="23"/>
          <w:szCs w:val="23"/>
        </w:rPr>
        <w:t xml:space="preserve">(B)  Selected REE-enriched carbonatites. Symbols and data sources as in Figure 7B. </w:t>
      </w:r>
    </w:p>
    <w:p w:rsidR="0008650D" w:rsidRDefault="0008650D">
      <w:pPr>
        <w:spacing w:after="160" w:line="259" w:lineRule="auto"/>
      </w:pPr>
      <w:r>
        <w:br w:type="page"/>
      </w:r>
    </w:p>
    <w:p w:rsidR="00DF42BB" w:rsidRDefault="00EA0D32">
      <w:pPr>
        <w:spacing w:after="160" w:line="259" w:lineRule="auto"/>
      </w:pPr>
      <w:r>
        <w:rPr>
          <w:noProof/>
          <w:lang w:eastAsia="en-GB"/>
        </w:rPr>
        <w:lastRenderedPageBreak/>
        <w:drawing>
          <wp:inline distT="0" distB="0" distL="0" distR="0" wp14:anchorId="3B7B0AD8" wp14:editId="7A5BDD3A">
            <wp:extent cx="3078000" cy="2700000"/>
            <wp:effectExtent l="0" t="0" r="8255"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en-GB"/>
        </w:rPr>
        <w:drawing>
          <wp:inline distT="0" distB="0" distL="0" distR="0" wp14:anchorId="167C3ECA" wp14:editId="37818886">
            <wp:extent cx="2880000" cy="2700000"/>
            <wp:effectExtent l="0" t="0" r="0"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en-GB"/>
        </w:rPr>
        <w:drawing>
          <wp:inline distT="0" distB="0" distL="0" distR="0" wp14:anchorId="239FFBA6" wp14:editId="4B85C747">
            <wp:extent cx="2772000" cy="2700000"/>
            <wp:effectExtent l="0" t="0" r="0" b="57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0D32" w:rsidRDefault="00EA0D32">
      <w:pPr>
        <w:spacing w:after="160" w:line="259" w:lineRule="auto"/>
      </w:pPr>
      <w:r>
        <w:rPr>
          <w:noProof/>
          <w:lang w:eastAsia="en-GB"/>
        </w:rPr>
        <w:lastRenderedPageBreak/>
        <w:drawing>
          <wp:inline distT="0" distB="0" distL="0" distR="0" wp14:anchorId="369B7699" wp14:editId="05218EB9">
            <wp:extent cx="2952000" cy="2700000"/>
            <wp:effectExtent l="0" t="0" r="1270" b="57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eastAsia="en-GB"/>
        </w:rPr>
        <w:drawing>
          <wp:inline distT="0" distB="0" distL="0" distR="0" wp14:anchorId="1811F91B" wp14:editId="048E430D">
            <wp:extent cx="2988000" cy="2700000"/>
            <wp:effectExtent l="0" t="0" r="3175" b="57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en-GB"/>
        </w:rPr>
        <w:drawing>
          <wp:inline distT="0" distB="0" distL="0" distR="0" wp14:anchorId="3EB5B40C" wp14:editId="5BC9022E">
            <wp:extent cx="2952000" cy="2700000"/>
            <wp:effectExtent l="0" t="0" r="1270"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en-GB"/>
        </w:rPr>
        <w:lastRenderedPageBreak/>
        <w:drawing>
          <wp:inline distT="0" distB="0" distL="0" distR="0" wp14:anchorId="197275CC" wp14:editId="571DDA37">
            <wp:extent cx="3024000" cy="2700000"/>
            <wp:effectExtent l="0" t="0" r="5080"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en-GB"/>
        </w:rPr>
        <w:drawing>
          <wp:inline distT="0" distB="0" distL="0" distR="0" wp14:anchorId="34059D0E" wp14:editId="5666FC39">
            <wp:extent cx="3060000" cy="2700000"/>
            <wp:effectExtent l="0" t="0" r="7620" b="57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A0D32" w:rsidRDefault="00EA0D32" w:rsidP="00EA0D32">
      <w:pPr>
        <w:tabs>
          <w:tab w:val="left" w:pos="1300"/>
        </w:tabs>
        <w:rPr>
          <w:rFonts w:ascii="Times New Roman" w:hAnsi="Times New Roman" w:cs="Times New Roman"/>
          <w:color w:val="000000" w:themeColor="text1"/>
          <w:sz w:val="24"/>
          <w:szCs w:val="24"/>
        </w:rPr>
      </w:pPr>
      <w:r w:rsidRPr="00E12B98">
        <w:rPr>
          <w:rFonts w:ascii="Times New Roman" w:hAnsi="Times New Roman" w:cs="Times New Roman"/>
          <w:b/>
          <w:color w:val="000000" w:themeColor="text1"/>
          <w:sz w:val="24"/>
          <w:szCs w:val="24"/>
        </w:rPr>
        <w:t>Fig. 10.</w:t>
      </w:r>
      <w:r w:rsidRPr="00E12B98">
        <w:rPr>
          <w:rFonts w:ascii="Times New Roman" w:hAnsi="Times New Roman" w:cs="Times New Roman"/>
          <w:color w:val="000000" w:themeColor="text1"/>
          <w:sz w:val="24"/>
          <w:szCs w:val="24"/>
        </w:rPr>
        <w:t xml:space="preserve"> Initial Sr-Nd-Pb isotope systematics of TK (+, this study), Dicker Willem (X, Cooper &amp; Reid, 2000), East African carbonatites (open circles, Bell &amp; Tilton, 2001) and Walvis Ridge, South Atlantic closed circles (filled circles, Homrighausen et al., 2018).  In all cases, the analytical uncertainties of the data obtained for the TCC samples are smaller than the data symbols.  The Namibian data are initial ratios based on the 49±1 Ma age for Dicker Willem (Reid </w:t>
      </w:r>
      <w:r w:rsidRPr="00E12B98">
        <w:rPr>
          <w:rFonts w:ascii="Times New Roman" w:hAnsi="Times New Roman" w:cs="Times New Roman"/>
          <w:i/>
          <w:color w:val="000000" w:themeColor="text1"/>
          <w:sz w:val="24"/>
          <w:szCs w:val="24"/>
        </w:rPr>
        <w:t>et al.</w:t>
      </w:r>
      <w:r w:rsidRPr="00E12B98">
        <w:rPr>
          <w:rFonts w:ascii="Times New Roman" w:hAnsi="Times New Roman" w:cs="Times New Roman"/>
          <w:color w:val="000000" w:themeColor="text1"/>
          <w:sz w:val="24"/>
          <w:szCs w:val="24"/>
        </w:rPr>
        <w:t xml:space="preserve"> 1990).</w:t>
      </w:r>
    </w:p>
    <w:p w:rsidR="00EA0D32" w:rsidRPr="00EA0D32" w:rsidRDefault="00EA0D32" w:rsidP="00EA0D32">
      <w:pPr>
        <w:pStyle w:val="ListParagraph"/>
        <w:numPr>
          <w:ilvl w:val="0"/>
          <w:numId w:val="10"/>
        </w:numPr>
        <w:tabs>
          <w:tab w:val="left" w:pos="1300"/>
        </w:tabs>
        <w:rPr>
          <w:rFonts w:ascii="Times New Roman" w:hAnsi="Times New Roman" w:cs="Times New Roman"/>
          <w:color w:val="000000" w:themeColor="text1"/>
          <w:sz w:val="24"/>
          <w:szCs w:val="24"/>
        </w:rPr>
      </w:pPr>
      <w:r w:rsidRPr="00EA0D32">
        <w:rPr>
          <w:rFonts w:ascii="Times New Roman" w:hAnsi="Times New Roman" w:cs="Times New Roman"/>
          <w:color w:val="000000" w:themeColor="text1"/>
          <w:sz w:val="24"/>
          <w:szCs w:val="24"/>
          <w:vertAlign w:val="superscript"/>
        </w:rPr>
        <w:t>143</w:t>
      </w:r>
      <w:r w:rsidRPr="00EA0D32">
        <w:rPr>
          <w:rFonts w:ascii="Times New Roman" w:hAnsi="Times New Roman" w:cs="Times New Roman"/>
          <w:color w:val="000000" w:themeColor="text1"/>
          <w:sz w:val="24"/>
          <w:szCs w:val="24"/>
        </w:rPr>
        <w:t>Nd/</w:t>
      </w:r>
      <w:r w:rsidRPr="00EA0D32">
        <w:rPr>
          <w:rFonts w:ascii="Times New Roman" w:hAnsi="Times New Roman" w:cs="Times New Roman"/>
          <w:color w:val="000000" w:themeColor="text1"/>
          <w:sz w:val="24"/>
          <w:szCs w:val="24"/>
          <w:vertAlign w:val="superscript"/>
        </w:rPr>
        <w:t>144</w:t>
      </w:r>
      <w:r w:rsidRPr="00EA0D32">
        <w:rPr>
          <w:rFonts w:ascii="Times New Roman" w:hAnsi="Times New Roman" w:cs="Times New Roman"/>
          <w:color w:val="000000" w:themeColor="text1"/>
          <w:sz w:val="24"/>
          <w:szCs w:val="24"/>
        </w:rPr>
        <w:t xml:space="preserve">Nd versus </w:t>
      </w:r>
      <w:r w:rsidRPr="00EA0D32">
        <w:rPr>
          <w:rFonts w:ascii="Times New Roman" w:hAnsi="Times New Roman" w:cs="Times New Roman"/>
          <w:color w:val="000000" w:themeColor="text1"/>
          <w:sz w:val="24"/>
          <w:szCs w:val="24"/>
          <w:vertAlign w:val="superscript"/>
        </w:rPr>
        <w:t>87</w:t>
      </w:r>
      <w:r w:rsidRPr="00EA0D32">
        <w:rPr>
          <w:rFonts w:ascii="Times New Roman" w:hAnsi="Times New Roman" w:cs="Times New Roman"/>
          <w:color w:val="000000" w:themeColor="text1"/>
          <w:sz w:val="24"/>
          <w:szCs w:val="24"/>
        </w:rPr>
        <w:t>Sr/</w:t>
      </w:r>
      <w:r w:rsidRPr="00EA0D32">
        <w:rPr>
          <w:rFonts w:ascii="Times New Roman" w:hAnsi="Times New Roman" w:cs="Times New Roman"/>
          <w:color w:val="000000" w:themeColor="text1"/>
          <w:sz w:val="24"/>
          <w:szCs w:val="24"/>
          <w:vertAlign w:val="superscript"/>
        </w:rPr>
        <w:t>86</w:t>
      </w:r>
      <w:r w:rsidRPr="00EA0D32">
        <w:rPr>
          <w:rFonts w:ascii="Times New Roman" w:hAnsi="Times New Roman" w:cs="Times New Roman"/>
          <w:color w:val="000000" w:themeColor="text1"/>
          <w:sz w:val="24"/>
          <w:szCs w:val="24"/>
        </w:rPr>
        <w:t>Sr</w:t>
      </w:r>
    </w:p>
    <w:p w:rsidR="00EA0D32" w:rsidRPr="00EA0D32" w:rsidRDefault="00EA0D32" w:rsidP="00EA0D32">
      <w:pPr>
        <w:pStyle w:val="ListParagraph"/>
        <w:numPr>
          <w:ilvl w:val="0"/>
          <w:numId w:val="10"/>
        </w:numPr>
        <w:tabs>
          <w:tab w:val="left" w:pos="1300"/>
        </w:tabs>
        <w:rPr>
          <w:rFonts w:ascii="Times New Roman" w:hAnsi="Times New Roman" w:cs="Times New Roman"/>
          <w:color w:val="000000" w:themeColor="text1"/>
          <w:sz w:val="24"/>
          <w:szCs w:val="24"/>
        </w:rPr>
      </w:pPr>
      <w:r w:rsidRPr="00EA0D32">
        <w:rPr>
          <w:rFonts w:ascii="Times New Roman" w:hAnsi="Times New Roman" w:cs="Times New Roman"/>
          <w:color w:val="000000" w:themeColor="text1"/>
          <w:sz w:val="24"/>
          <w:szCs w:val="24"/>
          <w:vertAlign w:val="superscript"/>
        </w:rPr>
        <w:t>207</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 xml:space="preserve">Pb versus </w:t>
      </w:r>
      <w:r w:rsidRPr="00EA0D32">
        <w:rPr>
          <w:rFonts w:ascii="Times New Roman" w:hAnsi="Times New Roman" w:cs="Times New Roman"/>
          <w:color w:val="000000" w:themeColor="text1"/>
          <w:sz w:val="24"/>
          <w:szCs w:val="24"/>
          <w:vertAlign w:val="superscript"/>
        </w:rPr>
        <w:t>206</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Pb</w:t>
      </w:r>
    </w:p>
    <w:p w:rsidR="00EA0D32" w:rsidRPr="00EA0D32" w:rsidRDefault="00EA0D32" w:rsidP="00EA0D32">
      <w:pPr>
        <w:pStyle w:val="ListParagraph"/>
        <w:numPr>
          <w:ilvl w:val="0"/>
          <w:numId w:val="10"/>
        </w:numPr>
        <w:tabs>
          <w:tab w:val="left" w:pos="1300"/>
        </w:tabs>
        <w:rPr>
          <w:rFonts w:ascii="Times New Roman" w:hAnsi="Times New Roman" w:cs="Times New Roman"/>
          <w:color w:val="000000" w:themeColor="text1"/>
          <w:sz w:val="24"/>
          <w:szCs w:val="24"/>
        </w:rPr>
      </w:pPr>
      <w:r w:rsidRPr="00EA0D32">
        <w:rPr>
          <w:rFonts w:ascii="Times New Roman" w:hAnsi="Times New Roman" w:cs="Times New Roman"/>
          <w:color w:val="000000" w:themeColor="text1"/>
          <w:sz w:val="24"/>
          <w:szCs w:val="24"/>
          <w:vertAlign w:val="superscript"/>
        </w:rPr>
        <w:t>208</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 xml:space="preserve">Pb versus </w:t>
      </w:r>
      <w:r w:rsidRPr="00EA0D32">
        <w:rPr>
          <w:rFonts w:ascii="Times New Roman" w:hAnsi="Times New Roman" w:cs="Times New Roman"/>
          <w:color w:val="000000" w:themeColor="text1"/>
          <w:sz w:val="24"/>
          <w:szCs w:val="24"/>
          <w:vertAlign w:val="superscript"/>
        </w:rPr>
        <w:t>206</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Pb</w:t>
      </w:r>
    </w:p>
    <w:p w:rsidR="00EA0D32" w:rsidRPr="00EA0D32" w:rsidRDefault="00EA0D32" w:rsidP="00EA0D32">
      <w:pPr>
        <w:pStyle w:val="ListParagraph"/>
        <w:numPr>
          <w:ilvl w:val="0"/>
          <w:numId w:val="10"/>
        </w:numPr>
        <w:tabs>
          <w:tab w:val="left" w:pos="1300"/>
        </w:tabs>
        <w:jc w:val="both"/>
        <w:rPr>
          <w:rFonts w:ascii="Times New Roman" w:hAnsi="Times New Roman" w:cs="Times New Roman"/>
          <w:color w:val="000000" w:themeColor="text1"/>
          <w:sz w:val="24"/>
          <w:szCs w:val="24"/>
        </w:rPr>
      </w:pPr>
      <w:r w:rsidRPr="00EA0D32">
        <w:rPr>
          <w:rFonts w:ascii="Times New Roman" w:hAnsi="Times New Roman" w:cs="Times New Roman"/>
          <w:color w:val="000000" w:themeColor="text1"/>
          <w:sz w:val="24"/>
          <w:szCs w:val="24"/>
          <w:vertAlign w:val="superscript"/>
        </w:rPr>
        <w:lastRenderedPageBreak/>
        <w:t>87</w:t>
      </w:r>
      <w:r w:rsidRPr="00EA0D32">
        <w:rPr>
          <w:rFonts w:ascii="Times New Roman" w:hAnsi="Times New Roman" w:cs="Times New Roman"/>
          <w:color w:val="000000" w:themeColor="text1"/>
          <w:sz w:val="24"/>
          <w:szCs w:val="24"/>
        </w:rPr>
        <w:t>Sr/</w:t>
      </w:r>
      <w:r w:rsidRPr="00EA0D32">
        <w:rPr>
          <w:rFonts w:ascii="Times New Roman" w:hAnsi="Times New Roman" w:cs="Times New Roman"/>
          <w:color w:val="000000" w:themeColor="text1"/>
          <w:sz w:val="24"/>
          <w:szCs w:val="24"/>
          <w:vertAlign w:val="superscript"/>
        </w:rPr>
        <w:t>86</w:t>
      </w:r>
      <w:r w:rsidRPr="00EA0D32">
        <w:rPr>
          <w:rFonts w:ascii="Times New Roman" w:hAnsi="Times New Roman" w:cs="Times New Roman"/>
          <w:color w:val="000000" w:themeColor="text1"/>
          <w:sz w:val="24"/>
          <w:szCs w:val="24"/>
        </w:rPr>
        <w:t xml:space="preserve">Sr versus </w:t>
      </w:r>
      <w:r w:rsidRPr="00EA0D32">
        <w:rPr>
          <w:rFonts w:ascii="Times New Roman" w:hAnsi="Times New Roman" w:cs="Times New Roman"/>
          <w:color w:val="000000" w:themeColor="text1"/>
          <w:sz w:val="24"/>
          <w:szCs w:val="24"/>
          <w:vertAlign w:val="superscript"/>
        </w:rPr>
        <w:t>206</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Pb</w:t>
      </w:r>
    </w:p>
    <w:p w:rsidR="00EA0D32" w:rsidRPr="00EA0D32" w:rsidRDefault="00EA0D32" w:rsidP="00EA0D32">
      <w:pPr>
        <w:pStyle w:val="ListParagraph"/>
        <w:numPr>
          <w:ilvl w:val="0"/>
          <w:numId w:val="10"/>
        </w:numPr>
        <w:tabs>
          <w:tab w:val="left" w:pos="1300"/>
        </w:tabs>
        <w:jc w:val="both"/>
        <w:rPr>
          <w:rFonts w:ascii="Times New Roman" w:hAnsi="Times New Roman" w:cs="Times New Roman"/>
          <w:color w:val="000000" w:themeColor="text1"/>
          <w:sz w:val="24"/>
          <w:szCs w:val="24"/>
        </w:rPr>
      </w:pPr>
      <w:r w:rsidRPr="00EA0D32">
        <w:rPr>
          <w:rFonts w:ascii="Times New Roman" w:hAnsi="Times New Roman" w:cs="Times New Roman"/>
          <w:color w:val="000000" w:themeColor="text1"/>
          <w:sz w:val="24"/>
          <w:szCs w:val="24"/>
          <w:vertAlign w:val="superscript"/>
        </w:rPr>
        <w:t>143</w:t>
      </w:r>
      <w:r w:rsidRPr="00EA0D32">
        <w:rPr>
          <w:rFonts w:ascii="Times New Roman" w:hAnsi="Times New Roman" w:cs="Times New Roman"/>
          <w:color w:val="000000" w:themeColor="text1"/>
          <w:sz w:val="24"/>
          <w:szCs w:val="24"/>
        </w:rPr>
        <w:t>Nd/</w:t>
      </w:r>
      <w:r w:rsidRPr="00EA0D32">
        <w:rPr>
          <w:rFonts w:ascii="Times New Roman" w:hAnsi="Times New Roman" w:cs="Times New Roman"/>
          <w:color w:val="000000" w:themeColor="text1"/>
          <w:sz w:val="24"/>
          <w:szCs w:val="24"/>
          <w:vertAlign w:val="superscript"/>
        </w:rPr>
        <w:t>144</w:t>
      </w:r>
      <w:r w:rsidRPr="00EA0D32">
        <w:rPr>
          <w:rFonts w:ascii="Times New Roman" w:hAnsi="Times New Roman" w:cs="Times New Roman"/>
          <w:color w:val="000000" w:themeColor="text1"/>
          <w:sz w:val="24"/>
          <w:szCs w:val="24"/>
        </w:rPr>
        <w:t xml:space="preserve">Nd versus </w:t>
      </w:r>
      <w:r w:rsidRPr="00EA0D32">
        <w:rPr>
          <w:rFonts w:ascii="Times New Roman" w:hAnsi="Times New Roman" w:cs="Times New Roman"/>
          <w:color w:val="000000" w:themeColor="text1"/>
          <w:sz w:val="24"/>
          <w:szCs w:val="24"/>
          <w:vertAlign w:val="superscript"/>
        </w:rPr>
        <w:t>206</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Pb</w:t>
      </w:r>
    </w:p>
    <w:p w:rsidR="00EA0D32" w:rsidRPr="00EA0D32" w:rsidRDefault="00EA0D32" w:rsidP="00EA0D32">
      <w:pPr>
        <w:pStyle w:val="ListParagraph"/>
        <w:numPr>
          <w:ilvl w:val="0"/>
          <w:numId w:val="10"/>
        </w:numPr>
        <w:tabs>
          <w:tab w:val="left" w:pos="1300"/>
        </w:tabs>
        <w:jc w:val="both"/>
        <w:rPr>
          <w:rFonts w:ascii="Times New Roman" w:hAnsi="Times New Roman" w:cs="Times New Roman"/>
          <w:color w:val="000000" w:themeColor="text1"/>
          <w:sz w:val="24"/>
          <w:szCs w:val="24"/>
        </w:rPr>
      </w:pPr>
      <w:r w:rsidRPr="00EA0D32">
        <w:rPr>
          <w:rFonts w:ascii="Times New Roman" w:hAnsi="Times New Roman" w:cs="Times New Roman"/>
          <w:color w:val="000000" w:themeColor="text1"/>
          <w:sz w:val="24"/>
          <w:szCs w:val="24"/>
          <w:vertAlign w:val="superscript"/>
        </w:rPr>
        <w:t>87</w:t>
      </w:r>
      <w:r w:rsidRPr="00EA0D32">
        <w:rPr>
          <w:rFonts w:ascii="Times New Roman" w:hAnsi="Times New Roman" w:cs="Times New Roman"/>
          <w:color w:val="000000" w:themeColor="text1"/>
          <w:sz w:val="24"/>
          <w:szCs w:val="24"/>
        </w:rPr>
        <w:t>Sr/</w:t>
      </w:r>
      <w:r w:rsidRPr="00EA0D32">
        <w:rPr>
          <w:rFonts w:ascii="Times New Roman" w:hAnsi="Times New Roman" w:cs="Times New Roman"/>
          <w:color w:val="000000" w:themeColor="text1"/>
          <w:sz w:val="24"/>
          <w:szCs w:val="24"/>
          <w:vertAlign w:val="superscript"/>
        </w:rPr>
        <w:t>86</w:t>
      </w:r>
      <w:r w:rsidRPr="00EA0D32">
        <w:rPr>
          <w:rFonts w:ascii="Times New Roman" w:hAnsi="Times New Roman" w:cs="Times New Roman"/>
          <w:color w:val="000000" w:themeColor="text1"/>
          <w:sz w:val="24"/>
          <w:szCs w:val="24"/>
        </w:rPr>
        <w:t xml:space="preserve">Sr versus </w:t>
      </w:r>
      <w:r w:rsidRPr="00EA0D32">
        <w:rPr>
          <w:rFonts w:ascii="Times New Roman" w:hAnsi="Times New Roman" w:cs="Times New Roman"/>
          <w:color w:val="000000" w:themeColor="text1"/>
          <w:sz w:val="24"/>
          <w:szCs w:val="24"/>
          <w:vertAlign w:val="superscript"/>
        </w:rPr>
        <w:t>208</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Pb</w:t>
      </w:r>
    </w:p>
    <w:p w:rsidR="00EA0D32" w:rsidRPr="00EA0D32" w:rsidRDefault="00EA0D32" w:rsidP="00EA0D32">
      <w:pPr>
        <w:pStyle w:val="ListParagraph"/>
        <w:numPr>
          <w:ilvl w:val="0"/>
          <w:numId w:val="10"/>
        </w:numPr>
        <w:tabs>
          <w:tab w:val="left" w:pos="1300"/>
        </w:tabs>
        <w:jc w:val="both"/>
        <w:rPr>
          <w:rFonts w:ascii="Times New Roman" w:hAnsi="Times New Roman" w:cs="Times New Roman"/>
          <w:color w:val="000000" w:themeColor="text1"/>
          <w:sz w:val="24"/>
          <w:szCs w:val="24"/>
        </w:rPr>
      </w:pPr>
      <w:r w:rsidRPr="00EA0D32">
        <w:rPr>
          <w:rFonts w:ascii="Times New Roman" w:hAnsi="Times New Roman" w:cs="Times New Roman"/>
          <w:color w:val="000000" w:themeColor="text1"/>
          <w:sz w:val="24"/>
          <w:szCs w:val="24"/>
          <w:vertAlign w:val="superscript"/>
        </w:rPr>
        <w:t>143</w:t>
      </w:r>
      <w:r w:rsidRPr="00EA0D32">
        <w:rPr>
          <w:rFonts w:ascii="Times New Roman" w:hAnsi="Times New Roman" w:cs="Times New Roman"/>
          <w:color w:val="000000" w:themeColor="text1"/>
          <w:sz w:val="24"/>
          <w:szCs w:val="24"/>
        </w:rPr>
        <w:t>Nd/</w:t>
      </w:r>
      <w:r w:rsidRPr="00EA0D32">
        <w:rPr>
          <w:rFonts w:ascii="Times New Roman" w:hAnsi="Times New Roman" w:cs="Times New Roman"/>
          <w:color w:val="000000" w:themeColor="text1"/>
          <w:sz w:val="24"/>
          <w:szCs w:val="24"/>
          <w:vertAlign w:val="superscript"/>
        </w:rPr>
        <w:t>144</w:t>
      </w:r>
      <w:r w:rsidRPr="00EA0D32">
        <w:rPr>
          <w:rFonts w:ascii="Times New Roman" w:hAnsi="Times New Roman" w:cs="Times New Roman"/>
          <w:color w:val="000000" w:themeColor="text1"/>
          <w:sz w:val="24"/>
          <w:szCs w:val="24"/>
        </w:rPr>
        <w:t xml:space="preserve">Nd versus </w:t>
      </w:r>
      <w:r w:rsidRPr="00EA0D32">
        <w:rPr>
          <w:rFonts w:ascii="Times New Roman" w:hAnsi="Times New Roman" w:cs="Times New Roman"/>
          <w:color w:val="000000" w:themeColor="text1"/>
          <w:sz w:val="24"/>
          <w:szCs w:val="24"/>
          <w:vertAlign w:val="superscript"/>
        </w:rPr>
        <w:t>208</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Pb</w:t>
      </w:r>
    </w:p>
    <w:p w:rsidR="00EA0D32" w:rsidRPr="00EA0D32" w:rsidRDefault="00EA0D32" w:rsidP="00EA0D32">
      <w:pPr>
        <w:pStyle w:val="ListParagraph"/>
        <w:numPr>
          <w:ilvl w:val="0"/>
          <w:numId w:val="10"/>
        </w:numPr>
        <w:tabs>
          <w:tab w:val="left" w:pos="1300"/>
        </w:tabs>
        <w:jc w:val="both"/>
        <w:rPr>
          <w:rFonts w:ascii="Times New Roman" w:hAnsi="Times New Roman" w:cs="Times New Roman"/>
          <w:color w:val="000000" w:themeColor="text1"/>
          <w:sz w:val="24"/>
          <w:szCs w:val="24"/>
        </w:rPr>
      </w:pPr>
      <w:r w:rsidRPr="00EA0D32">
        <w:rPr>
          <w:rFonts w:ascii="Times New Roman" w:hAnsi="Times New Roman" w:cs="Times New Roman"/>
          <w:color w:val="000000" w:themeColor="text1"/>
          <w:sz w:val="24"/>
          <w:szCs w:val="24"/>
        </w:rPr>
        <w:t xml:space="preserve">f(Nd,Pb) versus </w:t>
      </w:r>
      <w:r w:rsidRPr="00EA0D32">
        <w:rPr>
          <w:rFonts w:ascii="Times New Roman" w:hAnsi="Times New Roman" w:cs="Times New Roman"/>
          <w:color w:val="000000" w:themeColor="text1"/>
          <w:sz w:val="24"/>
          <w:szCs w:val="24"/>
          <w:vertAlign w:val="superscript"/>
        </w:rPr>
        <w:t>87</w:t>
      </w:r>
      <w:r w:rsidRPr="00EA0D32">
        <w:rPr>
          <w:rFonts w:ascii="Times New Roman" w:hAnsi="Times New Roman" w:cs="Times New Roman"/>
          <w:color w:val="000000" w:themeColor="text1"/>
          <w:sz w:val="24"/>
          <w:szCs w:val="24"/>
        </w:rPr>
        <w:t>Sr/</w:t>
      </w:r>
      <w:r w:rsidRPr="00EA0D32">
        <w:rPr>
          <w:rFonts w:ascii="Times New Roman" w:hAnsi="Times New Roman" w:cs="Times New Roman"/>
          <w:color w:val="000000" w:themeColor="text1"/>
          <w:sz w:val="24"/>
          <w:szCs w:val="24"/>
          <w:vertAlign w:val="superscript"/>
        </w:rPr>
        <w:t>86</w:t>
      </w:r>
      <w:r w:rsidRPr="00EA0D32">
        <w:rPr>
          <w:rFonts w:ascii="Times New Roman" w:hAnsi="Times New Roman" w:cs="Times New Roman"/>
          <w:color w:val="000000" w:themeColor="text1"/>
          <w:sz w:val="24"/>
          <w:szCs w:val="24"/>
        </w:rPr>
        <w:t>Sr, where f(Nd,Pb) = [(</w:t>
      </w:r>
      <w:r w:rsidRPr="00EA0D32">
        <w:rPr>
          <w:rFonts w:ascii="Times New Roman" w:hAnsi="Times New Roman" w:cs="Times New Roman"/>
          <w:color w:val="000000" w:themeColor="text1"/>
          <w:sz w:val="24"/>
          <w:szCs w:val="24"/>
          <w:vertAlign w:val="superscript"/>
        </w:rPr>
        <w:t>143</w:t>
      </w:r>
      <w:r w:rsidRPr="00EA0D32">
        <w:rPr>
          <w:rFonts w:ascii="Times New Roman" w:hAnsi="Times New Roman" w:cs="Times New Roman"/>
          <w:color w:val="000000" w:themeColor="text1"/>
          <w:sz w:val="24"/>
          <w:szCs w:val="24"/>
        </w:rPr>
        <w:t>Nd/</w:t>
      </w:r>
      <w:r w:rsidRPr="00EA0D32">
        <w:rPr>
          <w:rFonts w:ascii="Times New Roman" w:hAnsi="Times New Roman" w:cs="Times New Roman"/>
          <w:color w:val="000000" w:themeColor="text1"/>
          <w:sz w:val="24"/>
          <w:szCs w:val="24"/>
          <w:vertAlign w:val="superscript"/>
        </w:rPr>
        <w:t>144</w:t>
      </w:r>
      <w:r w:rsidRPr="00EA0D32">
        <w:rPr>
          <w:rFonts w:ascii="Times New Roman" w:hAnsi="Times New Roman" w:cs="Times New Roman"/>
          <w:color w:val="000000" w:themeColor="text1"/>
          <w:sz w:val="24"/>
          <w:szCs w:val="24"/>
        </w:rPr>
        <w:t>Nd)</w:t>
      </w:r>
      <w:r w:rsidRPr="00EA0D32">
        <w:rPr>
          <w:rFonts w:ascii="Times New Roman" w:hAnsi="Times New Roman" w:cs="Times New Roman"/>
          <w:color w:val="000000" w:themeColor="text1"/>
          <w:sz w:val="24"/>
          <w:szCs w:val="24"/>
          <w:vertAlign w:val="superscript"/>
        </w:rPr>
        <w:t>2</w:t>
      </w:r>
      <w:r w:rsidRPr="00EA0D32">
        <w:rPr>
          <w:rFonts w:ascii="Times New Roman" w:hAnsi="Times New Roman" w:cs="Times New Roman"/>
          <w:color w:val="000000" w:themeColor="text1"/>
          <w:sz w:val="16"/>
          <w:szCs w:val="16"/>
        </w:rPr>
        <w:t xml:space="preserve"> </w:t>
      </w:r>
      <w:r w:rsidRPr="00EA0D32">
        <w:rPr>
          <w:rFonts w:ascii="Times New Roman" w:hAnsi="Times New Roman" w:cs="Times New Roman"/>
          <w:color w:val="000000" w:themeColor="text1"/>
          <w:sz w:val="24"/>
          <w:szCs w:val="24"/>
        </w:rPr>
        <w:t>+ (</w:t>
      </w:r>
      <w:r w:rsidRPr="00EA0D32">
        <w:rPr>
          <w:rFonts w:ascii="Times New Roman" w:hAnsi="Times New Roman" w:cs="Times New Roman"/>
          <w:color w:val="000000" w:themeColor="text1"/>
          <w:sz w:val="24"/>
          <w:szCs w:val="24"/>
          <w:vertAlign w:val="superscript"/>
        </w:rPr>
        <w:t>206</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w:t>
      </w:r>
      <w:r w:rsidRPr="00EA0D32">
        <w:rPr>
          <w:rFonts w:ascii="Times New Roman" w:hAnsi="Times New Roman" w:cs="Times New Roman"/>
          <w:color w:val="000000" w:themeColor="text1"/>
          <w:sz w:val="24"/>
          <w:szCs w:val="24"/>
        </w:rPr>
        <w:t>]</w:t>
      </w:r>
      <w:r w:rsidRPr="00EA0D32">
        <w:rPr>
          <w:rFonts w:ascii="Times New Roman" w:hAnsi="Times New Roman" w:cs="Times New Roman"/>
          <w:color w:val="000000" w:themeColor="text1"/>
          <w:sz w:val="24"/>
          <w:szCs w:val="24"/>
          <w:vertAlign w:val="superscript"/>
        </w:rPr>
        <w:t>0.5</w:t>
      </w:r>
      <w:r w:rsidRPr="00EA0D32">
        <w:rPr>
          <w:rFonts w:ascii="Times New Roman" w:hAnsi="Times New Roman" w:cs="Times New Roman"/>
          <w:color w:val="000000" w:themeColor="text1"/>
          <w:sz w:val="24"/>
          <w:szCs w:val="24"/>
        </w:rPr>
        <w:t>.{sin[arctan(</w:t>
      </w:r>
      <w:r w:rsidRPr="00EA0D32">
        <w:rPr>
          <w:rFonts w:ascii="Times New Roman" w:hAnsi="Times New Roman" w:cs="Times New Roman"/>
          <w:color w:val="000000" w:themeColor="text1"/>
          <w:sz w:val="24"/>
          <w:szCs w:val="24"/>
          <w:vertAlign w:val="superscript"/>
        </w:rPr>
        <w:t>143</w:t>
      </w:r>
      <w:r w:rsidRPr="00EA0D32">
        <w:rPr>
          <w:rFonts w:ascii="Times New Roman" w:hAnsi="Times New Roman" w:cs="Times New Roman"/>
          <w:color w:val="000000" w:themeColor="text1"/>
          <w:sz w:val="24"/>
          <w:szCs w:val="24"/>
        </w:rPr>
        <w:t>Nd/</w:t>
      </w:r>
      <w:r w:rsidRPr="00EA0D32">
        <w:rPr>
          <w:rFonts w:ascii="Times New Roman" w:hAnsi="Times New Roman" w:cs="Times New Roman"/>
          <w:color w:val="000000" w:themeColor="text1"/>
          <w:sz w:val="24"/>
          <w:szCs w:val="24"/>
          <w:vertAlign w:val="superscript"/>
        </w:rPr>
        <w:t>144</w:t>
      </w:r>
      <w:r w:rsidRPr="00EA0D32">
        <w:rPr>
          <w:rFonts w:ascii="Times New Roman" w:hAnsi="Times New Roman" w:cs="Times New Roman"/>
          <w:color w:val="000000" w:themeColor="text1"/>
          <w:sz w:val="24"/>
          <w:szCs w:val="24"/>
        </w:rPr>
        <w:t xml:space="preserve">Nd / </w:t>
      </w:r>
      <w:r w:rsidRPr="00EA0D32">
        <w:rPr>
          <w:rFonts w:ascii="Times New Roman" w:hAnsi="Times New Roman" w:cs="Times New Roman"/>
          <w:color w:val="000000" w:themeColor="text1"/>
          <w:sz w:val="24"/>
          <w:szCs w:val="24"/>
          <w:vertAlign w:val="superscript"/>
        </w:rPr>
        <w:t>206</w:t>
      </w:r>
      <w:r w:rsidRPr="00EA0D32">
        <w:rPr>
          <w:rFonts w:ascii="Times New Roman" w:hAnsi="Times New Roman" w:cs="Times New Roman"/>
          <w:color w:val="000000" w:themeColor="text1"/>
          <w:sz w:val="24"/>
          <w:szCs w:val="24"/>
        </w:rPr>
        <w:t>Pb/</w:t>
      </w:r>
      <w:r w:rsidRPr="00EA0D32">
        <w:rPr>
          <w:rFonts w:ascii="Times New Roman" w:hAnsi="Times New Roman" w:cs="Times New Roman"/>
          <w:color w:val="000000" w:themeColor="text1"/>
          <w:sz w:val="24"/>
          <w:szCs w:val="24"/>
          <w:vertAlign w:val="superscript"/>
        </w:rPr>
        <w:t>204</w:t>
      </w:r>
      <w:r w:rsidRPr="00EA0D32">
        <w:rPr>
          <w:rFonts w:ascii="Times New Roman" w:hAnsi="Times New Roman" w:cs="Times New Roman"/>
          <w:color w:val="000000" w:themeColor="text1"/>
          <w:sz w:val="24"/>
          <w:szCs w:val="24"/>
        </w:rPr>
        <w:t>Pb) + 0.000064]} (Zindler et al. 1982; Bell &amp; Tilton, 2001).</w:t>
      </w:r>
    </w:p>
    <w:p w:rsidR="00EA0D32" w:rsidRDefault="00EA0D32">
      <w:pPr>
        <w:spacing w:after="160" w:line="259" w:lineRule="auto"/>
      </w:pPr>
      <w:r>
        <w:br w:type="page"/>
      </w:r>
    </w:p>
    <w:p w:rsidR="003B7F9B" w:rsidRDefault="003B7F9B" w:rsidP="003B7F9B">
      <w:r w:rsidRPr="00C62351">
        <w:rPr>
          <w:noProof/>
          <w:lang w:eastAsia="en-GB"/>
        </w:rPr>
        <w:lastRenderedPageBreak/>
        <w:drawing>
          <wp:inline distT="0" distB="0" distL="0" distR="0" wp14:anchorId="2DEBE189" wp14:editId="4D3808A7">
            <wp:extent cx="5534025" cy="8715375"/>
            <wp:effectExtent l="0" t="0" r="9525" b="9525"/>
            <wp:docPr id="22" name="Picture 22" descr="C:\Users\pmrp\Documents\Geochemistry Group\Palmer\Marlow\Revised paper\Jan 2022\Marlow 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rp\Documents\Geochemistry Group\Palmer\Marlow\Revised paper\Jan 2022\Marlow Fig. 1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4025" cy="8715375"/>
                    </a:xfrm>
                    <a:prstGeom prst="rect">
                      <a:avLst/>
                    </a:prstGeom>
                    <a:noFill/>
                    <a:ln>
                      <a:noFill/>
                    </a:ln>
                  </pic:spPr>
                </pic:pic>
              </a:graphicData>
            </a:graphic>
          </wp:inline>
        </w:drawing>
      </w:r>
    </w:p>
    <w:p w:rsidR="003B7F9B" w:rsidRPr="00D85EDA" w:rsidRDefault="003B7F9B" w:rsidP="003B7F9B">
      <w:pPr>
        <w:tabs>
          <w:tab w:val="left" w:pos="1300"/>
        </w:tabs>
        <w:jc w:val="both"/>
        <w:rPr>
          <w:rFonts w:ascii="Times New Roman" w:hAnsi="Times New Roman" w:cs="Times New Roman"/>
          <w:sz w:val="24"/>
          <w:szCs w:val="24"/>
        </w:rPr>
      </w:pPr>
      <w:r w:rsidRPr="00D85EDA">
        <w:rPr>
          <w:rFonts w:ascii="Times New Roman" w:hAnsi="Times New Roman" w:cs="Times New Roman"/>
          <w:b/>
          <w:sz w:val="24"/>
          <w:szCs w:val="24"/>
        </w:rPr>
        <w:lastRenderedPageBreak/>
        <w:t>Fig. 11.</w:t>
      </w:r>
      <w:r w:rsidRPr="00D85EDA">
        <w:rPr>
          <w:rFonts w:ascii="Times New Roman" w:hAnsi="Times New Roman" w:cs="Times New Roman"/>
          <w:sz w:val="24"/>
          <w:szCs w:val="24"/>
        </w:rPr>
        <w:t xml:space="preserve"> (Colour online) Schematic evolution of the TCC. </w:t>
      </w:r>
    </w:p>
    <w:p w:rsidR="003B7F9B" w:rsidRPr="00D85EDA" w:rsidRDefault="003B7F9B" w:rsidP="003B7F9B">
      <w:pPr>
        <w:tabs>
          <w:tab w:val="left" w:pos="1300"/>
        </w:tabs>
        <w:contextualSpacing/>
        <w:jc w:val="both"/>
        <w:rPr>
          <w:rFonts w:ascii="Times New Roman" w:hAnsi="Times New Roman" w:cs="Times New Roman"/>
          <w:sz w:val="24"/>
          <w:szCs w:val="24"/>
        </w:rPr>
      </w:pPr>
      <w:r w:rsidRPr="00D85EDA">
        <w:rPr>
          <w:rFonts w:ascii="Times New Roman" w:hAnsi="Times New Roman" w:cs="Times New Roman"/>
          <w:b/>
          <w:sz w:val="24"/>
          <w:szCs w:val="24"/>
        </w:rPr>
        <w:t>Stage 1.</w:t>
      </w:r>
      <w:r w:rsidRPr="00D85EDA">
        <w:rPr>
          <w:rFonts w:ascii="Times New Roman" w:hAnsi="Times New Roman" w:cs="Times New Roman"/>
          <w:sz w:val="24"/>
          <w:szCs w:val="24"/>
        </w:rPr>
        <w:t xml:space="preserve"> Initial emplacement of REE enriched calcio-carbonatites to form linear plugs at the top of a volcanic neck, at least 400m in diameter, above a shallow magma chamber.  Crystallization of REE-enriched melt resulted in abundant REE </w:t>
      </w:r>
      <w:r w:rsidRPr="00A73F0D">
        <w:rPr>
          <w:rFonts w:ascii="Times New Roman" w:hAnsi="Times New Roman" w:cs="Times New Roman"/>
          <w:color w:val="FF0000"/>
          <w:sz w:val="24"/>
          <w:szCs w:val="24"/>
        </w:rPr>
        <w:t>fluorcarbonates</w:t>
      </w:r>
      <w:r w:rsidRPr="00D85EDA">
        <w:rPr>
          <w:rFonts w:ascii="Times New Roman" w:hAnsi="Times New Roman" w:cs="Times New Roman"/>
          <w:sz w:val="24"/>
          <w:szCs w:val="24"/>
        </w:rPr>
        <w:t xml:space="preserve"> and REE-rich monazite within the plugs. Shear stress associated with frictional plug–wall shear (photo 1). </w:t>
      </w:r>
    </w:p>
    <w:p w:rsidR="003B7F9B" w:rsidRPr="00D85EDA" w:rsidRDefault="003B7F9B" w:rsidP="003B7F9B">
      <w:pPr>
        <w:tabs>
          <w:tab w:val="left" w:pos="1300"/>
        </w:tabs>
        <w:contextualSpacing/>
        <w:jc w:val="both"/>
        <w:rPr>
          <w:rFonts w:ascii="Times New Roman" w:hAnsi="Times New Roman" w:cs="Times New Roman"/>
          <w:sz w:val="24"/>
          <w:szCs w:val="24"/>
        </w:rPr>
      </w:pPr>
      <w:r w:rsidRPr="00D85EDA">
        <w:rPr>
          <w:rFonts w:ascii="Times New Roman" w:hAnsi="Times New Roman" w:cs="Times New Roman"/>
          <w:b/>
          <w:sz w:val="24"/>
          <w:szCs w:val="24"/>
        </w:rPr>
        <w:t>Stage 2.</w:t>
      </w:r>
      <w:r w:rsidRPr="00D85EDA">
        <w:rPr>
          <w:rFonts w:ascii="Times New Roman" w:hAnsi="Times New Roman" w:cs="Times New Roman"/>
          <w:sz w:val="24"/>
          <w:szCs w:val="24"/>
        </w:rPr>
        <w:t xml:space="preserve"> A change in the dominant shear stress direction and dilation associated with the emplacement of cone sheets peripheral to plugs, resulted in deformation of REE</w:t>
      </w:r>
      <w:r w:rsidRPr="00A73F0D">
        <w:rPr>
          <w:rFonts w:ascii="Times New Roman" w:hAnsi="Times New Roman" w:cs="Times New Roman"/>
          <w:color w:val="FF0000"/>
          <w:sz w:val="24"/>
          <w:szCs w:val="24"/>
        </w:rPr>
        <w:t xml:space="preserve"> fluorcarbonate</w:t>
      </w:r>
      <w:r w:rsidRPr="00D85EDA">
        <w:rPr>
          <w:rFonts w:ascii="Times New Roman" w:hAnsi="Times New Roman" w:cs="Times New Roman"/>
          <w:sz w:val="24"/>
          <w:szCs w:val="24"/>
        </w:rPr>
        <w:t xml:space="preserve"> layers formed during crystal settling within the plugs. Deformation produced flow fold fabrics in the plugs (photo 2).  Subsequent fractionation of the melt and emplacement of magnesio-carbonatites cone sheets from REE-depleted melt, within a ring fracture peripheral to the volcanic neck, resulted in lower abundance of REE minerals within the cone sheets. </w:t>
      </w:r>
    </w:p>
    <w:p w:rsidR="003B7F9B" w:rsidRDefault="003B7F9B" w:rsidP="003B7F9B">
      <w:pPr>
        <w:tabs>
          <w:tab w:val="left" w:pos="1300"/>
        </w:tabs>
        <w:contextualSpacing/>
        <w:jc w:val="both"/>
        <w:rPr>
          <w:rFonts w:ascii="Times New Roman" w:hAnsi="Times New Roman" w:cs="Times New Roman"/>
          <w:sz w:val="24"/>
          <w:szCs w:val="24"/>
        </w:rPr>
      </w:pPr>
      <w:r w:rsidRPr="00D85EDA">
        <w:rPr>
          <w:rFonts w:ascii="Times New Roman" w:hAnsi="Times New Roman" w:cs="Times New Roman"/>
          <w:b/>
          <w:sz w:val="24"/>
          <w:szCs w:val="24"/>
        </w:rPr>
        <w:t>Stage 3.</w:t>
      </w:r>
      <w:r w:rsidRPr="00D85EDA">
        <w:rPr>
          <w:rFonts w:ascii="Times New Roman" w:hAnsi="Times New Roman" w:cs="Times New Roman"/>
          <w:sz w:val="24"/>
          <w:szCs w:val="24"/>
        </w:rPr>
        <w:t xml:space="preserve"> Stockwork of dominant calcio-carbonatite and subordinate magnesio-carbonatite dykes (photo 3) emplaced around the central plugs.  The dykes were emplaced from additional influx of melt enriched in REE, P</w:t>
      </w:r>
      <w:r w:rsidRPr="00D85EDA">
        <w:rPr>
          <w:rFonts w:ascii="Times New Roman" w:hAnsi="Times New Roman" w:cs="Times New Roman"/>
          <w:sz w:val="24"/>
          <w:szCs w:val="24"/>
          <w:vertAlign w:val="subscript"/>
        </w:rPr>
        <w:t>2</w:t>
      </w:r>
      <w:r w:rsidRPr="00D85EDA">
        <w:rPr>
          <w:rFonts w:ascii="Times New Roman" w:hAnsi="Times New Roman" w:cs="Times New Roman"/>
          <w:sz w:val="24"/>
          <w:szCs w:val="24"/>
        </w:rPr>
        <w:t>O</w:t>
      </w:r>
      <w:r w:rsidRPr="00D85EDA">
        <w:rPr>
          <w:rFonts w:ascii="Times New Roman" w:hAnsi="Times New Roman" w:cs="Times New Roman"/>
          <w:sz w:val="24"/>
          <w:szCs w:val="24"/>
          <w:vertAlign w:val="subscript"/>
        </w:rPr>
        <w:t>5</w:t>
      </w:r>
      <w:r w:rsidRPr="00D85EDA">
        <w:rPr>
          <w:rFonts w:ascii="Times New Roman" w:hAnsi="Times New Roman" w:cs="Times New Roman"/>
          <w:sz w:val="24"/>
          <w:szCs w:val="24"/>
        </w:rPr>
        <w:t xml:space="preserve"> and SrO to the original magma chamber following the intrusion of the cone sheets.  Final stage in the evolution was characterised by pervasive low-temperature SiO</w:t>
      </w:r>
      <w:r w:rsidRPr="00D85EDA">
        <w:rPr>
          <w:rFonts w:ascii="Times New Roman" w:hAnsi="Times New Roman" w:cs="Times New Roman"/>
          <w:sz w:val="24"/>
          <w:szCs w:val="24"/>
          <w:vertAlign w:val="subscript"/>
        </w:rPr>
        <w:t>2</w:t>
      </w:r>
      <w:r w:rsidRPr="00D85EDA">
        <w:rPr>
          <w:rFonts w:ascii="Times New Roman" w:hAnsi="Times New Roman" w:cs="Times New Roman"/>
          <w:sz w:val="24"/>
          <w:szCs w:val="24"/>
        </w:rPr>
        <w:t>-FeO-MnO hydrothermal alteration throughout the complex.</w:t>
      </w:r>
    </w:p>
    <w:p w:rsidR="00EA0D32" w:rsidRDefault="00EA0D32">
      <w:pPr>
        <w:spacing w:after="160" w:line="259" w:lineRule="auto"/>
      </w:pPr>
      <w:bookmarkStart w:id="26" w:name="_GoBack"/>
      <w:bookmarkEnd w:id="26"/>
    </w:p>
    <w:sectPr w:rsidR="00EA0D32" w:rsidSect="00DF42B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14A" w:rsidRDefault="00AF114A" w:rsidP="00C50ACE">
      <w:pPr>
        <w:spacing w:line="240" w:lineRule="auto"/>
      </w:pPr>
      <w:r>
        <w:separator/>
      </w:r>
    </w:p>
  </w:endnote>
  <w:endnote w:type="continuationSeparator" w:id="0">
    <w:p w:rsidR="00AF114A" w:rsidRDefault="00AF114A" w:rsidP="00C50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falt">
    <w:altName w:val="MS Mincho"/>
    <w:panose1 w:val="00000000000000000000"/>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harisSIL">
    <w:altName w:val="MS Gothic"/>
    <w:panose1 w:val="00000000000000000000"/>
    <w:charset w:val="80"/>
    <w:family w:val="swiss"/>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14A" w:rsidRDefault="00AF114A" w:rsidP="00C50ACE">
      <w:pPr>
        <w:spacing w:line="240" w:lineRule="auto"/>
      </w:pPr>
      <w:r>
        <w:separator/>
      </w:r>
    </w:p>
  </w:footnote>
  <w:footnote w:type="continuationSeparator" w:id="0">
    <w:p w:rsidR="00AF114A" w:rsidRDefault="00AF114A" w:rsidP="00C50A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6961"/>
    <w:multiLevelType w:val="hybridMultilevel"/>
    <w:tmpl w:val="452E4488"/>
    <w:lvl w:ilvl="0" w:tplc="C1E4C656">
      <w:start w:val="4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B78A9"/>
    <w:multiLevelType w:val="hybridMultilevel"/>
    <w:tmpl w:val="FF7A7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F97DC4"/>
    <w:multiLevelType w:val="hybridMultilevel"/>
    <w:tmpl w:val="3256821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A5B52C3"/>
    <w:multiLevelType w:val="hybridMultilevel"/>
    <w:tmpl w:val="A9521C1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D53D0"/>
    <w:multiLevelType w:val="hybridMultilevel"/>
    <w:tmpl w:val="F06059E2"/>
    <w:lvl w:ilvl="0" w:tplc="C21063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366CF0"/>
    <w:multiLevelType w:val="hybridMultilevel"/>
    <w:tmpl w:val="85FCB456"/>
    <w:lvl w:ilvl="0" w:tplc="A056A272">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7B1687"/>
    <w:multiLevelType w:val="hybridMultilevel"/>
    <w:tmpl w:val="0D14FBA6"/>
    <w:lvl w:ilvl="0" w:tplc="201E5F14">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3432D0"/>
    <w:multiLevelType w:val="hybridMultilevel"/>
    <w:tmpl w:val="93F80FF8"/>
    <w:lvl w:ilvl="0" w:tplc="0C090015">
      <w:start w:val="1"/>
      <w:numFmt w:val="upp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77C6681"/>
    <w:multiLevelType w:val="hybridMultilevel"/>
    <w:tmpl w:val="6218958A"/>
    <w:lvl w:ilvl="0" w:tplc="F606DB86">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B12004"/>
    <w:multiLevelType w:val="hybridMultilevel"/>
    <w:tmpl w:val="F06059E2"/>
    <w:lvl w:ilvl="0" w:tplc="C2106390">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8"/>
  </w:num>
  <w:num w:numId="5">
    <w:abstractNumId w:val="5"/>
  </w:num>
  <w:num w:numId="6">
    <w:abstractNumId w:val="9"/>
  </w:num>
  <w:num w:numId="7">
    <w:abstractNumId w:val="4"/>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3A5"/>
    <w:rsid w:val="0008650D"/>
    <w:rsid w:val="00092540"/>
    <w:rsid w:val="00106534"/>
    <w:rsid w:val="001233D8"/>
    <w:rsid w:val="00127281"/>
    <w:rsid w:val="00184CB4"/>
    <w:rsid w:val="001B5282"/>
    <w:rsid w:val="001E6517"/>
    <w:rsid w:val="00221F49"/>
    <w:rsid w:val="00276B2D"/>
    <w:rsid w:val="002C1B63"/>
    <w:rsid w:val="0031225A"/>
    <w:rsid w:val="00363AA9"/>
    <w:rsid w:val="00376199"/>
    <w:rsid w:val="003B3950"/>
    <w:rsid w:val="003B7F9B"/>
    <w:rsid w:val="003E5060"/>
    <w:rsid w:val="00504888"/>
    <w:rsid w:val="00561BC2"/>
    <w:rsid w:val="0058267A"/>
    <w:rsid w:val="006239CC"/>
    <w:rsid w:val="006370DD"/>
    <w:rsid w:val="0066287D"/>
    <w:rsid w:val="006A17AA"/>
    <w:rsid w:val="006E4878"/>
    <w:rsid w:val="006F34AF"/>
    <w:rsid w:val="0073060F"/>
    <w:rsid w:val="00740A0C"/>
    <w:rsid w:val="00746D01"/>
    <w:rsid w:val="007A4C87"/>
    <w:rsid w:val="007C2DC8"/>
    <w:rsid w:val="007D5C74"/>
    <w:rsid w:val="00871EB0"/>
    <w:rsid w:val="008840EE"/>
    <w:rsid w:val="00900C16"/>
    <w:rsid w:val="00957524"/>
    <w:rsid w:val="00965A67"/>
    <w:rsid w:val="00A1186E"/>
    <w:rsid w:val="00A447A3"/>
    <w:rsid w:val="00A73F0D"/>
    <w:rsid w:val="00AC0A18"/>
    <w:rsid w:val="00AD4E21"/>
    <w:rsid w:val="00AE235D"/>
    <w:rsid w:val="00AF114A"/>
    <w:rsid w:val="00AF3AA3"/>
    <w:rsid w:val="00B27B75"/>
    <w:rsid w:val="00BB5152"/>
    <w:rsid w:val="00C13A60"/>
    <w:rsid w:val="00C50ACE"/>
    <w:rsid w:val="00C71107"/>
    <w:rsid w:val="00CF1CC8"/>
    <w:rsid w:val="00CF7AFB"/>
    <w:rsid w:val="00D07CB2"/>
    <w:rsid w:val="00DF2CB4"/>
    <w:rsid w:val="00DF42BB"/>
    <w:rsid w:val="00E2425E"/>
    <w:rsid w:val="00E24DB1"/>
    <w:rsid w:val="00E44BE7"/>
    <w:rsid w:val="00E4639E"/>
    <w:rsid w:val="00E56A75"/>
    <w:rsid w:val="00E73590"/>
    <w:rsid w:val="00EA0D32"/>
    <w:rsid w:val="00EC02E8"/>
    <w:rsid w:val="00F04F50"/>
    <w:rsid w:val="00F10AD8"/>
    <w:rsid w:val="00F23DB9"/>
    <w:rsid w:val="00F85E97"/>
    <w:rsid w:val="00F937FB"/>
    <w:rsid w:val="00F943A5"/>
    <w:rsid w:val="00FF11E3"/>
    <w:rsid w:val="00FF7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AC03FCB"/>
  <w15:chartTrackingRefBased/>
  <w15:docId w15:val="{596D1E88-679B-4C58-A04E-82844C5A6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3A5"/>
    <w:pPr>
      <w:spacing w:after="0"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rsid w:val="00F943A5"/>
    <w:rPr>
      <w:rFonts w:ascii="Cambria" w:eastAsia="MS Minfalt" w:hAnsi="Cambria" w:cs="Times New Roman"/>
      <w:sz w:val="20"/>
      <w:szCs w:val="20"/>
      <w:lang w:val="en-US"/>
    </w:rPr>
  </w:style>
  <w:style w:type="paragraph" w:styleId="CommentText">
    <w:name w:val="annotation text"/>
    <w:basedOn w:val="Normal"/>
    <w:link w:val="CommentTextChar"/>
    <w:uiPriority w:val="99"/>
    <w:unhideWhenUsed/>
    <w:rsid w:val="00F943A5"/>
    <w:pPr>
      <w:spacing w:line="240" w:lineRule="auto"/>
    </w:pPr>
    <w:rPr>
      <w:rFonts w:ascii="Cambria" w:eastAsia="MS Minfalt" w:hAnsi="Cambria" w:cs="Times New Roman"/>
      <w:sz w:val="20"/>
      <w:szCs w:val="20"/>
      <w:lang w:val="en-US"/>
    </w:rPr>
  </w:style>
  <w:style w:type="character" w:customStyle="1" w:styleId="CommentTextChar1">
    <w:name w:val="Comment Text Char1"/>
    <w:basedOn w:val="DefaultParagraphFont"/>
    <w:uiPriority w:val="99"/>
    <w:semiHidden/>
    <w:rsid w:val="00F943A5"/>
    <w:rPr>
      <w:sz w:val="20"/>
      <w:szCs w:val="20"/>
    </w:rPr>
  </w:style>
  <w:style w:type="character" w:styleId="CommentReference">
    <w:name w:val="annotation reference"/>
    <w:basedOn w:val="DefaultParagraphFont"/>
    <w:uiPriority w:val="99"/>
    <w:semiHidden/>
    <w:unhideWhenUsed/>
    <w:rsid w:val="00F943A5"/>
    <w:rPr>
      <w:sz w:val="16"/>
      <w:szCs w:val="16"/>
    </w:rPr>
  </w:style>
  <w:style w:type="paragraph" w:styleId="BalloonText">
    <w:name w:val="Balloon Text"/>
    <w:basedOn w:val="Normal"/>
    <w:link w:val="BalloonTextChar"/>
    <w:uiPriority w:val="99"/>
    <w:semiHidden/>
    <w:unhideWhenUsed/>
    <w:rsid w:val="00F943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A5"/>
    <w:rPr>
      <w:rFonts w:ascii="Segoe UI" w:hAnsi="Segoe UI" w:cs="Segoe UI"/>
      <w:sz w:val="18"/>
      <w:szCs w:val="18"/>
    </w:rPr>
  </w:style>
  <w:style w:type="paragraph" w:customStyle="1" w:styleId="Default">
    <w:name w:val="Default"/>
    <w:rsid w:val="00F943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943A5"/>
    <w:pPr>
      <w:ind w:left="720"/>
      <w:contextualSpacing/>
    </w:pPr>
  </w:style>
  <w:style w:type="paragraph" w:styleId="NormalWeb">
    <w:name w:val="Normal (Web)"/>
    <w:basedOn w:val="Normal"/>
    <w:uiPriority w:val="99"/>
    <w:semiHidden/>
    <w:unhideWhenUsed/>
    <w:rsid w:val="00F943A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9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0ACE"/>
    <w:pPr>
      <w:tabs>
        <w:tab w:val="center" w:pos="4513"/>
        <w:tab w:val="right" w:pos="9026"/>
      </w:tabs>
      <w:spacing w:line="240" w:lineRule="auto"/>
    </w:pPr>
  </w:style>
  <w:style w:type="character" w:customStyle="1" w:styleId="HeaderChar">
    <w:name w:val="Header Char"/>
    <w:basedOn w:val="DefaultParagraphFont"/>
    <w:link w:val="Header"/>
    <w:uiPriority w:val="99"/>
    <w:rsid w:val="00C50ACE"/>
  </w:style>
  <w:style w:type="paragraph" w:styleId="Footer">
    <w:name w:val="footer"/>
    <w:basedOn w:val="Normal"/>
    <w:link w:val="FooterChar"/>
    <w:uiPriority w:val="99"/>
    <w:unhideWhenUsed/>
    <w:rsid w:val="00C50ACE"/>
    <w:pPr>
      <w:tabs>
        <w:tab w:val="center" w:pos="4513"/>
        <w:tab w:val="right" w:pos="9026"/>
      </w:tabs>
      <w:spacing w:line="240" w:lineRule="auto"/>
    </w:pPr>
  </w:style>
  <w:style w:type="character" w:customStyle="1" w:styleId="FooterChar">
    <w:name w:val="Footer Char"/>
    <w:basedOn w:val="DefaultParagraphFont"/>
    <w:link w:val="Footer"/>
    <w:uiPriority w:val="99"/>
    <w:rsid w:val="00C50ACE"/>
  </w:style>
  <w:style w:type="character" w:styleId="LineNumber">
    <w:name w:val="line number"/>
    <w:basedOn w:val="DefaultParagraphFont"/>
    <w:uiPriority w:val="99"/>
    <w:semiHidden/>
    <w:unhideWhenUsed/>
    <w:rsid w:val="00C50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hyperlink" Target="http://dx.doi.org/10.1016/j.gsf.2015.12.006"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mrp\Documents\Geochemistry%20Group\Palmer\Marlow\Revised%20paper\isotope%20data_initial.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mrp\Documents\Geochemistry%20Group\Palmer\Marlow\Revised%20paper\isotope%20data_initial.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mrp\Documents\Geochemistry%20Group\Palmer\Marlow\Revised%20paper\isotope%20data_initia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mrp\Documents\Geochemistry%20Group\Palmer\Marlow\Revised%20paper\isotope%20data_initial.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mrp\Documents\Geochemistry%20Group\Palmer\Marlow\Revised%20paper\isotope%20data_initial.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mrp\Documents\Geochemistry%20Group\Palmer\Marlow\Revised%20paper\isotope%20data_initial.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mrp\Documents\Geochemistry%20Group\Palmer\Marlow\Revised%20paper\isotope%20data_initial.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mrp\Documents\Geochemistry%20Group\Palmer\Marlow\Revised%20paper\isotope%20data_initial.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TCC</c:v>
          </c:tx>
          <c:spPr>
            <a:ln w="19050" cap="rnd">
              <a:noFill/>
              <a:round/>
            </a:ln>
            <a:effectLst/>
          </c:spPr>
          <c:marker>
            <c:symbol val="plus"/>
            <c:size val="8"/>
            <c:spPr>
              <a:noFill/>
              <a:ln w="9525">
                <a:solidFill>
                  <a:schemeClr val="tx1"/>
                </a:solidFill>
              </a:ln>
              <a:effectLst/>
            </c:spPr>
          </c:marker>
          <c:xVal>
            <c:numRef>
              <c:f>data!$D$2:$D$5</c:f>
              <c:numCache>
                <c:formatCode>0.000000</c:formatCode>
                <c:ptCount val="4"/>
                <c:pt idx="0">
                  <c:v>0.70494571007402418</c:v>
                </c:pt>
                <c:pt idx="1">
                  <c:v>0.70403875552188644</c:v>
                </c:pt>
                <c:pt idx="2">
                  <c:v>0.70457375552188628</c:v>
                </c:pt>
                <c:pt idx="3">
                  <c:v>0.70433531033347363</c:v>
                </c:pt>
              </c:numCache>
            </c:numRef>
          </c:xVal>
          <c:yVal>
            <c:numRef>
              <c:f>data!$E$2:$E$5</c:f>
              <c:numCache>
                <c:formatCode>0.000000</c:formatCode>
                <c:ptCount val="4"/>
                <c:pt idx="0">
                  <c:v>0.51252037264289163</c:v>
                </c:pt>
                <c:pt idx="1">
                  <c:v>0.51255630246007255</c:v>
                </c:pt>
                <c:pt idx="2">
                  <c:v>0.51252930246007256</c:v>
                </c:pt>
                <c:pt idx="3">
                  <c:v>0.5125571784881634</c:v>
                </c:pt>
              </c:numCache>
            </c:numRef>
          </c:yVal>
          <c:smooth val="0"/>
          <c:extLst>
            <c:ext xmlns:c16="http://schemas.microsoft.com/office/drawing/2014/chart" uri="{C3380CC4-5D6E-409C-BE32-E72D297353CC}">
              <c16:uniqueId val="{00000000-0B0C-47CE-818C-05A48CD8EA4D}"/>
            </c:ext>
          </c:extLst>
        </c:ser>
        <c:ser>
          <c:idx val="1"/>
          <c:order val="1"/>
          <c:tx>
            <c:strRef>
              <c:f>data!$C$6</c:f>
              <c:strCache>
                <c:ptCount val="1"/>
                <c:pt idx="0">
                  <c:v>DW</c:v>
                </c:pt>
              </c:strCache>
            </c:strRef>
          </c:tx>
          <c:spPr>
            <a:ln w="25400" cap="rnd">
              <a:noFill/>
              <a:round/>
            </a:ln>
            <a:effectLst/>
          </c:spPr>
          <c:marker>
            <c:symbol val="x"/>
            <c:size val="6"/>
            <c:spPr>
              <a:noFill/>
              <a:ln w="9525">
                <a:solidFill>
                  <a:schemeClr val="tx1"/>
                </a:solidFill>
              </a:ln>
              <a:effectLst/>
            </c:spPr>
          </c:marker>
          <c:xVal>
            <c:numRef>
              <c:f>data!$D$6:$D$8</c:f>
              <c:numCache>
                <c:formatCode>0.000000</c:formatCode>
                <c:ptCount val="3"/>
                <c:pt idx="0">
                  <c:v>0.70326999999999995</c:v>
                </c:pt>
                <c:pt idx="1">
                  <c:v>0.70345000000000002</c:v>
                </c:pt>
                <c:pt idx="2">
                  <c:v>0.70335999999999999</c:v>
                </c:pt>
              </c:numCache>
            </c:numRef>
          </c:xVal>
          <c:yVal>
            <c:numRef>
              <c:f>data!$E$6:$E$8</c:f>
              <c:numCache>
                <c:formatCode>0.000000</c:formatCode>
                <c:ptCount val="3"/>
                <c:pt idx="0">
                  <c:v>0.51271599999999995</c:v>
                </c:pt>
                <c:pt idx="1">
                  <c:v>0.51270499999999997</c:v>
                </c:pt>
                <c:pt idx="2">
                  <c:v>0.51268000000000002</c:v>
                </c:pt>
              </c:numCache>
            </c:numRef>
          </c:yVal>
          <c:smooth val="0"/>
          <c:extLst>
            <c:ext xmlns:c16="http://schemas.microsoft.com/office/drawing/2014/chart" uri="{C3380CC4-5D6E-409C-BE32-E72D297353CC}">
              <c16:uniqueId val="{00000001-0B0C-47CE-818C-05A48CD8EA4D}"/>
            </c:ext>
          </c:extLst>
        </c:ser>
        <c:ser>
          <c:idx val="2"/>
          <c:order val="2"/>
          <c:tx>
            <c:v>EAC</c:v>
          </c:tx>
          <c:spPr>
            <a:ln w="25400" cap="rnd">
              <a:noFill/>
              <a:round/>
            </a:ln>
            <a:effectLst/>
          </c:spPr>
          <c:marker>
            <c:symbol val="circle"/>
            <c:size val="3"/>
            <c:spPr>
              <a:noFill/>
              <a:ln w="9525">
                <a:solidFill>
                  <a:schemeClr val="tx1"/>
                </a:solidFill>
              </a:ln>
              <a:effectLst/>
            </c:spPr>
          </c:marker>
          <c:xVal>
            <c:numRef>
              <c:f>data!$D$9:$D$51</c:f>
              <c:numCache>
                <c:formatCode>0.000000</c:formatCode>
                <c:ptCount val="43"/>
                <c:pt idx="0">
                  <c:v>0.70416999999999996</c:v>
                </c:pt>
                <c:pt idx="1">
                  <c:v>0.70445000000000002</c:v>
                </c:pt>
                <c:pt idx="2">
                  <c:v>0.70442000000000005</c:v>
                </c:pt>
                <c:pt idx="3">
                  <c:v>0.70416999999999996</c:v>
                </c:pt>
                <c:pt idx="4">
                  <c:v>0.70501999999999998</c:v>
                </c:pt>
                <c:pt idx="5">
                  <c:v>0.70504999999999995</c:v>
                </c:pt>
                <c:pt idx="6">
                  <c:v>0.70315000000000005</c:v>
                </c:pt>
                <c:pt idx="7">
                  <c:v>0.70306999999999997</c:v>
                </c:pt>
                <c:pt idx="8">
                  <c:v>0.70311999999999997</c:v>
                </c:pt>
                <c:pt idx="9">
                  <c:v>0.70311000000000001</c:v>
                </c:pt>
                <c:pt idx="10">
                  <c:v>0.70311000000000001</c:v>
                </c:pt>
                <c:pt idx="11">
                  <c:v>0.70326</c:v>
                </c:pt>
                <c:pt idx="12">
                  <c:v>0.7036</c:v>
                </c:pt>
                <c:pt idx="13">
                  <c:v>0.70396000000000003</c:v>
                </c:pt>
                <c:pt idx="14">
                  <c:v>0.70423000000000002</c:v>
                </c:pt>
                <c:pt idx="15">
                  <c:v>0.70442000000000005</c:v>
                </c:pt>
                <c:pt idx="16">
                  <c:v>0.70391300000000001</c:v>
                </c:pt>
                <c:pt idx="17">
                  <c:v>0.70391099999999995</c:v>
                </c:pt>
                <c:pt idx="18">
                  <c:v>0.70405899999999999</c:v>
                </c:pt>
                <c:pt idx="19">
                  <c:v>0.70326599999999995</c:v>
                </c:pt>
                <c:pt idx="20">
                  <c:v>0.70348599999999994</c:v>
                </c:pt>
                <c:pt idx="21">
                  <c:v>0.70515000000000005</c:v>
                </c:pt>
                <c:pt idx="22">
                  <c:v>0.70436200000000004</c:v>
                </c:pt>
                <c:pt idx="23">
                  <c:v>0.704156</c:v>
                </c:pt>
                <c:pt idx="24">
                  <c:v>0.70407299999999995</c:v>
                </c:pt>
                <c:pt idx="25">
                  <c:v>0.70389500000000005</c:v>
                </c:pt>
                <c:pt idx="26">
                  <c:v>0.703959</c:v>
                </c:pt>
                <c:pt idx="27">
                  <c:v>0.70392999999999994</c:v>
                </c:pt>
                <c:pt idx="28">
                  <c:v>0.70398700000000003</c:v>
                </c:pt>
                <c:pt idx="29">
                  <c:v>0.70380600000000004</c:v>
                </c:pt>
                <c:pt idx="30">
                  <c:v>0.70384500000000005</c:v>
                </c:pt>
                <c:pt idx="31">
                  <c:v>0.70395799999999997</c:v>
                </c:pt>
                <c:pt idx="32">
                  <c:v>0.70397900000000002</c:v>
                </c:pt>
                <c:pt idx="33">
                  <c:v>0.70387200000000005</c:v>
                </c:pt>
                <c:pt idx="34">
                  <c:v>0.70417300000000005</c:v>
                </c:pt>
                <c:pt idx="35">
                  <c:v>0.70397500000000002</c:v>
                </c:pt>
                <c:pt idx="36">
                  <c:v>0.70396700000000001</c:v>
                </c:pt>
                <c:pt idx="37">
                  <c:v>0.70400300000000005</c:v>
                </c:pt>
                <c:pt idx="38">
                  <c:v>0.70323000000000002</c:v>
                </c:pt>
                <c:pt idx="39">
                  <c:v>0.70323000000000002</c:v>
                </c:pt>
                <c:pt idx="40">
                  <c:v>0.70394999999999996</c:v>
                </c:pt>
                <c:pt idx="41">
                  <c:v>0.70435999999999999</c:v>
                </c:pt>
                <c:pt idx="42">
                  <c:v>0.70445000000000002</c:v>
                </c:pt>
              </c:numCache>
            </c:numRef>
          </c:xVal>
          <c:yVal>
            <c:numRef>
              <c:f>data!$E$9:$E$51</c:f>
              <c:numCache>
                <c:formatCode>0.000000</c:formatCode>
                <c:ptCount val="43"/>
                <c:pt idx="0">
                  <c:v>0.51256999999999997</c:v>
                </c:pt>
                <c:pt idx="1">
                  <c:v>0.51258999999999999</c:v>
                </c:pt>
                <c:pt idx="2">
                  <c:v>0.51261000000000001</c:v>
                </c:pt>
                <c:pt idx="3">
                  <c:v>0.51258000000000004</c:v>
                </c:pt>
                <c:pt idx="4">
                  <c:v>0.51244000000000001</c:v>
                </c:pt>
                <c:pt idx="5">
                  <c:v>0.51248000000000005</c:v>
                </c:pt>
                <c:pt idx="6">
                  <c:v>0.51278999999999997</c:v>
                </c:pt>
                <c:pt idx="7">
                  <c:v>0.51278999999999997</c:v>
                </c:pt>
                <c:pt idx="8">
                  <c:v>0.51280999999999999</c:v>
                </c:pt>
                <c:pt idx="9">
                  <c:v>0.51283000000000001</c:v>
                </c:pt>
                <c:pt idx="10">
                  <c:v>0.51280999999999999</c:v>
                </c:pt>
                <c:pt idx="11">
                  <c:v>0.51280999999999999</c:v>
                </c:pt>
                <c:pt idx="12">
                  <c:v>0.51273000000000002</c:v>
                </c:pt>
                <c:pt idx="13">
                  <c:v>0.51254999999999995</c:v>
                </c:pt>
                <c:pt idx="14">
                  <c:v>0.51254</c:v>
                </c:pt>
                <c:pt idx="15">
                  <c:v>0.51249</c:v>
                </c:pt>
                <c:pt idx="16">
                  <c:v>0.51272899999999999</c:v>
                </c:pt>
                <c:pt idx="17">
                  <c:v>0.51272499999999999</c:v>
                </c:pt>
                <c:pt idx="18">
                  <c:v>0.51271699999999998</c:v>
                </c:pt>
                <c:pt idx="19">
                  <c:v>0.51282700000000003</c:v>
                </c:pt>
                <c:pt idx="20">
                  <c:v>0.51276299999999997</c:v>
                </c:pt>
                <c:pt idx="21">
                  <c:v>0.512486</c:v>
                </c:pt>
                <c:pt idx="22">
                  <c:v>0.51264200000000004</c:v>
                </c:pt>
                <c:pt idx="23">
                  <c:v>0.51275000000000004</c:v>
                </c:pt>
                <c:pt idx="24">
                  <c:v>0.512679</c:v>
                </c:pt>
                <c:pt idx="25">
                  <c:v>0.51272899999999999</c:v>
                </c:pt>
                <c:pt idx="26">
                  <c:v>0.51272099999999998</c:v>
                </c:pt>
                <c:pt idx="27">
                  <c:v>0.51266299999999998</c:v>
                </c:pt>
                <c:pt idx="28">
                  <c:v>0.51266599999999996</c:v>
                </c:pt>
                <c:pt idx="29">
                  <c:v>0.51270800000000005</c:v>
                </c:pt>
                <c:pt idx="30">
                  <c:v>0.51267499999999999</c:v>
                </c:pt>
                <c:pt idx="31">
                  <c:v>0.51274299999999995</c:v>
                </c:pt>
                <c:pt idx="32">
                  <c:v>0.512737</c:v>
                </c:pt>
                <c:pt idx="33">
                  <c:v>0.512679</c:v>
                </c:pt>
                <c:pt idx="34">
                  <c:v>0.51268899999999995</c:v>
                </c:pt>
                <c:pt idx="35">
                  <c:v>0.51274399999999998</c:v>
                </c:pt>
                <c:pt idx="36">
                  <c:v>0.51273000000000002</c:v>
                </c:pt>
                <c:pt idx="37">
                  <c:v>0.512706</c:v>
                </c:pt>
                <c:pt idx="38">
                  <c:v>0.51283000000000001</c:v>
                </c:pt>
                <c:pt idx="39">
                  <c:v>0.51283000000000001</c:v>
                </c:pt>
                <c:pt idx="40">
                  <c:v>0.51263000000000003</c:v>
                </c:pt>
                <c:pt idx="41">
                  <c:v>0.51266</c:v>
                </c:pt>
                <c:pt idx="42">
                  <c:v>0.51259999999999994</c:v>
                </c:pt>
              </c:numCache>
            </c:numRef>
          </c:yVal>
          <c:smooth val="0"/>
          <c:extLst>
            <c:ext xmlns:c16="http://schemas.microsoft.com/office/drawing/2014/chart" uri="{C3380CC4-5D6E-409C-BE32-E72D297353CC}">
              <c16:uniqueId val="{00000002-0B0C-47CE-818C-05A48CD8EA4D}"/>
            </c:ext>
          </c:extLst>
        </c:ser>
        <c:ser>
          <c:idx val="3"/>
          <c:order val="3"/>
          <c:tx>
            <c:v>WR</c:v>
          </c:tx>
          <c:spPr>
            <a:ln w="25400" cap="rnd">
              <a:noFill/>
              <a:round/>
            </a:ln>
            <a:effectLst/>
          </c:spPr>
          <c:marker>
            <c:symbol val="circle"/>
            <c:size val="3"/>
            <c:spPr>
              <a:solidFill>
                <a:schemeClr val="tx1"/>
              </a:solidFill>
              <a:ln w="9525">
                <a:solidFill>
                  <a:schemeClr val="tx1"/>
                </a:solidFill>
              </a:ln>
              <a:effectLst/>
            </c:spPr>
          </c:marker>
          <c:xVal>
            <c:numRef>
              <c:f>data!$D$55:$D$71</c:f>
              <c:numCache>
                <c:formatCode>0.000000</c:formatCode>
                <c:ptCount val="17"/>
                <c:pt idx="0">
                  <c:v>0.70266289061801002</c:v>
                </c:pt>
                <c:pt idx="1">
                  <c:v>0.70304875058802385</c:v>
                </c:pt>
                <c:pt idx="2">
                  <c:v>0.70291050951077405</c:v>
                </c:pt>
                <c:pt idx="3">
                  <c:v>0.70291942718987188</c:v>
                </c:pt>
                <c:pt idx="4">
                  <c:v>0.70317676363546044</c:v>
                </c:pt>
                <c:pt idx="5">
                  <c:v>0.70272083620531756</c:v>
                </c:pt>
                <c:pt idx="6">
                  <c:v>0.70290832802574232</c:v>
                </c:pt>
                <c:pt idx="7">
                  <c:v>0.70291589879399041</c:v>
                </c:pt>
                <c:pt idx="8">
                  <c:v>0.70364287819235294</c:v>
                </c:pt>
                <c:pt idx="9">
                  <c:v>0.70306325395644231</c:v>
                </c:pt>
                <c:pt idx="10">
                  <c:v>0.70302494164059881</c:v>
                </c:pt>
                <c:pt idx="11">
                  <c:v>0.7029895999877761</c:v>
                </c:pt>
                <c:pt idx="12">
                  <c:v>0.70302323415418222</c:v>
                </c:pt>
                <c:pt idx="13">
                  <c:v>0.70285362656974326</c:v>
                </c:pt>
                <c:pt idx="14">
                  <c:v>0.70289205562818946</c:v>
                </c:pt>
                <c:pt idx="15">
                  <c:v>0.7028666832152044</c:v>
                </c:pt>
                <c:pt idx="16">
                  <c:v>0.7027716932687893</c:v>
                </c:pt>
              </c:numCache>
            </c:numRef>
          </c:xVal>
          <c:yVal>
            <c:numRef>
              <c:f>data!$E$55:$E$71</c:f>
              <c:numCache>
                <c:formatCode>0.000000</c:formatCode>
                <c:ptCount val="17"/>
                <c:pt idx="0">
                  <c:v>0.51289718789669581</c:v>
                </c:pt>
                <c:pt idx="1">
                  <c:v>0.51281021311043506</c:v>
                </c:pt>
                <c:pt idx="2">
                  <c:v>0.51285229782151631</c:v>
                </c:pt>
                <c:pt idx="3">
                  <c:v>0.51283694273334257</c:v>
                </c:pt>
                <c:pt idx="4">
                  <c:v>0.51281773360299587</c:v>
                </c:pt>
                <c:pt idx="5">
                  <c:v>0.51280547751859118</c:v>
                </c:pt>
                <c:pt idx="6">
                  <c:v>0.51280649148737245</c:v>
                </c:pt>
                <c:pt idx="7">
                  <c:v>0.51279383279151203</c:v>
                </c:pt>
                <c:pt idx="8">
                  <c:v>0.51279662201387077</c:v>
                </c:pt>
                <c:pt idx="9">
                  <c:v>0.51276091776361044</c:v>
                </c:pt>
                <c:pt idx="10">
                  <c:v>0.51287348745416095</c:v>
                </c:pt>
                <c:pt idx="11">
                  <c:v>0.51287305438448927</c:v>
                </c:pt>
                <c:pt idx="12">
                  <c:v>0.51286924870928285</c:v>
                </c:pt>
                <c:pt idx="13">
                  <c:v>0.512822164156573</c:v>
                </c:pt>
                <c:pt idx="14">
                  <c:v>0.51279510378507076</c:v>
                </c:pt>
                <c:pt idx="15">
                  <c:v>0.51279760092187998</c:v>
                </c:pt>
                <c:pt idx="16">
                  <c:v>0.51279112108937464</c:v>
                </c:pt>
              </c:numCache>
            </c:numRef>
          </c:yVal>
          <c:smooth val="0"/>
          <c:extLst>
            <c:ext xmlns:c16="http://schemas.microsoft.com/office/drawing/2014/chart" uri="{C3380CC4-5D6E-409C-BE32-E72D297353CC}">
              <c16:uniqueId val="{00000003-0B0C-47CE-818C-05A48CD8EA4D}"/>
            </c:ext>
          </c:extLst>
        </c:ser>
        <c:ser>
          <c:idx val="4"/>
          <c:order val="4"/>
          <c:tx>
            <c:v>mantle</c:v>
          </c:tx>
          <c:spPr>
            <a:ln w="25400" cap="rnd">
              <a:noFill/>
              <a:round/>
            </a:ln>
            <a:effectLst/>
          </c:spPr>
          <c:marker>
            <c:symbol val="circle"/>
            <c:size val="10"/>
            <c:spPr>
              <a:noFill/>
              <a:ln w="9525">
                <a:solidFill>
                  <a:schemeClr val="tx1"/>
                </a:solidFill>
              </a:ln>
              <a:effectLst/>
            </c:spPr>
          </c:marker>
          <c:xVal>
            <c:numRef>
              <c:f>data!$D$72:$D$74</c:f>
              <c:numCache>
                <c:formatCode>0.000000</c:formatCode>
                <c:ptCount val="3"/>
                <c:pt idx="0">
                  <c:v>0.70223999999999998</c:v>
                </c:pt>
                <c:pt idx="1">
                  <c:v>0.70274999999999999</c:v>
                </c:pt>
                <c:pt idx="2">
                  <c:v>0.70530000000000004</c:v>
                </c:pt>
              </c:numCache>
            </c:numRef>
          </c:xVal>
          <c:yVal>
            <c:numRef>
              <c:f>data!$E$72:$E$74</c:f>
              <c:numCache>
                <c:formatCode>0.000000</c:formatCode>
                <c:ptCount val="3"/>
                <c:pt idx="0">
                  <c:v>0.51329000000000002</c:v>
                </c:pt>
                <c:pt idx="1">
                  <c:v>0.51287000000000005</c:v>
                </c:pt>
                <c:pt idx="2">
                  <c:v>0.51236999999999999</c:v>
                </c:pt>
              </c:numCache>
            </c:numRef>
          </c:yVal>
          <c:smooth val="0"/>
          <c:extLst>
            <c:ext xmlns:c16="http://schemas.microsoft.com/office/drawing/2014/chart" uri="{C3380CC4-5D6E-409C-BE32-E72D297353CC}">
              <c16:uniqueId val="{00000004-0B0C-47CE-818C-05A48CD8EA4D}"/>
            </c:ext>
          </c:extLst>
        </c:ser>
        <c:dLbls>
          <c:showLegendKey val="0"/>
          <c:showVal val="0"/>
          <c:showCatName val="0"/>
          <c:showSerName val="0"/>
          <c:showPercent val="0"/>
          <c:showBubbleSize val="0"/>
        </c:dLbls>
        <c:axId val="517692008"/>
        <c:axId val="517692992"/>
      </c:scatterChart>
      <c:valAx>
        <c:axId val="5176920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87</a:t>
                </a:r>
                <a:r>
                  <a:rPr lang="en-GB" sz="1200" baseline="0">
                    <a:solidFill>
                      <a:schemeClr val="tx1"/>
                    </a:solidFill>
                  </a:rPr>
                  <a:t>Sr/</a:t>
                </a:r>
                <a:r>
                  <a:rPr lang="en-GB" sz="1200" baseline="30000">
                    <a:solidFill>
                      <a:schemeClr val="tx1"/>
                    </a:solidFill>
                  </a:rPr>
                  <a:t>86</a:t>
                </a:r>
                <a:r>
                  <a:rPr lang="en-GB" sz="1200" baseline="0">
                    <a:solidFill>
                      <a:schemeClr val="tx1"/>
                    </a:solidFill>
                  </a:rPr>
                  <a:t>Sr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7692992"/>
        <c:crosses val="autoZero"/>
        <c:crossBetween val="midCat"/>
        <c:majorUnit val="1.0000000000000002E-3"/>
      </c:valAx>
      <c:valAx>
        <c:axId val="51769299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143</a:t>
                </a:r>
                <a:r>
                  <a:rPr lang="en-GB" sz="1200" baseline="0">
                    <a:solidFill>
                      <a:schemeClr val="tx1"/>
                    </a:solidFill>
                  </a:rPr>
                  <a:t>Nd/</a:t>
                </a:r>
                <a:r>
                  <a:rPr lang="en-GB" sz="1200" baseline="30000">
                    <a:solidFill>
                      <a:schemeClr val="tx1"/>
                    </a:solidFill>
                  </a:rPr>
                  <a:t>144</a:t>
                </a:r>
                <a:r>
                  <a:rPr lang="en-GB" sz="1200" baseline="0">
                    <a:solidFill>
                      <a:schemeClr val="tx1"/>
                    </a:solidFill>
                  </a:rPr>
                  <a:t>Nd</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0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7692008"/>
        <c:crosses val="autoZero"/>
        <c:crossBetween val="midCat"/>
      </c:valAx>
      <c:spPr>
        <a:noFill/>
        <a:ln w="190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data!$C$2:$C$5</c:f>
              <c:strCache>
                <c:ptCount val="4"/>
                <c:pt idx="0">
                  <c:v>TCC</c:v>
                </c:pt>
                <c:pt idx="1">
                  <c:v>TCC</c:v>
                </c:pt>
                <c:pt idx="2">
                  <c:v>TCC</c:v>
                </c:pt>
                <c:pt idx="3">
                  <c:v>TCC</c:v>
                </c:pt>
              </c:strCache>
            </c:strRef>
          </c:tx>
          <c:spPr>
            <a:ln w="19050" cap="rnd">
              <a:noFill/>
              <a:round/>
            </a:ln>
            <a:effectLst/>
          </c:spPr>
          <c:marker>
            <c:symbol val="plus"/>
            <c:size val="8"/>
            <c:spPr>
              <a:noFill/>
              <a:ln w="9525">
                <a:solidFill>
                  <a:schemeClr val="tx1"/>
                </a:solidFill>
              </a:ln>
              <a:effectLst/>
            </c:spPr>
          </c:marker>
          <c:xVal>
            <c:numRef>
              <c:f>data!$F$2:$F$5</c:f>
              <c:numCache>
                <c:formatCode>0.000</c:formatCode>
                <c:ptCount val="4"/>
                <c:pt idx="0">
                  <c:v>20.273072563846654</c:v>
                </c:pt>
                <c:pt idx="1">
                  <c:v>20.507357635027464</c:v>
                </c:pt>
                <c:pt idx="2">
                  <c:v>20.430357635027462</c:v>
                </c:pt>
                <c:pt idx="3">
                  <c:v>20.273290519863256</c:v>
                </c:pt>
              </c:numCache>
            </c:numRef>
          </c:xVal>
          <c:yVal>
            <c:numRef>
              <c:f>data!$G$2:$G$5</c:f>
              <c:numCache>
                <c:formatCode>0.000</c:formatCode>
                <c:ptCount val="4"/>
                <c:pt idx="0">
                  <c:v>15.814989252983937</c:v>
                </c:pt>
                <c:pt idx="1">
                  <c:v>15.828935688713949</c:v>
                </c:pt>
                <c:pt idx="2">
                  <c:v>15.82393568871395</c:v>
                </c:pt>
                <c:pt idx="3">
                  <c:v>15.81428723601716</c:v>
                </c:pt>
              </c:numCache>
            </c:numRef>
          </c:yVal>
          <c:smooth val="0"/>
          <c:extLst>
            <c:ext xmlns:c16="http://schemas.microsoft.com/office/drawing/2014/chart" uri="{C3380CC4-5D6E-409C-BE32-E72D297353CC}">
              <c16:uniqueId val="{00000000-EA02-4CC5-AB5F-108832B2EB7C}"/>
            </c:ext>
          </c:extLst>
        </c:ser>
        <c:ser>
          <c:idx val="1"/>
          <c:order val="1"/>
          <c:tx>
            <c:strRef>
              <c:f>data!$C$6:$C$8</c:f>
              <c:strCache>
                <c:ptCount val="3"/>
                <c:pt idx="0">
                  <c:v>DW</c:v>
                </c:pt>
                <c:pt idx="1">
                  <c:v>DW</c:v>
                </c:pt>
                <c:pt idx="2">
                  <c:v>DW</c:v>
                </c:pt>
              </c:strCache>
            </c:strRef>
          </c:tx>
          <c:spPr>
            <a:ln w="25400" cap="rnd">
              <a:noFill/>
              <a:round/>
            </a:ln>
            <a:effectLst/>
          </c:spPr>
          <c:marker>
            <c:symbol val="x"/>
            <c:size val="8"/>
            <c:spPr>
              <a:noFill/>
              <a:ln w="9525">
                <a:solidFill>
                  <a:schemeClr val="tx1"/>
                </a:solidFill>
              </a:ln>
              <a:effectLst/>
            </c:spPr>
          </c:marker>
          <c:xVal>
            <c:numRef>
              <c:f>data!$F$6:$F$8</c:f>
              <c:numCache>
                <c:formatCode>0.000</c:formatCode>
                <c:ptCount val="3"/>
                <c:pt idx="0">
                  <c:v>20.952000000000002</c:v>
                </c:pt>
                <c:pt idx="1">
                  <c:v>20.919</c:v>
                </c:pt>
                <c:pt idx="2">
                  <c:v>20.681999999999999</c:v>
                </c:pt>
              </c:numCache>
            </c:numRef>
          </c:xVal>
          <c:yVal>
            <c:numRef>
              <c:f>data!$G$6:$G$8</c:f>
              <c:numCache>
                <c:formatCode>0.000</c:formatCode>
                <c:ptCount val="3"/>
                <c:pt idx="0">
                  <c:v>15.877000000000001</c:v>
                </c:pt>
                <c:pt idx="1">
                  <c:v>15.819000000000001</c:v>
                </c:pt>
                <c:pt idx="2">
                  <c:v>15.823</c:v>
                </c:pt>
              </c:numCache>
            </c:numRef>
          </c:yVal>
          <c:smooth val="0"/>
          <c:extLst>
            <c:ext xmlns:c16="http://schemas.microsoft.com/office/drawing/2014/chart" uri="{C3380CC4-5D6E-409C-BE32-E72D297353CC}">
              <c16:uniqueId val="{00000001-EA02-4CC5-AB5F-108832B2EB7C}"/>
            </c:ext>
          </c:extLst>
        </c:ser>
        <c:ser>
          <c:idx val="2"/>
          <c:order val="2"/>
          <c:tx>
            <c:strRef>
              <c:f>data!$C$9:$C$51</c:f>
              <c:strCache>
                <c:ptCount val="43"/>
                <c:pt idx="0">
                  <c:v>EAC</c:v>
                </c:pt>
                <c:pt idx="1">
                  <c:v>EAC</c:v>
                </c:pt>
                <c:pt idx="2">
                  <c:v>EAC</c:v>
                </c:pt>
                <c:pt idx="3">
                  <c:v>EAC</c:v>
                </c:pt>
                <c:pt idx="4">
                  <c:v>EAC</c:v>
                </c:pt>
                <c:pt idx="5">
                  <c:v>EAC</c:v>
                </c:pt>
                <c:pt idx="6">
                  <c:v>EAC</c:v>
                </c:pt>
                <c:pt idx="7">
                  <c:v>EAC</c:v>
                </c:pt>
                <c:pt idx="8">
                  <c:v>EAC</c:v>
                </c:pt>
                <c:pt idx="9">
                  <c:v>EAC</c:v>
                </c:pt>
                <c:pt idx="10">
                  <c:v>EAC</c:v>
                </c:pt>
                <c:pt idx="11">
                  <c:v>EAC</c:v>
                </c:pt>
                <c:pt idx="12">
                  <c:v>EAC</c:v>
                </c:pt>
                <c:pt idx="13">
                  <c:v>EAC</c:v>
                </c:pt>
                <c:pt idx="14">
                  <c:v>EAC</c:v>
                </c:pt>
                <c:pt idx="15">
                  <c:v>EAC</c:v>
                </c:pt>
                <c:pt idx="16">
                  <c:v>EAC</c:v>
                </c:pt>
                <c:pt idx="17">
                  <c:v>EAC</c:v>
                </c:pt>
                <c:pt idx="18">
                  <c:v>EAC</c:v>
                </c:pt>
                <c:pt idx="19">
                  <c:v>EAC</c:v>
                </c:pt>
                <c:pt idx="20">
                  <c:v>EAC</c:v>
                </c:pt>
                <c:pt idx="21">
                  <c:v>EAC</c:v>
                </c:pt>
                <c:pt idx="22">
                  <c:v>EAC</c:v>
                </c:pt>
                <c:pt idx="23">
                  <c:v>EAC</c:v>
                </c:pt>
                <c:pt idx="24">
                  <c:v>EAC</c:v>
                </c:pt>
                <c:pt idx="25">
                  <c:v>EAC</c:v>
                </c:pt>
                <c:pt idx="26">
                  <c:v>EAC</c:v>
                </c:pt>
                <c:pt idx="27">
                  <c:v>EAC</c:v>
                </c:pt>
                <c:pt idx="28">
                  <c:v>EAC</c:v>
                </c:pt>
                <c:pt idx="29">
                  <c:v>EAC</c:v>
                </c:pt>
                <c:pt idx="30">
                  <c:v>EAC</c:v>
                </c:pt>
                <c:pt idx="31">
                  <c:v>EAC</c:v>
                </c:pt>
                <c:pt idx="32">
                  <c:v>EAC</c:v>
                </c:pt>
                <c:pt idx="33">
                  <c:v>EAC</c:v>
                </c:pt>
                <c:pt idx="34">
                  <c:v>EAC</c:v>
                </c:pt>
                <c:pt idx="35">
                  <c:v>EAC</c:v>
                </c:pt>
                <c:pt idx="36">
                  <c:v>EAC</c:v>
                </c:pt>
                <c:pt idx="37">
                  <c:v>EAC</c:v>
                </c:pt>
                <c:pt idx="38">
                  <c:v>EAC</c:v>
                </c:pt>
                <c:pt idx="39">
                  <c:v>EAC</c:v>
                </c:pt>
                <c:pt idx="40">
                  <c:v>EAC</c:v>
                </c:pt>
                <c:pt idx="41">
                  <c:v>EAC</c:v>
                </c:pt>
                <c:pt idx="42">
                  <c:v>EAC</c:v>
                </c:pt>
              </c:strCache>
            </c:strRef>
          </c:tx>
          <c:spPr>
            <a:ln w="25400" cap="rnd">
              <a:noFill/>
              <a:round/>
            </a:ln>
            <a:effectLst/>
          </c:spPr>
          <c:marker>
            <c:symbol val="circle"/>
            <c:size val="3"/>
            <c:spPr>
              <a:noFill/>
              <a:ln w="9525">
                <a:solidFill>
                  <a:schemeClr val="tx1"/>
                </a:solidFill>
              </a:ln>
              <a:effectLst/>
            </c:spPr>
          </c:marker>
          <c:xVal>
            <c:numRef>
              <c:f>data!$F$9:$F$51</c:f>
              <c:numCache>
                <c:formatCode>0.000</c:formatCode>
                <c:ptCount val="43"/>
                <c:pt idx="0">
                  <c:v>19.420999999999999</c:v>
                </c:pt>
                <c:pt idx="1">
                  <c:v>19.212</c:v>
                </c:pt>
                <c:pt idx="2">
                  <c:v>19.201000000000001</c:v>
                </c:pt>
                <c:pt idx="3">
                  <c:v>19.469000000000001</c:v>
                </c:pt>
                <c:pt idx="4">
                  <c:v>18.462</c:v>
                </c:pt>
                <c:pt idx="5">
                  <c:v>18.597000000000001</c:v>
                </c:pt>
                <c:pt idx="6">
                  <c:v>21.562000000000001</c:v>
                </c:pt>
                <c:pt idx="7">
                  <c:v>21.094999999999999</c:v>
                </c:pt>
                <c:pt idx="8">
                  <c:v>21.108000000000001</c:v>
                </c:pt>
                <c:pt idx="9">
                  <c:v>21.148</c:v>
                </c:pt>
                <c:pt idx="10">
                  <c:v>21.103999999999999</c:v>
                </c:pt>
                <c:pt idx="11">
                  <c:v>21.16</c:v>
                </c:pt>
                <c:pt idx="12">
                  <c:v>20.71</c:v>
                </c:pt>
                <c:pt idx="13">
                  <c:v>20.992000000000001</c:v>
                </c:pt>
                <c:pt idx="14">
                  <c:v>18.571000000000002</c:v>
                </c:pt>
                <c:pt idx="15">
                  <c:v>18.847000000000001</c:v>
                </c:pt>
                <c:pt idx="16">
                  <c:v>20.817</c:v>
                </c:pt>
                <c:pt idx="17">
                  <c:v>20.847999999999999</c:v>
                </c:pt>
                <c:pt idx="18">
                  <c:v>20.648</c:v>
                </c:pt>
                <c:pt idx="19">
                  <c:v>20.164999999999999</c:v>
                </c:pt>
                <c:pt idx="20">
                  <c:v>20.41</c:v>
                </c:pt>
                <c:pt idx="21">
                  <c:v>18.718</c:v>
                </c:pt>
                <c:pt idx="22">
                  <c:v>20.256</c:v>
                </c:pt>
                <c:pt idx="23">
                  <c:v>20.216000000000001</c:v>
                </c:pt>
                <c:pt idx="24">
                  <c:v>20.05</c:v>
                </c:pt>
                <c:pt idx="25">
                  <c:v>20.173999999999999</c:v>
                </c:pt>
                <c:pt idx="26">
                  <c:v>20.218</c:v>
                </c:pt>
                <c:pt idx="27">
                  <c:v>19.72</c:v>
                </c:pt>
                <c:pt idx="28">
                  <c:v>19.879000000000001</c:v>
                </c:pt>
                <c:pt idx="29">
                  <c:v>20.257000000000001</c:v>
                </c:pt>
                <c:pt idx="30">
                  <c:v>20.303000000000001</c:v>
                </c:pt>
                <c:pt idx="31">
                  <c:v>20.343</c:v>
                </c:pt>
                <c:pt idx="32">
                  <c:v>20.221</c:v>
                </c:pt>
                <c:pt idx="33">
                  <c:v>19.271999999999998</c:v>
                </c:pt>
                <c:pt idx="34">
                  <c:v>20.058</c:v>
                </c:pt>
                <c:pt idx="35">
                  <c:v>20.809000000000001</c:v>
                </c:pt>
                <c:pt idx="36">
                  <c:v>20.712</c:v>
                </c:pt>
                <c:pt idx="37">
                  <c:v>20.907</c:v>
                </c:pt>
                <c:pt idx="38">
                  <c:v>20.399999999999999</c:v>
                </c:pt>
                <c:pt idx="39">
                  <c:v>20.47</c:v>
                </c:pt>
                <c:pt idx="40">
                  <c:v>20.010000000000002</c:v>
                </c:pt>
                <c:pt idx="41">
                  <c:v>20.100000000000001</c:v>
                </c:pt>
                <c:pt idx="42">
                  <c:v>20.05</c:v>
                </c:pt>
              </c:numCache>
            </c:numRef>
          </c:xVal>
          <c:yVal>
            <c:numRef>
              <c:f>data!$G$9:$G$54</c:f>
              <c:numCache>
                <c:formatCode>0.000</c:formatCode>
                <c:ptCount val="46"/>
                <c:pt idx="0">
                  <c:v>15.613</c:v>
                </c:pt>
                <c:pt idx="1">
                  <c:v>15.581</c:v>
                </c:pt>
                <c:pt idx="2">
                  <c:v>15.583</c:v>
                </c:pt>
                <c:pt idx="3">
                  <c:v>15.622999999999999</c:v>
                </c:pt>
                <c:pt idx="4">
                  <c:v>15.483000000000001</c:v>
                </c:pt>
                <c:pt idx="5">
                  <c:v>15.506</c:v>
                </c:pt>
                <c:pt idx="6">
                  <c:v>15.818</c:v>
                </c:pt>
                <c:pt idx="7">
                  <c:v>15.797000000000001</c:v>
                </c:pt>
                <c:pt idx="8">
                  <c:v>15.795999999999999</c:v>
                </c:pt>
                <c:pt idx="9">
                  <c:v>15.786</c:v>
                </c:pt>
                <c:pt idx="10">
                  <c:v>15.801</c:v>
                </c:pt>
                <c:pt idx="11">
                  <c:v>15.798999999999999</c:v>
                </c:pt>
                <c:pt idx="12">
                  <c:v>15.763999999999999</c:v>
                </c:pt>
                <c:pt idx="13">
                  <c:v>15.885</c:v>
                </c:pt>
                <c:pt idx="14">
                  <c:v>15.629</c:v>
                </c:pt>
                <c:pt idx="15">
                  <c:v>15.614000000000001</c:v>
                </c:pt>
                <c:pt idx="16">
                  <c:v>15.784000000000001</c:v>
                </c:pt>
                <c:pt idx="17">
                  <c:v>15.776999999999999</c:v>
                </c:pt>
                <c:pt idx="18">
                  <c:v>15.74</c:v>
                </c:pt>
                <c:pt idx="19">
                  <c:v>15.688000000000001</c:v>
                </c:pt>
                <c:pt idx="20">
                  <c:v>15.718999999999999</c:v>
                </c:pt>
                <c:pt idx="21">
                  <c:v>15.516</c:v>
                </c:pt>
                <c:pt idx="22">
                  <c:v>15.72</c:v>
                </c:pt>
                <c:pt idx="23">
                  <c:v>15.712999999999999</c:v>
                </c:pt>
                <c:pt idx="24">
                  <c:v>15.694000000000001</c:v>
                </c:pt>
                <c:pt idx="25">
                  <c:v>15.715999999999999</c:v>
                </c:pt>
                <c:pt idx="26">
                  <c:v>15.709</c:v>
                </c:pt>
                <c:pt idx="27">
                  <c:v>15.653</c:v>
                </c:pt>
                <c:pt idx="28">
                  <c:v>15.657</c:v>
                </c:pt>
                <c:pt idx="29">
                  <c:v>15.694000000000001</c:v>
                </c:pt>
                <c:pt idx="30">
                  <c:v>15.731999999999999</c:v>
                </c:pt>
                <c:pt idx="31">
                  <c:v>15.711</c:v>
                </c:pt>
                <c:pt idx="32">
                  <c:v>15.708</c:v>
                </c:pt>
                <c:pt idx="33">
                  <c:v>15.606999999999999</c:v>
                </c:pt>
                <c:pt idx="34">
                  <c:v>15.747999999999999</c:v>
                </c:pt>
                <c:pt idx="35">
                  <c:v>15.754</c:v>
                </c:pt>
                <c:pt idx="36">
                  <c:v>15.722</c:v>
                </c:pt>
                <c:pt idx="37">
                  <c:v>15.801</c:v>
                </c:pt>
                <c:pt idx="38">
                  <c:v>15.81</c:v>
                </c:pt>
                <c:pt idx="39">
                  <c:v>15.75</c:v>
                </c:pt>
                <c:pt idx="40">
                  <c:v>15.83</c:v>
                </c:pt>
                <c:pt idx="41">
                  <c:v>15.84</c:v>
                </c:pt>
                <c:pt idx="42">
                  <c:v>15.76</c:v>
                </c:pt>
                <c:pt idx="43">
                  <c:v>15.5741</c:v>
                </c:pt>
                <c:pt idx="44">
                  <c:v>15.5496</c:v>
                </c:pt>
                <c:pt idx="45">
                  <c:v>15.592700000000001</c:v>
                </c:pt>
              </c:numCache>
            </c:numRef>
          </c:yVal>
          <c:smooth val="0"/>
          <c:extLst>
            <c:ext xmlns:c16="http://schemas.microsoft.com/office/drawing/2014/chart" uri="{C3380CC4-5D6E-409C-BE32-E72D297353CC}">
              <c16:uniqueId val="{00000002-EA02-4CC5-AB5F-108832B2EB7C}"/>
            </c:ext>
          </c:extLst>
        </c:ser>
        <c:ser>
          <c:idx val="3"/>
          <c:order val="3"/>
          <c:tx>
            <c:strRef>
              <c:f>data!$C$55:$C$71</c:f>
              <c:strCache>
                <c:ptCount val="17"/>
                <c:pt idx="0">
                  <c:v>WR</c:v>
                </c:pt>
                <c:pt idx="1">
                  <c:v>WR</c:v>
                </c:pt>
                <c:pt idx="2">
                  <c:v>WR</c:v>
                </c:pt>
                <c:pt idx="3">
                  <c:v>WR</c:v>
                </c:pt>
                <c:pt idx="4">
                  <c:v>WR</c:v>
                </c:pt>
                <c:pt idx="5">
                  <c:v>WR</c:v>
                </c:pt>
                <c:pt idx="6">
                  <c:v>WR</c:v>
                </c:pt>
                <c:pt idx="7">
                  <c:v>WR</c:v>
                </c:pt>
                <c:pt idx="8">
                  <c:v>WR</c:v>
                </c:pt>
                <c:pt idx="9">
                  <c:v>WR</c:v>
                </c:pt>
                <c:pt idx="10">
                  <c:v>WR</c:v>
                </c:pt>
                <c:pt idx="11">
                  <c:v>WR</c:v>
                </c:pt>
                <c:pt idx="12">
                  <c:v>WR</c:v>
                </c:pt>
                <c:pt idx="13">
                  <c:v>WR</c:v>
                </c:pt>
                <c:pt idx="14">
                  <c:v>WR</c:v>
                </c:pt>
                <c:pt idx="15">
                  <c:v>WR</c:v>
                </c:pt>
                <c:pt idx="16">
                  <c:v>WR</c:v>
                </c:pt>
              </c:strCache>
            </c:strRef>
          </c:tx>
          <c:spPr>
            <a:ln w="25400" cap="rnd">
              <a:noFill/>
              <a:round/>
            </a:ln>
            <a:effectLst/>
          </c:spPr>
          <c:marker>
            <c:symbol val="circle"/>
            <c:size val="3"/>
            <c:spPr>
              <a:solidFill>
                <a:schemeClr val="tx1"/>
              </a:solidFill>
              <a:ln w="9525">
                <a:solidFill>
                  <a:schemeClr val="tx1"/>
                </a:solidFill>
              </a:ln>
              <a:effectLst/>
            </c:spPr>
          </c:marker>
          <c:xVal>
            <c:numRef>
              <c:f>data!$F$55:$F$71</c:f>
              <c:numCache>
                <c:formatCode>0.000</c:formatCode>
                <c:ptCount val="17"/>
                <c:pt idx="0">
                  <c:v>19.375199500124662</c:v>
                </c:pt>
                <c:pt idx="1">
                  <c:v>19.111010006059416</c:v>
                </c:pt>
                <c:pt idx="2">
                  <c:v>19.03310218183875</c:v>
                </c:pt>
                <c:pt idx="3">
                  <c:v>19.070791222310721</c:v>
                </c:pt>
                <c:pt idx="4">
                  <c:v>19.508012499500559</c:v>
                </c:pt>
                <c:pt idx="5">
                  <c:v>19.989870022290912</c:v>
                </c:pt>
                <c:pt idx="6">
                  <c:v>19.589086668010282</c:v>
                </c:pt>
                <c:pt idx="7">
                  <c:v>19.870421346117556</c:v>
                </c:pt>
                <c:pt idx="8">
                  <c:v>19.616629847430112</c:v>
                </c:pt>
                <c:pt idx="9">
                  <c:v>19.896959071999333</c:v>
                </c:pt>
                <c:pt idx="10">
                  <c:v>19.091780741175722</c:v>
                </c:pt>
                <c:pt idx="11">
                  <c:v>19.083206581815105</c:v>
                </c:pt>
                <c:pt idx="12">
                  <c:v>19.092654987466961</c:v>
                </c:pt>
                <c:pt idx="13">
                  <c:v>19.494309877809727</c:v>
                </c:pt>
                <c:pt idx="14">
                  <c:v>20.332308913677746</c:v>
                </c:pt>
                <c:pt idx="15">
                  <c:v>20.297925873230909</c:v>
                </c:pt>
                <c:pt idx="16">
                  <c:v>20.133387301677274</c:v>
                </c:pt>
              </c:numCache>
            </c:numRef>
          </c:xVal>
          <c:yVal>
            <c:numRef>
              <c:f>data!$G$55:$G$71</c:f>
              <c:numCache>
                <c:formatCode>0.000</c:formatCode>
                <c:ptCount val="17"/>
                <c:pt idx="0">
                  <c:v>15.63661498429504</c:v>
                </c:pt>
                <c:pt idx="1">
                  <c:v>15.67397567120363</c:v>
                </c:pt>
                <c:pt idx="2">
                  <c:v>15.618654358969914</c:v>
                </c:pt>
                <c:pt idx="3">
                  <c:v>15.621855889606422</c:v>
                </c:pt>
                <c:pt idx="4">
                  <c:v>15.678964309670921</c:v>
                </c:pt>
                <c:pt idx="5">
                  <c:v>15.712145938451108</c:v>
                </c:pt>
                <c:pt idx="6">
                  <c:v>15.680506922319864</c:v>
                </c:pt>
                <c:pt idx="7">
                  <c:v>15.738994858705089</c:v>
                </c:pt>
                <c:pt idx="8">
                  <c:v>15.677658617879368</c:v>
                </c:pt>
                <c:pt idx="9">
                  <c:v>15.717693005255917</c:v>
                </c:pt>
                <c:pt idx="10">
                  <c:v>15.621006644756884</c:v>
                </c:pt>
                <c:pt idx="11">
                  <c:v>15.621639145756108</c:v>
                </c:pt>
                <c:pt idx="12">
                  <c:v>15.620779638240665</c:v>
                </c:pt>
                <c:pt idx="13">
                  <c:v>15.670460417181848</c:v>
                </c:pt>
                <c:pt idx="14">
                  <c:v>15.755672714284039</c:v>
                </c:pt>
                <c:pt idx="15">
                  <c:v>15.75235292786471</c:v>
                </c:pt>
                <c:pt idx="16">
                  <c:v>15.734339990087186</c:v>
                </c:pt>
              </c:numCache>
            </c:numRef>
          </c:yVal>
          <c:smooth val="0"/>
          <c:extLst>
            <c:ext xmlns:c16="http://schemas.microsoft.com/office/drawing/2014/chart" uri="{C3380CC4-5D6E-409C-BE32-E72D297353CC}">
              <c16:uniqueId val="{00000003-EA02-4CC5-AB5F-108832B2EB7C}"/>
            </c:ext>
          </c:extLst>
        </c:ser>
        <c:ser>
          <c:idx val="4"/>
          <c:order val="4"/>
          <c:tx>
            <c:strRef>
              <c:f>data!$C$72:$C$74</c:f>
              <c:strCache>
                <c:ptCount val="3"/>
                <c:pt idx="0">
                  <c:v>mantle</c:v>
                </c:pt>
                <c:pt idx="1">
                  <c:v>mantle</c:v>
                </c:pt>
                <c:pt idx="2">
                  <c:v>mantle</c:v>
                </c:pt>
              </c:strCache>
            </c:strRef>
          </c:tx>
          <c:spPr>
            <a:ln w="25400" cap="rnd">
              <a:noFill/>
              <a:round/>
            </a:ln>
            <a:effectLst/>
          </c:spPr>
          <c:marker>
            <c:symbol val="circle"/>
            <c:size val="10"/>
            <c:spPr>
              <a:noFill/>
              <a:ln w="9525">
                <a:solidFill>
                  <a:schemeClr val="tx1"/>
                </a:solidFill>
              </a:ln>
              <a:effectLst/>
            </c:spPr>
          </c:marker>
          <c:xVal>
            <c:numRef>
              <c:f>data!$F$72:$F$74</c:f>
              <c:numCache>
                <c:formatCode>0.000</c:formatCode>
                <c:ptCount val="3"/>
                <c:pt idx="0">
                  <c:v>18</c:v>
                </c:pt>
                <c:pt idx="1">
                  <c:v>21.9</c:v>
                </c:pt>
                <c:pt idx="2">
                  <c:v>17.399999999999999</c:v>
                </c:pt>
              </c:numCache>
            </c:numRef>
          </c:xVal>
          <c:yVal>
            <c:numRef>
              <c:f>data!$G$72:$G$74</c:f>
              <c:numCache>
                <c:formatCode>0.000</c:formatCode>
                <c:ptCount val="3"/>
                <c:pt idx="0">
                  <c:v>15.445</c:v>
                </c:pt>
                <c:pt idx="1">
                  <c:v>15.85</c:v>
                </c:pt>
                <c:pt idx="2">
                  <c:v>15.46</c:v>
                </c:pt>
              </c:numCache>
            </c:numRef>
          </c:yVal>
          <c:smooth val="0"/>
          <c:extLst>
            <c:ext xmlns:c16="http://schemas.microsoft.com/office/drawing/2014/chart" uri="{C3380CC4-5D6E-409C-BE32-E72D297353CC}">
              <c16:uniqueId val="{00000004-EA02-4CC5-AB5F-108832B2EB7C}"/>
            </c:ext>
          </c:extLst>
        </c:ser>
        <c:dLbls>
          <c:showLegendKey val="0"/>
          <c:showVal val="0"/>
          <c:showCatName val="0"/>
          <c:showSerName val="0"/>
          <c:showPercent val="0"/>
          <c:showBubbleSize val="0"/>
        </c:dLbls>
        <c:axId val="463372408"/>
        <c:axId val="463370112"/>
      </c:scatterChart>
      <c:valAx>
        <c:axId val="463372408"/>
        <c:scaling>
          <c:orientation val="minMax"/>
          <c:min val="17"/>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206</a:t>
                </a:r>
                <a:r>
                  <a:rPr lang="en-GB" sz="1200" baseline="0">
                    <a:solidFill>
                      <a:schemeClr val="tx1"/>
                    </a:solidFill>
                  </a:rPr>
                  <a:t>Pb/</a:t>
                </a:r>
                <a:r>
                  <a:rPr lang="en-GB" sz="1200" baseline="30000">
                    <a:solidFill>
                      <a:schemeClr val="tx1"/>
                    </a:solidFill>
                  </a:rPr>
                  <a:t>204</a:t>
                </a:r>
                <a:r>
                  <a:rPr lang="en-GB" sz="1200" baseline="0">
                    <a:solidFill>
                      <a:schemeClr val="tx1"/>
                    </a:solidFill>
                  </a:rPr>
                  <a:t>Pb</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63370112"/>
        <c:crosses val="autoZero"/>
        <c:crossBetween val="midCat"/>
      </c:valAx>
      <c:valAx>
        <c:axId val="463370112"/>
        <c:scaling>
          <c:orientation val="minMax"/>
          <c:max val="15.9"/>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207</a:t>
                </a:r>
                <a:r>
                  <a:rPr lang="en-GB" sz="1200" baseline="0">
                    <a:solidFill>
                      <a:schemeClr val="tx1"/>
                    </a:solidFill>
                  </a:rPr>
                  <a:t>Pb/</a:t>
                </a:r>
                <a:r>
                  <a:rPr lang="en-GB" sz="1200" baseline="30000">
                    <a:solidFill>
                      <a:schemeClr val="tx1"/>
                    </a:solidFill>
                  </a:rPr>
                  <a:t>204</a:t>
                </a:r>
                <a:r>
                  <a:rPr lang="en-GB" sz="1200" baseline="0">
                    <a:solidFill>
                      <a:schemeClr val="tx1"/>
                    </a:solidFill>
                  </a:rPr>
                  <a:t>Pb</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63372408"/>
        <c:crosses val="autoZero"/>
        <c:crossBetween val="midCat"/>
        <c:majorUnit val="0.1"/>
      </c:valAx>
      <c:spPr>
        <a:noFill/>
        <a:ln w="190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data!$C$2:$C$5</c:f>
              <c:strCache>
                <c:ptCount val="4"/>
                <c:pt idx="0">
                  <c:v>TCC</c:v>
                </c:pt>
                <c:pt idx="1">
                  <c:v>TCC</c:v>
                </c:pt>
                <c:pt idx="2">
                  <c:v>TCC</c:v>
                </c:pt>
                <c:pt idx="3">
                  <c:v>TCC</c:v>
                </c:pt>
              </c:strCache>
            </c:strRef>
          </c:tx>
          <c:spPr>
            <a:ln w="19050" cap="rnd">
              <a:noFill/>
              <a:round/>
            </a:ln>
            <a:effectLst/>
          </c:spPr>
          <c:marker>
            <c:symbol val="plus"/>
            <c:size val="8"/>
            <c:spPr>
              <a:noFill/>
              <a:ln w="9525">
                <a:solidFill>
                  <a:schemeClr val="tx1"/>
                </a:solidFill>
              </a:ln>
              <a:effectLst/>
            </c:spPr>
          </c:marker>
          <c:xVal>
            <c:numRef>
              <c:f>data!$F$2:$F$5</c:f>
              <c:numCache>
                <c:formatCode>0.000</c:formatCode>
                <c:ptCount val="4"/>
                <c:pt idx="0">
                  <c:v>20.273072563846654</c:v>
                </c:pt>
                <c:pt idx="1">
                  <c:v>20.507357635027464</c:v>
                </c:pt>
                <c:pt idx="2">
                  <c:v>20.430357635027462</c:v>
                </c:pt>
                <c:pt idx="3">
                  <c:v>20.273290519863256</c:v>
                </c:pt>
              </c:numCache>
            </c:numRef>
          </c:xVal>
          <c:yVal>
            <c:numRef>
              <c:f>data!$H$2:$H$5</c:f>
              <c:numCache>
                <c:formatCode>0.000</c:formatCode>
                <c:ptCount val="4"/>
                <c:pt idx="0">
                  <c:v>40.042851444276003</c:v>
                </c:pt>
                <c:pt idx="1">
                  <c:v>40.261895032107041</c:v>
                </c:pt>
                <c:pt idx="2">
                  <c:v>40.017595032107046</c:v>
                </c:pt>
                <c:pt idx="3">
                  <c:v>40.1707919555679</c:v>
                </c:pt>
              </c:numCache>
            </c:numRef>
          </c:yVal>
          <c:smooth val="0"/>
          <c:extLst>
            <c:ext xmlns:c16="http://schemas.microsoft.com/office/drawing/2014/chart" uri="{C3380CC4-5D6E-409C-BE32-E72D297353CC}">
              <c16:uniqueId val="{00000000-DD32-4108-AD6F-93F910B388DE}"/>
            </c:ext>
          </c:extLst>
        </c:ser>
        <c:ser>
          <c:idx val="1"/>
          <c:order val="1"/>
          <c:tx>
            <c:strRef>
              <c:f>data!$C$6:$C$8</c:f>
              <c:strCache>
                <c:ptCount val="3"/>
                <c:pt idx="0">
                  <c:v>DW</c:v>
                </c:pt>
                <c:pt idx="1">
                  <c:v>DW</c:v>
                </c:pt>
                <c:pt idx="2">
                  <c:v>DW</c:v>
                </c:pt>
              </c:strCache>
            </c:strRef>
          </c:tx>
          <c:spPr>
            <a:ln w="25400" cap="rnd">
              <a:noFill/>
              <a:round/>
            </a:ln>
            <a:effectLst/>
          </c:spPr>
          <c:marker>
            <c:symbol val="x"/>
            <c:size val="8"/>
            <c:spPr>
              <a:noFill/>
              <a:ln w="9525">
                <a:solidFill>
                  <a:schemeClr val="tx1"/>
                </a:solidFill>
              </a:ln>
              <a:effectLst/>
            </c:spPr>
          </c:marker>
          <c:xVal>
            <c:numRef>
              <c:f>data!$F$6:$F$8</c:f>
              <c:numCache>
                <c:formatCode>0.000</c:formatCode>
                <c:ptCount val="3"/>
                <c:pt idx="0">
                  <c:v>20.952000000000002</c:v>
                </c:pt>
                <c:pt idx="1">
                  <c:v>20.919</c:v>
                </c:pt>
                <c:pt idx="2">
                  <c:v>20.681999999999999</c:v>
                </c:pt>
              </c:numCache>
            </c:numRef>
          </c:xVal>
          <c:yVal>
            <c:numRef>
              <c:f>data!$H$6:$H$8</c:f>
              <c:numCache>
                <c:formatCode>0.000</c:formatCode>
                <c:ptCount val="3"/>
                <c:pt idx="0">
                  <c:v>40.325000000000003</c:v>
                </c:pt>
                <c:pt idx="1">
                  <c:v>40.058999999999997</c:v>
                </c:pt>
                <c:pt idx="2">
                  <c:v>39.99</c:v>
                </c:pt>
              </c:numCache>
            </c:numRef>
          </c:yVal>
          <c:smooth val="0"/>
          <c:extLst>
            <c:ext xmlns:c16="http://schemas.microsoft.com/office/drawing/2014/chart" uri="{C3380CC4-5D6E-409C-BE32-E72D297353CC}">
              <c16:uniqueId val="{00000001-DD32-4108-AD6F-93F910B388DE}"/>
            </c:ext>
          </c:extLst>
        </c:ser>
        <c:ser>
          <c:idx val="2"/>
          <c:order val="2"/>
          <c:tx>
            <c:strRef>
              <c:f>data!$C$9:$C$51</c:f>
              <c:strCache>
                <c:ptCount val="43"/>
                <c:pt idx="0">
                  <c:v>EAC</c:v>
                </c:pt>
                <c:pt idx="1">
                  <c:v>EAC</c:v>
                </c:pt>
                <c:pt idx="2">
                  <c:v>EAC</c:v>
                </c:pt>
                <c:pt idx="3">
                  <c:v>EAC</c:v>
                </c:pt>
                <c:pt idx="4">
                  <c:v>EAC</c:v>
                </c:pt>
                <c:pt idx="5">
                  <c:v>EAC</c:v>
                </c:pt>
                <c:pt idx="6">
                  <c:v>EAC</c:v>
                </c:pt>
                <c:pt idx="7">
                  <c:v>EAC</c:v>
                </c:pt>
                <c:pt idx="8">
                  <c:v>EAC</c:v>
                </c:pt>
                <c:pt idx="9">
                  <c:v>EAC</c:v>
                </c:pt>
                <c:pt idx="10">
                  <c:v>EAC</c:v>
                </c:pt>
                <c:pt idx="11">
                  <c:v>EAC</c:v>
                </c:pt>
                <c:pt idx="12">
                  <c:v>EAC</c:v>
                </c:pt>
                <c:pt idx="13">
                  <c:v>EAC</c:v>
                </c:pt>
                <c:pt idx="14">
                  <c:v>EAC</c:v>
                </c:pt>
                <c:pt idx="15">
                  <c:v>EAC</c:v>
                </c:pt>
                <c:pt idx="16">
                  <c:v>EAC</c:v>
                </c:pt>
                <c:pt idx="17">
                  <c:v>EAC</c:v>
                </c:pt>
                <c:pt idx="18">
                  <c:v>EAC</c:v>
                </c:pt>
                <c:pt idx="19">
                  <c:v>EAC</c:v>
                </c:pt>
                <c:pt idx="20">
                  <c:v>EAC</c:v>
                </c:pt>
                <c:pt idx="21">
                  <c:v>EAC</c:v>
                </c:pt>
                <c:pt idx="22">
                  <c:v>EAC</c:v>
                </c:pt>
                <c:pt idx="23">
                  <c:v>EAC</c:v>
                </c:pt>
                <c:pt idx="24">
                  <c:v>EAC</c:v>
                </c:pt>
                <c:pt idx="25">
                  <c:v>EAC</c:v>
                </c:pt>
                <c:pt idx="26">
                  <c:v>EAC</c:v>
                </c:pt>
                <c:pt idx="27">
                  <c:v>EAC</c:v>
                </c:pt>
                <c:pt idx="28">
                  <c:v>EAC</c:v>
                </c:pt>
                <c:pt idx="29">
                  <c:v>EAC</c:v>
                </c:pt>
                <c:pt idx="30">
                  <c:v>EAC</c:v>
                </c:pt>
                <c:pt idx="31">
                  <c:v>EAC</c:v>
                </c:pt>
                <c:pt idx="32">
                  <c:v>EAC</c:v>
                </c:pt>
                <c:pt idx="33">
                  <c:v>EAC</c:v>
                </c:pt>
                <c:pt idx="34">
                  <c:v>EAC</c:v>
                </c:pt>
                <c:pt idx="35">
                  <c:v>EAC</c:v>
                </c:pt>
                <c:pt idx="36">
                  <c:v>EAC</c:v>
                </c:pt>
                <c:pt idx="37">
                  <c:v>EAC</c:v>
                </c:pt>
                <c:pt idx="38">
                  <c:v>EAC</c:v>
                </c:pt>
                <c:pt idx="39">
                  <c:v>EAC</c:v>
                </c:pt>
                <c:pt idx="40">
                  <c:v>EAC</c:v>
                </c:pt>
                <c:pt idx="41">
                  <c:v>EAC</c:v>
                </c:pt>
                <c:pt idx="42">
                  <c:v>EAC</c:v>
                </c:pt>
              </c:strCache>
            </c:strRef>
          </c:tx>
          <c:spPr>
            <a:ln w="25400" cap="rnd">
              <a:noFill/>
              <a:round/>
            </a:ln>
            <a:effectLst/>
          </c:spPr>
          <c:marker>
            <c:symbol val="circle"/>
            <c:size val="3"/>
            <c:spPr>
              <a:noFill/>
              <a:ln w="9525">
                <a:solidFill>
                  <a:schemeClr val="tx1"/>
                </a:solidFill>
              </a:ln>
              <a:effectLst/>
            </c:spPr>
          </c:marker>
          <c:xVal>
            <c:numRef>
              <c:f>data!$F$9:$F$51</c:f>
              <c:numCache>
                <c:formatCode>0.000</c:formatCode>
                <c:ptCount val="43"/>
                <c:pt idx="0">
                  <c:v>19.420999999999999</c:v>
                </c:pt>
                <c:pt idx="1">
                  <c:v>19.212</c:v>
                </c:pt>
                <c:pt idx="2">
                  <c:v>19.201000000000001</c:v>
                </c:pt>
                <c:pt idx="3">
                  <c:v>19.469000000000001</c:v>
                </c:pt>
                <c:pt idx="4">
                  <c:v>18.462</c:v>
                </c:pt>
                <c:pt idx="5">
                  <c:v>18.597000000000001</c:v>
                </c:pt>
                <c:pt idx="6">
                  <c:v>21.562000000000001</c:v>
                </c:pt>
                <c:pt idx="7">
                  <c:v>21.094999999999999</c:v>
                </c:pt>
                <c:pt idx="8">
                  <c:v>21.108000000000001</c:v>
                </c:pt>
                <c:pt idx="9">
                  <c:v>21.148</c:v>
                </c:pt>
                <c:pt idx="10">
                  <c:v>21.103999999999999</c:v>
                </c:pt>
                <c:pt idx="11">
                  <c:v>21.16</c:v>
                </c:pt>
                <c:pt idx="12">
                  <c:v>20.71</c:v>
                </c:pt>
                <c:pt idx="13">
                  <c:v>20.992000000000001</c:v>
                </c:pt>
                <c:pt idx="14">
                  <c:v>18.571000000000002</c:v>
                </c:pt>
                <c:pt idx="15">
                  <c:v>18.847000000000001</c:v>
                </c:pt>
                <c:pt idx="16">
                  <c:v>20.817</c:v>
                </c:pt>
                <c:pt idx="17">
                  <c:v>20.847999999999999</c:v>
                </c:pt>
                <c:pt idx="18">
                  <c:v>20.648</c:v>
                </c:pt>
                <c:pt idx="19">
                  <c:v>20.164999999999999</c:v>
                </c:pt>
                <c:pt idx="20">
                  <c:v>20.41</c:v>
                </c:pt>
                <c:pt idx="21">
                  <c:v>18.718</c:v>
                </c:pt>
                <c:pt idx="22">
                  <c:v>20.256</c:v>
                </c:pt>
                <c:pt idx="23">
                  <c:v>20.216000000000001</c:v>
                </c:pt>
                <c:pt idx="24">
                  <c:v>20.05</c:v>
                </c:pt>
                <c:pt idx="25">
                  <c:v>20.173999999999999</c:v>
                </c:pt>
                <c:pt idx="26">
                  <c:v>20.218</c:v>
                </c:pt>
                <c:pt idx="27">
                  <c:v>19.72</c:v>
                </c:pt>
                <c:pt idx="28">
                  <c:v>19.879000000000001</c:v>
                </c:pt>
                <c:pt idx="29">
                  <c:v>20.257000000000001</c:v>
                </c:pt>
                <c:pt idx="30">
                  <c:v>20.303000000000001</c:v>
                </c:pt>
                <c:pt idx="31">
                  <c:v>20.343</c:v>
                </c:pt>
                <c:pt idx="32">
                  <c:v>20.221</c:v>
                </c:pt>
                <c:pt idx="33">
                  <c:v>19.271999999999998</c:v>
                </c:pt>
                <c:pt idx="34">
                  <c:v>20.058</c:v>
                </c:pt>
                <c:pt idx="35">
                  <c:v>20.809000000000001</c:v>
                </c:pt>
                <c:pt idx="36">
                  <c:v>20.712</c:v>
                </c:pt>
                <c:pt idx="37">
                  <c:v>20.907</c:v>
                </c:pt>
                <c:pt idx="38">
                  <c:v>20.399999999999999</c:v>
                </c:pt>
                <c:pt idx="39">
                  <c:v>20.47</c:v>
                </c:pt>
                <c:pt idx="40">
                  <c:v>20.010000000000002</c:v>
                </c:pt>
                <c:pt idx="41">
                  <c:v>20.100000000000001</c:v>
                </c:pt>
                <c:pt idx="42">
                  <c:v>20.05</c:v>
                </c:pt>
              </c:numCache>
            </c:numRef>
          </c:xVal>
          <c:yVal>
            <c:numRef>
              <c:f>data!$H$9:$H$54</c:f>
              <c:numCache>
                <c:formatCode>0.000</c:formatCode>
                <c:ptCount val="46"/>
                <c:pt idx="0">
                  <c:v>39.734999999999999</c:v>
                </c:pt>
                <c:pt idx="1">
                  <c:v>39.222000000000001</c:v>
                </c:pt>
                <c:pt idx="2">
                  <c:v>39.216000000000001</c:v>
                </c:pt>
                <c:pt idx="3">
                  <c:v>39.808999999999997</c:v>
                </c:pt>
                <c:pt idx="4">
                  <c:v>38.875999999999998</c:v>
                </c:pt>
                <c:pt idx="5">
                  <c:v>38.988999999999997</c:v>
                </c:pt>
                <c:pt idx="6">
                  <c:v>40.222000000000001</c:v>
                </c:pt>
                <c:pt idx="7">
                  <c:v>40.409999999999997</c:v>
                </c:pt>
                <c:pt idx="8">
                  <c:v>40.439</c:v>
                </c:pt>
                <c:pt idx="9">
                  <c:v>40.427</c:v>
                </c:pt>
                <c:pt idx="10">
                  <c:v>40.487000000000002</c:v>
                </c:pt>
                <c:pt idx="11">
                  <c:v>40.552999999999997</c:v>
                </c:pt>
                <c:pt idx="12">
                  <c:v>40.314</c:v>
                </c:pt>
                <c:pt idx="13">
                  <c:v>40.365000000000002</c:v>
                </c:pt>
                <c:pt idx="14">
                  <c:v>38.926000000000002</c:v>
                </c:pt>
                <c:pt idx="15">
                  <c:v>38.704000000000001</c:v>
                </c:pt>
                <c:pt idx="16">
                  <c:v>40.473999999999997</c:v>
                </c:pt>
                <c:pt idx="17">
                  <c:v>40.462000000000003</c:v>
                </c:pt>
                <c:pt idx="18">
                  <c:v>40.317999999999998</c:v>
                </c:pt>
                <c:pt idx="19">
                  <c:v>39.825000000000003</c:v>
                </c:pt>
                <c:pt idx="20">
                  <c:v>40.253</c:v>
                </c:pt>
                <c:pt idx="21">
                  <c:v>39.026000000000003</c:v>
                </c:pt>
                <c:pt idx="22">
                  <c:v>39.960999999999999</c:v>
                </c:pt>
                <c:pt idx="23">
                  <c:v>39.988999999999997</c:v>
                </c:pt>
                <c:pt idx="24">
                  <c:v>39.689</c:v>
                </c:pt>
                <c:pt idx="25">
                  <c:v>39.844999999999999</c:v>
                </c:pt>
                <c:pt idx="26">
                  <c:v>39.869999999999997</c:v>
                </c:pt>
                <c:pt idx="27">
                  <c:v>39.457000000000001</c:v>
                </c:pt>
                <c:pt idx="28">
                  <c:v>39.511000000000003</c:v>
                </c:pt>
                <c:pt idx="29">
                  <c:v>39.957000000000001</c:v>
                </c:pt>
                <c:pt idx="30">
                  <c:v>40.07</c:v>
                </c:pt>
                <c:pt idx="31">
                  <c:v>39.895000000000003</c:v>
                </c:pt>
                <c:pt idx="32">
                  <c:v>39.909999999999997</c:v>
                </c:pt>
                <c:pt idx="33">
                  <c:v>39.22</c:v>
                </c:pt>
                <c:pt idx="34">
                  <c:v>39.770000000000003</c:v>
                </c:pt>
                <c:pt idx="35">
                  <c:v>40.360999999999997</c:v>
                </c:pt>
                <c:pt idx="36">
                  <c:v>40.235999999999997</c:v>
                </c:pt>
                <c:pt idx="37">
                  <c:v>40.515999999999998</c:v>
                </c:pt>
                <c:pt idx="38">
                  <c:v>40.46</c:v>
                </c:pt>
                <c:pt idx="39">
                  <c:v>40.21</c:v>
                </c:pt>
                <c:pt idx="40">
                  <c:v>40.24</c:v>
                </c:pt>
                <c:pt idx="41">
                  <c:v>40.25</c:v>
                </c:pt>
                <c:pt idx="42">
                  <c:v>39.979999999999997</c:v>
                </c:pt>
                <c:pt idx="43">
                  <c:v>38.254800000000003</c:v>
                </c:pt>
                <c:pt idx="44">
                  <c:v>38.081499999999998</c:v>
                </c:pt>
                <c:pt idx="45">
                  <c:v>38.6023</c:v>
                </c:pt>
              </c:numCache>
            </c:numRef>
          </c:yVal>
          <c:smooth val="0"/>
          <c:extLst>
            <c:ext xmlns:c16="http://schemas.microsoft.com/office/drawing/2014/chart" uri="{C3380CC4-5D6E-409C-BE32-E72D297353CC}">
              <c16:uniqueId val="{00000002-DD32-4108-AD6F-93F910B388DE}"/>
            </c:ext>
          </c:extLst>
        </c:ser>
        <c:ser>
          <c:idx val="3"/>
          <c:order val="3"/>
          <c:tx>
            <c:strRef>
              <c:f>data!$C$55:$C$71</c:f>
              <c:strCache>
                <c:ptCount val="17"/>
                <c:pt idx="0">
                  <c:v>WR</c:v>
                </c:pt>
                <c:pt idx="1">
                  <c:v>WR</c:v>
                </c:pt>
                <c:pt idx="2">
                  <c:v>WR</c:v>
                </c:pt>
                <c:pt idx="3">
                  <c:v>WR</c:v>
                </c:pt>
                <c:pt idx="4">
                  <c:v>WR</c:v>
                </c:pt>
                <c:pt idx="5">
                  <c:v>WR</c:v>
                </c:pt>
                <c:pt idx="6">
                  <c:v>WR</c:v>
                </c:pt>
                <c:pt idx="7">
                  <c:v>WR</c:v>
                </c:pt>
                <c:pt idx="8">
                  <c:v>WR</c:v>
                </c:pt>
                <c:pt idx="9">
                  <c:v>WR</c:v>
                </c:pt>
                <c:pt idx="10">
                  <c:v>WR</c:v>
                </c:pt>
                <c:pt idx="11">
                  <c:v>WR</c:v>
                </c:pt>
                <c:pt idx="12">
                  <c:v>WR</c:v>
                </c:pt>
                <c:pt idx="13">
                  <c:v>WR</c:v>
                </c:pt>
                <c:pt idx="14">
                  <c:v>WR</c:v>
                </c:pt>
                <c:pt idx="15">
                  <c:v>WR</c:v>
                </c:pt>
                <c:pt idx="16">
                  <c:v>WR</c:v>
                </c:pt>
              </c:strCache>
            </c:strRef>
          </c:tx>
          <c:spPr>
            <a:ln w="25400" cap="rnd">
              <a:noFill/>
              <a:round/>
            </a:ln>
            <a:effectLst/>
          </c:spPr>
          <c:marker>
            <c:symbol val="circle"/>
            <c:size val="3"/>
            <c:spPr>
              <a:solidFill>
                <a:schemeClr val="tx1"/>
              </a:solidFill>
              <a:ln w="9525">
                <a:solidFill>
                  <a:schemeClr val="tx1"/>
                </a:solidFill>
              </a:ln>
              <a:effectLst/>
            </c:spPr>
          </c:marker>
          <c:xVal>
            <c:numRef>
              <c:f>data!$F$55:$F$71</c:f>
              <c:numCache>
                <c:formatCode>0.000</c:formatCode>
                <c:ptCount val="17"/>
                <c:pt idx="0">
                  <c:v>19.375199500124662</c:v>
                </c:pt>
                <c:pt idx="1">
                  <c:v>19.111010006059416</c:v>
                </c:pt>
                <c:pt idx="2">
                  <c:v>19.03310218183875</c:v>
                </c:pt>
                <c:pt idx="3">
                  <c:v>19.070791222310721</c:v>
                </c:pt>
                <c:pt idx="4">
                  <c:v>19.508012499500559</c:v>
                </c:pt>
                <c:pt idx="5">
                  <c:v>19.989870022290912</c:v>
                </c:pt>
                <c:pt idx="6">
                  <c:v>19.589086668010282</c:v>
                </c:pt>
                <c:pt idx="7">
                  <c:v>19.870421346117556</c:v>
                </c:pt>
                <c:pt idx="8">
                  <c:v>19.616629847430112</c:v>
                </c:pt>
                <c:pt idx="9">
                  <c:v>19.896959071999333</c:v>
                </c:pt>
                <c:pt idx="10">
                  <c:v>19.091780741175722</c:v>
                </c:pt>
                <c:pt idx="11">
                  <c:v>19.083206581815105</c:v>
                </c:pt>
                <c:pt idx="12">
                  <c:v>19.092654987466961</c:v>
                </c:pt>
                <c:pt idx="13">
                  <c:v>19.494309877809727</c:v>
                </c:pt>
                <c:pt idx="14">
                  <c:v>20.332308913677746</c:v>
                </c:pt>
                <c:pt idx="15">
                  <c:v>20.297925873230909</c:v>
                </c:pt>
                <c:pt idx="16">
                  <c:v>20.133387301677274</c:v>
                </c:pt>
              </c:numCache>
            </c:numRef>
          </c:xVal>
          <c:yVal>
            <c:numRef>
              <c:f>data!$H$55:$H$71</c:f>
              <c:numCache>
                <c:formatCode>0.000</c:formatCode>
                <c:ptCount val="17"/>
                <c:pt idx="0">
                  <c:v>38.836889514653869</c:v>
                </c:pt>
                <c:pt idx="1">
                  <c:v>39.09748919191162</c:v>
                </c:pt>
                <c:pt idx="2">
                  <c:v>38.763632041942387</c:v>
                </c:pt>
                <c:pt idx="3">
                  <c:v>38.735959312977144</c:v>
                </c:pt>
                <c:pt idx="4">
                  <c:v>39.271444213480976</c:v>
                </c:pt>
                <c:pt idx="5">
                  <c:v>39.353859429363276</c:v>
                </c:pt>
                <c:pt idx="6">
                  <c:v>39.146441362750167</c:v>
                </c:pt>
                <c:pt idx="7">
                  <c:v>39.560062406342865</c:v>
                </c:pt>
                <c:pt idx="8">
                  <c:v>39.108727715782926</c:v>
                </c:pt>
                <c:pt idx="9">
                  <c:v>39.343066422016705</c:v>
                </c:pt>
                <c:pt idx="10">
                  <c:v>39.093343789797061</c:v>
                </c:pt>
                <c:pt idx="11">
                  <c:v>39.105328170484462</c:v>
                </c:pt>
                <c:pt idx="12">
                  <c:v>39.077711570872715</c:v>
                </c:pt>
                <c:pt idx="13">
                  <c:v>39.142309575415005</c:v>
                </c:pt>
                <c:pt idx="14">
                  <c:v>39.602591344345889</c:v>
                </c:pt>
                <c:pt idx="15">
                  <c:v>39.594106812858108</c:v>
                </c:pt>
                <c:pt idx="16">
                  <c:v>39.349700081360702</c:v>
                </c:pt>
              </c:numCache>
            </c:numRef>
          </c:yVal>
          <c:smooth val="0"/>
          <c:extLst>
            <c:ext xmlns:c16="http://schemas.microsoft.com/office/drawing/2014/chart" uri="{C3380CC4-5D6E-409C-BE32-E72D297353CC}">
              <c16:uniqueId val="{00000003-DD32-4108-AD6F-93F910B388DE}"/>
            </c:ext>
          </c:extLst>
        </c:ser>
        <c:ser>
          <c:idx val="4"/>
          <c:order val="4"/>
          <c:tx>
            <c:strRef>
              <c:f>data!$C$72:$C$74</c:f>
              <c:strCache>
                <c:ptCount val="3"/>
                <c:pt idx="0">
                  <c:v>mantle</c:v>
                </c:pt>
                <c:pt idx="1">
                  <c:v>mantle</c:v>
                </c:pt>
                <c:pt idx="2">
                  <c:v>mantle</c:v>
                </c:pt>
              </c:strCache>
            </c:strRef>
          </c:tx>
          <c:spPr>
            <a:ln w="25400" cap="rnd">
              <a:noFill/>
              <a:round/>
            </a:ln>
            <a:effectLst/>
          </c:spPr>
          <c:marker>
            <c:symbol val="circle"/>
            <c:size val="10"/>
            <c:spPr>
              <a:noFill/>
              <a:ln w="9525">
                <a:solidFill>
                  <a:schemeClr val="tx1"/>
                </a:solidFill>
              </a:ln>
              <a:effectLst/>
            </c:spPr>
          </c:marker>
          <c:xVal>
            <c:numRef>
              <c:f>data!$F$72:$F$74</c:f>
              <c:numCache>
                <c:formatCode>0.000</c:formatCode>
                <c:ptCount val="3"/>
                <c:pt idx="0">
                  <c:v>18</c:v>
                </c:pt>
                <c:pt idx="1">
                  <c:v>21.9</c:v>
                </c:pt>
                <c:pt idx="2">
                  <c:v>17.399999999999999</c:v>
                </c:pt>
              </c:numCache>
            </c:numRef>
          </c:xVal>
          <c:yVal>
            <c:numRef>
              <c:f>data!$H$72:$H$74</c:f>
              <c:numCache>
                <c:formatCode>0.000</c:formatCode>
                <c:ptCount val="3"/>
                <c:pt idx="0">
                  <c:v>37.5</c:v>
                </c:pt>
                <c:pt idx="1">
                  <c:v>40.75</c:v>
                </c:pt>
                <c:pt idx="2">
                  <c:v>38.299999999999997</c:v>
                </c:pt>
              </c:numCache>
            </c:numRef>
          </c:yVal>
          <c:smooth val="0"/>
          <c:extLst>
            <c:ext xmlns:c16="http://schemas.microsoft.com/office/drawing/2014/chart" uri="{C3380CC4-5D6E-409C-BE32-E72D297353CC}">
              <c16:uniqueId val="{00000004-DD32-4108-AD6F-93F910B388DE}"/>
            </c:ext>
          </c:extLst>
        </c:ser>
        <c:dLbls>
          <c:showLegendKey val="0"/>
          <c:showVal val="0"/>
          <c:showCatName val="0"/>
          <c:showSerName val="0"/>
          <c:showPercent val="0"/>
          <c:showBubbleSize val="0"/>
        </c:dLbls>
        <c:axId val="519143656"/>
        <c:axId val="519145952"/>
      </c:scatterChart>
      <c:valAx>
        <c:axId val="519143656"/>
        <c:scaling>
          <c:orientation val="minMax"/>
          <c:min val="17"/>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206</a:t>
                </a:r>
                <a:r>
                  <a:rPr lang="en-GB" sz="1200" baseline="0">
                    <a:solidFill>
                      <a:schemeClr val="tx1"/>
                    </a:solidFill>
                  </a:rPr>
                  <a:t>Pb/</a:t>
                </a:r>
                <a:r>
                  <a:rPr lang="en-GB" sz="1200" baseline="30000">
                    <a:solidFill>
                      <a:schemeClr val="tx1"/>
                    </a:solidFill>
                  </a:rPr>
                  <a:t>204</a:t>
                </a:r>
                <a:r>
                  <a:rPr lang="en-GB" sz="1200" baseline="0">
                    <a:solidFill>
                      <a:schemeClr val="tx1"/>
                    </a:solidFill>
                  </a:rPr>
                  <a:t>Pb</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9145952"/>
        <c:crosses val="autoZero"/>
        <c:crossBetween val="midCat"/>
      </c:valAx>
      <c:valAx>
        <c:axId val="5191459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208</a:t>
                </a:r>
                <a:r>
                  <a:rPr lang="en-GB" sz="1200" baseline="0">
                    <a:solidFill>
                      <a:schemeClr val="tx1"/>
                    </a:solidFill>
                  </a:rPr>
                  <a:t>Pb/</a:t>
                </a:r>
                <a:r>
                  <a:rPr lang="en-GB" sz="1200" baseline="30000">
                    <a:solidFill>
                      <a:schemeClr val="tx1"/>
                    </a:solidFill>
                  </a:rPr>
                  <a:t>204</a:t>
                </a:r>
                <a:r>
                  <a:rPr lang="en-GB" sz="1200" baseline="0">
                    <a:solidFill>
                      <a:schemeClr val="tx1"/>
                    </a:solidFill>
                  </a:rPr>
                  <a:t>Pb</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9143656"/>
        <c:crosses val="autoZero"/>
        <c:crossBetween val="midCat"/>
        <c:majorUnit val="1"/>
      </c:valAx>
      <c:spPr>
        <a:noFill/>
        <a:ln w="190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data!$C$2:$C$5</c:f>
              <c:strCache>
                <c:ptCount val="4"/>
                <c:pt idx="0">
                  <c:v>TCC</c:v>
                </c:pt>
                <c:pt idx="1">
                  <c:v>TCC</c:v>
                </c:pt>
                <c:pt idx="2">
                  <c:v>TCC</c:v>
                </c:pt>
                <c:pt idx="3">
                  <c:v>TCC</c:v>
                </c:pt>
              </c:strCache>
            </c:strRef>
          </c:tx>
          <c:spPr>
            <a:ln w="19050" cap="rnd">
              <a:noFill/>
              <a:round/>
            </a:ln>
            <a:effectLst/>
          </c:spPr>
          <c:marker>
            <c:symbol val="plus"/>
            <c:size val="8"/>
            <c:spPr>
              <a:noFill/>
              <a:ln w="9525">
                <a:solidFill>
                  <a:schemeClr val="tx1"/>
                </a:solidFill>
              </a:ln>
              <a:effectLst/>
            </c:spPr>
          </c:marker>
          <c:xVal>
            <c:numRef>
              <c:f>data!$F$2:$F$5</c:f>
              <c:numCache>
                <c:formatCode>0.000</c:formatCode>
                <c:ptCount val="4"/>
                <c:pt idx="0">
                  <c:v>20.273072563846654</c:v>
                </c:pt>
                <c:pt idx="1">
                  <c:v>20.507357635027464</c:v>
                </c:pt>
                <c:pt idx="2">
                  <c:v>20.430357635027462</c:v>
                </c:pt>
                <c:pt idx="3">
                  <c:v>20.273290519863256</c:v>
                </c:pt>
              </c:numCache>
            </c:numRef>
          </c:xVal>
          <c:yVal>
            <c:numRef>
              <c:f>data!$N$2:$N$5</c:f>
              <c:numCache>
                <c:formatCode>0.000000</c:formatCode>
                <c:ptCount val="4"/>
                <c:pt idx="0">
                  <c:v>0.70494571007402418</c:v>
                </c:pt>
                <c:pt idx="1">
                  <c:v>0.70403875552188644</c:v>
                </c:pt>
                <c:pt idx="2">
                  <c:v>0.70457375552188628</c:v>
                </c:pt>
                <c:pt idx="3">
                  <c:v>0.70433531033347363</c:v>
                </c:pt>
              </c:numCache>
            </c:numRef>
          </c:yVal>
          <c:smooth val="0"/>
          <c:extLst>
            <c:ext xmlns:c16="http://schemas.microsoft.com/office/drawing/2014/chart" uri="{C3380CC4-5D6E-409C-BE32-E72D297353CC}">
              <c16:uniqueId val="{00000000-E959-4792-8B48-C7FB1A3B309D}"/>
            </c:ext>
          </c:extLst>
        </c:ser>
        <c:ser>
          <c:idx val="1"/>
          <c:order val="1"/>
          <c:tx>
            <c:strRef>
              <c:f>data!$C$6:$C$8</c:f>
              <c:strCache>
                <c:ptCount val="3"/>
                <c:pt idx="0">
                  <c:v>DW</c:v>
                </c:pt>
                <c:pt idx="1">
                  <c:v>DW</c:v>
                </c:pt>
                <c:pt idx="2">
                  <c:v>DW</c:v>
                </c:pt>
              </c:strCache>
            </c:strRef>
          </c:tx>
          <c:spPr>
            <a:ln w="25400" cap="rnd">
              <a:noFill/>
              <a:round/>
            </a:ln>
            <a:effectLst/>
          </c:spPr>
          <c:marker>
            <c:symbol val="x"/>
            <c:size val="8"/>
            <c:spPr>
              <a:noFill/>
              <a:ln w="9525">
                <a:solidFill>
                  <a:schemeClr val="tx1"/>
                </a:solidFill>
              </a:ln>
              <a:effectLst/>
            </c:spPr>
          </c:marker>
          <c:xVal>
            <c:numRef>
              <c:f>data!$F$6:$F$8</c:f>
              <c:numCache>
                <c:formatCode>0.000</c:formatCode>
                <c:ptCount val="3"/>
                <c:pt idx="0">
                  <c:v>20.952000000000002</c:v>
                </c:pt>
                <c:pt idx="1">
                  <c:v>20.919</c:v>
                </c:pt>
                <c:pt idx="2">
                  <c:v>20.681999999999999</c:v>
                </c:pt>
              </c:numCache>
            </c:numRef>
          </c:xVal>
          <c:yVal>
            <c:numRef>
              <c:f>data!$N$6:$N$8</c:f>
              <c:numCache>
                <c:formatCode>0.000000</c:formatCode>
                <c:ptCount val="3"/>
                <c:pt idx="0">
                  <c:v>0.70326999999999995</c:v>
                </c:pt>
                <c:pt idx="1">
                  <c:v>0.70345000000000002</c:v>
                </c:pt>
                <c:pt idx="2">
                  <c:v>0.70335999999999999</c:v>
                </c:pt>
              </c:numCache>
            </c:numRef>
          </c:yVal>
          <c:smooth val="0"/>
          <c:extLst>
            <c:ext xmlns:c16="http://schemas.microsoft.com/office/drawing/2014/chart" uri="{C3380CC4-5D6E-409C-BE32-E72D297353CC}">
              <c16:uniqueId val="{00000001-E959-4792-8B48-C7FB1A3B309D}"/>
            </c:ext>
          </c:extLst>
        </c:ser>
        <c:ser>
          <c:idx val="2"/>
          <c:order val="2"/>
          <c:tx>
            <c:strRef>
              <c:f>data!$C$9:$C$51</c:f>
              <c:strCache>
                <c:ptCount val="43"/>
                <c:pt idx="0">
                  <c:v>EAC</c:v>
                </c:pt>
                <c:pt idx="1">
                  <c:v>EAC</c:v>
                </c:pt>
                <c:pt idx="2">
                  <c:v>EAC</c:v>
                </c:pt>
                <c:pt idx="3">
                  <c:v>EAC</c:v>
                </c:pt>
                <c:pt idx="4">
                  <c:v>EAC</c:v>
                </c:pt>
                <c:pt idx="5">
                  <c:v>EAC</c:v>
                </c:pt>
                <c:pt idx="6">
                  <c:v>EAC</c:v>
                </c:pt>
                <c:pt idx="7">
                  <c:v>EAC</c:v>
                </c:pt>
                <c:pt idx="8">
                  <c:v>EAC</c:v>
                </c:pt>
                <c:pt idx="9">
                  <c:v>EAC</c:v>
                </c:pt>
                <c:pt idx="10">
                  <c:v>EAC</c:v>
                </c:pt>
                <c:pt idx="11">
                  <c:v>EAC</c:v>
                </c:pt>
                <c:pt idx="12">
                  <c:v>EAC</c:v>
                </c:pt>
                <c:pt idx="13">
                  <c:v>EAC</c:v>
                </c:pt>
                <c:pt idx="14">
                  <c:v>EAC</c:v>
                </c:pt>
                <c:pt idx="15">
                  <c:v>EAC</c:v>
                </c:pt>
                <c:pt idx="16">
                  <c:v>EAC</c:v>
                </c:pt>
                <c:pt idx="17">
                  <c:v>EAC</c:v>
                </c:pt>
                <c:pt idx="18">
                  <c:v>EAC</c:v>
                </c:pt>
                <c:pt idx="19">
                  <c:v>EAC</c:v>
                </c:pt>
                <c:pt idx="20">
                  <c:v>EAC</c:v>
                </c:pt>
                <c:pt idx="21">
                  <c:v>EAC</c:v>
                </c:pt>
                <c:pt idx="22">
                  <c:v>EAC</c:v>
                </c:pt>
                <c:pt idx="23">
                  <c:v>EAC</c:v>
                </c:pt>
                <c:pt idx="24">
                  <c:v>EAC</c:v>
                </c:pt>
                <c:pt idx="25">
                  <c:v>EAC</c:v>
                </c:pt>
                <c:pt idx="26">
                  <c:v>EAC</c:v>
                </c:pt>
                <c:pt idx="27">
                  <c:v>EAC</c:v>
                </c:pt>
                <c:pt idx="28">
                  <c:v>EAC</c:v>
                </c:pt>
                <c:pt idx="29">
                  <c:v>EAC</c:v>
                </c:pt>
                <c:pt idx="30">
                  <c:v>EAC</c:v>
                </c:pt>
                <c:pt idx="31">
                  <c:v>EAC</c:v>
                </c:pt>
                <c:pt idx="32">
                  <c:v>EAC</c:v>
                </c:pt>
                <c:pt idx="33">
                  <c:v>EAC</c:v>
                </c:pt>
                <c:pt idx="34">
                  <c:v>EAC</c:v>
                </c:pt>
                <c:pt idx="35">
                  <c:v>EAC</c:v>
                </c:pt>
                <c:pt idx="36">
                  <c:v>EAC</c:v>
                </c:pt>
                <c:pt idx="37">
                  <c:v>EAC</c:v>
                </c:pt>
                <c:pt idx="38">
                  <c:v>EAC</c:v>
                </c:pt>
                <c:pt idx="39">
                  <c:v>EAC</c:v>
                </c:pt>
                <c:pt idx="40">
                  <c:v>EAC</c:v>
                </c:pt>
                <c:pt idx="41">
                  <c:v>EAC</c:v>
                </c:pt>
                <c:pt idx="42">
                  <c:v>EAC</c:v>
                </c:pt>
              </c:strCache>
            </c:strRef>
          </c:tx>
          <c:spPr>
            <a:ln w="25400" cap="rnd">
              <a:noFill/>
              <a:round/>
            </a:ln>
            <a:effectLst/>
          </c:spPr>
          <c:marker>
            <c:symbol val="circle"/>
            <c:size val="3"/>
            <c:spPr>
              <a:noFill/>
              <a:ln w="9525">
                <a:solidFill>
                  <a:schemeClr val="tx1"/>
                </a:solidFill>
              </a:ln>
              <a:effectLst/>
            </c:spPr>
          </c:marker>
          <c:xVal>
            <c:numRef>
              <c:f>data!$F$9:$F$51</c:f>
              <c:numCache>
                <c:formatCode>0.000</c:formatCode>
                <c:ptCount val="43"/>
                <c:pt idx="0">
                  <c:v>19.420999999999999</c:v>
                </c:pt>
                <c:pt idx="1">
                  <c:v>19.212</c:v>
                </c:pt>
                <c:pt idx="2">
                  <c:v>19.201000000000001</c:v>
                </c:pt>
                <c:pt idx="3">
                  <c:v>19.469000000000001</c:v>
                </c:pt>
                <c:pt idx="4">
                  <c:v>18.462</c:v>
                </c:pt>
                <c:pt idx="5">
                  <c:v>18.597000000000001</c:v>
                </c:pt>
                <c:pt idx="6">
                  <c:v>21.562000000000001</c:v>
                </c:pt>
                <c:pt idx="7">
                  <c:v>21.094999999999999</c:v>
                </c:pt>
                <c:pt idx="8">
                  <c:v>21.108000000000001</c:v>
                </c:pt>
                <c:pt idx="9">
                  <c:v>21.148</c:v>
                </c:pt>
                <c:pt idx="10">
                  <c:v>21.103999999999999</c:v>
                </c:pt>
                <c:pt idx="11">
                  <c:v>21.16</c:v>
                </c:pt>
                <c:pt idx="12">
                  <c:v>20.71</c:v>
                </c:pt>
                <c:pt idx="13">
                  <c:v>20.992000000000001</c:v>
                </c:pt>
                <c:pt idx="14">
                  <c:v>18.571000000000002</c:v>
                </c:pt>
                <c:pt idx="15">
                  <c:v>18.847000000000001</c:v>
                </c:pt>
                <c:pt idx="16">
                  <c:v>20.817</c:v>
                </c:pt>
                <c:pt idx="17">
                  <c:v>20.847999999999999</c:v>
                </c:pt>
                <c:pt idx="18">
                  <c:v>20.648</c:v>
                </c:pt>
                <c:pt idx="19">
                  <c:v>20.164999999999999</c:v>
                </c:pt>
                <c:pt idx="20">
                  <c:v>20.41</c:v>
                </c:pt>
                <c:pt idx="21">
                  <c:v>18.718</c:v>
                </c:pt>
                <c:pt idx="22">
                  <c:v>20.256</c:v>
                </c:pt>
                <c:pt idx="23">
                  <c:v>20.216000000000001</c:v>
                </c:pt>
                <c:pt idx="24">
                  <c:v>20.05</c:v>
                </c:pt>
                <c:pt idx="25">
                  <c:v>20.173999999999999</c:v>
                </c:pt>
                <c:pt idx="26">
                  <c:v>20.218</c:v>
                </c:pt>
                <c:pt idx="27">
                  <c:v>19.72</c:v>
                </c:pt>
                <c:pt idx="28">
                  <c:v>19.879000000000001</c:v>
                </c:pt>
                <c:pt idx="29">
                  <c:v>20.257000000000001</c:v>
                </c:pt>
                <c:pt idx="30">
                  <c:v>20.303000000000001</c:v>
                </c:pt>
                <c:pt idx="31">
                  <c:v>20.343</c:v>
                </c:pt>
                <c:pt idx="32">
                  <c:v>20.221</c:v>
                </c:pt>
                <c:pt idx="33">
                  <c:v>19.271999999999998</c:v>
                </c:pt>
                <c:pt idx="34">
                  <c:v>20.058</c:v>
                </c:pt>
                <c:pt idx="35">
                  <c:v>20.809000000000001</c:v>
                </c:pt>
                <c:pt idx="36">
                  <c:v>20.712</c:v>
                </c:pt>
                <c:pt idx="37">
                  <c:v>20.907</c:v>
                </c:pt>
                <c:pt idx="38">
                  <c:v>20.399999999999999</c:v>
                </c:pt>
                <c:pt idx="39">
                  <c:v>20.47</c:v>
                </c:pt>
                <c:pt idx="40">
                  <c:v>20.010000000000002</c:v>
                </c:pt>
                <c:pt idx="41">
                  <c:v>20.100000000000001</c:v>
                </c:pt>
                <c:pt idx="42">
                  <c:v>20.05</c:v>
                </c:pt>
              </c:numCache>
            </c:numRef>
          </c:xVal>
          <c:yVal>
            <c:numRef>
              <c:f>data!$N$9:$N$54</c:f>
              <c:numCache>
                <c:formatCode>0.000000</c:formatCode>
                <c:ptCount val="46"/>
                <c:pt idx="0">
                  <c:v>0.70416999999999996</c:v>
                </c:pt>
                <c:pt idx="1">
                  <c:v>0.70445000000000002</c:v>
                </c:pt>
                <c:pt idx="2">
                  <c:v>0.70442000000000005</c:v>
                </c:pt>
                <c:pt idx="3">
                  <c:v>0.70416999999999996</c:v>
                </c:pt>
                <c:pt idx="4">
                  <c:v>0.70501999999999998</c:v>
                </c:pt>
                <c:pt idx="5">
                  <c:v>0.70504999999999995</c:v>
                </c:pt>
                <c:pt idx="6">
                  <c:v>0.70315000000000005</c:v>
                </c:pt>
                <c:pt idx="7">
                  <c:v>0.70306999999999997</c:v>
                </c:pt>
                <c:pt idx="8">
                  <c:v>0.70311999999999997</c:v>
                </c:pt>
                <c:pt idx="9">
                  <c:v>0.70311000000000001</c:v>
                </c:pt>
                <c:pt idx="10">
                  <c:v>0.70311000000000001</c:v>
                </c:pt>
                <c:pt idx="11">
                  <c:v>0.70326</c:v>
                </c:pt>
                <c:pt idx="12">
                  <c:v>0.7036</c:v>
                </c:pt>
                <c:pt idx="13">
                  <c:v>0.70396000000000003</c:v>
                </c:pt>
                <c:pt idx="14">
                  <c:v>0.70423000000000002</c:v>
                </c:pt>
                <c:pt idx="15">
                  <c:v>0.70442000000000005</c:v>
                </c:pt>
                <c:pt idx="16">
                  <c:v>0.70391300000000001</c:v>
                </c:pt>
                <c:pt idx="17">
                  <c:v>0.70391099999999995</c:v>
                </c:pt>
                <c:pt idx="18">
                  <c:v>0.70405899999999999</c:v>
                </c:pt>
                <c:pt idx="19">
                  <c:v>0.70326599999999995</c:v>
                </c:pt>
                <c:pt idx="20">
                  <c:v>0.70348599999999994</c:v>
                </c:pt>
                <c:pt idx="21">
                  <c:v>0.70515000000000005</c:v>
                </c:pt>
                <c:pt idx="22">
                  <c:v>0.70436200000000004</c:v>
                </c:pt>
                <c:pt idx="23">
                  <c:v>0.704156</c:v>
                </c:pt>
                <c:pt idx="24">
                  <c:v>0.70407299999999995</c:v>
                </c:pt>
                <c:pt idx="25">
                  <c:v>0.70389500000000005</c:v>
                </c:pt>
                <c:pt idx="26">
                  <c:v>0.703959</c:v>
                </c:pt>
                <c:pt idx="27">
                  <c:v>0.70392999999999994</c:v>
                </c:pt>
                <c:pt idx="28">
                  <c:v>0.70398700000000003</c:v>
                </c:pt>
                <c:pt idx="29">
                  <c:v>0.70380600000000004</c:v>
                </c:pt>
                <c:pt idx="30">
                  <c:v>0.70384500000000005</c:v>
                </c:pt>
                <c:pt idx="31">
                  <c:v>0.70395799999999997</c:v>
                </c:pt>
                <c:pt idx="32">
                  <c:v>0.70397900000000002</c:v>
                </c:pt>
                <c:pt idx="33">
                  <c:v>0.70387200000000005</c:v>
                </c:pt>
                <c:pt idx="34">
                  <c:v>0.70417300000000005</c:v>
                </c:pt>
                <c:pt idx="35">
                  <c:v>0.70397500000000002</c:v>
                </c:pt>
                <c:pt idx="36">
                  <c:v>0.70396700000000001</c:v>
                </c:pt>
                <c:pt idx="37">
                  <c:v>0.70400300000000005</c:v>
                </c:pt>
                <c:pt idx="38">
                  <c:v>0.70323000000000002</c:v>
                </c:pt>
                <c:pt idx="39">
                  <c:v>0.70323000000000002</c:v>
                </c:pt>
                <c:pt idx="40">
                  <c:v>0.70394999999999996</c:v>
                </c:pt>
                <c:pt idx="41">
                  <c:v>0.70435999999999999</c:v>
                </c:pt>
                <c:pt idx="42">
                  <c:v>0.70445000000000002</c:v>
                </c:pt>
                <c:pt idx="43">
                  <c:v>0.70462000000000002</c:v>
                </c:pt>
                <c:pt idx="44">
                  <c:v>0.70458799999999999</c:v>
                </c:pt>
                <c:pt idx="45">
                  <c:v>0.70460100000000003</c:v>
                </c:pt>
              </c:numCache>
            </c:numRef>
          </c:yVal>
          <c:smooth val="0"/>
          <c:extLst>
            <c:ext xmlns:c16="http://schemas.microsoft.com/office/drawing/2014/chart" uri="{C3380CC4-5D6E-409C-BE32-E72D297353CC}">
              <c16:uniqueId val="{00000002-E959-4792-8B48-C7FB1A3B309D}"/>
            </c:ext>
          </c:extLst>
        </c:ser>
        <c:ser>
          <c:idx val="3"/>
          <c:order val="3"/>
          <c:tx>
            <c:strRef>
              <c:f>data!$C$55:$C$71</c:f>
              <c:strCache>
                <c:ptCount val="17"/>
                <c:pt idx="0">
                  <c:v>WR</c:v>
                </c:pt>
                <c:pt idx="1">
                  <c:v>WR</c:v>
                </c:pt>
                <c:pt idx="2">
                  <c:v>WR</c:v>
                </c:pt>
                <c:pt idx="3">
                  <c:v>WR</c:v>
                </c:pt>
                <c:pt idx="4">
                  <c:v>WR</c:v>
                </c:pt>
                <c:pt idx="5">
                  <c:v>WR</c:v>
                </c:pt>
                <c:pt idx="6">
                  <c:v>WR</c:v>
                </c:pt>
                <c:pt idx="7">
                  <c:v>WR</c:v>
                </c:pt>
                <c:pt idx="8">
                  <c:v>WR</c:v>
                </c:pt>
                <c:pt idx="9">
                  <c:v>WR</c:v>
                </c:pt>
                <c:pt idx="10">
                  <c:v>WR</c:v>
                </c:pt>
                <c:pt idx="11">
                  <c:v>WR</c:v>
                </c:pt>
                <c:pt idx="12">
                  <c:v>WR</c:v>
                </c:pt>
                <c:pt idx="13">
                  <c:v>WR</c:v>
                </c:pt>
                <c:pt idx="14">
                  <c:v>WR</c:v>
                </c:pt>
                <c:pt idx="15">
                  <c:v>WR</c:v>
                </c:pt>
                <c:pt idx="16">
                  <c:v>WR</c:v>
                </c:pt>
              </c:strCache>
            </c:strRef>
          </c:tx>
          <c:spPr>
            <a:ln w="25400" cap="rnd">
              <a:noFill/>
              <a:round/>
            </a:ln>
            <a:effectLst/>
          </c:spPr>
          <c:marker>
            <c:symbol val="circle"/>
            <c:size val="3"/>
            <c:spPr>
              <a:solidFill>
                <a:schemeClr val="tx1"/>
              </a:solidFill>
              <a:ln w="9525">
                <a:solidFill>
                  <a:schemeClr val="tx1"/>
                </a:solidFill>
              </a:ln>
              <a:effectLst/>
            </c:spPr>
          </c:marker>
          <c:xVal>
            <c:numRef>
              <c:f>data!$F$55:$F$71</c:f>
              <c:numCache>
                <c:formatCode>0.000</c:formatCode>
                <c:ptCount val="17"/>
                <c:pt idx="0">
                  <c:v>19.375199500124662</c:v>
                </c:pt>
                <c:pt idx="1">
                  <c:v>19.111010006059416</c:v>
                </c:pt>
                <c:pt idx="2">
                  <c:v>19.03310218183875</c:v>
                </c:pt>
                <c:pt idx="3">
                  <c:v>19.070791222310721</c:v>
                </c:pt>
                <c:pt idx="4">
                  <c:v>19.508012499500559</c:v>
                </c:pt>
                <c:pt idx="5">
                  <c:v>19.989870022290912</c:v>
                </c:pt>
                <c:pt idx="6">
                  <c:v>19.589086668010282</c:v>
                </c:pt>
                <c:pt idx="7">
                  <c:v>19.870421346117556</c:v>
                </c:pt>
                <c:pt idx="8">
                  <c:v>19.616629847430112</c:v>
                </c:pt>
                <c:pt idx="9">
                  <c:v>19.896959071999333</c:v>
                </c:pt>
                <c:pt idx="10">
                  <c:v>19.091780741175722</c:v>
                </c:pt>
                <c:pt idx="11">
                  <c:v>19.083206581815105</c:v>
                </c:pt>
                <c:pt idx="12">
                  <c:v>19.092654987466961</c:v>
                </c:pt>
                <c:pt idx="13">
                  <c:v>19.494309877809727</c:v>
                </c:pt>
                <c:pt idx="14">
                  <c:v>20.332308913677746</c:v>
                </c:pt>
                <c:pt idx="15">
                  <c:v>20.297925873230909</c:v>
                </c:pt>
                <c:pt idx="16">
                  <c:v>20.133387301677274</c:v>
                </c:pt>
              </c:numCache>
            </c:numRef>
          </c:xVal>
          <c:yVal>
            <c:numRef>
              <c:f>data!$N$55:$N$71</c:f>
              <c:numCache>
                <c:formatCode>0.000000</c:formatCode>
                <c:ptCount val="17"/>
                <c:pt idx="0">
                  <c:v>0.70266289061801002</c:v>
                </c:pt>
                <c:pt idx="1">
                  <c:v>0.70304875058802385</c:v>
                </c:pt>
                <c:pt idx="2">
                  <c:v>0.70291050951077405</c:v>
                </c:pt>
                <c:pt idx="3">
                  <c:v>0.70291942718987188</c:v>
                </c:pt>
                <c:pt idx="4">
                  <c:v>0.70317676363546044</c:v>
                </c:pt>
                <c:pt idx="5">
                  <c:v>0.70272083620531756</c:v>
                </c:pt>
                <c:pt idx="6">
                  <c:v>0.70290832802574232</c:v>
                </c:pt>
                <c:pt idx="7">
                  <c:v>0.70291589879399041</c:v>
                </c:pt>
                <c:pt idx="8">
                  <c:v>0.70364287819235294</c:v>
                </c:pt>
                <c:pt idx="9">
                  <c:v>0.70306325395644231</c:v>
                </c:pt>
                <c:pt idx="10">
                  <c:v>0.70302494164059881</c:v>
                </c:pt>
                <c:pt idx="11">
                  <c:v>0.7029895999877761</c:v>
                </c:pt>
                <c:pt idx="12">
                  <c:v>0.70302323415418222</c:v>
                </c:pt>
                <c:pt idx="13">
                  <c:v>0.70285362656974326</c:v>
                </c:pt>
                <c:pt idx="14">
                  <c:v>0.70289205562818946</c:v>
                </c:pt>
                <c:pt idx="15">
                  <c:v>0.7028666832152044</c:v>
                </c:pt>
                <c:pt idx="16">
                  <c:v>0.7027716932687893</c:v>
                </c:pt>
              </c:numCache>
            </c:numRef>
          </c:yVal>
          <c:smooth val="0"/>
          <c:extLst>
            <c:ext xmlns:c16="http://schemas.microsoft.com/office/drawing/2014/chart" uri="{C3380CC4-5D6E-409C-BE32-E72D297353CC}">
              <c16:uniqueId val="{00000003-E959-4792-8B48-C7FB1A3B309D}"/>
            </c:ext>
          </c:extLst>
        </c:ser>
        <c:ser>
          <c:idx val="4"/>
          <c:order val="4"/>
          <c:tx>
            <c:strRef>
              <c:f>data!$C$72:$C$74</c:f>
              <c:strCache>
                <c:ptCount val="3"/>
                <c:pt idx="0">
                  <c:v>mantle</c:v>
                </c:pt>
                <c:pt idx="1">
                  <c:v>mantle</c:v>
                </c:pt>
                <c:pt idx="2">
                  <c:v>mantle</c:v>
                </c:pt>
              </c:strCache>
            </c:strRef>
          </c:tx>
          <c:spPr>
            <a:ln w="25400" cap="rnd">
              <a:noFill/>
              <a:round/>
            </a:ln>
            <a:effectLst/>
          </c:spPr>
          <c:marker>
            <c:symbol val="circle"/>
            <c:size val="10"/>
            <c:spPr>
              <a:noFill/>
              <a:ln w="9525">
                <a:solidFill>
                  <a:schemeClr val="tx1"/>
                </a:solidFill>
              </a:ln>
              <a:effectLst/>
            </c:spPr>
          </c:marker>
          <c:xVal>
            <c:numRef>
              <c:f>data!$F$72:$F$74</c:f>
              <c:numCache>
                <c:formatCode>0.000</c:formatCode>
                <c:ptCount val="3"/>
                <c:pt idx="0">
                  <c:v>18</c:v>
                </c:pt>
                <c:pt idx="1">
                  <c:v>21.9</c:v>
                </c:pt>
                <c:pt idx="2">
                  <c:v>17.399999999999999</c:v>
                </c:pt>
              </c:numCache>
            </c:numRef>
          </c:xVal>
          <c:yVal>
            <c:numRef>
              <c:f>data!$D$72:$D$74</c:f>
              <c:numCache>
                <c:formatCode>0.000000</c:formatCode>
                <c:ptCount val="3"/>
                <c:pt idx="0">
                  <c:v>0.70223999999999998</c:v>
                </c:pt>
                <c:pt idx="1">
                  <c:v>0.70274999999999999</c:v>
                </c:pt>
                <c:pt idx="2">
                  <c:v>0.70530000000000004</c:v>
                </c:pt>
              </c:numCache>
            </c:numRef>
          </c:yVal>
          <c:smooth val="0"/>
          <c:extLst>
            <c:ext xmlns:c16="http://schemas.microsoft.com/office/drawing/2014/chart" uri="{C3380CC4-5D6E-409C-BE32-E72D297353CC}">
              <c16:uniqueId val="{00000004-E959-4792-8B48-C7FB1A3B309D}"/>
            </c:ext>
          </c:extLst>
        </c:ser>
        <c:dLbls>
          <c:showLegendKey val="0"/>
          <c:showVal val="0"/>
          <c:showCatName val="0"/>
          <c:showSerName val="0"/>
          <c:showPercent val="0"/>
          <c:showBubbleSize val="0"/>
        </c:dLbls>
        <c:axId val="44883976"/>
        <c:axId val="44882008"/>
      </c:scatterChart>
      <c:valAx>
        <c:axId val="44883976"/>
        <c:scaling>
          <c:orientation val="minMax"/>
          <c:min val="17"/>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206</a:t>
                </a:r>
                <a:r>
                  <a:rPr lang="en-GB" sz="1200" baseline="0">
                    <a:solidFill>
                      <a:schemeClr val="tx1"/>
                    </a:solidFill>
                  </a:rPr>
                  <a:t>Pb/</a:t>
                </a:r>
                <a:r>
                  <a:rPr lang="en-GB" sz="1200" baseline="30000">
                    <a:solidFill>
                      <a:schemeClr val="tx1"/>
                    </a:solidFill>
                  </a:rPr>
                  <a:t>204</a:t>
                </a:r>
                <a:r>
                  <a:rPr lang="en-GB" sz="1200" baseline="0">
                    <a:solidFill>
                      <a:schemeClr val="tx1"/>
                    </a:solidFill>
                  </a:rPr>
                  <a:t>Pb</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4882008"/>
        <c:crosses val="autoZero"/>
        <c:crossBetween val="midCat"/>
      </c:valAx>
      <c:valAx>
        <c:axId val="44882008"/>
        <c:scaling>
          <c:orientation val="minMax"/>
          <c:max val="0.70600000000000007"/>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87</a:t>
                </a:r>
                <a:r>
                  <a:rPr lang="en-GB" sz="1200" baseline="0">
                    <a:solidFill>
                      <a:schemeClr val="tx1"/>
                    </a:solidFill>
                  </a:rPr>
                  <a:t>Sr/</a:t>
                </a:r>
                <a:r>
                  <a:rPr lang="en-GB" sz="1200" baseline="30000">
                    <a:solidFill>
                      <a:schemeClr val="tx1"/>
                    </a:solidFill>
                  </a:rPr>
                  <a:t>86</a:t>
                </a:r>
                <a:r>
                  <a:rPr lang="en-GB" sz="1200" baseline="0">
                    <a:solidFill>
                      <a:schemeClr val="tx1"/>
                    </a:solidFill>
                  </a:rPr>
                  <a:t>Sr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4883976"/>
        <c:crosses val="autoZero"/>
        <c:crossBetween val="midCat"/>
        <c:majorUnit val="1.0000000000000002E-3"/>
      </c:valAx>
      <c:spPr>
        <a:noFill/>
        <a:ln w="190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data!$C$2:$C$5</c:f>
              <c:strCache>
                <c:ptCount val="4"/>
                <c:pt idx="0">
                  <c:v>TCC</c:v>
                </c:pt>
                <c:pt idx="1">
                  <c:v>TCC</c:v>
                </c:pt>
                <c:pt idx="2">
                  <c:v>TCC</c:v>
                </c:pt>
                <c:pt idx="3">
                  <c:v>TCC</c:v>
                </c:pt>
              </c:strCache>
            </c:strRef>
          </c:tx>
          <c:spPr>
            <a:ln w="25400" cap="rnd">
              <a:noFill/>
              <a:round/>
            </a:ln>
            <a:effectLst/>
          </c:spPr>
          <c:marker>
            <c:symbol val="plus"/>
            <c:size val="8"/>
            <c:spPr>
              <a:noFill/>
              <a:ln w="9525">
                <a:solidFill>
                  <a:schemeClr val="tx1"/>
                </a:solidFill>
              </a:ln>
              <a:effectLst/>
            </c:spPr>
          </c:marker>
          <c:xVal>
            <c:numRef>
              <c:f>data!$F$2:$F$5</c:f>
              <c:numCache>
                <c:formatCode>0.000</c:formatCode>
                <c:ptCount val="4"/>
                <c:pt idx="0">
                  <c:v>20.273072563846654</c:v>
                </c:pt>
                <c:pt idx="1">
                  <c:v>20.507357635027464</c:v>
                </c:pt>
                <c:pt idx="2">
                  <c:v>20.430357635027462</c:v>
                </c:pt>
                <c:pt idx="3">
                  <c:v>20.273290519863256</c:v>
                </c:pt>
              </c:numCache>
            </c:numRef>
          </c:xVal>
          <c:yVal>
            <c:numRef>
              <c:f>data!$E$2:$E$5</c:f>
              <c:numCache>
                <c:formatCode>0.000000</c:formatCode>
                <c:ptCount val="4"/>
                <c:pt idx="0">
                  <c:v>0.51252037264289163</c:v>
                </c:pt>
                <c:pt idx="1">
                  <c:v>0.51255630246007255</c:v>
                </c:pt>
                <c:pt idx="2">
                  <c:v>0.51252930246007256</c:v>
                </c:pt>
                <c:pt idx="3">
                  <c:v>0.5125571784881634</c:v>
                </c:pt>
              </c:numCache>
            </c:numRef>
          </c:yVal>
          <c:smooth val="0"/>
          <c:extLst>
            <c:ext xmlns:c16="http://schemas.microsoft.com/office/drawing/2014/chart" uri="{C3380CC4-5D6E-409C-BE32-E72D297353CC}">
              <c16:uniqueId val="{00000000-F42B-40B2-9443-AD7F910DD047}"/>
            </c:ext>
          </c:extLst>
        </c:ser>
        <c:ser>
          <c:idx val="1"/>
          <c:order val="1"/>
          <c:tx>
            <c:strRef>
              <c:f>data!$C$6:$C$8</c:f>
              <c:strCache>
                <c:ptCount val="3"/>
                <c:pt idx="0">
                  <c:v>DW</c:v>
                </c:pt>
                <c:pt idx="1">
                  <c:v>DW</c:v>
                </c:pt>
                <c:pt idx="2">
                  <c:v>DW</c:v>
                </c:pt>
              </c:strCache>
            </c:strRef>
          </c:tx>
          <c:spPr>
            <a:ln w="25400" cap="rnd">
              <a:noFill/>
              <a:round/>
            </a:ln>
            <a:effectLst/>
          </c:spPr>
          <c:marker>
            <c:symbol val="x"/>
            <c:size val="8"/>
            <c:spPr>
              <a:noFill/>
              <a:ln w="9525">
                <a:solidFill>
                  <a:schemeClr val="tx1"/>
                </a:solidFill>
              </a:ln>
              <a:effectLst/>
            </c:spPr>
          </c:marker>
          <c:xVal>
            <c:numRef>
              <c:f>data!$F$6:$F$8</c:f>
              <c:numCache>
                <c:formatCode>0.000</c:formatCode>
                <c:ptCount val="3"/>
                <c:pt idx="0">
                  <c:v>20.952000000000002</c:v>
                </c:pt>
                <c:pt idx="1">
                  <c:v>20.919</c:v>
                </c:pt>
                <c:pt idx="2">
                  <c:v>20.681999999999999</c:v>
                </c:pt>
              </c:numCache>
            </c:numRef>
          </c:xVal>
          <c:yVal>
            <c:numRef>
              <c:f>data!$E$6:$E$8</c:f>
              <c:numCache>
                <c:formatCode>0.000000</c:formatCode>
                <c:ptCount val="3"/>
                <c:pt idx="0">
                  <c:v>0.51271599999999995</c:v>
                </c:pt>
                <c:pt idx="1">
                  <c:v>0.51270499999999997</c:v>
                </c:pt>
                <c:pt idx="2">
                  <c:v>0.51268000000000002</c:v>
                </c:pt>
              </c:numCache>
            </c:numRef>
          </c:yVal>
          <c:smooth val="0"/>
          <c:extLst>
            <c:ext xmlns:c16="http://schemas.microsoft.com/office/drawing/2014/chart" uri="{C3380CC4-5D6E-409C-BE32-E72D297353CC}">
              <c16:uniqueId val="{00000001-F42B-40B2-9443-AD7F910DD047}"/>
            </c:ext>
          </c:extLst>
        </c:ser>
        <c:ser>
          <c:idx val="2"/>
          <c:order val="2"/>
          <c:tx>
            <c:strRef>
              <c:f>data!$C$9:$C$51</c:f>
              <c:strCache>
                <c:ptCount val="43"/>
                <c:pt idx="0">
                  <c:v>EAC</c:v>
                </c:pt>
                <c:pt idx="1">
                  <c:v>EAC</c:v>
                </c:pt>
                <c:pt idx="2">
                  <c:v>EAC</c:v>
                </c:pt>
                <c:pt idx="3">
                  <c:v>EAC</c:v>
                </c:pt>
                <c:pt idx="4">
                  <c:v>EAC</c:v>
                </c:pt>
                <c:pt idx="5">
                  <c:v>EAC</c:v>
                </c:pt>
                <c:pt idx="6">
                  <c:v>EAC</c:v>
                </c:pt>
                <c:pt idx="7">
                  <c:v>EAC</c:v>
                </c:pt>
                <c:pt idx="8">
                  <c:v>EAC</c:v>
                </c:pt>
                <c:pt idx="9">
                  <c:v>EAC</c:v>
                </c:pt>
                <c:pt idx="10">
                  <c:v>EAC</c:v>
                </c:pt>
                <c:pt idx="11">
                  <c:v>EAC</c:v>
                </c:pt>
                <c:pt idx="12">
                  <c:v>EAC</c:v>
                </c:pt>
                <c:pt idx="13">
                  <c:v>EAC</c:v>
                </c:pt>
                <c:pt idx="14">
                  <c:v>EAC</c:v>
                </c:pt>
                <c:pt idx="15">
                  <c:v>EAC</c:v>
                </c:pt>
                <c:pt idx="16">
                  <c:v>EAC</c:v>
                </c:pt>
                <c:pt idx="17">
                  <c:v>EAC</c:v>
                </c:pt>
                <c:pt idx="18">
                  <c:v>EAC</c:v>
                </c:pt>
                <c:pt idx="19">
                  <c:v>EAC</c:v>
                </c:pt>
                <c:pt idx="20">
                  <c:v>EAC</c:v>
                </c:pt>
                <c:pt idx="21">
                  <c:v>EAC</c:v>
                </c:pt>
                <c:pt idx="22">
                  <c:v>EAC</c:v>
                </c:pt>
                <c:pt idx="23">
                  <c:v>EAC</c:v>
                </c:pt>
                <c:pt idx="24">
                  <c:v>EAC</c:v>
                </c:pt>
                <c:pt idx="25">
                  <c:v>EAC</c:v>
                </c:pt>
                <c:pt idx="26">
                  <c:v>EAC</c:v>
                </c:pt>
                <c:pt idx="27">
                  <c:v>EAC</c:v>
                </c:pt>
                <c:pt idx="28">
                  <c:v>EAC</c:v>
                </c:pt>
                <c:pt idx="29">
                  <c:v>EAC</c:v>
                </c:pt>
                <c:pt idx="30">
                  <c:v>EAC</c:v>
                </c:pt>
                <c:pt idx="31">
                  <c:v>EAC</c:v>
                </c:pt>
                <c:pt idx="32">
                  <c:v>EAC</c:v>
                </c:pt>
                <c:pt idx="33">
                  <c:v>EAC</c:v>
                </c:pt>
                <c:pt idx="34">
                  <c:v>EAC</c:v>
                </c:pt>
                <c:pt idx="35">
                  <c:v>EAC</c:v>
                </c:pt>
                <c:pt idx="36">
                  <c:v>EAC</c:v>
                </c:pt>
                <c:pt idx="37">
                  <c:v>EAC</c:v>
                </c:pt>
                <c:pt idx="38">
                  <c:v>EAC</c:v>
                </c:pt>
                <c:pt idx="39">
                  <c:v>EAC</c:v>
                </c:pt>
                <c:pt idx="40">
                  <c:v>EAC</c:v>
                </c:pt>
                <c:pt idx="41">
                  <c:v>EAC</c:v>
                </c:pt>
                <c:pt idx="42">
                  <c:v>EAC</c:v>
                </c:pt>
              </c:strCache>
            </c:strRef>
          </c:tx>
          <c:spPr>
            <a:ln w="25400" cap="rnd">
              <a:noFill/>
              <a:round/>
            </a:ln>
            <a:effectLst/>
          </c:spPr>
          <c:marker>
            <c:symbol val="circle"/>
            <c:size val="3"/>
            <c:spPr>
              <a:noFill/>
              <a:ln w="9525">
                <a:solidFill>
                  <a:schemeClr val="tx1"/>
                </a:solidFill>
              </a:ln>
              <a:effectLst/>
            </c:spPr>
          </c:marker>
          <c:xVal>
            <c:numRef>
              <c:f>data!$F$9:$F$51</c:f>
              <c:numCache>
                <c:formatCode>0.000</c:formatCode>
                <c:ptCount val="43"/>
                <c:pt idx="0">
                  <c:v>19.420999999999999</c:v>
                </c:pt>
                <c:pt idx="1">
                  <c:v>19.212</c:v>
                </c:pt>
                <c:pt idx="2">
                  <c:v>19.201000000000001</c:v>
                </c:pt>
                <c:pt idx="3">
                  <c:v>19.469000000000001</c:v>
                </c:pt>
                <c:pt idx="4">
                  <c:v>18.462</c:v>
                </c:pt>
                <c:pt idx="5">
                  <c:v>18.597000000000001</c:v>
                </c:pt>
                <c:pt idx="6">
                  <c:v>21.562000000000001</c:v>
                </c:pt>
                <c:pt idx="7">
                  <c:v>21.094999999999999</c:v>
                </c:pt>
                <c:pt idx="8">
                  <c:v>21.108000000000001</c:v>
                </c:pt>
                <c:pt idx="9">
                  <c:v>21.148</c:v>
                </c:pt>
                <c:pt idx="10">
                  <c:v>21.103999999999999</c:v>
                </c:pt>
                <c:pt idx="11">
                  <c:v>21.16</c:v>
                </c:pt>
                <c:pt idx="12">
                  <c:v>20.71</c:v>
                </c:pt>
                <c:pt idx="13">
                  <c:v>20.992000000000001</c:v>
                </c:pt>
                <c:pt idx="14">
                  <c:v>18.571000000000002</c:v>
                </c:pt>
                <c:pt idx="15">
                  <c:v>18.847000000000001</c:v>
                </c:pt>
                <c:pt idx="16">
                  <c:v>20.817</c:v>
                </c:pt>
                <c:pt idx="17">
                  <c:v>20.847999999999999</c:v>
                </c:pt>
                <c:pt idx="18">
                  <c:v>20.648</c:v>
                </c:pt>
                <c:pt idx="19">
                  <c:v>20.164999999999999</c:v>
                </c:pt>
                <c:pt idx="20">
                  <c:v>20.41</c:v>
                </c:pt>
                <c:pt idx="21">
                  <c:v>18.718</c:v>
                </c:pt>
                <c:pt idx="22">
                  <c:v>20.256</c:v>
                </c:pt>
                <c:pt idx="23">
                  <c:v>20.216000000000001</c:v>
                </c:pt>
                <c:pt idx="24">
                  <c:v>20.05</c:v>
                </c:pt>
                <c:pt idx="25">
                  <c:v>20.173999999999999</c:v>
                </c:pt>
                <c:pt idx="26">
                  <c:v>20.218</c:v>
                </c:pt>
                <c:pt idx="27">
                  <c:v>19.72</c:v>
                </c:pt>
                <c:pt idx="28">
                  <c:v>19.879000000000001</c:v>
                </c:pt>
                <c:pt idx="29">
                  <c:v>20.257000000000001</c:v>
                </c:pt>
                <c:pt idx="30">
                  <c:v>20.303000000000001</c:v>
                </c:pt>
                <c:pt idx="31">
                  <c:v>20.343</c:v>
                </c:pt>
                <c:pt idx="32">
                  <c:v>20.221</c:v>
                </c:pt>
                <c:pt idx="33">
                  <c:v>19.271999999999998</c:v>
                </c:pt>
                <c:pt idx="34">
                  <c:v>20.058</c:v>
                </c:pt>
                <c:pt idx="35">
                  <c:v>20.809000000000001</c:v>
                </c:pt>
                <c:pt idx="36">
                  <c:v>20.712</c:v>
                </c:pt>
                <c:pt idx="37">
                  <c:v>20.907</c:v>
                </c:pt>
                <c:pt idx="38">
                  <c:v>20.399999999999999</c:v>
                </c:pt>
                <c:pt idx="39">
                  <c:v>20.47</c:v>
                </c:pt>
                <c:pt idx="40">
                  <c:v>20.010000000000002</c:v>
                </c:pt>
                <c:pt idx="41">
                  <c:v>20.100000000000001</c:v>
                </c:pt>
                <c:pt idx="42">
                  <c:v>20.05</c:v>
                </c:pt>
              </c:numCache>
            </c:numRef>
          </c:xVal>
          <c:yVal>
            <c:numRef>
              <c:f>data!$E$6:$E$51</c:f>
              <c:numCache>
                <c:formatCode>0.000000</c:formatCode>
                <c:ptCount val="46"/>
                <c:pt idx="0">
                  <c:v>0.51271599999999995</c:v>
                </c:pt>
                <c:pt idx="1">
                  <c:v>0.51270499999999997</c:v>
                </c:pt>
                <c:pt idx="2">
                  <c:v>0.51268000000000002</c:v>
                </c:pt>
                <c:pt idx="3">
                  <c:v>0.51256999999999997</c:v>
                </c:pt>
                <c:pt idx="4">
                  <c:v>0.51258999999999999</c:v>
                </c:pt>
                <c:pt idx="5">
                  <c:v>0.51261000000000001</c:v>
                </c:pt>
                <c:pt idx="6">
                  <c:v>0.51258000000000004</c:v>
                </c:pt>
                <c:pt idx="7">
                  <c:v>0.51244000000000001</c:v>
                </c:pt>
                <c:pt idx="8">
                  <c:v>0.51248000000000005</c:v>
                </c:pt>
                <c:pt idx="9">
                  <c:v>0.51278999999999997</c:v>
                </c:pt>
                <c:pt idx="10">
                  <c:v>0.51278999999999997</c:v>
                </c:pt>
                <c:pt idx="11">
                  <c:v>0.51280999999999999</c:v>
                </c:pt>
                <c:pt idx="12">
                  <c:v>0.51283000000000001</c:v>
                </c:pt>
                <c:pt idx="13">
                  <c:v>0.51280999999999999</c:v>
                </c:pt>
                <c:pt idx="14">
                  <c:v>0.51280999999999999</c:v>
                </c:pt>
                <c:pt idx="15">
                  <c:v>0.51273000000000002</c:v>
                </c:pt>
                <c:pt idx="16">
                  <c:v>0.51254999999999995</c:v>
                </c:pt>
                <c:pt idx="17">
                  <c:v>0.51254</c:v>
                </c:pt>
                <c:pt idx="18">
                  <c:v>0.51249</c:v>
                </c:pt>
                <c:pt idx="19">
                  <c:v>0.51272899999999999</c:v>
                </c:pt>
                <c:pt idx="20">
                  <c:v>0.51272499999999999</c:v>
                </c:pt>
                <c:pt idx="21">
                  <c:v>0.51271699999999998</c:v>
                </c:pt>
                <c:pt idx="22">
                  <c:v>0.51282700000000003</c:v>
                </c:pt>
                <c:pt idx="23">
                  <c:v>0.51276299999999997</c:v>
                </c:pt>
                <c:pt idx="24">
                  <c:v>0.512486</c:v>
                </c:pt>
                <c:pt idx="25">
                  <c:v>0.51264200000000004</c:v>
                </c:pt>
                <c:pt idx="26">
                  <c:v>0.51275000000000004</c:v>
                </c:pt>
                <c:pt idx="27">
                  <c:v>0.512679</c:v>
                </c:pt>
                <c:pt idx="28">
                  <c:v>0.51272899999999999</c:v>
                </c:pt>
                <c:pt idx="29">
                  <c:v>0.51272099999999998</c:v>
                </c:pt>
                <c:pt idx="30">
                  <c:v>0.51266299999999998</c:v>
                </c:pt>
                <c:pt idx="31">
                  <c:v>0.51266599999999996</c:v>
                </c:pt>
                <c:pt idx="32">
                  <c:v>0.51270800000000005</c:v>
                </c:pt>
                <c:pt idx="33">
                  <c:v>0.51267499999999999</c:v>
                </c:pt>
                <c:pt idx="34">
                  <c:v>0.51274299999999995</c:v>
                </c:pt>
                <c:pt idx="35">
                  <c:v>0.512737</c:v>
                </c:pt>
                <c:pt idx="36">
                  <c:v>0.512679</c:v>
                </c:pt>
                <c:pt idx="37">
                  <c:v>0.51268899999999995</c:v>
                </c:pt>
                <c:pt idx="38">
                  <c:v>0.51274399999999998</c:v>
                </c:pt>
                <c:pt idx="39">
                  <c:v>0.51273000000000002</c:v>
                </c:pt>
                <c:pt idx="40">
                  <c:v>0.512706</c:v>
                </c:pt>
                <c:pt idx="41">
                  <c:v>0.51283000000000001</c:v>
                </c:pt>
                <c:pt idx="42">
                  <c:v>0.51283000000000001</c:v>
                </c:pt>
                <c:pt idx="43">
                  <c:v>0.51263000000000003</c:v>
                </c:pt>
                <c:pt idx="44">
                  <c:v>0.51266</c:v>
                </c:pt>
                <c:pt idx="45">
                  <c:v>0.51259999999999994</c:v>
                </c:pt>
              </c:numCache>
            </c:numRef>
          </c:yVal>
          <c:smooth val="0"/>
          <c:extLst>
            <c:ext xmlns:c16="http://schemas.microsoft.com/office/drawing/2014/chart" uri="{C3380CC4-5D6E-409C-BE32-E72D297353CC}">
              <c16:uniqueId val="{00000002-F42B-40B2-9443-AD7F910DD047}"/>
            </c:ext>
          </c:extLst>
        </c:ser>
        <c:ser>
          <c:idx val="3"/>
          <c:order val="3"/>
          <c:tx>
            <c:strRef>
              <c:f>data!$C$55:$C$71</c:f>
              <c:strCache>
                <c:ptCount val="17"/>
                <c:pt idx="0">
                  <c:v>WR</c:v>
                </c:pt>
                <c:pt idx="1">
                  <c:v>WR</c:v>
                </c:pt>
                <c:pt idx="2">
                  <c:v>WR</c:v>
                </c:pt>
                <c:pt idx="3">
                  <c:v>WR</c:v>
                </c:pt>
                <c:pt idx="4">
                  <c:v>WR</c:v>
                </c:pt>
                <c:pt idx="5">
                  <c:v>WR</c:v>
                </c:pt>
                <c:pt idx="6">
                  <c:v>WR</c:v>
                </c:pt>
                <c:pt idx="7">
                  <c:v>WR</c:v>
                </c:pt>
                <c:pt idx="8">
                  <c:v>WR</c:v>
                </c:pt>
                <c:pt idx="9">
                  <c:v>WR</c:v>
                </c:pt>
                <c:pt idx="10">
                  <c:v>WR</c:v>
                </c:pt>
                <c:pt idx="11">
                  <c:v>WR</c:v>
                </c:pt>
                <c:pt idx="12">
                  <c:v>WR</c:v>
                </c:pt>
                <c:pt idx="13">
                  <c:v>WR</c:v>
                </c:pt>
                <c:pt idx="14">
                  <c:v>WR</c:v>
                </c:pt>
                <c:pt idx="15">
                  <c:v>WR</c:v>
                </c:pt>
                <c:pt idx="16">
                  <c:v>WR</c:v>
                </c:pt>
              </c:strCache>
            </c:strRef>
          </c:tx>
          <c:spPr>
            <a:ln w="25400" cap="rnd">
              <a:noFill/>
              <a:round/>
            </a:ln>
            <a:effectLst/>
          </c:spPr>
          <c:marker>
            <c:symbol val="circle"/>
            <c:size val="3"/>
            <c:spPr>
              <a:solidFill>
                <a:schemeClr val="tx1"/>
              </a:solidFill>
              <a:ln w="9525">
                <a:solidFill>
                  <a:schemeClr val="tx1"/>
                </a:solidFill>
              </a:ln>
              <a:effectLst/>
            </c:spPr>
          </c:marker>
          <c:xVal>
            <c:numRef>
              <c:f>data!$F$55:$F$71</c:f>
              <c:numCache>
                <c:formatCode>0.000</c:formatCode>
                <c:ptCount val="17"/>
                <c:pt idx="0">
                  <c:v>19.375199500124662</c:v>
                </c:pt>
                <c:pt idx="1">
                  <c:v>19.111010006059416</c:v>
                </c:pt>
                <c:pt idx="2">
                  <c:v>19.03310218183875</c:v>
                </c:pt>
                <c:pt idx="3">
                  <c:v>19.070791222310721</c:v>
                </c:pt>
                <c:pt idx="4">
                  <c:v>19.508012499500559</c:v>
                </c:pt>
                <c:pt idx="5">
                  <c:v>19.989870022290912</c:v>
                </c:pt>
                <c:pt idx="6">
                  <c:v>19.589086668010282</c:v>
                </c:pt>
                <c:pt idx="7">
                  <c:v>19.870421346117556</c:v>
                </c:pt>
                <c:pt idx="8">
                  <c:v>19.616629847430112</c:v>
                </c:pt>
                <c:pt idx="9">
                  <c:v>19.896959071999333</c:v>
                </c:pt>
                <c:pt idx="10">
                  <c:v>19.091780741175722</c:v>
                </c:pt>
                <c:pt idx="11">
                  <c:v>19.083206581815105</c:v>
                </c:pt>
                <c:pt idx="12">
                  <c:v>19.092654987466961</c:v>
                </c:pt>
                <c:pt idx="13">
                  <c:v>19.494309877809727</c:v>
                </c:pt>
                <c:pt idx="14">
                  <c:v>20.332308913677746</c:v>
                </c:pt>
                <c:pt idx="15">
                  <c:v>20.297925873230909</c:v>
                </c:pt>
                <c:pt idx="16">
                  <c:v>20.133387301677274</c:v>
                </c:pt>
              </c:numCache>
            </c:numRef>
          </c:xVal>
          <c:yVal>
            <c:numRef>
              <c:f>data!$E$55:$E$71</c:f>
              <c:numCache>
                <c:formatCode>0.000000</c:formatCode>
                <c:ptCount val="17"/>
                <c:pt idx="0">
                  <c:v>0.51289718789669581</c:v>
                </c:pt>
                <c:pt idx="1">
                  <c:v>0.51281021311043506</c:v>
                </c:pt>
                <c:pt idx="2">
                  <c:v>0.51285229782151631</c:v>
                </c:pt>
                <c:pt idx="3">
                  <c:v>0.51283694273334257</c:v>
                </c:pt>
                <c:pt idx="4">
                  <c:v>0.51281773360299587</c:v>
                </c:pt>
                <c:pt idx="5">
                  <c:v>0.51280547751859118</c:v>
                </c:pt>
                <c:pt idx="6">
                  <c:v>0.51280649148737245</c:v>
                </c:pt>
                <c:pt idx="7">
                  <c:v>0.51279383279151203</c:v>
                </c:pt>
                <c:pt idx="8">
                  <c:v>0.51279662201387077</c:v>
                </c:pt>
                <c:pt idx="9">
                  <c:v>0.51276091776361044</c:v>
                </c:pt>
                <c:pt idx="10">
                  <c:v>0.51287348745416095</c:v>
                </c:pt>
                <c:pt idx="11">
                  <c:v>0.51287305438448927</c:v>
                </c:pt>
                <c:pt idx="12">
                  <c:v>0.51286924870928285</c:v>
                </c:pt>
                <c:pt idx="13">
                  <c:v>0.512822164156573</c:v>
                </c:pt>
                <c:pt idx="14">
                  <c:v>0.51279510378507076</c:v>
                </c:pt>
                <c:pt idx="15">
                  <c:v>0.51279760092187998</c:v>
                </c:pt>
                <c:pt idx="16">
                  <c:v>0.51279112108937464</c:v>
                </c:pt>
              </c:numCache>
            </c:numRef>
          </c:yVal>
          <c:smooth val="0"/>
          <c:extLst>
            <c:ext xmlns:c16="http://schemas.microsoft.com/office/drawing/2014/chart" uri="{C3380CC4-5D6E-409C-BE32-E72D297353CC}">
              <c16:uniqueId val="{00000003-F42B-40B2-9443-AD7F910DD047}"/>
            </c:ext>
          </c:extLst>
        </c:ser>
        <c:ser>
          <c:idx val="4"/>
          <c:order val="4"/>
          <c:tx>
            <c:strRef>
              <c:f>data!$C$72:$C$74</c:f>
              <c:strCache>
                <c:ptCount val="3"/>
                <c:pt idx="0">
                  <c:v>mantle</c:v>
                </c:pt>
                <c:pt idx="1">
                  <c:v>mantle</c:v>
                </c:pt>
                <c:pt idx="2">
                  <c:v>mantle</c:v>
                </c:pt>
              </c:strCache>
            </c:strRef>
          </c:tx>
          <c:spPr>
            <a:ln w="25400" cap="rnd">
              <a:noFill/>
              <a:round/>
            </a:ln>
            <a:effectLst/>
          </c:spPr>
          <c:marker>
            <c:symbol val="circle"/>
            <c:size val="10"/>
            <c:spPr>
              <a:noFill/>
              <a:ln w="9525">
                <a:solidFill>
                  <a:schemeClr val="tx1"/>
                </a:solidFill>
              </a:ln>
              <a:effectLst/>
            </c:spPr>
          </c:marker>
          <c:xVal>
            <c:numRef>
              <c:f>data!$F$72:$F$74</c:f>
              <c:numCache>
                <c:formatCode>0.000</c:formatCode>
                <c:ptCount val="3"/>
                <c:pt idx="0">
                  <c:v>18</c:v>
                </c:pt>
                <c:pt idx="1">
                  <c:v>21.9</c:v>
                </c:pt>
                <c:pt idx="2">
                  <c:v>17.399999999999999</c:v>
                </c:pt>
              </c:numCache>
            </c:numRef>
          </c:xVal>
          <c:yVal>
            <c:numRef>
              <c:f>data!$E$72:$E$74</c:f>
              <c:numCache>
                <c:formatCode>0.000000</c:formatCode>
                <c:ptCount val="3"/>
                <c:pt idx="0">
                  <c:v>0.51329000000000002</c:v>
                </c:pt>
                <c:pt idx="1">
                  <c:v>0.51287000000000005</c:v>
                </c:pt>
                <c:pt idx="2">
                  <c:v>0.51236999999999999</c:v>
                </c:pt>
              </c:numCache>
            </c:numRef>
          </c:yVal>
          <c:smooth val="0"/>
          <c:extLst>
            <c:ext xmlns:c16="http://schemas.microsoft.com/office/drawing/2014/chart" uri="{C3380CC4-5D6E-409C-BE32-E72D297353CC}">
              <c16:uniqueId val="{00000004-F42B-40B2-9443-AD7F910DD047}"/>
            </c:ext>
          </c:extLst>
        </c:ser>
        <c:dLbls>
          <c:showLegendKey val="0"/>
          <c:showVal val="0"/>
          <c:showCatName val="0"/>
          <c:showSerName val="0"/>
          <c:showPercent val="0"/>
          <c:showBubbleSize val="0"/>
        </c:dLbls>
        <c:axId val="467720288"/>
        <c:axId val="467716352"/>
      </c:scatterChart>
      <c:valAx>
        <c:axId val="467720288"/>
        <c:scaling>
          <c:orientation val="minMax"/>
          <c:min val="17"/>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206</a:t>
                </a:r>
                <a:r>
                  <a:rPr lang="en-GB" sz="1200" baseline="0">
                    <a:solidFill>
                      <a:schemeClr val="tx1"/>
                    </a:solidFill>
                  </a:rPr>
                  <a:t>Pb/</a:t>
                </a:r>
                <a:r>
                  <a:rPr lang="en-GB" sz="1200" baseline="30000">
                    <a:solidFill>
                      <a:schemeClr val="tx1"/>
                    </a:solidFill>
                  </a:rPr>
                  <a:t>204</a:t>
                </a:r>
                <a:r>
                  <a:rPr lang="en-GB" sz="1200" baseline="0">
                    <a:solidFill>
                      <a:schemeClr val="tx1"/>
                    </a:solidFill>
                  </a:rPr>
                  <a:t>Pb</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67716352"/>
        <c:crosses val="autoZero"/>
        <c:crossBetween val="midCat"/>
      </c:valAx>
      <c:valAx>
        <c:axId val="4677163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143</a:t>
                </a:r>
                <a:r>
                  <a:rPr lang="en-GB" sz="1200" baseline="0">
                    <a:solidFill>
                      <a:schemeClr val="tx1"/>
                    </a:solidFill>
                  </a:rPr>
                  <a:t>Nd/</a:t>
                </a:r>
                <a:r>
                  <a:rPr lang="en-GB" sz="1200" baseline="30000">
                    <a:solidFill>
                      <a:schemeClr val="tx1"/>
                    </a:solidFill>
                  </a:rPr>
                  <a:t>144</a:t>
                </a:r>
                <a:r>
                  <a:rPr lang="en-GB" sz="1200" baseline="0">
                    <a:solidFill>
                      <a:schemeClr val="tx1"/>
                    </a:solidFill>
                  </a:rPr>
                  <a:t>Nd</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0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67720288"/>
        <c:crosses val="autoZero"/>
        <c:crossBetween val="midCat"/>
      </c:valAx>
      <c:spPr>
        <a:noFill/>
        <a:ln w="190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data!$C$2:$C$5</c:f>
              <c:strCache>
                <c:ptCount val="4"/>
                <c:pt idx="0">
                  <c:v>TCC</c:v>
                </c:pt>
                <c:pt idx="1">
                  <c:v>TCC</c:v>
                </c:pt>
                <c:pt idx="2">
                  <c:v>TCC</c:v>
                </c:pt>
                <c:pt idx="3">
                  <c:v>TCC</c:v>
                </c:pt>
              </c:strCache>
            </c:strRef>
          </c:tx>
          <c:spPr>
            <a:ln w="25400" cap="rnd">
              <a:noFill/>
              <a:round/>
            </a:ln>
            <a:effectLst/>
          </c:spPr>
          <c:marker>
            <c:symbol val="plus"/>
            <c:size val="8"/>
            <c:spPr>
              <a:noFill/>
              <a:ln w="9525">
                <a:solidFill>
                  <a:schemeClr val="tx1"/>
                </a:solidFill>
              </a:ln>
              <a:effectLst/>
            </c:spPr>
          </c:marker>
          <c:xVal>
            <c:numRef>
              <c:f>data!$H$2:$H$5</c:f>
              <c:numCache>
                <c:formatCode>0.000</c:formatCode>
                <c:ptCount val="4"/>
                <c:pt idx="0">
                  <c:v>40.042851444276003</c:v>
                </c:pt>
                <c:pt idx="1">
                  <c:v>40.261895032107041</c:v>
                </c:pt>
                <c:pt idx="2">
                  <c:v>40.017595032107046</c:v>
                </c:pt>
                <c:pt idx="3">
                  <c:v>40.1707919555679</c:v>
                </c:pt>
              </c:numCache>
            </c:numRef>
          </c:xVal>
          <c:yVal>
            <c:numRef>
              <c:f>data!$D$2:$D$5</c:f>
              <c:numCache>
                <c:formatCode>0.000000</c:formatCode>
                <c:ptCount val="4"/>
                <c:pt idx="0">
                  <c:v>0.70494571007402418</c:v>
                </c:pt>
                <c:pt idx="1">
                  <c:v>0.70403875552188644</c:v>
                </c:pt>
                <c:pt idx="2">
                  <c:v>0.70457375552188628</c:v>
                </c:pt>
                <c:pt idx="3">
                  <c:v>0.70433531033347363</c:v>
                </c:pt>
              </c:numCache>
            </c:numRef>
          </c:yVal>
          <c:smooth val="0"/>
          <c:extLst>
            <c:ext xmlns:c16="http://schemas.microsoft.com/office/drawing/2014/chart" uri="{C3380CC4-5D6E-409C-BE32-E72D297353CC}">
              <c16:uniqueId val="{00000000-D7E3-41CA-921E-6ADD8F81197B}"/>
            </c:ext>
          </c:extLst>
        </c:ser>
        <c:ser>
          <c:idx val="1"/>
          <c:order val="1"/>
          <c:tx>
            <c:strRef>
              <c:f>data!$C$6:$C$8</c:f>
              <c:strCache>
                <c:ptCount val="3"/>
                <c:pt idx="0">
                  <c:v>DW</c:v>
                </c:pt>
                <c:pt idx="1">
                  <c:v>DW</c:v>
                </c:pt>
                <c:pt idx="2">
                  <c:v>DW</c:v>
                </c:pt>
              </c:strCache>
            </c:strRef>
          </c:tx>
          <c:spPr>
            <a:ln w="25400" cap="rnd">
              <a:noFill/>
              <a:round/>
            </a:ln>
            <a:effectLst/>
          </c:spPr>
          <c:marker>
            <c:symbol val="x"/>
            <c:size val="8"/>
            <c:spPr>
              <a:noFill/>
              <a:ln w="9525">
                <a:solidFill>
                  <a:schemeClr val="tx1"/>
                </a:solidFill>
              </a:ln>
              <a:effectLst/>
            </c:spPr>
          </c:marker>
          <c:xVal>
            <c:numRef>
              <c:f>data!$H$6:$H$8</c:f>
              <c:numCache>
                <c:formatCode>0.000</c:formatCode>
                <c:ptCount val="3"/>
                <c:pt idx="0">
                  <c:v>40.325000000000003</c:v>
                </c:pt>
                <c:pt idx="1">
                  <c:v>40.058999999999997</c:v>
                </c:pt>
                <c:pt idx="2">
                  <c:v>39.99</c:v>
                </c:pt>
              </c:numCache>
            </c:numRef>
          </c:xVal>
          <c:yVal>
            <c:numRef>
              <c:f>data!$D$6:$D$8</c:f>
              <c:numCache>
                <c:formatCode>0.000000</c:formatCode>
                <c:ptCount val="3"/>
                <c:pt idx="0">
                  <c:v>0.70326999999999995</c:v>
                </c:pt>
                <c:pt idx="1">
                  <c:v>0.70345000000000002</c:v>
                </c:pt>
                <c:pt idx="2">
                  <c:v>0.70335999999999999</c:v>
                </c:pt>
              </c:numCache>
            </c:numRef>
          </c:yVal>
          <c:smooth val="0"/>
          <c:extLst>
            <c:ext xmlns:c16="http://schemas.microsoft.com/office/drawing/2014/chart" uri="{C3380CC4-5D6E-409C-BE32-E72D297353CC}">
              <c16:uniqueId val="{00000001-D7E3-41CA-921E-6ADD8F81197B}"/>
            </c:ext>
          </c:extLst>
        </c:ser>
        <c:ser>
          <c:idx val="2"/>
          <c:order val="2"/>
          <c:tx>
            <c:strRef>
              <c:f>data!$C$9:$C$50</c:f>
              <c:strCache>
                <c:ptCount val="42"/>
                <c:pt idx="0">
                  <c:v>EAC</c:v>
                </c:pt>
                <c:pt idx="1">
                  <c:v>EAC</c:v>
                </c:pt>
                <c:pt idx="2">
                  <c:v>EAC</c:v>
                </c:pt>
                <c:pt idx="3">
                  <c:v>EAC</c:v>
                </c:pt>
                <c:pt idx="4">
                  <c:v>EAC</c:v>
                </c:pt>
                <c:pt idx="5">
                  <c:v>EAC</c:v>
                </c:pt>
                <c:pt idx="6">
                  <c:v>EAC</c:v>
                </c:pt>
                <c:pt idx="7">
                  <c:v>EAC</c:v>
                </c:pt>
                <c:pt idx="8">
                  <c:v>EAC</c:v>
                </c:pt>
                <c:pt idx="9">
                  <c:v>EAC</c:v>
                </c:pt>
                <c:pt idx="10">
                  <c:v>EAC</c:v>
                </c:pt>
                <c:pt idx="11">
                  <c:v>EAC</c:v>
                </c:pt>
                <c:pt idx="12">
                  <c:v>EAC</c:v>
                </c:pt>
                <c:pt idx="13">
                  <c:v>EAC</c:v>
                </c:pt>
                <c:pt idx="14">
                  <c:v>EAC</c:v>
                </c:pt>
                <c:pt idx="15">
                  <c:v>EAC</c:v>
                </c:pt>
                <c:pt idx="16">
                  <c:v>EAC</c:v>
                </c:pt>
                <c:pt idx="17">
                  <c:v>EAC</c:v>
                </c:pt>
                <c:pt idx="18">
                  <c:v>EAC</c:v>
                </c:pt>
                <c:pt idx="19">
                  <c:v>EAC</c:v>
                </c:pt>
                <c:pt idx="20">
                  <c:v>EAC</c:v>
                </c:pt>
                <c:pt idx="21">
                  <c:v>EAC</c:v>
                </c:pt>
                <c:pt idx="22">
                  <c:v>EAC</c:v>
                </c:pt>
                <c:pt idx="23">
                  <c:v>EAC</c:v>
                </c:pt>
                <c:pt idx="24">
                  <c:v>EAC</c:v>
                </c:pt>
                <c:pt idx="25">
                  <c:v>EAC</c:v>
                </c:pt>
                <c:pt idx="26">
                  <c:v>EAC</c:v>
                </c:pt>
                <c:pt idx="27">
                  <c:v>EAC</c:v>
                </c:pt>
                <c:pt idx="28">
                  <c:v>EAC</c:v>
                </c:pt>
                <c:pt idx="29">
                  <c:v>EAC</c:v>
                </c:pt>
                <c:pt idx="30">
                  <c:v>EAC</c:v>
                </c:pt>
                <c:pt idx="31">
                  <c:v>EAC</c:v>
                </c:pt>
                <c:pt idx="32">
                  <c:v>EAC</c:v>
                </c:pt>
                <c:pt idx="33">
                  <c:v>EAC</c:v>
                </c:pt>
                <c:pt idx="34">
                  <c:v>EAC</c:v>
                </c:pt>
                <c:pt idx="35">
                  <c:v>EAC</c:v>
                </c:pt>
                <c:pt idx="36">
                  <c:v>EAC</c:v>
                </c:pt>
                <c:pt idx="37">
                  <c:v>EAC</c:v>
                </c:pt>
                <c:pt idx="38">
                  <c:v>EAC</c:v>
                </c:pt>
                <c:pt idx="39">
                  <c:v>EAC</c:v>
                </c:pt>
                <c:pt idx="40">
                  <c:v>EAC</c:v>
                </c:pt>
                <c:pt idx="41">
                  <c:v>EAC</c:v>
                </c:pt>
              </c:strCache>
            </c:strRef>
          </c:tx>
          <c:spPr>
            <a:ln w="25400" cap="rnd">
              <a:noFill/>
              <a:round/>
            </a:ln>
            <a:effectLst/>
          </c:spPr>
          <c:marker>
            <c:symbol val="circle"/>
            <c:size val="3"/>
            <c:spPr>
              <a:noFill/>
              <a:ln w="9525">
                <a:solidFill>
                  <a:schemeClr val="tx1"/>
                </a:solidFill>
              </a:ln>
              <a:effectLst/>
            </c:spPr>
          </c:marker>
          <c:xVal>
            <c:numRef>
              <c:f>data!$H$9:$H$51</c:f>
              <c:numCache>
                <c:formatCode>0.000</c:formatCode>
                <c:ptCount val="43"/>
                <c:pt idx="0">
                  <c:v>39.734999999999999</c:v>
                </c:pt>
                <c:pt idx="1">
                  <c:v>39.222000000000001</c:v>
                </c:pt>
                <c:pt idx="2">
                  <c:v>39.216000000000001</c:v>
                </c:pt>
                <c:pt idx="3">
                  <c:v>39.808999999999997</c:v>
                </c:pt>
                <c:pt idx="4">
                  <c:v>38.875999999999998</c:v>
                </c:pt>
                <c:pt idx="5">
                  <c:v>38.988999999999997</c:v>
                </c:pt>
                <c:pt idx="6">
                  <c:v>40.222000000000001</c:v>
                </c:pt>
                <c:pt idx="7">
                  <c:v>40.409999999999997</c:v>
                </c:pt>
                <c:pt idx="8">
                  <c:v>40.439</c:v>
                </c:pt>
                <c:pt idx="9">
                  <c:v>40.427</c:v>
                </c:pt>
                <c:pt idx="10">
                  <c:v>40.487000000000002</c:v>
                </c:pt>
                <c:pt idx="11">
                  <c:v>40.552999999999997</c:v>
                </c:pt>
                <c:pt idx="12">
                  <c:v>40.314</c:v>
                </c:pt>
                <c:pt idx="13">
                  <c:v>40.365000000000002</c:v>
                </c:pt>
                <c:pt idx="14">
                  <c:v>38.926000000000002</c:v>
                </c:pt>
                <c:pt idx="15">
                  <c:v>38.704000000000001</c:v>
                </c:pt>
                <c:pt idx="16">
                  <c:v>40.473999999999997</c:v>
                </c:pt>
                <c:pt idx="17">
                  <c:v>40.462000000000003</c:v>
                </c:pt>
                <c:pt idx="18">
                  <c:v>40.317999999999998</c:v>
                </c:pt>
                <c:pt idx="19">
                  <c:v>39.825000000000003</c:v>
                </c:pt>
                <c:pt idx="20">
                  <c:v>40.253</c:v>
                </c:pt>
                <c:pt idx="21">
                  <c:v>39.026000000000003</c:v>
                </c:pt>
                <c:pt idx="22">
                  <c:v>39.960999999999999</c:v>
                </c:pt>
                <c:pt idx="23">
                  <c:v>39.988999999999997</c:v>
                </c:pt>
                <c:pt idx="24">
                  <c:v>39.689</c:v>
                </c:pt>
                <c:pt idx="25">
                  <c:v>39.844999999999999</c:v>
                </c:pt>
                <c:pt idx="26">
                  <c:v>39.869999999999997</c:v>
                </c:pt>
                <c:pt idx="27">
                  <c:v>39.457000000000001</c:v>
                </c:pt>
                <c:pt idx="28">
                  <c:v>39.511000000000003</c:v>
                </c:pt>
                <c:pt idx="29">
                  <c:v>39.957000000000001</c:v>
                </c:pt>
                <c:pt idx="30">
                  <c:v>40.07</c:v>
                </c:pt>
                <c:pt idx="31">
                  <c:v>39.895000000000003</c:v>
                </c:pt>
                <c:pt idx="32">
                  <c:v>39.909999999999997</c:v>
                </c:pt>
                <c:pt idx="33">
                  <c:v>39.22</c:v>
                </c:pt>
                <c:pt idx="34">
                  <c:v>39.770000000000003</c:v>
                </c:pt>
                <c:pt idx="35">
                  <c:v>40.360999999999997</c:v>
                </c:pt>
                <c:pt idx="36">
                  <c:v>40.235999999999997</c:v>
                </c:pt>
                <c:pt idx="37">
                  <c:v>40.515999999999998</c:v>
                </c:pt>
                <c:pt idx="38">
                  <c:v>40.46</c:v>
                </c:pt>
                <c:pt idx="39">
                  <c:v>40.21</c:v>
                </c:pt>
                <c:pt idx="40">
                  <c:v>40.24</c:v>
                </c:pt>
                <c:pt idx="41">
                  <c:v>40.25</c:v>
                </c:pt>
                <c:pt idx="42">
                  <c:v>39.979999999999997</c:v>
                </c:pt>
              </c:numCache>
            </c:numRef>
          </c:xVal>
          <c:yVal>
            <c:numRef>
              <c:f>data!$D$9:$D$51</c:f>
              <c:numCache>
                <c:formatCode>0.000000</c:formatCode>
                <c:ptCount val="43"/>
                <c:pt idx="0">
                  <c:v>0.70416999999999996</c:v>
                </c:pt>
                <c:pt idx="1">
                  <c:v>0.70445000000000002</c:v>
                </c:pt>
                <c:pt idx="2">
                  <c:v>0.70442000000000005</c:v>
                </c:pt>
                <c:pt idx="3">
                  <c:v>0.70416999999999996</c:v>
                </c:pt>
                <c:pt idx="4">
                  <c:v>0.70501999999999998</c:v>
                </c:pt>
                <c:pt idx="5">
                  <c:v>0.70504999999999995</c:v>
                </c:pt>
                <c:pt idx="6">
                  <c:v>0.70315000000000005</c:v>
                </c:pt>
                <c:pt idx="7">
                  <c:v>0.70306999999999997</c:v>
                </c:pt>
                <c:pt idx="8">
                  <c:v>0.70311999999999997</c:v>
                </c:pt>
                <c:pt idx="9">
                  <c:v>0.70311000000000001</c:v>
                </c:pt>
                <c:pt idx="10">
                  <c:v>0.70311000000000001</c:v>
                </c:pt>
                <c:pt idx="11">
                  <c:v>0.70326</c:v>
                </c:pt>
                <c:pt idx="12">
                  <c:v>0.7036</c:v>
                </c:pt>
                <c:pt idx="13">
                  <c:v>0.70396000000000003</c:v>
                </c:pt>
                <c:pt idx="14">
                  <c:v>0.70423000000000002</c:v>
                </c:pt>
                <c:pt idx="15">
                  <c:v>0.70442000000000005</c:v>
                </c:pt>
                <c:pt idx="16">
                  <c:v>0.70391300000000001</c:v>
                </c:pt>
                <c:pt idx="17">
                  <c:v>0.70391099999999995</c:v>
                </c:pt>
                <c:pt idx="18">
                  <c:v>0.70405899999999999</c:v>
                </c:pt>
                <c:pt idx="19">
                  <c:v>0.70326599999999995</c:v>
                </c:pt>
                <c:pt idx="20">
                  <c:v>0.70348599999999994</c:v>
                </c:pt>
                <c:pt idx="21">
                  <c:v>0.70515000000000005</c:v>
                </c:pt>
                <c:pt idx="22">
                  <c:v>0.70436200000000004</c:v>
                </c:pt>
                <c:pt idx="23">
                  <c:v>0.704156</c:v>
                </c:pt>
                <c:pt idx="24">
                  <c:v>0.70407299999999995</c:v>
                </c:pt>
                <c:pt idx="25">
                  <c:v>0.70389500000000005</c:v>
                </c:pt>
                <c:pt idx="26">
                  <c:v>0.703959</c:v>
                </c:pt>
                <c:pt idx="27">
                  <c:v>0.70392999999999994</c:v>
                </c:pt>
                <c:pt idx="28">
                  <c:v>0.70398700000000003</c:v>
                </c:pt>
                <c:pt idx="29">
                  <c:v>0.70380600000000004</c:v>
                </c:pt>
                <c:pt idx="30">
                  <c:v>0.70384500000000005</c:v>
                </c:pt>
                <c:pt idx="31">
                  <c:v>0.70395799999999997</c:v>
                </c:pt>
                <c:pt idx="32">
                  <c:v>0.70397900000000002</c:v>
                </c:pt>
                <c:pt idx="33">
                  <c:v>0.70387200000000005</c:v>
                </c:pt>
                <c:pt idx="34">
                  <c:v>0.70417300000000005</c:v>
                </c:pt>
                <c:pt idx="35">
                  <c:v>0.70397500000000002</c:v>
                </c:pt>
                <c:pt idx="36">
                  <c:v>0.70396700000000001</c:v>
                </c:pt>
                <c:pt idx="37">
                  <c:v>0.70400300000000005</c:v>
                </c:pt>
                <c:pt idx="38">
                  <c:v>0.70323000000000002</c:v>
                </c:pt>
                <c:pt idx="39">
                  <c:v>0.70323000000000002</c:v>
                </c:pt>
                <c:pt idx="40">
                  <c:v>0.70394999999999996</c:v>
                </c:pt>
                <c:pt idx="41">
                  <c:v>0.70435999999999999</c:v>
                </c:pt>
                <c:pt idx="42">
                  <c:v>0.70445000000000002</c:v>
                </c:pt>
              </c:numCache>
            </c:numRef>
          </c:yVal>
          <c:smooth val="0"/>
          <c:extLst>
            <c:ext xmlns:c16="http://schemas.microsoft.com/office/drawing/2014/chart" uri="{C3380CC4-5D6E-409C-BE32-E72D297353CC}">
              <c16:uniqueId val="{00000002-D7E3-41CA-921E-6ADD8F81197B}"/>
            </c:ext>
          </c:extLst>
        </c:ser>
        <c:ser>
          <c:idx val="3"/>
          <c:order val="3"/>
          <c:tx>
            <c:strRef>
              <c:f>data!$C$55:$C$71</c:f>
              <c:strCache>
                <c:ptCount val="17"/>
                <c:pt idx="0">
                  <c:v>WR</c:v>
                </c:pt>
                <c:pt idx="1">
                  <c:v>WR</c:v>
                </c:pt>
                <c:pt idx="2">
                  <c:v>WR</c:v>
                </c:pt>
                <c:pt idx="3">
                  <c:v>WR</c:v>
                </c:pt>
                <c:pt idx="4">
                  <c:v>WR</c:v>
                </c:pt>
                <c:pt idx="5">
                  <c:v>WR</c:v>
                </c:pt>
                <c:pt idx="6">
                  <c:v>WR</c:v>
                </c:pt>
                <c:pt idx="7">
                  <c:v>WR</c:v>
                </c:pt>
                <c:pt idx="8">
                  <c:v>WR</c:v>
                </c:pt>
                <c:pt idx="9">
                  <c:v>WR</c:v>
                </c:pt>
                <c:pt idx="10">
                  <c:v>WR</c:v>
                </c:pt>
                <c:pt idx="11">
                  <c:v>WR</c:v>
                </c:pt>
                <c:pt idx="12">
                  <c:v>WR</c:v>
                </c:pt>
                <c:pt idx="13">
                  <c:v>WR</c:v>
                </c:pt>
                <c:pt idx="14">
                  <c:v>WR</c:v>
                </c:pt>
                <c:pt idx="15">
                  <c:v>WR</c:v>
                </c:pt>
                <c:pt idx="16">
                  <c:v>WR</c:v>
                </c:pt>
              </c:strCache>
            </c:strRef>
          </c:tx>
          <c:spPr>
            <a:ln w="25400" cap="rnd">
              <a:noFill/>
              <a:round/>
            </a:ln>
            <a:effectLst/>
          </c:spPr>
          <c:marker>
            <c:symbol val="circle"/>
            <c:size val="3"/>
            <c:spPr>
              <a:solidFill>
                <a:schemeClr val="tx1"/>
              </a:solidFill>
              <a:ln w="9525">
                <a:solidFill>
                  <a:schemeClr val="tx1"/>
                </a:solidFill>
              </a:ln>
              <a:effectLst/>
            </c:spPr>
          </c:marker>
          <c:xVal>
            <c:numRef>
              <c:f>data!$H$55:$H$71</c:f>
              <c:numCache>
                <c:formatCode>0.000</c:formatCode>
                <c:ptCount val="17"/>
                <c:pt idx="0">
                  <c:v>38.836889514653869</c:v>
                </c:pt>
                <c:pt idx="1">
                  <c:v>39.09748919191162</c:v>
                </c:pt>
                <c:pt idx="2">
                  <c:v>38.763632041942387</c:v>
                </c:pt>
                <c:pt idx="3">
                  <c:v>38.735959312977144</c:v>
                </c:pt>
                <c:pt idx="4">
                  <c:v>39.271444213480976</c:v>
                </c:pt>
                <c:pt idx="5">
                  <c:v>39.353859429363276</c:v>
                </c:pt>
                <c:pt idx="6">
                  <c:v>39.146441362750167</c:v>
                </c:pt>
                <c:pt idx="7">
                  <c:v>39.560062406342865</c:v>
                </c:pt>
                <c:pt idx="8">
                  <c:v>39.108727715782926</c:v>
                </c:pt>
                <c:pt idx="9">
                  <c:v>39.343066422016705</c:v>
                </c:pt>
                <c:pt idx="10">
                  <c:v>39.093343789797061</c:v>
                </c:pt>
                <c:pt idx="11">
                  <c:v>39.105328170484462</c:v>
                </c:pt>
                <c:pt idx="12">
                  <c:v>39.077711570872715</c:v>
                </c:pt>
                <c:pt idx="13">
                  <c:v>39.142309575415005</c:v>
                </c:pt>
                <c:pt idx="14">
                  <c:v>39.602591344345889</c:v>
                </c:pt>
                <c:pt idx="15">
                  <c:v>39.594106812858108</c:v>
                </c:pt>
                <c:pt idx="16">
                  <c:v>39.349700081360702</c:v>
                </c:pt>
              </c:numCache>
            </c:numRef>
          </c:xVal>
          <c:yVal>
            <c:numRef>
              <c:f>data!$D$55:$D$71</c:f>
              <c:numCache>
                <c:formatCode>0.000000</c:formatCode>
                <c:ptCount val="17"/>
                <c:pt idx="0">
                  <c:v>0.70266289061801002</c:v>
                </c:pt>
                <c:pt idx="1">
                  <c:v>0.70304875058802385</c:v>
                </c:pt>
                <c:pt idx="2">
                  <c:v>0.70291050951077405</c:v>
                </c:pt>
                <c:pt idx="3">
                  <c:v>0.70291942718987188</c:v>
                </c:pt>
                <c:pt idx="4">
                  <c:v>0.70317676363546044</c:v>
                </c:pt>
                <c:pt idx="5">
                  <c:v>0.70272083620531756</c:v>
                </c:pt>
                <c:pt idx="6">
                  <c:v>0.70290832802574232</c:v>
                </c:pt>
                <c:pt idx="7">
                  <c:v>0.70291589879399041</c:v>
                </c:pt>
                <c:pt idx="8">
                  <c:v>0.70364287819235294</c:v>
                </c:pt>
                <c:pt idx="9">
                  <c:v>0.70306325395644231</c:v>
                </c:pt>
                <c:pt idx="10">
                  <c:v>0.70302494164059881</c:v>
                </c:pt>
                <c:pt idx="11">
                  <c:v>0.7029895999877761</c:v>
                </c:pt>
                <c:pt idx="12">
                  <c:v>0.70302323415418222</c:v>
                </c:pt>
                <c:pt idx="13">
                  <c:v>0.70285362656974326</c:v>
                </c:pt>
                <c:pt idx="14">
                  <c:v>0.70289205562818946</c:v>
                </c:pt>
                <c:pt idx="15">
                  <c:v>0.7028666832152044</c:v>
                </c:pt>
                <c:pt idx="16">
                  <c:v>0.7027716932687893</c:v>
                </c:pt>
              </c:numCache>
            </c:numRef>
          </c:yVal>
          <c:smooth val="0"/>
          <c:extLst>
            <c:ext xmlns:c16="http://schemas.microsoft.com/office/drawing/2014/chart" uri="{C3380CC4-5D6E-409C-BE32-E72D297353CC}">
              <c16:uniqueId val="{00000003-D7E3-41CA-921E-6ADD8F81197B}"/>
            </c:ext>
          </c:extLst>
        </c:ser>
        <c:ser>
          <c:idx val="4"/>
          <c:order val="4"/>
          <c:tx>
            <c:strRef>
              <c:f>data!$C$72:$C$74</c:f>
              <c:strCache>
                <c:ptCount val="3"/>
                <c:pt idx="0">
                  <c:v>mantle</c:v>
                </c:pt>
                <c:pt idx="1">
                  <c:v>mantle</c:v>
                </c:pt>
                <c:pt idx="2">
                  <c:v>mantle</c:v>
                </c:pt>
              </c:strCache>
            </c:strRef>
          </c:tx>
          <c:spPr>
            <a:ln w="25400" cap="rnd">
              <a:noFill/>
              <a:round/>
            </a:ln>
            <a:effectLst/>
          </c:spPr>
          <c:marker>
            <c:symbol val="circle"/>
            <c:size val="10"/>
            <c:spPr>
              <a:noFill/>
              <a:ln w="9525">
                <a:solidFill>
                  <a:schemeClr val="tx1"/>
                </a:solidFill>
              </a:ln>
              <a:effectLst/>
            </c:spPr>
          </c:marker>
          <c:xVal>
            <c:numRef>
              <c:f>data!$H$72:$H$74</c:f>
              <c:numCache>
                <c:formatCode>0.000</c:formatCode>
                <c:ptCount val="3"/>
                <c:pt idx="0">
                  <c:v>37.5</c:v>
                </c:pt>
                <c:pt idx="1">
                  <c:v>40.75</c:v>
                </c:pt>
                <c:pt idx="2">
                  <c:v>38.299999999999997</c:v>
                </c:pt>
              </c:numCache>
            </c:numRef>
          </c:xVal>
          <c:yVal>
            <c:numRef>
              <c:f>data!$D$72:$D$74</c:f>
              <c:numCache>
                <c:formatCode>0.000000</c:formatCode>
                <c:ptCount val="3"/>
                <c:pt idx="0">
                  <c:v>0.70223999999999998</c:v>
                </c:pt>
                <c:pt idx="1">
                  <c:v>0.70274999999999999</c:v>
                </c:pt>
                <c:pt idx="2">
                  <c:v>0.70530000000000004</c:v>
                </c:pt>
              </c:numCache>
            </c:numRef>
          </c:yVal>
          <c:smooth val="0"/>
          <c:extLst>
            <c:ext xmlns:c16="http://schemas.microsoft.com/office/drawing/2014/chart" uri="{C3380CC4-5D6E-409C-BE32-E72D297353CC}">
              <c16:uniqueId val="{00000004-D7E3-41CA-921E-6ADD8F81197B}"/>
            </c:ext>
          </c:extLst>
        </c:ser>
        <c:dLbls>
          <c:showLegendKey val="0"/>
          <c:showVal val="0"/>
          <c:showCatName val="0"/>
          <c:showSerName val="0"/>
          <c:showPercent val="0"/>
          <c:showBubbleSize val="0"/>
        </c:dLbls>
        <c:axId val="459557768"/>
        <c:axId val="459556456"/>
      </c:scatterChart>
      <c:valAx>
        <c:axId val="4595577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208</a:t>
                </a:r>
                <a:r>
                  <a:rPr lang="en-GB" sz="1200" baseline="0">
                    <a:solidFill>
                      <a:schemeClr val="tx1"/>
                    </a:solidFill>
                  </a:rPr>
                  <a:t>Pb/</a:t>
                </a:r>
                <a:r>
                  <a:rPr lang="en-GB" sz="1200" baseline="30000">
                    <a:solidFill>
                      <a:schemeClr val="tx1"/>
                    </a:solidFill>
                  </a:rPr>
                  <a:t>204</a:t>
                </a:r>
                <a:r>
                  <a:rPr lang="en-GB" sz="1200" baseline="0">
                    <a:solidFill>
                      <a:schemeClr val="tx1"/>
                    </a:solidFill>
                  </a:rPr>
                  <a:t>Pb</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59556456"/>
        <c:crosses val="autoZero"/>
        <c:crossBetween val="midCat"/>
        <c:majorUnit val="1"/>
      </c:valAx>
      <c:valAx>
        <c:axId val="459556456"/>
        <c:scaling>
          <c:orientation val="minMax"/>
          <c:max val="0.70600000000000007"/>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87</a:t>
                </a:r>
                <a:r>
                  <a:rPr lang="en-GB" sz="1200" baseline="0">
                    <a:solidFill>
                      <a:schemeClr val="tx1"/>
                    </a:solidFill>
                  </a:rPr>
                  <a:t>Sr/</a:t>
                </a:r>
                <a:r>
                  <a:rPr lang="en-GB" sz="1200" baseline="30000">
                    <a:solidFill>
                      <a:schemeClr val="tx1"/>
                    </a:solidFill>
                  </a:rPr>
                  <a:t>86</a:t>
                </a:r>
                <a:r>
                  <a:rPr lang="en-GB" sz="1200" baseline="0">
                    <a:solidFill>
                      <a:schemeClr val="tx1"/>
                    </a:solidFill>
                  </a:rPr>
                  <a:t>Sr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59557768"/>
        <c:crosses val="autoZero"/>
        <c:crossBetween val="midCat"/>
        <c:majorUnit val="1.0000000000000002E-3"/>
      </c:valAx>
      <c:spPr>
        <a:noFill/>
        <a:ln w="190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data!$C$2:$C$5</c:f>
              <c:strCache>
                <c:ptCount val="4"/>
                <c:pt idx="0">
                  <c:v>TCC</c:v>
                </c:pt>
                <c:pt idx="1">
                  <c:v>TCC</c:v>
                </c:pt>
                <c:pt idx="2">
                  <c:v>TCC</c:v>
                </c:pt>
                <c:pt idx="3">
                  <c:v>TCC</c:v>
                </c:pt>
              </c:strCache>
            </c:strRef>
          </c:tx>
          <c:spPr>
            <a:ln w="25400" cap="rnd">
              <a:noFill/>
              <a:round/>
            </a:ln>
            <a:effectLst/>
          </c:spPr>
          <c:marker>
            <c:symbol val="plus"/>
            <c:size val="8"/>
            <c:spPr>
              <a:noFill/>
              <a:ln w="9525">
                <a:solidFill>
                  <a:schemeClr val="tx1"/>
                </a:solidFill>
              </a:ln>
              <a:effectLst/>
            </c:spPr>
          </c:marker>
          <c:xVal>
            <c:numRef>
              <c:f>data!$H$2:$H$5</c:f>
              <c:numCache>
                <c:formatCode>0.000</c:formatCode>
                <c:ptCount val="4"/>
                <c:pt idx="0">
                  <c:v>40.042851444276003</c:v>
                </c:pt>
                <c:pt idx="1">
                  <c:v>40.261895032107041</c:v>
                </c:pt>
                <c:pt idx="2">
                  <c:v>40.017595032107046</c:v>
                </c:pt>
                <c:pt idx="3">
                  <c:v>40.1707919555679</c:v>
                </c:pt>
              </c:numCache>
            </c:numRef>
          </c:xVal>
          <c:yVal>
            <c:numRef>
              <c:f>data!$E$2:$E$5</c:f>
              <c:numCache>
                <c:formatCode>0.000000</c:formatCode>
                <c:ptCount val="4"/>
                <c:pt idx="0">
                  <c:v>0.51252037264289163</c:v>
                </c:pt>
                <c:pt idx="1">
                  <c:v>0.51255630246007255</c:v>
                </c:pt>
                <c:pt idx="2">
                  <c:v>0.51252930246007256</c:v>
                </c:pt>
                <c:pt idx="3">
                  <c:v>0.5125571784881634</c:v>
                </c:pt>
              </c:numCache>
            </c:numRef>
          </c:yVal>
          <c:smooth val="0"/>
          <c:extLst>
            <c:ext xmlns:c16="http://schemas.microsoft.com/office/drawing/2014/chart" uri="{C3380CC4-5D6E-409C-BE32-E72D297353CC}">
              <c16:uniqueId val="{00000000-9DFA-49B4-A51B-F04E1682FC53}"/>
            </c:ext>
          </c:extLst>
        </c:ser>
        <c:ser>
          <c:idx val="1"/>
          <c:order val="1"/>
          <c:tx>
            <c:strRef>
              <c:f>data!$C$6:$C$8</c:f>
              <c:strCache>
                <c:ptCount val="3"/>
                <c:pt idx="0">
                  <c:v>DW</c:v>
                </c:pt>
                <c:pt idx="1">
                  <c:v>DW</c:v>
                </c:pt>
                <c:pt idx="2">
                  <c:v>DW</c:v>
                </c:pt>
              </c:strCache>
            </c:strRef>
          </c:tx>
          <c:spPr>
            <a:ln w="25400" cap="rnd">
              <a:noFill/>
              <a:round/>
            </a:ln>
            <a:effectLst/>
          </c:spPr>
          <c:marker>
            <c:symbol val="x"/>
            <c:size val="8"/>
            <c:spPr>
              <a:noFill/>
              <a:ln w="9525">
                <a:solidFill>
                  <a:schemeClr val="tx1"/>
                </a:solidFill>
              </a:ln>
              <a:effectLst/>
            </c:spPr>
          </c:marker>
          <c:xVal>
            <c:numRef>
              <c:f>data!$H$6:$H$8</c:f>
              <c:numCache>
                <c:formatCode>0.000</c:formatCode>
                <c:ptCount val="3"/>
                <c:pt idx="0">
                  <c:v>40.325000000000003</c:v>
                </c:pt>
                <c:pt idx="1">
                  <c:v>40.058999999999997</c:v>
                </c:pt>
                <c:pt idx="2">
                  <c:v>39.99</c:v>
                </c:pt>
              </c:numCache>
            </c:numRef>
          </c:xVal>
          <c:yVal>
            <c:numRef>
              <c:f>data!$E$6:$E$8</c:f>
              <c:numCache>
                <c:formatCode>0.000000</c:formatCode>
                <c:ptCount val="3"/>
                <c:pt idx="0">
                  <c:v>0.51271599999999995</c:v>
                </c:pt>
                <c:pt idx="1">
                  <c:v>0.51270499999999997</c:v>
                </c:pt>
                <c:pt idx="2">
                  <c:v>0.51268000000000002</c:v>
                </c:pt>
              </c:numCache>
            </c:numRef>
          </c:yVal>
          <c:smooth val="0"/>
          <c:extLst>
            <c:ext xmlns:c16="http://schemas.microsoft.com/office/drawing/2014/chart" uri="{C3380CC4-5D6E-409C-BE32-E72D297353CC}">
              <c16:uniqueId val="{00000001-9DFA-49B4-A51B-F04E1682FC53}"/>
            </c:ext>
          </c:extLst>
        </c:ser>
        <c:ser>
          <c:idx val="2"/>
          <c:order val="2"/>
          <c:tx>
            <c:strRef>
              <c:f>data!$C$9:$C$51</c:f>
              <c:strCache>
                <c:ptCount val="43"/>
                <c:pt idx="0">
                  <c:v>EAC</c:v>
                </c:pt>
                <c:pt idx="1">
                  <c:v>EAC</c:v>
                </c:pt>
                <c:pt idx="2">
                  <c:v>EAC</c:v>
                </c:pt>
                <c:pt idx="3">
                  <c:v>EAC</c:v>
                </c:pt>
                <c:pt idx="4">
                  <c:v>EAC</c:v>
                </c:pt>
                <c:pt idx="5">
                  <c:v>EAC</c:v>
                </c:pt>
                <c:pt idx="6">
                  <c:v>EAC</c:v>
                </c:pt>
                <c:pt idx="7">
                  <c:v>EAC</c:v>
                </c:pt>
                <c:pt idx="8">
                  <c:v>EAC</c:v>
                </c:pt>
                <c:pt idx="9">
                  <c:v>EAC</c:v>
                </c:pt>
                <c:pt idx="10">
                  <c:v>EAC</c:v>
                </c:pt>
                <c:pt idx="11">
                  <c:v>EAC</c:v>
                </c:pt>
                <c:pt idx="12">
                  <c:v>EAC</c:v>
                </c:pt>
                <c:pt idx="13">
                  <c:v>EAC</c:v>
                </c:pt>
                <c:pt idx="14">
                  <c:v>EAC</c:v>
                </c:pt>
                <c:pt idx="15">
                  <c:v>EAC</c:v>
                </c:pt>
                <c:pt idx="16">
                  <c:v>EAC</c:v>
                </c:pt>
                <c:pt idx="17">
                  <c:v>EAC</c:v>
                </c:pt>
                <c:pt idx="18">
                  <c:v>EAC</c:v>
                </c:pt>
                <c:pt idx="19">
                  <c:v>EAC</c:v>
                </c:pt>
                <c:pt idx="20">
                  <c:v>EAC</c:v>
                </c:pt>
                <c:pt idx="21">
                  <c:v>EAC</c:v>
                </c:pt>
                <c:pt idx="22">
                  <c:v>EAC</c:v>
                </c:pt>
                <c:pt idx="23">
                  <c:v>EAC</c:v>
                </c:pt>
                <c:pt idx="24">
                  <c:v>EAC</c:v>
                </c:pt>
                <c:pt idx="25">
                  <c:v>EAC</c:v>
                </c:pt>
                <c:pt idx="26">
                  <c:v>EAC</c:v>
                </c:pt>
                <c:pt idx="27">
                  <c:v>EAC</c:v>
                </c:pt>
                <c:pt idx="28">
                  <c:v>EAC</c:v>
                </c:pt>
                <c:pt idx="29">
                  <c:v>EAC</c:v>
                </c:pt>
                <c:pt idx="30">
                  <c:v>EAC</c:v>
                </c:pt>
                <c:pt idx="31">
                  <c:v>EAC</c:v>
                </c:pt>
                <c:pt idx="32">
                  <c:v>EAC</c:v>
                </c:pt>
                <c:pt idx="33">
                  <c:v>EAC</c:v>
                </c:pt>
                <c:pt idx="34">
                  <c:v>EAC</c:v>
                </c:pt>
                <c:pt idx="35">
                  <c:v>EAC</c:v>
                </c:pt>
                <c:pt idx="36">
                  <c:v>EAC</c:v>
                </c:pt>
                <c:pt idx="37">
                  <c:v>EAC</c:v>
                </c:pt>
                <c:pt idx="38">
                  <c:v>EAC</c:v>
                </c:pt>
                <c:pt idx="39">
                  <c:v>EAC</c:v>
                </c:pt>
                <c:pt idx="40">
                  <c:v>EAC</c:v>
                </c:pt>
                <c:pt idx="41">
                  <c:v>EAC</c:v>
                </c:pt>
                <c:pt idx="42">
                  <c:v>EAC</c:v>
                </c:pt>
              </c:strCache>
            </c:strRef>
          </c:tx>
          <c:spPr>
            <a:ln w="25400" cap="rnd">
              <a:noFill/>
              <a:round/>
            </a:ln>
            <a:effectLst/>
          </c:spPr>
          <c:marker>
            <c:symbol val="circle"/>
            <c:size val="3"/>
            <c:spPr>
              <a:noFill/>
              <a:ln w="9525">
                <a:solidFill>
                  <a:schemeClr val="tx1"/>
                </a:solidFill>
              </a:ln>
              <a:effectLst/>
            </c:spPr>
          </c:marker>
          <c:xVal>
            <c:numRef>
              <c:f>data!$H$9:$H$51</c:f>
              <c:numCache>
                <c:formatCode>0.000</c:formatCode>
                <c:ptCount val="43"/>
                <c:pt idx="0">
                  <c:v>39.734999999999999</c:v>
                </c:pt>
                <c:pt idx="1">
                  <c:v>39.222000000000001</c:v>
                </c:pt>
                <c:pt idx="2">
                  <c:v>39.216000000000001</c:v>
                </c:pt>
                <c:pt idx="3">
                  <c:v>39.808999999999997</c:v>
                </c:pt>
                <c:pt idx="4">
                  <c:v>38.875999999999998</c:v>
                </c:pt>
                <c:pt idx="5">
                  <c:v>38.988999999999997</c:v>
                </c:pt>
                <c:pt idx="6">
                  <c:v>40.222000000000001</c:v>
                </c:pt>
                <c:pt idx="7">
                  <c:v>40.409999999999997</c:v>
                </c:pt>
                <c:pt idx="8">
                  <c:v>40.439</c:v>
                </c:pt>
                <c:pt idx="9">
                  <c:v>40.427</c:v>
                </c:pt>
                <c:pt idx="10">
                  <c:v>40.487000000000002</c:v>
                </c:pt>
                <c:pt idx="11">
                  <c:v>40.552999999999997</c:v>
                </c:pt>
                <c:pt idx="12">
                  <c:v>40.314</c:v>
                </c:pt>
                <c:pt idx="13">
                  <c:v>40.365000000000002</c:v>
                </c:pt>
                <c:pt idx="14">
                  <c:v>38.926000000000002</c:v>
                </c:pt>
                <c:pt idx="15">
                  <c:v>38.704000000000001</c:v>
                </c:pt>
                <c:pt idx="16">
                  <c:v>40.473999999999997</c:v>
                </c:pt>
                <c:pt idx="17">
                  <c:v>40.462000000000003</c:v>
                </c:pt>
                <c:pt idx="18">
                  <c:v>40.317999999999998</c:v>
                </c:pt>
                <c:pt idx="19">
                  <c:v>39.825000000000003</c:v>
                </c:pt>
                <c:pt idx="20">
                  <c:v>40.253</c:v>
                </c:pt>
                <c:pt idx="21">
                  <c:v>39.026000000000003</c:v>
                </c:pt>
                <c:pt idx="22">
                  <c:v>39.960999999999999</c:v>
                </c:pt>
                <c:pt idx="23">
                  <c:v>39.988999999999997</c:v>
                </c:pt>
                <c:pt idx="24">
                  <c:v>39.689</c:v>
                </c:pt>
                <c:pt idx="25">
                  <c:v>39.844999999999999</c:v>
                </c:pt>
                <c:pt idx="26">
                  <c:v>39.869999999999997</c:v>
                </c:pt>
                <c:pt idx="27">
                  <c:v>39.457000000000001</c:v>
                </c:pt>
                <c:pt idx="28">
                  <c:v>39.511000000000003</c:v>
                </c:pt>
                <c:pt idx="29">
                  <c:v>39.957000000000001</c:v>
                </c:pt>
                <c:pt idx="30">
                  <c:v>40.07</c:v>
                </c:pt>
                <c:pt idx="31">
                  <c:v>39.895000000000003</c:v>
                </c:pt>
                <c:pt idx="32">
                  <c:v>39.909999999999997</c:v>
                </c:pt>
                <c:pt idx="33">
                  <c:v>39.22</c:v>
                </c:pt>
                <c:pt idx="34">
                  <c:v>39.770000000000003</c:v>
                </c:pt>
                <c:pt idx="35">
                  <c:v>40.360999999999997</c:v>
                </c:pt>
                <c:pt idx="36">
                  <c:v>40.235999999999997</c:v>
                </c:pt>
                <c:pt idx="37">
                  <c:v>40.515999999999998</c:v>
                </c:pt>
                <c:pt idx="38">
                  <c:v>40.46</c:v>
                </c:pt>
                <c:pt idx="39">
                  <c:v>40.21</c:v>
                </c:pt>
                <c:pt idx="40">
                  <c:v>40.24</c:v>
                </c:pt>
                <c:pt idx="41">
                  <c:v>40.25</c:v>
                </c:pt>
                <c:pt idx="42">
                  <c:v>39.979999999999997</c:v>
                </c:pt>
              </c:numCache>
            </c:numRef>
          </c:xVal>
          <c:yVal>
            <c:numRef>
              <c:f>data!$E$9:$E$51</c:f>
              <c:numCache>
                <c:formatCode>0.000000</c:formatCode>
                <c:ptCount val="43"/>
                <c:pt idx="0">
                  <c:v>0.51256999999999997</c:v>
                </c:pt>
                <c:pt idx="1">
                  <c:v>0.51258999999999999</c:v>
                </c:pt>
                <c:pt idx="2">
                  <c:v>0.51261000000000001</c:v>
                </c:pt>
                <c:pt idx="3">
                  <c:v>0.51258000000000004</c:v>
                </c:pt>
                <c:pt idx="4">
                  <c:v>0.51244000000000001</c:v>
                </c:pt>
                <c:pt idx="5">
                  <c:v>0.51248000000000005</c:v>
                </c:pt>
                <c:pt idx="6">
                  <c:v>0.51278999999999997</c:v>
                </c:pt>
                <c:pt idx="7">
                  <c:v>0.51278999999999997</c:v>
                </c:pt>
                <c:pt idx="8">
                  <c:v>0.51280999999999999</c:v>
                </c:pt>
                <c:pt idx="9">
                  <c:v>0.51283000000000001</c:v>
                </c:pt>
                <c:pt idx="10">
                  <c:v>0.51280999999999999</c:v>
                </c:pt>
                <c:pt idx="11">
                  <c:v>0.51280999999999999</c:v>
                </c:pt>
                <c:pt idx="12">
                  <c:v>0.51273000000000002</c:v>
                </c:pt>
                <c:pt idx="13">
                  <c:v>0.51254999999999995</c:v>
                </c:pt>
                <c:pt idx="14">
                  <c:v>0.51254</c:v>
                </c:pt>
                <c:pt idx="15">
                  <c:v>0.51249</c:v>
                </c:pt>
                <c:pt idx="16">
                  <c:v>0.51272899999999999</c:v>
                </c:pt>
                <c:pt idx="17">
                  <c:v>0.51272499999999999</c:v>
                </c:pt>
                <c:pt idx="18">
                  <c:v>0.51271699999999998</c:v>
                </c:pt>
                <c:pt idx="19">
                  <c:v>0.51282700000000003</c:v>
                </c:pt>
                <c:pt idx="20">
                  <c:v>0.51276299999999997</c:v>
                </c:pt>
                <c:pt idx="21">
                  <c:v>0.512486</c:v>
                </c:pt>
                <c:pt idx="22">
                  <c:v>0.51264200000000004</c:v>
                </c:pt>
                <c:pt idx="23">
                  <c:v>0.51275000000000004</c:v>
                </c:pt>
                <c:pt idx="24">
                  <c:v>0.512679</c:v>
                </c:pt>
                <c:pt idx="25">
                  <c:v>0.51272899999999999</c:v>
                </c:pt>
                <c:pt idx="26">
                  <c:v>0.51272099999999998</c:v>
                </c:pt>
                <c:pt idx="27">
                  <c:v>0.51266299999999998</c:v>
                </c:pt>
                <c:pt idx="28">
                  <c:v>0.51266599999999996</c:v>
                </c:pt>
                <c:pt idx="29">
                  <c:v>0.51270800000000005</c:v>
                </c:pt>
                <c:pt idx="30">
                  <c:v>0.51267499999999999</c:v>
                </c:pt>
                <c:pt idx="31">
                  <c:v>0.51274299999999995</c:v>
                </c:pt>
                <c:pt idx="32">
                  <c:v>0.512737</c:v>
                </c:pt>
                <c:pt idx="33">
                  <c:v>0.512679</c:v>
                </c:pt>
                <c:pt idx="34">
                  <c:v>0.51268899999999995</c:v>
                </c:pt>
                <c:pt idx="35">
                  <c:v>0.51274399999999998</c:v>
                </c:pt>
                <c:pt idx="36">
                  <c:v>0.51273000000000002</c:v>
                </c:pt>
                <c:pt idx="37">
                  <c:v>0.512706</c:v>
                </c:pt>
                <c:pt idx="38">
                  <c:v>0.51283000000000001</c:v>
                </c:pt>
                <c:pt idx="39">
                  <c:v>0.51283000000000001</c:v>
                </c:pt>
                <c:pt idx="40">
                  <c:v>0.51263000000000003</c:v>
                </c:pt>
                <c:pt idx="41">
                  <c:v>0.51266</c:v>
                </c:pt>
                <c:pt idx="42">
                  <c:v>0.51259999999999994</c:v>
                </c:pt>
              </c:numCache>
            </c:numRef>
          </c:yVal>
          <c:smooth val="0"/>
          <c:extLst>
            <c:ext xmlns:c16="http://schemas.microsoft.com/office/drawing/2014/chart" uri="{C3380CC4-5D6E-409C-BE32-E72D297353CC}">
              <c16:uniqueId val="{00000002-9DFA-49B4-A51B-F04E1682FC53}"/>
            </c:ext>
          </c:extLst>
        </c:ser>
        <c:ser>
          <c:idx val="3"/>
          <c:order val="3"/>
          <c:tx>
            <c:strRef>
              <c:f>data!$C$55:$C$71</c:f>
              <c:strCache>
                <c:ptCount val="17"/>
                <c:pt idx="0">
                  <c:v>WR</c:v>
                </c:pt>
                <c:pt idx="1">
                  <c:v>WR</c:v>
                </c:pt>
                <c:pt idx="2">
                  <c:v>WR</c:v>
                </c:pt>
                <c:pt idx="3">
                  <c:v>WR</c:v>
                </c:pt>
                <c:pt idx="4">
                  <c:v>WR</c:v>
                </c:pt>
                <c:pt idx="5">
                  <c:v>WR</c:v>
                </c:pt>
                <c:pt idx="6">
                  <c:v>WR</c:v>
                </c:pt>
                <c:pt idx="7">
                  <c:v>WR</c:v>
                </c:pt>
                <c:pt idx="8">
                  <c:v>WR</c:v>
                </c:pt>
                <c:pt idx="9">
                  <c:v>WR</c:v>
                </c:pt>
                <c:pt idx="10">
                  <c:v>WR</c:v>
                </c:pt>
                <c:pt idx="11">
                  <c:v>WR</c:v>
                </c:pt>
                <c:pt idx="12">
                  <c:v>WR</c:v>
                </c:pt>
                <c:pt idx="13">
                  <c:v>WR</c:v>
                </c:pt>
                <c:pt idx="14">
                  <c:v>WR</c:v>
                </c:pt>
                <c:pt idx="15">
                  <c:v>WR</c:v>
                </c:pt>
                <c:pt idx="16">
                  <c:v>WR</c:v>
                </c:pt>
              </c:strCache>
            </c:strRef>
          </c:tx>
          <c:spPr>
            <a:ln w="25400" cap="rnd">
              <a:noFill/>
              <a:round/>
            </a:ln>
            <a:effectLst/>
          </c:spPr>
          <c:marker>
            <c:symbol val="circle"/>
            <c:size val="3"/>
            <c:spPr>
              <a:solidFill>
                <a:schemeClr val="tx1"/>
              </a:solidFill>
              <a:ln w="9525">
                <a:solidFill>
                  <a:schemeClr val="tx1"/>
                </a:solidFill>
              </a:ln>
              <a:effectLst/>
            </c:spPr>
          </c:marker>
          <c:xVal>
            <c:numRef>
              <c:f>data!$H$55:$H$71</c:f>
              <c:numCache>
                <c:formatCode>0.000</c:formatCode>
                <c:ptCount val="17"/>
                <c:pt idx="0">
                  <c:v>38.836889514653869</c:v>
                </c:pt>
                <c:pt idx="1">
                  <c:v>39.09748919191162</c:v>
                </c:pt>
                <c:pt idx="2">
                  <c:v>38.763632041942387</c:v>
                </c:pt>
                <c:pt idx="3">
                  <c:v>38.735959312977144</c:v>
                </c:pt>
                <c:pt idx="4">
                  <c:v>39.271444213480976</c:v>
                </c:pt>
                <c:pt idx="5">
                  <c:v>39.353859429363276</c:v>
                </c:pt>
                <c:pt idx="6">
                  <c:v>39.146441362750167</c:v>
                </c:pt>
                <c:pt idx="7">
                  <c:v>39.560062406342865</c:v>
                </c:pt>
                <c:pt idx="8">
                  <c:v>39.108727715782926</c:v>
                </c:pt>
                <c:pt idx="9">
                  <c:v>39.343066422016705</c:v>
                </c:pt>
                <c:pt idx="10">
                  <c:v>39.093343789797061</c:v>
                </c:pt>
                <c:pt idx="11">
                  <c:v>39.105328170484462</c:v>
                </c:pt>
                <c:pt idx="12">
                  <c:v>39.077711570872715</c:v>
                </c:pt>
                <c:pt idx="13">
                  <c:v>39.142309575415005</c:v>
                </c:pt>
                <c:pt idx="14">
                  <c:v>39.602591344345889</c:v>
                </c:pt>
                <c:pt idx="15">
                  <c:v>39.594106812858108</c:v>
                </c:pt>
                <c:pt idx="16">
                  <c:v>39.349700081360702</c:v>
                </c:pt>
              </c:numCache>
            </c:numRef>
          </c:xVal>
          <c:yVal>
            <c:numRef>
              <c:f>data!$E$55:$E$71</c:f>
              <c:numCache>
                <c:formatCode>0.000000</c:formatCode>
                <c:ptCount val="17"/>
                <c:pt idx="0">
                  <c:v>0.51289718789669581</c:v>
                </c:pt>
                <c:pt idx="1">
                  <c:v>0.51281021311043506</c:v>
                </c:pt>
                <c:pt idx="2">
                  <c:v>0.51285229782151631</c:v>
                </c:pt>
                <c:pt idx="3">
                  <c:v>0.51283694273334257</c:v>
                </c:pt>
                <c:pt idx="4">
                  <c:v>0.51281773360299587</c:v>
                </c:pt>
                <c:pt idx="5">
                  <c:v>0.51280547751859118</c:v>
                </c:pt>
                <c:pt idx="6">
                  <c:v>0.51280649148737245</c:v>
                </c:pt>
                <c:pt idx="7">
                  <c:v>0.51279383279151203</c:v>
                </c:pt>
                <c:pt idx="8">
                  <c:v>0.51279662201387077</c:v>
                </c:pt>
                <c:pt idx="9">
                  <c:v>0.51276091776361044</c:v>
                </c:pt>
                <c:pt idx="10">
                  <c:v>0.51287348745416095</c:v>
                </c:pt>
                <c:pt idx="11">
                  <c:v>0.51287305438448927</c:v>
                </c:pt>
                <c:pt idx="12">
                  <c:v>0.51286924870928285</c:v>
                </c:pt>
                <c:pt idx="13">
                  <c:v>0.512822164156573</c:v>
                </c:pt>
                <c:pt idx="14">
                  <c:v>0.51279510378507076</c:v>
                </c:pt>
                <c:pt idx="15">
                  <c:v>0.51279760092187998</c:v>
                </c:pt>
                <c:pt idx="16">
                  <c:v>0.51279112108937464</c:v>
                </c:pt>
              </c:numCache>
            </c:numRef>
          </c:yVal>
          <c:smooth val="0"/>
          <c:extLst>
            <c:ext xmlns:c16="http://schemas.microsoft.com/office/drawing/2014/chart" uri="{C3380CC4-5D6E-409C-BE32-E72D297353CC}">
              <c16:uniqueId val="{00000003-9DFA-49B4-A51B-F04E1682FC53}"/>
            </c:ext>
          </c:extLst>
        </c:ser>
        <c:ser>
          <c:idx val="4"/>
          <c:order val="4"/>
          <c:tx>
            <c:strRef>
              <c:f>data!$C$72:$C$74</c:f>
              <c:strCache>
                <c:ptCount val="3"/>
                <c:pt idx="0">
                  <c:v>mantle</c:v>
                </c:pt>
                <c:pt idx="1">
                  <c:v>mantle</c:v>
                </c:pt>
                <c:pt idx="2">
                  <c:v>mantle</c:v>
                </c:pt>
              </c:strCache>
            </c:strRef>
          </c:tx>
          <c:spPr>
            <a:ln w="25400" cap="rnd">
              <a:noFill/>
              <a:round/>
            </a:ln>
            <a:effectLst/>
          </c:spPr>
          <c:marker>
            <c:symbol val="circle"/>
            <c:size val="10"/>
            <c:spPr>
              <a:noFill/>
              <a:ln w="9525">
                <a:solidFill>
                  <a:schemeClr val="tx1"/>
                </a:solidFill>
              </a:ln>
              <a:effectLst/>
            </c:spPr>
          </c:marker>
          <c:xVal>
            <c:numRef>
              <c:f>data!$H$72:$H$74</c:f>
              <c:numCache>
                <c:formatCode>0.000</c:formatCode>
                <c:ptCount val="3"/>
                <c:pt idx="0">
                  <c:v>37.5</c:v>
                </c:pt>
                <c:pt idx="1">
                  <c:v>40.75</c:v>
                </c:pt>
                <c:pt idx="2">
                  <c:v>38.299999999999997</c:v>
                </c:pt>
              </c:numCache>
            </c:numRef>
          </c:xVal>
          <c:yVal>
            <c:numRef>
              <c:f>data!$E$72:$E$74</c:f>
              <c:numCache>
                <c:formatCode>0.000000</c:formatCode>
                <c:ptCount val="3"/>
                <c:pt idx="0">
                  <c:v>0.51329000000000002</c:v>
                </c:pt>
                <c:pt idx="1">
                  <c:v>0.51287000000000005</c:v>
                </c:pt>
                <c:pt idx="2">
                  <c:v>0.51236999999999999</c:v>
                </c:pt>
              </c:numCache>
            </c:numRef>
          </c:yVal>
          <c:smooth val="0"/>
          <c:extLst>
            <c:ext xmlns:c16="http://schemas.microsoft.com/office/drawing/2014/chart" uri="{C3380CC4-5D6E-409C-BE32-E72D297353CC}">
              <c16:uniqueId val="{00000004-9DFA-49B4-A51B-F04E1682FC53}"/>
            </c:ext>
          </c:extLst>
        </c:ser>
        <c:dLbls>
          <c:showLegendKey val="0"/>
          <c:showVal val="0"/>
          <c:showCatName val="0"/>
          <c:showSerName val="0"/>
          <c:showPercent val="0"/>
          <c:showBubbleSize val="0"/>
        </c:dLbls>
        <c:axId val="691485528"/>
        <c:axId val="691493400"/>
      </c:scatterChart>
      <c:valAx>
        <c:axId val="69148552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208</a:t>
                </a:r>
                <a:r>
                  <a:rPr lang="en-GB" sz="1200" baseline="0">
                    <a:solidFill>
                      <a:schemeClr val="tx1"/>
                    </a:solidFill>
                  </a:rPr>
                  <a:t>Pb/</a:t>
                </a:r>
                <a:r>
                  <a:rPr lang="en-GB" sz="1200" baseline="30000">
                    <a:solidFill>
                      <a:schemeClr val="tx1"/>
                    </a:solidFill>
                  </a:rPr>
                  <a:t>204</a:t>
                </a:r>
                <a:r>
                  <a:rPr lang="en-GB" sz="1200" baseline="0">
                    <a:solidFill>
                      <a:schemeClr val="tx1"/>
                    </a:solidFill>
                  </a:rPr>
                  <a:t>Pb</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91493400"/>
        <c:crosses val="autoZero"/>
        <c:crossBetween val="midCat"/>
        <c:majorUnit val="1"/>
      </c:valAx>
      <c:valAx>
        <c:axId val="69149340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143</a:t>
                </a:r>
                <a:r>
                  <a:rPr lang="en-GB" sz="1200" baseline="0">
                    <a:solidFill>
                      <a:schemeClr val="tx1"/>
                    </a:solidFill>
                  </a:rPr>
                  <a:t>Nd/</a:t>
                </a:r>
                <a:r>
                  <a:rPr lang="en-GB" sz="1200" baseline="30000">
                    <a:solidFill>
                      <a:schemeClr val="tx1"/>
                    </a:solidFill>
                  </a:rPr>
                  <a:t>144</a:t>
                </a:r>
                <a:r>
                  <a:rPr lang="en-GB" sz="1200" baseline="0">
                    <a:solidFill>
                      <a:schemeClr val="tx1"/>
                    </a:solidFill>
                  </a:rPr>
                  <a:t>Nd</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0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91485528"/>
        <c:crosses val="autoZero"/>
        <c:crossBetween val="midCat"/>
      </c:valAx>
      <c:spPr>
        <a:noFill/>
        <a:ln w="190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data!$C$2:$C$5</c:f>
              <c:strCache>
                <c:ptCount val="4"/>
                <c:pt idx="0">
                  <c:v>TCC</c:v>
                </c:pt>
                <c:pt idx="1">
                  <c:v>TCC</c:v>
                </c:pt>
                <c:pt idx="2">
                  <c:v>TCC</c:v>
                </c:pt>
                <c:pt idx="3">
                  <c:v>TCC</c:v>
                </c:pt>
              </c:strCache>
            </c:strRef>
          </c:tx>
          <c:spPr>
            <a:ln w="19050" cap="rnd">
              <a:noFill/>
              <a:round/>
            </a:ln>
            <a:effectLst/>
          </c:spPr>
          <c:marker>
            <c:symbol val="plus"/>
            <c:size val="8"/>
            <c:spPr>
              <a:noFill/>
              <a:ln w="9525">
                <a:solidFill>
                  <a:schemeClr val="tx1"/>
                </a:solidFill>
              </a:ln>
              <a:effectLst/>
            </c:spPr>
          </c:marker>
          <c:xVal>
            <c:numRef>
              <c:f>data!$D$2:$D$5</c:f>
              <c:numCache>
                <c:formatCode>0.000000</c:formatCode>
                <c:ptCount val="4"/>
                <c:pt idx="0">
                  <c:v>0.70494571007402418</c:v>
                </c:pt>
                <c:pt idx="1">
                  <c:v>0.70403875552188644</c:v>
                </c:pt>
                <c:pt idx="2">
                  <c:v>0.70457375552188628</c:v>
                </c:pt>
                <c:pt idx="3">
                  <c:v>0.70433531033347363</c:v>
                </c:pt>
              </c:numCache>
            </c:numRef>
          </c:xVal>
          <c:yVal>
            <c:numRef>
              <c:f>data!$M$2:$M$5</c:f>
              <c:numCache>
                <c:formatCode>General</c:formatCode>
                <c:ptCount val="4"/>
                <c:pt idx="0">
                  <c:v>0.51381701742445196</c:v>
                </c:pt>
                <c:pt idx="1">
                  <c:v>0.51386795082676351</c:v>
                </c:pt>
                <c:pt idx="2">
                  <c:v>0.51383601982929905</c:v>
                </c:pt>
                <c:pt idx="3">
                  <c:v>0.51385383710862864</c:v>
                </c:pt>
              </c:numCache>
            </c:numRef>
          </c:yVal>
          <c:smooth val="0"/>
          <c:extLst>
            <c:ext xmlns:c16="http://schemas.microsoft.com/office/drawing/2014/chart" uri="{C3380CC4-5D6E-409C-BE32-E72D297353CC}">
              <c16:uniqueId val="{00000000-8B06-47A5-A2AA-6DC1CB92EFFD}"/>
            </c:ext>
          </c:extLst>
        </c:ser>
        <c:ser>
          <c:idx val="1"/>
          <c:order val="1"/>
          <c:tx>
            <c:strRef>
              <c:f>data!$C$6:$C$8</c:f>
              <c:strCache>
                <c:ptCount val="3"/>
                <c:pt idx="0">
                  <c:v>DW</c:v>
                </c:pt>
                <c:pt idx="1">
                  <c:v>DW</c:v>
                </c:pt>
                <c:pt idx="2">
                  <c:v>DW</c:v>
                </c:pt>
              </c:strCache>
            </c:strRef>
          </c:tx>
          <c:spPr>
            <a:ln w="25400" cap="rnd">
              <a:noFill/>
              <a:round/>
            </a:ln>
            <a:effectLst/>
          </c:spPr>
          <c:marker>
            <c:symbol val="x"/>
            <c:size val="8"/>
            <c:spPr>
              <a:noFill/>
              <a:ln w="9525">
                <a:solidFill>
                  <a:schemeClr val="tx1"/>
                </a:solidFill>
              </a:ln>
              <a:effectLst/>
            </c:spPr>
          </c:marker>
          <c:xVal>
            <c:numRef>
              <c:f>data!$D$6:$D$8</c:f>
              <c:numCache>
                <c:formatCode>0.000000</c:formatCode>
                <c:ptCount val="3"/>
                <c:pt idx="0">
                  <c:v>0.70326999999999995</c:v>
                </c:pt>
                <c:pt idx="1">
                  <c:v>0.70345000000000002</c:v>
                </c:pt>
                <c:pt idx="2">
                  <c:v>0.70335999999999999</c:v>
                </c:pt>
              </c:numCache>
            </c:numRef>
          </c:xVal>
          <c:yVal>
            <c:numRef>
              <c:f>data!$M$6:$M$8</c:f>
              <c:numCache>
                <c:formatCode>General</c:formatCode>
                <c:ptCount val="3"/>
                <c:pt idx="0">
                  <c:v>0.51405612234499809</c:v>
                </c:pt>
                <c:pt idx="1">
                  <c:v>0.51404300911510459</c:v>
                </c:pt>
                <c:pt idx="2">
                  <c:v>0.51400283199565111</c:v>
                </c:pt>
              </c:numCache>
            </c:numRef>
          </c:yVal>
          <c:smooth val="0"/>
          <c:extLst>
            <c:ext xmlns:c16="http://schemas.microsoft.com/office/drawing/2014/chart" uri="{C3380CC4-5D6E-409C-BE32-E72D297353CC}">
              <c16:uniqueId val="{00000001-8B06-47A5-A2AA-6DC1CB92EFFD}"/>
            </c:ext>
          </c:extLst>
        </c:ser>
        <c:ser>
          <c:idx val="2"/>
          <c:order val="2"/>
          <c:tx>
            <c:strRef>
              <c:f>data!$C$9:$C$51</c:f>
              <c:strCache>
                <c:ptCount val="43"/>
                <c:pt idx="0">
                  <c:v>EAC</c:v>
                </c:pt>
                <c:pt idx="1">
                  <c:v>EAC</c:v>
                </c:pt>
                <c:pt idx="2">
                  <c:v>EAC</c:v>
                </c:pt>
                <c:pt idx="3">
                  <c:v>EAC</c:v>
                </c:pt>
                <c:pt idx="4">
                  <c:v>EAC</c:v>
                </c:pt>
                <c:pt idx="5">
                  <c:v>EAC</c:v>
                </c:pt>
                <c:pt idx="6">
                  <c:v>EAC</c:v>
                </c:pt>
                <c:pt idx="7">
                  <c:v>EAC</c:v>
                </c:pt>
                <c:pt idx="8">
                  <c:v>EAC</c:v>
                </c:pt>
                <c:pt idx="9">
                  <c:v>EAC</c:v>
                </c:pt>
                <c:pt idx="10">
                  <c:v>EAC</c:v>
                </c:pt>
                <c:pt idx="11">
                  <c:v>EAC</c:v>
                </c:pt>
                <c:pt idx="12">
                  <c:v>EAC</c:v>
                </c:pt>
                <c:pt idx="13">
                  <c:v>EAC</c:v>
                </c:pt>
                <c:pt idx="14">
                  <c:v>EAC</c:v>
                </c:pt>
                <c:pt idx="15">
                  <c:v>EAC</c:v>
                </c:pt>
                <c:pt idx="16">
                  <c:v>EAC</c:v>
                </c:pt>
                <c:pt idx="17">
                  <c:v>EAC</c:v>
                </c:pt>
                <c:pt idx="18">
                  <c:v>EAC</c:v>
                </c:pt>
                <c:pt idx="19">
                  <c:v>EAC</c:v>
                </c:pt>
                <c:pt idx="20">
                  <c:v>EAC</c:v>
                </c:pt>
                <c:pt idx="21">
                  <c:v>EAC</c:v>
                </c:pt>
                <c:pt idx="22">
                  <c:v>EAC</c:v>
                </c:pt>
                <c:pt idx="23">
                  <c:v>EAC</c:v>
                </c:pt>
                <c:pt idx="24">
                  <c:v>EAC</c:v>
                </c:pt>
                <c:pt idx="25">
                  <c:v>EAC</c:v>
                </c:pt>
                <c:pt idx="26">
                  <c:v>EAC</c:v>
                </c:pt>
                <c:pt idx="27">
                  <c:v>EAC</c:v>
                </c:pt>
                <c:pt idx="28">
                  <c:v>EAC</c:v>
                </c:pt>
                <c:pt idx="29">
                  <c:v>EAC</c:v>
                </c:pt>
                <c:pt idx="30">
                  <c:v>EAC</c:v>
                </c:pt>
                <c:pt idx="31">
                  <c:v>EAC</c:v>
                </c:pt>
                <c:pt idx="32">
                  <c:v>EAC</c:v>
                </c:pt>
                <c:pt idx="33">
                  <c:v>EAC</c:v>
                </c:pt>
                <c:pt idx="34">
                  <c:v>EAC</c:v>
                </c:pt>
                <c:pt idx="35">
                  <c:v>EAC</c:v>
                </c:pt>
                <c:pt idx="36">
                  <c:v>EAC</c:v>
                </c:pt>
                <c:pt idx="37">
                  <c:v>EAC</c:v>
                </c:pt>
                <c:pt idx="38">
                  <c:v>EAC</c:v>
                </c:pt>
                <c:pt idx="39">
                  <c:v>EAC</c:v>
                </c:pt>
                <c:pt idx="40">
                  <c:v>EAC</c:v>
                </c:pt>
                <c:pt idx="41">
                  <c:v>EAC</c:v>
                </c:pt>
                <c:pt idx="42">
                  <c:v>EAC</c:v>
                </c:pt>
              </c:strCache>
            </c:strRef>
          </c:tx>
          <c:spPr>
            <a:ln w="25400" cap="rnd">
              <a:noFill/>
              <a:round/>
            </a:ln>
            <a:effectLst/>
          </c:spPr>
          <c:marker>
            <c:symbol val="circle"/>
            <c:size val="3"/>
            <c:spPr>
              <a:noFill/>
              <a:ln w="9525">
                <a:solidFill>
                  <a:schemeClr val="tx1"/>
                </a:solidFill>
              </a:ln>
              <a:effectLst/>
            </c:spPr>
          </c:marker>
          <c:xVal>
            <c:numRef>
              <c:f>data!$D$9:$D$51</c:f>
              <c:numCache>
                <c:formatCode>0.000000</c:formatCode>
                <c:ptCount val="43"/>
                <c:pt idx="0">
                  <c:v>0.70416999999999996</c:v>
                </c:pt>
                <c:pt idx="1">
                  <c:v>0.70445000000000002</c:v>
                </c:pt>
                <c:pt idx="2">
                  <c:v>0.70442000000000005</c:v>
                </c:pt>
                <c:pt idx="3">
                  <c:v>0.70416999999999996</c:v>
                </c:pt>
                <c:pt idx="4">
                  <c:v>0.70501999999999998</c:v>
                </c:pt>
                <c:pt idx="5">
                  <c:v>0.70504999999999995</c:v>
                </c:pt>
                <c:pt idx="6">
                  <c:v>0.70315000000000005</c:v>
                </c:pt>
                <c:pt idx="7">
                  <c:v>0.70306999999999997</c:v>
                </c:pt>
                <c:pt idx="8">
                  <c:v>0.70311999999999997</c:v>
                </c:pt>
                <c:pt idx="9">
                  <c:v>0.70311000000000001</c:v>
                </c:pt>
                <c:pt idx="10">
                  <c:v>0.70311000000000001</c:v>
                </c:pt>
                <c:pt idx="11">
                  <c:v>0.70326</c:v>
                </c:pt>
                <c:pt idx="12">
                  <c:v>0.7036</c:v>
                </c:pt>
                <c:pt idx="13">
                  <c:v>0.70396000000000003</c:v>
                </c:pt>
                <c:pt idx="14">
                  <c:v>0.70423000000000002</c:v>
                </c:pt>
                <c:pt idx="15">
                  <c:v>0.70442000000000005</c:v>
                </c:pt>
                <c:pt idx="16">
                  <c:v>0.70391300000000001</c:v>
                </c:pt>
                <c:pt idx="17">
                  <c:v>0.70391099999999995</c:v>
                </c:pt>
                <c:pt idx="18">
                  <c:v>0.70405899999999999</c:v>
                </c:pt>
                <c:pt idx="19">
                  <c:v>0.70326599999999995</c:v>
                </c:pt>
                <c:pt idx="20">
                  <c:v>0.70348599999999994</c:v>
                </c:pt>
                <c:pt idx="21">
                  <c:v>0.70515000000000005</c:v>
                </c:pt>
                <c:pt idx="22">
                  <c:v>0.70436200000000004</c:v>
                </c:pt>
                <c:pt idx="23">
                  <c:v>0.704156</c:v>
                </c:pt>
                <c:pt idx="24">
                  <c:v>0.70407299999999995</c:v>
                </c:pt>
                <c:pt idx="25">
                  <c:v>0.70389500000000005</c:v>
                </c:pt>
                <c:pt idx="26">
                  <c:v>0.703959</c:v>
                </c:pt>
                <c:pt idx="27">
                  <c:v>0.70392999999999994</c:v>
                </c:pt>
                <c:pt idx="28">
                  <c:v>0.70398700000000003</c:v>
                </c:pt>
                <c:pt idx="29">
                  <c:v>0.70380600000000004</c:v>
                </c:pt>
                <c:pt idx="30">
                  <c:v>0.70384500000000005</c:v>
                </c:pt>
                <c:pt idx="31">
                  <c:v>0.70395799999999997</c:v>
                </c:pt>
                <c:pt idx="32">
                  <c:v>0.70397900000000002</c:v>
                </c:pt>
                <c:pt idx="33">
                  <c:v>0.70387200000000005</c:v>
                </c:pt>
                <c:pt idx="34">
                  <c:v>0.70417300000000005</c:v>
                </c:pt>
                <c:pt idx="35">
                  <c:v>0.70397500000000002</c:v>
                </c:pt>
                <c:pt idx="36">
                  <c:v>0.70396700000000001</c:v>
                </c:pt>
                <c:pt idx="37">
                  <c:v>0.70400300000000005</c:v>
                </c:pt>
                <c:pt idx="38">
                  <c:v>0.70323000000000002</c:v>
                </c:pt>
                <c:pt idx="39">
                  <c:v>0.70323000000000002</c:v>
                </c:pt>
                <c:pt idx="40">
                  <c:v>0.70394999999999996</c:v>
                </c:pt>
                <c:pt idx="41">
                  <c:v>0.70435999999999999</c:v>
                </c:pt>
                <c:pt idx="42">
                  <c:v>0.70445000000000002</c:v>
                </c:pt>
              </c:numCache>
            </c:numRef>
          </c:xVal>
          <c:yVal>
            <c:numRef>
              <c:f>data!$M$9:$M$51</c:f>
              <c:numCache>
                <c:formatCode>General</c:formatCode>
                <c:ptCount val="43"/>
                <c:pt idx="0">
                  <c:v>0.51381207566092135</c:v>
                </c:pt>
                <c:pt idx="1">
                  <c:v>0.51381869019394621</c:v>
                </c:pt>
                <c:pt idx="2">
                  <c:v>0.51383798562521765</c:v>
                </c:pt>
                <c:pt idx="3">
                  <c:v>0.51382514975731464</c:v>
                </c:pt>
                <c:pt idx="4">
                  <c:v>0.51362065524906553</c:v>
                </c:pt>
                <c:pt idx="5">
                  <c:v>0.51366930170084035</c:v>
                </c:pt>
                <c:pt idx="6">
                  <c:v>0.51416918479653051</c:v>
                </c:pt>
                <c:pt idx="7">
                  <c:v>0.51413927954814054</c:v>
                </c:pt>
                <c:pt idx="8">
                  <c:v>0.51416011197635547</c:v>
                </c:pt>
                <c:pt idx="9">
                  <c:v>0.5141826734196685</c:v>
                </c:pt>
                <c:pt idx="10">
                  <c:v>0.51415985582549806</c:v>
                </c:pt>
                <c:pt idx="11">
                  <c:v>0.51416344193231989</c:v>
                </c:pt>
                <c:pt idx="12">
                  <c:v>0.51405462493472076</c:v>
                </c:pt>
                <c:pt idx="13">
                  <c:v>0.5138926843916013</c:v>
                </c:pt>
                <c:pt idx="14">
                  <c:v>0.51372763622634499</c:v>
                </c:pt>
                <c:pt idx="15">
                  <c:v>0.51369531362810561</c:v>
                </c:pt>
                <c:pt idx="16">
                  <c:v>0.51406047710602221</c:v>
                </c:pt>
                <c:pt idx="17">
                  <c:v>0.5140584623182336</c:v>
                </c:pt>
                <c:pt idx="18">
                  <c:v>0.51403765454115025</c:v>
                </c:pt>
                <c:pt idx="19">
                  <c:v>0.51411672270339071</c:v>
                </c:pt>
                <c:pt idx="20">
                  <c:v>0.51406841290953953</c:v>
                </c:pt>
                <c:pt idx="21">
                  <c:v>0.51368305150926596</c:v>
                </c:pt>
                <c:pt idx="22">
                  <c:v>0.51393755104570404</c:v>
                </c:pt>
                <c:pt idx="23">
                  <c:v>0.514042989055154</c:v>
                </c:pt>
                <c:pt idx="24">
                  <c:v>0.51396135841004609</c:v>
                </c:pt>
                <c:pt idx="25">
                  <c:v>0.51401929939406255</c:v>
                </c:pt>
                <c:pt idx="26">
                  <c:v>0.51401411723152401</c:v>
                </c:pt>
                <c:pt idx="27">
                  <c:v>0.51392422445157926</c:v>
                </c:pt>
                <c:pt idx="28">
                  <c:v>0.51393740725031334</c:v>
                </c:pt>
                <c:pt idx="29">
                  <c:v>0.51400361487267809</c:v>
                </c:pt>
                <c:pt idx="30">
                  <c:v>0.51397356085744661</c:v>
                </c:pt>
                <c:pt idx="31">
                  <c:v>0.51404412226391694</c:v>
                </c:pt>
                <c:pt idx="32">
                  <c:v>0.5140303093027826</c:v>
                </c:pt>
                <c:pt idx="33">
                  <c:v>0.51391153261000821</c:v>
                </c:pt>
                <c:pt idx="34">
                  <c:v>0.51397187071127648</c:v>
                </c:pt>
                <c:pt idx="35">
                  <c:v>0.51407496474852266</c:v>
                </c:pt>
                <c:pt idx="36">
                  <c:v>0.51405475301302428</c:v>
                </c:pt>
                <c:pt idx="37">
                  <c:v>0.51404324065120299</c:v>
                </c:pt>
                <c:pt idx="38">
                  <c:v>0.51413477229044835</c:v>
                </c:pt>
                <c:pt idx="39">
                  <c:v>0.51413925510656588</c:v>
                </c:pt>
                <c:pt idx="40">
                  <c:v>0.5139097968969969</c:v>
                </c:pt>
                <c:pt idx="41">
                  <c:v>0.51394556055504537</c:v>
                </c:pt>
                <c:pt idx="42">
                  <c:v>0.51388235866873599</c:v>
                </c:pt>
              </c:numCache>
            </c:numRef>
          </c:yVal>
          <c:smooth val="0"/>
          <c:extLst>
            <c:ext xmlns:c16="http://schemas.microsoft.com/office/drawing/2014/chart" uri="{C3380CC4-5D6E-409C-BE32-E72D297353CC}">
              <c16:uniqueId val="{00000002-8B06-47A5-A2AA-6DC1CB92EFFD}"/>
            </c:ext>
          </c:extLst>
        </c:ser>
        <c:ser>
          <c:idx val="3"/>
          <c:order val="3"/>
          <c:tx>
            <c:strRef>
              <c:f>data!$C$55:$C$71</c:f>
              <c:strCache>
                <c:ptCount val="17"/>
                <c:pt idx="0">
                  <c:v>WR</c:v>
                </c:pt>
                <c:pt idx="1">
                  <c:v>WR</c:v>
                </c:pt>
                <c:pt idx="2">
                  <c:v>WR</c:v>
                </c:pt>
                <c:pt idx="3">
                  <c:v>WR</c:v>
                </c:pt>
                <c:pt idx="4">
                  <c:v>WR</c:v>
                </c:pt>
                <c:pt idx="5">
                  <c:v>WR</c:v>
                </c:pt>
                <c:pt idx="6">
                  <c:v>WR</c:v>
                </c:pt>
                <c:pt idx="7">
                  <c:v>WR</c:v>
                </c:pt>
                <c:pt idx="8">
                  <c:v>WR</c:v>
                </c:pt>
                <c:pt idx="9">
                  <c:v>WR</c:v>
                </c:pt>
                <c:pt idx="10">
                  <c:v>WR</c:v>
                </c:pt>
                <c:pt idx="11">
                  <c:v>WR</c:v>
                </c:pt>
                <c:pt idx="12">
                  <c:v>WR</c:v>
                </c:pt>
                <c:pt idx="13">
                  <c:v>WR</c:v>
                </c:pt>
                <c:pt idx="14">
                  <c:v>WR</c:v>
                </c:pt>
                <c:pt idx="15">
                  <c:v>WR</c:v>
                </c:pt>
                <c:pt idx="16">
                  <c:v>WR</c:v>
                </c:pt>
              </c:strCache>
            </c:strRef>
          </c:tx>
          <c:spPr>
            <a:ln w="25400" cap="rnd">
              <a:noFill/>
              <a:round/>
            </a:ln>
            <a:effectLst/>
          </c:spPr>
          <c:marker>
            <c:symbol val="circle"/>
            <c:size val="3"/>
            <c:spPr>
              <a:solidFill>
                <a:schemeClr val="tx1"/>
              </a:solidFill>
              <a:ln w="9525">
                <a:solidFill>
                  <a:schemeClr val="tx1"/>
                </a:solidFill>
              </a:ln>
              <a:effectLst/>
            </c:spPr>
          </c:marker>
          <c:xVal>
            <c:numRef>
              <c:f>data!$D$55:$D$71</c:f>
              <c:numCache>
                <c:formatCode>0.000000</c:formatCode>
                <c:ptCount val="17"/>
                <c:pt idx="0">
                  <c:v>0.70266289061801002</c:v>
                </c:pt>
                <c:pt idx="1">
                  <c:v>0.70304875058802385</c:v>
                </c:pt>
                <c:pt idx="2">
                  <c:v>0.70291050951077405</c:v>
                </c:pt>
                <c:pt idx="3">
                  <c:v>0.70291942718987188</c:v>
                </c:pt>
                <c:pt idx="4">
                  <c:v>0.70317676363546044</c:v>
                </c:pt>
                <c:pt idx="5">
                  <c:v>0.70272083620531756</c:v>
                </c:pt>
                <c:pt idx="6">
                  <c:v>0.70290832802574232</c:v>
                </c:pt>
                <c:pt idx="7">
                  <c:v>0.70291589879399041</c:v>
                </c:pt>
                <c:pt idx="8">
                  <c:v>0.70364287819235294</c:v>
                </c:pt>
                <c:pt idx="9">
                  <c:v>0.70306325395644231</c:v>
                </c:pt>
                <c:pt idx="10">
                  <c:v>0.70302494164059881</c:v>
                </c:pt>
                <c:pt idx="11">
                  <c:v>0.7029895999877761</c:v>
                </c:pt>
                <c:pt idx="12">
                  <c:v>0.70302323415418222</c:v>
                </c:pt>
                <c:pt idx="13">
                  <c:v>0.70285362656974326</c:v>
                </c:pt>
                <c:pt idx="14">
                  <c:v>0.70289205562818946</c:v>
                </c:pt>
                <c:pt idx="15">
                  <c:v>0.7028666832152044</c:v>
                </c:pt>
                <c:pt idx="16">
                  <c:v>0.7027716932687893</c:v>
                </c:pt>
              </c:numCache>
            </c:numRef>
          </c:xVal>
          <c:yVal>
            <c:numRef>
              <c:f>data!$M$55:$M$71</c:f>
              <c:numCache>
                <c:formatCode>General</c:formatCode>
                <c:ptCount val="17"/>
                <c:pt idx="0">
                  <c:v>0.51413632917456698</c:v>
                </c:pt>
                <c:pt idx="1">
                  <c:v>0.51403243457296866</c:v>
                </c:pt>
                <c:pt idx="2">
                  <c:v>0.51406952944116535</c:v>
                </c:pt>
                <c:pt idx="3">
                  <c:v>0.51405658824847444</c:v>
                </c:pt>
                <c:pt idx="4">
                  <c:v>0.5140653810838135</c:v>
                </c:pt>
                <c:pt idx="5">
                  <c:v>0.51408398467587546</c:v>
                </c:pt>
                <c:pt idx="6">
                  <c:v>0.51405933131601789</c:v>
                </c:pt>
                <c:pt idx="7">
                  <c:v>0.51406469022096002</c:v>
                </c:pt>
                <c:pt idx="8">
                  <c:v>0.51405122584286878</c:v>
                </c:pt>
                <c:pt idx="9">
                  <c:v>0.51403347484351325</c:v>
                </c:pt>
                <c:pt idx="10">
                  <c:v>0.51409447714103329</c:v>
                </c:pt>
                <c:pt idx="11">
                  <c:v>0.51409349493133372</c:v>
                </c:pt>
                <c:pt idx="12">
                  <c:v>0.51409029440278509</c:v>
                </c:pt>
                <c:pt idx="13">
                  <c:v>0.5140689340495006</c:v>
                </c:pt>
                <c:pt idx="14">
                  <c:v>0.51409554121708634</c:v>
                </c:pt>
                <c:pt idx="15">
                  <c:v>0.51409583643183954</c:v>
                </c:pt>
                <c:pt idx="16">
                  <c:v>0.51407881938908118</c:v>
                </c:pt>
              </c:numCache>
            </c:numRef>
          </c:yVal>
          <c:smooth val="0"/>
          <c:extLst>
            <c:ext xmlns:c16="http://schemas.microsoft.com/office/drawing/2014/chart" uri="{C3380CC4-5D6E-409C-BE32-E72D297353CC}">
              <c16:uniqueId val="{00000003-8B06-47A5-A2AA-6DC1CB92EFFD}"/>
            </c:ext>
          </c:extLst>
        </c:ser>
        <c:ser>
          <c:idx val="4"/>
          <c:order val="4"/>
          <c:tx>
            <c:strRef>
              <c:f>data!$C$72:$C$74</c:f>
              <c:strCache>
                <c:ptCount val="3"/>
                <c:pt idx="0">
                  <c:v>mantle</c:v>
                </c:pt>
                <c:pt idx="1">
                  <c:v>mantle</c:v>
                </c:pt>
                <c:pt idx="2">
                  <c:v>mantle</c:v>
                </c:pt>
              </c:strCache>
            </c:strRef>
          </c:tx>
          <c:spPr>
            <a:ln w="25400" cap="rnd">
              <a:noFill/>
              <a:round/>
            </a:ln>
            <a:effectLst/>
          </c:spPr>
          <c:marker>
            <c:symbol val="circle"/>
            <c:size val="10"/>
            <c:spPr>
              <a:noFill/>
              <a:ln w="9525">
                <a:solidFill>
                  <a:schemeClr val="tx1"/>
                </a:solidFill>
              </a:ln>
              <a:effectLst/>
            </c:spPr>
          </c:marker>
          <c:xVal>
            <c:numRef>
              <c:f>data!$D$72:$D$74</c:f>
              <c:numCache>
                <c:formatCode>0.000000</c:formatCode>
                <c:ptCount val="3"/>
                <c:pt idx="0">
                  <c:v>0.70223999999999998</c:v>
                </c:pt>
                <c:pt idx="1">
                  <c:v>0.70274999999999999</c:v>
                </c:pt>
                <c:pt idx="2">
                  <c:v>0.70530000000000004</c:v>
                </c:pt>
              </c:numCache>
            </c:numRef>
          </c:xVal>
          <c:yVal>
            <c:numRef>
              <c:f>data!$M$72:$M$74</c:f>
              <c:numCache>
                <c:formatCode>General</c:formatCode>
                <c:ptCount val="3"/>
                <c:pt idx="0">
                  <c:v>0.51444106084003727</c:v>
                </c:pt>
                <c:pt idx="1">
                  <c:v>0.51427082858224737</c:v>
                </c:pt>
                <c:pt idx="2">
                  <c:v>0.51348263208983025</c:v>
                </c:pt>
              </c:numCache>
            </c:numRef>
          </c:yVal>
          <c:smooth val="0"/>
          <c:extLst>
            <c:ext xmlns:c16="http://schemas.microsoft.com/office/drawing/2014/chart" uri="{C3380CC4-5D6E-409C-BE32-E72D297353CC}">
              <c16:uniqueId val="{00000004-8B06-47A5-A2AA-6DC1CB92EFFD}"/>
            </c:ext>
          </c:extLst>
        </c:ser>
        <c:dLbls>
          <c:showLegendKey val="0"/>
          <c:showVal val="0"/>
          <c:showCatName val="0"/>
          <c:showSerName val="0"/>
          <c:showPercent val="0"/>
          <c:showBubbleSize val="0"/>
        </c:dLbls>
        <c:axId val="595827336"/>
        <c:axId val="595827008"/>
      </c:scatterChart>
      <c:valAx>
        <c:axId val="595827336"/>
        <c:scaling>
          <c:orientation val="minMax"/>
          <c:max val="0.70600000000000007"/>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30000">
                    <a:solidFill>
                      <a:schemeClr val="tx1"/>
                    </a:solidFill>
                  </a:rPr>
                  <a:t>87</a:t>
                </a:r>
                <a:r>
                  <a:rPr lang="en-GB" sz="1200" baseline="0">
                    <a:solidFill>
                      <a:schemeClr val="tx1"/>
                    </a:solidFill>
                  </a:rPr>
                  <a:t>Sr/</a:t>
                </a:r>
                <a:r>
                  <a:rPr lang="en-GB" sz="1200" baseline="30000">
                    <a:solidFill>
                      <a:schemeClr val="tx1"/>
                    </a:solidFill>
                  </a:rPr>
                  <a:t>86</a:t>
                </a:r>
                <a:r>
                  <a:rPr lang="en-GB" sz="1200" baseline="0">
                    <a:solidFill>
                      <a:schemeClr val="tx1"/>
                    </a:solidFill>
                  </a:rPr>
                  <a:t>Sr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5827008"/>
        <c:crosses val="autoZero"/>
        <c:crossBetween val="midCat"/>
        <c:majorUnit val="1.0000000000000002E-3"/>
      </c:valAx>
      <c:valAx>
        <c:axId val="59582700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aseline="0">
                    <a:solidFill>
                      <a:schemeClr val="tx1"/>
                    </a:solidFill>
                  </a:rPr>
                  <a:t>f(Nd, Pb)</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00" sourceLinked="0"/>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5827336"/>
        <c:crosses val="autoZero"/>
        <c:crossBetween val="midCat"/>
      </c:valAx>
      <c:spPr>
        <a:noFill/>
        <a:ln w="190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0.33234</cdr:x>
      <cdr:y>0.06526</cdr:y>
    </cdr:from>
    <cdr:to>
      <cdr:x>0.50307</cdr:x>
      <cdr:y>0.1586</cdr:y>
    </cdr:to>
    <cdr:sp macro="" textlink="">
      <cdr:nvSpPr>
        <cdr:cNvPr id="3" name="TextBox 2"/>
        <cdr:cNvSpPr txBox="1"/>
      </cdr:nvSpPr>
      <cdr:spPr>
        <a:xfrm xmlns:a="http://schemas.openxmlformats.org/drawingml/2006/main">
          <a:off x="981075" y="176213"/>
          <a:ext cx="504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DMM</a:t>
          </a:r>
        </a:p>
      </cdr:txBody>
    </cdr:sp>
  </cdr:relSizeAnchor>
  <cdr:relSizeAnchor xmlns:cdr="http://schemas.openxmlformats.org/drawingml/2006/chartDrawing">
    <cdr:from>
      <cdr:x>0.72115</cdr:x>
      <cdr:y>0.67028</cdr:y>
    </cdr:from>
    <cdr:to>
      <cdr:x>0.89188</cdr:x>
      <cdr:y>0.76361</cdr:y>
    </cdr:to>
    <cdr:sp macro="" textlink="">
      <cdr:nvSpPr>
        <cdr:cNvPr id="4" name="TextBox 3"/>
        <cdr:cNvSpPr txBox="1"/>
      </cdr:nvSpPr>
      <cdr:spPr>
        <a:xfrm xmlns:a="http://schemas.openxmlformats.org/drawingml/2006/main">
          <a:off x="2128838" y="1809750"/>
          <a:ext cx="504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EM1</a:t>
          </a:r>
        </a:p>
      </cdr:txBody>
    </cdr:sp>
  </cdr:relSizeAnchor>
  <cdr:relSizeAnchor xmlns:cdr="http://schemas.openxmlformats.org/drawingml/2006/chartDrawing">
    <cdr:from>
      <cdr:x>0.38074</cdr:x>
      <cdr:y>0.26458</cdr:y>
    </cdr:from>
    <cdr:to>
      <cdr:x>0.55147</cdr:x>
      <cdr:y>0.35792</cdr:y>
    </cdr:to>
    <cdr:sp macro="" textlink="">
      <cdr:nvSpPr>
        <cdr:cNvPr id="5" name="TextBox 4"/>
        <cdr:cNvSpPr txBox="1"/>
      </cdr:nvSpPr>
      <cdr:spPr>
        <a:xfrm xmlns:a="http://schemas.openxmlformats.org/drawingml/2006/main">
          <a:off x="1123950" y="714376"/>
          <a:ext cx="504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HIMU</a:t>
          </a:r>
        </a:p>
      </cdr:txBody>
    </cdr:sp>
  </cdr:relSizeAnchor>
  <cdr:relSizeAnchor xmlns:cdr="http://schemas.openxmlformats.org/drawingml/2006/chartDrawing">
    <cdr:from>
      <cdr:x>0.76607</cdr:x>
      <cdr:y>0.13406</cdr:y>
    </cdr:from>
    <cdr:to>
      <cdr:x>0.85144</cdr:x>
      <cdr:y>0.22739</cdr:y>
    </cdr:to>
    <cdr:sp macro="" textlink="">
      <cdr:nvSpPr>
        <cdr:cNvPr id="6" name="TextBox 5"/>
        <cdr:cNvSpPr txBox="1"/>
      </cdr:nvSpPr>
      <cdr:spPr>
        <a:xfrm xmlns:a="http://schemas.openxmlformats.org/drawingml/2006/main">
          <a:off x="2261438" y="361950"/>
          <a:ext cx="25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0.24361</cdr:x>
      <cdr:y>0.5715</cdr:y>
    </cdr:from>
    <cdr:to>
      <cdr:x>0.38995</cdr:x>
      <cdr:y>0.66483</cdr:y>
    </cdr:to>
    <cdr:sp macro="" textlink="">
      <cdr:nvSpPr>
        <cdr:cNvPr id="3" name="TextBox 2"/>
        <cdr:cNvSpPr txBox="1"/>
      </cdr:nvSpPr>
      <cdr:spPr>
        <a:xfrm xmlns:a="http://schemas.openxmlformats.org/drawingml/2006/main">
          <a:off x="719138" y="1543050"/>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EM1</a:t>
          </a:r>
        </a:p>
      </cdr:txBody>
    </cdr:sp>
  </cdr:relSizeAnchor>
  <cdr:relSizeAnchor xmlns:cdr="http://schemas.openxmlformats.org/drawingml/2006/chartDrawing">
    <cdr:from>
      <cdr:x>0.37106</cdr:x>
      <cdr:y>0.65617</cdr:y>
    </cdr:from>
    <cdr:to>
      <cdr:x>0.5174</cdr:x>
      <cdr:y>0.7495</cdr:y>
    </cdr:to>
    <cdr:sp macro="" textlink="">
      <cdr:nvSpPr>
        <cdr:cNvPr id="4" name="TextBox 3"/>
        <cdr:cNvSpPr txBox="1"/>
      </cdr:nvSpPr>
      <cdr:spPr>
        <a:xfrm xmlns:a="http://schemas.openxmlformats.org/drawingml/2006/main">
          <a:off x="1095375" y="1771651"/>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DMM</a:t>
          </a:r>
        </a:p>
      </cdr:txBody>
    </cdr:sp>
  </cdr:relSizeAnchor>
  <cdr:relSizeAnchor xmlns:cdr="http://schemas.openxmlformats.org/drawingml/2006/chartDrawing">
    <cdr:from>
      <cdr:x>0.75962</cdr:x>
      <cdr:y>0.13406</cdr:y>
    </cdr:from>
    <cdr:to>
      <cdr:x>0.90596</cdr:x>
      <cdr:y>0.22739</cdr:y>
    </cdr:to>
    <cdr:sp macro="" textlink="">
      <cdr:nvSpPr>
        <cdr:cNvPr id="5" name="TextBox 4"/>
        <cdr:cNvSpPr txBox="1"/>
      </cdr:nvSpPr>
      <cdr:spPr>
        <a:xfrm xmlns:a="http://schemas.openxmlformats.org/drawingml/2006/main">
          <a:off x="2242387" y="361950"/>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HIMU</a:t>
          </a:r>
        </a:p>
      </cdr:txBody>
    </cdr:sp>
  </cdr:relSizeAnchor>
  <cdr:relSizeAnchor xmlns:cdr="http://schemas.openxmlformats.org/drawingml/2006/chartDrawing">
    <cdr:from>
      <cdr:x>0.80318</cdr:x>
      <cdr:y>0.64558</cdr:y>
    </cdr:from>
    <cdr:to>
      <cdr:x>0.88854</cdr:x>
      <cdr:y>0.73892</cdr:y>
    </cdr:to>
    <cdr:sp macro="" textlink="">
      <cdr:nvSpPr>
        <cdr:cNvPr id="6" name="TextBox 5"/>
        <cdr:cNvSpPr txBox="1"/>
      </cdr:nvSpPr>
      <cdr:spPr>
        <a:xfrm xmlns:a="http://schemas.openxmlformats.org/drawingml/2006/main">
          <a:off x="2370975" y="1743075"/>
          <a:ext cx="25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0.75962</cdr:x>
      <cdr:y>0.10407</cdr:y>
    </cdr:from>
    <cdr:to>
      <cdr:x>0.90596</cdr:x>
      <cdr:y>0.1974</cdr:y>
    </cdr:to>
    <cdr:sp macro="" textlink="">
      <cdr:nvSpPr>
        <cdr:cNvPr id="3" name="TextBox 2"/>
        <cdr:cNvSpPr txBox="1"/>
      </cdr:nvSpPr>
      <cdr:spPr>
        <a:xfrm xmlns:a="http://schemas.openxmlformats.org/drawingml/2006/main">
          <a:off x="2242388" y="280988"/>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HIMU</a:t>
          </a:r>
        </a:p>
      </cdr:txBody>
    </cdr:sp>
  </cdr:relSizeAnchor>
  <cdr:relSizeAnchor xmlns:cdr="http://schemas.openxmlformats.org/drawingml/2006/chartDrawing">
    <cdr:from>
      <cdr:x>0.35977</cdr:x>
      <cdr:y>0.66322</cdr:y>
    </cdr:from>
    <cdr:to>
      <cdr:x>0.50611</cdr:x>
      <cdr:y>0.75656</cdr:y>
    </cdr:to>
    <cdr:sp macro="" textlink="">
      <cdr:nvSpPr>
        <cdr:cNvPr id="4" name="TextBox 3"/>
        <cdr:cNvSpPr txBox="1"/>
      </cdr:nvSpPr>
      <cdr:spPr>
        <a:xfrm xmlns:a="http://schemas.openxmlformats.org/drawingml/2006/main">
          <a:off x="1062038" y="1790701"/>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DMM</a:t>
          </a:r>
        </a:p>
      </cdr:txBody>
    </cdr:sp>
  </cdr:relSizeAnchor>
  <cdr:relSizeAnchor xmlns:cdr="http://schemas.openxmlformats.org/drawingml/2006/chartDrawing">
    <cdr:from>
      <cdr:x>0.25329</cdr:x>
      <cdr:y>0.4251</cdr:y>
    </cdr:from>
    <cdr:to>
      <cdr:x>0.39963</cdr:x>
      <cdr:y>0.51843</cdr:y>
    </cdr:to>
    <cdr:sp macro="" textlink="">
      <cdr:nvSpPr>
        <cdr:cNvPr id="5" name="TextBox 4"/>
        <cdr:cNvSpPr txBox="1"/>
      </cdr:nvSpPr>
      <cdr:spPr>
        <a:xfrm xmlns:a="http://schemas.openxmlformats.org/drawingml/2006/main">
          <a:off x="747713" y="1147764"/>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EM1</a:t>
          </a:r>
        </a:p>
      </cdr:txBody>
    </cdr:sp>
  </cdr:relSizeAnchor>
  <cdr:relSizeAnchor xmlns:cdr="http://schemas.openxmlformats.org/drawingml/2006/chartDrawing">
    <cdr:from>
      <cdr:x>0.81286</cdr:x>
      <cdr:y>0.64206</cdr:y>
    </cdr:from>
    <cdr:to>
      <cdr:x>0.89822</cdr:x>
      <cdr:y>0.73539</cdr:y>
    </cdr:to>
    <cdr:sp macro="" textlink="">
      <cdr:nvSpPr>
        <cdr:cNvPr id="6" name="TextBox 5"/>
        <cdr:cNvSpPr txBox="1"/>
      </cdr:nvSpPr>
      <cdr:spPr>
        <a:xfrm xmlns:a="http://schemas.openxmlformats.org/drawingml/2006/main">
          <a:off x="2399550" y="1733551"/>
          <a:ext cx="25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C</a:t>
          </a:r>
        </a:p>
      </cdr:txBody>
    </cdr:sp>
  </cdr:relSizeAnchor>
</c:userShapes>
</file>

<file path=word/drawings/drawing4.xml><?xml version="1.0" encoding="utf-8"?>
<c:userShapes xmlns:c="http://schemas.openxmlformats.org/drawingml/2006/chart">
  <cdr:relSizeAnchor xmlns:cdr="http://schemas.openxmlformats.org/drawingml/2006/chartDrawing">
    <cdr:from>
      <cdr:x>0.30169</cdr:x>
      <cdr:y>0.08467</cdr:y>
    </cdr:from>
    <cdr:to>
      <cdr:x>0.44803</cdr:x>
      <cdr:y>0.178</cdr:y>
    </cdr:to>
    <cdr:sp macro="" textlink="">
      <cdr:nvSpPr>
        <cdr:cNvPr id="3" name="TextBox 2"/>
        <cdr:cNvSpPr txBox="1"/>
      </cdr:nvSpPr>
      <cdr:spPr>
        <a:xfrm xmlns:a="http://schemas.openxmlformats.org/drawingml/2006/main">
          <a:off x="890588" y="228601"/>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EM1</a:t>
          </a:r>
        </a:p>
      </cdr:txBody>
    </cdr:sp>
  </cdr:relSizeAnchor>
  <cdr:relSizeAnchor xmlns:cdr="http://schemas.openxmlformats.org/drawingml/2006/chartDrawing">
    <cdr:from>
      <cdr:x>0.37913</cdr:x>
      <cdr:y>0.65793</cdr:y>
    </cdr:from>
    <cdr:to>
      <cdr:x>0.52547</cdr:x>
      <cdr:y>0.75126</cdr:y>
    </cdr:to>
    <cdr:sp macro="" textlink="">
      <cdr:nvSpPr>
        <cdr:cNvPr id="4" name="TextBox 3"/>
        <cdr:cNvSpPr txBox="1"/>
      </cdr:nvSpPr>
      <cdr:spPr>
        <a:xfrm xmlns:a="http://schemas.openxmlformats.org/drawingml/2006/main">
          <a:off x="1119187" y="1776413"/>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DMM</a:t>
          </a:r>
        </a:p>
      </cdr:txBody>
    </cdr:sp>
  </cdr:relSizeAnchor>
  <cdr:relSizeAnchor xmlns:cdr="http://schemas.openxmlformats.org/drawingml/2006/chartDrawing">
    <cdr:from>
      <cdr:x>0.72251</cdr:x>
      <cdr:y>0.64206</cdr:y>
    </cdr:from>
    <cdr:to>
      <cdr:x>0.88105</cdr:x>
      <cdr:y>0.73539</cdr:y>
    </cdr:to>
    <cdr:sp macro="" textlink="">
      <cdr:nvSpPr>
        <cdr:cNvPr id="5" name="TextBox 4"/>
        <cdr:cNvSpPr txBox="1"/>
      </cdr:nvSpPr>
      <cdr:spPr>
        <a:xfrm xmlns:a="http://schemas.openxmlformats.org/drawingml/2006/main">
          <a:off x="2132850" y="1733550"/>
          <a:ext cx="468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HIMU</a:t>
          </a:r>
        </a:p>
      </cdr:txBody>
    </cdr:sp>
  </cdr:relSizeAnchor>
  <cdr:relSizeAnchor xmlns:cdr="http://schemas.openxmlformats.org/drawingml/2006/chartDrawing">
    <cdr:from>
      <cdr:x>0.81447</cdr:x>
      <cdr:y>0.12524</cdr:y>
    </cdr:from>
    <cdr:to>
      <cdr:x>0.89984</cdr:x>
      <cdr:y>0.21857</cdr:y>
    </cdr:to>
    <cdr:sp macro="" textlink="">
      <cdr:nvSpPr>
        <cdr:cNvPr id="6" name="TextBox 5"/>
        <cdr:cNvSpPr txBox="1"/>
      </cdr:nvSpPr>
      <cdr:spPr>
        <a:xfrm xmlns:a="http://schemas.openxmlformats.org/drawingml/2006/main">
          <a:off x="2404313" y="338137"/>
          <a:ext cx="25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D</a:t>
          </a:r>
        </a:p>
      </cdr:txBody>
    </cdr:sp>
  </cdr:relSizeAnchor>
</c:userShapes>
</file>

<file path=word/drawings/drawing5.xml><?xml version="1.0" encoding="utf-8"?>
<c:userShapes xmlns:c="http://schemas.openxmlformats.org/drawingml/2006/chart">
  <cdr:relSizeAnchor xmlns:cdr="http://schemas.openxmlformats.org/drawingml/2006/chartDrawing">
    <cdr:from>
      <cdr:x>0.41122</cdr:x>
      <cdr:y>0.07056</cdr:y>
    </cdr:from>
    <cdr:to>
      <cdr:x>0.5558</cdr:x>
      <cdr:y>0.16389</cdr:y>
    </cdr:to>
    <cdr:sp macro="" textlink="">
      <cdr:nvSpPr>
        <cdr:cNvPr id="3" name="TextBox 2"/>
        <cdr:cNvSpPr txBox="1"/>
      </cdr:nvSpPr>
      <cdr:spPr>
        <a:xfrm xmlns:a="http://schemas.openxmlformats.org/drawingml/2006/main">
          <a:off x="1228726" y="190501"/>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DMM</a:t>
          </a:r>
        </a:p>
      </cdr:txBody>
    </cdr:sp>
  </cdr:relSizeAnchor>
  <cdr:relSizeAnchor xmlns:cdr="http://schemas.openxmlformats.org/drawingml/2006/chartDrawing">
    <cdr:from>
      <cdr:x>0.76729</cdr:x>
      <cdr:y>0.38276</cdr:y>
    </cdr:from>
    <cdr:to>
      <cdr:x>0.91187</cdr:x>
      <cdr:y>0.4761</cdr:y>
    </cdr:to>
    <cdr:sp macro="" textlink="">
      <cdr:nvSpPr>
        <cdr:cNvPr id="4" name="TextBox 3"/>
        <cdr:cNvSpPr txBox="1"/>
      </cdr:nvSpPr>
      <cdr:spPr>
        <a:xfrm xmlns:a="http://schemas.openxmlformats.org/drawingml/2006/main">
          <a:off x="2292675" y="1033462"/>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HIMU</a:t>
          </a:r>
        </a:p>
      </cdr:txBody>
    </cdr:sp>
  </cdr:relSizeAnchor>
  <cdr:relSizeAnchor xmlns:cdr="http://schemas.openxmlformats.org/drawingml/2006/chartDrawing">
    <cdr:from>
      <cdr:x>0.32993</cdr:x>
      <cdr:y>0.6631</cdr:y>
    </cdr:from>
    <cdr:to>
      <cdr:x>0.47451</cdr:x>
      <cdr:y>0.75643</cdr:y>
    </cdr:to>
    <cdr:sp macro="" textlink="">
      <cdr:nvSpPr>
        <cdr:cNvPr id="5" name="TextBox 4"/>
        <cdr:cNvSpPr txBox="1"/>
      </cdr:nvSpPr>
      <cdr:spPr>
        <a:xfrm xmlns:a="http://schemas.openxmlformats.org/drawingml/2006/main">
          <a:off x="985837" y="1790362"/>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EM1</a:t>
          </a:r>
        </a:p>
      </cdr:txBody>
    </cdr:sp>
  </cdr:relSizeAnchor>
  <cdr:relSizeAnchor xmlns:cdr="http://schemas.openxmlformats.org/drawingml/2006/chartDrawing">
    <cdr:from>
      <cdr:x>0.8167</cdr:x>
      <cdr:y>0.12876</cdr:y>
    </cdr:from>
    <cdr:to>
      <cdr:x>0.90104</cdr:x>
      <cdr:y>0.2221</cdr:y>
    </cdr:to>
    <cdr:sp macro="" textlink="">
      <cdr:nvSpPr>
        <cdr:cNvPr id="6" name="TextBox 5"/>
        <cdr:cNvSpPr txBox="1"/>
      </cdr:nvSpPr>
      <cdr:spPr>
        <a:xfrm xmlns:a="http://schemas.openxmlformats.org/drawingml/2006/main">
          <a:off x="2440313" y="347662"/>
          <a:ext cx="25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E</a:t>
          </a:r>
        </a:p>
      </cdr:txBody>
    </cdr:sp>
  </cdr:relSizeAnchor>
</c:userShapes>
</file>

<file path=word/drawings/drawing6.xml><?xml version="1.0" encoding="utf-8"?>
<c:userShapes xmlns:c="http://schemas.openxmlformats.org/drawingml/2006/chart">
  <cdr:relSizeAnchor xmlns:cdr="http://schemas.openxmlformats.org/drawingml/2006/chartDrawing">
    <cdr:from>
      <cdr:x>0.32589</cdr:x>
      <cdr:y>0.09172</cdr:y>
    </cdr:from>
    <cdr:to>
      <cdr:x>0.47223</cdr:x>
      <cdr:y>0.18506</cdr:y>
    </cdr:to>
    <cdr:sp macro="" textlink="">
      <cdr:nvSpPr>
        <cdr:cNvPr id="3" name="TextBox 2"/>
        <cdr:cNvSpPr txBox="1"/>
      </cdr:nvSpPr>
      <cdr:spPr>
        <a:xfrm xmlns:a="http://schemas.openxmlformats.org/drawingml/2006/main">
          <a:off x="962025" y="247651"/>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EM1</a:t>
          </a:r>
        </a:p>
      </cdr:txBody>
    </cdr:sp>
  </cdr:relSizeAnchor>
  <cdr:relSizeAnchor xmlns:cdr="http://schemas.openxmlformats.org/drawingml/2006/chartDrawing">
    <cdr:from>
      <cdr:x>0.25652</cdr:x>
      <cdr:y>0.60665</cdr:y>
    </cdr:from>
    <cdr:to>
      <cdr:x>0.40286</cdr:x>
      <cdr:y>0.69999</cdr:y>
    </cdr:to>
    <cdr:sp macro="" textlink="">
      <cdr:nvSpPr>
        <cdr:cNvPr id="4" name="TextBox 3"/>
        <cdr:cNvSpPr txBox="1"/>
      </cdr:nvSpPr>
      <cdr:spPr>
        <a:xfrm xmlns:a="http://schemas.openxmlformats.org/drawingml/2006/main">
          <a:off x="757237" y="1637963"/>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DMM</a:t>
          </a:r>
        </a:p>
      </cdr:txBody>
    </cdr:sp>
  </cdr:relSizeAnchor>
  <cdr:relSizeAnchor xmlns:cdr="http://schemas.openxmlformats.org/drawingml/2006/chartDrawing">
    <cdr:from>
      <cdr:x>0.74994</cdr:x>
      <cdr:y>0.65075</cdr:y>
    </cdr:from>
    <cdr:to>
      <cdr:x>0.89628</cdr:x>
      <cdr:y>0.74408</cdr:y>
    </cdr:to>
    <cdr:sp macro="" textlink="">
      <cdr:nvSpPr>
        <cdr:cNvPr id="5" name="TextBox 4"/>
        <cdr:cNvSpPr txBox="1"/>
      </cdr:nvSpPr>
      <cdr:spPr>
        <a:xfrm xmlns:a="http://schemas.openxmlformats.org/drawingml/2006/main">
          <a:off x="2213812" y="1757025"/>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HIMU</a:t>
          </a:r>
        </a:p>
      </cdr:txBody>
    </cdr:sp>
  </cdr:relSizeAnchor>
  <cdr:relSizeAnchor xmlns:cdr="http://schemas.openxmlformats.org/drawingml/2006/chartDrawing">
    <cdr:from>
      <cdr:x>0.81124</cdr:x>
      <cdr:y>0.13582</cdr:y>
    </cdr:from>
    <cdr:to>
      <cdr:x>0.89661</cdr:x>
      <cdr:y>0.22915</cdr:y>
    </cdr:to>
    <cdr:sp macro="" textlink="">
      <cdr:nvSpPr>
        <cdr:cNvPr id="6" name="TextBox 5"/>
        <cdr:cNvSpPr txBox="1"/>
      </cdr:nvSpPr>
      <cdr:spPr>
        <a:xfrm xmlns:a="http://schemas.openxmlformats.org/drawingml/2006/main">
          <a:off x="2394788" y="366713"/>
          <a:ext cx="25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F</a:t>
          </a:r>
        </a:p>
      </cdr:txBody>
    </cdr:sp>
  </cdr:relSizeAnchor>
</c:userShapes>
</file>

<file path=word/drawings/drawing7.xml><?xml version="1.0" encoding="utf-8"?>
<c:userShapes xmlns:c="http://schemas.openxmlformats.org/drawingml/2006/chart">
  <cdr:relSizeAnchor xmlns:cdr="http://schemas.openxmlformats.org/drawingml/2006/chartDrawing">
    <cdr:from>
      <cdr:x>0.3764</cdr:x>
      <cdr:y>0.06879</cdr:y>
    </cdr:from>
    <cdr:to>
      <cdr:x>0.51926</cdr:x>
      <cdr:y>0.16212</cdr:y>
    </cdr:to>
    <cdr:sp macro="" textlink="">
      <cdr:nvSpPr>
        <cdr:cNvPr id="3" name="TextBox 2"/>
        <cdr:cNvSpPr txBox="1"/>
      </cdr:nvSpPr>
      <cdr:spPr>
        <a:xfrm xmlns:a="http://schemas.openxmlformats.org/drawingml/2006/main">
          <a:off x="1138237" y="185737"/>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DMM</a:t>
          </a:r>
        </a:p>
      </cdr:txBody>
    </cdr:sp>
  </cdr:relSizeAnchor>
  <cdr:relSizeAnchor xmlns:cdr="http://schemas.openxmlformats.org/drawingml/2006/chartDrawing">
    <cdr:from>
      <cdr:x>0.3449</cdr:x>
      <cdr:y>0.65617</cdr:y>
    </cdr:from>
    <cdr:to>
      <cdr:x>0.48776</cdr:x>
      <cdr:y>0.7495</cdr:y>
    </cdr:to>
    <cdr:sp macro="" textlink="">
      <cdr:nvSpPr>
        <cdr:cNvPr id="4" name="TextBox 3"/>
        <cdr:cNvSpPr txBox="1"/>
      </cdr:nvSpPr>
      <cdr:spPr>
        <a:xfrm xmlns:a="http://schemas.openxmlformats.org/drawingml/2006/main">
          <a:off x="1042987" y="1771650"/>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EM1</a:t>
          </a:r>
        </a:p>
      </cdr:txBody>
    </cdr:sp>
  </cdr:relSizeAnchor>
  <cdr:relSizeAnchor xmlns:cdr="http://schemas.openxmlformats.org/drawingml/2006/chartDrawing">
    <cdr:from>
      <cdr:x>0.75904</cdr:x>
      <cdr:y>0.25224</cdr:y>
    </cdr:from>
    <cdr:to>
      <cdr:x>0.9019</cdr:x>
      <cdr:y>0.34557</cdr:y>
    </cdr:to>
    <cdr:sp macro="" textlink="">
      <cdr:nvSpPr>
        <cdr:cNvPr id="5" name="TextBox 4"/>
        <cdr:cNvSpPr txBox="1"/>
      </cdr:nvSpPr>
      <cdr:spPr>
        <a:xfrm xmlns:a="http://schemas.openxmlformats.org/drawingml/2006/main">
          <a:off x="2295338" y="681038"/>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HIMU</a:t>
          </a:r>
        </a:p>
      </cdr:txBody>
    </cdr:sp>
  </cdr:relSizeAnchor>
  <cdr:relSizeAnchor xmlns:cdr="http://schemas.openxmlformats.org/drawingml/2006/chartDrawing">
    <cdr:from>
      <cdr:x>0.82204</cdr:x>
      <cdr:y>0.13229</cdr:y>
    </cdr:from>
    <cdr:to>
      <cdr:x>0.90537</cdr:x>
      <cdr:y>0.22563</cdr:y>
    </cdr:to>
    <cdr:sp macro="" textlink="">
      <cdr:nvSpPr>
        <cdr:cNvPr id="6" name="TextBox 5"/>
        <cdr:cNvSpPr txBox="1"/>
      </cdr:nvSpPr>
      <cdr:spPr>
        <a:xfrm xmlns:a="http://schemas.openxmlformats.org/drawingml/2006/main">
          <a:off x="2485837" y="357188"/>
          <a:ext cx="25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G</a:t>
          </a:r>
        </a:p>
      </cdr:txBody>
    </cdr:sp>
  </cdr:relSizeAnchor>
</c:userShapes>
</file>

<file path=word/drawings/drawing8.xml><?xml version="1.0" encoding="utf-8"?>
<c:userShapes xmlns:c="http://schemas.openxmlformats.org/drawingml/2006/chart">
  <cdr:relSizeAnchor xmlns:cdr="http://schemas.openxmlformats.org/drawingml/2006/chartDrawing">
    <cdr:from>
      <cdr:x>0.26925</cdr:x>
      <cdr:y>0.03881</cdr:y>
    </cdr:from>
    <cdr:to>
      <cdr:x>0.42219</cdr:x>
      <cdr:y>0.13214</cdr:y>
    </cdr:to>
    <cdr:sp macro="" textlink="">
      <cdr:nvSpPr>
        <cdr:cNvPr id="3" name="TextBox 2"/>
        <cdr:cNvSpPr txBox="1"/>
      </cdr:nvSpPr>
      <cdr:spPr>
        <a:xfrm xmlns:a="http://schemas.openxmlformats.org/drawingml/2006/main">
          <a:off x="823912" y="104776"/>
          <a:ext cx="468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DMM</a:t>
          </a:r>
        </a:p>
      </cdr:txBody>
    </cdr:sp>
  </cdr:relSizeAnchor>
  <cdr:relSizeAnchor xmlns:cdr="http://schemas.openxmlformats.org/drawingml/2006/chartDrawing">
    <cdr:from>
      <cdr:x>0.36108</cdr:x>
      <cdr:y>0.13229</cdr:y>
    </cdr:from>
    <cdr:to>
      <cdr:x>0.51402</cdr:x>
      <cdr:y>0.22563</cdr:y>
    </cdr:to>
    <cdr:sp macro="" textlink="">
      <cdr:nvSpPr>
        <cdr:cNvPr id="4" name="TextBox 3"/>
        <cdr:cNvSpPr txBox="1"/>
      </cdr:nvSpPr>
      <cdr:spPr>
        <a:xfrm xmlns:a="http://schemas.openxmlformats.org/drawingml/2006/main">
          <a:off x="1104900" y="357188"/>
          <a:ext cx="468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HIMU</a:t>
          </a:r>
        </a:p>
      </cdr:txBody>
    </cdr:sp>
  </cdr:relSizeAnchor>
  <cdr:relSizeAnchor xmlns:cdr="http://schemas.openxmlformats.org/drawingml/2006/chartDrawing">
    <cdr:from>
      <cdr:x>0.63656</cdr:x>
      <cdr:y>0.66499</cdr:y>
    </cdr:from>
    <cdr:to>
      <cdr:x>0.77773</cdr:x>
      <cdr:y>0.75832</cdr:y>
    </cdr:to>
    <cdr:sp macro="" textlink="">
      <cdr:nvSpPr>
        <cdr:cNvPr id="8" name="TextBox 7"/>
        <cdr:cNvSpPr txBox="1"/>
      </cdr:nvSpPr>
      <cdr:spPr>
        <a:xfrm xmlns:a="http://schemas.openxmlformats.org/drawingml/2006/main">
          <a:off x="1947862" y="1795463"/>
          <a:ext cx="43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EM1</a:t>
          </a:r>
        </a:p>
      </cdr:txBody>
    </cdr:sp>
  </cdr:relSizeAnchor>
  <cdr:relSizeAnchor xmlns:cdr="http://schemas.openxmlformats.org/drawingml/2006/chartDrawing">
    <cdr:from>
      <cdr:x>0.779</cdr:x>
      <cdr:y>0.13582</cdr:y>
    </cdr:from>
    <cdr:to>
      <cdr:x>0.86135</cdr:x>
      <cdr:y>0.22915</cdr:y>
    </cdr:to>
    <cdr:sp macro="" textlink="">
      <cdr:nvSpPr>
        <cdr:cNvPr id="9" name="TextBox 8"/>
        <cdr:cNvSpPr txBox="1"/>
      </cdr:nvSpPr>
      <cdr:spPr>
        <a:xfrm xmlns:a="http://schemas.openxmlformats.org/drawingml/2006/main">
          <a:off x="2383725" y="366713"/>
          <a:ext cx="252000" cy="25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a:t>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58</Pages>
  <Words>11300</Words>
  <Characters>64410</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Palmer</dc:creator>
  <cp:keywords/>
  <dc:description/>
  <cp:lastModifiedBy>Martin Palmer</cp:lastModifiedBy>
  <cp:revision>7</cp:revision>
  <dcterms:created xsi:type="dcterms:W3CDTF">2023-02-14T12:33:00Z</dcterms:created>
  <dcterms:modified xsi:type="dcterms:W3CDTF">2023-02-14T12:42:00Z</dcterms:modified>
</cp:coreProperties>
</file>