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7C7DA" w14:textId="77777777" w:rsidR="002C2703" w:rsidRPr="006505F6" w:rsidRDefault="002C2703" w:rsidP="002C2703">
      <w:pPr>
        <w:pStyle w:val="NormalWeb"/>
        <w:jc w:val="both"/>
        <w:rPr>
          <w:rFonts w:asciiTheme="minorHAnsi" w:hAnsiTheme="minorHAnsi" w:cstheme="minorHAnsi"/>
          <w:b/>
          <w:bCs/>
          <w:color w:val="000000" w:themeColor="text1"/>
          <w:lang w:val="en-GB"/>
        </w:rPr>
      </w:pPr>
      <w:r w:rsidRPr="006505F6">
        <w:rPr>
          <w:rFonts w:asciiTheme="minorHAnsi" w:hAnsiTheme="minorHAnsi" w:cstheme="minorHAnsi"/>
          <w:b/>
          <w:bCs/>
          <w:color w:val="000000" w:themeColor="text1"/>
          <w:lang w:val="en-GB"/>
        </w:rPr>
        <w:t>Research news in clinical context</w:t>
      </w:r>
    </w:p>
    <w:p w14:paraId="2C8AB86F" w14:textId="08E1875D" w:rsidR="002C2703" w:rsidRPr="006505F6" w:rsidRDefault="002C2703" w:rsidP="002C2703">
      <w:pPr>
        <w:rPr>
          <w:rFonts w:cstheme="minorHAnsi"/>
          <w:color w:val="000000" w:themeColor="text1"/>
        </w:rPr>
      </w:pPr>
      <w:r w:rsidRPr="006505F6">
        <w:rPr>
          <w:rFonts w:cstheme="minorHAnsi"/>
          <w:color w:val="000000" w:themeColor="text1"/>
        </w:rPr>
        <w:t xml:space="preserve">May 2023 </w:t>
      </w:r>
    </w:p>
    <w:p w14:paraId="60D243AD" w14:textId="77777777" w:rsidR="002C2703" w:rsidRPr="006505F6" w:rsidRDefault="002C2703" w:rsidP="002C2703">
      <w:pPr>
        <w:rPr>
          <w:rFonts w:cstheme="minorHAnsi"/>
          <w:color w:val="000000" w:themeColor="text1"/>
        </w:rPr>
      </w:pPr>
    </w:p>
    <w:p w14:paraId="7D7B3D61" w14:textId="58B45F26" w:rsidR="002C2703" w:rsidRPr="006505F6" w:rsidRDefault="002C2703" w:rsidP="002C2703">
      <w:pPr>
        <w:rPr>
          <w:rFonts w:cstheme="minorHAnsi"/>
          <w:color w:val="000000" w:themeColor="text1"/>
        </w:rPr>
      </w:pPr>
      <w:r w:rsidRPr="006505F6">
        <w:rPr>
          <w:rFonts w:cstheme="minorHAnsi"/>
          <w:color w:val="000000" w:themeColor="text1"/>
        </w:rPr>
        <w:t>Heather L. Armstrong,</w:t>
      </w:r>
      <w:r w:rsidRPr="006505F6">
        <w:rPr>
          <w:rFonts w:cstheme="minorHAnsi"/>
          <w:color w:val="000000" w:themeColor="text1"/>
          <w:vertAlign w:val="superscript"/>
        </w:rPr>
        <w:t>1</w:t>
      </w:r>
      <w:r w:rsidRPr="006505F6">
        <w:rPr>
          <w:rFonts w:cstheme="minorHAnsi"/>
          <w:color w:val="000000" w:themeColor="text1"/>
        </w:rPr>
        <w:t xml:space="preserve"> </w:t>
      </w:r>
      <w:proofErr w:type="spellStart"/>
      <w:r w:rsidRPr="006505F6">
        <w:rPr>
          <w:rFonts w:cstheme="minorHAnsi"/>
          <w:color w:val="000000" w:themeColor="text1"/>
        </w:rPr>
        <w:t>Bogusz</w:t>
      </w:r>
      <w:proofErr w:type="spellEnd"/>
      <w:r w:rsidRPr="006505F6">
        <w:rPr>
          <w:rFonts w:cstheme="minorHAnsi"/>
          <w:color w:val="000000" w:themeColor="text1"/>
        </w:rPr>
        <w:t xml:space="preserve"> </w:t>
      </w:r>
      <w:r w:rsidR="00A845B9" w:rsidRPr="006505F6">
        <w:rPr>
          <w:rFonts w:cstheme="minorHAnsi"/>
          <w:color w:val="000000" w:themeColor="text1"/>
        </w:rPr>
        <w:t>Aksak-Wąs</w:t>
      </w:r>
      <w:r w:rsidRPr="006505F6">
        <w:rPr>
          <w:rFonts w:cstheme="minorHAnsi"/>
          <w:color w:val="000000" w:themeColor="text1"/>
        </w:rPr>
        <w:t>,</w:t>
      </w:r>
      <w:r w:rsidRPr="006505F6">
        <w:rPr>
          <w:rFonts w:cstheme="minorHAnsi"/>
          <w:color w:val="000000" w:themeColor="text1"/>
          <w:vertAlign w:val="superscript"/>
        </w:rPr>
        <w:t>2</w:t>
      </w:r>
      <w:r w:rsidRPr="006505F6">
        <w:rPr>
          <w:rFonts w:cstheme="minorHAnsi"/>
          <w:color w:val="000000" w:themeColor="text1"/>
        </w:rPr>
        <w:t xml:space="preserve"> Rayner Tan</w:t>
      </w:r>
      <w:r w:rsidRPr="006505F6">
        <w:rPr>
          <w:rFonts w:cstheme="minorHAnsi"/>
          <w:color w:val="000000" w:themeColor="text1"/>
          <w:vertAlign w:val="superscript"/>
        </w:rPr>
        <w:t>3</w:t>
      </w:r>
    </w:p>
    <w:p w14:paraId="4ADDCA3A" w14:textId="7CA3C685" w:rsidR="00997BE8" w:rsidRPr="006505F6" w:rsidRDefault="00997BE8" w:rsidP="002C2703"/>
    <w:p w14:paraId="3203E031" w14:textId="57FB27AC" w:rsidR="002C2703" w:rsidRPr="006505F6" w:rsidRDefault="002C2703" w:rsidP="002C2703">
      <w:pPr>
        <w:rPr>
          <w:rFonts w:cstheme="minorHAnsi"/>
        </w:rPr>
      </w:pPr>
      <w:r w:rsidRPr="006505F6">
        <w:t xml:space="preserve">1. </w:t>
      </w:r>
      <w:r w:rsidRPr="006505F6">
        <w:rPr>
          <w:rFonts w:cstheme="minorHAnsi"/>
        </w:rPr>
        <w:t>University of Southampton, Southampton, United Kingdom</w:t>
      </w:r>
    </w:p>
    <w:p w14:paraId="592DE087" w14:textId="46FBEAB0" w:rsidR="002C2703" w:rsidRPr="006505F6" w:rsidRDefault="002C2703" w:rsidP="00A845B9">
      <w:pPr>
        <w:rPr>
          <w:rFonts w:cstheme="minorHAnsi"/>
        </w:rPr>
      </w:pPr>
      <w:r w:rsidRPr="006505F6">
        <w:rPr>
          <w:rFonts w:cstheme="minorHAnsi"/>
        </w:rPr>
        <w:t xml:space="preserve">2. </w:t>
      </w:r>
      <w:r w:rsidR="00A845B9" w:rsidRPr="006505F6">
        <w:rPr>
          <w:rFonts w:cstheme="minorHAnsi"/>
        </w:rPr>
        <w:t>Department of Infectious, Tropical Diseases and Acquired Immunodeficiency Pomeranian Medical University in Szczecin, Poland</w:t>
      </w:r>
    </w:p>
    <w:p w14:paraId="5C881B84" w14:textId="7AB6D1F7" w:rsidR="002C2703" w:rsidRPr="006505F6" w:rsidRDefault="002C2703" w:rsidP="002C2703">
      <w:pPr>
        <w:rPr>
          <w:rFonts w:cstheme="minorHAnsi"/>
        </w:rPr>
      </w:pPr>
      <w:r w:rsidRPr="006505F6">
        <w:rPr>
          <w:rFonts w:cstheme="minorHAnsi"/>
        </w:rPr>
        <w:t xml:space="preserve">3. </w:t>
      </w:r>
      <w:r w:rsidR="00E0603F" w:rsidRPr="006505F6">
        <w:rPr>
          <w:rFonts w:cstheme="minorHAnsi"/>
        </w:rPr>
        <w:t xml:space="preserve">Saw </w:t>
      </w:r>
      <w:proofErr w:type="spellStart"/>
      <w:r w:rsidR="00E0603F" w:rsidRPr="006505F6">
        <w:rPr>
          <w:rFonts w:cstheme="minorHAnsi"/>
        </w:rPr>
        <w:t>Swee</w:t>
      </w:r>
      <w:proofErr w:type="spellEnd"/>
      <w:r w:rsidR="00E0603F" w:rsidRPr="006505F6">
        <w:rPr>
          <w:rFonts w:cstheme="minorHAnsi"/>
        </w:rPr>
        <w:t xml:space="preserve"> Hock School of Public </w:t>
      </w:r>
      <w:r w:rsidR="00F136BA" w:rsidRPr="006505F6">
        <w:rPr>
          <w:rFonts w:cstheme="minorHAnsi"/>
        </w:rPr>
        <w:t>H</w:t>
      </w:r>
      <w:r w:rsidR="00E0603F" w:rsidRPr="006505F6">
        <w:rPr>
          <w:rFonts w:cstheme="minorHAnsi"/>
        </w:rPr>
        <w:t>ealth, National University of Singapore and National University Health System, Singapore, Singapore</w:t>
      </w:r>
    </w:p>
    <w:p w14:paraId="4B89CD52" w14:textId="0096A4A6" w:rsidR="002C2703" w:rsidRPr="006505F6" w:rsidRDefault="002C2703" w:rsidP="002C2703">
      <w:pPr>
        <w:rPr>
          <w:rFonts w:cstheme="minorHAnsi"/>
        </w:rPr>
      </w:pPr>
    </w:p>
    <w:p w14:paraId="0914A3F2" w14:textId="77E235C4" w:rsidR="002C2703" w:rsidRPr="006505F6" w:rsidRDefault="002C2703" w:rsidP="002C2703">
      <w:pPr>
        <w:rPr>
          <w:rFonts w:cstheme="minorHAnsi"/>
          <w:b/>
          <w:bCs/>
        </w:rPr>
      </w:pPr>
    </w:p>
    <w:p w14:paraId="3C35A743" w14:textId="078A578A" w:rsidR="002C2703" w:rsidRPr="006505F6" w:rsidRDefault="00EB28CE" w:rsidP="002C2703">
      <w:pPr>
        <w:rPr>
          <w:b/>
          <w:bCs/>
        </w:rPr>
      </w:pPr>
      <w:r>
        <w:rPr>
          <w:b/>
          <w:bCs/>
        </w:rPr>
        <w:t xml:space="preserve">Published in STI, the </w:t>
      </w:r>
      <w:r w:rsidR="002C2703" w:rsidRPr="006505F6">
        <w:rPr>
          <w:b/>
          <w:bCs/>
        </w:rPr>
        <w:t xml:space="preserve">Editor’s Choice: </w:t>
      </w:r>
      <w:r w:rsidR="00755DA4" w:rsidRPr="006505F6">
        <w:rPr>
          <w:b/>
          <w:bCs/>
        </w:rPr>
        <w:t>Factors associated with</w:t>
      </w:r>
      <w:r w:rsidR="00DD2BBC">
        <w:rPr>
          <w:b/>
          <w:bCs/>
        </w:rPr>
        <w:t xml:space="preserve"> sexually transmitted</w:t>
      </w:r>
      <w:r w:rsidR="00755DA4" w:rsidRPr="006505F6">
        <w:rPr>
          <w:b/>
          <w:bCs/>
        </w:rPr>
        <w:t xml:space="preserve"> shigella in MSM </w:t>
      </w:r>
      <w:r w:rsidR="0020378D" w:rsidRPr="006505F6">
        <w:rPr>
          <w:b/>
          <w:bCs/>
        </w:rPr>
        <w:t>t</w:t>
      </w:r>
      <w:r>
        <w:rPr>
          <w:b/>
          <w:bCs/>
        </w:rPr>
        <w:t>hat</w:t>
      </w:r>
      <w:r w:rsidR="0020378D" w:rsidRPr="006505F6">
        <w:rPr>
          <w:b/>
          <w:bCs/>
        </w:rPr>
        <w:t xml:space="preserve"> </w:t>
      </w:r>
      <w:r w:rsidR="00755DA4" w:rsidRPr="006505F6">
        <w:rPr>
          <w:b/>
          <w:bCs/>
        </w:rPr>
        <w:t xml:space="preserve">inform targeted </w:t>
      </w:r>
      <w:r w:rsidR="0020378D" w:rsidRPr="006505F6">
        <w:rPr>
          <w:b/>
          <w:bCs/>
        </w:rPr>
        <w:t>control strategies</w:t>
      </w:r>
    </w:p>
    <w:p w14:paraId="54E73132" w14:textId="4457399C" w:rsidR="00755DA4" w:rsidRPr="006505F6" w:rsidRDefault="00755DA4" w:rsidP="002C2703"/>
    <w:p w14:paraId="6149E578" w14:textId="45E2BE26" w:rsidR="00755DA4" w:rsidRPr="006505F6" w:rsidRDefault="00713D34" w:rsidP="002C2703">
      <w:r w:rsidRPr="006505F6">
        <w:t>Sexually transmitted shigella</w:t>
      </w:r>
      <w:r w:rsidR="00EB28CE" w:rsidRPr="00EB28CE">
        <w:t xml:space="preserve"> </w:t>
      </w:r>
      <w:r w:rsidR="00EB28CE" w:rsidRPr="006505F6">
        <w:t>among men who have sex with men (MSM)</w:t>
      </w:r>
      <w:r w:rsidR="000F0C5C">
        <w:t xml:space="preserve">, including </w:t>
      </w:r>
      <w:r w:rsidR="00EB28CE">
        <w:t xml:space="preserve">infections with </w:t>
      </w:r>
      <w:r w:rsidR="000F0C5C">
        <w:t>antimicrobial-resistant strains,</w:t>
      </w:r>
      <w:r w:rsidRPr="006505F6">
        <w:t xml:space="preserve"> is an </w:t>
      </w:r>
      <w:r w:rsidR="009C2078" w:rsidRPr="006505F6">
        <w:t xml:space="preserve">increasing </w:t>
      </w:r>
      <w:r w:rsidRPr="006505F6">
        <w:t>public health concern.</w:t>
      </w:r>
      <w:r w:rsidR="00F679EE" w:rsidRPr="006505F6">
        <w:t xml:space="preserve"> </w:t>
      </w:r>
      <w:r w:rsidRPr="006505F6">
        <w:t>This systematic review</w:t>
      </w:r>
      <w:r w:rsidR="00A40855" w:rsidRPr="006505F6">
        <w:t xml:space="preserve"> </w:t>
      </w:r>
      <w:r w:rsidR="00C0267E" w:rsidRPr="006505F6">
        <w:t xml:space="preserve">of </w:t>
      </w:r>
      <w:r w:rsidR="002F61DF" w:rsidRPr="006505F6">
        <w:t>13</w:t>
      </w:r>
      <w:r w:rsidR="00C0267E" w:rsidRPr="006505F6">
        <w:t xml:space="preserve"> </w:t>
      </w:r>
      <w:r w:rsidR="0020378D" w:rsidRPr="006505F6">
        <w:t xml:space="preserve">studies </w:t>
      </w:r>
      <w:r w:rsidR="00C0267E" w:rsidRPr="006505F6">
        <w:t>(n=547</w:t>
      </w:r>
      <w:r w:rsidR="0020378D" w:rsidRPr="006505F6">
        <w:t xml:space="preserve"> participants</w:t>
      </w:r>
      <w:r w:rsidR="00C0267E" w:rsidRPr="006505F6">
        <w:t xml:space="preserve">) </w:t>
      </w:r>
      <w:r w:rsidR="00A40855" w:rsidRPr="006505F6">
        <w:t xml:space="preserve">aimed to identify </w:t>
      </w:r>
      <w:r w:rsidR="00FC45D6" w:rsidRPr="006505F6">
        <w:t>demographic</w:t>
      </w:r>
      <w:r w:rsidR="00A40855" w:rsidRPr="006505F6">
        <w:t xml:space="preserve"> and behavioural characteristics </w:t>
      </w:r>
      <w:r w:rsidR="00FC45D6" w:rsidRPr="006505F6">
        <w:t>associated</w:t>
      </w:r>
      <w:r w:rsidR="00A40855" w:rsidRPr="006505F6">
        <w:t xml:space="preserve"> with sexually transmi</w:t>
      </w:r>
      <w:r w:rsidR="00FC45D6" w:rsidRPr="006505F6">
        <w:t>tted</w:t>
      </w:r>
      <w:r w:rsidR="00A40855" w:rsidRPr="006505F6">
        <w:t xml:space="preserve"> shigella among MSM.</w:t>
      </w:r>
      <w:r w:rsidRPr="006505F6">
        <w:t xml:space="preserve"> Factors associated with</w:t>
      </w:r>
      <w:r w:rsidR="0020378D" w:rsidRPr="006505F6">
        <w:t xml:space="preserve"> </w:t>
      </w:r>
      <w:r w:rsidR="00EB28CE">
        <w:t xml:space="preserve">a </w:t>
      </w:r>
      <w:r w:rsidRPr="006505F6">
        <w:t xml:space="preserve">diagnosis included </w:t>
      </w:r>
      <w:r w:rsidR="00844BC8" w:rsidRPr="006505F6">
        <w:t>living in an urban area, living with HIV, using HIV pre-exposure prophylaxis (</w:t>
      </w:r>
      <w:proofErr w:type="spellStart"/>
      <w:r w:rsidR="00844BC8" w:rsidRPr="006505F6">
        <w:t>PrEP</w:t>
      </w:r>
      <w:proofErr w:type="spellEnd"/>
      <w:r w:rsidR="00844BC8" w:rsidRPr="006505F6">
        <w:t xml:space="preserve">), </w:t>
      </w:r>
      <w:r w:rsidR="00EB28CE">
        <w:t xml:space="preserve">a </w:t>
      </w:r>
      <w:r w:rsidR="00FB39A7" w:rsidRPr="006505F6">
        <w:t>past or current STI diagnosis,</w:t>
      </w:r>
      <w:r w:rsidR="00EB28CE">
        <w:t xml:space="preserve"> </w:t>
      </w:r>
      <w:r w:rsidR="00EB28CE" w:rsidRPr="006505F6">
        <w:t xml:space="preserve">engaging in </w:t>
      </w:r>
      <w:proofErr w:type="spellStart"/>
      <w:r w:rsidR="00EB28CE" w:rsidRPr="006505F6">
        <w:t>chemsex</w:t>
      </w:r>
      <w:proofErr w:type="spellEnd"/>
      <w:r w:rsidR="00EB28CE" w:rsidRPr="006505F6">
        <w:t xml:space="preserve"> and recreational drug use</w:t>
      </w:r>
      <w:r w:rsidR="00EB28CE">
        <w:t>, and various parameters related to sexual behaviours including</w:t>
      </w:r>
      <w:r w:rsidR="00EB28CE" w:rsidRPr="006505F6">
        <w:t xml:space="preserve"> </w:t>
      </w:r>
      <w:r w:rsidR="00844BC8" w:rsidRPr="006505F6">
        <w:t xml:space="preserve">using </w:t>
      </w:r>
      <w:r w:rsidR="009047C2" w:rsidRPr="006505F6">
        <w:t xml:space="preserve">social media and </w:t>
      </w:r>
      <w:r w:rsidR="00844BC8" w:rsidRPr="006505F6">
        <w:t>apps to meet sex partners, attending sex</w:t>
      </w:r>
      <w:r w:rsidR="00F136BA" w:rsidRPr="006505F6">
        <w:t>-</w:t>
      </w:r>
      <w:r w:rsidR="00844BC8" w:rsidRPr="006505F6">
        <w:t>on</w:t>
      </w:r>
      <w:r w:rsidR="00F136BA" w:rsidRPr="006505F6">
        <w:t>-</w:t>
      </w:r>
      <w:r w:rsidR="00844BC8" w:rsidRPr="006505F6">
        <w:t xml:space="preserve">site venues, </w:t>
      </w:r>
      <w:r w:rsidR="009C2078" w:rsidRPr="006505F6">
        <w:t>reporting multiple non-regular sex partners</w:t>
      </w:r>
      <w:r w:rsidR="00A25221" w:rsidRPr="006505F6">
        <w:t xml:space="preserve"> and group sex</w:t>
      </w:r>
      <w:r w:rsidR="00FB39A7" w:rsidRPr="006505F6">
        <w:t>, and</w:t>
      </w:r>
      <w:r w:rsidR="001752EB" w:rsidRPr="006505F6">
        <w:t xml:space="preserve"> reporting</w:t>
      </w:r>
      <w:r w:rsidR="009C2078" w:rsidRPr="006505F6">
        <w:t xml:space="preserve"> oral-anal sexual contact. </w:t>
      </w:r>
      <w:r w:rsidR="00EB28CE">
        <w:t>T</w:t>
      </w:r>
      <w:r w:rsidR="001752EB" w:rsidRPr="006505F6">
        <w:t>argeted public health interventions</w:t>
      </w:r>
      <w:r w:rsidR="00481F2C">
        <w:t xml:space="preserve"> which consider associated behavioural and demographic factors</w:t>
      </w:r>
      <w:r w:rsidR="001752EB" w:rsidRPr="006505F6">
        <w:t xml:space="preserve"> are needed to reduce shigella outbreaks among MSM. </w:t>
      </w:r>
    </w:p>
    <w:p w14:paraId="0C1B31D4" w14:textId="73F9EF46" w:rsidR="00F679EE" w:rsidRPr="006505F6" w:rsidRDefault="00F679EE"/>
    <w:p w14:paraId="111135AD" w14:textId="0FD942D9" w:rsidR="005C789C" w:rsidRPr="006505F6" w:rsidRDefault="00A25221" w:rsidP="005C789C">
      <w:pPr>
        <w:rPr>
          <w:rFonts w:eastAsia="Times New Roman" w:cstheme="minorHAnsi"/>
          <w:color w:val="222222"/>
          <w:shd w:val="clear" w:color="auto" w:fill="FFFFFF"/>
          <w:lang w:eastAsia="en-GB"/>
        </w:rPr>
      </w:pPr>
      <w:r w:rsidRPr="006505F6">
        <w:t xml:space="preserve">Siddiq M, </w:t>
      </w:r>
      <w:proofErr w:type="spellStart"/>
      <w:r w:rsidRPr="006505F6">
        <w:t>O’Flanagan</w:t>
      </w:r>
      <w:proofErr w:type="spellEnd"/>
      <w:r w:rsidRPr="006505F6">
        <w:t xml:space="preserve"> H, Richar</w:t>
      </w:r>
      <w:r w:rsidR="005C789C" w:rsidRPr="006505F6">
        <w:t xml:space="preserve">dson D, </w:t>
      </w:r>
      <w:r w:rsidR="005C789C" w:rsidRPr="006505F6">
        <w:rPr>
          <w:i/>
          <w:iCs/>
        </w:rPr>
        <w:t xml:space="preserve">et al. </w:t>
      </w:r>
      <w:r w:rsidR="005C789C" w:rsidRPr="006505F6">
        <w:t>Facto</w:t>
      </w:r>
      <w:r w:rsidR="00F136BA" w:rsidRPr="006505F6">
        <w:t>r</w:t>
      </w:r>
      <w:r w:rsidR="005C789C" w:rsidRPr="006505F6">
        <w:t>s associat</w:t>
      </w:r>
      <w:r w:rsidR="00F136BA" w:rsidRPr="006505F6">
        <w:t>e</w:t>
      </w:r>
      <w:r w:rsidR="005C789C" w:rsidRPr="006505F6">
        <w:t xml:space="preserve">d with sexually transmitted shigella in men who have sex with men: A systematic review. </w:t>
      </w:r>
      <w:r w:rsidR="005C789C" w:rsidRPr="006505F6">
        <w:rPr>
          <w:rFonts w:eastAsia="Times New Roman" w:cstheme="minorHAnsi"/>
          <w:i/>
          <w:iCs/>
          <w:color w:val="222222"/>
          <w:shd w:val="clear" w:color="auto" w:fill="FFFFFF"/>
          <w:lang w:eastAsia="en-GB"/>
        </w:rPr>
        <w:t xml:space="preserve">Sex </w:t>
      </w:r>
      <w:proofErr w:type="spellStart"/>
      <w:r w:rsidR="005C789C" w:rsidRPr="006505F6">
        <w:rPr>
          <w:rFonts w:eastAsia="Times New Roman" w:cstheme="minorHAnsi"/>
          <w:i/>
          <w:iCs/>
          <w:color w:val="222222"/>
          <w:shd w:val="clear" w:color="auto" w:fill="FFFFFF"/>
          <w:lang w:eastAsia="en-GB"/>
        </w:rPr>
        <w:t>Transm</w:t>
      </w:r>
      <w:proofErr w:type="spellEnd"/>
      <w:r w:rsidR="005C789C" w:rsidRPr="006505F6">
        <w:rPr>
          <w:rFonts w:eastAsia="Times New Roman" w:cstheme="minorHAnsi"/>
          <w:i/>
          <w:iCs/>
          <w:color w:val="222222"/>
          <w:shd w:val="clear" w:color="auto" w:fill="FFFFFF"/>
          <w:lang w:eastAsia="en-GB"/>
        </w:rPr>
        <w:t xml:space="preserve"> Infect</w:t>
      </w:r>
      <w:r w:rsidR="005C789C" w:rsidRPr="006505F6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 </w:t>
      </w:r>
      <w:proofErr w:type="gramStart"/>
      <w:r w:rsidR="005C789C" w:rsidRPr="006505F6">
        <w:rPr>
          <w:rFonts w:eastAsia="Times New Roman" w:cstheme="minorHAnsi"/>
          <w:color w:val="222222"/>
          <w:shd w:val="clear" w:color="auto" w:fill="FFFFFF"/>
          <w:lang w:eastAsia="en-GB"/>
        </w:rPr>
        <w:t>2022;</w:t>
      </w:r>
      <w:r w:rsidR="004C13A2" w:rsidRPr="006505F6">
        <w:rPr>
          <w:rFonts w:eastAsia="Times New Roman" w:cstheme="minorHAnsi"/>
          <w:color w:val="222222"/>
          <w:shd w:val="clear" w:color="auto" w:fill="FFFFFF"/>
          <w:lang w:eastAsia="en-GB"/>
        </w:rPr>
        <w:t>Epub</w:t>
      </w:r>
      <w:proofErr w:type="gramEnd"/>
      <w:r w:rsidR="004C13A2" w:rsidRPr="006505F6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 ahead of print.</w:t>
      </w:r>
      <w:r w:rsidR="00CF68C6" w:rsidRPr="006505F6">
        <w:rPr>
          <w:rFonts w:eastAsia="Times New Roman" w:cstheme="minorHAnsi"/>
          <w:color w:val="222222"/>
          <w:shd w:val="clear" w:color="auto" w:fill="FFFFFF"/>
          <w:lang w:eastAsia="en-GB"/>
        </w:rPr>
        <w:t>doi:10.1136/sextrans-2022-055583</w:t>
      </w:r>
    </w:p>
    <w:p w14:paraId="78A80C95" w14:textId="61F79641" w:rsidR="004C13A2" w:rsidRPr="006505F6" w:rsidRDefault="004C13A2" w:rsidP="005C789C">
      <w:pPr>
        <w:rPr>
          <w:rFonts w:eastAsia="Times New Roman" w:cstheme="minorHAnsi"/>
          <w:color w:val="222222"/>
          <w:shd w:val="clear" w:color="auto" w:fill="FFFFFF"/>
          <w:lang w:eastAsia="en-GB"/>
        </w:rPr>
      </w:pPr>
    </w:p>
    <w:p w14:paraId="724C2BA1" w14:textId="6F32AE88" w:rsidR="004C13A2" w:rsidRPr="006505F6" w:rsidRDefault="004C13A2" w:rsidP="005C789C">
      <w:pPr>
        <w:rPr>
          <w:rFonts w:eastAsia="Times New Roman" w:cstheme="minorHAnsi"/>
          <w:color w:val="222222"/>
          <w:shd w:val="clear" w:color="auto" w:fill="FFFFFF"/>
          <w:lang w:eastAsia="en-GB"/>
        </w:rPr>
      </w:pPr>
    </w:p>
    <w:p w14:paraId="065E78BE" w14:textId="57C4C4E0" w:rsidR="004C13A2" w:rsidRPr="006505F6" w:rsidRDefault="00EB28CE" w:rsidP="005C789C">
      <w:pPr>
        <w:rPr>
          <w:rFonts w:eastAsia="Times New Roman" w:cstheme="minorHAnsi"/>
          <w:b/>
          <w:bCs/>
          <w:color w:val="222222"/>
          <w:shd w:val="clear" w:color="auto" w:fill="FFFFFF"/>
          <w:lang w:eastAsia="en-GB"/>
        </w:rPr>
      </w:pPr>
      <w:r>
        <w:rPr>
          <w:rFonts w:eastAsia="Times New Roman" w:cstheme="minorHAnsi"/>
          <w:b/>
          <w:bCs/>
          <w:color w:val="222222"/>
          <w:shd w:val="clear" w:color="auto" w:fill="FFFFFF"/>
          <w:lang w:eastAsia="en-GB"/>
        </w:rPr>
        <w:t>S</w:t>
      </w:r>
      <w:r w:rsidRPr="006505F6">
        <w:rPr>
          <w:rFonts w:eastAsia="Times New Roman" w:cstheme="minorHAnsi"/>
          <w:b/>
          <w:bCs/>
          <w:color w:val="222222"/>
          <w:shd w:val="clear" w:color="auto" w:fill="FFFFFF"/>
          <w:lang w:eastAsia="en-GB"/>
        </w:rPr>
        <w:t xml:space="preserve">aliva and air samples </w:t>
      </w:r>
      <w:r>
        <w:rPr>
          <w:rFonts w:eastAsia="Times New Roman" w:cstheme="minorHAnsi"/>
          <w:b/>
          <w:bCs/>
          <w:color w:val="222222"/>
          <w:shd w:val="clear" w:color="auto" w:fill="FFFFFF"/>
          <w:lang w:eastAsia="en-GB"/>
        </w:rPr>
        <w:t>can yield i</w:t>
      </w:r>
      <w:r w:rsidR="003D33E9" w:rsidRPr="006505F6">
        <w:rPr>
          <w:rFonts w:eastAsia="Times New Roman" w:cstheme="minorHAnsi"/>
          <w:b/>
          <w:bCs/>
          <w:color w:val="222222"/>
          <w:shd w:val="clear" w:color="auto" w:fill="FFFFFF"/>
          <w:lang w:eastAsia="en-GB"/>
        </w:rPr>
        <w:t>nfectious</w:t>
      </w:r>
      <w:r w:rsidR="00966338" w:rsidRPr="006505F6">
        <w:rPr>
          <w:rFonts w:eastAsia="Times New Roman" w:cstheme="minorHAnsi"/>
          <w:b/>
          <w:bCs/>
          <w:color w:val="222222"/>
          <w:shd w:val="clear" w:color="auto" w:fill="FFFFFF"/>
          <w:lang w:eastAsia="en-GB"/>
        </w:rPr>
        <w:t xml:space="preserve"> </w:t>
      </w:r>
      <w:r>
        <w:rPr>
          <w:rFonts w:eastAsia="Times New Roman" w:cstheme="minorHAnsi"/>
          <w:b/>
          <w:bCs/>
          <w:color w:val="222222"/>
          <w:shd w:val="clear" w:color="auto" w:fill="FFFFFF"/>
          <w:lang w:eastAsia="en-GB"/>
        </w:rPr>
        <w:t>Mpox</w:t>
      </w:r>
      <w:r w:rsidRPr="006505F6">
        <w:rPr>
          <w:rFonts w:eastAsia="Times New Roman" w:cstheme="minorHAnsi"/>
          <w:b/>
          <w:bCs/>
          <w:color w:val="222222"/>
          <w:shd w:val="clear" w:color="auto" w:fill="FFFFFF"/>
          <w:lang w:eastAsia="en-GB"/>
        </w:rPr>
        <w:t xml:space="preserve"> </w:t>
      </w:r>
      <w:r w:rsidR="004C13A2" w:rsidRPr="006505F6">
        <w:rPr>
          <w:rFonts w:eastAsia="Times New Roman" w:cstheme="minorHAnsi"/>
          <w:b/>
          <w:bCs/>
          <w:color w:val="222222"/>
          <w:shd w:val="clear" w:color="auto" w:fill="FFFFFF"/>
          <w:lang w:eastAsia="en-GB"/>
        </w:rPr>
        <w:t>virus</w:t>
      </w:r>
      <w:r w:rsidR="00966338" w:rsidRPr="006505F6">
        <w:rPr>
          <w:rFonts w:eastAsia="Times New Roman" w:cstheme="minorHAnsi"/>
          <w:b/>
          <w:bCs/>
          <w:color w:val="222222"/>
          <w:shd w:val="clear" w:color="auto" w:fill="FFFFFF"/>
          <w:lang w:eastAsia="en-GB"/>
        </w:rPr>
        <w:t xml:space="preserve"> </w:t>
      </w:r>
      <w:r w:rsidR="00D26F72" w:rsidRPr="006505F6">
        <w:rPr>
          <w:rFonts w:eastAsia="Times New Roman" w:cstheme="minorHAnsi"/>
          <w:b/>
          <w:bCs/>
          <w:color w:val="222222"/>
          <w:shd w:val="clear" w:color="auto" w:fill="FFFFFF"/>
          <w:lang w:eastAsia="en-GB"/>
        </w:rPr>
        <w:t xml:space="preserve">but </w:t>
      </w:r>
      <w:r>
        <w:rPr>
          <w:rFonts w:eastAsia="Times New Roman" w:cstheme="minorHAnsi"/>
          <w:b/>
          <w:bCs/>
          <w:color w:val="222222"/>
          <w:shd w:val="clear" w:color="auto" w:fill="FFFFFF"/>
          <w:lang w:eastAsia="en-GB"/>
        </w:rPr>
        <w:t>their role in transmission is uncertain</w:t>
      </w:r>
    </w:p>
    <w:p w14:paraId="63CA7AB6" w14:textId="69D2745A" w:rsidR="00D26F72" w:rsidRPr="006505F6" w:rsidRDefault="00D26F72" w:rsidP="005C789C">
      <w:pPr>
        <w:rPr>
          <w:rFonts w:eastAsia="Times New Roman" w:cstheme="minorHAnsi"/>
          <w:b/>
          <w:bCs/>
          <w:color w:val="222222"/>
          <w:shd w:val="clear" w:color="auto" w:fill="FFFFFF"/>
          <w:lang w:eastAsia="en-GB"/>
        </w:rPr>
      </w:pPr>
    </w:p>
    <w:p w14:paraId="4EFF7573" w14:textId="55872CD9" w:rsidR="00D032B9" w:rsidRPr="006505F6" w:rsidRDefault="0037172D" w:rsidP="005C789C">
      <w:pPr>
        <w:rPr>
          <w:rFonts w:eastAsia="Times New Roman" w:cstheme="minorHAnsi"/>
          <w:color w:val="222222"/>
          <w:shd w:val="clear" w:color="auto" w:fill="FFFFFF"/>
          <w:lang w:eastAsia="en-GB"/>
        </w:rPr>
      </w:pPr>
      <w:r w:rsidRPr="006505F6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Transmission of </w:t>
      </w:r>
      <w:r w:rsidR="0020378D" w:rsidRPr="006505F6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Mpox </w:t>
      </w:r>
      <w:r w:rsidRPr="006505F6">
        <w:rPr>
          <w:rFonts w:eastAsia="Times New Roman" w:cstheme="minorHAnsi"/>
          <w:color w:val="222222"/>
          <w:shd w:val="clear" w:color="auto" w:fill="FFFFFF"/>
          <w:lang w:eastAsia="en-GB"/>
        </w:rPr>
        <w:t>occur</w:t>
      </w:r>
      <w:r w:rsidR="0020378D" w:rsidRPr="006505F6">
        <w:rPr>
          <w:rFonts w:eastAsia="Times New Roman" w:cstheme="minorHAnsi"/>
          <w:color w:val="222222"/>
          <w:shd w:val="clear" w:color="auto" w:fill="FFFFFF"/>
          <w:lang w:eastAsia="en-GB"/>
        </w:rPr>
        <w:t>s mainly</w:t>
      </w:r>
      <w:r w:rsidRPr="006505F6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 through direct contact with lesions</w:t>
      </w:r>
      <w:r w:rsidR="00FF52A7" w:rsidRPr="006505F6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 or</w:t>
      </w:r>
      <w:r w:rsidRPr="006505F6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 body fluids</w:t>
      </w:r>
      <w:r w:rsidR="00BC431F" w:rsidRPr="006505F6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; </w:t>
      </w:r>
      <w:r w:rsidR="00FF52A7" w:rsidRPr="006505F6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the role of respiratory transmission is </w:t>
      </w:r>
      <w:r w:rsidR="0020378D" w:rsidRPr="006505F6">
        <w:rPr>
          <w:rFonts w:eastAsia="Times New Roman" w:cstheme="minorHAnsi"/>
          <w:color w:val="222222"/>
          <w:shd w:val="clear" w:color="auto" w:fill="FFFFFF"/>
          <w:lang w:eastAsia="en-GB"/>
        </w:rPr>
        <w:t>debated</w:t>
      </w:r>
      <w:r w:rsidR="001F50F1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 (1)</w:t>
      </w:r>
      <w:r w:rsidR="00FF52A7" w:rsidRPr="006505F6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. </w:t>
      </w:r>
      <w:r w:rsidR="00086285" w:rsidRPr="006505F6">
        <w:rPr>
          <w:rFonts w:eastAsia="Times New Roman" w:cstheme="minorHAnsi"/>
          <w:color w:val="222222"/>
          <w:shd w:val="clear" w:color="auto" w:fill="FFFFFF"/>
          <w:lang w:eastAsia="en-GB"/>
        </w:rPr>
        <w:t>Samples of s</w:t>
      </w:r>
      <w:r w:rsidR="00B66957" w:rsidRPr="006505F6">
        <w:rPr>
          <w:rFonts w:eastAsia="Times New Roman" w:cstheme="minorHAnsi"/>
          <w:color w:val="222222"/>
          <w:shd w:val="clear" w:color="auto" w:fill="FFFFFF"/>
          <w:lang w:eastAsia="en-GB"/>
        </w:rPr>
        <w:t>aliva, droplets</w:t>
      </w:r>
      <w:r w:rsidR="0020378D" w:rsidRPr="006505F6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 exhaled into a mask</w:t>
      </w:r>
      <w:r w:rsidR="00B66957" w:rsidRPr="006505F6">
        <w:rPr>
          <w:rFonts w:eastAsia="Times New Roman" w:cstheme="minorHAnsi"/>
          <w:color w:val="222222"/>
          <w:shd w:val="clear" w:color="auto" w:fill="FFFFFF"/>
          <w:lang w:eastAsia="en-GB"/>
        </w:rPr>
        <w:t>, and aerosols captured by air filtration</w:t>
      </w:r>
      <w:r w:rsidR="00086285" w:rsidRPr="006505F6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 were collected </w:t>
      </w:r>
      <w:r w:rsidR="00A019D2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within the first week of infection </w:t>
      </w:r>
      <w:r w:rsidR="00086285" w:rsidRPr="006505F6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from 44 men with </w:t>
      </w:r>
      <w:r w:rsidR="0020378D" w:rsidRPr="006505F6">
        <w:rPr>
          <w:rFonts w:eastAsia="Times New Roman" w:cstheme="minorHAnsi"/>
          <w:color w:val="222222"/>
          <w:shd w:val="clear" w:color="auto" w:fill="FFFFFF"/>
          <w:lang w:eastAsia="en-GB"/>
        </w:rPr>
        <w:t>M</w:t>
      </w:r>
      <w:r w:rsidR="006C6155">
        <w:rPr>
          <w:rFonts w:eastAsia="Times New Roman" w:cstheme="minorHAnsi"/>
          <w:color w:val="222222"/>
          <w:shd w:val="clear" w:color="auto" w:fill="FFFFFF"/>
          <w:lang w:eastAsia="en-GB"/>
        </w:rPr>
        <w:t>p</w:t>
      </w:r>
      <w:r w:rsidR="0020378D" w:rsidRPr="006505F6">
        <w:rPr>
          <w:rFonts w:eastAsia="Times New Roman" w:cstheme="minorHAnsi"/>
          <w:color w:val="222222"/>
          <w:shd w:val="clear" w:color="auto" w:fill="FFFFFF"/>
          <w:lang w:eastAsia="en-GB"/>
        </w:rPr>
        <w:t>ox</w:t>
      </w:r>
      <w:r w:rsidR="00A019D2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 </w:t>
      </w:r>
      <w:r w:rsidR="00EB28CE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who presented with skin </w:t>
      </w:r>
      <w:r w:rsidR="00A019D2">
        <w:rPr>
          <w:rFonts w:eastAsia="Times New Roman" w:cstheme="minorHAnsi"/>
          <w:color w:val="222222"/>
          <w:shd w:val="clear" w:color="auto" w:fill="FFFFFF"/>
          <w:lang w:eastAsia="en-GB"/>
        </w:rPr>
        <w:t>lesions</w:t>
      </w:r>
      <w:r w:rsidR="00086285" w:rsidRPr="006505F6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. </w:t>
      </w:r>
      <w:r w:rsidR="004A12A5" w:rsidRPr="006505F6">
        <w:rPr>
          <w:rFonts w:eastAsia="Times New Roman" w:cstheme="minorHAnsi"/>
          <w:color w:val="222222"/>
          <w:shd w:val="clear" w:color="auto" w:fill="FFFFFF"/>
          <w:lang w:eastAsia="en-GB"/>
        </w:rPr>
        <w:t>Vir</w:t>
      </w:r>
      <w:r w:rsidR="0020378D" w:rsidRPr="006505F6">
        <w:rPr>
          <w:rFonts w:eastAsia="Times New Roman" w:cstheme="minorHAnsi"/>
          <w:color w:val="222222"/>
          <w:shd w:val="clear" w:color="auto" w:fill="FFFFFF"/>
          <w:lang w:eastAsia="en-GB"/>
        </w:rPr>
        <w:t>al</w:t>
      </w:r>
      <w:r w:rsidR="0079769B" w:rsidRPr="006505F6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 DNA was identified </w:t>
      </w:r>
      <w:r w:rsidR="00086285" w:rsidRPr="006505F6">
        <w:rPr>
          <w:rFonts w:eastAsia="Times New Roman" w:cstheme="minorHAnsi"/>
          <w:color w:val="222222"/>
          <w:shd w:val="clear" w:color="auto" w:fill="FFFFFF"/>
          <w:lang w:eastAsia="en-GB"/>
        </w:rPr>
        <w:t>by quantitative PCR</w:t>
      </w:r>
      <w:r w:rsidR="0079769B" w:rsidRPr="006505F6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 in 85% </w:t>
      </w:r>
      <w:r w:rsidR="0020378D" w:rsidRPr="006505F6">
        <w:rPr>
          <w:rFonts w:eastAsia="Times New Roman" w:cstheme="minorHAnsi"/>
          <w:color w:val="222222"/>
          <w:shd w:val="clear" w:color="auto" w:fill="FFFFFF"/>
          <w:lang w:eastAsia="en-GB"/>
        </w:rPr>
        <w:t>(</w:t>
      </w:r>
      <w:r w:rsidR="0012407C">
        <w:rPr>
          <w:rFonts w:eastAsia="Times New Roman" w:cstheme="minorHAnsi"/>
          <w:color w:val="222222"/>
          <w:shd w:val="clear" w:color="auto" w:fill="FFFFFF"/>
          <w:lang w:eastAsia="en-GB"/>
        </w:rPr>
        <w:t>35</w:t>
      </w:r>
      <w:r w:rsidR="0020378D" w:rsidRPr="006505F6">
        <w:rPr>
          <w:rFonts w:eastAsia="Times New Roman" w:cstheme="minorHAnsi"/>
          <w:color w:val="222222"/>
          <w:shd w:val="clear" w:color="auto" w:fill="FFFFFF"/>
          <w:lang w:eastAsia="en-GB"/>
        </w:rPr>
        <w:t>/</w:t>
      </w:r>
      <w:r w:rsidR="0012407C">
        <w:rPr>
          <w:rFonts w:eastAsia="Times New Roman" w:cstheme="minorHAnsi"/>
          <w:color w:val="222222"/>
          <w:shd w:val="clear" w:color="auto" w:fill="FFFFFF"/>
          <w:lang w:eastAsia="en-GB"/>
        </w:rPr>
        <w:t>41</w:t>
      </w:r>
      <w:r w:rsidR="0020378D" w:rsidRPr="006505F6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) </w:t>
      </w:r>
      <w:r w:rsidR="0079769B" w:rsidRPr="006505F6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of saliva samples, </w:t>
      </w:r>
      <w:r w:rsidR="004A12A5" w:rsidRPr="006505F6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and </w:t>
      </w:r>
      <w:r w:rsidR="0020378D" w:rsidRPr="006505F6">
        <w:rPr>
          <w:rFonts w:eastAsia="Times New Roman" w:cstheme="minorHAnsi"/>
          <w:color w:val="222222"/>
          <w:shd w:val="clear" w:color="auto" w:fill="FFFFFF"/>
          <w:lang w:eastAsia="en-GB"/>
        </w:rPr>
        <w:t>67% (</w:t>
      </w:r>
      <w:r w:rsidR="00AA0B36">
        <w:rPr>
          <w:rFonts w:eastAsia="Times New Roman" w:cstheme="minorHAnsi"/>
          <w:color w:val="222222"/>
          <w:shd w:val="clear" w:color="auto" w:fill="FFFFFF"/>
          <w:lang w:eastAsia="en-GB"/>
        </w:rPr>
        <w:t>22</w:t>
      </w:r>
      <w:r w:rsidR="0020378D" w:rsidRPr="006505F6">
        <w:rPr>
          <w:rFonts w:eastAsia="Times New Roman" w:cstheme="minorHAnsi"/>
          <w:color w:val="222222"/>
          <w:shd w:val="clear" w:color="auto" w:fill="FFFFFF"/>
          <w:lang w:eastAsia="en-GB"/>
        </w:rPr>
        <w:t>/</w:t>
      </w:r>
      <w:r w:rsidR="00AA0B36">
        <w:rPr>
          <w:rFonts w:eastAsia="Times New Roman" w:cstheme="minorHAnsi"/>
          <w:color w:val="222222"/>
          <w:shd w:val="clear" w:color="auto" w:fill="FFFFFF"/>
          <w:lang w:eastAsia="en-GB"/>
        </w:rPr>
        <w:t>33</w:t>
      </w:r>
      <w:r w:rsidR="0020378D" w:rsidRPr="006505F6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) </w:t>
      </w:r>
      <w:r w:rsidR="00514BD5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of </w:t>
      </w:r>
      <w:r w:rsidR="00EB28CE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samples </w:t>
      </w:r>
      <w:r w:rsidR="0020378D" w:rsidRPr="006505F6">
        <w:rPr>
          <w:rFonts w:eastAsia="Times New Roman" w:cstheme="minorHAnsi"/>
          <w:color w:val="222222"/>
          <w:shd w:val="clear" w:color="auto" w:fill="FFFFFF"/>
          <w:lang w:eastAsia="en-GB"/>
        </w:rPr>
        <w:t>yielded</w:t>
      </w:r>
      <w:r w:rsidR="00AD46D8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 </w:t>
      </w:r>
      <w:r w:rsidR="004A12A5" w:rsidRPr="006505F6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infectious virus </w:t>
      </w:r>
      <w:r w:rsidR="0020378D" w:rsidRPr="006505F6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by </w:t>
      </w:r>
      <w:r w:rsidR="004A12A5" w:rsidRPr="006505F6">
        <w:rPr>
          <w:rFonts w:eastAsia="Times New Roman" w:cstheme="minorHAnsi"/>
          <w:color w:val="222222"/>
          <w:shd w:val="clear" w:color="auto" w:fill="FFFFFF"/>
          <w:lang w:eastAsia="en-GB"/>
        </w:rPr>
        <w:t>cell culture</w:t>
      </w:r>
      <w:r w:rsidR="0020378D" w:rsidRPr="006505F6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. </w:t>
      </w:r>
      <w:r w:rsidR="00F30EB0" w:rsidRPr="006505F6">
        <w:rPr>
          <w:rFonts w:eastAsia="Times New Roman" w:cstheme="minorHAnsi"/>
          <w:color w:val="222222"/>
          <w:shd w:val="clear" w:color="auto" w:fill="FFFFFF"/>
          <w:lang w:eastAsia="en-GB"/>
        </w:rPr>
        <w:t>From droplets, vir</w:t>
      </w:r>
      <w:r w:rsidR="0020378D" w:rsidRPr="006505F6">
        <w:rPr>
          <w:rFonts w:eastAsia="Times New Roman" w:cstheme="minorHAnsi"/>
          <w:color w:val="222222"/>
          <w:shd w:val="clear" w:color="auto" w:fill="FFFFFF"/>
          <w:lang w:eastAsia="en-GB"/>
        </w:rPr>
        <w:t>al</w:t>
      </w:r>
      <w:r w:rsidR="00F30EB0" w:rsidRPr="006505F6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 DNA was identified in 71% </w:t>
      </w:r>
      <w:r w:rsidR="0020378D" w:rsidRPr="006505F6">
        <w:rPr>
          <w:rFonts w:eastAsia="Times New Roman" w:cstheme="minorHAnsi"/>
          <w:color w:val="222222"/>
          <w:shd w:val="clear" w:color="auto" w:fill="FFFFFF"/>
          <w:lang w:eastAsia="en-GB"/>
        </w:rPr>
        <w:t>(</w:t>
      </w:r>
      <w:r w:rsidR="00816F8E">
        <w:rPr>
          <w:rFonts w:eastAsia="Times New Roman" w:cstheme="minorHAnsi"/>
          <w:color w:val="222222"/>
          <w:shd w:val="clear" w:color="auto" w:fill="FFFFFF"/>
          <w:lang w:eastAsia="en-GB"/>
        </w:rPr>
        <w:t>32</w:t>
      </w:r>
      <w:r w:rsidR="0020378D" w:rsidRPr="006505F6">
        <w:rPr>
          <w:rFonts w:eastAsia="Times New Roman" w:cstheme="minorHAnsi"/>
          <w:color w:val="222222"/>
          <w:shd w:val="clear" w:color="auto" w:fill="FFFFFF"/>
          <w:lang w:eastAsia="en-GB"/>
        </w:rPr>
        <w:t>/</w:t>
      </w:r>
      <w:r w:rsidR="00816F8E">
        <w:rPr>
          <w:rFonts w:eastAsia="Times New Roman" w:cstheme="minorHAnsi"/>
          <w:color w:val="222222"/>
          <w:shd w:val="clear" w:color="auto" w:fill="FFFFFF"/>
          <w:lang w:eastAsia="en-GB"/>
        </w:rPr>
        <w:t>45</w:t>
      </w:r>
      <w:r w:rsidR="0020378D" w:rsidRPr="006505F6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) </w:t>
      </w:r>
      <w:r w:rsidR="00F30EB0" w:rsidRPr="006505F6">
        <w:rPr>
          <w:rFonts w:eastAsia="Times New Roman" w:cstheme="minorHAnsi"/>
          <w:color w:val="222222"/>
          <w:shd w:val="clear" w:color="auto" w:fill="FFFFFF"/>
          <w:lang w:eastAsia="en-GB"/>
        </w:rPr>
        <w:t>of samples</w:t>
      </w:r>
      <w:r w:rsidR="0020378D" w:rsidRPr="006505F6">
        <w:rPr>
          <w:rFonts w:eastAsia="Times New Roman" w:cstheme="minorHAnsi"/>
          <w:color w:val="222222"/>
          <w:shd w:val="clear" w:color="auto" w:fill="FFFFFF"/>
          <w:lang w:eastAsia="en-GB"/>
        </w:rPr>
        <w:t>,</w:t>
      </w:r>
      <w:r w:rsidR="00F30EB0" w:rsidRPr="006505F6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 with 2 samples </w:t>
      </w:r>
      <w:r w:rsidR="0020378D" w:rsidRPr="006505F6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yielding </w:t>
      </w:r>
      <w:r w:rsidR="00F30EB0" w:rsidRPr="006505F6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infectious virus. </w:t>
      </w:r>
      <w:r w:rsidR="003920B7" w:rsidRPr="006505F6">
        <w:rPr>
          <w:rFonts w:eastAsia="Times New Roman" w:cstheme="minorHAnsi"/>
          <w:color w:val="222222"/>
          <w:shd w:val="clear" w:color="auto" w:fill="FFFFFF"/>
          <w:lang w:eastAsia="en-GB"/>
        </w:rPr>
        <w:t>Vir</w:t>
      </w:r>
      <w:r w:rsidR="0020378D" w:rsidRPr="006505F6">
        <w:rPr>
          <w:rFonts w:eastAsia="Times New Roman" w:cstheme="minorHAnsi"/>
          <w:color w:val="222222"/>
          <w:shd w:val="clear" w:color="auto" w:fill="FFFFFF"/>
          <w:lang w:eastAsia="en-GB"/>
        </w:rPr>
        <w:t>al</w:t>
      </w:r>
      <w:r w:rsidR="003920B7" w:rsidRPr="006505F6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 DNA was also identified in 64% </w:t>
      </w:r>
      <w:r w:rsidR="0020378D" w:rsidRPr="006505F6">
        <w:rPr>
          <w:rFonts w:eastAsia="Times New Roman" w:cstheme="minorHAnsi"/>
          <w:color w:val="222222"/>
          <w:shd w:val="clear" w:color="auto" w:fill="FFFFFF"/>
          <w:lang w:eastAsia="en-GB"/>
        </w:rPr>
        <w:t>(</w:t>
      </w:r>
      <w:r w:rsidR="00816F8E">
        <w:rPr>
          <w:rFonts w:eastAsia="Times New Roman" w:cstheme="minorHAnsi"/>
          <w:color w:val="222222"/>
          <w:shd w:val="clear" w:color="auto" w:fill="FFFFFF"/>
          <w:lang w:eastAsia="en-GB"/>
        </w:rPr>
        <w:t>27</w:t>
      </w:r>
      <w:r w:rsidR="0020378D" w:rsidRPr="006505F6">
        <w:rPr>
          <w:rFonts w:eastAsia="Times New Roman" w:cstheme="minorHAnsi"/>
          <w:color w:val="222222"/>
          <w:shd w:val="clear" w:color="auto" w:fill="FFFFFF"/>
          <w:lang w:eastAsia="en-GB"/>
        </w:rPr>
        <w:t>/</w:t>
      </w:r>
      <w:r w:rsidR="00816F8E">
        <w:rPr>
          <w:rFonts w:eastAsia="Times New Roman" w:cstheme="minorHAnsi"/>
          <w:color w:val="222222"/>
          <w:shd w:val="clear" w:color="auto" w:fill="FFFFFF"/>
          <w:lang w:eastAsia="en-GB"/>
        </w:rPr>
        <w:t>42</w:t>
      </w:r>
      <w:r w:rsidR="0020378D" w:rsidRPr="006505F6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) </w:t>
      </w:r>
      <w:r w:rsidR="003920B7" w:rsidRPr="006505F6">
        <w:rPr>
          <w:rFonts w:eastAsia="Times New Roman" w:cstheme="minorHAnsi"/>
          <w:color w:val="222222"/>
          <w:shd w:val="clear" w:color="auto" w:fill="FFFFFF"/>
          <w:lang w:eastAsia="en-GB"/>
        </w:rPr>
        <w:t>of aerosols collected from medical consultation rooms, despite patients wearing an FFP2 mask</w:t>
      </w:r>
      <w:r w:rsidR="0020378D" w:rsidRPr="006505F6">
        <w:rPr>
          <w:rFonts w:eastAsia="Times New Roman" w:cstheme="minorHAnsi"/>
          <w:color w:val="222222"/>
          <w:shd w:val="clear" w:color="auto" w:fill="FFFFFF"/>
          <w:lang w:eastAsia="en-GB"/>
        </w:rPr>
        <w:t>, but no</w:t>
      </w:r>
      <w:r w:rsidR="00BF0AD0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 samples</w:t>
      </w:r>
      <w:r w:rsidR="0020378D" w:rsidRPr="006505F6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 yielded </w:t>
      </w:r>
      <w:r w:rsidR="003920B7" w:rsidRPr="006505F6">
        <w:rPr>
          <w:rFonts w:eastAsia="Times New Roman" w:cstheme="minorHAnsi"/>
          <w:color w:val="222222"/>
          <w:shd w:val="clear" w:color="auto" w:fill="FFFFFF"/>
          <w:lang w:eastAsia="en-GB"/>
        </w:rPr>
        <w:t>infectio</w:t>
      </w:r>
      <w:r w:rsidR="003D33E9" w:rsidRPr="006505F6">
        <w:rPr>
          <w:rFonts w:eastAsia="Times New Roman" w:cstheme="minorHAnsi"/>
          <w:color w:val="222222"/>
          <w:shd w:val="clear" w:color="auto" w:fill="FFFFFF"/>
          <w:lang w:eastAsia="en-GB"/>
        </w:rPr>
        <w:t>u</w:t>
      </w:r>
      <w:r w:rsidR="003920B7" w:rsidRPr="006505F6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s virus. </w:t>
      </w:r>
      <w:r w:rsidR="00966338" w:rsidRPr="006505F6">
        <w:rPr>
          <w:rFonts w:eastAsia="Times New Roman" w:cstheme="minorHAnsi"/>
          <w:color w:val="222222"/>
          <w:shd w:val="clear" w:color="auto" w:fill="FFFFFF"/>
          <w:lang w:eastAsia="en-GB"/>
        </w:rPr>
        <w:t>Further stud</w:t>
      </w:r>
      <w:r w:rsidR="0020378D" w:rsidRPr="006505F6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ies are </w:t>
      </w:r>
      <w:r w:rsidR="00966338" w:rsidRPr="006505F6">
        <w:rPr>
          <w:rFonts w:eastAsia="Times New Roman" w:cstheme="minorHAnsi"/>
          <w:color w:val="222222"/>
          <w:shd w:val="clear" w:color="auto" w:fill="FFFFFF"/>
          <w:lang w:eastAsia="en-GB"/>
        </w:rPr>
        <w:t>needed</w:t>
      </w:r>
      <w:r w:rsidR="00AB4714" w:rsidRPr="006505F6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 to evaluate if </w:t>
      </w:r>
      <w:r w:rsidR="0020378D" w:rsidRPr="006505F6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Mpox </w:t>
      </w:r>
      <w:r w:rsidR="00AB4714" w:rsidRPr="006505F6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virus present in saliva, droplets, and aerosols </w:t>
      </w:r>
      <w:r w:rsidR="00514BD5">
        <w:rPr>
          <w:rFonts w:eastAsia="Times New Roman" w:cstheme="minorHAnsi"/>
          <w:color w:val="222222"/>
          <w:shd w:val="clear" w:color="auto" w:fill="FFFFFF"/>
          <w:lang w:eastAsia="en-GB"/>
        </w:rPr>
        <w:t>can be efficiently transmitted.</w:t>
      </w:r>
    </w:p>
    <w:p w14:paraId="749DAC13" w14:textId="200000A0" w:rsidR="00D032B9" w:rsidRPr="006505F6" w:rsidRDefault="00D032B9" w:rsidP="005C789C">
      <w:pPr>
        <w:rPr>
          <w:rFonts w:eastAsia="Times New Roman" w:cstheme="minorHAnsi"/>
          <w:color w:val="222222"/>
          <w:shd w:val="clear" w:color="auto" w:fill="FFFFFF"/>
          <w:lang w:eastAsia="en-GB"/>
        </w:rPr>
      </w:pPr>
    </w:p>
    <w:p w14:paraId="70A9B90B" w14:textId="76F3CE13" w:rsidR="003A7E44" w:rsidRPr="006505F6" w:rsidRDefault="003A7E44" w:rsidP="005C789C">
      <w:pPr>
        <w:rPr>
          <w:rFonts w:cstheme="minorHAnsi"/>
        </w:rPr>
      </w:pPr>
      <w:r w:rsidRPr="00151EC2">
        <w:rPr>
          <w:rFonts w:eastAsia="Times New Roman" w:cstheme="minorHAnsi"/>
          <w:color w:val="222222"/>
          <w:shd w:val="clear" w:color="auto" w:fill="FFFFFF"/>
          <w:lang w:val="es-NI" w:eastAsia="en-GB"/>
        </w:rPr>
        <w:lastRenderedPageBreak/>
        <w:t>Hernaez B, Mu</w:t>
      </w:r>
      <w:r w:rsidRPr="00151EC2">
        <w:rPr>
          <w:rFonts w:ascii="Calibri" w:eastAsia="Times New Roman" w:hAnsi="Calibri" w:cs="Calibri"/>
          <w:color w:val="222222"/>
          <w:shd w:val="clear" w:color="auto" w:fill="FFFFFF"/>
          <w:lang w:val="es-NI" w:eastAsia="en-GB"/>
        </w:rPr>
        <w:t>ñoz-G</w:t>
      </w:r>
      <w:r w:rsidRPr="00151EC2">
        <w:rPr>
          <w:rFonts w:ascii="Calibri (Body)" w:eastAsia="Times New Roman" w:hAnsi="Calibri (Body)" w:cstheme="minorHAnsi" w:hint="eastAsia"/>
          <w:color w:val="222222"/>
          <w:shd w:val="clear" w:color="auto" w:fill="FFFFFF"/>
          <w:lang w:val="es-NI" w:eastAsia="en-GB"/>
        </w:rPr>
        <w:t>ó</w:t>
      </w:r>
      <w:r w:rsidRPr="00151EC2">
        <w:rPr>
          <w:rFonts w:ascii="Calibri (Body)" w:eastAsia="Times New Roman" w:hAnsi="Calibri (Body)" w:cstheme="minorHAnsi"/>
          <w:color w:val="222222"/>
          <w:shd w:val="clear" w:color="auto" w:fill="FFFFFF"/>
          <w:lang w:val="es-NI" w:eastAsia="en-GB"/>
        </w:rPr>
        <w:t xml:space="preserve">mez A, Sanchiz A, </w:t>
      </w:r>
      <w:r w:rsidRPr="00151EC2">
        <w:rPr>
          <w:rFonts w:ascii="Calibri (Body)" w:eastAsia="Times New Roman" w:hAnsi="Calibri (Body)" w:cstheme="minorHAnsi"/>
          <w:i/>
          <w:iCs/>
          <w:color w:val="222222"/>
          <w:shd w:val="clear" w:color="auto" w:fill="FFFFFF"/>
          <w:lang w:val="es-NI" w:eastAsia="en-GB"/>
        </w:rPr>
        <w:t>et al.</w:t>
      </w:r>
      <w:r w:rsidRPr="00151EC2">
        <w:rPr>
          <w:rFonts w:ascii="Calibri (Body)" w:eastAsia="Times New Roman" w:hAnsi="Calibri (Body)" w:cstheme="minorHAnsi"/>
          <w:color w:val="222222"/>
          <w:shd w:val="clear" w:color="auto" w:fill="FFFFFF"/>
          <w:lang w:val="es-NI" w:eastAsia="en-GB"/>
        </w:rPr>
        <w:t xml:space="preserve"> </w:t>
      </w:r>
      <w:r w:rsidRPr="006505F6">
        <w:rPr>
          <w:rFonts w:ascii="Calibri (Body)" w:eastAsia="Times New Roman" w:hAnsi="Calibri (Body)" w:cstheme="minorHAnsi"/>
          <w:color w:val="222222"/>
          <w:shd w:val="clear" w:color="auto" w:fill="FFFFFF"/>
          <w:lang w:eastAsia="en-GB"/>
        </w:rPr>
        <w:t xml:space="preserve">Monitoring monkeypox virus in saliva and air samples in Spain: A cross-sectional study. </w:t>
      </w:r>
      <w:r w:rsidR="00BC431F" w:rsidRPr="006505F6">
        <w:rPr>
          <w:rFonts w:ascii="Calibri (Body)" w:eastAsia="Times New Roman" w:hAnsi="Calibri (Body)" w:cstheme="minorHAnsi"/>
          <w:i/>
          <w:iCs/>
          <w:color w:val="222222"/>
          <w:shd w:val="clear" w:color="auto" w:fill="FFFFFF"/>
          <w:lang w:eastAsia="en-GB"/>
        </w:rPr>
        <w:t>Lancet Microbe</w:t>
      </w:r>
      <w:r w:rsidR="00BC431F" w:rsidRPr="006505F6">
        <w:rPr>
          <w:rFonts w:ascii="Calibri (Body)" w:eastAsia="Times New Roman" w:hAnsi="Calibri (Body)" w:cstheme="minorHAnsi"/>
          <w:color w:val="222222"/>
          <w:shd w:val="clear" w:color="auto" w:fill="FFFFFF"/>
          <w:lang w:eastAsia="en-GB"/>
        </w:rPr>
        <w:t xml:space="preserve"> 2023;</w:t>
      </w:r>
      <w:proofErr w:type="gramStart"/>
      <w:r w:rsidR="00BC431F" w:rsidRPr="006505F6">
        <w:rPr>
          <w:rFonts w:ascii="Calibri (Body)" w:eastAsia="Times New Roman" w:hAnsi="Calibri (Body)" w:cstheme="minorHAnsi"/>
          <w:color w:val="222222"/>
          <w:shd w:val="clear" w:color="auto" w:fill="FFFFFF"/>
          <w:lang w:eastAsia="en-GB"/>
        </w:rPr>
        <w:t>4:e</w:t>
      </w:r>
      <w:proofErr w:type="gramEnd"/>
      <w:r w:rsidR="00BC431F" w:rsidRPr="006505F6">
        <w:rPr>
          <w:rFonts w:ascii="Calibri (Body)" w:eastAsia="Times New Roman" w:hAnsi="Calibri (Body)" w:cstheme="minorHAnsi"/>
          <w:color w:val="222222"/>
          <w:shd w:val="clear" w:color="auto" w:fill="FFFFFF"/>
          <w:lang w:eastAsia="en-GB"/>
        </w:rPr>
        <w:t>21-8.</w:t>
      </w:r>
    </w:p>
    <w:p w14:paraId="37185FDB" w14:textId="75FF713E" w:rsidR="00A25221" w:rsidRPr="006505F6" w:rsidRDefault="00A25221"/>
    <w:p w14:paraId="63A8418C" w14:textId="36DB9F36" w:rsidR="00E0603F" w:rsidRPr="006505F6" w:rsidRDefault="00E0603F">
      <w:pPr>
        <w:rPr>
          <w:b/>
          <w:bCs/>
        </w:rPr>
      </w:pPr>
      <w:r w:rsidRPr="006505F6">
        <w:rPr>
          <w:b/>
          <w:bCs/>
        </w:rPr>
        <w:t xml:space="preserve">Intimate partner violence </w:t>
      </w:r>
      <w:r w:rsidR="00494C6B" w:rsidRPr="006505F6">
        <w:rPr>
          <w:b/>
          <w:bCs/>
        </w:rPr>
        <w:t xml:space="preserve">linked to HIV acquisition risk </w:t>
      </w:r>
      <w:r w:rsidRPr="006505F6">
        <w:rPr>
          <w:b/>
          <w:bCs/>
        </w:rPr>
        <w:t xml:space="preserve">among women </w:t>
      </w:r>
      <w:r w:rsidR="00494C6B" w:rsidRPr="006505F6">
        <w:rPr>
          <w:b/>
          <w:bCs/>
        </w:rPr>
        <w:t xml:space="preserve">across </w:t>
      </w:r>
      <w:r w:rsidR="00CF68C6" w:rsidRPr="006505F6">
        <w:rPr>
          <w:b/>
          <w:bCs/>
        </w:rPr>
        <w:t>s</w:t>
      </w:r>
      <w:r w:rsidRPr="006505F6">
        <w:rPr>
          <w:b/>
          <w:bCs/>
        </w:rPr>
        <w:t>ub-Saharan Africa</w:t>
      </w:r>
    </w:p>
    <w:p w14:paraId="7E581C62" w14:textId="1545E8C5" w:rsidR="00494C6B" w:rsidRPr="006505F6" w:rsidRDefault="00494C6B">
      <w:pPr>
        <w:rPr>
          <w:b/>
          <w:bCs/>
        </w:rPr>
      </w:pPr>
    </w:p>
    <w:p w14:paraId="719B5A67" w14:textId="5E694920" w:rsidR="00C81CFA" w:rsidRPr="006505F6" w:rsidRDefault="00C56210">
      <w:r w:rsidRPr="006505F6">
        <w:t xml:space="preserve">Previous </w:t>
      </w:r>
      <w:r w:rsidR="00FA78EF" w:rsidRPr="006505F6">
        <w:t>research ha</w:t>
      </w:r>
      <w:r w:rsidR="00F136BA" w:rsidRPr="006505F6">
        <w:t>s</w:t>
      </w:r>
      <w:r w:rsidR="00FA78EF" w:rsidRPr="006505F6">
        <w:t xml:space="preserve"> suggested a link between i</w:t>
      </w:r>
      <w:r w:rsidR="00494C6B" w:rsidRPr="006505F6">
        <w:t xml:space="preserve">ntimate partner violence </w:t>
      </w:r>
      <w:r w:rsidR="00FA78EF" w:rsidRPr="006505F6">
        <w:t>and HIV</w:t>
      </w:r>
      <w:r w:rsidRPr="006505F6">
        <w:t xml:space="preserve"> acquisition</w:t>
      </w:r>
      <w:r w:rsidR="00C81CFA" w:rsidRPr="006505F6">
        <w:t xml:space="preserve">, although findings </w:t>
      </w:r>
      <w:r w:rsidR="00D1416D">
        <w:t>are</w:t>
      </w:r>
      <w:r w:rsidR="00C81CFA" w:rsidRPr="006505F6">
        <w:t xml:space="preserve"> variable</w:t>
      </w:r>
      <w:r w:rsidR="00535A09">
        <w:t xml:space="preserve"> </w:t>
      </w:r>
      <w:r w:rsidR="001F50F1">
        <w:t>(2)</w:t>
      </w:r>
      <w:r w:rsidR="00494C6B" w:rsidRPr="006505F6">
        <w:t xml:space="preserve">. </w:t>
      </w:r>
      <w:r w:rsidR="00972F43">
        <w:t>A</w:t>
      </w:r>
      <w:r w:rsidR="00FA78EF" w:rsidRPr="006505F6">
        <w:t xml:space="preserve"> retrospective </w:t>
      </w:r>
      <w:r w:rsidRPr="006505F6">
        <w:t xml:space="preserve">study </w:t>
      </w:r>
      <w:r w:rsidR="00972F43">
        <w:t xml:space="preserve">using </w:t>
      </w:r>
      <w:r w:rsidR="00FA78EF" w:rsidRPr="006505F6">
        <w:t xml:space="preserve">pooled data </w:t>
      </w:r>
      <w:r w:rsidRPr="006505F6">
        <w:t xml:space="preserve">from </w:t>
      </w:r>
      <w:r w:rsidR="00FA78EF" w:rsidRPr="006505F6">
        <w:t>nationally representative cross-sectional surveys</w:t>
      </w:r>
      <w:r w:rsidRPr="006505F6">
        <w:t xml:space="preserve"> </w:t>
      </w:r>
      <w:r w:rsidR="00972F43">
        <w:t xml:space="preserve">was </w:t>
      </w:r>
      <w:r w:rsidRPr="006505F6">
        <w:t>conducted</w:t>
      </w:r>
      <w:r w:rsidR="00FA78EF" w:rsidRPr="006505F6">
        <w:t xml:space="preserve"> across 30 countries in Sub-Saharan Africa </w:t>
      </w:r>
      <w:r w:rsidRPr="006505F6">
        <w:t xml:space="preserve">in </w:t>
      </w:r>
      <w:r w:rsidR="00FA78EF" w:rsidRPr="006505F6">
        <w:t>2000</w:t>
      </w:r>
      <w:r w:rsidR="00F136BA" w:rsidRPr="006505F6">
        <w:t>-</w:t>
      </w:r>
      <w:r w:rsidR="00FA78EF" w:rsidRPr="006505F6">
        <w:t xml:space="preserve">2020. </w:t>
      </w:r>
      <w:r w:rsidRPr="006505F6">
        <w:t>Among</w:t>
      </w:r>
      <w:r w:rsidR="00FA78EF" w:rsidRPr="006505F6">
        <w:t xml:space="preserve"> 280259 ever-partnered women aged 15</w:t>
      </w:r>
      <w:r w:rsidR="00D1416D">
        <w:t>-</w:t>
      </w:r>
      <w:r w:rsidR="00FA78EF" w:rsidRPr="006505F6">
        <w:t>64 years</w:t>
      </w:r>
      <w:r w:rsidR="00F136BA" w:rsidRPr="006505F6">
        <w:t>,</w:t>
      </w:r>
      <w:r w:rsidR="00FA78EF" w:rsidRPr="006505F6">
        <w:t xml:space="preserve"> 59456 (21.2%) reported</w:t>
      </w:r>
      <w:r w:rsidR="00D84A0C" w:rsidRPr="006505F6">
        <w:t xml:space="preserve"> </w:t>
      </w:r>
      <w:r w:rsidRPr="006505F6">
        <w:t>intimate physical and/or sexual partner violence</w:t>
      </w:r>
      <w:r w:rsidR="00FA78EF" w:rsidRPr="006505F6">
        <w:t xml:space="preserve"> in the past year</w:t>
      </w:r>
      <w:r w:rsidRPr="006505F6">
        <w:t xml:space="preserve">. Reporting violence was </w:t>
      </w:r>
      <w:r w:rsidR="00FA78EF" w:rsidRPr="006505F6">
        <w:t>associated with</w:t>
      </w:r>
      <w:r w:rsidRPr="006505F6">
        <w:t xml:space="preserve"> an increased likelihood of</w:t>
      </w:r>
      <w:r w:rsidR="00C81CFA" w:rsidRPr="006505F6">
        <w:t xml:space="preserve"> </w:t>
      </w:r>
      <w:r w:rsidRPr="006505F6">
        <w:t xml:space="preserve">recent </w:t>
      </w:r>
      <w:r w:rsidR="00A2121F" w:rsidRPr="006505F6">
        <w:t xml:space="preserve">HIV </w:t>
      </w:r>
      <w:r w:rsidRPr="006505F6">
        <w:t>infection [adjusted prevalence ratio (</w:t>
      </w:r>
      <w:proofErr w:type="spellStart"/>
      <w:r w:rsidR="00A2121F" w:rsidRPr="006505F6">
        <w:t>aPR</w:t>
      </w:r>
      <w:proofErr w:type="spellEnd"/>
      <w:r w:rsidRPr="006505F6">
        <w:t xml:space="preserve">) </w:t>
      </w:r>
      <w:r w:rsidR="00A2121F" w:rsidRPr="006505F6">
        <w:t>3.22</w:t>
      </w:r>
      <w:r w:rsidRPr="006505F6">
        <w:t xml:space="preserve">; </w:t>
      </w:r>
      <w:r w:rsidR="00A2121F" w:rsidRPr="006505F6">
        <w:t>95%</w:t>
      </w:r>
      <w:r w:rsidRPr="006505F6">
        <w:t xml:space="preserve"> </w:t>
      </w:r>
      <w:r w:rsidR="00A2121F" w:rsidRPr="006505F6">
        <w:t>CI 1.51-6.85</w:t>
      </w:r>
      <w:r w:rsidR="00DB1CC7">
        <w:t>]</w:t>
      </w:r>
      <w:r w:rsidRPr="006505F6">
        <w:t xml:space="preserve">. Among women living with HIV, </w:t>
      </w:r>
      <w:r w:rsidR="00C81CFA" w:rsidRPr="006505F6">
        <w:t>those who reported violence had a</w:t>
      </w:r>
      <w:r w:rsidRPr="006505F6">
        <w:t xml:space="preserve"> reduced </w:t>
      </w:r>
      <w:r w:rsidR="00A2121F" w:rsidRPr="006505F6">
        <w:t xml:space="preserve">likelihood of achieving </w:t>
      </w:r>
      <w:r w:rsidR="00C81CFA" w:rsidRPr="006505F6">
        <w:t>virological</w:t>
      </w:r>
      <w:r w:rsidRPr="006505F6">
        <w:t xml:space="preserve"> </w:t>
      </w:r>
      <w:r w:rsidR="00A2121F" w:rsidRPr="006505F6">
        <w:t xml:space="preserve">suppression </w:t>
      </w:r>
      <w:r w:rsidRPr="006505F6">
        <w:t>on antir</w:t>
      </w:r>
      <w:r w:rsidR="00C81CFA" w:rsidRPr="006505F6">
        <w:t xml:space="preserve">etroviral therapy </w:t>
      </w:r>
      <w:r w:rsidR="00A2121F" w:rsidRPr="006505F6">
        <w:t>(</w:t>
      </w:r>
      <w:proofErr w:type="spellStart"/>
      <w:r w:rsidR="00A2121F" w:rsidRPr="006505F6">
        <w:t>aPR</w:t>
      </w:r>
      <w:proofErr w:type="spellEnd"/>
      <w:r w:rsidR="00C81CFA" w:rsidRPr="006505F6">
        <w:t xml:space="preserve"> </w:t>
      </w:r>
      <w:r w:rsidR="00A2121F" w:rsidRPr="006505F6">
        <w:t>0.91</w:t>
      </w:r>
      <w:r w:rsidR="00C81CFA" w:rsidRPr="006505F6">
        <w:t>;</w:t>
      </w:r>
      <w:r w:rsidR="00A2121F" w:rsidRPr="006505F6">
        <w:t xml:space="preserve"> 95%</w:t>
      </w:r>
      <w:r w:rsidR="00C81CFA" w:rsidRPr="006505F6">
        <w:t xml:space="preserve"> </w:t>
      </w:r>
      <w:r w:rsidR="00A2121F" w:rsidRPr="006505F6">
        <w:t xml:space="preserve">CI 0.84-0.98). </w:t>
      </w:r>
      <w:r w:rsidR="00C81CFA" w:rsidRPr="006505F6">
        <w:t>Preventing and addressing intimate partner violence is a crucial component of HIV control strategies.</w:t>
      </w:r>
    </w:p>
    <w:p w14:paraId="70ECD43D" w14:textId="77777777" w:rsidR="00535A09" w:rsidRDefault="00535A09" w:rsidP="00697B1A"/>
    <w:p w14:paraId="2393FEC1" w14:textId="74D154E3" w:rsidR="00697B1A" w:rsidRPr="006505F6" w:rsidRDefault="00697B1A" w:rsidP="00697B1A">
      <w:proofErr w:type="spellStart"/>
      <w:r w:rsidRPr="006505F6">
        <w:t>Kuchukhidze</w:t>
      </w:r>
      <w:proofErr w:type="spellEnd"/>
      <w:r w:rsidR="00CF68C6" w:rsidRPr="006505F6">
        <w:t xml:space="preserve"> S</w:t>
      </w:r>
      <w:r w:rsidRPr="006505F6">
        <w:t xml:space="preserve">, </w:t>
      </w:r>
      <w:proofErr w:type="spellStart"/>
      <w:r w:rsidRPr="006505F6">
        <w:t>Panagiotoglou</w:t>
      </w:r>
      <w:proofErr w:type="spellEnd"/>
      <w:r w:rsidR="00CF68C6" w:rsidRPr="006505F6">
        <w:t xml:space="preserve"> D</w:t>
      </w:r>
      <w:r w:rsidRPr="006505F6">
        <w:t xml:space="preserve">, </w:t>
      </w:r>
      <w:proofErr w:type="spellStart"/>
      <w:r w:rsidRPr="006505F6">
        <w:t>Boily</w:t>
      </w:r>
      <w:proofErr w:type="spellEnd"/>
      <w:r w:rsidR="00CF68C6" w:rsidRPr="006505F6">
        <w:t xml:space="preserve"> M-C</w:t>
      </w:r>
      <w:r w:rsidRPr="006505F6">
        <w:t xml:space="preserve">, </w:t>
      </w:r>
      <w:r w:rsidR="00CF68C6" w:rsidRPr="006505F6">
        <w:rPr>
          <w:rFonts w:ascii="Calibri (Body)" w:eastAsia="Times New Roman" w:hAnsi="Calibri (Body)" w:cstheme="minorHAnsi"/>
          <w:i/>
          <w:iCs/>
          <w:color w:val="222222"/>
          <w:shd w:val="clear" w:color="auto" w:fill="FFFFFF"/>
          <w:lang w:eastAsia="en-GB"/>
        </w:rPr>
        <w:t>et al.</w:t>
      </w:r>
      <w:r w:rsidR="00CF68C6" w:rsidRPr="006505F6">
        <w:rPr>
          <w:rFonts w:ascii="Calibri (Body)" w:eastAsia="Times New Roman" w:hAnsi="Calibri (Body)" w:cstheme="minorHAnsi"/>
          <w:color w:val="222222"/>
          <w:shd w:val="clear" w:color="auto" w:fill="FFFFFF"/>
          <w:lang w:eastAsia="en-GB"/>
        </w:rPr>
        <w:t xml:space="preserve"> The effects of intimate partner violence on women’s risk of HIV acquisition and engagement in the HIV treatment and care cascade: A pooled analysis of nationally representative surveys in sub-Saharan Africa</w:t>
      </w:r>
      <w:r w:rsidR="00CF68C6" w:rsidRPr="006505F6">
        <w:t xml:space="preserve">. </w:t>
      </w:r>
      <w:r w:rsidRPr="006505F6">
        <w:rPr>
          <w:i/>
          <w:iCs/>
        </w:rPr>
        <w:t>Lancet HIV</w:t>
      </w:r>
      <w:r w:rsidR="00CF68C6" w:rsidRPr="006505F6">
        <w:rPr>
          <w:i/>
          <w:iCs/>
        </w:rPr>
        <w:t xml:space="preserve"> </w:t>
      </w:r>
      <w:proofErr w:type="gramStart"/>
      <w:r w:rsidR="00CF68C6" w:rsidRPr="006505F6">
        <w:t>2022;Epub</w:t>
      </w:r>
      <w:proofErr w:type="gramEnd"/>
      <w:r w:rsidR="00CF68C6" w:rsidRPr="006505F6">
        <w:t xml:space="preserve"> </w:t>
      </w:r>
      <w:r w:rsidRPr="006505F6">
        <w:t>ahead of print.doi</w:t>
      </w:r>
      <w:r w:rsidR="00CF68C6" w:rsidRPr="006505F6">
        <w:t>:</w:t>
      </w:r>
      <w:r w:rsidRPr="006505F6">
        <w:t>10.1016/S2352-3018(22)00305-8</w:t>
      </w:r>
    </w:p>
    <w:p w14:paraId="73AF59F4" w14:textId="291AEB77" w:rsidR="00697B1A" w:rsidRPr="006505F6" w:rsidRDefault="00697B1A" w:rsidP="00697B1A"/>
    <w:p w14:paraId="5C391C86" w14:textId="5302AFAA" w:rsidR="00997C5D" w:rsidRPr="006505F6" w:rsidRDefault="00BB2EBF" w:rsidP="00697B1A">
      <w:r w:rsidRPr="006505F6">
        <w:rPr>
          <w:b/>
          <w:bCs/>
        </w:rPr>
        <w:t xml:space="preserve">Recent azithromycin exposure for STI treatment </w:t>
      </w:r>
      <w:r w:rsidR="00424C4A" w:rsidRPr="006505F6">
        <w:rPr>
          <w:b/>
          <w:bCs/>
        </w:rPr>
        <w:t>is associated with detection</w:t>
      </w:r>
      <w:r w:rsidRPr="006505F6">
        <w:rPr>
          <w:b/>
          <w:bCs/>
        </w:rPr>
        <w:t xml:space="preserve"> of </w:t>
      </w:r>
      <w:r w:rsidR="00972F43" w:rsidRPr="006505F6">
        <w:rPr>
          <w:b/>
          <w:bCs/>
        </w:rPr>
        <w:t>azithromycin</w:t>
      </w:r>
      <w:r w:rsidRPr="006505F6">
        <w:rPr>
          <w:b/>
          <w:bCs/>
        </w:rPr>
        <w:t xml:space="preserve">-resistant </w:t>
      </w:r>
      <w:r w:rsidR="00997C5D" w:rsidRPr="0051664A">
        <w:rPr>
          <w:b/>
          <w:bCs/>
          <w:i/>
          <w:iCs/>
        </w:rPr>
        <w:t>Neisseria gonorrhoeae</w:t>
      </w:r>
      <w:r w:rsidR="00200640" w:rsidRPr="006505F6">
        <w:rPr>
          <w:b/>
          <w:bCs/>
        </w:rPr>
        <w:t xml:space="preserve"> (NG)</w:t>
      </w:r>
      <w:r w:rsidR="00997C5D" w:rsidRPr="006505F6">
        <w:rPr>
          <w:b/>
          <w:bCs/>
        </w:rPr>
        <w:t xml:space="preserve">  </w:t>
      </w:r>
    </w:p>
    <w:p w14:paraId="6D513C12" w14:textId="77777777" w:rsidR="00424C4A" w:rsidRPr="006505F6" w:rsidRDefault="00424C4A" w:rsidP="00697B1A"/>
    <w:p w14:paraId="383FF487" w14:textId="421B5B78" w:rsidR="007C3CC2" w:rsidRPr="006505F6" w:rsidRDefault="00E159CC" w:rsidP="00697B1A">
      <w:r w:rsidRPr="006505F6">
        <w:t xml:space="preserve">Investigators in Seattle analysed data from 2155 </w:t>
      </w:r>
      <w:r w:rsidR="00D1416D">
        <w:t>patients</w:t>
      </w:r>
      <w:r w:rsidR="00DB1CC7">
        <w:t xml:space="preserve"> who attended</w:t>
      </w:r>
      <w:r w:rsidRPr="006505F6">
        <w:t xml:space="preserve"> </w:t>
      </w:r>
      <w:r w:rsidR="00DB1CC7" w:rsidRPr="006505F6">
        <w:t>sexual health service</w:t>
      </w:r>
      <w:r w:rsidR="00DB1CC7">
        <w:t>s</w:t>
      </w:r>
      <w:r w:rsidR="00DB1CC7" w:rsidRPr="006505F6">
        <w:t xml:space="preserve"> (SHS)</w:t>
      </w:r>
      <w:r w:rsidR="00DB1CC7">
        <w:t xml:space="preserve"> </w:t>
      </w:r>
      <w:r w:rsidRPr="006505F6">
        <w:t xml:space="preserve">in </w:t>
      </w:r>
      <w:r w:rsidR="009B3497" w:rsidRPr="006505F6">
        <w:t>2012</w:t>
      </w:r>
      <w:r w:rsidRPr="006505F6">
        <w:t>-</w:t>
      </w:r>
      <w:r w:rsidR="009B3497" w:rsidRPr="006505F6">
        <w:t>2019</w:t>
      </w:r>
      <w:r w:rsidRPr="006505F6">
        <w:t xml:space="preserve"> with </w:t>
      </w:r>
      <w:r w:rsidR="004C7754" w:rsidRPr="006505F6">
        <w:t xml:space="preserve">culture-positive NG </w:t>
      </w:r>
      <w:r w:rsidR="00424C4A" w:rsidRPr="006505F6">
        <w:t xml:space="preserve">at </w:t>
      </w:r>
      <w:r w:rsidR="00520DCC" w:rsidRPr="006505F6">
        <w:t>≥1</w:t>
      </w:r>
      <w:r w:rsidR="004C7754" w:rsidRPr="006505F6">
        <w:t xml:space="preserve"> anatomic site. </w:t>
      </w:r>
      <w:r w:rsidR="00972F43">
        <w:t>A</w:t>
      </w:r>
      <w:r w:rsidR="00972F43" w:rsidRPr="00972F43">
        <w:t xml:space="preserve">zithromycin </w:t>
      </w:r>
      <w:r w:rsidR="00972F43">
        <w:t>(</w:t>
      </w:r>
      <w:r w:rsidR="0039066A" w:rsidRPr="00972F43">
        <w:t>A</w:t>
      </w:r>
      <w:r w:rsidR="0039066A" w:rsidRPr="006505F6">
        <w:t>ZM</w:t>
      </w:r>
      <w:r w:rsidR="00972F43">
        <w:t>)</w:t>
      </w:r>
      <w:r w:rsidR="00E61F95" w:rsidRPr="006505F6">
        <w:t xml:space="preserve"> resistance</w:t>
      </w:r>
      <w:r w:rsidR="0039066A" w:rsidRPr="006505F6">
        <w:t xml:space="preserve"> </w:t>
      </w:r>
      <w:r w:rsidR="00BB2EBF" w:rsidRPr="006505F6">
        <w:t xml:space="preserve">was detected in </w:t>
      </w:r>
      <w:r w:rsidR="004C7754" w:rsidRPr="006505F6">
        <w:t>156</w:t>
      </w:r>
      <w:r w:rsidR="00BB2EBF" w:rsidRPr="006505F6">
        <w:t>/</w:t>
      </w:r>
      <w:r w:rsidR="0039066A" w:rsidRPr="006505F6">
        <w:t>2828</w:t>
      </w:r>
      <w:r w:rsidR="004C7754" w:rsidRPr="006505F6">
        <w:t xml:space="preserve"> </w:t>
      </w:r>
      <w:r w:rsidR="00DB1CC7" w:rsidRPr="006505F6">
        <w:t xml:space="preserve">(6%) </w:t>
      </w:r>
      <w:r w:rsidR="00424C4A" w:rsidRPr="006505F6">
        <w:t>NG episodes</w:t>
      </w:r>
      <w:r w:rsidR="00DB1CC7">
        <w:t>.</w:t>
      </w:r>
      <w:r w:rsidR="00E61F95" w:rsidRPr="006505F6">
        <w:t xml:space="preserve"> Detection of resistance</w:t>
      </w:r>
      <w:r w:rsidR="00424C4A" w:rsidRPr="006505F6" w:rsidDel="00E159CC">
        <w:t xml:space="preserve"> </w:t>
      </w:r>
      <w:r w:rsidR="004C7754" w:rsidRPr="006505F6">
        <w:t xml:space="preserve">was associated with </w:t>
      </w:r>
      <w:r w:rsidR="00BB2EBF" w:rsidRPr="006505F6">
        <w:t xml:space="preserve">a history of </w:t>
      </w:r>
      <w:r w:rsidR="00E61F95" w:rsidRPr="006505F6">
        <w:t xml:space="preserve">SHS-prescribed </w:t>
      </w:r>
      <w:r w:rsidR="004C7754" w:rsidRPr="006505F6">
        <w:t>AZM</w:t>
      </w:r>
      <w:r w:rsidR="00520DCC" w:rsidRPr="006505F6">
        <w:t xml:space="preserve"> </w:t>
      </w:r>
      <w:r w:rsidR="00E61F95" w:rsidRPr="006505F6">
        <w:t xml:space="preserve">treatment </w:t>
      </w:r>
      <w:r w:rsidR="004C7754" w:rsidRPr="006505F6">
        <w:t xml:space="preserve">in the </w:t>
      </w:r>
      <w:r w:rsidR="00424C4A" w:rsidRPr="006505F6">
        <w:t>previous month</w:t>
      </w:r>
      <w:r w:rsidR="004C7754" w:rsidRPr="006505F6">
        <w:t xml:space="preserve"> </w:t>
      </w:r>
      <w:r w:rsidR="00BB2EBF" w:rsidRPr="006505F6">
        <w:t>[adjusted odd ratio (</w:t>
      </w:r>
      <w:proofErr w:type="spellStart"/>
      <w:r w:rsidR="004C7754" w:rsidRPr="006505F6">
        <w:t>aOR</w:t>
      </w:r>
      <w:proofErr w:type="spellEnd"/>
      <w:r w:rsidR="00BB2EBF" w:rsidRPr="006505F6">
        <w:t xml:space="preserve">) </w:t>
      </w:r>
      <w:r w:rsidR="004C7754" w:rsidRPr="006505F6">
        <w:t>6.76</w:t>
      </w:r>
      <w:r w:rsidR="00BB2EBF" w:rsidRPr="006505F6">
        <w:t>;</w:t>
      </w:r>
      <w:r w:rsidR="004C7754" w:rsidRPr="006505F6">
        <w:t xml:space="preserve"> 95%</w:t>
      </w:r>
      <w:r w:rsidR="00BB2EBF" w:rsidRPr="006505F6">
        <w:t xml:space="preserve"> </w:t>
      </w:r>
      <w:r w:rsidR="004C7754" w:rsidRPr="006505F6">
        <w:t>CI 1.76-25.90</w:t>
      </w:r>
      <w:r w:rsidR="00BB2EBF" w:rsidRPr="006505F6">
        <w:t>]</w:t>
      </w:r>
      <w:r w:rsidR="00424C4A" w:rsidRPr="006505F6">
        <w:t xml:space="preserve">, but not with older </w:t>
      </w:r>
      <w:r w:rsidR="00E61F95" w:rsidRPr="006505F6">
        <w:t>SHS</w:t>
      </w:r>
      <w:r w:rsidR="009171BA">
        <w:t>-</w:t>
      </w:r>
      <w:r w:rsidR="00424C4A" w:rsidRPr="006505F6">
        <w:t>prescri</w:t>
      </w:r>
      <w:r w:rsidR="009171BA">
        <w:t>bed AZM treatment</w:t>
      </w:r>
      <w:r w:rsidR="004C7754" w:rsidRPr="006505F6">
        <w:t xml:space="preserve">. </w:t>
      </w:r>
      <w:r w:rsidR="00E61F95" w:rsidRPr="006505F6">
        <w:t xml:space="preserve">AZM </w:t>
      </w:r>
      <w:r w:rsidR="004C7754" w:rsidRPr="006505F6">
        <w:t xml:space="preserve">minimum inhibitory concentrations were </w:t>
      </w:r>
      <w:r w:rsidR="00DB1CC7">
        <w:t xml:space="preserve">also </w:t>
      </w:r>
      <w:r w:rsidR="004C7754" w:rsidRPr="006505F6">
        <w:t xml:space="preserve">associated with </w:t>
      </w:r>
      <w:r w:rsidR="007C3CC2" w:rsidRPr="006505F6">
        <w:t xml:space="preserve">the number of </w:t>
      </w:r>
      <w:r w:rsidR="00BB2EBF" w:rsidRPr="006505F6">
        <w:t xml:space="preserve">AZM </w:t>
      </w:r>
      <w:r w:rsidR="007C3CC2" w:rsidRPr="006505F6">
        <w:t xml:space="preserve">prescriptions within the </w:t>
      </w:r>
      <w:r w:rsidR="00520DCC" w:rsidRPr="006505F6">
        <w:t>p</w:t>
      </w:r>
      <w:r w:rsidR="007C3CC2" w:rsidRPr="006505F6">
        <w:t xml:space="preserve">ast </w:t>
      </w:r>
      <w:r w:rsidR="00424C4A" w:rsidRPr="006505F6">
        <w:t>month but not with the total number of prescriptions in the previous year</w:t>
      </w:r>
      <w:r w:rsidR="007C3CC2" w:rsidRPr="006505F6">
        <w:t xml:space="preserve">. </w:t>
      </w:r>
      <w:r w:rsidR="00424C4A" w:rsidRPr="006505F6">
        <w:t>M</w:t>
      </w:r>
      <w:r w:rsidR="007C3CC2" w:rsidRPr="006505F6">
        <w:t xml:space="preserve">ost </w:t>
      </w:r>
      <w:r w:rsidR="00BF5ABF" w:rsidRPr="006505F6">
        <w:t>cases</w:t>
      </w:r>
      <w:r w:rsidR="001646B6" w:rsidRPr="006505F6">
        <w:t xml:space="preserve"> </w:t>
      </w:r>
      <w:r w:rsidR="00E61F95" w:rsidRPr="006505F6">
        <w:t xml:space="preserve">of AZM resistance </w:t>
      </w:r>
      <w:r w:rsidR="001646B6" w:rsidRPr="006505F6">
        <w:t>(n=115, 74%)</w:t>
      </w:r>
      <w:r w:rsidR="00BF5ABF" w:rsidRPr="006505F6">
        <w:t xml:space="preserve"> </w:t>
      </w:r>
      <w:r w:rsidR="00DB1CC7">
        <w:t xml:space="preserve">however </w:t>
      </w:r>
      <w:r w:rsidR="00BF5ABF" w:rsidRPr="006505F6">
        <w:t xml:space="preserve">did not have </w:t>
      </w:r>
      <w:r w:rsidR="00424C4A" w:rsidRPr="006505F6">
        <w:t xml:space="preserve">a record of </w:t>
      </w:r>
      <w:r w:rsidR="00E61F95" w:rsidRPr="006505F6">
        <w:t xml:space="preserve">SHS-prescribed AZM </w:t>
      </w:r>
      <w:r w:rsidR="00BF5ABF" w:rsidRPr="006505F6">
        <w:t xml:space="preserve">in the previous year, suggesting </w:t>
      </w:r>
      <w:r w:rsidR="009B3497" w:rsidRPr="006505F6">
        <w:t xml:space="preserve">transmission of clonal resistant </w:t>
      </w:r>
      <w:r w:rsidR="00BB2EBF" w:rsidRPr="006505F6">
        <w:t xml:space="preserve">NG </w:t>
      </w:r>
      <w:r w:rsidR="009B3497" w:rsidRPr="006505F6">
        <w:t xml:space="preserve">strains </w:t>
      </w:r>
      <w:r w:rsidRPr="006505F6">
        <w:t xml:space="preserve">and </w:t>
      </w:r>
      <w:r w:rsidR="00424C4A" w:rsidRPr="006505F6">
        <w:t>the</w:t>
      </w:r>
      <w:r w:rsidR="00BB2EBF" w:rsidRPr="006505F6">
        <w:t xml:space="preserve"> role</w:t>
      </w:r>
      <w:r w:rsidR="00424C4A" w:rsidRPr="006505F6">
        <w:t xml:space="preserve"> of</w:t>
      </w:r>
      <w:r w:rsidR="00BB2EBF" w:rsidRPr="006505F6">
        <w:t xml:space="preserve"> </w:t>
      </w:r>
      <w:r w:rsidR="009B3497" w:rsidRPr="006505F6">
        <w:t xml:space="preserve">non-STI </w:t>
      </w:r>
      <w:r w:rsidR="00BB2EBF" w:rsidRPr="006505F6">
        <w:t xml:space="preserve">related </w:t>
      </w:r>
      <w:r w:rsidR="009B3497" w:rsidRPr="006505F6">
        <w:t xml:space="preserve">AZM use </w:t>
      </w:r>
      <w:r w:rsidR="00BB2EBF" w:rsidRPr="006505F6">
        <w:t xml:space="preserve">in </w:t>
      </w:r>
      <w:r w:rsidR="009B3497" w:rsidRPr="006505F6">
        <w:t xml:space="preserve">driving </w:t>
      </w:r>
      <w:r w:rsidR="00424C4A" w:rsidRPr="006505F6">
        <w:t xml:space="preserve">NG </w:t>
      </w:r>
      <w:r w:rsidR="009B3497" w:rsidRPr="006505F6">
        <w:t>resistance</w:t>
      </w:r>
      <w:r w:rsidR="00424C4A" w:rsidRPr="006505F6">
        <w:t>.</w:t>
      </w:r>
    </w:p>
    <w:p w14:paraId="16552E26" w14:textId="77777777" w:rsidR="00520DCC" w:rsidRPr="006505F6" w:rsidRDefault="00520DCC"/>
    <w:p w14:paraId="46CC09CA" w14:textId="45450675" w:rsidR="00D84A0C" w:rsidRPr="006505F6" w:rsidRDefault="00697B1A">
      <w:r w:rsidRPr="00151EC2">
        <w:rPr>
          <w:lang w:val="es-NI"/>
        </w:rPr>
        <w:t>Rowlinson</w:t>
      </w:r>
      <w:r w:rsidR="004142A1" w:rsidRPr="00151EC2">
        <w:rPr>
          <w:lang w:val="es-NI"/>
        </w:rPr>
        <w:t xml:space="preserve"> E</w:t>
      </w:r>
      <w:r w:rsidRPr="00151EC2">
        <w:rPr>
          <w:lang w:val="es-NI"/>
        </w:rPr>
        <w:t>, Soge</w:t>
      </w:r>
      <w:r w:rsidR="004142A1" w:rsidRPr="00151EC2">
        <w:rPr>
          <w:lang w:val="es-NI"/>
        </w:rPr>
        <w:t xml:space="preserve"> O</w:t>
      </w:r>
      <w:r w:rsidRPr="00151EC2">
        <w:rPr>
          <w:lang w:val="es-NI"/>
        </w:rPr>
        <w:t>, Hughes</w:t>
      </w:r>
      <w:r w:rsidR="004142A1" w:rsidRPr="00151EC2">
        <w:rPr>
          <w:lang w:val="es-NI"/>
        </w:rPr>
        <w:t xml:space="preserve"> J</w:t>
      </w:r>
      <w:r w:rsidRPr="00151EC2">
        <w:rPr>
          <w:lang w:val="es-NI"/>
        </w:rPr>
        <w:t xml:space="preserve">, </w:t>
      </w:r>
      <w:r w:rsidR="004142A1" w:rsidRPr="00151EC2">
        <w:rPr>
          <w:rFonts w:ascii="Calibri (Body)" w:eastAsia="Times New Roman" w:hAnsi="Calibri (Body)" w:cstheme="minorHAnsi"/>
          <w:i/>
          <w:iCs/>
          <w:color w:val="222222"/>
          <w:shd w:val="clear" w:color="auto" w:fill="FFFFFF"/>
          <w:lang w:val="es-NI" w:eastAsia="en-GB"/>
        </w:rPr>
        <w:t>et al</w:t>
      </w:r>
      <w:r w:rsidRPr="00151EC2">
        <w:rPr>
          <w:lang w:val="es-NI"/>
        </w:rPr>
        <w:t>.</w:t>
      </w:r>
      <w:r w:rsidR="004142A1" w:rsidRPr="00151EC2">
        <w:rPr>
          <w:lang w:val="es-NI"/>
        </w:rPr>
        <w:t xml:space="preserve"> </w:t>
      </w:r>
      <w:r w:rsidR="004142A1" w:rsidRPr="006505F6">
        <w:t xml:space="preserve">Prior exposure to azithromycin and azithromycin resistance among persons diagnosed with </w:t>
      </w:r>
      <w:r w:rsidR="004142A1" w:rsidRPr="006505F6">
        <w:rPr>
          <w:i/>
          <w:iCs/>
        </w:rPr>
        <w:t xml:space="preserve">Neisseria gonorrhoeae </w:t>
      </w:r>
      <w:r w:rsidR="004142A1" w:rsidRPr="006505F6">
        <w:t>infection at a sexual health clinic: 2012-20</w:t>
      </w:r>
      <w:r w:rsidR="00DB1CC7">
        <w:t>1</w:t>
      </w:r>
      <w:r w:rsidR="004142A1" w:rsidRPr="006505F6">
        <w:t>9.</w:t>
      </w:r>
      <w:r w:rsidRPr="006505F6">
        <w:t xml:space="preserve"> </w:t>
      </w:r>
      <w:r w:rsidRPr="006505F6">
        <w:rPr>
          <w:i/>
          <w:iCs/>
        </w:rPr>
        <w:t>Clin Infect Dis</w:t>
      </w:r>
      <w:r w:rsidR="004142A1" w:rsidRPr="006505F6">
        <w:t xml:space="preserve"> </w:t>
      </w:r>
      <w:proofErr w:type="gramStart"/>
      <w:r w:rsidR="004142A1" w:rsidRPr="006505F6">
        <w:t>202</w:t>
      </w:r>
      <w:r w:rsidR="00943ABE" w:rsidRPr="006505F6">
        <w:t>2</w:t>
      </w:r>
      <w:r w:rsidR="004142A1" w:rsidRPr="006505F6">
        <w:t>;</w:t>
      </w:r>
      <w:r w:rsidRPr="006505F6">
        <w:t>ciac</w:t>
      </w:r>
      <w:proofErr w:type="gramEnd"/>
      <w:r w:rsidRPr="006505F6">
        <w:t>682</w:t>
      </w:r>
      <w:r w:rsidR="004142A1" w:rsidRPr="006505F6">
        <w:t>:Epub ahead of print.</w:t>
      </w:r>
      <w:r w:rsidRPr="006505F6">
        <w:t>doi</w:t>
      </w:r>
      <w:r w:rsidR="004142A1" w:rsidRPr="006505F6">
        <w:t>:</w:t>
      </w:r>
      <w:r w:rsidRPr="006505F6">
        <w:t>10.1093/</w:t>
      </w:r>
      <w:proofErr w:type="spellStart"/>
      <w:r w:rsidRPr="006505F6">
        <w:t>cid</w:t>
      </w:r>
      <w:proofErr w:type="spellEnd"/>
      <w:r w:rsidRPr="006505F6">
        <w:t>/ciac682</w:t>
      </w:r>
    </w:p>
    <w:p w14:paraId="5E367062" w14:textId="694BEF5C" w:rsidR="00A845B9" w:rsidRDefault="00A845B9" w:rsidP="00A845B9"/>
    <w:p w14:paraId="212A7F7B" w14:textId="76694A1A" w:rsidR="004118E9" w:rsidRDefault="004118E9" w:rsidP="00A845B9"/>
    <w:p w14:paraId="38CAD365" w14:textId="77777777" w:rsidR="004118E9" w:rsidRPr="00DC73A6" w:rsidRDefault="004118E9" w:rsidP="004118E9">
      <w:pPr>
        <w:rPr>
          <w:b/>
          <w:bCs/>
        </w:rPr>
      </w:pPr>
      <w:r w:rsidRPr="00DC73A6">
        <w:rPr>
          <w:b/>
          <w:bCs/>
        </w:rPr>
        <w:t xml:space="preserve">Switching from </w:t>
      </w:r>
      <w:r>
        <w:rPr>
          <w:b/>
          <w:bCs/>
        </w:rPr>
        <w:t xml:space="preserve">tenofovir </w:t>
      </w:r>
      <w:r w:rsidRPr="00B369D8">
        <w:rPr>
          <w:b/>
          <w:bCs/>
        </w:rPr>
        <w:t>alafenamide</w:t>
      </w:r>
      <w:r>
        <w:rPr>
          <w:b/>
          <w:bCs/>
        </w:rPr>
        <w:t xml:space="preserve"> (TAF)</w:t>
      </w:r>
      <w:r w:rsidRPr="00DC73A6">
        <w:rPr>
          <w:b/>
          <w:bCs/>
        </w:rPr>
        <w:t xml:space="preserve"> to </w:t>
      </w:r>
      <w:r>
        <w:rPr>
          <w:b/>
          <w:bCs/>
        </w:rPr>
        <w:t xml:space="preserve">tenofovir </w:t>
      </w:r>
      <w:r w:rsidRPr="00B369D8">
        <w:rPr>
          <w:b/>
          <w:bCs/>
        </w:rPr>
        <w:t>disoproxil fumarate</w:t>
      </w:r>
      <w:r>
        <w:rPr>
          <w:b/>
          <w:bCs/>
        </w:rPr>
        <w:t xml:space="preserve"> (TDF)</w:t>
      </w:r>
      <w:r w:rsidRPr="00DC73A6">
        <w:rPr>
          <w:b/>
          <w:bCs/>
        </w:rPr>
        <w:t xml:space="preserve"> is associated with weight loss and decreased lipid levels among people with HIV receiving dolutegravir</w:t>
      </w:r>
      <w:r>
        <w:rPr>
          <w:b/>
          <w:bCs/>
        </w:rPr>
        <w:t xml:space="preserve"> (DTG) and emtricitabine (FTC)</w:t>
      </w:r>
      <w:r w:rsidRPr="00B369D8" w:rsidDel="00E61F95">
        <w:rPr>
          <w:b/>
          <w:bCs/>
        </w:rPr>
        <w:t xml:space="preserve"> </w:t>
      </w:r>
    </w:p>
    <w:p w14:paraId="581C9EBC" w14:textId="77777777" w:rsidR="004118E9" w:rsidRPr="00DC73A6" w:rsidRDefault="004118E9" w:rsidP="004118E9">
      <w:pPr>
        <w:rPr>
          <w:b/>
          <w:bCs/>
        </w:rPr>
      </w:pPr>
    </w:p>
    <w:p w14:paraId="5D02725A" w14:textId="3A39C7B6" w:rsidR="004118E9" w:rsidRPr="00DC73A6" w:rsidRDefault="004118E9" w:rsidP="004118E9">
      <w:r>
        <w:t xml:space="preserve">The </w:t>
      </w:r>
      <w:r w:rsidRPr="006505F6">
        <w:t xml:space="preserve">ADVANCE </w:t>
      </w:r>
      <w:r>
        <w:t>trial randomised 1053 patients</w:t>
      </w:r>
      <w:r w:rsidRPr="00553AA9">
        <w:t xml:space="preserve"> </w:t>
      </w:r>
      <w:r>
        <w:t xml:space="preserve">in </w:t>
      </w:r>
      <w:r w:rsidRPr="0057773E">
        <w:t xml:space="preserve">Johannesburg </w:t>
      </w:r>
      <w:r>
        <w:t xml:space="preserve">to </w:t>
      </w:r>
      <w:proofErr w:type="gramStart"/>
      <w:r>
        <w:t>first-line</w:t>
      </w:r>
      <w:proofErr w:type="gramEnd"/>
      <w:r>
        <w:t xml:space="preserve"> </w:t>
      </w:r>
      <w:r w:rsidRPr="00553AA9">
        <w:t>TAF/FTC+DTG, TDF/FTC+DTG, or TDF/FTC/</w:t>
      </w:r>
      <w:r>
        <w:t>efavirenz (</w:t>
      </w:r>
      <w:r w:rsidRPr="00553AA9">
        <w:t>EFV</w:t>
      </w:r>
      <w:r>
        <w:t>). Over</w:t>
      </w:r>
      <w:r w:rsidRPr="00553AA9">
        <w:t xml:space="preserve"> 192 week</w:t>
      </w:r>
      <w:r>
        <w:t xml:space="preserve">s, the regimens were virologically </w:t>
      </w:r>
      <w:r>
        <w:lastRenderedPageBreak/>
        <w:t>non-inferior, but the TAF/FTC+</w:t>
      </w:r>
      <w:r w:rsidRPr="006505F6">
        <w:t>DTG</w:t>
      </w:r>
      <w:r>
        <w:t xml:space="preserve"> arm showed </w:t>
      </w:r>
      <w:r w:rsidRPr="006505F6">
        <w:t xml:space="preserve">marked </w:t>
      </w:r>
      <w:r>
        <w:t>weight gain (</w:t>
      </w:r>
      <w:r w:rsidR="00151EC2">
        <w:t xml:space="preserve">median </w:t>
      </w:r>
      <w:r>
        <w:t>+8.9</w:t>
      </w:r>
      <w:r w:rsidR="00DB1CC7">
        <w:t xml:space="preserve"> </w:t>
      </w:r>
      <w:r>
        <w:t>kg) (</w:t>
      </w:r>
      <w:r w:rsidR="001F50F1">
        <w:t>3</w:t>
      </w:r>
      <w:r>
        <w:t>).</w:t>
      </w:r>
      <w:r w:rsidR="00B824D8">
        <w:t xml:space="preserve"> </w:t>
      </w:r>
      <w:r>
        <w:t xml:space="preserve">Investigators assessed weight and metabolic profiles </w:t>
      </w:r>
      <w:r w:rsidR="00DB1CC7">
        <w:t xml:space="preserve">of </w:t>
      </w:r>
      <w:r>
        <w:t xml:space="preserve">172 participants (62% female) who switched to open-label </w:t>
      </w:r>
      <w:r w:rsidRPr="00A47110">
        <w:t>TDF/3TC/DTG</w:t>
      </w:r>
      <w:r w:rsidRPr="0093132D">
        <w:t xml:space="preserve"> </w:t>
      </w:r>
      <w:r>
        <w:t xml:space="preserve">after 192 weeks. Over 52 weeks, rates of HIV RNA suppression remained high (161/166, 97%). Switching </w:t>
      </w:r>
      <w:r w:rsidRPr="00DC73A6">
        <w:t>from TAF</w:t>
      </w:r>
      <w:r>
        <w:t xml:space="preserve">/FTC+DTG (n=70) was associated with </w:t>
      </w:r>
      <w:r w:rsidRPr="00DC73A6">
        <w:t>weight reduction among women (median −1.6 kg, p=0.013</w:t>
      </w:r>
      <w:r>
        <w:t>)</w:t>
      </w:r>
      <w:r w:rsidRPr="00DC73A6">
        <w:t xml:space="preserve">. </w:t>
      </w:r>
      <w:r>
        <w:t xml:space="preserve">Switching from TDF/FTC/EFV (n=31) was associated with </w:t>
      </w:r>
      <w:r w:rsidRPr="00DC73A6">
        <w:t>weight</w:t>
      </w:r>
      <w:r>
        <w:t xml:space="preserve"> gain</w:t>
      </w:r>
      <w:r w:rsidRPr="00DC73A6">
        <w:t xml:space="preserve"> among men (median +2.3kg, p=0.04</w:t>
      </w:r>
      <w:r>
        <w:t>6</w:t>
      </w:r>
      <w:r w:rsidRPr="00DC73A6">
        <w:t>).</w:t>
      </w:r>
      <w:r>
        <w:t xml:space="preserve"> Switching from </w:t>
      </w:r>
      <w:r w:rsidRPr="001678E2">
        <w:t>TAF</w:t>
      </w:r>
      <w:r>
        <w:t xml:space="preserve">/FTC+DTG or TDF/FTC/EFV also led to improvements in metabolic parameters, including significant </w:t>
      </w:r>
      <w:r w:rsidRPr="00DC73A6">
        <w:t>reduction</w:t>
      </w:r>
      <w:r>
        <w:t>s</w:t>
      </w:r>
      <w:r w:rsidRPr="00DC73A6">
        <w:t xml:space="preserve"> in total cholesterol, </w:t>
      </w:r>
      <w:r>
        <w:t>LDL</w:t>
      </w:r>
      <w:r w:rsidRPr="00DC73A6">
        <w:t>, triglycerides</w:t>
      </w:r>
      <w:r w:rsidR="00B824D8">
        <w:t>,</w:t>
      </w:r>
      <w:r w:rsidRPr="00DC73A6">
        <w:t xml:space="preserve"> and HbA1C. </w:t>
      </w:r>
      <w:r>
        <w:t xml:space="preserve">Switching from TDF/FTC+DTG (n=71) led to no weight changes; interestingly, patients experienced </w:t>
      </w:r>
      <w:r w:rsidRPr="0093132D">
        <w:t>a significant increase in total cholestero</w:t>
      </w:r>
      <w:r>
        <w:t>l</w:t>
      </w:r>
      <w:r w:rsidRPr="0093132D">
        <w:t>, HDL</w:t>
      </w:r>
      <w:r w:rsidR="00B824D8">
        <w:t>,</w:t>
      </w:r>
      <w:r w:rsidRPr="0093132D">
        <w:t xml:space="preserve"> and systolic blood pressure</w:t>
      </w:r>
      <w:r>
        <w:t>. Larger studies are needed to confirm these findings.</w:t>
      </w:r>
    </w:p>
    <w:p w14:paraId="48438349" w14:textId="77777777" w:rsidR="00A845B9" w:rsidRPr="00B824D8" w:rsidRDefault="00A845B9" w:rsidP="00A845B9"/>
    <w:p w14:paraId="26C3812A" w14:textId="4771CAAC" w:rsidR="00A845B9" w:rsidRPr="00B824D8" w:rsidRDefault="00A845B9" w:rsidP="00A845B9">
      <w:r w:rsidRPr="00B8203D">
        <w:rPr>
          <w:lang w:val="pl-PL"/>
        </w:rPr>
        <w:t>Bosch</w:t>
      </w:r>
      <w:r w:rsidR="00943ABE" w:rsidRPr="00B8203D">
        <w:rPr>
          <w:lang w:val="pl-PL"/>
        </w:rPr>
        <w:t xml:space="preserve"> B</w:t>
      </w:r>
      <w:r w:rsidRPr="00B8203D">
        <w:rPr>
          <w:lang w:val="pl-PL"/>
        </w:rPr>
        <w:t xml:space="preserve">, </w:t>
      </w:r>
      <w:proofErr w:type="spellStart"/>
      <w:r w:rsidRPr="00B8203D">
        <w:rPr>
          <w:lang w:val="pl-PL"/>
        </w:rPr>
        <w:t>Akpomiemie</w:t>
      </w:r>
      <w:proofErr w:type="spellEnd"/>
      <w:r w:rsidR="00943ABE" w:rsidRPr="00B8203D">
        <w:rPr>
          <w:lang w:val="pl-PL"/>
        </w:rPr>
        <w:t xml:space="preserve"> G</w:t>
      </w:r>
      <w:r w:rsidRPr="00B8203D">
        <w:rPr>
          <w:lang w:val="pl-PL"/>
        </w:rPr>
        <w:t xml:space="preserve">, </w:t>
      </w:r>
      <w:proofErr w:type="spellStart"/>
      <w:r w:rsidRPr="00B8203D">
        <w:rPr>
          <w:lang w:val="pl-PL"/>
        </w:rPr>
        <w:t>Chandiwana</w:t>
      </w:r>
      <w:proofErr w:type="spellEnd"/>
      <w:r w:rsidR="00943ABE" w:rsidRPr="00B8203D">
        <w:rPr>
          <w:lang w:val="pl-PL"/>
        </w:rPr>
        <w:t xml:space="preserve"> G</w:t>
      </w:r>
      <w:r w:rsidRPr="00B8203D">
        <w:rPr>
          <w:lang w:val="pl-PL"/>
        </w:rPr>
        <w:t xml:space="preserve">, </w:t>
      </w:r>
      <w:r w:rsidR="00943ABE" w:rsidRPr="00B8203D">
        <w:rPr>
          <w:rFonts w:ascii="Calibri (Body)" w:eastAsia="Times New Roman" w:hAnsi="Calibri (Body)" w:cstheme="minorHAnsi"/>
          <w:i/>
          <w:iCs/>
          <w:color w:val="222222"/>
          <w:shd w:val="clear" w:color="auto" w:fill="FFFFFF"/>
          <w:lang w:val="pl-PL" w:eastAsia="en-GB"/>
        </w:rPr>
        <w:t xml:space="preserve">et al. </w:t>
      </w:r>
      <w:r w:rsidRPr="00151EC2">
        <w:rPr>
          <w:lang w:val="en-US"/>
        </w:rPr>
        <w:t xml:space="preserve">Weight and </w:t>
      </w:r>
      <w:r w:rsidR="00943ABE" w:rsidRPr="00151EC2">
        <w:rPr>
          <w:lang w:val="en-US"/>
        </w:rPr>
        <w:t>m</w:t>
      </w:r>
      <w:r w:rsidRPr="00151EC2">
        <w:rPr>
          <w:lang w:val="en-US"/>
        </w:rPr>
        <w:t xml:space="preserve">etabolic </w:t>
      </w:r>
      <w:r w:rsidR="00943ABE" w:rsidRPr="00151EC2">
        <w:rPr>
          <w:lang w:val="en-US"/>
        </w:rPr>
        <w:t>c</w:t>
      </w:r>
      <w:r w:rsidRPr="00151EC2">
        <w:rPr>
          <w:lang w:val="en-US"/>
        </w:rPr>
        <w:t xml:space="preserve">hanges </w:t>
      </w:r>
      <w:r w:rsidR="00943ABE" w:rsidRPr="00151EC2">
        <w:rPr>
          <w:lang w:val="en-US"/>
        </w:rPr>
        <w:t>a</w:t>
      </w:r>
      <w:r w:rsidRPr="00151EC2">
        <w:rPr>
          <w:lang w:val="en-US"/>
        </w:rPr>
        <w:t xml:space="preserve">fter </w:t>
      </w:r>
      <w:r w:rsidR="00943ABE" w:rsidRPr="00151EC2">
        <w:rPr>
          <w:lang w:val="en-US"/>
        </w:rPr>
        <w:t>s</w:t>
      </w:r>
      <w:r w:rsidRPr="00151EC2">
        <w:rPr>
          <w:lang w:val="en-US"/>
        </w:rPr>
        <w:t xml:space="preserve">witching </w:t>
      </w:r>
      <w:r w:rsidR="00943ABE" w:rsidRPr="00151EC2">
        <w:rPr>
          <w:lang w:val="en-US"/>
        </w:rPr>
        <w:t>f</w:t>
      </w:r>
      <w:r w:rsidRPr="00151EC2">
        <w:rPr>
          <w:lang w:val="en-US"/>
        </w:rPr>
        <w:t xml:space="preserve">rom </w:t>
      </w:r>
      <w:r w:rsidR="00943ABE" w:rsidRPr="00151EC2">
        <w:rPr>
          <w:lang w:val="en-US"/>
        </w:rPr>
        <w:t>t</w:t>
      </w:r>
      <w:r w:rsidRPr="00151EC2">
        <w:rPr>
          <w:lang w:val="en-US"/>
        </w:rPr>
        <w:t xml:space="preserve">enofovir </w:t>
      </w:r>
      <w:r w:rsidR="00943ABE" w:rsidRPr="00151EC2">
        <w:rPr>
          <w:lang w:val="en-US"/>
        </w:rPr>
        <w:t>a</w:t>
      </w:r>
      <w:r w:rsidRPr="00151EC2">
        <w:rPr>
          <w:lang w:val="en-US"/>
        </w:rPr>
        <w:t>lafenamide (TAF)/</w:t>
      </w:r>
      <w:r w:rsidR="00943ABE" w:rsidRPr="00151EC2">
        <w:rPr>
          <w:lang w:val="en-US"/>
        </w:rPr>
        <w:t>e</w:t>
      </w:r>
      <w:r w:rsidRPr="00151EC2">
        <w:rPr>
          <w:lang w:val="en-US"/>
        </w:rPr>
        <w:t>mtricitabine (FTC)+</w:t>
      </w:r>
      <w:r w:rsidR="00943ABE" w:rsidRPr="00151EC2">
        <w:rPr>
          <w:lang w:val="en-US"/>
        </w:rPr>
        <w:t>d</w:t>
      </w:r>
      <w:r w:rsidRPr="00151EC2">
        <w:rPr>
          <w:lang w:val="en-US"/>
        </w:rPr>
        <w:t xml:space="preserve">olutegravir (DTG), </w:t>
      </w:r>
      <w:r w:rsidR="00943ABE" w:rsidRPr="00151EC2">
        <w:rPr>
          <w:lang w:val="en-US"/>
        </w:rPr>
        <w:t>t</w:t>
      </w:r>
      <w:r w:rsidRPr="00151EC2">
        <w:rPr>
          <w:lang w:val="en-US"/>
        </w:rPr>
        <w:t xml:space="preserve">enofovir </w:t>
      </w:r>
      <w:r w:rsidR="00943ABE" w:rsidRPr="00151EC2">
        <w:rPr>
          <w:lang w:val="en-US"/>
        </w:rPr>
        <w:t>d</w:t>
      </w:r>
      <w:r w:rsidRPr="00151EC2">
        <w:rPr>
          <w:lang w:val="en-US"/>
        </w:rPr>
        <w:t xml:space="preserve">isoproxil </w:t>
      </w:r>
      <w:r w:rsidR="00943ABE" w:rsidRPr="00151EC2">
        <w:rPr>
          <w:lang w:val="en-US"/>
        </w:rPr>
        <w:t>f</w:t>
      </w:r>
      <w:r w:rsidRPr="00151EC2">
        <w:rPr>
          <w:lang w:val="en-US"/>
        </w:rPr>
        <w:t>umarate (TDF)/FTC + DTG, and TDF/FTC/</w:t>
      </w:r>
      <w:r w:rsidR="00943ABE" w:rsidRPr="00151EC2">
        <w:rPr>
          <w:lang w:val="en-US"/>
        </w:rPr>
        <w:t>e</w:t>
      </w:r>
      <w:r w:rsidRPr="00151EC2">
        <w:rPr>
          <w:lang w:val="en-US"/>
        </w:rPr>
        <w:t>favirenz (EFV) to TDF/</w:t>
      </w:r>
      <w:r w:rsidR="00943ABE" w:rsidRPr="00151EC2">
        <w:rPr>
          <w:lang w:val="en-US"/>
        </w:rPr>
        <w:t>l</w:t>
      </w:r>
      <w:r w:rsidRPr="00151EC2">
        <w:rPr>
          <w:lang w:val="en-US"/>
        </w:rPr>
        <w:t>amivudine (3</w:t>
      </w:r>
      <w:proofErr w:type="gramStart"/>
      <w:r w:rsidRPr="00151EC2">
        <w:rPr>
          <w:lang w:val="en-US"/>
        </w:rPr>
        <w:t>TC)/</w:t>
      </w:r>
      <w:proofErr w:type="gramEnd"/>
      <w:r w:rsidRPr="00151EC2">
        <w:rPr>
          <w:lang w:val="en-US"/>
        </w:rPr>
        <w:t>DTG</w:t>
      </w:r>
      <w:r w:rsidR="00943ABE" w:rsidRPr="00151EC2">
        <w:rPr>
          <w:lang w:val="en-US"/>
        </w:rPr>
        <w:t>.</w:t>
      </w:r>
      <w:r w:rsidRPr="00151EC2">
        <w:rPr>
          <w:lang w:val="en-US"/>
        </w:rPr>
        <w:t xml:space="preserve"> </w:t>
      </w:r>
      <w:r w:rsidRPr="00B824D8">
        <w:rPr>
          <w:i/>
          <w:iCs/>
        </w:rPr>
        <w:t xml:space="preserve">Clin Infect Dis </w:t>
      </w:r>
      <w:proofErr w:type="gramStart"/>
      <w:r w:rsidRPr="00B824D8">
        <w:t>2022;ciac</w:t>
      </w:r>
      <w:proofErr w:type="gramEnd"/>
      <w:r w:rsidRPr="00B824D8">
        <w:t>949,</w:t>
      </w:r>
      <w:r w:rsidR="00943ABE" w:rsidRPr="00B824D8">
        <w:t>Epub ahead of print.</w:t>
      </w:r>
      <w:r w:rsidRPr="00B824D8">
        <w:t>doi</w:t>
      </w:r>
      <w:r w:rsidR="00497727" w:rsidRPr="00B824D8">
        <w:t>:</w:t>
      </w:r>
      <w:r w:rsidRPr="00B824D8">
        <w:t>10.1093/</w:t>
      </w:r>
      <w:proofErr w:type="spellStart"/>
      <w:r w:rsidRPr="00B824D8">
        <w:t>cid</w:t>
      </w:r>
      <w:proofErr w:type="spellEnd"/>
      <w:r w:rsidRPr="00B824D8">
        <w:t>/ciac949</w:t>
      </w:r>
    </w:p>
    <w:p w14:paraId="34B20C21" w14:textId="27149A41" w:rsidR="00A845B9" w:rsidRDefault="00A845B9" w:rsidP="00A845B9"/>
    <w:p w14:paraId="5C6E7D76" w14:textId="15D00D82" w:rsidR="00F541D7" w:rsidRDefault="00F541D7" w:rsidP="00A845B9"/>
    <w:p w14:paraId="5587841D" w14:textId="7D3E857A" w:rsidR="00F541D7" w:rsidRPr="00DC73A6" w:rsidRDefault="00783EEF" w:rsidP="00F541D7">
      <w:pPr>
        <w:rPr>
          <w:b/>
          <w:bCs/>
        </w:rPr>
      </w:pPr>
      <w:r w:rsidRPr="001D24D5">
        <w:rPr>
          <w:b/>
          <w:bCs/>
        </w:rPr>
        <w:t>An</w:t>
      </w:r>
      <w:r>
        <w:rPr>
          <w:b/>
          <w:bCs/>
          <w:i/>
          <w:iCs/>
        </w:rPr>
        <w:t xml:space="preserve"> </w:t>
      </w:r>
      <w:r w:rsidR="00F541D7" w:rsidRPr="00DC73A6">
        <w:rPr>
          <w:b/>
          <w:bCs/>
          <w:i/>
          <w:iCs/>
        </w:rPr>
        <w:t>Escherichia coli</w:t>
      </w:r>
      <w:r w:rsidR="00F541D7" w:rsidRPr="00DC73A6">
        <w:rPr>
          <w:b/>
          <w:bCs/>
        </w:rPr>
        <w:t>-produced virus-like-particle</w:t>
      </w:r>
      <w:r w:rsidR="0021583A" w:rsidRPr="0021583A">
        <w:t xml:space="preserve"> </w:t>
      </w:r>
      <w:r w:rsidR="0021583A" w:rsidRPr="0021583A">
        <w:rPr>
          <w:b/>
          <w:bCs/>
        </w:rPr>
        <w:t>human papillomavirus</w:t>
      </w:r>
      <w:r w:rsidR="00F541D7" w:rsidRPr="00DC73A6">
        <w:rPr>
          <w:b/>
          <w:bCs/>
        </w:rPr>
        <w:t xml:space="preserve"> </w:t>
      </w:r>
      <w:r w:rsidR="0021583A">
        <w:rPr>
          <w:b/>
          <w:bCs/>
        </w:rPr>
        <w:t>(</w:t>
      </w:r>
      <w:r w:rsidR="00F541D7">
        <w:rPr>
          <w:b/>
          <w:bCs/>
        </w:rPr>
        <w:t>HPV</w:t>
      </w:r>
      <w:r w:rsidR="0021583A">
        <w:rPr>
          <w:b/>
          <w:bCs/>
        </w:rPr>
        <w:t>)</w:t>
      </w:r>
      <w:r w:rsidR="00F541D7">
        <w:rPr>
          <w:b/>
          <w:bCs/>
        </w:rPr>
        <w:t xml:space="preserve"> </w:t>
      </w:r>
      <w:r w:rsidR="00F541D7" w:rsidRPr="00DC73A6">
        <w:rPr>
          <w:b/>
          <w:bCs/>
        </w:rPr>
        <w:t xml:space="preserve">vaccine is safe and </w:t>
      </w:r>
      <w:r w:rsidR="00F541D7">
        <w:rPr>
          <w:b/>
          <w:bCs/>
        </w:rPr>
        <w:t>effective</w:t>
      </w:r>
      <w:r w:rsidR="00F541D7" w:rsidRPr="00DC73A6">
        <w:rPr>
          <w:b/>
          <w:bCs/>
        </w:rPr>
        <w:t xml:space="preserve"> </w:t>
      </w:r>
      <w:r>
        <w:rPr>
          <w:b/>
          <w:bCs/>
        </w:rPr>
        <w:t>in women</w:t>
      </w:r>
    </w:p>
    <w:p w14:paraId="4AE4344F" w14:textId="77777777" w:rsidR="00F541D7" w:rsidRPr="00DC73A6" w:rsidRDefault="00F541D7" w:rsidP="00F541D7">
      <w:pPr>
        <w:rPr>
          <w:b/>
          <w:bCs/>
        </w:rPr>
      </w:pPr>
    </w:p>
    <w:p w14:paraId="34147DEA" w14:textId="5889BF7C" w:rsidR="00F541D7" w:rsidRPr="00DC73A6" w:rsidRDefault="00EE2C8F" w:rsidP="00F541D7">
      <w:r>
        <w:t>Commercially a</w:t>
      </w:r>
      <w:r w:rsidR="00F541D7">
        <w:t xml:space="preserve">vailable </w:t>
      </w:r>
      <w:r w:rsidR="00F541D7" w:rsidRPr="00DC73A6">
        <w:t>HPV vaccin</w:t>
      </w:r>
      <w:r w:rsidR="00F541D7">
        <w:t xml:space="preserve">es are </w:t>
      </w:r>
      <w:r w:rsidR="00783EEF">
        <w:t>made of</w:t>
      </w:r>
      <w:r w:rsidR="00F541D7" w:rsidRPr="005349EF">
        <w:t xml:space="preserve"> purified virus-like particles (VLPs) </w:t>
      </w:r>
      <w:r>
        <w:t xml:space="preserve">containing </w:t>
      </w:r>
      <w:r w:rsidR="00F541D7" w:rsidRPr="005349EF">
        <w:t xml:space="preserve">the major </w:t>
      </w:r>
      <w:r w:rsidR="00F541D7">
        <w:t xml:space="preserve">viral </w:t>
      </w:r>
      <w:r w:rsidR="00F541D7" w:rsidRPr="005349EF">
        <w:t>capsid protein</w:t>
      </w:r>
      <w:r w:rsidR="00F541D7">
        <w:t xml:space="preserve"> L1 </w:t>
      </w:r>
      <w:r>
        <w:t xml:space="preserve">prepared </w:t>
      </w:r>
      <w:r w:rsidR="00F541D7" w:rsidRPr="005349EF">
        <w:t>in</w:t>
      </w:r>
      <w:r w:rsidR="00F541D7">
        <w:t xml:space="preserve"> </w:t>
      </w:r>
      <w:r>
        <w:t xml:space="preserve">eukaryotic </w:t>
      </w:r>
      <w:r w:rsidR="00F541D7">
        <w:t>cells</w:t>
      </w:r>
      <w:r w:rsidR="00F541D7" w:rsidRPr="00151EC2">
        <w:rPr>
          <w:i/>
          <w:iCs/>
        </w:rPr>
        <w:t>.</w:t>
      </w:r>
      <w:r w:rsidR="00F541D7" w:rsidRPr="0012082B">
        <w:t xml:space="preserve"> </w:t>
      </w:r>
      <w:r>
        <w:t xml:space="preserve">Less expensive expression systems are being </w:t>
      </w:r>
      <w:r w:rsidR="00783EEF">
        <w:t>researched</w:t>
      </w:r>
      <w:r>
        <w:t xml:space="preserve">, including </w:t>
      </w:r>
      <w:r w:rsidRPr="001D24D5">
        <w:rPr>
          <w:rFonts w:ascii="Segoe UI" w:hAnsi="Segoe UI" w:cs="Segoe UI"/>
          <w:i/>
          <w:iCs/>
          <w:color w:val="212121"/>
          <w:shd w:val="clear" w:color="auto" w:fill="FFFFFF"/>
        </w:rPr>
        <w:t>Escherichia coli</w:t>
      </w:r>
      <w:r>
        <w:t xml:space="preserve"> </w:t>
      </w:r>
      <w:r w:rsidR="00F541D7">
        <w:t>(</w:t>
      </w:r>
      <w:r w:rsidR="001F50F1">
        <w:t>4</w:t>
      </w:r>
      <w:r w:rsidR="00F541D7">
        <w:t>)</w:t>
      </w:r>
      <w:r w:rsidR="001F50F1">
        <w:t>.</w:t>
      </w:r>
      <w:r w:rsidR="00A23F45">
        <w:t xml:space="preserve"> </w:t>
      </w:r>
      <w:r>
        <w:t>A</w:t>
      </w:r>
      <w:r w:rsidR="00F541D7" w:rsidRPr="00DC73A6">
        <w:t xml:space="preserve"> Phase 3, double-blind, randomised, controlled trial </w:t>
      </w:r>
      <w:r>
        <w:t>of an</w:t>
      </w:r>
      <w:r w:rsidR="00F541D7">
        <w:t xml:space="preserve"> </w:t>
      </w:r>
      <w:r w:rsidR="00F541D7" w:rsidRPr="00A23F45">
        <w:rPr>
          <w:i/>
          <w:iCs/>
        </w:rPr>
        <w:t>E coli</w:t>
      </w:r>
      <w:r w:rsidR="00F541D7">
        <w:t>-produced bivalent HPV 16</w:t>
      </w:r>
      <w:r w:rsidR="00783EEF">
        <w:t>/</w:t>
      </w:r>
      <w:r w:rsidR="00F541D7">
        <w:t>18 vaccine</w:t>
      </w:r>
      <w:r>
        <w:t xml:space="preserve"> was conducted </w:t>
      </w:r>
      <w:r w:rsidR="00783EEF">
        <w:t xml:space="preserve">in China </w:t>
      </w:r>
      <w:r>
        <w:t>a</w:t>
      </w:r>
      <w:r w:rsidR="00F541D7">
        <w:t xml:space="preserve">mong </w:t>
      </w:r>
      <w:r w:rsidR="00F541D7" w:rsidRPr="00DC73A6">
        <w:t xml:space="preserve">women </w:t>
      </w:r>
      <w:r w:rsidR="00783EEF">
        <w:t xml:space="preserve">aged </w:t>
      </w:r>
      <w:r w:rsidR="00F541D7" w:rsidRPr="00DC73A6">
        <w:t>18–45 years with intact cervix and 1–4 lifetime sexual partners</w:t>
      </w:r>
      <w:r>
        <w:t xml:space="preserve">. Overall, </w:t>
      </w:r>
      <w:r w:rsidR="00F541D7" w:rsidRPr="00DC73A6">
        <w:t xml:space="preserve">3689 </w:t>
      </w:r>
      <w:r>
        <w:t xml:space="preserve">women </w:t>
      </w:r>
      <w:r w:rsidR="00F541D7" w:rsidRPr="00DC73A6">
        <w:t>received HPV vaccination</w:t>
      </w:r>
      <w:r w:rsidR="00783EEF">
        <w:t xml:space="preserve"> (3 doses) and</w:t>
      </w:r>
      <w:r>
        <w:t xml:space="preserve"> </w:t>
      </w:r>
      <w:r w:rsidR="00783EEF">
        <w:t xml:space="preserve">3683 </w:t>
      </w:r>
      <w:r>
        <w:t>received hepatitis E vaccin</w:t>
      </w:r>
      <w:r w:rsidR="00783EEF">
        <w:t>ation as controls</w:t>
      </w:r>
      <w:r w:rsidRPr="00DC73A6">
        <w:t xml:space="preserve">. </w:t>
      </w:r>
      <w:r w:rsidR="00F541D7" w:rsidRPr="00DC73A6">
        <w:t xml:space="preserve">After 66 months, </w:t>
      </w:r>
      <w:r>
        <w:t xml:space="preserve">vaccine </w:t>
      </w:r>
      <w:r w:rsidR="00F541D7" w:rsidRPr="0012082B">
        <w:t>efficacy was</w:t>
      </w:r>
      <w:r w:rsidR="00F541D7">
        <w:t xml:space="preserve"> 100% (95% CI 67.2</w:t>
      </w:r>
      <w:r w:rsidR="00543E71">
        <w:t>-</w:t>
      </w:r>
      <w:r w:rsidR="00F541D7">
        <w:t xml:space="preserve">100) for preventing </w:t>
      </w:r>
      <w:r w:rsidR="00783EEF" w:rsidRPr="00783EEF">
        <w:t>high-grade genital lesions</w:t>
      </w:r>
      <w:r w:rsidR="00783EEF">
        <w:t xml:space="preserve"> (</w:t>
      </w:r>
      <w:r w:rsidR="00F541D7">
        <w:t>CIN2+, VIN2+, VaIN2+</w:t>
      </w:r>
      <w:r w:rsidR="00783EEF">
        <w:t>)</w:t>
      </w:r>
      <w:r w:rsidR="00F541D7" w:rsidRPr="00DC73A6">
        <w:t xml:space="preserve"> and </w:t>
      </w:r>
      <w:r w:rsidR="00543E71">
        <w:t xml:space="preserve">97.3% </w:t>
      </w:r>
      <w:r w:rsidR="00291687" w:rsidRPr="00DC73A6">
        <w:t>(95% CI 89.9</w:t>
      </w:r>
      <w:r w:rsidR="00291687">
        <w:t>-</w:t>
      </w:r>
      <w:r w:rsidR="00291687" w:rsidRPr="00DC73A6">
        <w:t xml:space="preserve">99.7) </w:t>
      </w:r>
      <w:r>
        <w:t xml:space="preserve">for preventing </w:t>
      </w:r>
      <w:r w:rsidR="00F541D7" w:rsidRPr="00DC73A6">
        <w:t>persistent infection</w:t>
      </w:r>
      <w:r w:rsidR="00783EEF">
        <w:t>s</w:t>
      </w:r>
      <w:r w:rsidR="00291687">
        <w:t>.</w:t>
      </w:r>
      <w:r w:rsidR="00543E71">
        <w:t xml:space="preserve"> </w:t>
      </w:r>
      <w:r w:rsidR="00F541D7" w:rsidRPr="00DC73A6">
        <w:t xml:space="preserve">Serious </w:t>
      </w:r>
      <w:r>
        <w:t>a</w:t>
      </w:r>
      <w:r w:rsidR="00F541D7" w:rsidRPr="00DC73A6">
        <w:t xml:space="preserve">dverse </w:t>
      </w:r>
      <w:r>
        <w:t>e</w:t>
      </w:r>
      <w:r w:rsidR="00F541D7" w:rsidRPr="00DC73A6">
        <w:t xml:space="preserve">vent were </w:t>
      </w:r>
      <w:r w:rsidR="00783EEF">
        <w:t xml:space="preserve">infrequent and </w:t>
      </w:r>
      <w:r w:rsidR="00F541D7" w:rsidRPr="00DC73A6">
        <w:t>comparable in vaccine and control groups</w:t>
      </w:r>
      <w:r>
        <w:t>.</w:t>
      </w:r>
      <w:r w:rsidR="00F541D7">
        <w:t xml:space="preserve"> Findings </w:t>
      </w:r>
      <w:r>
        <w:t xml:space="preserve">provide </w:t>
      </w:r>
      <w:r w:rsidR="007A2DD1">
        <w:t xml:space="preserve">proof of concept </w:t>
      </w:r>
      <w:r w:rsidR="00F541D7">
        <w:t xml:space="preserve">that </w:t>
      </w:r>
      <w:r w:rsidR="00F541D7" w:rsidRPr="00DC73A6">
        <w:rPr>
          <w:i/>
          <w:iCs/>
        </w:rPr>
        <w:t>E coli</w:t>
      </w:r>
      <w:r w:rsidR="00F541D7" w:rsidRPr="00DC73A6">
        <w:t>-produced vaccine</w:t>
      </w:r>
      <w:r w:rsidR="007A2DD1">
        <w:t>s</w:t>
      </w:r>
      <w:r w:rsidR="00F541D7" w:rsidRPr="00DC73A6">
        <w:t xml:space="preserve"> </w:t>
      </w:r>
      <w:r w:rsidR="00F541D7">
        <w:t xml:space="preserve">offer </w:t>
      </w:r>
      <w:r w:rsidR="00783EEF">
        <w:t xml:space="preserve">an </w:t>
      </w:r>
      <w:r w:rsidR="00F541D7" w:rsidRPr="00DC73A6">
        <w:t>alternative</w:t>
      </w:r>
      <w:r>
        <w:t xml:space="preserve"> to available HPV vaccines. D</w:t>
      </w:r>
      <w:r w:rsidR="007A2DD1">
        <w:t>evelopment of multivalent</w:t>
      </w:r>
      <w:r w:rsidR="00060E8E">
        <w:t xml:space="preserve"> vaccines </w:t>
      </w:r>
      <w:r w:rsidR="00783EEF">
        <w:t>is</w:t>
      </w:r>
      <w:r>
        <w:t xml:space="preserve"> </w:t>
      </w:r>
      <w:r w:rsidR="00060E8E">
        <w:t>needed</w:t>
      </w:r>
      <w:r w:rsidR="00F541D7" w:rsidRPr="00DC73A6">
        <w:t>.</w:t>
      </w:r>
    </w:p>
    <w:p w14:paraId="5CBA32AF" w14:textId="77777777" w:rsidR="00A845B9" w:rsidRPr="007D45D5" w:rsidRDefault="00A845B9" w:rsidP="00A845B9"/>
    <w:p w14:paraId="424B4C2C" w14:textId="1F5D7156" w:rsidR="00A845B9" w:rsidRDefault="00A845B9">
      <w:r w:rsidRPr="007D45D5">
        <w:t xml:space="preserve">Zhao FH, Wu T, Hu YM, </w:t>
      </w:r>
      <w:r w:rsidRPr="007D45D5">
        <w:rPr>
          <w:i/>
          <w:iCs/>
        </w:rPr>
        <w:t>et al.</w:t>
      </w:r>
      <w:r w:rsidRPr="007D45D5">
        <w:t xml:space="preserve"> Efficacy, safety, and immunogenicity of an Escherichia coli-produced Human Papillomavirus (16 and 18) L1 virus-like-particle vaccine: </w:t>
      </w:r>
      <w:r w:rsidR="00B729FD" w:rsidRPr="007D45D5">
        <w:t>E</w:t>
      </w:r>
      <w:r w:rsidRPr="007D45D5">
        <w:t xml:space="preserve">nd-of-study analysis of a phase 3, double-blind, randomised, controlled trial. </w:t>
      </w:r>
      <w:r w:rsidRPr="007D45D5">
        <w:rPr>
          <w:i/>
          <w:iCs/>
        </w:rPr>
        <w:t xml:space="preserve">Lancet Infect Dis </w:t>
      </w:r>
      <w:proofErr w:type="gramStart"/>
      <w:r w:rsidRPr="007D45D5">
        <w:t>2022;22:1756</w:t>
      </w:r>
      <w:proofErr w:type="gramEnd"/>
      <w:r w:rsidRPr="007D45D5">
        <w:t>-1768.</w:t>
      </w:r>
    </w:p>
    <w:p w14:paraId="7852F5E6" w14:textId="21643352" w:rsidR="00DB1CC7" w:rsidRDefault="00DB1CC7"/>
    <w:p w14:paraId="1C119CC5" w14:textId="6AB7EC15" w:rsidR="00DB1CC7" w:rsidRDefault="00DB1CC7"/>
    <w:p w14:paraId="2CE8DC83" w14:textId="64D30D40" w:rsidR="00DB1CC7" w:rsidRPr="001D24D5" w:rsidRDefault="00DB1CC7">
      <w:pPr>
        <w:rPr>
          <w:b/>
          <w:bCs/>
        </w:rPr>
      </w:pPr>
      <w:r w:rsidRPr="001D24D5">
        <w:rPr>
          <w:b/>
          <w:bCs/>
        </w:rPr>
        <w:t>References</w:t>
      </w:r>
    </w:p>
    <w:p w14:paraId="13480085" w14:textId="1CE8D5FF" w:rsidR="00DB1CC7" w:rsidRPr="006505F6" w:rsidRDefault="00DB1CC7" w:rsidP="00BD15FD">
      <w:pPr>
        <w:pStyle w:val="ListParagraph"/>
        <w:numPr>
          <w:ilvl w:val="0"/>
          <w:numId w:val="3"/>
        </w:numPr>
      </w:pPr>
      <w:proofErr w:type="spellStart"/>
      <w:r w:rsidRPr="00DB1CC7">
        <w:rPr>
          <w:rFonts w:eastAsia="Times New Roman" w:cstheme="minorHAnsi"/>
          <w:color w:val="222222"/>
          <w:shd w:val="clear" w:color="auto" w:fill="FFFFFF"/>
          <w:lang w:eastAsia="en-GB"/>
        </w:rPr>
        <w:t>Ogoina</w:t>
      </w:r>
      <w:proofErr w:type="spellEnd"/>
      <w:r w:rsidRPr="00DB1CC7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 D, </w:t>
      </w:r>
      <w:proofErr w:type="spellStart"/>
      <w:r w:rsidRPr="00DB1CC7">
        <w:rPr>
          <w:rFonts w:eastAsia="Times New Roman" w:cstheme="minorHAnsi"/>
          <w:color w:val="222222"/>
          <w:shd w:val="clear" w:color="auto" w:fill="FFFFFF"/>
          <w:lang w:eastAsia="en-GB"/>
        </w:rPr>
        <w:t>Ogunsola</w:t>
      </w:r>
      <w:proofErr w:type="spellEnd"/>
      <w:r w:rsidRPr="00DB1CC7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 FT. </w:t>
      </w:r>
      <w:proofErr w:type="spellStart"/>
      <w:r w:rsidRPr="00DB1CC7">
        <w:rPr>
          <w:rFonts w:eastAsia="Times New Roman" w:cstheme="minorHAnsi"/>
          <w:color w:val="222222"/>
          <w:shd w:val="clear" w:color="auto" w:fill="FFFFFF"/>
          <w:lang w:eastAsia="en-GB"/>
        </w:rPr>
        <w:t>Moneypox</w:t>
      </w:r>
      <w:proofErr w:type="spellEnd"/>
      <w:r w:rsidRPr="00DB1CC7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 and the health-care environment. </w:t>
      </w:r>
      <w:r w:rsidRPr="00DB1CC7">
        <w:rPr>
          <w:rFonts w:eastAsia="Times New Roman" w:cstheme="minorHAnsi"/>
          <w:i/>
          <w:iCs/>
          <w:color w:val="222222"/>
          <w:shd w:val="clear" w:color="auto" w:fill="FFFFFF"/>
          <w:lang w:eastAsia="en-GB"/>
        </w:rPr>
        <w:t>Lancet Microbe</w:t>
      </w:r>
      <w:r w:rsidRPr="00DB1CC7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 2022;</w:t>
      </w:r>
      <w:proofErr w:type="gramStart"/>
      <w:r w:rsidRPr="00DB1CC7">
        <w:rPr>
          <w:rFonts w:eastAsia="Times New Roman" w:cstheme="minorHAnsi"/>
          <w:color w:val="222222"/>
          <w:shd w:val="clear" w:color="auto" w:fill="FFFFFF"/>
          <w:lang w:eastAsia="en-GB"/>
        </w:rPr>
        <w:t>3:e</w:t>
      </w:r>
      <w:proofErr w:type="gramEnd"/>
      <w:r w:rsidRPr="00DB1CC7">
        <w:rPr>
          <w:rFonts w:eastAsia="Times New Roman" w:cstheme="minorHAnsi"/>
          <w:color w:val="222222"/>
          <w:shd w:val="clear" w:color="auto" w:fill="FFFFFF"/>
          <w:lang w:eastAsia="en-GB"/>
        </w:rPr>
        <w:t>889-90.</w:t>
      </w:r>
    </w:p>
    <w:p w14:paraId="4C489C19" w14:textId="20028819" w:rsidR="00DB1CC7" w:rsidRDefault="00DB1CC7" w:rsidP="00DB1CC7">
      <w:pPr>
        <w:pStyle w:val="ListParagraph"/>
        <w:numPr>
          <w:ilvl w:val="0"/>
          <w:numId w:val="3"/>
        </w:numPr>
      </w:pPr>
      <w:proofErr w:type="spellStart"/>
      <w:r w:rsidRPr="00535A09">
        <w:t>Durevall</w:t>
      </w:r>
      <w:proofErr w:type="spellEnd"/>
      <w:r w:rsidRPr="00535A09">
        <w:t xml:space="preserve"> D, </w:t>
      </w:r>
      <w:proofErr w:type="spellStart"/>
      <w:r w:rsidRPr="00535A09">
        <w:t>Lindskog</w:t>
      </w:r>
      <w:proofErr w:type="spellEnd"/>
      <w:r w:rsidRPr="00535A09">
        <w:t xml:space="preserve"> A. Intimate partner violence and HIV in ten sub-Saharan African countries: </w:t>
      </w:r>
      <w:r>
        <w:t>W</w:t>
      </w:r>
      <w:r w:rsidRPr="00535A09">
        <w:t xml:space="preserve">hat do the Demographic and Health Surveys tell us? </w:t>
      </w:r>
      <w:r w:rsidRPr="00DB1CC7">
        <w:rPr>
          <w:i/>
          <w:iCs/>
        </w:rPr>
        <w:t>Lancet Glob Health</w:t>
      </w:r>
      <w:r w:rsidRPr="00535A09">
        <w:t xml:space="preserve"> 2015;</w:t>
      </w:r>
      <w:proofErr w:type="gramStart"/>
      <w:r w:rsidRPr="00535A09">
        <w:t>3:e</w:t>
      </w:r>
      <w:proofErr w:type="gramEnd"/>
      <w:r w:rsidRPr="00535A09">
        <w:t>34-e43.</w:t>
      </w:r>
    </w:p>
    <w:p w14:paraId="385FD1E6" w14:textId="655D5F5F" w:rsidR="00DB1CC7" w:rsidRDefault="00DB1CC7" w:rsidP="00DB1CC7">
      <w:pPr>
        <w:pStyle w:val="ListParagraph"/>
        <w:numPr>
          <w:ilvl w:val="0"/>
          <w:numId w:val="3"/>
        </w:numPr>
      </w:pPr>
      <w:r>
        <w:lastRenderedPageBreak/>
        <w:t xml:space="preserve">Venter WDF, Bosch B, Sokhela S, </w:t>
      </w:r>
      <w:r w:rsidRPr="00DB1CC7">
        <w:rPr>
          <w:i/>
          <w:iCs/>
        </w:rPr>
        <w:t>et al.</w:t>
      </w:r>
      <w:r>
        <w:t xml:space="preserve"> Final week 192 results from the ADVANCE trial: </w:t>
      </w:r>
      <w:proofErr w:type="gramStart"/>
      <w:r>
        <w:t>first-line</w:t>
      </w:r>
      <w:proofErr w:type="gramEnd"/>
      <w:r>
        <w:t xml:space="preserve"> TAF/FTC/DTG, TDF/FTC/DTG versus TDF/FTC/EFV—weight gain. AIDS 2022. Montreal, Canada, 29 Jul – 2 Aug 2022.</w:t>
      </w:r>
      <w:r w:rsidRPr="00DB1CC7">
        <w:t xml:space="preserve"> </w:t>
      </w:r>
      <w:r>
        <w:t>Abstract PELBB01.</w:t>
      </w:r>
    </w:p>
    <w:p w14:paraId="6705DC3C" w14:textId="593E87D2" w:rsidR="00DB1CC7" w:rsidRPr="007D45D5" w:rsidRDefault="00DB1CC7" w:rsidP="001D24D5">
      <w:pPr>
        <w:pStyle w:val="ListParagraph"/>
        <w:numPr>
          <w:ilvl w:val="0"/>
          <w:numId w:val="3"/>
        </w:numPr>
      </w:pPr>
      <w:r>
        <w:t xml:space="preserve">Gu Y, Wei M, Wang D, </w:t>
      </w:r>
      <w:r w:rsidRPr="00DB1CC7">
        <w:rPr>
          <w:i/>
          <w:iCs/>
        </w:rPr>
        <w:t>et al.</w:t>
      </w:r>
      <w:r w:rsidRPr="007D45D5">
        <w:t xml:space="preserve"> </w:t>
      </w:r>
      <w:r>
        <w:t xml:space="preserve">Characterization of an </w:t>
      </w:r>
      <w:r w:rsidRPr="00DB1CC7">
        <w:rPr>
          <w:i/>
          <w:iCs/>
        </w:rPr>
        <w:t>Escherichia</w:t>
      </w:r>
      <w:r>
        <w:t xml:space="preserve"> </w:t>
      </w:r>
      <w:r w:rsidRPr="00DB1CC7">
        <w:rPr>
          <w:i/>
          <w:iCs/>
        </w:rPr>
        <w:t>coli</w:t>
      </w:r>
      <w:r>
        <w:t xml:space="preserve">-derived human papillomavirus type 16 and 18 bivalent vaccine. </w:t>
      </w:r>
      <w:r w:rsidRPr="00DB1CC7">
        <w:rPr>
          <w:i/>
          <w:iCs/>
        </w:rPr>
        <w:t xml:space="preserve">Vaccine </w:t>
      </w:r>
      <w:r>
        <w:t>2017:35:4637-4645.</w:t>
      </w:r>
    </w:p>
    <w:sectPr w:rsidR="00DB1CC7" w:rsidRPr="007D45D5" w:rsidSect="00122A2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(Body)">
    <w:altName w:val="Calibri"/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B21B1"/>
    <w:multiLevelType w:val="hybridMultilevel"/>
    <w:tmpl w:val="0AC8E224"/>
    <w:lvl w:ilvl="0" w:tplc="6E60C9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570638"/>
    <w:multiLevelType w:val="hybridMultilevel"/>
    <w:tmpl w:val="A70E373E"/>
    <w:lvl w:ilvl="0" w:tplc="7B0AC6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B2CBF"/>
    <w:multiLevelType w:val="hybridMultilevel"/>
    <w:tmpl w:val="46CA1622"/>
    <w:lvl w:ilvl="0" w:tplc="F20EB63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865047">
    <w:abstractNumId w:val="1"/>
  </w:num>
  <w:num w:numId="2" w16cid:durableId="397438035">
    <w:abstractNumId w:val="2"/>
  </w:num>
  <w:num w:numId="3" w16cid:durableId="860124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bordersDoNotSurroundHeader/>
  <w:bordersDoNotSurroundFooter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703"/>
    <w:rsid w:val="00030030"/>
    <w:rsid w:val="00060E8E"/>
    <w:rsid w:val="000851DA"/>
    <w:rsid w:val="00086285"/>
    <w:rsid w:val="00097DED"/>
    <w:rsid w:val="000C0FEE"/>
    <w:rsid w:val="000F0C5C"/>
    <w:rsid w:val="00122A2E"/>
    <w:rsid w:val="0012407C"/>
    <w:rsid w:val="00151EC2"/>
    <w:rsid w:val="00152BA0"/>
    <w:rsid w:val="001646B6"/>
    <w:rsid w:val="001651C9"/>
    <w:rsid w:val="001752EB"/>
    <w:rsid w:val="001845CA"/>
    <w:rsid w:val="00191859"/>
    <w:rsid w:val="001A5C38"/>
    <w:rsid w:val="001D24D5"/>
    <w:rsid w:val="001F50F1"/>
    <w:rsid w:val="00200640"/>
    <w:rsid w:val="0020378D"/>
    <w:rsid w:val="0021583A"/>
    <w:rsid w:val="00277BC0"/>
    <w:rsid w:val="00291687"/>
    <w:rsid w:val="00293AE4"/>
    <w:rsid w:val="00297F19"/>
    <w:rsid w:val="002A76C2"/>
    <w:rsid w:val="002B1675"/>
    <w:rsid w:val="002C15D6"/>
    <w:rsid w:val="002C2703"/>
    <w:rsid w:val="002E7887"/>
    <w:rsid w:val="002F61DF"/>
    <w:rsid w:val="0032358D"/>
    <w:rsid w:val="0037172D"/>
    <w:rsid w:val="00381944"/>
    <w:rsid w:val="0039066A"/>
    <w:rsid w:val="003920B7"/>
    <w:rsid w:val="003A1D47"/>
    <w:rsid w:val="003A7E44"/>
    <w:rsid w:val="003B5A21"/>
    <w:rsid w:val="003D2566"/>
    <w:rsid w:val="003D33E9"/>
    <w:rsid w:val="004118E9"/>
    <w:rsid w:val="004142A1"/>
    <w:rsid w:val="00424C4A"/>
    <w:rsid w:val="004522FA"/>
    <w:rsid w:val="0046318C"/>
    <w:rsid w:val="00481F2C"/>
    <w:rsid w:val="00494C6B"/>
    <w:rsid w:val="00497727"/>
    <w:rsid w:val="004A12A5"/>
    <w:rsid w:val="004B166A"/>
    <w:rsid w:val="004C10A7"/>
    <w:rsid w:val="004C13A2"/>
    <w:rsid w:val="004C7173"/>
    <w:rsid w:val="004C7754"/>
    <w:rsid w:val="004D4287"/>
    <w:rsid w:val="004E74C8"/>
    <w:rsid w:val="004F5025"/>
    <w:rsid w:val="004F64DC"/>
    <w:rsid w:val="00514BD5"/>
    <w:rsid w:val="0051664A"/>
    <w:rsid w:val="00520DCC"/>
    <w:rsid w:val="005349EF"/>
    <w:rsid w:val="00535A09"/>
    <w:rsid w:val="00543E71"/>
    <w:rsid w:val="00555A91"/>
    <w:rsid w:val="005C61CE"/>
    <w:rsid w:val="005C789C"/>
    <w:rsid w:val="0062412A"/>
    <w:rsid w:val="00632540"/>
    <w:rsid w:val="006505F6"/>
    <w:rsid w:val="006770F5"/>
    <w:rsid w:val="00677F86"/>
    <w:rsid w:val="00697B1A"/>
    <w:rsid w:val="006C6155"/>
    <w:rsid w:val="006D464B"/>
    <w:rsid w:val="006E49E9"/>
    <w:rsid w:val="00710D71"/>
    <w:rsid w:val="00713434"/>
    <w:rsid w:val="00713D34"/>
    <w:rsid w:val="00755DA4"/>
    <w:rsid w:val="00764E86"/>
    <w:rsid w:val="00783EEF"/>
    <w:rsid w:val="00790686"/>
    <w:rsid w:val="0079769B"/>
    <w:rsid w:val="007A0017"/>
    <w:rsid w:val="007A1D32"/>
    <w:rsid w:val="007A2DD1"/>
    <w:rsid w:val="007C3CC2"/>
    <w:rsid w:val="007D250B"/>
    <w:rsid w:val="007D45D5"/>
    <w:rsid w:val="007E47AE"/>
    <w:rsid w:val="007F410C"/>
    <w:rsid w:val="00816F8E"/>
    <w:rsid w:val="00844BC8"/>
    <w:rsid w:val="00853F0D"/>
    <w:rsid w:val="00874DDE"/>
    <w:rsid w:val="009047C2"/>
    <w:rsid w:val="009048D6"/>
    <w:rsid w:val="009171BA"/>
    <w:rsid w:val="0093132D"/>
    <w:rsid w:val="00943ABE"/>
    <w:rsid w:val="00956545"/>
    <w:rsid w:val="00966338"/>
    <w:rsid w:val="00972F43"/>
    <w:rsid w:val="00997BE8"/>
    <w:rsid w:val="00997C5D"/>
    <w:rsid w:val="009A3D8E"/>
    <w:rsid w:val="009B3497"/>
    <w:rsid w:val="009B358C"/>
    <w:rsid w:val="009C2078"/>
    <w:rsid w:val="009C7E49"/>
    <w:rsid w:val="009F4452"/>
    <w:rsid w:val="00A019D2"/>
    <w:rsid w:val="00A2121F"/>
    <w:rsid w:val="00A23F45"/>
    <w:rsid w:val="00A25221"/>
    <w:rsid w:val="00A40855"/>
    <w:rsid w:val="00A420F8"/>
    <w:rsid w:val="00A54B25"/>
    <w:rsid w:val="00A845B9"/>
    <w:rsid w:val="00AA0B36"/>
    <w:rsid w:val="00AB2208"/>
    <w:rsid w:val="00AB4714"/>
    <w:rsid w:val="00AD46D8"/>
    <w:rsid w:val="00B10586"/>
    <w:rsid w:val="00B25264"/>
    <w:rsid w:val="00B25888"/>
    <w:rsid w:val="00B369D8"/>
    <w:rsid w:val="00B40923"/>
    <w:rsid w:val="00B54BB9"/>
    <w:rsid w:val="00B6175D"/>
    <w:rsid w:val="00B66957"/>
    <w:rsid w:val="00B7067C"/>
    <w:rsid w:val="00B729FD"/>
    <w:rsid w:val="00B8203D"/>
    <w:rsid w:val="00B824D8"/>
    <w:rsid w:val="00BA1E83"/>
    <w:rsid w:val="00BB2EBF"/>
    <w:rsid w:val="00BB3ADD"/>
    <w:rsid w:val="00BC431F"/>
    <w:rsid w:val="00BF0AD0"/>
    <w:rsid w:val="00BF2769"/>
    <w:rsid w:val="00BF5ABF"/>
    <w:rsid w:val="00C021F2"/>
    <w:rsid w:val="00C0267E"/>
    <w:rsid w:val="00C1074D"/>
    <w:rsid w:val="00C56210"/>
    <w:rsid w:val="00C658F9"/>
    <w:rsid w:val="00C7230A"/>
    <w:rsid w:val="00C81CFA"/>
    <w:rsid w:val="00CB1927"/>
    <w:rsid w:val="00CB5E1A"/>
    <w:rsid w:val="00CC43FF"/>
    <w:rsid w:val="00CF68C6"/>
    <w:rsid w:val="00D032B9"/>
    <w:rsid w:val="00D1416D"/>
    <w:rsid w:val="00D26F72"/>
    <w:rsid w:val="00D30AF4"/>
    <w:rsid w:val="00D4486F"/>
    <w:rsid w:val="00D84A0C"/>
    <w:rsid w:val="00DB1236"/>
    <w:rsid w:val="00DB1CC7"/>
    <w:rsid w:val="00DD2069"/>
    <w:rsid w:val="00DD2BBC"/>
    <w:rsid w:val="00E0603F"/>
    <w:rsid w:val="00E159CC"/>
    <w:rsid w:val="00E21278"/>
    <w:rsid w:val="00E36DAA"/>
    <w:rsid w:val="00E543A7"/>
    <w:rsid w:val="00E61F95"/>
    <w:rsid w:val="00E91B55"/>
    <w:rsid w:val="00EA50E1"/>
    <w:rsid w:val="00EB28CE"/>
    <w:rsid w:val="00EB4FD4"/>
    <w:rsid w:val="00EE2C8F"/>
    <w:rsid w:val="00F0470C"/>
    <w:rsid w:val="00F107AC"/>
    <w:rsid w:val="00F117AC"/>
    <w:rsid w:val="00F136BA"/>
    <w:rsid w:val="00F1749D"/>
    <w:rsid w:val="00F20E0D"/>
    <w:rsid w:val="00F30EB0"/>
    <w:rsid w:val="00F541D7"/>
    <w:rsid w:val="00F679EE"/>
    <w:rsid w:val="00FA78EF"/>
    <w:rsid w:val="00FB39A7"/>
    <w:rsid w:val="00FC10F6"/>
    <w:rsid w:val="00FC45D6"/>
    <w:rsid w:val="00FF4B43"/>
    <w:rsid w:val="00FF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09FB0"/>
  <w15:chartTrackingRefBased/>
  <w15:docId w15:val="{1A74D849-ADD2-4A4B-8C58-022CA4734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7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C270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AR" w:eastAsia="es-MX"/>
    </w:rPr>
  </w:style>
  <w:style w:type="paragraph" w:styleId="ListParagraph">
    <w:name w:val="List Paragraph"/>
    <w:basedOn w:val="Normal"/>
    <w:uiPriority w:val="34"/>
    <w:qFormat/>
    <w:rsid w:val="002C2703"/>
    <w:pPr>
      <w:ind w:left="720"/>
      <w:contextualSpacing/>
    </w:pPr>
  </w:style>
  <w:style w:type="paragraph" w:styleId="Revision">
    <w:name w:val="Revision"/>
    <w:hidden/>
    <w:uiPriority w:val="99"/>
    <w:semiHidden/>
    <w:rsid w:val="00F136BA"/>
  </w:style>
  <w:style w:type="character" w:styleId="CommentReference">
    <w:name w:val="annotation reference"/>
    <w:basedOn w:val="DefaultParagraphFont"/>
    <w:uiPriority w:val="99"/>
    <w:semiHidden/>
    <w:unhideWhenUsed/>
    <w:rsid w:val="00C81C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1C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1C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1C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1C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4DF07-2415-4AB0-8EF0-1278AED91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1369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3</cp:revision>
  <dcterms:created xsi:type="dcterms:W3CDTF">2023-02-13T09:19:00Z</dcterms:created>
  <dcterms:modified xsi:type="dcterms:W3CDTF">2023-02-13T09:37:00Z</dcterms:modified>
</cp:coreProperties>
</file>