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ABF43" w14:textId="77777777" w:rsidR="00E139B3" w:rsidRPr="00981995" w:rsidRDefault="00E139B3" w:rsidP="00981995">
      <w:pPr>
        <w:spacing w:line="480" w:lineRule="auto"/>
        <w:jc w:val="both"/>
      </w:pPr>
      <w:r w:rsidRPr="00981995">
        <w:rPr>
          <w:b/>
          <w:sz w:val="24"/>
          <w:szCs w:val="24"/>
        </w:rPr>
        <w:t xml:space="preserve">Defining the window of opportunity and the target populations to prevent peanut allergy </w:t>
      </w:r>
      <w:r w:rsidRPr="00981995" w:rsidDel="003C2EE5">
        <w:rPr>
          <w:b/>
          <w:sz w:val="24"/>
          <w:szCs w:val="24"/>
        </w:rPr>
        <w:t xml:space="preserve"> </w:t>
      </w:r>
    </w:p>
    <w:p w14:paraId="1CD83546" w14:textId="77777777" w:rsidR="00E139B3" w:rsidRPr="00981995" w:rsidRDefault="00E139B3" w:rsidP="00981995">
      <w:pPr>
        <w:spacing w:line="480" w:lineRule="auto"/>
        <w:rPr>
          <w:sz w:val="20"/>
        </w:rPr>
      </w:pPr>
    </w:p>
    <w:p w14:paraId="2D80804B" w14:textId="77777777" w:rsidR="00E139B3" w:rsidRPr="00981995" w:rsidRDefault="00E139B3" w:rsidP="00981995">
      <w:pPr>
        <w:spacing w:line="480" w:lineRule="auto"/>
        <w:jc w:val="both"/>
        <w:rPr>
          <w:sz w:val="20"/>
        </w:rPr>
      </w:pPr>
      <w:r w:rsidRPr="00981995">
        <w:rPr>
          <w:b/>
          <w:sz w:val="20"/>
        </w:rPr>
        <w:t>Authorship:</w:t>
      </w:r>
      <w:r w:rsidRPr="00981995">
        <w:t xml:space="preserve"> </w:t>
      </w:r>
      <w:r w:rsidRPr="00981995">
        <w:rPr>
          <w:sz w:val="20"/>
        </w:rPr>
        <w:t>Graham Roberts*, D.M., Henry T. Bahnson*, M.P.H., George Du Toit, M.B., B.Ch., Colin O'Rourke, M.S., Michelle L. Sever, Ph.D., Erica Brittain, PhD, Marshall Plaut, M.D., Gideon Lack, FRCPCH.</w:t>
      </w:r>
    </w:p>
    <w:p w14:paraId="1CADAF0A" w14:textId="3B51D3A7" w:rsidR="00E139B3" w:rsidRPr="00981995" w:rsidRDefault="00E139B3" w:rsidP="00981995">
      <w:pPr>
        <w:spacing w:line="480" w:lineRule="auto"/>
        <w:jc w:val="both"/>
        <w:rPr>
          <w:sz w:val="20"/>
        </w:rPr>
      </w:pPr>
      <w:r w:rsidRPr="00981995">
        <w:rPr>
          <w:sz w:val="20"/>
        </w:rPr>
        <w:t xml:space="preserve">*Equal contribution </w:t>
      </w:r>
    </w:p>
    <w:p w14:paraId="4E20DC10" w14:textId="77777777" w:rsidR="00E139B3" w:rsidRPr="00981995" w:rsidRDefault="00E139B3" w:rsidP="00981995">
      <w:pPr>
        <w:spacing w:line="480" w:lineRule="auto"/>
        <w:jc w:val="both"/>
        <w:rPr>
          <w:sz w:val="20"/>
        </w:rPr>
      </w:pPr>
    </w:p>
    <w:p w14:paraId="5DA72BF3" w14:textId="77777777" w:rsidR="00E139B3" w:rsidRPr="00981995" w:rsidRDefault="00E139B3" w:rsidP="00981995">
      <w:pPr>
        <w:spacing w:line="480" w:lineRule="auto"/>
        <w:jc w:val="both"/>
        <w:rPr>
          <w:b/>
          <w:sz w:val="20"/>
        </w:rPr>
      </w:pPr>
      <w:r w:rsidRPr="00981995">
        <w:rPr>
          <w:b/>
          <w:sz w:val="20"/>
        </w:rPr>
        <w:t>The authors’ affiliations:</w:t>
      </w:r>
    </w:p>
    <w:p w14:paraId="714DF6D2" w14:textId="77777777" w:rsidR="00E139B3" w:rsidRPr="00981995" w:rsidRDefault="00E139B3" w:rsidP="00981995">
      <w:pPr>
        <w:spacing w:line="480" w:lineRule="auto"/>
        <w:jc w:val="both"/>
      </w:pPr>
      <w:r w:rsidRPr="00981995">
        <w:t>Graham Roberts: University of Southampton and Southampton NIHR Biomedical Research Centre, Southampton, and the David Hide Centre, Isle of Wight, UK</w:t>
      </w:r>
    </w:p>
    <w:p w14:paraId="5702C58E" w14:textId="472C1DFB" w:rsidR="00E139B3" w:rsidRPr="00981995" w:rsidRDefault="00E139B3" w:rsidP="00981995">
      <w:pPr>
        <w:spacing w:line="480" w:lineRule="auto"/>
        <w:jc w:val="both"/>
      </w:pPr>
      <w:r w:rsidRPr="00981995">
        <w:t xml:space="preserve">Henry T. Bahnson: Benaroya Research Institute and the Immune Tolerance Network, Seattle, </w:t>
      </w:r>
      <w:r w:rsidR="000101C4">
        <w:t xml:space="preserve">WA, </w:t>
      </w:r>
      <w:r w:rsidRPr="00981995">
        <w:t>USA</w:t>
      </w:r>
    </w:p>
    <w:p w14:paraId="2061CEC0" w14:textId="77777777" w:rsidR="00E139B3" w:rsidRPr="00981995" w:rsidRDefault="00E139B3" w:rsidP="00981995">
      <w:pPr>
        <w:spacing w:line="480" w:lineRule="auto"/>
        <w:jc w:val="both"/>
      </w:pPr>
      <w:r w:rsidRPr="00981995">
        <w:t>George Du Toit: Pediatric Allergy Group, Department of Women and Children’s Health, School of Life Course Sciences, King’s College London; the Children’s Allergy Service, Guy’s and St Thomas’ NHS Foundation Trust, London, UK</w:t>
      </w:r>
    </w:p>
    <w:p w14:paraId="63456062" w14:textId="5043A2B2" w:rsidR="00E139B3" w:rsidRPr="00981995" w:rsidRDefault="00E139B3" w:rsidP="00981995">
      <w:pPr>
        <w:spacing w:line="480" w:lineRule="auto"/>
        <w:jc w:val="both"/>
      </w:pPr>
      <w:r w:rsidRPr="00981995">
        <w:t xml:space="preserve">Colin O'Rourke: Benaroya Research Institute and the Immune Tolerance Network, Seattle, </w:t>
      </w:r>
      <w:r w:rsidR="000101C4">
        <w:t xml:space="preserve">WA, </w:t>
      </w:r>
      <w:r w:rsidRPr="00981995">
        <w:t>USA</w:t>
      </w:r>
    </w:p>
    <w:p w14:paraId="778F7820" w14:textId="05994804" w:rsidR="00E139B3" w:rsidRPr="00981995" w:rsidRDefault="00E139B3" w:rsidP="00981995">
      <w:pPr>
        <w:spacing w:line="480" w:lineRule="auto"/>
        <w:jc w:val="both"/>
      </w:pPr>
      <w:r w:rsidRPr="00981995">
        <w:t xml:space="preserve">Michelle L. Sever: Rho Federal Systems Division, Durham, </w:t>
      </w:r>
      <w:r w:rsidR="00E0301F">
        <w:t xml:space="preserve">NC, </w:t>
      </w:r>
      <w:r w:rsidRPr="00981995">
        <w:t>USA</w:t>
      </w:r>
      <w:r w:rsidR="001A0438" w:rsidRPr="00981995">
        <w:t>; PPD</w:t>
      </w:r>
      <w:r w:rsidR="00DD70C8" w:rsidRPr="00981995">
        <w:t xml:space="preserve"> Government and Public Health Services, </w:t>
      </w:r>
      <w:r w:rsidR="009F1872" w:rsidRPr="00981995">
        <w:t>Wilmington,</w:t>
      </w:r>
      <w:r w:rsidR="000101C4">
        <w:t xml:space="preserve"> NC,</w:t>
      </w:r>
      <w:r w:rsidR="009F1872" w:rsidRPr="00981995">
        <w:t xml:space="preserve"> USA</w:t>
      </w:r>
    </w:p>
    <w:p w14:paraId="56004C60" w14:textId="03E5F17F" w:rsidR="00E139B3" w:rsidRPr="00981995" w:rsidRDefault="00E139B3" w:rsidP="00981995">
      <w:pPr>
        <w:spacing w:line="480" w:lineRule="auto"/>
        <w:jc w:val="both"/>
      </w:pPr>
      <w:r w:rsidRPr="00981995">
        <w:t xml:space="preserve">Erica Brittain: The National Institute of Allergy and Infectious Diseases, Bethesda, </w:t>
      </w:r>
      <w:r w:rsidR="000101C4">
        <w:t xml:space="preserve">MD, </w:t>
      </w:r>
      <w:r w:rsidRPr="00981995">
        <w:t>USA</w:t>
      </w:r>
    </w:p>
    <w:p w14:paraId="647ED650" w14:textId="36F5629C" w:rsidR="00E139B3" w:rsidRPr="00981995" w:rsidRDefault="00E139B3" w:rsidP="00981995">
      <w:pPr>
        <w:spacing w:line="480" w:lineRule="auto"/>
        <w:jc w:val="both"/>
      </w:pPr>
      <w:r w:rsidRPr="00981995">
        <w:t xml:space="preserve">Marshall Plaut: The National Institute of Allergy and Infectious Diseases, Bethesda, </w:t>
      </w:r>
      <w:r w:rsidR="000101C4">
        <w:t xml:space="preserve">MD, </w:t>
      </w:r>
      <w:r w:rsidRPr="00981995">
        <w:t>USA</w:t>
      </w:r>
    </w:p>
    <w:p w14:paraId="70F0BA4A" w14:textId="77777777" w:rsidR="00E139B3" w:rsidRPr="00981995" w:rsidRDefault="00E139B3" w:rsidP="00981995">
      <w:pPr>
        <w:spacing w:line="480" w:lineRule="auto"/>
        <w:jc w:val="both"/>
      </w:pPr>
      <w:r w:rsidRPr="00981995">
        <w:t>Gideon Lack: Pediatric Allergy Group, Department of Women and Children’s Health, School of Life Course Sciences, King’s College London; the Children’s Allergy Service, Guy’s and St Thomas’ NHS Foundation Trust, London, UK</w:t>
      </w:r>
    </w:p>
    <w:p w14:paraId="5E27930E" w14:textId="77777777" w:rsidR="00E139B3" w:rsidRPr="00981995" w:rsidRDefault="00E139B3" w:rsidP="00981995">
      <w:pPr>
        <w:spacing w:line="480" w:lineRule="auto"/>
        <w:jc w:val="both"/>
      </w:pPr>
    </w:p>
    <w:p w14:paraId="2F4168C3" w14:textId="77777777" w:rsidR="00E139B3" w:rsidRPr="00981995" w:rsidRDefault="00E139B3" w:rsidP="00981995">
      <w:pPr>
        <w:spacing w:line="480" w:lineRule="auto"/>
        <w:jc w:val="both"/>
        <w:rPr>
          <w:b/>
        </w:rPr>
      </w:pPr>
      <w:r w:rsidRPr="00981995">
        <w:rPr>
          <w:b/>
        </w:rPr>
        <w:t>Corresponding author:</w:t>
      </w:r>
    </w:p>
    <w:p w14:paraId="7B5CD129" w14:textId="77777777" w:rsidR="00E139B3" w:rsidRPr="00981995" w:rsidRDefault="00E139B3" w:rsidP="00981995">
      <w:pPr>
        <w:spacing w:line="480" w:lineRule="auto"/>
        <w:jc w:val="both"/>
      </w:pPr>
      <w:r w:rsidRPr="00981995">
        <w:t>Gideon Lack, MB, BCh, FRCPCH, Children’s Allergy Service, 2</w:t>
      </w:r>
      <w:r w:rsidRPr="00BE340F">
        <w:rPr>
          <w:vertAlign w:val="superscript"/>
        </w:rPr>
        <w:t>nd</w:t>
      </w:r>
      <w:r w:rsidRPr="00981995">
        <w:t xml:space="preserve"> Floor, Stairwell B, South Wing, Guy’s and St Thomas’ NHS Foundation Trust, Westminster Bridge Rd, London SE1 7EH, United Kingdom. </w:t>
      </w:r>
    </w:p>
    <w:p w14:paraId="32D1074F" w14:textId="374DFD23" w:rsidR="00E139B3" w:rsidRPr="00981995" w:rsidRDefault="00E139B3" w:rsidP="00981995">
      <w:pPr>
        <w:spacing w:line="480" w:lineRule="auto"/>
        <w:jc w:val="both"/>
      </w:pPr>
      <w:r w:rsidRPr="00981995">
        <w:t xml:space="preserve">E-mail: </w:t>
      </w:r>
      <w:hyperlink r:id="rId11" w:history="1">
        <w:r w:rsidR="001112B8" w:rsidRPr="00FE41C1">
          <w:rPr>
            <w:rStyle w:val="Hyperlink"/>
          </w:rPr>
          <w:t>gideon.lack@kcl.ac.uk</w:t>
        </w:r>
      </w:hyperlink>
      <w:r w:rsidRPr="00981995">
        <w:t>.</w:t>
      </w:r>
    </w:p>
    <w:p w14:paraId="18122D74" w14:textId="77777777" w:rsidR="00E139B3" w:rsidRPr="00981995" w:rsidRDefault="00E139B3" w:rsidP="00981995">
      <w:pPr>
        <w:spacing w:line="480" w:lineRule="auto"/>
        <w:jc w:val="both"/>
      </w:pPr>
    </w:p>
    <w:p w14:paraId="0C66871F" w14:textId="6833CC4F" w:rsidR="00E139B3" w:rsidRPr="00981995" w:rsidRDefault="00E139B3" w:rsidP="00981995">
      <w:pPr>
        <w:spacing w:line="480" w:lineRule="auto"/>
        <w:rPr>
          <w:sz w:val="20"/>
        </w:rPr>
      </w:pPr>
      <w:r w:rsidRPr="00F8567A">
        <w:rPr>
          <w:b/>
          <w:sz w:val="20"/>
        </w:rPr>
        <w:lastRenderedPageBreak/>
        <w:t>Word count:</w:t>
      </w:r>
      <w:r w:rsidRPr="00F8567A">
        <w:rPr>
          <w:sz w:val="20"/>
        </w:rPr>
        <w:t xml:space="preserve"> </w:t>
      </w:r>
      <w:r w:rsidR="006E1BC8">
        <w:rPr>
          <w:color w:val="000000" w:themeColor="text1"/>
          <w:sz w:val="20"/>
        </w:rPr>
        <w:t>34</w:t>
      </w:r>
      <w:r w:rsidR="0001732A">
        <w:rPr>
          <w:color w:val="000000" w:themeColor="text1"/>
          <w:sz w:val="20"/>
        </w:rPr>
        <w:t>00</w:t>
      </w:r>
    </w:p>
    <w:p w14:paraId="2DFECD83" w14:textId="77777777" w:rsidR="00DA474E" w:rsidRDefault="00DA474E" w:rsidP="00981995">
      <w:pPr>
        <w:spacing w:line="480" w:lineRule="auto"/>
        <w:rPr>
          <w:b/>
          <w:sz w:val="20"/>
        </w:rPr>
      </w:pPr>
    </w:p>
    <w:p w14:paraId="545A6AC8" w14:textId="3836EBBF" w:rsidR="00E139B3" w:rsidRPr="00981995" w:rsidRDefault="00C22462" w:rsidP="00981995">
      <w:pPr>
        <w:spacing w:line="480" w:lineRule="auto"/>
        <w:rPr>
          <w:sz w:val="20"/>
        </w:rPr>
      </w:pPr>
      <w:r w:rsidRPr="00C22462">
        <w:rPr>
          <w:b/>
          <w:sz w:val="20"/>
        </w:rPr>
        <w:t>Short title:</w:t>
      </w:r>
      <w:r>
        <w:rPr>
          <w:sz w:val="20"/>
        </w:rPr>
        <w:t xml:space="preserve"> Preventing peanut allergy</w:t>
      </w:r>
      <w:r w:rsidR="0083636E">
        <w:rPr>
          <w:sz w:val="20"/>
        </w:rPr>
        <w:t xml:space="preserve"> in the whole population</w:t>
      </w:r>
    </w:p>
    <w:p w14:paraId="63FDE09E" w14:textId="77777777" w:rsidR="00DA474E" w:rsidRDefault="00DA474E">
      <w:pPr>
        <w:spacing w:line="480" w:lineRule="auto"/>
        <w:rPr>
          <w:b/>
          <w:sz w:val="20"/>
        </w:rPr>
      </w:pPr>
    </w:p>
    <w:p w14:paraId="6B5C9C7E" w14:textId="42914345" w:rsidR="00DA474E" w:rsidRDefault="00DA474E">
      <w:pPr>
        <w:spacing w:line="480" w:lineRule="auto"/>
        <w:rPr>
          <w:b/>
          <w:sz w:val="20"/>
        </w:rPr>
      </w:pPr>
      <w:bookmarkStart w:id="0" w:name="_Hlk108295455"/>
      <w:r w:rsidRPr="007058AC">
        <w:rPr>
          <w:b/>
          <w:sz w:val="20"/>
        </w:rPr>
        <w:t>Clinical Implications</w:t>
      </w:r>
      <w:r w:rsidRPr="00DA474E">
        <w:rPr>
          <w:b/>
          <w:sz w:val="20"/>
        </w:rPr>
        <w:t xml:space="preserve"> </w:t>
      </w:r>
    </w:p>
    <w:p w14:paraId="32B46229" w14:textId="756ECF89" w:rsidR="00031FED" w:rsidRPr="00196B10" w:rsidRDefault="00031FED" w:rsidP="00196B10">
      <w:pPr>
        <w:spacing w:line="480" w:lineRule="auto"/>
        <w:rPr>
          <w:rFonts w:eastAsia="Calibri" w:cs="Times New Roman"/>
          <w:color w:val="auto"/>
          <w:sz w:val="20"/>
          <w:szCs w:val="18"/>
          <w:lang w:val="en-GB"/>
        </w:rPr>
      </w:pPr>
      <w:r w:rsidRPr="00196B10">
        <w:rPr>
          <w:rFonts w:eastAsia="Calibri"/>
          <w:sz w:val="20"/>
          <w:szCs w:val="18"/>
        </w:rPr>
        <w:t>To maximise the prevention of peanut allergy</w:t>
      </w:r>
      <w:r w:rsidR="00FD5CF5">
        <w:rPr>
          <w:rFonts w:eastAsia="Calibri"/>
          <w:sz w:val="20"/>
          <w:szCs w:val="18"/>
        </w:rPr>
        <w:t xml:space="preserve"> in the population</w:t>
      </w:r>
      <w:r w:rsidRPr="00196B10">
        <w:rPr>
          <w:rFonts w:eastAsia="Calibri"/>
          <w:sz w:val="20"/>
          <w:szCs w:val="18"/>
        </w:rPr>
        <w:t xml:space="preserve">, all infants should start eating peanut products by 6 months of life; infants with eczema, especially severe eczema, should start from 4 months of age. </w:t>
      </w:r>
    </w:p>
    <w:p w14:paraId="6053BAD3" w14:textId="77777777" w:rsidR="00DA474E" w:rsidRDefault="00DA474E" w:rsidP="00DA474E">
      <w:pPr>
        <w:spacing w:line="480" w:lineRule="auto"/>
        <w:rPr>
          <w:b/>
          <w:sz w:val="20"/>
        </w:rPr>
      </w:pPr>
    </w:p>
    <w:p w14:paraId="363FB23C" w14:textId="452F634C" w:rsidR="00216647" w:rsidRDefault="00216647" w:rsidP="00DA474E">
      <w:pPr>
        <w:spacing w:line="480" w:lineRule="auto"/>
        <w:rPr>
          <w:b/>
          <w:sz w:val="20"/>
        </w:rPr>
      </w:pPr>
      <w:r w:rsidRPr="007058AC">
        <w:rPr>
          <w:b/>
          <w:sz w:val="20"/>
        </w:rPr>
        <w:t>Capsule summary</w:t>
      </w:r>
    </w:p>
    <w:p w14:paraId="590B8D4A" w14:textId="274E7921" w:rsidR="00031FED" w:rsidRPr="00BE340F" w:rsidRDefault="00031FED" w:rsidP="00573F15">
      <w:pPr>
        <w:spacing w:line="480" w:lineRule="auto"/>
        <w:rPr>
          <w:sz w:val="20"/>
        </w:rPr>
      </w:pPr>
      <w:r w:rsidRPr="00031FED">
        <w:rPr>
          <w:sz w:val="20"/>
        </w:rPr>
        <w:t>The prevention of peanut allergy in the general population is best achieved by early introduction of peanut in all infants at 4-6 months of age.</w:t>
      </w:r>
    </w:p>
    <w:bookmarkEnd w:id="0"/>
    <w:p w14:paraId="49CB21B8" w14:textId="77777777" w:rsidR="00DA474E" w:rsidRDefault="00DA474E" w:rsidP="00DA474E">
      <w:pPr>
        <w:spacing w:line="480" w:lineRule="auto"/>
        <w:rPr>
          <w:b/>
          <w:sz w:val="20"/>
        </w:rPr>
      </w:pPr>
    </w:p>
    <w:p w14:paraId="2BBF4F2D" w14:textId="3607BA03" w:rsidR="00E139B3" w:rsidRPr="00981995" w:rsidRDefault="00E139B3" w:rsidP="00DA474E">
      <w:pPr>
        <w:spacing w:line="480" w:lineRule="auto"/>
        <w:rPr>
          <w:sz w:val="20"/>
        </w:rPr>
      </w:pPr>
      <w:r w:rsidRPr="00981995">
        <w:rPr>
          <w:b/>
          <w:sz w:val="20"/>
        </w:rPr>
        <w:t xml:space="preserve">Key words: </w:t>
      </w:r>
      <w:r w:rsidRPr="00981995">
        <w:rPr>
          <w:sz w:val="20"/>
        </w:rPr>
        <w:t xml:space="preserve">peanut allergy, prevention, diet, early introduction, population </w:t>
      </w:r>
    </w:p>
    <w:p w14:paraId="654D46FD" w14:textId="77777777" w:rsidR="00E139B3" w:rsidRPr="00981995" w:rsidRDefault="00E139B3" w:rsidP="00B51474">
      <w:pPr>
        <w:spacing w:line="360" w:lineRule="auto"/>
        <w:jc w:val="both"/>
        <w:rPr>
          <w:sz w:val="20"/>
        </w:rPr>
      </w:pPr>
    </w:p>
    <w:p w14:paraId="316A3D91" w14:textId="77777777" w:rsidR="00B869CF" w:rsidRPr="00B869CF" w:rsidRDefault="00B869CF" w:rsidP="00B869CF">
      <w:pPr>
        <w:pStyle w:val="Heading1"/>
        <w:spacing w:after="120" w:line="480" w:lineRule="auto"/>
        <w:rPr>
          <w:sz w:val="20"/>
        </w:rPr>
      </w:pPr>
      <w:r w:rsidRPr="00B869CF">
        <w:rPr>
          <w:sz w:val="20"/>
        </w:rPr>
        <w:t>Abb</w:t>
      </w:r>
      <w:r w:rsidRPr="00115E81">
        <w:rPr>
          <w:sz w:val="20"/>
        </w:rPr>
        <w:t>r</w:t>
      </w:r>
      <w:r w:rsidRPr="001706C6">
        <w:rPr>
          <w:sz w:val="20"/>
        </w:rPr>
        <w:t>e</w:t>
      </w:r>
      <w:r w:rsidRPr="009F5BD4">
        <w:rPr>
          <w:sz w:val="20"/>
        </w:rPr>
        <w:t>v</w:t>
      </w:r>
      <w:r w:rsidRPr="00B869CF">
        <w:rPr>
          <w:sz w:val="20"/>
        </w:rPr>
        <w:t>iations</w:t>
      </w:r>
    </w:p>
    <w:p w14:paraId="0F0C66E7" w14:textId="77777777" w:rsidR="00B869CF" w:rsidRPr="0005000E" w:rsidRDefault="00B869CF" w:rsidP="00B869CF">
      <w:pPr>
        <w:pStyle w:val="Heading1"/>
        <w:spacing w:after="120" w:line="480" w:lineRule="auto"/>
        <w:rPr>
          <w:b w:val="0"/>
          <w:bCs/>
          <w:sz w:val="20"/>
        </w:rPr>
      </w:pPr>
      <w:r w:rsidRPr="0005000E">
        <w:rPr>
          <w:b w:val="0"/>
          <w:bCs/>
          <w:sz w:val="20"/>
        </w:rPr>
        <w:t xml:space="preserve">EAACI </w:t>
      </w:r>
      <w:r w:rsidRPr="0005000E">
        <w:rPr>
          <w:b w:val="0"/>
          <w:bCs/>
          <w:sz w:val="20"/>
        </w:rPr>
        <w:tab/>
        <w:t>European Academy of Allergy and Clinical Immunology</w:t>
      </w:r>
    </w:p>
    <w:p w14:paraId="6D53BB7C" w14:textId="77777777" w:rsidR="00313F93" w:rsidRDefault="00B869CF" w:rsidP="00115E81">
      <w:pPr>
        <w:pStyle w:val="Heading1"/>
        <w:spacing w:after="120" w:line="480" w:lineRule="auto"/>
        <w:rPr>
          <w:sz w:val="24"/>
          <w:szCs w:val="24"/>
        </w:rPr>
      </w:pPr>
      <w:r w:rsidRPr="001369A2">
        <w:rPr>
          <w:b w:val="0"/>
          <w:bCs/>
          <w:sz w:val="20"/>
        </w:rPr>
        <w:t xml:space="preserve">EAT </w:t>
      </w:r>
      <w:r w:rsidRPr="001369A2">
        <w:rPr>
          <w:b w:val="0"/>
          <w:bCs/>
          <w:sz w:val="20"/>
        </w:rPr>
        <w:tab/>
        <w:t>Enquiring About Tolerance trial</w:t>
      </w:r>
      <w:r w:rsidRPr="00B869CF">
        <w:rPr>
          <w:sz w:val="24"/>
          <w:szCs w:val="24"/>
        </w:rPr>
        <w:t xml:space="preserve"> </w:t>
      </w:r>
    </w:p>
    <w:p w14:paraId="569CFFA0" w14:textId="32A133FA" w:rsidR="00B869CF" w:rsidRPr="00115E81" w:rsidRDefault="00B869CF" w:rsidP="00115E81">
      <w:pPr>
        <w:pStyle w:val="Heading1"/>
        <w:spacing w:after="120" w:line="480" w:lineRule="auto"/>
        <w:rPr>
          <w:b w:val="0"/>
          <w:bCs/>
          <w:sz w:val="20"/>
        </w:rPr>
      </w:pPr>
      <w:r w:rsidRPr="00115E81">
        <w:rPr>
          <w:b w:val="0"/>
          <w:bCs/>
          <w:sz w:val="20"/>
        </w:rPr>
        <w:t>LEAP</w:t>
      </w:r>
      <w:r w:rsidRPr="00115E81">
        <w:rPr>
          <w:b w:val="0"/>
          <w:bCs/>
          <w:sz w:val="20"/>
        </w:rPr>
        <w:tab/>
        <w:t xml:space="preserve">Learning Early About Peanut allergy trial </w:t>
      </w:r>
    </w:p>
    <w:p w14:paraId="6856494C" w14:textId="77777777" w:rsidR="00B869CF" w:rsidRPr="00C70477" w:rsidRDefault="00B869CF" w:rsidP="00B869CF">
      <w:pPr>
        <w:pStyle w:val="Heading1"/>
        <w:spacing w:after="120" w:line="480" w:lineRule="auto"/>
        <w:rPr>
          <w:b w:val="0"/>
          <w:bCs/>
          <w:sz w:val="20"/>
        </w:rPr>
      </w:pPr>
      <w:r w:rsidRPr="00C70477">
        <w:rPr>
          <w:b w:val="0"/>
          <w:bCs/>
          <w:sz w:val="20"/>
        </w:rPr>
        <w:t>NIAID</w:t>
      </w:r>
      <w:r w:rsidRPr="00C70477">
        <w:rPr>
          <w:b w:val="0"/>
          <w:bCs/>
          <w:sz w:val="20"/>
        </w:rPr>
        <w:tab/>
        <w:t xml:space="preserve">National Institute of Allergy and Infectious Diseases </w:t>
      </w:r>
    </w:p>
    <w:p w14:paraId="1911E9F5" w14:textId="77777777" w:rsidR="00B869CF" w:rsidRPr="003031C7" w:rsidRDefault="00B869CF" w:rsidP="00B869CF">
      <w:pPr>
        <w:pStyle w:val="Heading1"/>
        <w:spacing w:after="120" w:line="480" w:lineRule="auto"/>
        <w:rPr>
          <w:b w:val="0"/>
          <w:bCs/>
          <w:sz w:val="20"/>
        </w:rPr>
      </w:pPr>
      <w:r w:rsidRPr="003031C7">
        <w:rPr>
          <w:b w:val="0"/>
          <w:bCs/>
          <w:sz w:val="20"/>
        </w:rPr>
        <w:t xml:space="preserve">PAS </w:t>
      </w:r>
      <w:r w:rsidRPr="003031C7">
        <w:rPr>
          <w:b w:val="0"/>
          <w:bCs/>
          <w:sz w:val="20"/>
        </w:rPr>
        <w:tab/>
        <w:t>Peanut Allergy Sensitization study</w:t>
      </w:r>
    </w:p>
    <w:p w14:paraId="60078D5E" w14:textId="77777777" w:rsidR="00B869CF" w:rsidRPr="00115E81" w:rsidRDefault="00B869CF" w:rsidP="00115E81">
      <w:pPr>
        <w:pStyle w:val="Heading1"/>
        <w:spacing w:after="120" w:line="480" w:lineRule="auto"/>
        <w:rPr>
          <w:b w:val="0"/>
          <w:bCs/>
          <w:sz w:val="20"/>
        </w:rPr>
      </w:pPr>
      <w:r w:rsidRPr="00115E81">
        <w:rPr>
          <w:b w:val="0"/>
          <w:bCs/>
          <w:sz w:val="20"/>
        </w:rPr>
        <w:t>SPT</w:t>
      </w:r>
      <w:r w:rsidRPr="00115E81">
        <w:rPr>
          <w:b w:val="0"/>
          <w:bCs/>
          <w:sz w:val="20"/>
        </w:rPr>
        <w:tab/>
        <w:t>skin prick test</w:t>
      </w:r>
    </w:p>
    <w:p w14:paraId="2F11C400" w14:textId="2E79A910" w:rsidR="00711BDD" w:rsidRPr="00981995" w:rsidRDefault="00711BDD" w:rsidP="00115E81">
      <w:pPr>
        <w:pStyle w:val="Heading1"/>
        <w:spacing w:before="0" w:after="120" w:line="480" w:lineRule="auto"/>
        <w:contextualSpacing w:val="0"/>
        <w:rPr>
          <w:sz w:val="24"/>
          <w:szCs w:val="24"/>
        </w:rPr>
      </w:pPr>
      <w:r w:rsidRPr="00981995">
        <w:rPr>
          <w:sz w:val="24"/>
          <w:szCs w:val="24"/>
        </w:rPr>
        <w:br w:type="page"/>
      </w:r>
    </w:p>
    <w:p w14:paraId="08488D1B" w14:textId="11D0C4BF" w:rsidR="00711BDD" w:rsidRPr="00BE340F" w:rsidRDefault="00711BDD" w:rsidP="00BE340F">
      <w:pPr>
        <w:spacing w:line="480" w:lineRule="auto"/>
        <w:rPr>
          <w:b/>
          <w:sz w:val="24"/>
          <w:szCs w:val="24"/>
        </w:rPr>
      </w:pPr>
      <w:r w:rsidRPr="00BE340F">
        <w:rPr>
          <w:b/>
          <w:sz w:val="24"/>
          <w:szCs w:val="24"/>
        </w:rPr>
        <w:lastRenderedPageBreak/>
        <w:t>Abstract</w:t>
      </w:r>
      <w:r w:rsidR="00CD0C39">
        <w:rPr>
          <w:b/>
          <w:sz w:val="24"/>
          <w:szCs w:val="24"/>
        </w:rPr>
        <w:t xml:space="preserve"> </w:t>
      </w:r>
    </w:p>
    <w:p w14:paraId="6259E70D" w14:textId="61ED794D" w:rsidR="00711BDD" w:rsidRPr="00981995" w:rsidRDefault="0083636E" w:rsidP="00981995">
      <w:pPr>
        <w:pStyle w:val="Heading1"/>
        <w:spacing w:before="0" w:after="120" w:line="480" w:lineRule="auto"/>
        <w:contextualSpacing w:val="0"/>
        <w:rPr>
          <w:rFonts w:eastAsia="Arial" w:cs="Arial"/>
          <w:sz w:val="20"/>
        </w:rPr>
      </w:pPr>
      <w:r>
        <w:rPr>
          <w:rFonts w:eastAsia="Arial" w:cs="Arial"/>
          <w:sz w:val="20"/>
        </w:rPr>
        <w:t>Background</w:t>
      </w:r>
    </w:p>
    <w:p w14:paraId="40CC7477" w14:textId="542C8270" w:rsidR="00D47F03" w:rsidRDefault="00711BDD" w:rsidP="00981995">
      <w:pPr>
        <w:pStyle w:val="Heading1"/>
        <w:spacing w:before="0" w:after="120" w:line="480" w:lineRule="auto"/>
        <w:contextualSpacing w:val="0"/>
        <w:rPr>
          <w:b w:val="0"/>
          <w:sz w:val="20"/>
        </w:rPr>
      </w:pPr>
      <w:r w:rsidRPr="00981995">
        <w:rPr>
          <w:b w:val="0"/>
          <w:sz w:val="20"/>
        </w:rPr>
        <w:t xml:space="preserve">Peanut allergy affects 1-2% of </w:t>
      </w:r>
      <w:r w:rsidR="00045A56">
        <w:rPr>
          <w:b w:val="0"/>
          <w:sz w:val="20"/>
        </w:rPr>
        <w:t>European</w:t>
      </w:r>
      <w:r w:rsidRPr="00981995">
        <w:rPr>
          <w:b w:val="0"/>
          <w:sz w:val="20"/>
        </w:rPr>
        <w:t xml:space="preserve"> children. Early introduction of peanut into the diet reduce</w:t>
      </w:r>
      <w:r w:rsidR="0071203A">
        <w:rPr>
          <w:b w:val="0"/>
          <w:sz w:val="20"/>
        </w:rPr>
        <w:t>s</w:t>
      </w:r>
      <w:r w:rsidRPr="00981995">
        <w:rPr>
          <w:b w:val="0"/>
          <w:sz w:val="20"/>
        </w:rPr>
        <w:t xml:space="preserve"> allergy in </w:t>
      </w:r>
      <w:r w:rsidR="00B635D0">
        <w:rPr>
          <w:b w:val="0"/>
          <w:sz w:val="20"/>
        </w:rPr>
        <w:t>high-</w:t>
      </w:r>
      <w:r w:rsidR="00A35F2A">
        <w:rPr>
          <w:b w:val="0"/>
          <w:sz w:val="20"/>
        </w:rPr>
        <w:t>risk infants</w:t>
      </w:r>
      <w:r w:rsidR="00D47F03">
        <w:rPr>
          <w:b w:val="0"/>
          <w:sz w:val="20"/>
        </w:rPr>
        <w:t xml:space="preserve">. </w:t>
      </w:r>
    </w:p>
    <w:p w14:paraId="3235A724" w14:textId="7EF90B3B" w:rsidR="00D47F03" w:rsidRPr="00BE340F" w:rsidRDefault="00D47F03" w:rsidP="00981995">
      <w:pPr>
        <w:pStyle w:val="Heading1"/>
        <w:spacing w:before="0" w:after="120" w:line="480" w:lineRule="auto"/>
        <w:contextualSpacing w:val="0"/>
        <w:rPr>
          <w:sz w:val="20"/>
        </w:rPr>
      </w:pPr>
      <w:r w:rsidRPr="00BE340F">
        <w:rPr>
          <w:sz w:val="20"/>
        </w:rPr>
        <w:t>Objective</w:t>
      </w:r>
    </w:p>
    <w:p w14:paraId="25830E64" w14:textId="775AF7AB" w:rsidR="00711BDD" w:rsidRPr="00981995" w:rsidRDefault="00045A56" w:rsidP="00981995">
      <w:pPr>
        <w:pStyle w:val="Heading1"/>
        <w:spacing w:before="0" w:after="120" w:line="480" w:lineRule="auto"/>
        <w:contextualSpacing w:val="0"/>
        <w:rPr>
          <w:rFonts w:eastAsia="Arial" w:cs="Arial"/>
          <w:b w:val="0"/>
          <w:sz w:val="20"/>
        </w:rPr>
      </w:pPr>
      <w:r w:rsidRPr="00A66FA2">
        <w:rPr>
          <w:b w:val="0"/>
          <w:sz w:val="20"/>
        </w:rPr>
        <w:t xml:space="preserve">We </w:t>
      </w:r>
      <w:r w:rsidR="0071203A" w:rsidRPr="0071203A">
        <w:rPr>
          <w:b w:val="0"/>
          <w:sz w:val="20"/>
        </w:rPr>
        <w:t>aimed</w:t>
      </w:r>
      <w:r w:rsidRPr="00A66FA2">
        <w:rPr>
          <w:b w:val="0"/>
          <w:sz w:val="20"/>
        </w:rPr>
        <w:t xml:space="preserve"> to</w:t>
      </w:r>
      <w:r w:rsidR="00711BDD" w:rsidRPr="00045A56">
        <w:rPr>
          <w:rFonts w:eastAsia="Arial" w:cs="Arial"/>
          <w:b w:val="0"/>
          <w:sz w:val="20"/>
        </w:rPr>
        <w:t xml:space="preserve"> determine</w:t>
      </w:r>
      <w:r w:rsidR="00711BDD" w:rsidRPr="00981995">
        <w:rPr>
          <w:rFonts w:eastAsia="Arial" w:cs="Arial"/>
          <w:b w:val="0"/>
          <w:sz w:val="20"/>
        </w:rPr>
        <w:t xml:space="preserve"> the optimal target populations </w:t>
      </w:r>
      <w:r w:rsidR="00E849FA">
        <w:rPr>
          <w:rFonts w:eastAsia="Arial" w:cs="Arial"/>
          <w:b w:val="0"/>
          <w:sz w:val="20"/>
        </w:rPr>
        <w:t xml:space="preserve">and timing of introduction of peanut products </w:t>
      </w:r>
      <w:r w:rsidR="00711BDD" w:rsidRPr="00981995">
        <w:rPr>
          <w:rFonts w:eastAsia="Arial" w:cs="Arial"/>
          <w:b w:val="0"/>
          <w:sz w:val="20"/>
        </w:rPr>
        <w:t>to prevent peanut allergy</w:t>
      </w:r>
      <w:r w:rsidR="000101C4">
        <w:rPr>
          <w:rFonts w:eastAsia="Arial" w:cs="Arial"/>
          <w:b w:val="0"/>
          <w:sz w:val="20"/>
        </w:rPr>
        <w:t xml:space="preserve"> in the general population</w:t>
      </w:r>
      <w:r w:rsidR="00711BDD" w:rsidRPr="00981995">
        <w:rPr>
          <w:rFonts w:eastAsia="Arial" w:cs="Arial"/>
          <w:b w:val="0"/>
          <w:sz w:val="20"/>
        </w:rPr>
        <w:t xml:space="preserve">. </w:t>
      </w:r>
    </w:p>
    <w:p w14:paraId="2FCBE26E" w14:textId="77DC5A59" w:rsidR="00711BDD" w:rsidRPr="00981995" w:rsidRDefault="0083636E" w:rsidP="00981995">
      <w:pPr>
        <w:pStyle w:val="Heading1"/>
        <w:spacing w:before="0" w:after="120" w:line="480" w:lineRule="auto"/>
        <w:contextualSpacing w:val="0"/>
        <w:rPr>
          <w:rFonts w:eastAsia="Arial" w:cs="Arial"/>
          <w:sz w:val="20"/>
        </w:rPr>
      </w:pPr>
      <w:r>
        <w:rPr>
          <w:rFonts w:eastAsia="Arial" w:cs="Arial"/>
          <w:sz w:val="20"/>
        </w:rPr>
        <w:t>Methods</w:t>
      </w:r>
    </w:p>
    <w:p w14:paraId="53CA7E16" w14:textId="26C079F4" w:rsidR="00711BDD" w:rsidRPr="00981995" w:rsidRDefault="00711BDD" w:rsidP="00B635D0">
      <w:pPr>
        <w:spacing w:after="120" w:line="480" w:lineRule="auto"/>
        <w:rPr>
          <w:sz w:val="20"/>
        </w:rPr>
      </w:pPr>
      <w:r w:rsidRPr="00981995">
        <w:rPr>
          <w:sz w:val="20"/>
        </w:rPr>
        <w:t xml:space="preserve">Data from the EAT (n=1303; </w:t>
      </w:r>
      <w:r w:rsidR="00B635D0">
        <w:rPr>
          <w:sz w:val="20"/>
        </w:rPr>
        <w:t>normal-</w:t>
      </w:r>
      <w:r w:rsidR="00045A56">
        <w:rPr>
          <w:sz w:val="20"/>
        </w:rPr>
        <w:t xml:space="preserve">risk; </w:t>
      </w:r>
      <w:r w:rsidRPr="00981995">
        <w:rPr>
          <w:sz w:val="20"/>
        </w:rPr>
        <w:t>3-year follow-up</w:t>
      </w:r>
      <w:r w:rsidR="00D47F03">
        <w:rPr>
          <w:sz w:val="20"/>
        </w:rPr>
        <w:t xml:space="preserve">; </w:t>
      </w:r>
      <w:r w:rsidR="00D47F03" w:rsidRPr="00981995">
        <w:rPr>
          <w:sz w:val="20"/>
        </w:rPr>
        <w:t>ISRCTN14254740</w:t>
      </w:r>
      <w:r w:rsidRPr="00981995">
        <w:rPr>
          <w:sz w:val="20"/>
        </w:rPr>
        <w:t xml:space="preserve">) and LEAP (n=640; </w:t>
      </w:r>
      <w:r w:rsidR="00B635D0">
        <w:rPr>
          <w:sz w:val="20"/>
        </w:rPr>
        <w:t>high-</w:t>
      </w:r>
      <w:r w:rsidR="00045A56">
        <w:rPr>
          <w:sz w:val="20"/>
        </w:rPr>
        <w:t xml:space="preserve">risk; </w:t>
      </w:r>
      <w:r w:rsidRPr="00981995">
        <w:rPr>
          <w:sz w:val="20"/>
        </w:rPr>
        <w:t>5-year follow-up</w:t>
      </w:r>
      <w:r w:rsidR="00D47F03">
        <w:rPr>
          <w:sz w:val="20"/>
        </w:rPr>
        <w:t>;</w:t>
      </w:r>
      <w:r w:rsidR="00D47F03" w:rsidRPr="00D47F03">
        <w:rPr>
          <w:sz w:val="20"/>
        </w:rPr>
        <w:t xml:space="preserve"> </w:t>
      </w:r>
      <w:r w:rsidR="00D47F03" w:rsidRPr="00981995">
        <w:rPr>
          <w:sz w:val="20"/>
        </w:rPr>
        <w:t>NCT00329784</w:t>
      </w:r>
      <w:r w:rsidRPr="00981995">
        <w:rPr>
          <w:sz w:val="20"/>
        </w:rPr>
        <w:t xml:space="preserve">) </w:t>
      </w:r>
      <w:r w:rsidR="0071203A">
        <w:rPr>
          <w:sz w:val="20"/>
        </w:rPr>
        <w:t>randomized controlled trials</w:t>
      </w:r>
      <w:r w:rsidRPr="00981995">
        <w:rPr>
          <w:sz w:val="20"/>
        </w:rPr>
        <w:t xml:space="preserve"> </w:t>
      </w:r>
      <w:r w:rsidR="00045A56">
        <w:rPr>
          <w:sz w:val="20"/>
        </w:rPr>
        <w:t>plus the</w:t>
      </w:r>
      <w:r w:rsidRPr="00981995">
        <w:rPr>
          <w:sz w:val="20"/>
        </w:rPr>
        <w:t xml:space="preserve"> PAS (n=194; </w:t>
      </w:r>
      <w:r w:rsidR="00045A56">
        <w:rPr>
          <w:sz w:val="20"/>
        </w:rPr>
        <w:t>low</w:t>
      </w:r>
      <w:r w:rsidR="00B635D0">
        <w:rPr>
          <w:sz w:val="20"/>
        </w:rPr>
        <w:t>-</w:t>
      </w:r>
      <w:r w:rsidR="00045A56">
        <w:rPr>
          <w:sz w:val="20"/>
        </w:rPr>
        <w:t xml:space="preserve"> and very high</w:t>
      </w:r>
      <w:r w:rsidR="00B635D0">
        <w:rPr>
          <w:sz w:val="20"/>
        </w:rPr>
        <w:t>-</w:t>
      </w:r>
      <w:r w:rsidR="00045A56">
        <w:rPr>
          <w:sz w:val="20"/>
        </w:rPr>
        <w:t xml:space="preserve">risk; </w:t>
      </w:r>
      <w:r w:rsidRPr="00981995">
        <w:rPr>
          <w:sz w:val="20"/>
        </w:rPr>
        <w:t xml:space="preserve">5-year follow-up) observational study were used to model the intervention in a general population. Peanut allergy </w:t>
      </w:r>
      <w:r w:rsidR="001800F3">
        <w:rPr>
          <w:sz w:val="20"/>
        </w:rPr>
        <w:t>was</w:t>
      </w:r>
      <w:r w:rsidRPr="00981995">
        <w:rPr>
          <w:sz w:val="20"/>
        </w:rPr>
        <w:t xml:space="preserve"> defined by blinded peanut challenge or diagnostic skin prick test result.  </w:t>
      </w:r>
    </w:p>
    <w:p w14:paraId="1A53F5B9" w14:textId="77777777" w:rsidR="00711BDD" w:rsidRPr="00981995" w:rsidRDefault="00711BDD" w:rsidP="00981995">
      <w:pPr>
        <w:spacing w:after="120" w:line="480" w:lineRule="auto"/>
        <w:rPr>
          <w:b/>
          <w:sz w:val="20"/>
        </w:rPr>
      </w:pPr>
      <w:r w:rsidRPr="00981995">
        <w:rPr>
          <w:b/>
          <w:sz w:val="20"/>
        </w:rPr>
        <w:t>Results</w:t>
      </w:r>
    </w:p>
    <w:p w14:paraId="22068AFB" w14:textId="6B128731" w:rsidR="00711BDD" w:rsidRPr="00981995" w:rsidRDefault="00711BDD" w:rsidP="00981995">
      <w:pPr>
        <w:spacing w:after="120" w:line="480" w:lineRule="auto"/>
        <w:rPr>
          <w:sz w:val="20"/>
        </w:rPr>
      </w:pPr>
      <w:r w:rsidRPr="00981995">
        <w:rPr>
          <w:sz w:val="20"/>
        </w:rPr>
        <w:t xml:space="preserve">Targeting only the highest risk infants with severe eczema reduced the population disease burden by </w:t>
      </w:r>
      <w:r w:rsidR="00A40EB9">
        <w:rPr>
          <w:sz w:val="20"/>
        </w:rPr>
        <w:t xml:space="preserve">only </w:t>
      </w:r>
      <w:r w:rsidR="00352900">
        <w:rPr>
          <w:sz w:val="20"/>
        </w:rPr>
        <w:t>4.</w:t>
      </w:r>
      <w:r w:rsidR="00364FAA">
        <w:rPr>
          <w:sz w:val="20"/>
        </w:rPr>
        <w:t>6</w:t>
      </w:r>
      <w:r w:rsidRPr="00981995">
        <w:rPr>
          <w:sz w:val="20"/>
        </w:rPr>
        <w:t>%</w:t>
      </w:r>
      <w:r w:rsidR="001800F3">
        <w:rPr>
          <w:sz w:val="20"/>
        </w:rPr>
        <w:t>. G</w:t>
      </w:r>
      <w:r w:rsidRPr="00981995">
        <w:rPr>
          <w:sz w:val="20"/>
        </w:rPr>
        <w:t>reatest reductions</w:t>
      </w:r>
      <w:r w:rsidR="000101C4">
        <w:rPr>
          <w:sz w:val="20"/>
        </w:rPr>
        <w:t xml:space="preserve"> in peanut allergy</w:t>
      </w:r>
      <w:r w:rsidRPr="00981995">
        <w:rPr>
          <w:sz w:val="20"/>
        </w:rPr>
        <w:t xml:space="preserve"> were seen when the intervention was targeted </w:t>
      </w:r>
      <w:r w:rsidR="002136F6">
        <w:rPr>
          <w:sz w:val="20"/>
        </w:rPr>
        <w:t xml:space="preserve">only </w:t>
      </w:r>
      <w:r w:rsidRPr="00981995">
        <w:rPr>
          <w:sz w:val="20"/>
        </w:rPr>
        <w:t>to the larger</w:t>
      </w:r>
      <w:r w:rsidR="00875274">
        <w:rPr>
          <w:sz w:val="20"/>
        </w:rPr>
        <w:t xml:space="preserve"> but</w:t>
      </w:r>
      <w:r w:rsidRPr="00981995">
        <w:rPr>
          <w:sz w:val="20"/>
        </w:rPr>
        <w:t xml:space="preserve"> lower risk groups. A 77% reduction in peanut allergy was estimated when </w:t>
      </w:r>
      <w:r w:rsidR="001800F3">
        <w:rPr>
          <w:sz w:val="20"/>
        </w:rPr>
        <w:t>peanuts were introduced</w:t>
      </w:r>
      <w:r w:rsidR="000101C4">
        <w:rPr>
          <w:sz w:val="20"/>
        </w:rPr>
        <w:t xml:space="preserve"> to</w:t>
      </w:r>
      <w:r w:rsidR="001800F3">
        <w:rPr>
          <w:sz w:val="20"/>
        </w:rPr>
        <w:t xml:space="preserve"> the diet of </w:t>
      </w:r>
      <w:r w:rsidRPr="00981995">
        <w:rPr>
          <w:sz w:val="20"/>
        </w:rPr>
        <w:t xml:space="preserve">all infants, at 4 months with eczema and 6 months without eczema. The estimated reduction in peanut allergy </w:t>
      </w:r>
      <w:r w:rsidR="00875274">
        <w:rPr>
          <w:sz w:val="20"/>
        </w:rPr>
        <w:t>diminished</w:t>
      </w:r>
      <w:r w:rsidRPr="00981995">
        <w:rPr>
          <w:sz w:val="20"/>
        </w:rPr>
        <w:t xml:space="preserve"> with every month of delayed introduction</w:t>
      </w:r>
      <w:r w:rsidR="00D819AB">
        <w:rPr>
          <w:sz w:val="20"/>
        </w:rPr>
        <w:t>. If</w:t>
      </w:r>
      <w:r w:rsidR="000101C4">
        <w:rPr>
          <w:sz w:val="20"/>
        </w:rPr>
        <w:t xml:space="preserve"> introduction</w:t>
      </w:r>
      <w:r w:rsidRPr="00981995">
        <w:rPr>
          <w:sz w:val="20"/>
        </w:rPr>
        <w:t xml:space="preserve"> </w:t>
      </w:r>
      <w:r w:rsidR="00D819AB">
        <w:rPr>
          <w:sz w:val="20"/>
        </w:rPr>
        <w:t xml:space="preserve">was delayed </w:t>
      </w:r>
      <w:r w:rsidRPr="00981995">
        <w:rPr>
          <w:sz w:val="20"/>
        </w:rPr>
        <w:t>to 12 months</w:t>
      </w:r>
      <w:r w:rsidR="001E18DE">
        <w:rPr>
          <w:sz w:val="20"/>
        </w:rPr>
        <w:t>, peanut allergy was only reduced by 33</w:t>
      </w:r>
      <w:r w:rsidRPr="00981995">
        <w:rPr>
          <w:sz w:val="20"/>
        </w:rPr>
        <w:t>%</w:t>
      </w:r>
      <w:r w:rsidR="001E18DE">
        <w:rPr>
          <w:sz w:val="20"/>
        </w:rPr>
        <w:t xml:space="preserve">. </w:t>
      </w:r>
    </w:p>
    <w:p w14:paraId="700E91AD" w14:textId="7761F6E0" w:rsidR="00711BDD" w:rsidRPr="00981995" w:rsidRDefault="00711BDD" w:rsidP="00981995">
      <w:pPr>
        <w:spacing w:after="120" w:line="480" w:lineRule="auto"/>
        <w:rPr>
          <w:b/>
          <w:sz w:val="20"/>
        </w:rPr>
      </w:pPr>
      <w:r w:rsidRPr="00981995">
        <w:rPr>
          <w:b/>
          <w:sz w:val="20"/>
        </w:rPr>
        <w:t>Conclusion</w:t>
      </w:r>
    </w:p>
    <w:p w14:paraId="79F79986" w14:textId="16AE0A5A" w:rsidR="00711BDD" w:rsidRPr="00981995" w:rsidRDefault="00711BDD" w:rsidP="00646D57">
      <w:pPr>
        <w:spacing w:after="120" w:line="480" w:lineRule="auto"/>
        <w:rPr>
          <w:sz w:val="20"/>
        </w:rPr>
      </w:pPr>
      <w:r w:rsidRPr="00981995">
        <w:rPr>
          <w:sz w:val="20"/>
        </w:rPr>
        <w:t xml:space="preserve">The preventive benefit </w:t>
      </w:r>
      <w:r w:rsidR="00B66629">
        <w:rPr>
          <w:sz w:val="20"/>
        </w:rPr>
        <w:t xml:space="preserve">of early introduction of peanut products into the diet </w:t>
      </w:r>
      <w:r w:rsidRPr="00981995">
        <w:rPr>
          <w:sz w:val="20"/>
        </w:rPr>
        <w:t xml:space="preserve">decreases </w:t>
      </w:r>
      <w:r w:rsidR="00B66629">
        <w:rPr>
          <w:sz w:val="20"/>
        </w:rPr>
        <w:t>as age</w:t>
      </w:r>
      <w:r w:rsidR="00E74BEB">
        <w:rPr>
          <w:sz w:val="20"/>
        </w:rPr>
        <w:t xml:space="preserve"> of introduction</w:t>
      </w:r>
      <w:r w:rsidR="00B66629">
        <w:rPr>
          <w:sz w:val="20"/>
        </w:rPr>
        <w:t xml:space="preserve"> increases</w:t>
      </w:r>
      <w:r w:rsidRPr="00981995">
        <w:rPr>
          <w:sz w:val="20"/>
        </w:rPr>
        <w:t xml:space="preserve">. In countries where peanut allergy is a public health concern, </w:t>
      </w:r>
      <w:r w:rsidR="007517E1">
        <w:rPr>
          <w:sz w:val="20"/>
        </w:rPr>
        <w:t xml:space="preserve">healthcare professionals </w:t>
      </w:r>
      <w:r w:rsidRPr="00981995">
        <w:rPr>
          <w:sz w:val="20"/>
        </w:rPr>
        <w:t xml:space="preserve">should </w:t>
      </w:r>
      <w:r w:rsidR="007517E1">
        <w:rPr>
          <w:sz w:val="20"/>
        </w:rPr>
        <w:t xml:space="preserve">help parents to </w:t>
      </w:r>
      <w:r w:rsidRPr="00981995">
        <w:rPr>
          <w:sz w:val="20"/>
        </w:rPr>
        <w:t xml:space="preserve">introduce </w:t>
      </w:r>
      <w:r w:rsidR="00A804F4">
        <w:rPr>
          <w:sz w:val="20"/>
        </w:rPr>
        <w:t xml:space="preserve">peanut products </w:t>
      </w:r>
      <w:r w:rsidRPr="00981995">
        <w:rPr>
          <w:sz w:val="20"/>
        </w:rPr>
        <w:t xml:space="preserve">into their </w:t>
      </w:r>
      <w:r w:rsidR="00A804F4">
        <w:rPr>
          <w:sz w:val="20"/>
        </w:rPr>
        <w:t xml:space="preserve">infants’ </w:t>
      </w:r>
      <w:r w:rsidRPr="00981995">
        <w:rPr>
          <w:sz w:val="20"/>
        </w:rPr>
        <w:t xml:space="preserve">diet at 4-6 months of life. </w:t>
      </w:r>
    </w:p>
    <w:p w14:paraId="08EDAB94" w14:textId="77777777" w:rsidR="00931AD9" w:rsidRPr="00981995" w:rsidRDefault="00931AD9" w:rsidP="00981995">
      <w:pPr>
        <w:spacing w:line="360" w:lineRule="auto"/>
        <w:jc w:val="both"/>
        <w:rPr>
          <w:rStyle w:val="Emphasis"/>
          <w:b/>
        </w:rPr>
        <w:sectPr w:rsidR="00931AD9" w:rsidRPr="00981995" w:rsidSect="004C05AF">
          <w:footerReference w:type="default" r:id="rId12"/>
          <w:type w:val="continuous"/>
          <w:pgSz w:w="11906" w:h="16838"/>
          <w:pgMar w:top="1440" w:right="1440" w:bottom="1440" w:left="1440" w:header="708" w:footer="708" w:gutter="0"/>
          <w:lnNumType w:countBy="1" w:restart="continuous"/>
          <w:cols w:space="708"/>
          <w:docGrid w:linePitch="360"/>
        </w:sectPr>
      </w:pPr>
    </w:p>
    <w:p w14:paraId="20DC1560" w14:textId="4B2740E7" w:rsidR="00E139B3" w:rsidRPr="00CD6704" w:rsidRDefault="00E139B3" w:rsidP="00981995">
      <w:pPr>
        <w:pStyle w:val="Heading1"/>
        <w:spacing w:before="0" w:after="120" w:line="480" w:lineRule="auto"/>
        <w:contextualSpacing w:val="0"/>
        <w:rPr>
          <w:b w:val="0"/>
          <w:sz w:val="24"/>
          <w:szCs w:val="24"/>
        </w:rPr>
      </w:pPr>
      <w:r w:rsidRPr="00981995">
        <w:rPr>
          <w:caps/>
          <w:sz w:val="24"/>
          <w:szCs w:val="24"/>
        </w:rPr>
        <w:lastRenderedPageBreak/>
        <w:t>Background</w:t>
      </w:r>
      <w:r w:rsidR="00CD6704">
        <w:rPr>
          <w:caps/>
          <w:sz w:val="24"/>
          <w:szCs w:val="24"/>
        </w:rPr>
        <w:t xml:space="preserve"> </w:t>
      </w:r>
    </w:p>
    <w:p w14:paraId="362CB7BA" w14:textId="4B7FC6DC" w:rsidR="00E139B3" w:rsidRPr="00981995" w:rsidRDefault="00E139B3" w:rsidP="00981995">
      <w:pPr>
        <w:spacing w:after="120" w:line="480" w:lineRule="auto"/>
        <w:rPr>
          <w:rFonts w:eastAsiaTheme="minorEastAsia" w:cs="Times New Roman"/>
          <w:color w:val="auto"/>
          <w:sz w:val="20"/>
          <w:lang w:eastAsia="zh-CN"/>
        </w:rPr>
      </w:pPr>
      <w:r w:rsidRPr="00981995">
        <w:rPr>
          <w:rFonts w:eastAsiaTheme="minorEastAsia" w:cs="Times New Roman"/>
          <w:color w:val="auto"/>
          <w:sz w:val="20"/>
          <w:lang w:eastAsia="zh-CN"/>
        </w:rPr>
        <w:t xml:space="preserve">Peanut allergy represents an important health burden affecting </w:t>
      </w:r>
      <w:r w:rsidR="00DA6BC7" w:rsidRPr="00981995">
        <w:rPr>
          <w:rFonts w:eastAsiaTheme="minorEastAsia" w:cs="Times New Roman"/>
          <w:color w:val="auto"/>
          <w:sz w:val="20"/>
          <w:lang w:eastAsia="zh-CN"/>
        </w:rPr>
        <w:t>1-2</w:t>
      </w:r>
      <w:r w:rsidRPr="00981995">
        <w:rPr>
          <w:rFonts w:eastAsiaTheme="minorEastAsia" w:cs="Times New Roman"/>
          <w:color w:val="auto"/>
          <w:sz w:val="20"/>
          <w:lang w:eastAsia="zh-CN"/>
        </w:rPr>
        <w:t xml:space="preserve">% of </w:t>
      </w:r>
      <w:r w:rsidR="00DA6BC7" w:rsidRPr="00981995">
        <w:rPr>
          <w:rFonts w:eastAsiaTheme="minorEastAsia" w:cs="Times New Roman"/>
          <w:color w:val="auto"/>
          <w:sz w:val="20"/>
          <w:lang w:eastAsia="zh-CN"/>
        </w:rPr>
        <w:t xml:space="preserve">North American and </w:t>
      </w:r>
      <w:r w:rsidRPr="00981995">
        <w:rPr>
          <w:rFonts w:eastAsiaTheme="minorEastAsia" w:cs="Times New Roman"/>
          <w:color w:val="auto"/>
          <w:sz w:val="20"/>
          <w:lang w:eastAsia="zh-CN"/>
        </w:rPr>
        <w:t xml:space="preserve">European </w:t>
      </w:r>
      <w:r w:rsidR="00C119FF" w:rsidRPr="00981995">
        <w:rPr>
          <w:rFonts w:eastAsiaTheme="minorEastAsia" w:cs="Times New Roman"/>
          <w:color w:val="auto"/>
          <w:sz w:val="20"/>
          <w:lang w:eastAsia="zh-CN"/>
        </w:rPr>
        <w:t>children</w:t>
      </w:r>
      <w:r w:rsidR="00C119FF" w:rsidRPr="00981995">
        <w:rPr>
          <w:rFonts w:eastAsiaTheme="minorEastAsia" w:cs="Times New Roman"/>
          <w:noProof/>
          <w:color w:val="auto"/>
          <w:sz w:val="20"/>
          <w:vertAlign w:val="superscript"/>
          <w:lang w:eastAsia="zh-CN"/>
        </w:rPr>
        <w:t>1</w:t>
      </w:r>
      <w:r w:rsidRPr="00981995">
        <w:rPr>
          <w:rFonts w:eastAsiaTheme="minorEastAsia" w:cs="Times New Roman"/>
          <w:noProof/>
          <w:color w:val="auto"/>
          <w:sz w:val="20"/>
          <w:vertAlign w:val="superscript"/>
          <w:lang w:eastAsia="zh-CN"/>
        </w:rPr>
        <w:t>,2</w:t>
      </w:r>
      <w:r w:rsidRPr="00981995">
        <w:rPr>
          <w:rFonts w:eastAsiaTheme="minorEastAsia" w:cs="Times New Roman"/>
          <w:color w:val="auto"/>
          <w:sz w:val="20"/>
          <w:lang w:eastAsia="zh-CN"/>
        </w:rPr>
        <w:t xml:space="preserve"> with considerable impact on quality of life</w:t>
      </w:r>
      <w:r w:rsidR="00A13D72" w:rsidRPr="00981995">
        <w:rPr>
          <w:rFonts w:eastAsiaTheme="minorEastAsia" w:cs="Times New Roman"/>
          <w:color w:val="auto"/>
          <w:sz w:val="20"/>
          <w:lang w:eastAsia="zh-CN"/>
        </w:rPr>
        <w:t>.</w:t>
      </w:r>
      <w:r w:rsidRPr="00981995">
        <w:rPr>
          <w:rFonts w:eastAsiaTheme="minorEastAsia" w:cs="Times New Roman"/>
          <w:noProof/>
          <w:color w:val="auto"/>
          <w:sz w:val="20"/>
          <w:vertAlign w:val="superscript"/>
          <w:lang w:eastAsia="zh-CN"/>
        </w:rPr>
        <w:t>3</w:t>
      </w:r>
      <w:r w:rsidR="008F492B" w:rsidRPr="00981995">
        <w:rPr>
          <w:rFonts w:eastAsiaTheme="minorEastAsia" w:cs="Times New Roman"/>
          <w:noProof/>
          <w:color w:val="auto"/>
          <w:sz w:val="20"/>
          <w:vertAlign w:val="superscript"/>
          <w:lang w:eastAsia="zh-CN"/>
        </w:rPr>
        <w:t>-6</w:t>
      </w:r>
      <w:r w:rsidRPr="00981995">
        <w:rPr>
          <w:rFonts w:eastAsiaTheme="minorEastAsia" w:cs="Times New Roman"/>
          <w:color w:val="auto"/>
          <w:sz w:val="20"/>
          <w:lang w:eastAsia="zh-CN"/>
        </w:rPr>
        <w:t xml:space="preserve"> The Learning Early About Peanut allergy (LEAP) trial demonstrated that early introduction of peanuts in a high</w:t>
      </w:r>
      <w:r w:rsidR="001B41CB">
        <w:rPr>
          <w:rFonts w:eastAsiaTheme="minorEastAsia" w:cs="Times New Roman"/>
          <w:color w:val="auto"/>
          <w:sz w:val="20"/>
          <w:lang w:eastAsia="zh-CN"/>
        </w:rPr>
        <w:t>-</w:t>
      </w:r>
      <w:r w:rsidRPr="00981995">
        <w:rPr>
          <w:rFonts w:eastAsiaTheme="minorEastAsia" w:cs="Times New Roman"/>
          <w:color w:val="auto"/>
          <w:sz w:val="20"/>
          <w:lang w:eastAsia="zh-CN"/>
        </w:rPr>
        <w:t>risk population of infants can reduce their risk of peanut allergy at age 5 years by 81%</w:t>
      </w:r>
      <w:r w:rsidR="00A13D72" w:rsidRPr="00981995">
        <w:rPr>
          <w:rFonts w:eastAsiaTheme="minorEastAsia" w:cs="Times New Roman"/>
          <w:color w:val="auto"/>
          <w:sz w:val="20"/>
          <w:lang w:eastAsia="zh-CN"/>
        </w:rPr>
        <w:t>.</w:t>
      </w:r>
      <w:r w:rsidR="008F492B" w:rsidRPr="00981995">
        <w:rPr>
          <w:rFonts w:eastAsiaTheme="minorEastAsia" w:cs="Times New Roman"/>
          <w:noProof/>
          <w:color w:val="auto"/>
          <w:sz w:val="20"/>
          <w:vertAlign w:val="superscript"/>
          <w:lang w:eastAsia="zh-CN"/>
        </w:rPr>
        <w:t>7</w:t>
      </w:r>
      <w:r w:rsidRPr="00981995">
        <w:rPr>
          <w:rFonts w:eastAsiaTheme="minorEastAsia" w:cs="Times New Roman"/>
          <w:noProof/>
          <w:color w:val="auto"/>
          <w:sz w:val="20"/>
          <w:vertAlign w:val="superscript"/>
          <w:lang w:eastAsia="zh-CN"/>
        </w:rPr>
        <w:t>,</w:t>
      </w:r>
      <w:r w:rsidR="008F492B" w:rsidRPr="00981995">
        <w:rPr>
          <w:rFonts w:eastAsiaTheme="minorEastAsia" w:cs="Times New Roman"/>
          <w:noProof/>
          <w:color w:val="auto"/>
          <w:sz w:val="20"/>
          <w:vertAlign w:val="superscript"/>
          <w:lang w:eastAsia="zh-CN"/>
        </w:rPr>
        <w:t>8</w:t>
      </w:r>
      <w:r w:rsidRPr="00981995">
        <w:rPr>
          <w:rFonts w:eastAsiaTheme="minorEastAsia" w:cs="Times New Roman"/>
          <w:color w:val="auto"/>
          <w:sz w:val="20"/>
          <w:lang w:eastAsia="zh-CN"/>
        </w:rPr>
        <w:t xml:space="preserve"> However, it should be noted that 76 of 834 infants in the LEAP screening study could not be enrolled because they had a </w:t>
      </w:r>
      <w:r w:rsidR="00D40FAC">
        <w:rPr>
          <w:rFonts w:eastAsiaTheme="minorEastAsia" w:cs="Times New Roman"/>
          <w:color w:val="auto"/>
          <w:sz w:val="20"/>
          <w:lang w:eastAsia="zh-CN"/>
        </w:rPr>
        <w:t>skin prick test (</w:t>
      </w:r>
      <w:r w:rsidRPr="00981995">
        <w:rPr>
          <w:rFonts w:eastAsiaTheme="minorEastAsia" w:cs="Times New Roman"/>
          <w:color w:val="auto"/>
          <w:sz w:val="20"/>
          <w:lang w:eastAsia="zh-CN"/>
        </w:rPr>
        <w:t>SPT</w:t>
      </w:r>
      <w:r w:rsidR="00D40FAC">
        <w:rPr>
          <w:rFonts w:eastAsiaTheme="minorEastAsia" w:cs="Times New Roman"/>
          <w:color w:val="auto"/>
          <w:sz w:val="20"/>
          <w:lang w:eastAsia="zh-CN"/>
        </w:rPr>
        <w:t>)</w:t>
      </w:r>
      <w:r w:rsidRPr="00981995">
        <w:rPr>
          <w:rFonts w:eastAsiaTheme="minorEastAsia" w:cs="Times New Roman"/>
          <w:color w:val="auto"/>
          <w:sz w:val="20"/>
          <w:lang w:eastAsia="zh-CN"/>
        </w:rPr>
        <w:t xml:space="preserve"> &gt;4mm and therefore had likely already developed peanut allergy.</w:t>
      </w:r>
      <w:r w:rsidR="007B2EF0" w:rsidRPr="00981995">
        <w:rPr>
          <w:rFonts w:eastAsiaTheme="minorEastAsia" w:cs="Times New Roman"/>
          <w:color w:val="auto"/>
          <w:sz w:val="20"/>
          <w:vertAlign w:val="superscript"/>
          <w:lang w:eastAsia="zh-CN"/>
        </w:rPr>
        <w:t>9</w:t>
      </w:r>
    </w:p>
    <w:p w14:paraId="1C4F86B8" w14:textId="77777777" w:rsidR="00EC2BCC" w:rsidRDefault="00EC2BCC" w:rsidP="00981995">
      <w:pPr>
        <w:spacing w:after="120" w:line="480" w:lineRule="auto"/>
        <w:rPr>
          <w:rFonts w:eastAsiaTheme="minorEastAsia" w:cs="Times New Roman"/>
          <w:color w:val="auto"/>
          <w:sz w:val="20"/>
          <w:lang w:eastAsia="zh-CN"/>
        </w:rPr>
      </w:pPr>
    </w:p>
    <w:p w14:paraId="41AF36D9" w14:textId="21C2E6B6" w:rsidR="00333D68" w:rsidRDefault="00E139B3" w:rsidP="00196B10">
      <w:pPr>
        <w:spacing w:after="120" w:line="480" w:lineRule="auto"/>
        <w:rPr>
          <w:rFonts w:eastAsiaTheme="minorEastAsia" w:cs="Times New Roman"/>
          <w:color w:val="auto"/>
          <w:sz w:val="20"/>
          <w:lang w:eastAsia="zh-CN"/>
        </w:rPr>
      </w:pPr>
      <w:r w:rsidRPr="00981995">
        <w:rPr>
          <w:rFonts w:eastAsiaTheme="minorEastAsia" w:cs="Times New Roman"/>
          <w:color w:val="auto"/>
          <w:sz w:val="20"/>
          <w:lang w:eastAsia="zh-CN"/>
        </w:rPr>
        <w:t xml:space="preserve">The 2017 National Institute of Allergy and Infectious Diseases (NIAID) sponsored </w:t>
      </w:r>
      <w:r w:rsidR="00CE7738">
        <w:rPr>
          <w:rFonts w:eastAsiaTheme="minorEastAsia" w:cs="Times New Roman"/>
          <w:color w:val="auto"/>
          <w:sz w:val="20"/>
          <w:lang w:eastAsia="zh-CN"/>
        </w:rPr>
        <w:t xml:space="preserve">prevention </w:t>
      </w:r>
      <w:r w:rsidRPr="00981995">
        <w:rPr>
          <w:rFonts w:eastAsiaTheme="minorEastAsia" w:cs="Times New Roman"/>
          <w:color w:val="auto"/>
          <w:sz w:val="20"/>
          <w:lang w:eastAsia="zh-CN"/>
        </w:rPr>
        <w:t>guideline advocate</w:t>
      </w:r>
      <w:r w:rsidR="00880E9D">
        <w:rPr>
          <w:rFonts w:eastAsiaTheme="minorEastAsia" w:cs="Times New Roman"/>
          <w:color w:val="auto"/>
          <w:sz w:val="20"/>
          <w:lang w:eastAsia="zh-CN"/>
        </w:rPr>
        <w:t>d</w:t>
      </w:r>
      <w:r w:rsidRPr="00981995">
        <w:rPr>
          <w:rFonts w:eastAsiaTheme="minorEastAsia" w:cs="Times New Roman"/>
          <w:color w:val="auto"/>
          <w:sz w:val="20"/>
          <w:lang w:eastAsia="zh-CN"/>
        </w:rPr>
        <w:t xml:space="preserve"> introducing peanuts into the infant diet at 4-6 months for those with severe eczema or egg allergy, around 6 months for those with mild-to-moderate eczema and at an age appropriate time in accordance with family preferences and cultural practices for other infants.</w:t>
      </w:r>
      <w:r w:rsidR="007B2EF0" w:rsidRPr="00981995">
        <w:rPr>
          <w:rFonts w:eastAsiaTheme="minorEastAsia" w:cs="Times New Roman"/>
          <w:color w:val="auto"/>
          <w:sz w:val="20"/>
          <w:vertAlign w:val="superscript"/>
          <w:lang w:eastAsia="zh-CN"/>
        </w:rPr>
        <w:t>10</w:t>
      </w:r>
      <w:r w:rsidRPr="00981995">
        <w:rPr>
          <w:rFonts w:eastAsiaTheme="minorEastAsia" w:cs="Times New Roman"/>
          <w:color w:val="auto"/>
          <w:sz w:val="20"/>
          <w:lang w:eastAsia="zh-CN"/>
        </w:rPr>
        <w:t xml:space="preserve">  However, these recommendations were based on expert opinion, extrapolating from a high risk population.</w:t>
      </w:r>
      <w:r w:rsidR="007B2EF0" w:rsidRPr="00981995">
        <w:rPr>
          <w:rFonts w:eastAsiaTheme="minorEastAsia" w:cs="Times New Roman"/>
          <w:color w:val="auto"/>
          <w:sz w:val="20"/>
          <w:vertAlign w:val="superscript"/>
          <w:lang w:eastAsia="zh-CN"/>
        </w:rPr>
        <w:t>11</w:t>
      </w:r>
      <w:r w:rsidRPr="00981995">
        <w:rPr>
          <w:rFonts w:eastAsiaTheme="minorEastAsia" w:cs="Times New Roman"/>
          <w:color w:val="auto"/>
          <w:sz w:val="20"/>
          <w:lang w:eastAsia="zh-CN"/>
        </w:rPr>
        <w:t xml:space="preserve"> </w:t>
      </w:r>
      <w:r w:rsidR="00EB7D6E">
        <w:rPr>
          <w:rFonts w:eastAsiaTheme="minorEastAsia" w:cs="Times New Roman"/>
          <w:color w:val="auto"/>
          <w:sz w:val="20"/>
          <w:lang w:eastAsia="zh-CN"/>
        </w:rPr>
        <w:t>More recently, t</w:t>
      </w:r>
      <w:r w:rsidR="00CE7738">
        <w:rPr>
          <w:rFonts w:eastAsiaTheme="minorEastAsia" w:cs="Times New Roman"/>
          <w:color w:val="auto"/>
          <w:sz w:val="20"/>
          <w:lang w:eastAsia="zh-CN"/>
        </w:rPr>
        <w:t xml:space="preserve">he 2021 European Academy of Allergy and Clinical Immunology </w:t>
      </w:r>
      <w:r w:rsidR="00795BD8">
        <w:rPr>
          <w:rFonts w:eastAsiaTheme="minorEastAsia" w:cs="Times New Roman"/>
          <w:color w:val="auto"/>
          <w:sz w:val="20"/>
          <w:lang w:eastAsia="zh-CN"/>
        </w:rPr>
        <w:t xml:space="preserve">(EAACI) </w:t>
      </w:r>
      <w:r w:rsidR="00CE7738">
        <w:rPr>
          <w:rFonts w:eastAsiaTheme="minorEastAsia" w:cs="Times New Roman"/>
          <w:color w:val="auto"/>
          <w:sz w:val="20"/>
          <w:lang w:eastAsia="zh-CN"/>
        </w:rPr>
        <w:t xml:space="preserve">prevention </w:t>
      </w:r>
      <w:r w:rsidR="006036D8">
        <w:rPr>
          <w:rFonts w:eastAsiaTheme="minorEastAsia" w:cs="Times New Roman"/>
          <w:color w:val="auto"/>
          <w:sz w:val="20"/>
          <w:lang w:eastAsia="zh-CN"/>
        </w:rPr>
        <w:t>guideline</w:t>
      </w:r>
      <w:r w:rsidR="00CE7738">
        <w:rPr>
          <w:rFonts w:eastAsiaTheme="minorEastAsia" w:cs="Times New Roman"/>
          <w:color w:val="auto"/>
          <w:sz w:val="20"/>
          <w:lang w:eastAsia="zh-CN"/>
        </w:rPr>
        <w:t xml:space="preserve"> suggest </w:t>
      </w:r>
      <w:r w:rsidR="00CE7738" w:rsidRPr="00CE7738">
        <w:rPr>
          <w:rFonts w:eastAsiaTheme="minorEastAsia" w:cs="Times New Roman"/>
          <w:color w:val="auto"/>
          <w:sz w:val="20"/>
          <w:lang w:eastAsia="zh-CN"/>
        </w:rPr>
        <w:t>introducing peanuts into</w:t>
      </w:r>
      <w:r w:rsidR="00CE7738">
        <w:rPr>
          <w:rFonts w:eastAsiaTheme="minorEastAsia" w:cs="Times New Roman"/>
          <w:color w:val="auto"/>
          <w:sz w:val="20"/>
          <w:lang w:eastAsia="zh-CN"/>
        </w:rPr>
        <w:t xml:space="preserve"> </w:t>
      </w:r>
      <w:r w:rsidR="00CE7738" w:rsidRPr="00CE7738">
        <w:rPr>
          <w:rFonts w:eastAsiaTheme="minorEastAsia" w:cs="Times New Roman"/>
          <w:color w:val="auto"/>
          <w:sz w:val="20"/>
          <w:lang w:eastAsia="zh-CN"/>
        </w:rPr>
        <w:t xml:space="preserve">the infant diet </w:t>
      </w:r>
      <w:r w:rsidR="00795BD8">
        <w:rPr>
          <w:rFonts w:eastAsiaTheme="minorEastAsia" w:cs="Times New Roman"/>
          <w:color w:val="auto"/>
          <w:sz w:val="20"/>
          <w:lang w:eastAsia="zh-CN"/>
        </w:rPr>
        <w:t>at 4-6 month</w:t>
      </w:r>
      <w:r w:rsidR="00CE7738" w:rsidRPr="00CE7738">
        <w:rPr>
          <w:rFonts w:eastAsiaTheme="minorEastAsia" w:cs="Times New Roman"/>
          <w:color w:val="auto"/>
          <w:sz w:val="20"/>
          <w:lang w:eastAsia="zh-CN"/>
        </w:rPr>
        <w:t xml:space="preserve"> </w:t>
      </w:r>
      <w:r w:rsidR="00CE7738">
        <w:rPr>
          <w:rFonts w:eastAsiaTheme="minorEastAsia" w:cs="Times New Roman"/>
          <w:color w:val="auto"/>
          <w:sz w:val="20"/>
          <w:lang w:eastAsia="zh-CN"/>
        </w:rPr>
        <w:t>in</w:t>
      </w:r>
      <w:r w:rsidR="00CE7738" w:rsidRPr="00CE7738">
        <w:rPr>
          <w:rFonts w:eastAsiaTheme="minorEastAsia" w:cs="Times New Roman"/>
          <w:color w:val="auto"/>
          <w:sz w:val="20"/>
          <w:lang w:eastAsia="zh-CN"/>
        </w:rPr>
        <w:t xml:space="preserve"> populations where there is a high prevalence of peanut allergy.</w:t>
      </w:r>
      <w:r w:rsidR="000E712E">
        <w:rPr>
          <w:rFonts w:eastAsiaTheme="minorEastAsia" w:cs="Times New Roman"/>
          <w:color w:val="auto"/>
          <w:sz w:val="20"/>
          <w:vertAlign w:val="superscript"/>
          <w:lang w:eastAsia="zh-CN"/>
        </w:rPr>
        <w:t>12</w:t>
      </w:r>
      <w:r w:rsidR="000E712E">
        <w:rPr>
          <w:rFonts w:eastAsiaTheme="minorEastAsia" w:cs="Times New Roman"/>
          <w:color w:val="auto"/>
          <w:sz w:val="20"/>
          <w:lang w:eastAsia="zh-CN"/>
        </w:rPr>
        <w:t xml:space="preserve"> </w:t>
      </w:r>
      <w:r w:rsidR="00EB7D6E">
        <w:rPr>
          <w:rFonts w:eastAsiaTheme="minorEastAsia" w:cs="Times New Roman"/>
          <w:color w:val="auto"/>
          <w:sz w:val="20"/>
          <w:lang w:eastAsia="zh-CN"/>
        </w:rPr>
        <w:t>T</w:t>
      </w:r>
      <w:r w:rsidR="00795BD8">
        <w:rPr>
          <w:rFonts w:eastAsiaTheme="minorEastAsia" w:cs="Times New Roman"/>
          <w:color w:val="auto"/>
          <w:sz w:val="20"/>
          <w:lang w:eastAsia="zh-CN"/>
        </w:rPr>
        <w:t>he EAACI</w:t>
      </w:r>
      <w:r w:rsidR="00EB7D6E">
        <w:rPr>
          <w:rFonts w:eastAsiaTheme="minorEastAsia" w:cs="Times New Roman"/>
          <w:color w:val="auto"/>
          <w:sz w:val="20"/>
          <w:lang w:eastAsia="zh-CN"/>
        </w:rPr>
        <w:t xml:space="preserve"> guideline </w:t>
      </w:r>
      <w:r w:rsidR="006036D8">
        <w:rPr>
          <w:rFonts w:eastAsiaTheme="minorEastAsia" w:cs="Times New Roman"/>
          <w:color w:val="auto"/>
          <w:sz w:val="20"/>
          <w:lang w:eastAsia="zh-CN"/>
        </w:rPr>
        <w:t xml:space="preserve">also highlighted that understanding the effectiveness of the early introduction of peanut products across </w:t>
      </w:r>
      <w:r w:rsidR="00636518">
        <w:rPr>
          <w:rFonts w:eastAsiaTheme="minorEastAsia" w:cs="Times New Roman"/>
          <w:color w:val="auto"/>
          <w:sz w:val="20"/>
          <w:lang w:eastAsia="zh-CN"/>
        </w:rPr>
        <w:t>the</w:t>
      </w:r>
      <w:r w:rsidR="00E74BEB">
        <w:rPr>
          <w:rFonts w:eastAsiaTheme="minorEastAsia" w:cs="Times New Roman"/>
          <w:color w:val="auto"/>
          <w:sz w:val="20"/>
          <w:lang w:eastAsia="zh-CN"/>
        </w:rPr>
        <w:t xml:space="preserve"> </w:t>
      </w:r>
      <w:r w:rsidR="00F94026">
        <w:rPr>
          <w:rFonts w:eastAsiaTheme="minorEastAsia" w:cs="Times New Roman"/>
          <w:color w:val="auto"/>
          <w:sz w:val="20"/>
          <w:lang w:eastAsia="zh-CN"/>
        </w:rPr>
        <w:t>whole</w:t>
      </w:r>
      <w:r w:rsidR="00636518">
        <w:rPr>
          <w:rFonts w:eastAsiaTheme="minorEastAsia" w:cs="Times New Roman"/>
          <w:color w:val="auto"/>
          <w:sz w:val="20"/>
          <w:lang w:eastAsia="zh-CN"/>
        </w:rPr>
        <w:t xml:space="preserve"> population</w:t>
      </w:r>
      <w:r w:rsidR="006036D8">
        <w:rPr>
          <w:rFonts w:eastAsiaTheme="minorEastAsia" w:cs="Times New Roman"/>
          <w:color w:val="auto"/>
          <w:sz w:val="20"/>
          <w:lang w:eastAsia="zh-CN"/>
        </w:rPr>
        <w:t xml:space="preserve"> is a high priority gap in our evidence base.</w:t>
      </w:r>
      <w:r w:rsidR="00767EF1">
        <w:rPr>
          <w:rFonts w:eastAsiaTheme="minorEastAsia" w:cs="Times New Roman"/>
          <w:color w:val="auto"/>
          <w:sz w:val="20"/>
          <w:lang w:eastAsia="zh-CN"/>
        </w:rPr>
        <w:t xml:space="preserve">  </w:t>
      </w:r>
      <w:r w:rsidR="004A7ABD">
        <w:rPr>
          <w:rFonts w:eastAsiaTheme="minorEastAsia" w:cs="Times New Roman"/>
          <w:color w:val="auto"/>
          <w:sz w:val="20"/>
          <w:lang w:eastAsia="zh-CN"/>
        </w:rPr>
        <w:t>Moreover, it should be noted that since the change in Australian guidelines</w:t>
      </w:r>
      <w:r w:rsidR="005E1308">
        <w:rPr>
          <w:rFonts w:eastAsiaTheme="minorEastAsia" w:cs="Times New Roman"/>
          <w:color w:val="auto"/>
          <w:sz w:val="20"/>
          <w:lang w:eastAsia="zh-CN"/>
        </w:rPr>
        <w:t xml:space="preserve"> in 2016</w:t>
      </w:r>
      <w:r w:rsidR="004A7ABD">
        <w:rPr>
          <w:rFonts w:eastAsiaTheme="minorEastAsia" w:cs="Times New Roman"/>
          <w:color w:val="auto"/>
          <w:sz w:val="20"/>
          <w:lang w:eastAsia="zh-CN"/>
        </w:rPr>
        <w:t xml:space="preserve">, consumption of peanut during the first year of life increased from </w:t>
      </w:r>
      <w:r w:rsidR="005E1308">
        <w:rPr>
          <w:rFonts w:eastAsiaTheme="minorEastAsia" w:cs="Times New Roman"/>
          <w:color w:val="auto"/>
          <w:sz w:val="20"/>
          <w:lang w:eastAsia="zh-CN"/>
        </w:rPr>
        <w:t>28.4</w:t>
      </w:r>
      <w:r w:rsidR="004A7ABD">
        <w:rPr>
          <w:rFonts w:eastAsiaTheme="minorEastAsia" w:cs="Times New Roman"/>
          <w:color w:val="auto"/>
          <w:sz w:val="20"/>
          <w:lang w:eastAsia="zh-CN"/>
        </w:rPr>
        <w:t xml:space="preserve">% </w:t>
      </w:r>
      <w:r w:rsidR="005E1308">
        <w:rPr>
          <w:rFonts w:eastAsiaTheme="minorEastAsia" w:cs="Times New Roman"/>
          <w:color w:val="auto"/>
          <w:sz w:val="20"/>
          <w:lang w:eastAsia="zh-CN"/>
        </w:rPr>
        <w:t xml:space="preserve">before </w:t>
      </w:r>
      <w:r w:rsidR="008E2122">
        <w:rPr>
          <w:rFonts w:eastAsiaTheme="minorEastAsia" w:cs="Times New Roman"/>
          <w:color w:val="auto"/>
          <w:sz w:val="20"/>
          <w:lang w:eastAsia="zh-CN"/>
        </w:rPr>
        <w:t xml:space="preserve">the </w:t>
      </w:r>
      <w:r w:rsidR="005E1308">
        <w:rPr>
          <w:rFonts w:eastAsiaTheme="minorEastAsia" w:cs="Times New Roman"/>
          <w:color w:val="auto"/>
          <w:sz w:val="20"/>
          <w:lang w:eastAsia="zh-CN"/>
        </w:rPr>
        <w:t xml:space="preserve">guidelines (2007-2011) </w:t>
      </w:r>
      <w:r w:rsidR="004A7ABD">
        <w:rPr>
          <w:rFonts w:eastAsiaTheme="minorEastAsia" w:cs="Times New Roman"/>
          <w:color w:val="auto"/>
          <w:sz w:val="20"/>
          <w:lang w:eastAsia="zh-CN"/>
        </w:rPr>
        <w:t>to</w:t>
      </w:r>
      <w:r w:rsidR="005E1308">
        <w:rPr>
          <w:rFonts w:eastAsiaTheme="minorEastAsia" w:cs="Times New Roman"/>
          <w:color w:val="auto"/>
          <w:sz w:val="20"/>
          <w:lang w:eastAsia="zh-CN"/>
        </w:rPr>
        <w:t xml:space="preserve"> 88.6</w:t>
      </w:r>
      <w:r w:rsidR="004A7ABD">
        <w:rPr>
          <w:rFonts w:eastAsiaTheme="minorEastAsia" w:cs="Times New Roman"/>
          <w:color w:val="auto"/>
          <w:sz w:val="20"/>
          <w:lang w:eastAsia="zh-CN"/>
        </w:rPr>
        <w:t xml:space="preserve">% </w:t>
      </w:r>
      <w:r w:rsidR="005E1308">
        <w:rPr>
          <w:rFonts w:eastAsiaTheme="minorEastAsia" w:cs="Times New Roman"/>
          <w:color w:val="auto"/>
          <w:sz w:val="20"/>
          <w:lang w:eastAsia="zh-CN"/>
        </w:rPr>
        <w:t>after the implementation of the guidelines (2016-2018)</w:t>
      </w:r>
      <w:r w:rsidR="004A7ABD">
        <w:rPr>
          <w:rFonts w:eastAsiaTheme="minorEastAsia" w:cs="Times New Roman"/>
          <w:color w:val="auto"/>
          <w:sz w:val="20"/>
          <w:lang w:eastAsia="zh-CN"/>
        </w:rPr>
        <w:t>.</w:t>
      </w:r>
      <w:r w:rsidR="005F2413" w:rsidRPr="00196B10">
        <w:rPr>
          <w:rFonts w:eastAsiaTheme="minorEastAsia" w:cs="Times New Roman"/>
          <w:color w:val="auto"/>
          <w:sz w:val="20"/>
          <w:vertAlign w:val="superscript"/>
          <w:lang w:eastAsia="zh-CN"/>
        </w:rPr>
        <w:t>13</w:t>
      </w:r>
      <w:r w:rsidR="004A7ABD">
        <w:rPr>
          <w:rFonts w:eastAsiaTheme="minorEastAsia" w:cs="Times New Roman"/>
          <w:color w:val="auto"/>
          <w:sz w:val="20"/>
          <w:lang w:eastAsia="zh-CN"/>
        </w:rPr>
        <w:t xml:space="preserve">  Despite this </w:t>
      </w:r>
      <w:r w:rsidR="005E1308">
        <w:rPr>
          <w:rFonts w:eastAsiaTheme="minorEastAsia" w:cs="Times New Roman"/>
          <w:color w:val="auto"/>
          <w:sz w:val="20"/>
          <w:lang w:eastAsia="zh-CN"/>
        </w:rPr>
        <w:t xml:space="preserve">change, </w:t>
      </w:r>
      <w:r w:rsidR="004A7ABD">
        <w:rPr>
          <w:rFonts w:eastAsiaTheme="minorEastAsia" w:cs="Times New Roman"/>
          <w:color w:val="auto"/>
          <w:sz w:val="20"/>
          <w:lang w:eastAsia="zh-CN"/>
        </w:rPr>
        <w:t xml:space="preserve">a recent publication shows no decline </w:t>
      </w:r>
      <w:r w:rsidR="008E2122">
        <w:rPr>
          <w:rFonts w:eastAsiaTheme="minorEastAsia" w:cs="Times New Roman"/>
          <w:color w:val="auto"/>
          <w:sz w:val="20"/>
          <w:lang w:eastAsia="zh-CN"/>
        </w:rPr>
        <w:t xml:space="preserve">in the observed </w:t>
      </w:r>
      <w:r w:rsidR="004A7ABD">
        <w:rPr>
          <w:rFonts w:eastAsiaTheme="minorEastAsia" w:cs="Times New Roman"/>
          <w:color w:val="auto"/>
          <w:sz w:val="20"/>
          <w:lang w:eastAsia="zh-CN"/>
        </w:rPr>
        <w:t>prevalence of peanut allergy in Australia</w:t>
      </w:r>
      <w:r w:rsidR="008E2122">
        <w:rPr>
          <w:rFonts w:eastAsiaTheme="minorEastAsia" w:cs="Times New Roman"/>
          <w:color w:val="auto"/>
          <w:sz w:val="20"/>
          <w:lang w:eastAsia="zh-CN"/>
        </w:rPr>
        <w:t xml:space="preserve"> in 2020, which remained </w:t>
      </w:r>
      <w:r w:rsidR="00767EF1">
        <w:rPr>
          <w:rFonts w:eastAsiaTheme="minorEastAsia" w:cs="Times New Roman"/>
          <w:color w:val="auto"/>
          <w:sz w:val="20"/>
          <w:lang w:eastAsia="zh-CN"/>
        </w:rPr>
        <w:t xml:space="preserve">stable </w:t>
      </w:r>
      <w:r w:rsidR="008E2122">
        <w:rPr>
          <w:rFonts w:eastAsiaTheme="minorEastAsia" w:cs="Times New Roman"/>
          <w:color w:val="auto"/>
          <w:sz w:val="20"/>
          <w:lang w:eastAsia="zh-CN"/>
        </w:rPr>
        <w:t>at 3</w:t>
      </w:r>
      <w:r w:rsidR="00ED334E">
        <w:rPr>
          <w:rFonts w:eastAsiaTheme="minorEastAsia" w:cs="Times New Roman"/>
          <w:color w:val="auto"/>
          <w:sz w:val="20"/>
          <w:lang w:eastAsia="zh-CN"/>
        </w:rPr>
        <w:t>.1</w:t>
      </w:r>
      <w:r w:rsidR="008E2122">
        <w:rPr>
          <w:rFonts w:eastAsiaTheme="minorEastAsia" w:cs="Times New Roman"/>
          <w:color w:val="auto"/>
          <w:sz w:val="20"/>
          <w:lang w:eastAsia="zh-CN"/>
        </w:rPr>
        <w:t>%</w:t>
      </w:r>
      <w:r w:rsidR="004A7ABD" w:rsidRPr="00196B10">
        <w:rPr>
          <w:rFonts w:eastAsiaTheme="minorEastAsia" w:cs="Times New Roman"/>
          <w:color w:val="auto"/>
          <w:sz w:val="20"/>
          <w:lang w:eastAsia="zh-CN"/>
        </w:rPr>
        <w:t>.</w:t>
      </w:r>
      <w:r w:rsidR="00274ECD" w:rsidRPr="00196B10">
        <w:rPr>
          <w:rFonts w:eastAsiaTheme="minorEastAsia" w:cs="Times New Roman"/>
          <w:color w:val="auto"/>
          <w:sz w:val="20"/>
          <w:vertAlign w:val="superscript"/>
          <w:lang w:eastAsia="zh-CN"/>
        </w:rPr>
        <w:t>14</w:t>
      </w:r>
      <w:r w:rsidR="004A7ABD">
        <w:rPr>
          <w:rFonts w:eastAsiaTheme="minorEastAsia" w:cs="Times New Roman"/>
          <w:color w:val="auto"/>
          <w:sz w:val="20"/>
          <w:lang w:eastAsia="zh-CN"/>
        </w:rPr>
        <w:t xml:space="preserve">  </w:t>
      </w:r>
    </w:p>
    <w:p w14:paraId="17D405FE" w14:textId="0EF46C04" w:rsidR="00E139B3" w:rsidRPr="00981995" w:rsidRDefault="00E139B3" w:rsidP="00981995">
      <w:pPr>
        <w:spacing w:line="480" w:lineRule="auto"/>
        <w:rPr>
          <w:sz w:val="20"/>
        </w:rPr>
      </w:pPr>
      <w:r w:rsidRPr="00981995">
        <w:rPr>
          <w:rFonts w:eastAsiaTheme="minorEastAsia" w:cs="Times New Roman"/>
          <w:color w:val="auto"/>
          <w:sz w:val="20"/>
          <w:lang w:eastAsia="zh-CN"/>
        </w:rPr>
        <w:t>T</w:t>
      </w:r>
      <w:r w:rsidRPr="00981995">
        <w:rPr>
          <w:sz w:val="20"/>
          <w:lang w:eastAsia="zh-CN"/>
        </w:rPr>
        <w:t>his paper details an analysis that aimed to assess the impact of the early introduction of peanut into the infant diet on the prevention of peanut allergy across the whole population</w:t>
      </w:r>
      <w:r w:rsidR="004A7ABD">
        <w:rPr>
          <w:sz w:val="20"/>
          <w:lang w:eastAsia="zh-CN"/>
        </w:rPr>
        <w:t xml:space="preserve"> and may partially explain why the rate of peanut allergy in Australia has not decreased</w:t>
      </w:r>
      <w:r w:rsidRPr="00981995">
        <w:rPr>
          <w:sz w:val="20"/>
          <w:lang w:eastAsia="zh-CN"/>
        </w:rPr>
        <w:t>.  Firstly, we assessed which readily identifiable factors were associated with developing peanut allergy in the first year of life. Different risk profiles may limit the effectiveness of the intervention by narrowing the window of opportunity in which peanut allergy can be prevented.</w:t>
      </w:r>
      <w:r w:rsidR="007B2EF0" w:rsidRPr="00981995">
        <w:rPr>
          <w:sz w:val="20"/>
          <w:vertAlign w:val="superscript"/>
          <w:lang w:eastAsia="zh-CN"/>
        </w:rPr>
        <w:t>8</w:t>
      </w:r>
      <w:r w:rsidRPr="00981995">
        <w:rPr>
          <w:sz w:val="20"/>
          <w:lang w:eastAsia="zh-CN"/>
        </w:rPr>
        <w:t xml:space="preserve"> </w:t>
      </w:r>
      <w:r w:rsidR="00C32463" w:rsidRPr="00981995">
        <w:rPr>
          <w:sz w:val="20"/>
          <w:lang w:eastAsia="zh-CN"/>
        </w:rPr>
        <w:t xml:space="preserve">  </w:t>
      </w:r>
      <w:r w:rsidRPr="00981995">
        <w:rPr>
          <w:sz w:val="20"/>
          <w:lang w:eastAsia="zh-CN"/>
        </w:rPr>
        <w:t xml:space="preserve">Secondly, we modeled the relative reduction in peanut allergy that is likely to occur at 5 years of life </w:t>
      </w:r>
      <w:r w:rsidR="00C119FF" w:rsidRPr="00981995">
        <w:rPr>
          <w:sz w:val="20"/>
          <w:lang w:eastAsia="zh-CN"/>
        </w:rPr>
        <w:t xml:space="preserve">depending </w:t>
      </w:r>
      <w:r w:rsidRPr="00981995">
        <w:rPr>
          <w:sz w:val="20"/>
          <w:lang w:eastAsia="zh-CN"/>
        </w:rPr>
        <w:t>on when peanut is introduced into the diet in the whole population.</w:t>
      </w:r>
      <w:r w:rsidR="007B2EF0" w:rsidRPr="00981995">
        <w:rPr>
          <w:sz w:val="20"/>
          <w:vertAlign w:val="superscript"/>
          <w:lang w:eastAsia="zh-CN"/>
        </w:rPr>
        <w:t>1</w:t>
      </w:r>
      <w:r w:rsidR="00AE6047">
        <w:rPr>
          <w:sz w:val="20"/>
          <w:vertAlign w:val="superscript"/>
          <w:lang w:eastAsia="zh-CN"/>
        </w:rPr>
        <w:t>5</w:t>
      </w:r>
      <w:r w:rsidRPr="00981995">
        <w:rPr>
          <w:sz w:val="20"/>
          <w:lang w:eastAsia="zh-CN"/>
        </w:rPr>
        <w:t xml:space="preserve"> We assume that the prevalence of peanut allergy in the EAT trial at age 3 years is </w:t>
      </w:r>
      <w:r w:rsidR="009938DF">
        <w:rPr>
          <w:sz w:val="20"/>
          <w:lang w:eastAsia="zh-CN"/>
        </w:rPr>
        <w:t xml:space="preserve">a </w:t>
      </w:r>
      <w:r w:rsidRPr="00981995">
        <w:rPr>
          <w:sz w:val="20"/>
          <w:lang w:eastAsia="zh-CN"/>
        </w:rPr>
        <w:t xml:space="preserve">predictive </w:t>
      </w:r>
      <w:r w:rsidR="009938DF">
        <w:rPr>
          <w:sz w:val="20"/>
          <w:lang w:eastAsia="zh-CN"/>
        </w:rPr>
        <w:t xml:space="preserve">surrogate of peanut allergy </w:t>
      </w:r>
      <w:r w:rsidRPr="00981995">
        <w:rPr>
          <w:sz w:val="20"/>
          <w:lang w:eastAsia="zh-CN"/>
        </w:rPr>
        <w:t xml:space="preserve">at 5 years. This modeled approach provides an assessment </w:t>
      </w:r>
      <w:r w:rsidRPr="00981995">
        <w:rPr>
          <w:sz w:val="20"/>
          <w:lang w:eastAsia="zh-CN"/>
        </w:rPr>
        <w:lastRenderedPageBreak/>
        <w:t xml:space="preserve">of the intervention’s effectiveness across a whole population and across different risk strata </w:t>
      </w:r>
      <w:r w:rsidR="004E6913" w:rsidRPr="00981995">
        <w:rPr>
          <w:sz w:val="20"/>
          <w:lang w:eastAsia="zh-CN"/>
        </w:rPr>
        <w:t xml:space="preserve">according to </w:t>
      </w:r>
      <w:r w:rsidRPr="00981995">
        <w:rPr>
          <w:sz w:val="20"/>
          <w:lang w:eastAsia="zh-CN"/>
        </w:rPr>
        <w:t>the month of life that peanut is introduced into an infant’s diet.</w:t>
      </w:r>
    </w:p>
    <w:p w14:paraId="020529C4" w14:textId="77777777" w:rsidR="00E139B3" w:rsidRPr="00981995" w:rsidRDefault="00E139B3">
      <w:pPr>
        <w:pStyle w:val="Heading1"/>
        <w:spacing w:before="0" w:after="120" w:line="360" w:lineRule="auto"/>
        <w:contextualSpacing w:val="0"/>
        <w:rPr>
          <w:caps/>
        </w:rPr>
      </w:pPr>
      <w:r w:rsidRPr="00981995">
        <w:rPr>
          <w:caps/>
        </w:rPr>
        <w:br w:type="page"/>
      </w:r>
    </w:p>
    <w:p w14:paraId="1B1FEDA4" w14:textId="427CA6A6" w:rsidR="00E139B3" w:rsidRPr="006E1BC8" w:rsidRDefault="00E139B3" w:rsidP="00B51474">
      <w:pPr>
        <w:pStyle w:val="Heading1"/>
        <w:spacing w:before="0" w:after="120" w:line="360" w:lineRule="auto"/>
        <w:contextualSpacing w:val="0"/>
        <w:rPr>
          <w:color w:val="FF0000"/>
          <w:sz w:val="24"/>
          <w:szCs w:val="24"/>
        </w:rPr>
      </w:pPr>
      <w:r w:rsidRPr="00981995">
        <w:rPr>
          <w:caps/>
          <w:sz w:val="24"/>
          <w:szCs w:val="24"/>
        </w:rPr>
        <w:lastRenderedPageBreak/>
        <w:t>Methods</w:t>
      </w:r>
      <w:r w:rsidR="00CD6704">
        <w:rPr>
          <w:caps/>
          <w:sz w:val="24"/>
          <w:szCs w:val="24"/>
        </w:rPr>
        <w:t xml:space="preserve"> </w:t>
      </w:r>
    </w:p>
    <w:p w14:paraId="32EC7137" w14:textId="77777777" w:rsidR="00E139B3" w:rsidRPr="00981995" w:rsidRDefault="00E139B3" w:rsidP="00981995">
      <w:pPr>
        <w:pStyle w:val="Heading2"/>
        <w:spacing w:before="0" w:after="120" w:line="480" w:lineRule="auto"/>
        <w:contextualSpacing w:val="0"/>
        <w:rPr>
          <w:sz w:val="20"/>
          <w:u w:val="none"/>
        </w:rPr>
      </w:pPr>
      <w:r w:rsidRPr="00981995">
        <w:rPr>
          <w:sz w:val="20"/>
          <w:u w:val="none"/>
        </w:rPr>
        <w:t>Study design</w:t>
      </w:r>
    </w:p>
    <w:p w14:paraId="33C02425" w14:textId="3DC8AE7D" w:rsidR="00E139B3" w:rsidRPr="00981995" w:rsidRDefault="00E139B3" w:rsidP="00981995">
      <w:pPr>
        <w:spacing w:after="120" w:line="480" w:lineRule="auto"/>
        <w:rPr>
          <w:rFonts w:eastAsia="Times New Roman" w:cs="Times New Roman"/>
          <w:sz w:val="20"/>
        </w:rPr>
      </w:pPr>
      <w:r w:rsidRPr="00981995">
        <w:rPr>
          <w:rFonts w:eastAsia="Times New Roman" w:cs="Times New Roman"/>
          <w:sz w:val="20"/>
        </w:rPr>
        <w:t>This study utilized published data from the LEAP screening study,</w:t>
      </w:r>
      <w:r w:rsidR="007B2EF0" w:rsidRPr="00981995">
        <w:rPr>
          <w:rFonts w:eastAsia="Times New Roman" w:cs="Times New Roman"/>
          <w:sz w:val="20"/>
          <w:vertAlign w:val="superscript"/>
        </w:rPr>
        <w:t>9</w:t>
      </w:r>
      <w:r w:rsidRPr="00981995">
        <w:rPr>
          <w:rFonts w:eastAsia="Times New Roman" w:cs="Times New Roman"/>
          <w:sz w:val="20"/>
        </w:rPr>
        <w:t xml:space="preserve"> published and unpublished data from the LEAP </w:t>
      </w:r>
      <w:r w:rsidR="00333D68">
        <w:rPr>
          <w:rFonts w:eastAsia="Times New Roman" w:cs="Times New Roman"/>
          <w:sz w:val="20"/>
        </w:rPr>
        <w:t xml:space="preserve">randomized controlled </w:t>
      </w:r>
      <w:r w:rsidRPr="00981995">
        <w:rPr>
          <w:rFonts w:eastAsia="Times New Roman" w:cs="Times New Roman"/>
          <w:sz w:val="20"/>
        </w:rPr>
        <w:t>prevention trial,</w:t>
      </w:r>
      <w:r w:rsidR="007B2EF0" w:rsidRPr="00981995">
        <w:rPr>
          <w:rFonts w:eastAsia="Times New Roman" w:cs="Times New Roman"/>
          <w:sz w:val="20"/>
          <w:vertAlign w:val="superscript"/>
        </w:rPr>
        <w:t>7</w:t>
      </w:r>
      <w:r w:rsidRPr="00981995">
        <w:rPr>
          <w:rFonts w:eastAsia="Times New Roman" w:cs="Times New Roman"/>
          <w:sz w:val="20"/>
        </w:rPr>
        <w:t xml:space="preserve"> unpublished data from the PAS (Peanut Allergy Sensitization) </w:t>
      </w:r>
      <w:r w:rsidR="00333D68">
        <w:rPr>
          <w:rFonts w:eastAsia="Times New Roman" w:cs="Times New Roman"/>
          <w:sz w:val="20"/>
        </w:rPr>
        <w:t xml:space="preserve">observation </w:t>
      </w:r>
      <w:r w:rsidRPr="00981995">
        <w:rPr>
          <w:rFonts w:eastAsia="Times New Roman" w:cs="Times New Roman"/>
          <w:sz w:val="20"/>
        </w:rPr>
        <w:t xml:space="preserve">study and published data from the EAT (Enquiring About Tolerance) </w:t>
      </w:r>
      <w:r w:rsidR="00333D68">
        <w:rPr>
          <w:rFonts w:eastAsia="Times New Roman" w:cs="Times New Roman"/>
          <w:sz w:val="20"/>
        </w:rPr>
        <w:t xml:space="preserve">randomized controlled prevention </w:t>
      </w:r>
      <w:r w:rsidRPr="00981995">
        <w:rPr>
          <w:rFonts w:eastAsia="Times New Roman" w:cs="Times New Roman"/>
          <w:sz w:val="20"/>
        </w:rPr>
        <w:t>trial</w:t>
      </w:r>
      <w:r w:rsidR="0011516D">
        <w:rPr>
          <w:rFonts w:eastAsia="Times New Roman" w:cs="Times New Roman"/>
          <w:sz w:val="20"/>
        </w:rPr>
        <w:t xml:space="preserve"> </w:t>
      </w:r>
      <w:r w:rsidR="0011516D" w:rsidRPr="0011516D">
        <w:rPr>
          <w:rFonts w:eastAsia="Times New Roman" w:cs="Times New Roman"/>
          <w:b/>
          <w:sz w:val="20"/>
        </w:rPr>
        <w:t>(</w:t>
      </w:r>
      <w:r w:rsidR="0011516D">
        <w:rPr>
          <w:rFonts w:eastAsia="Times New Roman" w:cs="Times New Roman"/>
          <w:b/>
          <w:sz w:val="20"/>
        </w:rPr>
        <w:t>Fig</w:t>
      </w:r>
      <w:r w:rsidR="0011516D" w:rsidRPr="0011516D">
        <w:rPr>
          <w:rFonts w:eastAsia="Times New Roman" w:cs="Times New Roman"/>
          <w:b/>
          <w:sz w:val="20"/>
        </w:rPr>
        <w:t>ure E1</w:t>
      </w:r>
      <w:r w:rsidR="0011516D">
        <w:rPr>
          <w:rFonts w:eastAsia="Times New Roman" w:cs="Times New Roman"/>
          <w:sz w:val="20"/>
        </w:rPr>
        <w:t>)</w:t>
      </w:r>
      <w:r w:rsidRPr="00981995">
        <w:rPr>
          <w:rFonts w:eastAsia="Times New Roman" w:cs="Times New Roman"/>
          <w:sz w:val="20"/>
        </w:rPr>
        <w:t>.</w:t>
      </w:r>
      <w:r w:rsidR="007B2EF0" w:rsidRPr="00981995">
        <w:rPr>
          <w:rFonts w:eastAsia="Times New Roman" w:cs="Times New Roman"/>
          <w:sz w:val="20"/>
          <w:vertAlign w:val="superscript"/>
        </w:rPr>
        <w:t>1</w:t>
      </w:r>
      <w:r w:rsidR="00AE6047">
        <w:rPr>
          <w:rFonts w:eastAsia="Times New Roman" w:cs="Times New Roman"/>
          <w:sz w:val="20"/>
          <w:vertAlign w:val="superscript"/>
        </w:rPr>
        <w:t>6</w:t>
      </w:r>
      <w:r w:rsidRPr="00981995">
        <w:rPr>
          <w:rFonts w:eastAsia="Times New Roman" w:cs="Times New Roman"/>
          <w:sz w:val="20"/>
        </w:rPr>
        <w:t xml:space="preserve"> Together the four studies covered the breadth of the risk factors for peanut allergy seen across a </w:t>
      </w:r>
      <w:r w:rsidR="00346B93">
        <w:rPr>
          <w:rFonts w:eastAsia="Times New Roman" w:cs="Times New Roman"/>
          <w:sz w:val="20"/>
        </w:rPr>
        <w:t>normal</w:t>
      </w:r>
      <w:r w:rsidRPr="00981995">
        <w:rPr>
          <w:rFonts w:eastAsia="Times New Roman" w:cs="Times New Roman"/>
          <w:sz w:val="20"/>
        </w:rPr>
        <w:t xml:space="preserve"> population. </w:t>
      </w:r>
      <w:r w:rsidR="00CD0C39" w:rsidRPr="00CD0C39">
        <w:rPr>
          <w:rFonts w:eastAsia="Times New Roman" w:cs="Times New Roman"/>
          <w:sz w:val="20"/>
        </w:rPr>
        <w:t>EAT provides information about low</w:t>
      </w:r>
      <w:r w:rsidR="00BF2D1B">
        <w:rPr>
          <w:rFonts w:eastAsia="Times New Roman" w:cs="Times New Roman"/>
          <w:sz w:val="20"/>
        </w:rPr>
        <w:t>-</w:t>
      </w:r>
      <w:r w:rsidR="00CD0C39" w:rsidRPr="00CD0C39">
        <w:rPr>
          <w:rFonts w:eastAsia="Times New Roman" w:cs="Times New Roman"/>
          <w:sz w:val="20"/>
        </w:rPr>
        <w:t>risk individuals while the LEAP screening study, LEAP RCT and PAS provides information about high and very high</w:t>
      </w:r>
      <w:r w:rsidR="009D0DDD">
        <w:rPr>
          <w:rFonts w:eastAsia="Times New Roman" w:cs="Times New Roman"/>
          <w:sz w:val="20"/>
        </w:rPr>
        <w:t>-</w:t>
      </w:r>
      <w:r w:rsidR="00CD0C39" w:rsidRPr="00CD0C39">
        <w:rPr>
          <w:rFonts w:eastAsia="Times New Roman" w:cs="Times New Roman"/>
          <w:sz w:val="20"/>
        </w:rPr>
        <w:t>risk individuals.</w:t>
      </w:r>
      <w:r w:rsidR="00CD0C39">
        <w:rPr>
          <w:rFonts w:eastAsia="Times New Roman" w:cs="Times New Roman"/>
          <w:sz w:val="20"/>
        </w:rPr>
        <w:t xml:space="preserve"> </w:t>
      </w:r>
      <w:bookmarkStart w:id="1" w:name="_Hlk98756575"/>
      <w:bookmarkStart w:id="2" w:name="_Hlk98756413"/>
      <w:r w:rsidR="004D596C">
        <w:rPr>
          <w:rFonts w:eastAsia="Times New Roman" w:cs="Times New Roman"/>
          <w:sz w:val="20"/>
        </w:rPr>
        <w:t>The analysis makes use of individual participant level data</w:t>
      </w:r>
      <w:r w:rsidR="00842D5C">
        <w:rPr>
          <w:rFonts w:eastAsia="Times New Roman" w:cs="Times New Roman"/>
          <w:sz w:val="20"/>
        </w:rPr>
        <w:t xml:space="preserve">, and combining the datasets allows for </w:t>
      </w:r>
      <w:r w:rsidR="00AA1D35">
        <w:rPr>
          <w:rFonts w:eastAsia="Times New Roman" w:cs="Times New Roman"/>
          <w:sz w:val="20"/>
        </w:rPr>
        <w:t>many</w:t>
      </w:r>
      <w:r w:rsidR="00842D5C">
        <w:rPr>
          <w:rFonts w:eastAsia="Times New Roman" w:cs="Times New Roman"/>
          <w:sz w:val="20"/>
        </w:rPr>
        <w:t xml:space="preserve"> cases of peanut allergy to be modeled </w:t>
      </w:r>
      <w:r w:rsidR="00AA1D35">
        <w:rPr>
          <w:rFonts w:eastAsia="Times New Roman" w:cs="Times New Roman"/>
          <w:sz w:val="20"/>
        </w:rPr>
        <w:t>across the different cohorts and risk levels.</w:t>
      </w:r>
      <w:bookmarkEnd w:id="1"/>
      <w:r w:rsidR="00AA1D35">
        <w:rPr>
          <w:rFonts w:eastAsia="Times New Roman" w:cs="Times New Roman"/>
          <w:sz w:val="20"/>
        </w:rPr>
        <w:t xml:space="preserve">  </w:t>
      </w:r>
      <w:bookmarkEnd w:id="2"/>
      <w:r w:rsidRPr="00981995">
        <w:rPr>
          <w:rFonts w:eastAsia="Times New Roman" w:cs="Times New Roman"/>
          <w:sz w:val="20"/>
        </w:rPr>
        <w:t xml:space="preserve">The approach taken made </w:t>
      </w:r>
      <w:r w:rsidR="00E663C5">
        <w:rPr>
          <w:rFonts w:eastAsia="Times New Roman" w:cs="Times New Roman"/>
          <w:sz w:val="20"/>
        </w:rPr>
        <w:t>several</w:t>
      </w:r>
      <w:r w:rsidRPr="00981995">
        <w:rPr>
          <w:rFonts w:eastAsia="Times New Roman" w:cs="Times New Roman"/>
          <w:sz w:val="20"/>
        </w:rPr>
        <w:t xml:space="preserve"> clearly identified assumptions, which are described and justified in </w:t>
      </w:r>
      <w:r w:rsidRPr="00981995">
        <w:rPr>
          <w:rFonts w:eastAsia="Times New Roman" w:cs="Times New Roman"/>
          <w:b/>
          <w:sz w:val="20"/>
        </w:rPr>
        <w:t xml:space="preserve">Table </w:t>
      </w:r>
      <w:r w:rsidR="00A03819">
        <w:rPr>
          <w:rFonts w:eastAsia="Times New Roman" w:cs="Times New Roman"/>
          <w:b/>
          <w:sz w:val="20"/>
        </w:rPr>
        <w:t>E</w:t>
      </w:r>
      <w:r w:rsidRPr="00981995">
        <w:rPr>
          <w:rFonts w:eastAsia="Times New Roman" w:cs="Times New Roman"/>
          <w:b/>
          <w:sz w:val="20"/>
        </w:rPr>
        <w:t>1</w:t>
      </w:r>
      <w:r w:rsidRPr="00981995">
        <w:rPr>
          <w:rFonts w:eastAsia="Times New Roman" w:cs="Times New Roman"/>
          <w:sz w:val="20"/>
        </w:rPr>
        <w:t>.</w:t>
      </w:r>
    </w:p>
    <w:p w14:paraId="0C899CB0" w14:textId="77777777" w:rsidR="004E6913" w:rsidRPr="00981995" w:rsidRDefault="004E6913" w:rsidP="00981995">
      <w:pPr>
        <w:spacing w:after="120" w:line="480" w:lineRule="auto"/>
        <w:rPr>
          <w:rFonts w:eastAsia="Times New Roman" w:cs="Times New Roman"/>
          <w:sz w:val="20"/>
        </w:rPr>
      </w:pPr>
    </w:p>
    <w:p w14:paraId="6D377F1F" w14:textId="5063E29E" w:rsidR="00E139B3" w:rsidRPr="00981995" w:rsidRDefault="00E139B3" w:rsidP="00981995">
      <w:pPr>
        <w:pStyle w:val="Heading2"/>
        <w:spacing w:before="0" w:after="120" w:line="480" w:lineRule="auto"/>
        <w:contextualSpacing w:val="0"/>
        <w:rPr>
          <w:sz w:val="20"/>
          <w:u w:val="none"/>
        </w:rPr>
      </w:pPr>
      <w:r w:rsidRPr="00981995">
        <w:rPr>
          <w:sz w:val="20"/>
          <w:u w:val="none"/>
        </w:rPr>
        <w:t xml:space="preserve">Participants and interventions (see </w:t>
      </w:r>
      <w:r w:rsidR="004D596C">
        <w:rPr>
          <w:sz w:val="20"/>
          <w:u w:val="none"/>
        </w:rPr>
        <w:t xml:space="preserve">supplementary </w:t>
      </w:r>
      <w:r w:rsidR="00FF4AAF">
        <w:rPr>
          <w:sz w:val="20"/>
          <w:u w:val="none"/>
        </w:rPr>
        <w:t>M</w:t>
      </w:r>
      <w:r w:rsidRPr="00981995">
        <w:rPr>
          <w:sz w:val="20"/>
          <w:u w:val="none"/>
        </w:rPr>
        <w:t>ethods sections 1B-1E)</w:t>
      </w:r>
    </w:p>
    <w:p w14:paraId="0514C6BF" w14:textId="77777777" w:rsidR="00E139B3" w:rsidRPr="00981995" w:rsidRDefault="00E139B3" w:rsidP="00981995">
      <w:pPr>
        <w:pStyle w:val="Heading4"/>
        <w:spacing w:before="0" w:after="120" w:line="480" w:lineRule="auto"/>
        <w:contextualSpacing w:val="0"/>
        <w:rPr>
          <w:rFonts w:cs="Times New Roman"/>
          <w:color w:val="000000" w:themeColor="text1"/>
          <w:sz w:val="20"/>
        </w:rPr>
      </w:pPr>
      <w:r w:rsidRPr="00981995">
        <w:rPr>
          <w:rFonts w:ascii="Times New Roman" w:hAnsi="Times New Roman" w:cs="Times New Roman"/>
          <w:color w:val="000000" w:themeColor="text1"/>
          <w:sz w:val="20"/>
        </w:rPr>
        <w:t>LEAP screening study</w:t>
      </w:r>
    </w:p>
    <w:p w14:paraId="091931E1" w14:textId="7B7076DE" w:rsidR="00E139B3" w:rsidRPr="00981995" w:rsidRDefault="00E139B3" w:rsidP="00981995">
      <w:pPr>
        <w:pStyle w:val="Heading2"/>
        <w:spacing w:before="0" w:after="120" w:line="480" w:lineRule="auto"/>
        <w:contextualSpacing w:val="0"/>
        <w:rPr>
          <w:rFonts w:eastAsia="Times New Roman" w:cs="Times New Roman"/>
          <w:b w:val="0"/>
          <w:sz w:val="20"/>
          <w:u w:val="none"/>
        </w:rPr>
      </w:pPr>
      <w:r w:rsidRPr="00981995">
        <w:rPr>
          <w:rFonts w:eastAsia="Times New Roman" w:cs="Times New Roman"/>
          <w:b w:val="0"/>
          <w:sz w:val="20"/>
          <w:u w:val="none"/>
        </w:rPr>
        <w:t>The LEAP screening study was the recruitment phase of the LEAP trial.</w:t>
      </w:r>
      <w:r w:rsidR="00B17E03" w:rsidRPr="00981995">
        <w:rPr>
          <w:rFonts w:eastAsia="Times New Roman" w:cs="Times New Roman"/>
          <w:b w:val="0"/>
          <w:sz w:val="20"/>
          <w:u w:val="none"/>
          <w:vertAlign w:val="superscript"/>
        </w:rPr>
        <w:t>7</w:t>
      </w:r>
      <w:r w:rsidRPr="00981995">
        <w:rPr>
          <w:rFonts w:eastAsia="Times New Roman" w:cs="Times New Roman"/>
          <w:b w:val="0"/>
          <w:sz w:val="20"/>
          <w:u w:val="none"/>
        </w:rPr>
        <w:t xml:space="preserve"> Full details have been published.</w:t>
      </w:r>
      <w:r w:rsidR="007B2EF0" w:rsidRPr="00981995">
        <w:rPr>
          <w:rFonts w:eastAsia="Times New Roman" w:cs="Times New Roman"/>
          <w:b w:val="0"/>
          <w:sz w:val="20"/>
          <w:u w:val="none"/>
          <w:vertAlign w:val="superscript"/>
        </w:rPr>
        <w:t>9</w:t>
      </w:r>
      <w:r w:rsidRPr="00981995">
        <w:rPr>
          <w:rFonts w:eastAsia="Times New Roman" w:cs="Times New Roman"/>
          <w:b w:val="0"/>
          <w:sz w:val="20"/>
          <w:u w:val="none"/>
        </w:rPr>
        <w:t xml:space="preserve"> Briefly, recruitment targeted infants between 4-11 months of age with severe eczema, egg allergy or both. Participants were separated into 4 groups: group I (low</w:t>
      </w:r>
      <w:r w:rsidR="004D596C">
        <w:rPr>
          <w:rFonts w:eastAsia="Times New Roman" w:cs="Times New Roman"/>
          <w:b w:val="0"/>
          <w:sz w:val="20"/>
          <w:u w:val="none"/>
        </w:rPr>
        <w:t>-</w:t>
      </w:r>
      <w:r w:rsidRPr="00981995">
        <w:rPr>
          <w:rFonts w:eastAsia="Times New Roman" w:cs="Times New Roman"/>
          <w:b w:val="0"/>
          <w:sz w:val="20"/>
          <w:u w:val="none"/>
        </w:rPr>
        <w:t>risk PAS study) had mild or no eczema and no egg allergy (exclusion criteria for LEAP); group II (LEAP negative stratum) had severe eczema and/or egg allergy but no reaction on SPT to peanut; group III (LEAP positive stratum), had severe eczema and/or egg allergy and a 1-4 mm peanut wheal; group IV (high</w:t>
      </w:r>
      <w:r w:rsidR="004D596C">
        <w:rPr>
          <w:rFonts w:eastAsia="Times New Roman" w:cs="Times New Roman"/>
          <w:b w:val="0"/>
          <w:sz w:val="20"/>
          <w:u w:val="none"/>
        </w:rPr>
        <w:t>-</w:t>
      </w:r>
      <w:r w:rsidRPr="00981995">
        <w:rPr>
          <w:rFonts w:eastAsia="Times New Roman" w:cs="Times New Roman"/>
          <w:b w:val="0"/>
          <w:sz w:val="20"/>
          <w:u w:val="none"/>
        </w:rPr>
        <w:t>risk PAS study) had severe eczema and/or egg allergy and peanut wheal responses of &gt;4 mm (exclusion criteria for LEAP), which we will refer to as “likely allergy” (</w:t>
      </w:r>
      <w:r w:rsidRPr="00981995">
        <w:rPr>
          <w:rFonts w:eastAsia="Times New Roman" w:cs="Times New Roman"/>
          <w:sz w:val="20"/>
          <w:u w:val="none"/>
        </w:rPr>
        <w:t xml:space="preserve">Table </w:t>
      </w:r>
      <w:r w:rsidR="002E7BDF">
        <w:rPr>
          <w:rFonts w:eastAsia="Times New Roman" w:cs="Times New Roman"/>
          <w:sz w:val="20"/>
          <w:u w:val="none"/>
        </w:rPr>
        <w:t>E</w:t>
      </w:r>
      <w:r w:rsidRPr="00981995">
        <w:rPr>
          <w:rFonts w:eastAsia="Times New Roman" w:cs="Times New Roman"/>
          <w:sz w:val="20"/>
          <w:u w:val="none"/>
        </w:rPr>
        <w:t>2</w:t>
      </w:r>
      <w:r w:rsidRPr="00981995">
        <w:rPr>
          <w:rFonts w:eastAsia="Times New Roman" w:cs="Times New Roman"/>
          <w:b w:val="0"/>
          <w:sz w:val="20"/>
          <w:u w:val="none"/>
        </w:rPr>
        <w:t xml:space="preserve">). </w:t>
      </w:r>
    </w:p>
    <w:p w14:paraId="269B49D3" w14:textId="77777777" w:rsidR="00E139B3" w:rsidRPr="00981995" w:rsidRDefault="00E139B3" w:rsidP="00981995">
      <w:pPr>
        <w:pStyle w:val="Heading4"/>
        <w:spacing w:before="0" w:after="120" w:line="480" w:lineRule="auto"/>
        <w:contextualSpacing w:val="0"/>
        <w:rPr>
          <w:rFonts w:cs="Times New Roman"/>
          <w:color w:val="000000" w:themeColor="text1"/>
          <w:sz w:val="20"/>
        </w:rPr>
      </w:pPr>
      <w:r w:rsidRPr="00981995">
        <w:rPr>
          <w:rFonts w:ascii="Times New Roman" w:hAnsi="Times New Roman" w:cs="Times New Roman"/>
          <w:color w:val="000000" w:themeColor="text1"/>
          <w:sz w:val="20"/>
        </w:rPr>
        <w:t>LEAP prevention trial</w:t>
      </w:r>
    </w:p>
    <w:p w14:paraId="2E6BE943" w14:textId="6E9898D3" w:rsidR="00E139B3" w:rsidRPr="00981995" w:rsidRDefault="00E139B3" w:rsidP="00981995">
      <w:pPr>
        <w:spacing w:after="120" w:line="480" w:lineRule="auto"/>
        <w:rPr>
          <w:rFonts w:cs="Times New Roman"/>
          <w:color w:val="000000" w:themeColor="text1"/>
          <w:sz w:val="20"/>
        </w:rPr>
      </w:pPr>
      <w:r w:rsidRPr="00981995">
        <w:rPr>
          <w:rFonts w:eastAsia="Times New Roman" w:cs="Times New Roman"/>
          <w:sz w:val="20"/>
        </w:rPr>
        <w:t>The LEAP trial randomized 640 infants, aged 4-11 months with severe eczema, egg allergy or both to early peanut introduction or avoidance during early life. These participants encompassed the LEAP Screening Study Groups II and III; each of these two cohorts were independently powered, randomized, and analysed.</w:t>
      </w:r>
      <w:r w:rsidR="00B17E03" w:rsidRPr="00981995">
        <w:rPr>
          <w:rFonts w:eastAsia="Times New Roman" w:cs="Times New Roman"/>
          <w:sz w:val="20"/>
          <w:vertAlign w:val="superscript"/>
        </w:rPr>
        <w:t>7</w:t>
      </w:r>
      <w:r w:rsidRPr="00981995">
        <w:rPr>
          <w:rFonts w:eastAsia="Times New Roman" w:cs="Times New Roman"/>
          <w:sz w:val="20"/>
        </w:rPr>
        <w:t xml:space="preserve"> The LEAP trial determined that peanut allergy was prevented in the early introduction group within both cohorts (</w:t>
      </w:r>
      <w:r w:rsidRPr="00981995">
        <w:rPr>
          <w:rFonts w:eastAsia="Times New Roman" w:cs="Times New Roman"/>
          <w:b/>
          <w:sz w:val="20"/>
        </w:rPr>
        <w:t xml:space="preserve">Table </w:t>
      </w:r>
      <w:r w:rsidR="002E7BDF">
        <w:rPr>
          <w:rFonts w:eastAsia="Times New Roman" w:cs="Times New Roman"/>
          <w:b/>
          <w:sz w:val="20"/>
        </w:rPr>
        <w:t>E</w:t>
      </w:r>
      <w:r w:rsidRPr="00981995">
        <w:rPr>
          <w:rFonts w:eastAsia="Times New Roman" w:cs="Times New Roman"/>
          <w:b/>
          <w:sz w:val="20"/>
        </w:rPr>
        <w:t>2</w:t>
      </w:r>
      <w:r w:rsidRPr="00981995">
        <w:rPr>
          <w:rFonts w:eastAsia="Times New Roman" w:cs="Times New Roman"/>
          <w:sz w:val="20"/>
        </w:rPr>
        <w:t>).</w:t>
      </w:r>
      <w:r w:rsidR="00B17E03" w:rsidRPr="00981995">
        <w:rPr>
          <w:rFonts w:eastAsia="Times New Roman" w:cs="Times New Roman"/>
          <w:sz w:val="20"/>
          <w:vertAlign w:val="superscript"/>
        </w:rPr>
        <w:t>7,</w:t>
      </w:r>
      <w:r w:rsidR="00844C65" w:rsidRPr="00981995">
        <w:rPr>
          <w:rFonts w:eastAsia="Times New Roman" w:cs="Times New Roman"/>
          <w:sz w:val="20"/>
          <w:vertAlign w:val="superscript"/>
        </w:rPr>
        <w:t>1</w:t>
      </w:r>
      <w:r w:rsidR="00844C65">
        <w:rPr>
          <w:rFonts w:eastAsia="Times New Roman" w:cs="Times New Roman"/>
          <w:sz w:val="20"/>
          <w:vertAlign w:val="superscript"/>
        </w:rPr>
        <w:t>7</w:t>
      </w:r>
      <w:r w:rsidR="00844C65" w:rsidRPr="00981995">
        <w:rPr>
          <w:rFonts w:eastAsia="Times New Roman" w:cs="Times New Roman"/>
          <w:sz w:val="20"/>
        </w:rPr>
        <w:t xml:space="preserve"> </w:t>
      </w:r>
    </w:p>
    <w:p w14:paraId="7CE07F5C" w14:textId="77777777" w:rsidR="00E139B3" w:rsidRPr="00981995" w:rsidRDefault="00E139B3" w:rsidP="00981995">
      <w:pPr>
        <w:spacing w:after="120" w:line="480" w:lineRule="auto"/>
        <w:rPr>
          <w:rFonts w:cs="Times New Roman"/>
          <w:color w:val="000000" w:themeColor="text1"/>
          <w:sz w:val="20"/>
        </w:rPr>
      </w:pPr>
      <w:r w:rsidRPr="00981995">
        <w:rPr>
          <w:rFonts w:cs="Times New Roman"/>
          <w:color w:val="000000" w:themeColor="text1"/>
          <w:sz w:val="20"/>
          <w:u w:val="single"/>
        </w:rPr>
        <w:lastRenderedPageBreak/>
        <w:t>PAS study</w:t>
      </w:r>
    </w:p>
    <w:p w14:paraId="4B82EC53" w14:textId="527999CE" w:rsidR="00E139B3" w:rsidRPr="00981995" w:rsidRDefault="00E139B3" w:rsidP="00981995">
      <w:pPr>
        <w:spacing w:after="120" w:line="480" w:lineRule="auto"/>
        <w:rPr>
          <w:rFonts w:cs="Times New Roman"/>
          <w:color w:val="000000" w:themeColor="text1"/>
          <w:sz w:val="20"/>
        </w:rPr>
      </w:pPr>
      <w:r w:rsidRPr="00981995">
        <w:rPr>
          <w:rFonts w:cs="Times New Roman"/>
          <w:color w:val="000000" w:themeColor="text1"/>
          <w:sz w:val="20"/>
        </w:rPr>
        <w:t>The PAS study comprised two subgroups of participants who were not eligible for inclusion in the LEAP trial (</w:t>
      </w:r>
      <w:r w:rsidRPr="00981995">
        <w:rPr>
          <w:rFonts w:cs="Times New Roman"/>
          <w:b/>
          <w:color w:val="000000" w:themeColor="text1"/>
          <w:sz w:val="20"/>
        </w:rPr>
        <w:t xml:space="preserve">Table </w:t>
      </w:r>
      <w:r w:rsidR="002E7BDF">
        <w:rPr>
          <w:rFonts w:cs="Times New Roman"/>
          <w:b/>
          <w:color w:val="000000" w:themeColor="text1"/>
          <w:sz w:val="20"/>
        </w:rPr>
        <w:t>E</w:t>
      </w:r>
      <w:r w:rsidRPr="00981995">
        <w:rPr>
          <w:rFonts w:cs="Times New Roman"/>
          <w:b/>
          <w:color w:val="000000" w:themeColor="text1"/>
          <w:sz w:val="20"/>
        </w:rPr>
        <w:t>2</w:t>
      </w:r>
      <w:r w:rsidRPr="00981995">
        <w:rPr>
          <w:rFonts w:cs="Times New Roman"/>
          <w:color w:val="000000" w:themeColor="text1"/>
          <w:sz w:val="20"/>
        </w:rPr>
        <w:t>).</w:t>
      </w:r>
      <w:r w:rsidR="00B17E03" w:rsidRPr="00981995">
        <w:rPr>
          <w:rFonts w:cs="Times New Roman"/>
          <w:color w:val="000000" w:themeColor="text1"/>
          <w:sz w:val="20"/>
          <w:vertAlign w:val="superscript"/>
        </w:rPr>
        <w:t>9</w:t>
      </w:r>
      <w:r w:rsidRPr="00981995">
        <w:rPr>
          <w:rFonts w:cs="Times New Roman"/>
          <w:color w:val="000000" w:themeColor="text1"/>
          <w:sz w:val="20"/>
        </w:rPr>
        <w:t xml:space="preserve"> LEAP Screening Group I was considered too low risk to be enrolled, and LEAP Screening Group IV was considered likely already allergic based on SPT wheal sizes &gt;4mm.  These participants did not receive the LEAP intervention; however, they were followed-up at 60 months of age and assessed for clinical allergy using the same LEAP trial protocol</w:t>
      </w:r>
      <w:r w:rsidRPr="00981995">
        <w:rPr>
          <w:rFonts w:eastAsia="Times New Roman" w:cs="Times New Roman"/>
          <w:sz w:val="20"/>
        </w:rPr>
        <w:t>.</w:t>
      </w:r>
      <w:r w:rsidR="00B17E03" w:rsidRPr="00981995">
        <w:rPr>
          <w:rFonts w:eastAsia="Times New Roman" w:cs="Times New Roman"/>
          <w:sz w:val="20"/>
          <w:vertAlign w:val="superscript"/>
        </w:rPr>
        <w:t>7</w:t>
      </w:r>
      <w:r w:rsidRPr="00981995">
        <w:rPr>
          <w:rFonts w:cs="Times New Roman"/>
          <w:color w:val="000000" w:themeColor="text1"/>
          <w:sz w:val="20"/>
        </w:rPr>
        <w:t xml:space="preserve"> </w:t>
      </w:r>
    </w:p>
    <w:p w14:paraId="78B10863" w14:textId="77777777" w:rsidR="00E139B3" w:rsidRPr="00981995" w:rsidRDefault="00E139B3" w:rsidP="00981995">
      <w:pPr>
        <w:spacing w:after="120" w:line="480" w:lineRule="auto"/>
        <w:rPr>
          <w:rFonts w:eastAsia="Times New Roman" w:cs="Times New Roman"/>
          <w:sz w:val="20"/>
        </w:rPr>
      </w:pPr>
      <w:r w:rsidRPr="00981995">
        <w:rPr>
          <w:rFonts w:cs="Times New Roman"/>
          <w:color w:val="000000" w:themeColor="text1"/>
          <w:sz w:val="20"/>
          <w:u w:val="single"/>
        </w:rPr>
        <w:t>EAT trial</w:t>
      </w:r>
    </w:p>
    <w:p w14:paraId="3A9BAECF" w14:textId="6F2BBB21" w:rsidR="00E139B3" w:rsidRPr="00981995" w:rsidRDefault="00E139B3" w:rsidP="00981995">
      <w:pPr>
        <w:spacing w:after="120" w:line="480" w:lineRule="auto"/>
        <w:rPr>
          <w:rFonts w:eastAsia="Times New Roman" w:cs="Times New Roman"/>
          <w:sz w:val="20"/>
        </w:rPr>
      </w:pPr>
      <w:r w:rsidRPr="00981995">
        <w:rPr>
          <w:rFonts w:eastAsia="Times New Roman" w:cs="Times New Roman"/>
          <w:sz w:val="20"/>
        </w:rPr>
        <w:t>The published EAT trial evaluated whether the early introduction of six allergenic foods into the diet of breast-fed infants would protect against the development of food allergy.</w:t>
      </w:r>
      <w:r w:rsidR="00B17E03" w:rsidRPr="00981995">
        <w:rPr>
          <w:rFonts w:eastAsia="Times New Roman" w:cs="Times New Roman"/>
          <w:sz w:val="20"/>
          <w:vertAlign w:val="superscript"/>
        </w:rPr>
        <w:t>1</w:t>
      </w:r>
      <w:r w:rsidR="00844C65">
        <w:rPr>
          <w:rFonts w:eastAsia="Times New Roman" w:cs="Times New Roman"/>
          <w:sz w:val="20"/>
          <w:vertAlign w:val="superscript"/>
        </w:rPr>
        <w:t>6</w:t>
      </w:r>
      <w:r w:rsidRPr="00981995">
        <w:rPr>
          <w:rFonts w:eastAsia="Times New Roman" w:cs="Times New Roman"/>
          <w:sz w:val="20"/>
        </w:rPr>
        <w:t xml:space="preserve"> Briefly, the EAT trial recruited, from the whole UK population, 1303 exclusively breast-fed infants (aged 3 months) (</w:t>
      </w:r>
      <w:r w:rsidRPr="00981995">
        <w:rPr>
          <w:rFonts w:eastAsia="Times New Roman" w:cs="Times New Roman"/>
          <w:b/>
          <w:sz w:val="20"/>
        </w:rPr>
        <w:t xml:space="preserve">Table </w:t>
      </w:r>
      <w:r w:rsidR="002E7BDF">
        <w:rPr>
          <w:rFonts w:eastAsia="Times New Roman" w:cs="Times New Roman"/>
          <w:b/>
          <w:sz w:val="20"/>
        </w:rPr>
        <w:t>E</w:t>
      </w:r>
      <w:r w:rsidRPr="00981995">
        <w:rPr>
          <w:rFonts w:eastAsia="Times New Roman" w:cs="Times New Roman"/>
          <w:b/>
          <w:sz w:val="20"/>
        </w:rPr>
        <w:t>2</w:t>
      </w:r>
      <w:r w:rsidRPr="00981995">
        <w:rPr>
          <w:rFonts w:eastAsia="Times New Roman" w:cs="Times New Roman"/>
          <w:sz w:val="20"/>
        </w:rPr>
        <w:t xml:space="preserve">). Participants were randomized to the early introduction of six allergenic foods (peanut, cooked egg, cow’s milk, sesame, whitefish, and wheat; early introduction group) or to exclusive breast-feeding to 6 months of age (standard introduction group). The primary outcome was food allergy to one or more of the six foods at 1-3 years of age. </w:t>
      </w:r>
    </w:p>
    <w:p w14:paraId="403A8FCB" w14:textId="77777777" w:rsidR="00E139B3" w:rsidRPr="00981995" w:rsidRDefault="00E139B3" w:rsidP="00981995">
      <w:pPr>
        <w:spacing w:after="120" w:line="480" w:lineRule="auto"/>
        <w:rPr>
          <w:rFonts w:eastAsia="Times New Roman" w:cs="Times New Roman"/>
          <w:sz w:val="20"/>
        </w:rPr>
      </w:pPr>
    </w:p>
    <w:p w14:paraId="21AB24A8" w14:textId="2733C719" w:rsidR="00E139B3" w:rsidRPr="00981995" w:rsidRDefault="00E139B3" w:rsidP="00981995">
      <w:pPr>
        <w:pStyle w:val="Heading2"/>
        <w:spacing w:before="0" w:after="120" w:line="480" w:lineRule="auto"/>
        <w:contextualSpacing w:val="0"/>
        <w:rPr>
          <w:sz w:val="20"/>
          <w:u w:val="none"/>
        </w:rPr>
      </w:pPr>
      <w:r w:rsidRPr="00981995">
        <w:rPr>
          <w:sz w:val="20"/>
          <w:u w:val="none"/>
        </w:rPr>
        <w:t xml:space="preserve">Assessing factors associated with the development of peanut allergy during the first year of life (see </w:t>
      </w:r>
      <w:r w:rsidR="00291D2F">
        <w:rPr>
          <w:sz w:val="20"/>
          <w:u w:val="none"/>
        </w:rPr>
        <w:t xml:space="preserve">supplementary </w:t>
      </w:r>
      <w:r w:rsidR="00304A96">
        <w:rPr>
          <w:sz w:val="20"/>
          <w:u w:val="none"/>
        </w:rPr>
        <w:t>M</w:t>
      </w:r>
      <w:r w:rsidRPr="00981995">
        <w:rPr>
          <w:sz w:val="20"/>
          <w:u w:val="none"/>
        </w:rPr>
        <w:t>ethods section 1F)</w:t>
      </w:r>
    </w:p>
    <w:p w14:paraId="3DAA1207" w14:textId="72FB8FD4" w:rsidR="00E139B3" w:rsidRPr="00981995" w:rsidRDefault="008C3F4D" w:rsidP="00981995">
      <w:pPr>
        <w:spacing w:after="120" w:line="480" w:lineRule="auto"/>
        <w:rPr>
          <w:rFonts w:eastAsia="Times New Roman" w:cs="Times New Roman"/>
          <w:sz w:val="20"/>
        </w:rPr>
      </w:pPr>
      <w:r>
        <w:rPr>
          <w:sz w:val="20"/>
        </w:rPr>
        <w:t xml:space="preserve">In order to stratify </w:t>
      </w:r>
      <w:r w:rsidR="00291D2F">
        <w:rPr>
          <w:sz w:val="20"/>
        </w:rPr>
        <w:t xml:space="preserve">the </w:t>
      </w:r>
      <w:r>
        <w:rPr>
          <w:sz w:val="20"/>
        </w:rPr>
        <w:t>risk of peanut allergy</w:t>
      </w:r>
      <w:r w:rsidR="00CF6F5E">
        <w:rPr>
          <w:sz w:val="20"/>
        </w:rPr>
        <w:t xml:space="preserve"> during the first year of life and target populations for early prevention strategies, we selected key risk factors predictive of peanut allergy which could be readily screened for during a public health intervention.</w:t>
      </w:r>
      <w:r w:rsidR="009938DF">
        <w:rPr>
          <w:sz w:val="20"/>
        </w:rPr>
        <w:t xml:space="preserve">  These key risk factors were ethnicity, eczema severity</w:t>
      </w:r>
      <w:r w:rsidR="00BD05ED">
        <w:rPr>
          <w:sz w:val="20"/>
        </w:rPr>
        <w:t xml:space="preserve">, </w:t>
      </w:r>
      <w:r w:rsidR="009938DF">
        <w:rPr>
          <w:sz w:val="20"/>
        </w:rPr>
        <w:t>duration</w:t>
      </w:r>
      <w:r w:rsidR="00BD05ED">
        <w:rPr>
          <w:sz w:val="20"/>
        </w:rPr>
        <w:t xml:space="preserve"> of eczema</w:t>
      </w:r>
      <w:r w:rsidR="009938DF">
        <w:rPr>
          <w:sz w:val="20"/>
        </w:rPr>
        <w:t xml:space="preserve">, and </w:t>
      </w:r>
      <w:r w:rsidR="0094531C">
        <w:rPr>
          <w:sz w:val="20"/>
        </w:rPr>
        <w:t>age.</w:t>
      </w:r>
      <w:r w:rsidR="009938DF">
        <w:rPr>
          <w:sz w:val="20"/>
        </w:rPr>
        <w:t xml:space="preserve"> </w:t>
      </w:r>
      <w:r w:rsidR="00E139B3" w:rsidRPr="00981995">
        <w:rPr>
          <w:sz w:val="20"/>
        </w:rPr>
        <w:t xml:space="preserve">  </w:t>
      </w:r>
      <w:r w:rsidR="00E139B3" w:rsidRPr="00981995">
        <w:rPr>
          <w:rFonts w:cs="Times New Roman"/>
          <w:color w:val="000000" w:themeColor="text1"/>
          <w:sz w:val="20"/>
        </w:rPr>
        <w:t xml:space="preserve">Baseline </w:t>
      </w:r>
      <w:r w:rsidR="00E139B3" w:rsidRPr="00981995">
        <w:rPr>
          <w:sz w:val="20"/>
        </w:rPr>
        <w:t xml:space="preserve">peanut allergy was defined by oral food challenge </w:t>
      </w:r>
      <w:r w:rsidR="00CC51B1" w:rsidRPr="00981995">
        <w:rPr>
          <w:sz w:val="20"/>
        </w:rPr>
        <w:t>(</w:t>
      </w:r>
      <w:r w:rsidR="00E139B3" w:rsidRPr="00981995">
        <w:rPr>
          <w:sz w:val="20"/>
        </w:rPr>
        <w:t xml:space="preserve">LEAP </w:t>
      </w:r>
      <w:r w:rsidR="00CC51B1" w:rsidRPr="00981995">
        <w:rPr>
          <w:sz w:val="20"/>
        </w:rPr>
        <w:t xml:space="preserve">and EAT, </w:t>
      </w:r>
      <w:r w:rsidR="00E139B3" w:rsidRPr="00981995">
        <w:rPr>
          <w:sz w:val="20"/>
        </w:rPr>
        <w:t>early introduction group</w:t>
      </w:r>
      <w:r w:rsidR="00CC51B1" w:rsidRPr="00981995">
        <w:rPr>
          <w:sz w:val="20"/>
        </w:rPr>
        <w:t>s</w:t>
      </w:r>
      <w:r w:rsidR="00E139B3" w:rsidRPr="00981995">
        <w:rPr>
          <w:sz w:val="20"/>
        </w:rPr>
        <w:t>)</w:t>
      </w:r>
      <w:r w:rsidR="00425C6B">
        <w:rPr>
          <w:sz w:val="20"/>
        </w:rPr>
        <w:t xml:space="preserve"> </w:t>
      </w:r>
      <w:r w:rsidR="00590A29">
        <w:rPr>
          <w:sz w:val="20"/>
        </w:rPr>
        <w:t>or</w:t>
      </w:r>
      <w:r w:rsidR="00590A29" w:rsidRPr="00981995">
        <w:rPr>
          <w:sz w:val="20"/>
        </w:rPr>
        <w:t xml:space="preserve"> </w:t>
      </w:r>
      <w:r w:rsidR="00E139B3" w:rsidRPr="00981995">
        <w:rPr>
          <w:sz w:val="20"/>
        </w:rPr>
        <w:t xml:space="preserve">peanut skin prick test wheal &gt;4mm at the baseline or 1 year visit </w:t>
      </w:r>
      <w:r w:rsidR="00CC51B1" w:rsidRPr="00981995">
        <w:rPr>
          <w:sz w:val="20"/>
        </w:rPr>
        <w:t>(other groups)</w:t>
      </w:r>
      <w:r w:rsidR="00E139B3" w:rsidRPr="00981995">
        <w:rPr>
          <w:sz w:val="20"/>
        </w:rPr>
        <w:t xml:space="preserve"> (</w:t>
      </w:r>
      <w:r w:rsidR="00E139B3" w:rsidRPr="00981995">
        <w:rPr>
          <w:b/>
          <w:sz w:val="20"/>
        </w:rPr>
        <w:t xml:space="preserve">Table </w:t>
      </w:r>
      <w:r w:rsidR="002E7BDF">
        <w:rPr>
          <w:b/>
          <w:sz w:val="20"/>
        </w:rPr>
        <w:t>E</w:t>
      </w:r>
      <w:r w:rsidR="00E139B3" w:rsidRPr="00981995">
        <w:rPr>
          <w:b/>
          <w:sz w:val="20"/>
        </w:rPr>
        <w:t>1</w:t>
      </w:r>
      <w:r w:rsidR="00E139B3" w:rsidRPr="00981995">
        <w:rPr>
          <w:sz w:val="20"/>
        </w:rPr>
        <w:t>).</w:t>
      </w:r>
      <w:r w:rsidR="00323EFE" w:rsidRPr="00981995">
        <w:rPr>
          <w:sz w:val="20"/>
          <w:vertAlign w:val="superscript"/>
        </w:rPr>
        <w:t>1</w:t>
      </w:r>
      <w:r w:rsidR="00323EFE">
        <w:rPr>
          <w:sz w:val="20"/>
          <w:vertAlign w:val="superscript"/>
        </w:rPr>
        <w:t>8</w:t>
      </w:r>
      <w:r w:rsidR="000B01FA">
        <w:rPr>
          <w:sz w:val="20"/>
          <w:vertAlign w:val="superscript"/>
        </w:rPr>
        <w:t>,1</w:t>
      </w:r>
      <w:r w:rsidR="00323EFE">
        <w:rPr>
          <w:sz w:val="20"/>
          <w:vertAlign w:val="superscript"/>
        </w:rPr>
        <w:t>9</w:t>
      </w:r>
      <w:r w:rsidR="000B01FA">
        <w:rPr>
          <w:sz w:val="20"/>
          <w:vertAlign w:val="superscript"/>
        </w:rPr>
        <w:t>,2</w:t>
      </w:r>
      <w:r w:rsidR="00323EFE">
        <w:rPr>
          <w:sz w:val="20"/>
          <w:vertAlign w:val="superscript"/>
        </w:rPr>
        <w:t>0</w:t>
      </w:r>
      <w:r w:rsidR="000B01FA">
        <w:rPr>
          <w:sz w:val="20"/>
          <w:vertAlign w:val="superscript"/>
        </w:rPr>
        <w:t>,</w:t>
      </w:r>
      <w:r w:rsidR="00323EFE">
        <w:rPr>
          <w:sz w:val="20"/>
          <w:vertAlign w:val="superscript"/>
        </w:rPr>
        <w:t>21</w:t>
      </w:r>
      <w:r w:rsidR="00E139B3" w:rsidRPr="00981995">
        <w:rPr>
          <w:sz w:val="20"/>
        </w:rPr>
        <w:t xml:space="preserve">  </w:t>
      </w:r>
    </w:p>
    <w:p w14:paraId="692679DD" w14:textId="77777777" w:rsidR="00E139B3" w:rsidRPr="00981995" w:rsidRDefault="00E139B3" w:rsidP="00981995">
      <w:pPr>
        <w:pStyle w:val="Heading2"/>
        <w:spacing w:before="0" w:after="120" w:line="480" w:lineRule="auto"/>
        <w:contextualSpacing w:val="0"/>
        <w:rPr>
          <w:b w:val="0"/>
          <w:sz w:val="20"/>
          <w:u w:val="none"/>
        </w:rPr>
      </w:pPr>
    </w:p>
    <w:p w14:paraId="041E0208" w14:textId="41700C06" w:rsidR="00E139B3" w:rsidRPr="00981995" w:rsidRDefault="00E139B3" w:rsidP="00981995">
      <w:pPr>
        <w:pStyle w:val="Heading2"/>
        <w:tabs>
          <w:tab w:val="right" w:pos="9360"/>
        </w:tabs>
        <w:spacing w:before="0" w:after="120" w:line="480" w:lineRule="auto"/>
        <w:contextualSpacing w:val="0"/>
        <w:rPr>
          <w:sz w:val="20"/>
          <w:u w:val="none"/>
        </w:rPr>
      </w:pPr>
      <w:r w:rsidRPr="00981995">
        <w:rPr>
          <w:sz w:val="20"/>
          <w:u w:val="none"/>
        </w:rPr>
        <w:t>Estimating the impact of early introduction of peanuts to the whole population and different risk groups</w:t>
      </w:r>
    </w:p>
    <w:p w14:paraId="0E40B238" w14:textId="77777777" w:rsidR="00E139B3" w:rsidRPr="00981995" w:rsidRDefault="00E139B3" w:rsidP="00981995">
      <w:pPr>
        <w:pStyle w:val="Heading2"/>
        <w:spacing w:before="0" w:after="120" w:line="480" w:lineRule="auto"/>
        <w:contextualSpacing w:val="0"/>
        <w:rPr>
          <w:b w:val="0"/>
          <w:sz w:val="20"/>
        </w:rPr>
      </w:pPr>
      <w:r w:rsidRPr="00981995">
        <w:rPr>
          <w:b w:val="0"/>
          <w:sz w:val="20"/>
        </w:rPr>
        <w:t>Potential impact of applying the LEAP intervention to EAT, a normal risk population</w:t>
      </w:r>
    </w:p>
    <w:p w14:paraId="6301C27E" w14:textId="6346BFBD" w:rsidR="00E139B3" w:rsidRPr="00981995" w:rsidRDefault="00E139B3" w:rsidP="00981995">
      <w:pPr>
        <w:spacing w:after="120" w:line="480" w:lineRule="auto"/>
        <w:rPr>
          <w:sz w:val="20"/>
        </w:rPr>
      </w:pPr>
      <w:r w:rsidRPr="00981995">
        <w:rPr>
          <w:sz w:val="20"/>
        </w:rPr>
        <w:t>To assess the impact of the early introduction of peanuts into the infant diet in a normal risk population</w:t>
      </w:r>
      <w:r w:rsidR="00F7339C">
        <w:rPr>
          <w:sz w:val="20"/>
        </w:rPr>
        <w:t xml:space="preserve"> with good adherence to the intervention</w:t>
      </w:r>
      <w:r w:rsidRPr="00981995">
        <w:rPr>
          <w:sz w:val="20"/>
        </w:rPr>
        <w:t xml:space="preserve">, the prevalence of peanut allergy at 36 months in the early introduction group </w:t>
      </w:r>
      <w:r w:rsidR="00342A83" w:rsidRPr="00981995">
        <w:rPr>
          <w:sz w:val="20"/>
        </w:rPr>
        <w:t>wa</w:t>
      </w:r>
      <w:r w:rsidRPr="00981995">
        <w:rPr>
          <w:sz w:val="20"/>
        </w:rPr>
        <w:t xml:space="preserve">s </w:t>
      </w:r>
      <w:r w:rsidRPr="00981995">
        <w:rPr>
          <w:sz w:val="20"/>
        </w:rPr>
        <w:lastRenderedPageBreak/>
        <w:t xml:space="preserve">estimated by applying the relative reduction of peanut allergy observed with the LEAP intervention in &lt;15, 15-40 and &gt;40 SCORAD </w:t>
      </w:r>
      <w:r w:rsidR="00D40FAC">
        <w:rPr>
          <w:sz w:val="20"/>
        </w:rPr>
        <w:t>(</w:t>
      </w:r>
      <w:r w:rsidR="00D40FAC" w:rsidRPr="00D40FAC">
        <w:rPr>
          <w:sz w:val="20"/>
        </w:rPr>
        <w:t>SCORing Atopic Dermatitis</w:t>
      </w:r>
      <w:r w:rsidR="00D40FAC">
        <w:rPr>
          <w:sz w:val="20"/>
        </w:rPr>
        <w:t xml:space="preserve">) </w:t>
      </w:r>
      <w:r w:rsidRPr="00981995">
        <w:rPr>
          <w:sz w:val="20"/>
        </w:rPr>
        <w:t xml:space="preserve">bands in the LEAP trial. </w:t>
      </w:r>
    </w:p>
    <w:p w14:paraId="558F45CC" w14:textId="77777777" w:rsidR="00E139B3" w:rsidRPr="00981995" w:rsidRDefault="00E139B3" w:rsidP="00981995">
      <w:pPr>
        <w:pStyle w:val="Heading2"/>
        <w:spacing w:before="0" w:after="120" w:line="480" w:lineRule="auto"/>
        <w:contextualSpacing w:val="0"/>
        <w:rPr>
          <w:b w:val="0"/>
          <w:sz w:val="20"/>
        </w:rPr>
      </w:pPr>
      <w:r w:rsidRPr="00981995">
        <w:rPr>
          <w:b w:val="0"/>
          <w:sz w:val="20"/>
        </w:rPr>
        <w:t>Estimating the impact of early peanut introduction at different ages to the whole population</w:t>
      </w:r>
    </w:p>
    <w:p w14:paraId="74757DC5" w14:textId="2C369220" w:rsidR="00E139B3" w:rsidRPr="00981995" w:rsidRDefault="00E139B3" w:rsidP="00981995">
      <w:pPr>
        <w:spacing w:after="120" w:line="480" w:lineRule="auto"/>
        <w:rPr>
          <w:i/>
          <w:sz w:val="20"/>
        </w:rPr>
      </w:pPr>
      <w:r w:rsidRPr="00981995">
        <w:rPr>
          <w:i/>
          <w:sz w:val="20"/>
        </w:rPr>
        <w:t xml:space="preserve">Modeling the whole population using </w:t>
      </w:r>
      <w:r w:rsidR="004D026B" w:rsidRPr="00981995">
        <w:rPr>
          <w:i/>
          <w:sz w:val="20"/>
        </w:rPr>
        <w:t xml:space="preserve">combined </w:t>
      </w:r>
      <w:r w:rsidRPr="00981995">
        <w:rPr>
          <w:i/>
          <w:sz w:val="20"/>
        </w:rPr>
        <w:t>EAT, LEAP and PAS study data</w:t>
      </w:r>
    </w:p>
    <w:p w14:paraId="5A66E686" w14:textId="54F61B48" w:rsidR="00E139B3" w:rsidRPr="00981995" w:rsidRDefault="00E139B3" w:rsidP="00981995">
      <w:pPr>
        <w:spacing w:after="120" w:line="480" w:lineRule="auto"/>
        <w:rPr>
          <w:sz w:val="20"/>
        </w:rPr>
      </w:pPr>
      <w:r w:rsidRPr="00981995">
        <w:rPr>
          <w:sz w:val="20"/>
        </w:rPr>
        <w:t xml:space="preserve">To model the whole population, LEAP and PAS participants were weighted such that the overall distribution of eczema severity, egg allergy, and non-white ethnicity would match the </w:t>
      </w:r>
      <w:r w:rsidR="00346B93">
        <w:rPr>
          <w:sz w:val="20"/>
        </w:rPr>
        <w:t>normal</w:t>
      </w:r>
      <w:r w:rsidRPr="00981995">
        <w:rPr>
          <w:sz w:val="20"/>
        </w:rPr>
        <w:t xml:space="preserve"> EAT population</w:t>
      </w:r>
      <w:r w:rsidR="008C2DFF" w:rsidRPr="00981995">
        <w:rPr>
          <w:sz w:val="20"/>
        </w:rPr>
        <w:t xml:space="preserve"> using</w:t>
      </w:r>
      <w:r w:rsidRPr="00981995">
        <w:rPr>
          <w:sz w:val="20"/>
        </w:rPr>
        <w:t xml:space="preserve"> propensity scores (see </w:t>
      </w:r>
      <w:r w:rsidR="00291D2F" w:rsidRPr="00BE340F">
        <w:rPr>
          <w:b/>
          <w:sz w:val="20"/>
        </w:rPr>
        <w:t xml:space="preserve">supplementary </w:t>
      </w:r>
      <w:r w:rsidR="00304A96" w:rsidRPr="00BE340F">
        <w:rPr>
          <w:b/>
          <w:sz w:val="20"/>
        </w:rPr>
        <w:t>M</w:t>
      </w:r>
      <w:r w:rsidR="00DD726B" w:rsidRPr="00BE340F">
        <w:rPr>
          <w:b/>
          <w:sz w:val="20"/>
        </w:rPr>
        <w:t>ethods 1G</w:t>
      </w:r>
      <w:r w:rsidR="00DD726B" w:rsidRPr="00981995">
        <w:rPr>
          <w:b/>
          <w:sz w:val="20"/>
        </w:rPr>
        <w:t xml:space="preserve"> </w:t>
      </w:r>
      <w:r w:rsidR="00DD726B" w:rsidRPr="00981995">
        <w:rPr>
          <w:sz w:val="20"/>
        </w:rPr>
        <w:t xml:space="preserve">and </w:t>
      </w:r>
      <w:r w:rsidRPr="00981995">
        <w:rPr>
          <w:b/>
          <w:sz w:val="20"/>
        </w:rPr>
        <w:t xml:space="preserve">Figure </w:t>
      </w:r>
      <w:r w:rsidR="002E7BDF">
        <w:rPr>
          <w:b/>
          <w:sz w:val="20"/>
        </w:rPr>
        <w:t>E</w:t>
      </w:r>
      <w:r w:rsidRPr="00981995">
        <w:rPr>
          <w:b/>
          <w:sz w:val="20"/>
        </w:rPr>
        <w:t>2</w:t>
      </w:r>
      <w:r w:rsidRPr="00981995">
        <w:rPr>
          <w:sz w:val="20"/>
        </w:rPr>
        <w:t xml:space="preserve">). These weights were applied in an ordinal logistic regression model </w:t>
      </w:r>
      <w:r w:rsidR="00BA1008">
        <w:rPr>
          <w:sz w:val="20"/>
        </w:rPr>
        <w:t>of SPT wheal size category</w:t>
      </w:r>
      <w:r w:rsidR="00413EF3">
        <w:rPr>
          <w:sz w:val="20"/>
        </w:rPr>
        <w:t xml:space="preserve"> </w:t>
      </w:r>
      <w:r w:rsidR="008C2DFF" w:rsidRPr="00981995">
        <w:rPr>
          <w:sz w:val="20"/>
        </w:rPr>
        <w:t xml:space="preserve">at each </w:t>
      </w:r>
      <w:r w:rsidRPr="00981995">
        <w:rPr>
          <w:sz w:val="20"/>
        </w:rPr>
        <w:t xml:space="preserve">month of age </w:t>
      </w:r>
      <w:r w:rsidR="004D62E1" w:rsidRPr="00981995">
        <w:rPr>
          <w:sz w:val="20"/>
        </w:rPr>
        <w:t>with</w:t>
      </w:r>
      <w:r w:rsidRPr="00981995">
        <w:rPr>
          <w:sz w:val="20"/>
        </w:rPr>
        <w:t xml:space="preserve"> peanut avoidance (</w:t>
      </w:r>
      <w:r w:rsidRPr="00981995">
        <w:rPr>
          <w:b/>
          <w:sz w:val="20"/>
        </w:rPr>
        <w:t xml:space="preserve">Figure </w:t>
      </w:r>
      <w:r w:rsidR="002E7BDF">
        <w:rPr>
          <w:b/>
          <w:sz w:val="20"/>
        </w:rPr>
        <w:t>E</w:t>
      </w:r>
      <w:r w:rsidRPr="00981995">
        <w:rPr>
          <w:b/>
          <w:sz w:val="20"/>
        </w:rPr>
        <w:t>3)</w:t>
      </w:r>
      <w:r w:rsidRPr="00981995">
        <w:rPr>
          <w:sz w:val="20"/>
        </w:rPr>
        <w:t xml:space="preserve">. </w:t>
      </w:r>
    </w:p>
    <w:p w14:paraId="38A69B8A" w14:textId="4D2A172A" w:rsidR="00E139B3" w:rsidRPr="00981995" w:rsidRDefault="00E139B3" w:rsidP="00981995">
      <w:pPr>
        <w:spacing w:after="120" w:line="480" w:lineRule="auto"/>
        <w:rPr>
          <w:i/>
          <w:sz w:val="20"/>
        </w:rPr>
      </w:pPr>
      <w:r w:rsidRPr="00981995">
        <w:rPr>
          <w:i/>
          <w:sz w:val="20"/>
        </w:rPr>
        <w:t xml:space="preserve">Estimation of the prevalence of allergy at 5 years </w:t>
      </w:r>
      <w:r w:rsidR="004D62E1" w:rsidRPr="00981995">
        <w:rPr>
          <w:i/>
          <w:sz w:val="20"/>
        </w:rPr>
        <w:t>with</w:t>
      </w:r>
      <w:r w:rsidRPr="00981995">
        <w:rPr>
          <w:i/>
          <w:sz w:val="20"/>
        </w:rPr>
        <w:t xml:space="preserve"> peanut avoidance </w:t>
      </w:r>
      <w:r w:rsidR="004D62E1" w:rsidRPr="00981995">
        <w:rPr>
          <w:i/>
          <w:sz w:val="20"/>
        </w:rPr>
        <w:t xml:space="preserve">or </w:t>
      </w:r>
      <w:r w:rsidRPr="00981995">
        <w:rPr>
          <w:i/>
          <w:sz w:val="20"/>
        </w:rPr>
        <w:t>early introduction</w:t>
      </w:r>
    </w:p>
    <w:p w14:paraId="6AA9D672" w14:textId="43BEC63A" w:rsidR="00E139B3" w:rsidRPr="00981995" w:rsidRDefault="00E139B3" w:rsidP="00981995">
      <w:pPr>
        <w:spacing w:after="120" w:line="480" w:lineRule="auto"/>
        <w:rPr>
          <w:sz w:val="20"/>
        </w:rPr>
      </w:pPr>
      <w:r w:rsidRPr="00981995">
        <w:rPr>
          <w:sz w:val="20"/>
        </w:rPr>
        <w:t xml:space="preserve">A logistic regression model was used to estimate the prevalence of allergy at 5 years of life </w:t>
      </w:r>
      <w:r w:rsidR="0092013A" w:rsidRPr="00981995">
        <w:rPr>
          <w:sz w:val="20"/>
        </w:rPr>
        <w:t xml:space="preserve">depending </w:t>
      </w:r>
      <w:r w:rsidRPr="00981995">
        <w:rPr>
          <w:sz w:val="20"/>
        </w:rPr>
        <w:t xml:space="preserve">on </w:t>
      </w:r>
      <w:r w:rsidR="0092013A" w:rsidRPr="00981995">
        <w:rPr>
          <w:sz w:val="20"/>
        </w:rPr>
        <w:t xml:space="preserve">peanut </w:t>
      </w:r>
      <w:r w:rsidRPr="00981995">
        <w:rPr>
          <w:sz w:val="20"/>
        </w:rPr>
        <w:t>SPT size and age in the first year of life</w:t>
      </w:r>
      <w:r w:rsidR="0092013A" w:rsidRPr="00981995">
        <w:rPr>
          <w:sz w:val="20"/>
        </w:rPr>
        <w:t xml:space="preserve"> with</w:t>
      </w:r>
      <w:r w:rsidRPr="00981995">
        <w:rPr>
          <w:sz w:val="20"/>
        </w:rPr>
        <w:t xml:space="preserve"> peanut avoidance (</w:t>
      </w:r>
      <w:r w:rsidRPr="00981995">
        <w:rPr>
          <w:b/>
          <w:sz w:val="20"/>
        </w:rPr>
        <w:t xml:space="preserve">Figure </w:t>
      </w:r>
      <w:r w:rsidR="002E7BDF">
        <w:rPr>
          <w:b/>
          <w:sz w:val="20"/>
        </w:rPr>
        <w:t>E</w:t>
      </w:r>
      <w:r w:rsidRPr="00981995">
        <w:rPr>
          <w:b/>
          <w:sz w:val="20"/>
        </w:rPr>
        <w:t>3</w:t>
      </w:r>
      <w:r w:rsidRPr="00981995">
        <w:rPr>
          <w:sz w:val="20"/>
        </w:rPr>
        <w:t xml:space="preserve">).  The LEAP intention to treat intervention effect was estimated using logistic regression </w:t>
      </w:r>
      <w:r w:rsidR="0092013A" w:rsidRPr="00981995">
        <w:rPr>
          <w:sz w:val="20"/>
        </w:rPr>
        <w:t xml:space="preserve">(see </w:t>
      </w:r>
      <w:r w:rsidR="00291D2F" w:rsidRPr="00BE340F">
        <w:rPr>
          <w:b/>
          <w:sz w:val="20"/>
        </w:rPr>
        <w:t xml:space="preserve">supplementary </w:t>
      </w:r>
      <w:r w:rsidR="005F48B4" w:rsidRPr="00BE340F">
        <w:rPr>
          <w:b/>
          <w:sz w:val="20"/>
        </w:rPr>
        <w:t xml:space="preserve">Methods </w:t>
      </w:r>
      <w:r w:rsidR="0092013A" w:rsidRPr="00BE340F">
        <w:rPr>
          <w:b/>
          <w:sz w:val="20"/>
        </w:rPr>
        <w:t>section 1F</w:t>
      </w:r>
      <w:r w:rsidR="0092013A" w:rsidRPr="00981995">
        <w:rPr>
          <w:sz w:val="20"/>
        </w:rPr>
        <w:t>)</w:t>
      </w:r>
      <w:r w:rsidR="00FA21DD">
        <w:rPr>
          <w:sz w:val="20"/>
        </w:rPr>
        <w:t xml:space="preserve">, where </w:t>
      </w:r>
      <w:r w:rsidR="001767DA">
        <w:rPr>
          <w:sz w:val="20"/>
        </w:rPr>
        <w:t>this effect</w:t>
      </w:r>
      <w:r w:rsidR="00FA21DD">
        <w:rPr>
          <w:sz w:val="20"/>
        </w:rPr>
        <w:t xml:space="preserve"> represents the reduction in allergy if introducing peanut </w:t>
      </w:r>
      <w:r w:rsidR="00413EF3">
        <w:rPr>
          <w:sz w:val="20"/>
        </w:rPr>
        <w:t xml:space="preserve">conditional on each </w:t>
      </w:r>
      <w:r w:rsidR="00FA21DD">
        <w:rPr>
          <w:sz w:val="20"/>
        </w:rPr>
        <w:t xml:space="preserve">SPT size during the first year of life versus avoiding peanut </w:t>
      </w:r>
      <w:r w:rsidR="00D64EC8">
        <w:rPr>
          <w:sz w:val="20"/>
        </w:rPr>
        <w:t>until age 5</w:t>
      </w:r>
      <w:r w:rsidR="00290D99">
        <w:rPr>
          <w:sz w:val="20"/>
        </w:rPr>
        <w:t xml:space="preserve"> (</w:t>
      </w:r>
      <w:r w:rsidR="00290D99" w:rsidRPr="00BE340F">
        <w:rPr>
          <w:b/>
          <w:sz w:val="20"/>
        </w:rPr>
        <w:t xml:space="preserve">Figure </w:t>
      </w:r>
      <w:r w:rsidR="002E7BDF" w:rsidRPr="002E7BDF">
        <w:rPr>
          <w:b/>
          <w:sz w:val="20"/>
        </w:rPr>
        <w:t>E</w:t>
      </w:r>
      <w:r w:rsidR="00290D99" w:rsidRPr="00BE340F">
        <w:rPr>
          <w:b/>
          <w:sz w:val="20"/>
        </w:rPr>
        <w:t>4</w:t>
      </w:r>
      <w:r w:rsidR="00290D99">
        <w:rPr>
          <w:sz w:val="20"/>
        </w:rPr>
        <w:t>)</w:t>
      </w:r>
      <w:r w:rsidR="0092013A" w:rsidRPr="00981995">
        <w:rPr>
          <w:sz w:val="20"/>
        </w:rPr>
        <w:t>.</w:t>
      </w:r>
      <w:r w:rsidR="0092013A" w:rsidRPr="00981995" w:rsidDel="0092013A">
        <w:rPr>
          <w:sz w:val="20"/>
        </w:rPr>
        <w:t xml:space="preserve"> </w:t>
      </w:r>
    </w:p>
    <w:p w14:paraId="1094C10A" w14:textId="77777777" w:rsidR="00E139B3" w:rsidRPr="00981995" w:rsidRDefault="00E139B3" w:rsidP="00981995">
      <w:pPr>
        <w:spacing w:after="120" w:line="480" w:lineRule="auto"/>
        <w:rPr>
          <w:i/>
          <w:sz w:val="20"/>
        </w:rPr>
      </w:pPr>
      <w:r w:rsidRPr="00981995">
        <w:rPr>
          <w:i/>
          <w:sz w:val="20"/>
        </w:rPr>
        <w:t xml:space="preserve">Estimating the optimal timing of introduction of peanut into the diet to prevent peanut allergy </w:t>
      </w:r>
    </w:p>
    <w:p w14:paraId="35BE4625" w14:textId="08C76B20" w:rsidR="00E139B3" w:rsidRPr="00981995" w:rsidRDefault="00E139B3" w:rsidP="00981995">
      <w:pPr>
        <w:spacing w:after="120" w:line="480" w:lineRule="auto"/>
        <w:rPr>
          <w:sz w:val="20"/>
        </w:rPr>
      </w:pPr>
      <w:r w:rsidRPr="00981995">
        <w:rPr>
          <w:sz w:val="20"/>
        </w:rPr>
        <w:t>The LEAP intervention effect was applied</w:t>
      </w:r>
      <w:r w:rsidR="00BB5183">
        <w:rPr>
          <w:sz w:val="20"/>
        </w:rPr>
        <w:t xml:space="preserve">, stratified by </w:t>
      </w:r>
      <w:r w:rsidRPr="00981995">
        <w:rPr>
          <w:sz w:val="20"/>
        </w:rPr>
        <w:t>age</w:t>
      </w:r>
      <w:r w:rsidR="00BB5183">
        <w:rPr>
          <w:sz w:val="20"/>
        </w:rPr>
        <w:t xml:space="preserve"> and</w:t>
      </w:r>
      <w:r w:rsidRPr="00981995">
        <w:rPr>
          <w:sz w:val="20"/>
        </w:rPr>
        <w:t xml:space="preserve"> </w:t>
      </w:r>
      <w:r w:rsidR="00342A83" w:rsidRPr="00981995">
        <w:rPr>
          <w:sz w:val="20"/>
        </w:rPr>
        <w:t xml:space="preserve">peanut </w:t>
      </w:r>
      <w:r w:rsidRPr="00981995">
        <w:rPr>
          <w:sz w:val="20"/>
        </w:rPr>
        <w:t>SPT size, to determine the prevalence of allergy at 5 years of age, under both strategies</w:t>
      </w:r>
      <w:r w:rsidR="006E4E68" w:rsidRPr="00981995">
        <w:rPr>
          <w:sz w:val="20"/>
        </w:rPr>
        <w:t xml:space="preserve"> using different approache</w:t>
      </w:r>
      <w:r w:rsidR="00BB5183">
        <w:rPr>
          <w:sz w:val="20"/>
        </w:rPr>
        <w:t>s</w:t>
      </w:r>
      <w:r w:rsidR="006E4E68" w:rsidRPr="00981995">
        <w:rPr>
          <w:sz w:val="20"/>
        </w:rPr>
        <w:t xml:space="preserve"> (see </w:t>
      </w:r>
      <w:r w:rsidR="00BC5A83" w:rsidRPr="00BE340F">
        <w:rPr>
          <w:b/>
          <w:sz w:val="20"/>
        </w:rPr>
        <w:t xml:space="preserve">supplementary </w:t>
      </w:r>
      <w:r w:rsidR="005F48B4" w:rsidRPr="00BE340F">
        <w:rPr>
          <w:b/>
          <w:sz w:val="20"/>
        </w:rPr>
        <w:t>Methods</w:t>
      </w:r>
      <w:r w:rsidR="005F48B4" w:rsidRPr="00BE340F" w:rsidDel="005F48B4">
        <w:rPr>
          <w:b/>
          <w:sz w:val="20"/>
        </w:rPr>
        <w:t xml:space="preserve"> </w:t>
      </w:r>
      <w:r w:rsidR="006E4E68" w:rsidRPr="00BE340F">
        <w:rPr>
          <w:b/>
          <w:sz w:val="20"/>
        </w:rPr>
        <w:t>section 1G</w:t>
      </w:r>
      <w:r w:rsidR="006E4E68" w:rsidRPr="00981995">
        <w:rPr>
          <w:sz w:val="20"/>
        </w:rPr>
        <w:t>)</w:t>
      </w:r>
      <w:r w:rsidRPr="00981995">
        <w:rPr>
          <w:sz w:val="20"/>
        </w:rPr>
        <w:t xml:space="preserve"> to estimat</w:t>
      </w:r>
      <w:r w:rsidR="00342A83" w:rsidRPr="00981995">
        <w:rPr>
          <w:sz w:val="20"/>
        </w:rPr>
        <w:t xml:space="preserve">e </w:t>
      </w:r>
      <w:r w:rsidRPr="00981995">
        <w:rPr>
          <w:sz w:val="20"/>
        </w:rPr>
        <w:t xml:space="preserve">the relative reduction of peanut allergy by </w:t>
      </w:r>
      <w:r w:rsidR="00342A83" w:rsidRPr="00981995">
        <w:rPr>
          <w:sz w:val="20"/>
        </w:rPr>
        <w:t xml:space="preserve">age of </w:t>
      </w:r>
      <w:r w:rsidRPr="00981995">
        <w:rPr>
          <w:sz w:val="20"/>
        </w:rPr>
        <w:t>interven</w:t>
      </w:r>
      <w:r w:rsidR="00342A83" w:rsidRPr="00981995">
        <w:rPr>
          <w:sz w:val="20"/>
        </w:rPr>
        <w:t>tion</w:t>
      </w:r>
      <w:r w:rsidRPr="00981995">
        <w:rPr>
          <w:sz w:val="20"/>
        </w:rPr>
        <w:t xml:space="preserve">. </w:t>
      </w:r>
    </w:p>
    <w:p w14:paraId="3C2792A6" w14:textId="1963B784" w:rsidR="004E6913" w:rsidRPr="00981995" w:rsidRDefault="00794CF6" w:rsidP="00981995">
      <w:pPr>
        <w:spacing w:after="120" w:line="480" w:lineRule="auto"/>
        <w:rPr>
          <w:sz w:val="20"/>
        </w:rPr>
      </w:pPr>
      <w:r>
        <w:rPr>
          <w:rFonts w:eastAsia="Times New Roman" w:cs="Times New Roman"/>
          <w:sz w:val="20"/>
        </w:rPr>
        <w:t>Analyses were performed using R version 4.0.2 (Vienna, Austria), JMP Pro 15, and SAS 9.4 (Cary, NC).</w:t>
      </w:r>
      <w:r w:rsidR="00EF6FA2">
        <w:rPr>
          <w:sz w:val="20"/>
        </w:rPr>
        <w:t xml:space="preserve"> </w:t>
      </w:r>
    </w:p>
    <w:p w14:paraId="4E239DAB" w14:textId="77777777" w:rsidR="00EF6FA2" w:rsidRDefault="00EF6FA2" w:rsidP="00981995">
      <w:pPr>
        <w:spacing w:after="120" w:line="480" w:lineRule="auto"/>
        <w:rPr>
          <w:b/>
          <w:sz w:val="20"/>
        </w:rPr>
      </w:pPr>
    </w:p>
    <w:p w14:paraId="0FB51B67" w14:textId="3A7BB5DB" w:rsidR="00E139B3" w:rsidRPr="00981995" w:rsidRDefault="00E139B3" w:rsidP="00981995">
      <w:pPr>
        <w:spacing w:after="120" w:line="480" w:lineRule="auto"/>
        <w:rPr>
          <w:sz w:val="24"/>
          <w:szCs w:val="24"/>
        </w:rPr>
      </w:pPr>
      <w:r w:rsidRPr="00981995">
        <w:rPr>
          <w:sz w:val="24"/>
          <w:szCs w:val="24"/>
        </w:rPr>
        <w:br w:type="page"/>
      </w:r>
    </w:p>
    <w:p w14:paraId="31E9012E" w14:textId="4149EAD4" w:rsidR="00E139B3" w:rsidRPr="00E2447E" w:rsidRDefault="00E139B3" w:rsidP="00981995">
      <w:pPr>
        <w:pStyle w:val="Heading1"/>
        <w:spacing w:line="480" w:lineRule="auto"/>
        <w:rPr>
          <w:b w:val="0"/>
          <w:sz w:val="24"/>
        </w:rPr>
      </w:pPr>
      <w:r w:rsidRPr="00E2447E">
        <w:rPr>
          <w:sz w:val="24"/>
        </w:rPr>
        <w:lastRenderedPageBreak/>
        <w:t xml:space="preserve">RESULTS </w:t>
      </w:r>
      <w:r w:rsidR="00CD6704" w:rsidRPr="00E2447E">
        <w:rPr>
          <w:sz w:val="24"/>
        </w:rPr>
        <w:t xml:space="preserve"> </w:t>
      </w:r>
    </w:p>
    <w:p w14:paraId="43D7F69E" w14:textId="7EF164EE" w:rsidR="005116DD" w:rsidRPr="00981995" w:rsidRDefault="00E139B3" w:rsidP="00981995">
      <w:pPr>
        <w:spacing w:after="120" w:line="480" w:lineRule="auto"/>
        <w:rPr>
          <w:bCs/>
          <w:sz w:val="20"/>
        </w:rPr>
      </w:pPr>
      <w:r w:rsidRPr="00981995">
        <w:rPr>
          <w:rFonts w:eastAsia="Times New Roman" w:cs="Times New Roman"/>
          <w:sz w:val="20"/>
        </w:rPr>
        <w:t xml:space="preserve">The EAT, LEAP and PAS study participants are described in </w:t>
      </w:r>
      <w:r w:rsidRPr="00981995">
        <w:rPr>
          <w:rFonts w:eastAsia="Times New Roman" w:cs="Times New Roman"/>
          <w:b/>
          <w:sz w:val="20"/>
        </w:rPr>
        <w:t xml:space="preserve">Figure </w:t>
      </w:r>
      <w:r w:rsidR="002E7BDF">
        <w:rPr>
          <w:rFonts w:eastAsia="Times New Roman" w:cs="Times New Roman"/>
          <w:b/>
          <w:sz w:val="20"/>
        </w:rPr>
        <w:t>E</w:t>
      </w:r>
      <w:r w:rsidRPr="00981995">
        <w:rPr>
          <w:rFonts w:eastAsia="Times New Roman" w:cs="Times New Roman"/>
          <w:b/>
          <w:sz w:val="20"/>
        </w:rPr>
        <w:t>5</w:t>
      </w:r>
      <w:r w:rsidRPr="00981995">
        <w:rPr>
          <w:rFonts w:eastAsia="Times New Roman" w:cs="Times New Roman"/>
          <w:sz w:val="20"/>
        </w:rPr>
        <w:t>. Together they covered the entire range of eczema severity (</w:t>
      </w:r>
      <w:r w:rsidRPr="00981995">
        <w:rPr>
          <w:rFonts w:eastAsia="Times New Roman" w:cs="Times New Roman"/>
          <w:b/>
          <w:sz w:val="20"/>
        </w:rPr>
        <w:t xml:space="preserve">Figure </w:t>
      </w:r>
      <w:r w:rsidR="002E7BDF">
        <w:rPr>
          <w:rFonts w:eastAsia="Times New Roman" w:cs="Times New Roman"/>
          <w:b/>
          <w:sz w:val="20"/>
        </w:rPr>
        <w:t>E</w:t>
      </w:r>
      <w:r w:rsidRPr="00981995">
        <w:rPr>
          <w:rFonts w:eastAsia="Times New Roman" w:cs="Times New Roman"/>
          <w:b/>
          <w:sz w:val="20"/>
        </w:rPr>
        <w:t>6</w:t>
      </w:r>
      <w:r w:rsidRPr="00981995">
        <w:rPr>
          <w:b/>
          <w:bCs/>
          <w:sz w:val="20"/>
        </w:rPr>
        <w:t>)</w:t>
      </w:r>
      <w:r w:rsidRPr="00981995">
        <w:rPr>
          <w:bCs/>
          <w:sz w:val="20"/>
        </w:rPr>
        <w:t xml:space="preserve">. </w:t>
      </w:r>
    </w:p>
    <w:p w14:paraId="5347EC5E" w14:textId="7930EA60" w:rsidR="00E139B3" w:rsidRPr="00981995" w:rsidRDefault="00E139B3" w:rsidP="00981995">
      <w:pPr>
        <w:spacing w:after="120" w:line="480" w:lineRule="auto"/>
        <w:rPr>
          <w:bCs/>
          <w:sz w:val="20"/>
        </w:rPr>
      </w:pPr>
    </w:p>
    <w:p w14:paraId="0943C671" w14:textId="32D8F807" w:rsidR="00E139B3" w:rsidRPr="00981995" w:rsidRDefault="00E139B3" w:rsidP="00981995">
      <w:pPr>
        <w:pStyle w:val="Heading2"/>
        <w:spacing w:before="0" w:after="120" w:line="480" w:lineRule="auto"/>
        <w:contextualSpacing w:val="0"/>
        <w:rPr>
          <w:sz w:val="20"/>
          <w:u w:val="none"/>
        </w:rPr>
      </w:pPr>
      <w:r w:rsidRPr="00981995">
        <w:rPr>
          <w:sz w:val="20"/>
          <w:u w:val="none"/>
        </w:rPr>
        <w:t xml:space="preserve">Impact of early introduction is not as effective among all participants screened in LEAP as many already </w:t>
      </w:r>
      <w:r w:rsidR="00636518">
        <w:rPr>
          <w:sz w:val="20"/>
          <w:u w:val="none"/>
        </w:rPr>
        <w:t xml:space="preserve">had peanut </w:t>
      </w:r>
      <w:r w:rsidRPr="00981995">
        <w:rPr>
          <w:sz w:val="20"/>
          <w:u w:val="none"/>
        </w:rPr>
        <w:t>allerg</w:t>
      </w:r>
      <w:r w:rsidR="00636518">
        <w:rPr>
          <w:sz w:val="20"/>
          <w:u w:val="none"/>
        </w:rPr>
        <w:t>y</w:t>
      </w:r>
    </w:p>
    <w:p w14:paraId="08208CEF" w14:textId="730D24A1" w:rsidR="00E139B3" w:rsidRPr="00981995" w:rsidRDefault="00E139B3" w:rsidP="00981995">
      <w:pPr>
        <w:spacing w:line="480" w:lineRule="auto"/>
        <w:rPr>
          <w:b/>
          <w:sz w:val="20"/>
        </w:rPr>
      </w:pPr>
      <w:r w:rsidRPr="00981995">
        <w:rPr>
          <w:sz w:val="20"/>
        </w:rPr>
        <w:t>Early introduction of peanuts in the LEAP study resulted in an 81% reduction in peanut allergy at 60 months of age in the intention-to-treat analysis (</w:t>
      </w:r>
      <w:r w:rsidRPr="00981995">
        <w:rPr>
          <w:b/>
          <w:sz w:val="20"/>
        </w:rPr>
        <w:t>Table 1</w:t>
      </w:r>
      <w:r w:rsidRPr="00981995">
        <w:rPr>
          <w:sz w:val="20"/>
        </w:rPr>
        <w:t>).</w:t>
      </w:r>
      <w:r w:rsidR="0081248C" w:rsidRPr="00981995">
        <w:rPr>
          <w:sz w:val="20"/>
          <w:vertAlign w:val="superscript"/>
        </w:rPr>
        <w:t>7</w:t>
      </w:r>
      <w:r w:rsidRPr="00981995">
        <w:rPr>
          <w:sz w:val="20"/>
        </w:rPr>
        <w:t xml:space="preserve"> Many participants were excluded from LEAP as they had likely peanut allergy by 4-11 months of age when the intervention </w:t>
      </w:r>
      <w:r w:rsidRPr="0042601D">
        <w:rPr>
          <w:sz w:val="20"/>
        </w:rPr>
        <w:t>was applied.</w:t>
      </w:r>
      <w:r w:rsidR="006553D0" w:rsidRPr="00196B10">
        <w:rPr>
          <w:sz w:val="20"/>
          <w:vertAlign w:val="superscript"/>
        </w:rPr>
        <w:t>1</w:t>
      </w:r>
      <w:r w:rsidR="0042601D" w:rsidRPr="00196B10">
        <w:rPr>
          <w:sz w:val="20"/>
          <w:vertAlign w:val="superscript"/>
        </w:rPr>
        <w:t>8</w:t>
      </w:r>
      <w:r w:rsidR="006553D0" w:rsidRPr="00196B10">
        <w:rPr>
          <w:sz w:val="20"/>
          <w:vertAlign w:val="superscript"/>
        </w:rPr>
        <w:t>, 1</w:t>
      </w:r>
      <w:r w:rsidR="0042601D" w:rsidRPr="00196B10">
        <w:rPr>
          <w:sz w:val="20"/>
          <w:vertAlign w:val="superscript"/>
        </w:rPr>
        <w:t>9</w:t>
      </w:r>
      <w:r w:rsidR="008125CA" w:rsidRPr="008932A1">
        <w:rPr>
          <w:sz w:val="20"/>
        </w:rPr>
        <w:t xml:space="preserve"> </w:t>
      </w:r>
      <w:r w:rsidRPr="0042601D">
        <w:rPr>
          <w:sz w:val="20"/>
        </w:rPr>
        <w:t>If all</w:t>
      </w:r>
      <w:r w:rsidRPr="00981995">
        <w:rPr>
          <w:sz w:val="20"/>
        </w:rPr>
        <w:t xml:space="preserve"> participants in the LEAP screening study had received the intervention, the </w:t>
      </w:r>
      <w:r w:rsidR="009213DC" w:rsidRPr="00981995">
        <w:rPr>
          <w:sz w:val="20"/>
        </w:rPr>
        <w:t xml:space="preserve">overall </w:t>
      </w:r>
      <w:r w:rsidRPr="00981995">
        <w:rPr>
          <w:sz w:val="20"/>
        </w:rPr>
        <w:t>reduction would have been 52% (</w:t>
      </w:r>
      <w:r w:rsidRPr="00981995">
        <w:rPr>
          <w:b/>
          <w:sz w:val="20"/>
        </w:rPr>
        <w:t>Table 1</w:t>
      </w:r>
      <w:r w:rsidRPr="00981995">
        <w:rPr>
          <w:sz w:val="20"/>
        </w:rPr>
        <w:t xml:space="preserve">). </w:t>
      </w:r>
    </w:p>
    <w:p w14:paraId="63CB62EC" w14:textId="77777777" w:rsidR="00E139B3" w:rsidRPr="00981995" w:rsidRDefault="00E139B3" w:rsidP="00981995">
      <w:pPr>
        <w:spacing w:line="480" w:lineRule="auto"/>
        <w:rPr>
          <w:sz w:val="20"/>
        </w:rPr>
      </w:pPr>
    </w:p>
    <w:p w14:paraId="0C9ED71F" w14:textId="77777777" w:rsidR="00E139B3" w:rsidRPr="00981995" w:rsidRDefault="00E139B3" w:rsidP="00981995">
      <w:pPr>
        <w:spacing w:line="480" w:lineRule="auto"/>
        <w:rPr>
          <w:rFonts w:cs="Times New Roman"/>
          <w:color w:val="000000" w:themeColor="text1"/>
          <w:sz w:val="20"/>
        </w:rPr>
      </w:pPr>
      <w:r w:rsidRPr="00981995">
        <w:rPr>
          <w:b/>
          <w:sz w:val="20"/>
        </w:rPr>
        <w:t>Baseline factors associated with peanut allergy during infancy</w:t>
      </w:r>
    </w:p>
    <w:p w14:paraId="44AF7C81" w14:textId="77777777" w:rsidR="00E139B3" w:rsidRPr="00981995" w:rsidRDefault="00E139B3" w:rsidP="00981995">
      <w:pPr>
        <w:spacing w:line="480" w:lineRule="auto"/>
        <w:rPr>
          <w:rFonts w:cs="Times New Roman"/>
          <w:color w:val="000000" w:themeColor="text1"/>
          <w:sz w:val="20"/>
          <w:u w:val="single"/>
        </w:rPr>
      </w:pPr>
      <w:r w:rsidRPr="00981995">
        <w:rPr>
          <w:rFonts w:cs="Times New Roman"/>
          <w:color w:val="000000" w:themeColor="text1"/>
          <w:sz w:val="20"/>
          <w:u w:val="single"/>
        </w:rPr>
        <w:t>Increasing age or duration and severity of eczema are related to likelihood of peanut allergy in first year of life.</w:t>
      </w:r>
    </w:p>
    <w:p w14:paraId="1B483C34" w14:textId="48AFE9ED" w:rsidR="00E139B3" w:rsidRPr="00981995" w:rsidRDefault="00E139B3" w:rsidP="00981995">
      <w:pPr>
        <w:spacing w:after="120" w:line="480" w:lineRule="auto"/>
        <w:rPr>
          <w:sz w:val="20"/>
        </w:rPr>
      </w:pPr>
      <w:r w:rsidRPr="00981995">
        <w:rPr>
          <w:sz w:val="20"/>
        </w:rPr>
        <w:t>In the LEAP screening study</w:t>
      </w:r>
      <w:r w:rsidR="00CA136B">
        <w:rPr>
          <w:sz w:val="20"/>
        </w:rPr>
        <w:t>,</w:t>
      </w:r>
      <w:r w:rsidRPr="00981995">
        <w:rPr>
          <w:sz w:val="20"/>
        </w:rPr>
        <w:t xml:space="preserve"> the likelihood of peanut allergy at the baseline assessment increased with increasing age and severity of eczema (</w:t>
      </w:r>
      <w:r w:rsidRPr="00981995">
        <w:rPr>
          <w:b/>
          <w:sz w:val="20"/>
        </w:rPr>
        <w:t>Figure 1A</w:t>
      </w:r>
      <w:r w:rsidRPr="00981995">
        <w:rPr>
          <w:sz w:val="20"/>
        </w:rPr>
        <w:t>). There was a similar relationship between peanut allergy and increasing duration of eczema (</w:t>
      </w:r>
      <w:r w:rsidRPr="00981995">
        <w:rPr>
          <w:b/>
          <w:sz w:val="20"/>
        </w:rPr>
        <w:t>Figure 1B</w:t>
      </w:r>
      <w:r w:rsidRPr="00981995">
        <w:rPr>
          <w:sz w:val="20"/>
        </w:rPr>
        <w:t>)</w:t>
      </w:r>
      <w:r w:rsidR="00DE5E6C" w:rsidRPr="00981995">
        <w:rPr>
          <w:sz w:val="20"/>
        </w:rPr>
        <w:t xml:space="preserve"> with</w:t>
      </w:r>
      <w:r w:rsidRPr="00981995">
        <w:rPr>
          <w:sz w:val="20"/>
        </w:rPr>
        <w:t xml:space="preserve"> duration </w:t>
      </w:r>
      <w:r w:rsidR="00DE5E6C" w:rsidRPr="00981995">
        <w:rPr>
          <w:sz w:val="20"/>
        </w:rPr>
        <w:t xml:space="preserve">being </w:t>
      </w:r>
      <w:r w:rsidRPr="00981995">
        <w:rPr>
          <w:sz w:val="20"/>
        </w:rPr>
        <w:t>the more important risk factor (</w:t>
      </w:r>
      <w:r w:rsidRPr="00981995">
        <w:rPr>
          <w:b/>
          <w:sz w:val="20"/>
        </w:rPr>
        <w:t xml:space="preserve">Figure </w:t>
      </w:r>
      <w:r w:rsidR="002E7BDF">
        <w:rPr>
          <w:b/>
          <w:sz w:val="20"/>
        </w:rPr>
        <w:t>E</w:t>
      </w:r>
      <w:r w:rsidR="008A0D3F">
        <w:rPr>
          <w:b/>
          <w:sz w:val="20"/>
        </w:rPr>
        <w:t>7</w:t>
      </w:r>
      <w:r w:rsidRPr="00981995">
        <w:rPr>
          <w:sz w:val="20"/>
        </w:rPr>
        <w:t xml:space="preserve">). </w:t>
      </w:r>
    </w:p>
    <w:p w14:paraId="3D3A5A7A" w14:textId="77777777" w:rsidR="00E139B3" w:rsidRPr="00981995" w:rsidRDefault="00E139B3" w:rsidP="00981995">
      <w:pPr>
        <w:pStyle w:val="Heading4"/>
        <w:spacing w:before="0" w:after="120" w:line="480" w:lineRule="auto"/>
        <w:contextualSpacing w:val="0"/>
        <w:rPr>
          <w:rFonts w:ascii="Times New Roman" w:hAnsi="Times New Roman" w:cs="Times New Roman"/>
          <w:color w:val="000000" w:themeColor="text1"/>
          <w:sz w:val="20"/>
        </w:rPr>
      </w:pPr>
      <w:r w:rsidRPr="00981995">
        <w:rPr>
          <w:rFonts w:ascii="Times New Roman" w:hAnsi="Times New Roman" w:cs="Times New Roman"/>
          <w:color w:val="000000" w:themeColor="text1"/>
          <w:sz w:val="20"/>
        </w:rPr>
        <w:t>Diameter of SPT wheal increases with age during infancy and most who develop peanut allergy by 5 years have allergy by 12 months</w:t>
      </w:r>
    </w:p>
    <w:p w14:paraId="02ADCE05" w14:textId="4B04E137" w:rsidR="00E139B3" w:rsidRPr="00981995" w:rsidRDefault="00E139B3" w:rsidP="00981995">
      <w:pPr>
        <w:spacing w:after="120" w:line="480" w:lineRule="auto"/>
        <w:rPr>
          <w:rFonts w:cs="Times New Roman"/>
          <w:color w:val="000000" w:themeColor="text1"/>
          <w:sz w:val="20"/>
        </w:rPr>
      </w:pPr>
      <w:r w:rsidRPr="00981995">
        <w:rPr>
          <w:sz w:val="20"/>
        </w:rPr>
        <w:t xml:space="preserve">Data from the </w:t>
      </w:r>
      <w:r w:rsidR="000D760B" w:rsidRPr="00981995">
        <w:rPr>
          <w:sz w:val="20"/>
        </w:rPr>
        <w:t>high</w:t>
      </w:r>
      <w:r w:rsidR="000D760B">
        <w:rPr>
          <w:sz w:val="20"/>
        </w:rPr>
        <w:t>-</w:t>
      </w:r>
      <w:r w:rsidRPr="00981995">
        <w:rPr>
          <w:sz w:val="20"/>
        </w:rPr>
        <w:t xml:space="preserve">risk LEAP screening and </w:t>
      </w:r>
      <w:r w:rsidR="00346B93">
        <w:rPr>
          <w:sz w:val="20"/>
        </w:rPr>
        <w:t>normal</w:t>
      </w:r>
      <w:r w:rsidR="000D760B">
        <w:rPr>
          <w:sz w:val="20"/>
        </w:rPr>
        <w:t>-</w:t>
      </w:r>
      <w:r w:rsidRPr="00981995">
        <w:rPr>
          <w:sz w:val="20"/>
        </w:rPr>
        <w:t>risk EAT studies showed that participants who were older at screening were more likely to present with higher SPT wheal to peanut (</w:t>
      </w:r>
      <w:r w:rsidRPr="00981995">
        <w:rPr>
          <w:b/>
          <w:sz w:val="20"/>
        </w:rPr>
        <w:t xml:space="preserve">Figure </w:t>
      </w:r>
      <w:r w:rsidR="002E7BDF">
        <w:rPr>
          <w:b/>
          <w:sz w:val="20"/>
        </w:rPr>
        <w:t>E</w:t>
      </w:r>
      <w:r w:rsidR="00AA615D">
        <w:rPr>
          <w:b/>
          <w:sz w:val="20"/>
        </w:rPr>
        <w:t>8</w:t>
      </w:r>
      <w:r w:rsidRPr="00981995">
        <w:rPr>
          <w:sz w:val="20"/>
        </w:rPr>
        <w:t>)</w:t>
      </w:r>
      <w:r w:rsidR="00E65860" w:rsidRPr="00981995">
        <w:rPr>
          <w:sz w:val="20"/>
        </w:rPr>
        <w:t xml:space="preserve"> with none sensitized b</w:t>
      </w:r>
      <w:r w:rsidRPr="00981995">
        <w:rPr>
          <w:sz w:val="20"/>
        </w:rPr>
        <w:t xml:space="preserve">elow </w:t>
      </w:r>
      <w:r w:rsidR="00A64E73" w:rsidRPr="00981995">
        <w:rPr>
          <w:sz w:val="20"/>
        </w:rPr>
        <w:t>5</w:t>
      </w:r>
      <w:r w:rsidRPr="00981995">
        <w:rPr>
          <w:sz w:val="20"/>
        </w:rPr>
        <w:t xml:space="preserve"> months of age. Looking longitudinally at avoidance participants, the SPT wheal diameter of those who ultimately developed peanut allergy increased rapidly during the first year of life (</w:t>
      </w:r>
      <w:r w:rsidRPr="00981995">
        <w:rPr>
          <w:b/>
          <w:sz w:val="20"/>
        </w:rPr>
        <w:t xml:space="preserve">Figure </w:t>
      </w:r>
      <w:r w:rsidR="007E52AA">
        <w:rPr>
          <w:b/>
          <w:sz w:val="20"/>
        </w:rPr>
        <w:t>2</w:t>
      </w:r>
      <w:r w:rsidRPr="00981995">
        <w:rPr>
          <w:sz w:val="20"/>
        </w:rPr>
        <w:t>)</w:t>
      </w:r>
      <w:r w:rsidR="00602ADD" w:rsidRPr="00981995">
        <w:rPr>
          <w:sz w:val="20"/>
        </w:rPr>
        <w:t xml:space="preserve"> with most </w:t>
      </w:r>
      <w:r w:rsidR="00872E32" w:rsidRPr="00981995">
        <w:rPr>
          <w:sz w:val="20"/>
        </w:rPr>
        <w:t>allergic at 12 months (</w:t>
      </w:r>
      <w:r w:rsidRPr="00981995">
        <w:rPr>
          <w:sz w:val="20"/>
        </w:rPr>
        <w:t>peanut SPT &gt;4mm</w:t>
      </w:r>
      <w:r w:rsidR="00872E32" w:rsidRPr="00981995">
        <w:rPr>
          <w:sz w:val="20"/>
        </w:rPr>
        <w:t xml:space="preserve">, </w:t>
      </w:r>
      <w:r w:rsidRPr="00981995">
        <w:rPr>
          <w:sz w:val="20"/>
        </w:rPr>
        <w:t xml:space="preserve">highly predictive of </w:t>
      </w:r>
      <w:r w:rsidR="008125CA" w:rsidRPr="00981995">
        <w:rPr>
          <w:sz w:val="20"/>
        </w:rPr>
        <w:t>allergy</w:t>
      </w:r>
      <w:r w:rsidR="008125CA">
        <w:rPr>
          <w:noProof/>
          <w:sz w:val="20"/>
          <w:vertAlign w:val="superscript"/>
        </w:rPr>
        <w:t>1</w:t>
      </w:r>
      <w:r w:rsidR="0042601D">
        <w:rPr>
          <w:noProof/>
          <w:sz w:val="20"/>
          <w:vertAlign w:val="superscript"/>
        </w:rPr>
        <w:t>8-21</w:t>
      </w:r>
      <w:r w:rsidRPr="00981995">
        <w:rPr>
          <w:sz w:val="20"/>
        </w:rPr>
        <w:t xml:space="preserve">) (see </w:t>
      </w:r>
      <w:r w:rsidRPr="00981995">
        <w:rPr>
          <w:b/>
          <w:sz w:val="20"/>
        </w:rPr>
        <w:t xml:space="preserve">Table </w:t>
      </w:r>
      <w:r w:rsidR="002E7BDF">
        <w:rPr>
          <w:b/>
          <w:sz w:val="20"/>
        </w:rPr>
        <w:t>E</w:t>
      </w:r>
      <w:r w:rsidRPr="00981995">
        <w:rPr>
          <w:b/>
          <w:sz w:val="20"/>
        </w:rPr>
        <w:t>1</w:t>
      </w:r>
      <w:r w:rsidRPr="00981995">
        <w:rPr>
          <w:sz w:val="20"/>
        </w:rPr>
        <w:t xml:space="preserve">). </w:t>
      </w:r>
    </w:p>
    <w:p w14:paraId="60C5452B" w14:textId="33425A9A" w:rsidR="00E139B3" w:rsidRPr="00981995" w:rsidRDefault="00E139B3" w:rsidP="00981995">
      <w:pPr>
        <w:spacing w:line="480" w:lineRule="auto"/>
        <w:rPr>
          <w:sz w:val="20"/>
        </w:rPr>
      </w:pPr>
      <w:r w:rsidRPr="00981995">
        <w:rPr>
          <w:rFonts w:cs="Times New Roman"/>
          <w:color w:val="000000" w:themeColor="text1"/>
          <w:sz w:val="20"/>
          <w:u w:val="single"/>
        </w:rPr>
        <w:t xml:space="preserve">Non-white ethnicity is associated with greater development of peanut allergy during first year of life </w:t>
      </w:r>
    </w:p>
    <w:p w14:paraId="0AFB7B09" w14:textId="2058AFEC" w:rsidR="00E139B3" w:rsidRPr="00981995" w:rsidRDefault="00E139B3" w:rsidP="00981995">
      <w:pPr>
        <w:spacing w:line="480" w:lineRule="auto"/>
        <w:rPr>
          <w:sz w:val="20"/>
        </w:rPr>
      </w:pPr>
      <w:r w:rsidRPr="00981995">
        <w:rPr>
          <w:sz w:val="20"/>
        </w:rPr>
        <w:lastRenderedPageBreak/>
        <w:t xml:space="preserve">Combining the EAT and LEAP cohorts, non-white </w:t>
      </w:r>
      <w:r w:rsidR="00204D14" w:rsidRPr="00981995">
        <w:rPr>
          <w:sz w:val="20"/>
        </w:rPr>
        <w:t xml:space="preserve">(including mixed) </w:t>
      </w:r>
      <w:r w:rsidRPr="00981995">
        <w:rPr>
          <w:sz w:val="20"/>
        </w:rPr>
        <w:t>infants were estimated to have a higher likelihood of peanut allergy compared to white infants (relative risk=2.22, 95% confidence interval 1.45 to 3.33, p&lt;0.001) (</w:t>
      </w:r>
      <w:r w:rsidR="009B31BB" w:rsidRPr="00981995">
        <w:rPr>
          <w:sz w:val="20"/>
        </w:rPr>
        <w:t xml:space="preserve">see </w:t>
      </w:r>
      <w:r w:rsidR="000D760B" w:rsidRPr="00BE340F">
        <w:rPr>
          <w:b/>
          <w:sz w:val="20"/>
        </w:rPr>
        <w:t xml:space="preserve">supplementary </w:t>
      </w:r>
      <w:r w:rsidR="002D2E8A" w:rsidRPr="00BE340F">
        <w:rPr>
          <w:b/>
          <w:sz w:val="20"/>
        </w:rPr>
        <w:t>Methods</w:t>
      </w:r>
      <w:r w:rsidR="002D2E8A" w:rsidRPr="00BE340F" w:rsidDel="002D2E8A">
        <w:rPr>
          <w:b/>
          <w:sz w:val="20"/>
        </w:rPr>
        <w:t xml:space="preserve"> </w:t>
      </w:r>
      <w:r w:rsidR="009B31BB" w:rsidRPr="00BE340F">
        <w:rPr>
          <w:b/>
          <w:sz w:val="20"/>
        </w:rPr>
        <w:t>section 2B</w:t>
      </w:r>
      <w:r w:rsidR="009B31BB" w:rsidRPr="00981995">
        <w:rPr>
          <w:sz w:val="20"/>
        </w:rPr>
        <w:t xml:space="preserve">, </w:t>
      </w:r>
      <w:r w:rsidRPr="00981995">
        <w:rPr>
          <w:b/>
          <w:sz w:val="20"/>
        </w:rPr>
        <w:t xml:space="preserve">Figure </w:t>
      </w:r>
      <w:r w:rsidR="002E7BDF">
        <w:rPr>
          <w:b/>
          <w:sz w:val="20"/>
        </w:rPr>
        <w:t>E</w:t>
      </w:r>
      <w:r w:rsidR="00AA615D">
        <w:rPr>
          <w:b/>
          <w:sz w:val="20"/>
        </w:rPr>
        <w:t>9</w:t>
      </w:r>
      <w:r w:rsidRPr="00981995">
        <w:rPr>
          <w:sz w:val="20"/>
        </w:rPr>
        <w:t xml:space="preserve">). </w:t>
      </w:r>
    </w:p>
    <w:p w14:paraId="6CABCEC6" w14:textId="77777777" w:rsidR="00E139B3" w:rsidRPr="00981995" w:rsidRDefault="00E139B3" w:rsidP="00981995">
      <w:pPr>
        <w:pStyle w:val="Heading2"/>
        <w:tabs>
          <w:tab w:val="right" w:pos="9360"/>
        </w:tabs>
        <w:spacing w:before="0" w:after="120" w:line="480" w:lineRule="auto"/>
        <w:contextualSpacing w:val="0"/>
        <w:rPr>
          <w:sz w:val="20"/>
          <w:u w:val="none"/>
        </w:rPr>
      </w:pPr>
    </w:p>
    <w:p w14:paraId="16287F36" w14:textId="77777777" w:rsidR="00E139B3" w:rsidRPr="00981995" w:rsidRDefault="00E139B3" w:rsidP="00981995">
      <w:pPr>
        <w:pStyle w:val="Heading2"/>
        <w:tabs>
          <w:tab w:val="right" w:pos="9360"/>
        </w:tabs>
        <w:spacing w:before="0" w:after="120" w:line="480" w:lineRule="auto"/>
        <w:contextualSpacing w:val="0"/>
        <w:rPr>
          <w:sz w:val="20"/>
          <w:u w:val="none"/>
        </w:rPr>
      </w:pPr>
      <w:r w:rsidRPr="00981995">
        <w:rPr>
          <w:sz w:val="20"/>
          <w:u w:val="none"/>
        </w:rPr>
        <w:t xml:space="preserve">Estimating the impact of early introduction of peanut to the whole population and different risk groups  </w:t>
      </w:r>
    </w:p>
    <w:p w14:paraId="2AA50912" w14:textId="77777777" w:rsidR="00E139B3" w:rsidRPr="00981995" w:rsidRDefault="00E139B3" w:rsidP="00981995">
      <w:pPr>
        <w:pStyle w:val="Heading2"/>
        <w:spacing w:before="0" w:after="120" w:line="480" w:lineRule="auto"/>
        <w:contextualSpacing w:val="0"/>
        <w:rPr>
          <w:b w:val="0"/>
          <w:sz w:val="20"/>
        </w:rPr>
      </w:pPr>
      <w:r w:rsidRPr="00981995">
        <w:rPr>
          <w:b w:val="0"/>
          <w:sz w:val="20"/>
        </w:rPr>
        <w:t>Potential impact of applying the LEAP intervention to EAT, a normal risk population</w:t>
      </w:r>
    </w:p>
    <w:p w14:paraId="1859B1D6" w14:textId="7E02E09B" w:rsidR="00E139B3" w:rsidRPr="00981995" w:rsidRDefault="00190012" w:rsidP="00981995">
      <w:pPr>
        <w:pStyle w:val="Heading2"/>
        <w:spacing w:before="0" w:after="120" w:line="480" w:lineRule="auto"/>
        <w:contextualSpacing w:val="0"/>
        <w:rPr>
          <w:b w:val="0"/>
          <w:sz w:val="20"/>
          <w:u w:val="none"/>
        </w:rPr>
      </w:pPr>
      <w:r w:rsidRPr="00981995">
        <w:rPr>
          <w:b w:val="0"/>
          <w:sz w:val="20"/>
          <w:u w:val="none"/>
        </w:rPr>
        <w:t>T</w:t>
      </w:r>
      <w:r w:rsidR="00E139B3" w:rsidRPr="00981995">
        <w:rPr>
          <w:b w:val="0"/>
          <w:sz w:val="20"/>
          <w:u w:val="none"/>
        </w:rPr>
        <w:t xml:space="preserve">he adherence to </w:t>
      </w:r>
      <w:r w:rsidRPr="00981995">
        <w:rPr>
          <w:b w:val="0"/>
          <w:sz w:val="20"/>
          <w:u w:val="none"/>
        </w:rPr>
        <w:t>early introduction of peanut in the infant diet</w:t>
      </w:r>
      <w:r w:rsidR="00E139B3" w:rsidRPr="00981995">
        <w:rPr>
          <w:b w:val="0"/>
          <w:sz w:val="20"/>
          <w:u w:val="none"/>
        </w:rPr>
        <w:t xml:space="preserve"> was poor</w:t>
      </w:r>
      <w:r w:rsidRPr="00981995">
        <w:rPr>
          <w:b w:val="0"/>
          <w:sz w:val="20"/>
          <w:u w:val="none"/>
        </w:rPr>
        <w:t xml:space="preserve"> in the </w:t>
      </w:r>
      <w:r w:rsidR="00346B93">
        <w:rPr>
          <w:b w:val="0"/>
          <w:sz w:val="20"/>
          <w:u w:val="none"/>
        </w:rPr>
        <w:t>normal</w:t>
      </w:r>
      <w:r w:rsidRPr="00981995">
        <w:rPr>
          <w:b w:val="0"/>
          <w:sz w:val="20"/>
          <w:u w:val="none"/>
        </w:rPr>
        <w:t xml:space="preserve"> population EAT study</w:t>
      </w:r>
      <w:r w:rsidR="00E139B3" w:rsidRPr="00981995">
        <w:rPr>
          <w:b w:val="0"/>
          <w:sz w:val="20"/>
          <w:u w:val="none"/>
        </w:rPr>
        <w:t xml:space="preserve">. </w:t>
      </w:r>
      <w:r w:rsidRPr="00981995">
        <w:rPr>
          <w:b w:val="0"/>
          <w:sz w:val="20"/>
          <w:u w:val="none"/>
        </w:rPr>
        <w:t>I</w:t>
      </w:r>
      <w:r w:rsidR="00E139B3" w:rsidRPr="00981995">
        <w:rPr>
          <w:b w:val="0"/>
          <w:sz w:val="20"/>
          <w:u w:val="none"/>
        </w:rPr>
        <w:t>f adherence was similar to that seen in the LEAP study</w:t>
      </w:r>
      <w:r w:rsidRPr="00981995">
        <w:rPr>
          <w:b w:val="0"/>
          <w:sz w:val="20"/>
          <w:u w:val="none"/>
        </w:rPr>
        <w:t>,</w:t>
      </w:r>
      <w:r w:rsidR="00E139B3" w:rsidRPr="00981995">
        <w:rPr>
          <w:b w:val="0"/>
          <w:sz w:val="20"/>
          <w:u w:val="none"/>
        </w:rPr>
        <w:t xml:space="preserve"> peanut allergy </w:t>
      </w:r>
      <w:r w:rsidRPr="00981995">
        <w:rPr>
          <w:b w:val="0"/>
          <w:sz w:val="20"/>
          <w:u w:val="none"/>
        </w:rPr>
        <w:t xml:space="preserve">prevalence would have reduced </w:t>
      </w:r>
      <w:r w:rsidR="00E139B3" w:rsidRPr="00981995">
        <w:rPr>
          <w:b w:val="0"/>
          <w:sz w:val="20"/>
          <w:u w:val="none"/>
        </w:rPr>
        <w:t>from 2.5% to 0.</w:t>
      </w:r>
      <w:r w:rsidR="00873AF2" w:rsidRPr="00981995">
        <w:rPr>
          <w:b w:val="0"/>
          <w:sz w:val="20"/>
          <w:u w:val="none"/>
        </w:rPr>
        <w:t>29</w:t>
      </w:r>
      <w:r w:rsidR="00E139B3" w:rsidRPr="00981995">
        <w:rPr>
          <w:b w:val="0"/>
          <w:sz w:val="20"/>
          <w:u w:val="none"/>
        </w:rPr>
        <w:t>% (</w:t>
      </w:r>
      <w:r w:rsidR="00E139B3" w:rsidRPr="00981995">
        <w:rPr>
          <w:sz w:val="20"/>
          <w:u w:val="none"/>
        </w:rPr>
        <w:t>Table 2</w:t>
      </w:r>
      <w:r w:rsidR="00E139B3" w:rsidRPr="00981995">
        <w:rPr>
          <w:b w:val="0"/>
          <w:sz w:val="20"/>
          <w:u w:val="none"/>
        </w:rPr>
        <w:t xml:space="preserve">). </w:t>
      </w:r>
      <w:r w:rsidR="00E1684B" w:rsidRPr="00981995">
        <w:rPr>
          <w:b w:val="0"/>
          <w:sz w:val="20"/>
          <w:u w:val="none"/>
        </w:rPr>
        <w:t>I</w:t>
      </w:r>
      <w:r w:rsidR="00E139B3" w:rsidRPr="00981995">
        <w:rPr>
          <w:b w:val="0"/>
          <w:sz w:val="20"/>
          <w:u w:val="none"/>
        </w:rPr>
        <w:t>f the LEAP intervention were targeted exclusively at infants with severe eczema (SCORAD &gt;40)</w:t>
      </w:r>
      <w:r w:rsidR="00E1684B" w:rsidRPr="00981995">
        <w:rPr>
          <w:b w:val="0"/>
          <w:sz w:val="20"/>
          <w:u w:val="none"/>
        </w:rPr>
        <w:t xml:space="preserve"> at greatest risk</w:t>
      </w:r>
      <w:r w:rsidR="00E139B3" w:rsidRPr="00981995">
        <w:rPr>
          <w:b w:val="0"/>
          <w:sz w:val="20"/>
          <w:u w:val="none"/>
        </w:rPr>
        <w:t xml:space="preserve">, the </w:t>
      </w:r>
      <w:r w:rsidR="00080D82" w:rsidRPr="00981995">
        <w:rPr>
          <w:b w:val="0"/>
          <w:sz w:val="20"/>
          <w:u w:val="none"/>
        </w:rPr>
        <w:t xml:space="preserve">total </w:t>
      </w:r>
      <w:r w:rsidR="00E139B3" w:rsidRPr="00981995">
        <w:rPr>
          <w:b w:val="0"/>
          <w:sz w:val="20"/>
          <w:u w:val="none"/>
        </w:rPr>
        <w:t xml:space="preserve">population burden of peanut allergy </w:t>
      </w:r>
      <w:r w:rsidR="00E1684B" w:rsidRPr="00981995">
        <w:rPr>
          <w:b w:val="0"/>
          <w:sz w:val="20"/>
          <w:u w:val="none"/>
        </w:rPr>
        <w:t xml:space="preserve">would be reduced </w:t>
      </w:r>
      <w:r w:rsidR="00E139B3" w:rsidRPr="00981995">
        <w:rPr>
          <w:b w:val="0"/>
          <w:sz w:val="20"/>
          <w:u w:val="none"/>
        </w:rPr>
        <w:t>by &lt;5% (</w:t>
      </w:r>
      <w:r w:rsidR="00E139B3" w:rsidRPr="00981995">
        <w:rPr>
          <w:sz w:val="20"/>
          <w:u w:val="none"/>
        </w:rPr>
        <w:t>Table 2</w:t>
      </w:r>
      <w:r w:rsidR="00E139B3" w:rsidRPr="00981995">
        <w:rPr>
          <w:b w:val="0"/>
          <w:sz w:val="20"/>
          <w:u w:val="none"/>
        </w:rPr>
        <w:t xml:space="preserve">). </w:t>
      </w:r>
      <w:r w:rsidR="00E1684B" w:rsidRPr="00981995">
        <w:rPr>
          <w:b w:val="0"/>
          <w:sz w:val="20"/>
          <w:u w:val="none"/>
        </w:rPr>
        <w:t>Targeting</w:t>
      </w:r>
      <w:r w:rsidR="00E139B3" w:rsidRPr="00981995">
        <w:rPr>
          <w:b w:val="0"/>
          <w:sz w:val="20"/>
          <w:u w:val="none"/>
        </w:rPr>
        <w:t xml:space="preserve"> </w:t>
      </w:r>
      <w:r w:rsidR="00E1684B" w:rsidRPr="00981995">
        <w:rPr>
          <w:b w:val="0"/>
          <w:sz w:val="20"/>
          <w:u w:val="none"/>
        </w:rPr>
        <w:t xml:space="preserve">the larger number of </w:t>
      </w:r>
      <w:r w:rsidR="00E139B3" w:rsidRPr="00981995">
        <w:rPr>
          <w:b w:val="0"/>
          <w:sz w:val="20"/>
          <w:u w:val="none"/>
        </w:rPr>
        <w:t>children with mild eczema (</w:t>
      </w:r>
      <w:r w:rsidR="00D824F8" w:rsidRPr="00981995">
        <w:rPr>
          <w:b w:val="0"/>
          <w:sz w:val="20"/>
          <w:u w:val="none"/>
        </w:rPr>
        <w:t>30</w:t>
      </w:r>
      <w:r w:rsidR="00E139B3" w:rsidRPr="00981995">
        <w:rPr>
          <w:b w:val="0"/>
          <w:sz w:val="20"/>
          <w:u w:val="none"/>
        </w:rPr>
        <w:t xml:space="preserve">% reduction) </w:t>
      </w:r>
      <w:r w:rsidR="00E1684B" w:rsidRPr="00981995">
        <w:rPr>
          <w:b w:val="0"/>
          <w:sz w:val="20"/>
          <w:u w:val="none"/>
        </w:rPr>
        <w:t xml:space="preserve">or </w:t>
      </w:r>
      <w:r w:rsidR="00E139B3" w:rsidRPr="00981995">
        <w:rPr>
          <w:b w:val="0"/>
          <w:sz w:val="20"/>
          <w:u w:val="none"/>
        </w:rPr>
        <w:t xml:space="preserve">no eczema (29% reduction) </w:t>
      </w:r>
      <w:r w:rsidR="00330218" w:rsidRPr="00981995">
        <w:rPr>
          <w:b w:val="0"/>
          <w:sz w:val="20"/>
          <w:u w:val="none"/>
        </w:rPr>
        <w:t>has much greater impact</w:t>
      </w:r>
      <w:r w:rsidR="00D824F8" w:rsidRPr="00981995">
        <w:rPr>
          <w:b w:val="0"/>
          <w:sz w:val="20"/>
          <w:u w:val="none"/>
        </w:rPr>
        <w:t xml:space="preserve"> (</w:t>
      </w:r>
      <w:r w:rsidR="00D824F8" w:rsidRPr="00981995">
        <w:rPr>
          <w:sz w:val="20"/>
          <w:u w:val="none"/>
        </w:rPr>
        <w:t>Table 2</w:t>
      </w:r>
      <w:r w:rsidR="00D824F8" w:rsidRPr="00981995">
        <w:rPr>
          <w:b w:val="0"/>
          <w:sz w:val="20"/>
          <w:u w:val="none"/>
        </w:rPr>
        <w:t>)</w:t>
      </w:r>
      <w:r w:rsidR="00E139B3" w:rsidRPr="00981995">
        <w:rPr>
          <w:b w:val="0"/>
          <w:sz w:val="20"/>
          <w:u w:val="none"/>
        </w:rPr>
        <w:t xml:space="preserve">. </w:t>
      </w:r>
    </w:p>
    <w:p w14:paraId="44081E5B" w14:textId="2B04D745" w:rsidR="00E139B3" w:rsidRPr="00981995" w:rsidRDefault="00E139B3" w:rsidP="00981995">
      <w:pPr>
        <w:pStyle w:val="Heading2"/>
        <w:spacing w:before="0" w:after="120" w:line="480" w:lineRule="auto"/>
        <w:contextualSpacing w:val="0"/>
        <w:rPr>
          <w:b w:val="0"/>
          <w:sz w:val="20"/>
        </w:rPr>
      </w:pPr>
      <w:r w:rsidRPr="00981995">
        <w:rPr>
          <w:b w:val="0"/>
          <w:sz w:val="20"/>
        </w:rPr>
        <w:t xml:space="preserve">Estimating the impact of early introduction </w:t>
      </w:r>
      <w:r w:rsidR="0006112A" w:rsidRPr="00981995">
        <w:rPr>
          <w:b w:val="0"/>
          <w:sz w:val="20"/>
        </w:rPr>
        <w:t xml:space="preserve">of peanuts </w:t>
      </w:r>
      <w:r w:rsidRPr="00981995">
        <w:rPr>
          <w:b w:val="0"/>
          <w:sz w:val="20"/>
        </w:rPr>
        <w:t>at different ages to the whole population</w:t>
      </w:r>
    </w:p>
    <w:p w14:paraId="06816B12" w14:textId="396AEF0D" w:rsidR="00E139B3" w:rsidRPr="00981995" w:rsidRDefault="00BA415D" w:rsidP="00981995">
      <w:pPr>
        <w:spacing w:after="120" w:line="480" w:lineRule="auto"/>
        <w:rPr>
          <w:sz w:val="20"/>
        </w:rPr>
      </w:pPr>
      <w:r w:rsidRPr="00981995">
        <w:rPr>
          <w:sz w:val="20"/>
        </w:rPr>
        <w:t>The</w:t>
      </w:r>
      <w:r w:rsidR="00E139B3" w:rsidRPr="00981995">
        <w:rPr>
          <w:sz w:val="20"/>
        </w:rPr>
        <w:t xml:space="preserve"> estimation of treatment effect by timing in the whole population depend</w:t>
      </w:r>
      <w:r w:rsidRPr="00981995">
        <w:rPr>
          <w:sz w:val="20"/>
        </w:rPr>
        <w:t>s</w:t>
      </w:r>
      <w:r w:rsidR="00E139B3" w:rsidRPr="00981995">
        <w:rPr>
          <w:sz w:val="20"/>
        </w:rPr>
        <w:t xml:space="preserve"> on a number of assumptions, </w:t>
      </w:r>
      <w:r w:rsidRPr="00981995">
        <w:rPr>
          <w:sz w:val="20"/>
        </w:rPr>
        <w:t xml:space="preserve">so </w:t>
      </w:r>
      <w:r w:rsidR="00106E92">
        <w:rPr>
          <w:sz w:val="20"/>
        </w:rPr>
        <w:t xml:space="preserve">a few </w:t>
      </w:r>
      <w:r w:rsidR="00E139B3" w:rsidRPr="00981995">
        <w:rPr>
          <w:sz w:val="20"/>
        </w:rPr>
        <w:t>simpler estimates</w:t>
      </w:r>
      <w:r w:rsidRPr="00981995">
        <w:rPr>
          <w:sz w:val="20"/>
        </w:rPr>
        <w:t xml:space="preserve"> were also assessed to ensure </w:t>
      </w:r>
      <w:r w:rsidR="00BA1008">
        <w:rPr>
          <w:sz w:val="20"/>
        </w:rPr>
        <w:t>the</w:t>
      </w:r>
      <w:r w:rsidR="00BA1008" w:rsidRPr="00981995">
        <w:rPr>
          <w:sz w:val="20"/>
        </w:rPr>
        <w:t xml:space="preserve"> </w:t>
      </w:r>
      <w:r w:rsidRPr="00981995">
        <w:rPr>
          <w:sz w:val="20"/>
        </w:rPr>
        <w:t>robustness</w:t>
      </w:r>
      <w:r w:rsidR="00E36CA8">
        <w:rPr>
          <w:sz w:val="20"/>
        </w:rPr>
        <w:t xml:space="preserve"> of our whole population model</w:t>
      </w:r>
      <w:r w:rsidR="00E139B3" w:rsidRPr="00981995">
        <w:rPr>
          <w:sz w:val="20"/>
        </w:rPr>
        <w:t xml:space="preserve">. </w:t>
      </w:r>
    </w:p>
    <w:p w14:paraId="2DF53522" w14:textId="68BB9BAE" w:rsidR="00E139B3" w:rsidRPr="00981995" w:rsidRDefault="00E139B3" w:rsidP="00981995">
      <w:pPr>
        <w:spacing w:after="120" w:line="480" w:lineRule="auto"/>
        <w:rPr>
          <w:sz w:val="20"/>
        </w:rPr>
      </w:pPr>
      <w:r w:rsidRPr="00981995">
        <w:rPr>
          <w:sz w:val="20"/>
        </w:rPr>
        <w:t xml:space="preserve">We firstly estimated the effect </w:t>
      </w:r>
      <w:r w:rsidR="0006112A" w:rsidRPr="00981995">
        <w:rPr>
          <w:sz w:val="20"/>
        </w:rPr>
        <w:t>of early introduction by</w:t>
      </w:r>
      <w:r w:rsidRPr="00981995">
        <w:rPr>
          <w:sz w:val="20"/>
        </w:rPr>
        <w:t xml:space="preserve"> age at first introduction </w:t>
      </w:r>
      <w:r w:rsidR="0006112A" w:rsidRPr="00981995">
        <w:rPr>
          <w:sz w:val="20"/>
        </w:rPr>
        <w:t>for the</w:t>
      </w:r>
      <w:r w:rsidRPr="00981995">
        <w:rPr>
          <w:sz w:val="20"/>
        </w:rPr>
        <w:t xml:space="preserve"> observed </w:t>
      </w:r>
      <w:r w:rsidR="00CF71E0" w:rsidRPr="00981995">
        <w:rPr>
          <w:sz w:val="20"/>
        </w:rPr>
        <w:t xml:space="preserve">results </w:t>
      </w:r>
      <w:r w:rsidRPr="00981995">
        <w:rPr>
          <w:sz w:val="20"/>
        </w:rPr>
        <w:t>from EAT (ITT and PP effect)</w:t>
      </w:r>
      <w:r w:rsidR="00CF71E0" w:rsidRPr="00981995">
        <w:rPr>
          <w:sz w:val="20"/>
        </w:rPr>
        <w:t xml:space="preserve"> and </w:t>
      </w:r>
      <w:r w:rsidRPr="00981995">
        <w:rPr>
          <w:sz w:val="20"/>
        </w:rPr>
        <w:t xml:space="preserve">the combined LEAP+PAS dataset (ITT effect) </w:t>
      </w:r>
      <w:r w:rsidR="00CF71E0" w:rsidRPr="00981995">
        <w:rPr>
          <w:sz w:val="20"/>
        </w:rPr>
        <w:t>where no or minimal assumptions are required (</w:t>
      </w:r>
      <w:r w:rsidR="00CF71E0" w:rsidRPr="00981995">
        <w:rPr>
          <w:b/>
          <w:sz w:val="20"/>
        </w:rPr>
        <w:t xml:space="preserve">Figure </w:t>
      </w:r>
      <w:r w:rsidR="007E52AA">
        <w:rPr>
          <w:b/>
          <w:sz w:val="20"/>
        </w:rPr>
        <w:t>3</w:t>
      </w:r>
      <w:r w:rsidR="00CF71E0" w:rsidRPr="00981995">
        <w:rPr>
          <w:b/>
          <w:sz w:val="20"/>
        </w:rPr>
        <w:t>A</w:t>
      </w:r>
      <w:r w:rsidR="00CF71E0" w:rsidRPr="00981995">
        <w:rPr>
          <w:sz w:val="20"/>
        </w:rPr>
        <w:t xml:space="preserve">). </w:t>
      </w:r>
      <w:r w:rsidR="009D5C78" w:rsidRPr="00981995">
        <w:rPr>
          <w:sz w:val="20"/>
        </w:rPr>
        <w:t xml:space="preserve">The impact is seen to decrease with increasing age of introduction. </w:t>
      </w:r>
      <w:r w:rsidR="00913401" w:rsidRPr="00981995">
        <w:rPr>
          <w:sz w:val="20"/>
        </w:rPr>
        <w:t>Secondly, the impact on the</w:t>
      </w:r>
      <w:r w:rsidR="00346B93">
        <w:rPr>
          <w:sz w:val="20"/>
        </w:rPr>
        <w:t xml:space="preserve"> normal</w:t>
      </w:r>
      <w:r w:rsidR="00913401" w:rsidRPr="00981995">
        <w:rPr>
          <w:sz w:val="20"/>
        </w:rPr>
        <w:t xml:space="preserve"> risk </w:t>
      </w:r>
      <w:r w:rsidRPr="00981995">
        <w:rPr>
          <w:sz w:val="20"/>
        </w:rPr>
        <w:t xml:space="preserve">EAT </w:t>
      </w:r>
      <w:r w:rsidR="00913401" w:rsidRPr="00981995">
        <w:rPr>
          <w:sz w:val="20"/>
        </w:rPr>
        <w:t>population</w:t>
      </w:r>
      <w:r w:rsidRPr="00981995">
        <w:rPr>
          <w:sz w:val="20"/>
        </w:rPr>
        <w:t xml:space="preserve"> at 3 and 12 months</w:t>
      </w:r>
      <w:r w:rsidR="00485EE9" w:rsidRPr="00981995">
        <w:rPr>
          <w:sz w:val="20"/>
        </w:rPr>
        <w:t xml:space="preserve"> was </w:t>
      </w:r>
      <w:r w:rsidR="00F12B1E" w:rsidRPr="00981995">
        <w:rPr>
          <w:sz w:val="20"/>
        </w:rPr>
        <w:t>modelled using the LEAP effect size</w:t>
      </w:r>
      <w:r w:rsidRPr="00981995">
        <w:rPr>
          <w:sz w:val="20"/>
        </w:rPr>
        <w:t xml:space="preserve"> (</w:t>
      </w:r>
      <w:r w:rsidRPr="00981995">
        <w:rPr>
          <w:b/>
          <w:sz w:val="20"/>
        </w:rPr>
        <w:t xml:space="preserve">Table </w:t>
      </w:r>
      <w:r w:rsidR="002E7BDF">
        <w:rPr>
          <w:b/>
          <w:sz w:val="20"/>
        </w:rPr>
        <w:t>E</w:t>
      </w:r>
      <w:r w:rsidRPr="00981995">
        <w:rPr>
          <w:b/>
          <w:sz w:val="20"/>
        </w:rPr>
        <w:t>1</w:t>
      </w:r>
      <w:r w:rsidRPr="00981995">
        <w:rPr>
          <w:sz w:val="20"/>
        </w:rPr>
        <w:t>)</w:t>
      </w:r>
      <w:r w:rsidR="00B42194" w:rsidRPr="00981995">
        <w:rPr>
          <w:sz w:val="20"/>
        </w:rPr>
        <w:t xml:space="preserve"> showing similar results</w:t>
      </w:r>
      <w:r w:rsidR="00764E8C" w:rsidRPr="00981995">
        <w:rPr>
          <w:sz w:val="20"/>
        </w:rPr>
        <w:t xml:space="preserve"> (</w:t>
      </w:r>
      <w:r w:rsidR="00764E8C" w:rsidRPr="00981995">
        <w:rPr>
          <w:b/>
          <w:sz w:val="20"/>
        </w:rPr>
        <w:t xml:space="preserve">Figure </w:t>
      </w:r>
      <w:r w:rsidR="007E52AA">
        <w:rPr>
          <w:b/>
          <w:sz w:val="20"/>
        </w:rPr>
        <w:t>3</w:t>
      </w:r>
      <w:r w:rsidR="00764E8C" w:rsidRPr="00981995">
        <w:rPr>
          <w:b/>
          <w:sz w:val="20"/>
        </w:rPr>
        <w:t>B</w:t>
      </w:r>
      <w:r w:rsidR="00764E8C" w:rsidRPr="00981995">
        <w:rPr>
          <w:sz w:val="20"/>
        </w:rPr>
        <w:t>)</w:t>
      </w:r>
      <w:r w:rsidR="00B42194" w:rsidRPr="00981995">
        <w:rPr>
          <w:sz w:val="20"/>
        </w:rPr>
        <w:t xml:space="preserve">. </w:t>
      </w:r>
    </w:p>
    <w:p w14:paraId="3F080032" w14:textId="4FCB5FD3" w:rsidR="00E139B3" w:rsidRPr="00981995" w:rsidRDefault="003C151C" w:rsidP="00981995">
      <w:pPr>
        <w:spacing w:after="120" w:line="480" w:lineRule="auto"/>
        <w:rPr>
          <w:sz w:val="20"/>
        </w:rPr>
      </w:pPr>
      <w:r>
        <w:rPr>
          <w:sz w:val="20"/>
        </w:rPr>
        <w:t>Then</w:t>
      </w:r>
      <w:r w:rsidR="00B42194" w:rsidRPr="00981995">
        <w:rPr>
          <w:sz w:val="20"/>
        </w:rPr>
        <w:t xml:space="preserve">, </w:t>
      </w:r>
      <w:r w:rsidR="00E064A0" w:rsidRPr="00981995">
        <w:rPr>
          <w:sz w:val="20"/>
        </w:rPr>
        <w:t>we replicated th</w:t>
      </w:r>
      <w:r w:rsidR="004C672A" w:rsidRPr="00981995">
        <w:rPr>
          <w:sz w:val="20"/>
        </w:rPr>
        <w:t xml:space="preserve">e estimation of the impact of introducing peanut into the infant diet at different ages </w:t>
      </w:r>
      <w:r w:rsidR="00E139B3" w:rsidRPr="00981995">
        <w:rPr>
          <w:sz w:val="20"/>
        </w:rPr>
        <w:t>us</w:t>
      </w:r>
      <w:r w:rsidR="00E064A0" w:rsidRPr="00981995">
        <w:rPr>
          <w:sz w:val="20"/>
        </w:rPr>
        <w:t>ing</w:t>
      </w:r>
      <w:r w:rsidR="00E139B3" w:rsidRPr="00981995">
        <w:rPr>
          <w:sz w:val="20"/>
        </w:rPr>
        <w:t xml:space="preserve"> our whole population model </w:t>
      </w:r>
      <w:r w:rsidR="00E139B3" w:rsidRPr="00981995">
        <w:rPr>
          <w:b/>
          <w:sz w:val="20"/>
        </w:rPr>
        <w:t xml:space="preserve">(Figure </w:t>
      </w:r>
      <w:r w:rsidR="007E52AA">
        <w:rPr>
          <w:b/>
          <w:sz w:val="20"/>
        </w:rPr>
        <w:t>3</w:t>
      </w:r>
      <w:r w:rsidR="007E52AA" w:rsidRPr="00981995">
        <w:rPr>
          <w:b/>
          <w:sz w:val="20"/>
        </w:rPr>
        <w:t>B</w:t>
      </w:r>
      <w:r w:rsidR="00E139B3" w:rsidRPr="00981995">
        <w:rPr>
          <w:b/>
          <w:sz w:val="20"/>
        </w:rPr>
        <w:t>)</w:t>
      </w:r>
      <w:r w:rsidR="00E139B3" w:rsidRPr="00981995">
        <w:rPr>
          <w:sz w:val="20"/>
        </w:rPr>
        <w:t xml:space="preserve">.  Full details including assumptions are covered in </w:t>
      </w:r>
      <w:r w:rsidR="00E139B3" w:rsidRPr="00981995">
        <w:rPr>
          <w:b/>
          <w:sz w:val="20"/>
        </w:rPr>
        <w:t xml:space="preserve">Table </w:t>
      </w:r>
      <w:r w:rsidR="002E7BDF">
        <w:rPr>
          <w:b/>
          <w:sz w:val="20"/>
        </w:rPr>
        <w:t>E</w:t>
      </w:r>
      <w:r w:rsidR="00E139B3" w:rsidRPr="00981995">
        <w:rPr>
          <w:b/>
          <w:sz w:val="20"/>
        </w:rPr>
        <w:t>1</w:t>
      </w:r>
      <w:r w:rsidR="00E139B3" w:rsidRPr="00981995">
        <w:rPr>
          <w:sz w:val="20"/>
        </w:rPr>
        <w:t xml:space="preserve"> and </w:t>
      </w:r>
      <w:r w:rsidR="00764E8C" w:rsidRPr="00981995">
        <w:rPr>
          <w:sz w:val="20"/>
        </w:rPr>
        <w:t xml:space="preserve">online </w:t>
      </w:r>
      <w:r w:rsidR="00E139B3" w:rsidRPr="00981995">
        <w:rPr>
          <w:sz w:val="20"/>
        </w:rPr>
        <w:t xml:space="preserve">results section 2D.  </w:t>
      </w:r>
      <w:r w:rsidR="00764E8C" w:rsidRPr="00981995">
        <w:rPr>
          <w:sz w:val="20"/>
        </w:rPr>
        <w:t xml:space="preserve">The bootstrapped </w:t>
      </w:r>
      <w:r w:rsidR="00E139B3" w:rsidRPr="00981995">
        <w:rPr>
          <w:sz w:val="20"/>
        </w:rPr>
        <w:t xml:space="preserve">confidence intervals indicate a decreasing relative reduction of peanut allergy with increasing age of introduction to peanuts. The negative impact of delaying the introduction of peanuts into the diet was most apparent in infants with increasing severity of eczema; </w:t>
      </w:r>
      <w:r w:rsidR="009C7BCD">
        <w:rPr>
          <w:sz w:val="20"/>
        </w:rPr>
        <w:t>(</w:t>
      </w:r>
      <w:r w:rsidR="00E139B3" w:rsidRPr="00981995">
        <w:rPr>
          <w:b/>
          <w:sz w:val="20"/>
        </w:rPr>
        <w:t xml:space="preserve">Figure </w:t>
      </w:r>
      <w:r w:rsidR="007E52AA">
        <w:rPr>
          <w:b/>
          <w:sz w:val="20"/>
        </w:rPr>
        <w:t>3</w:t>
      </w:r>
      <w:r w:rsidR="007E52AA" w:rsidRPr="00981995">
        <w:rPr>
          <w:b/>
          <w:sz w:val="20"/>
        </w:rPr>
        <w:t xml:space="preserve">C </w:t>
      </w:r>
      <w:r w:rsidR="00E139B3" w:rsidRPr="00981995">
        <w:rPr>
          <w:b/>
          <w:sz w:val="20"/>
        </w:rPr>
        <w:t xml:space="preserve">and </w:t>
      </w:r>
      <w:r w:rsidR="009C7BCD">
        <w:rPr>
          <w:b/>
          <w:sz w:val="20"/>
        </w:rPr>
        <w:t xml:space="preserve">Figure </w:t>
      </w:r>
      <w:r w:rsidR="002E7BDF">
        <w:rPr>
          <w:b/>
          <w:sz w:val="20"/>
        </w:rPr>
        <w:t>E</w:t>
      </w:r>
      <w:r w:rsidR="00E139B3" w:rsidRPr="00981995">
        <w:rPr>
          <w:b/>
          <w:sz w:val="20"/>
        </w:rPr>
        <w:t>12B</w:t>
      </w:r>
      <w:r w:rsidR="00E139B3" w:rsidRPr="00981995">
        <w:rPr>
          <w:sz w:val="20"/>
        </w:rPr>
        <w:t>) and/or non-white ethnicity (</w:t>
      </w:r>
      <w:r w:rsidR="00E139B3" w:rsidRPr="00981995">
        <w:rPr>
          <w:b/>
          <w:sz w:val="20"/>
        </w:rPr>
        <w:t xml:space="preserve">Figures </w:t>
      </w:r>
      <w:r w:rsidR="002E7BDF">
        <w:rPr>
          <w:b/>
          <w:sz w:val="20"/>
        </w:rPr>
        <w:t>E</w:t>
      </w:r>
      <w:r w:rsidR="00E139B3" w:rsidRPr="00981995">
        <w:rPr>
          <w:b/>
          <w:sz w:val="20"/>
        </w:rPr>
        <w:t>12C and D</w:t>
      </w:r>
      <w:r w:rsidR="00E139B3" w:rsidRPr="00981995">
        <w:rPr>
          <w:sz w:val="20"/>
        </w:rPr>
        <w:t xml:space="preserve">). </w:t>
      </w:r>
    </w:p>
    <w:p w14:paraId="30FC49B1" w14:textId="4827F01A" w:rsidR="00E139B3" w:rsidRPr="00981995" w:rsidRDefault="00E139B3" w:rsidP="00981995">
      <w:pPr>
        <w:spacing w:line="480" w:lineRule="auto"/>
      </w:pPr>
      <w:r w:rsidRPr="00981995">
        <w:rPr>
          <w:sz w:val="20"/>
        </w:rPr>
        <w:lastRenderedPageBreak/>
        <w:t>We calculated the combined effect of intervening at different ages in infants with and without eczema on the peanut allergy burden in the total population.  We chose three different illustrative scenarios: (i) introduction of peanuts to infants with and without eczema at 4 months resulted in an 82% relative reduction in peanut allergy; (ii) introduction in infants with eczema at 4 months and without eczema at 6 months, resulted in a 77% risk reduction, and (iii) introduction in infants with eczema at 4 months and at 12 months in infants with no history of eczema, resulted in a 58% relative risk reduction (</w:t>
      </w:r>
      <w:r w:rsidRPr="00981995">
        <w:rPr>
          <w:b/>
          <w:sz w:val="20"/>
        </w:rPr>
        <w:t xml:space="preserve">Table </w:t>
      </w:r>
      <w:r w:rsidR="002E7BDF">
        <w:rPr>
          <w:b/>
          <w:sz w:val="20"/>
        </w:rPr>
        <w:t>E</w:t>
      </w:r>
      <w:r w:rsidRPr="00981995">
        <w:rPr>
          <w:b/>
          <w:sz w:val="20"/>
        </w:rPr>
        <w:t>3</w:t>
      </w:r>
      <w:r w:rsidRPr="00981995">
        <w:rPr>
          <w:sz w:val="20"/>
        </w:rPr>
        <w:t>)</w:t>
      </w:r>
      <w:r w:rsidR="001767DA">
        <w:rPr>
          <w:sz w:val="20"/>
        </w:rPr>
        <w:t xml:space="preserve"> relative to peanut avoidance</w:t>
      </w:r>
      <w:r w:rsidRPr="00981995">
        <w:rPr>
          <w:sz w:val="20"/>
        </w:rPr>
        <w:t xml:space="preserve">. </w:t>
      </w:r>
    </w:p>
    <w:p w14:paraId="0024618C" w14:textId="77777777" w:rsidR="00E139B3" w:rsidRPr="00981995" w:rsidRDefault="00E139B3" w:rsidP="00B51474">
      <w:pPr>
        <w:pStyle w:val="Heading1"/>
        <w:spacing w:before="0" w:after="120" w:line="360" w:lineRule="auto"/>
        <w:contextualSpacing w:val="0"/>
        <w:rPr>
          <w:sz w:val="24"/>
          <w:szCs w:val="24"/>
        </w:rPr>
      </w:pPr>
      <w:r w:rsidRPr="00981995">
        <w:rPr>
          <w:sz w:val="24"/>
          <w:szCs w:val="24"/>
        </w:rPr>
        <w:br w:type="page"/>
      </w:r>
    </w:p>
    <w:p w14:paraId="0EBEE4E5" w14:textId="6FD8033B" w:rsidR="00E139B3" w:rsidRPr="00E2447E" w:rsidRDefault="00E139B3" w:rsidP="00981995">
      <w:pPr>
        <w:pStyle w:val="Heading1"/>
        <w:spacing w:before="0" w:after="120" w:line="480" w:lineRule="auto"/>
        <w:contextualSpacing w:val="0"/>
        <w:rPr>
          <w:color w:val="FF0000"/>
          <w:sz w:val="24"/>
        </w:rPr>
      </w:pPr>
      <w:r w:rsidRPr="00E2447E">
        <w:rPr>
          <w:sz w:val="24"/>
        </w:rPr>
        <w:lastRenderedPageBreak/>
        <w:t>DISCUSSION</w:t>
      </w:r>
      <w:r w:rsidRPr="00E2447E">
        <w:rPr>
          <w:b w:val="0"/>
          <w:sz w:val="24"/>
        </w:rPr>
        <w:t xml:space="preserve"> </w:t>
      </w:r>
      <w:r w:rsidR="00CD6704" w:rsidRPr="00E2447E">
        <w:rPr>
          <w:b w:val="0"/>
          <w:color w:val="FF0000"/>
          <w:sz w:val="24"/>
        </w:rPr>
        <w:t xml:space="preserve"> </w:t>
      </w:r>
    </w:p>
    <w:p w14:paraId="4C5FDF09" w14:textId="01773D92" w:rsidR="00E139B3" w:rsidRPr="00981995" w:rsidRDefault="00D61F6D" w:rsidP="00981995">
      <w:pPr>
        <w:spacing w:after="120" w:line="480" w:lineRule="auto"/>
        <w:rPr>
          <w:sz w:val="20"/>
        </w:rPr>
      </w:pPr>
      <w:r>
        <w:rPr>
          <w:sz w:val="20"/>
        </w:rPr>
        <w:t>T</w:t>
      </w:r>
      <w:r w:rsidRPr="00D61F6D">
        <w:rPr>
          <w:sz w:val="20"/>
        </w:rPr>
        <w:t>he LEAP</w:t>
      </w:r>
      <w:r>
        <w:rPr>
          <w:sz w:val="20"/>
        </w:rPr>
        <w:t xml:space="preserve"> </w:t>
      </w:r>
      <w:r w:rsidRPr="00D61F6D">
        <w:rPr>
          <w:sz w:val="20"/>
        </w:rPr>
        <w:t xml:space="preserve">trial findings </w:t>
      </w:r>
      <w:r>
        <w:rPr>
          <w:sz w:val="20"/>
        </w:rPr>
        <w:t>have result</w:t>
      </w:r>
      <w:r w:rsidR="004471C1">
        <w:rPr>
          <w:sz w:val="20"/>
        </w:rPr>
        <w:t>ed</w:t>
      </w:r>
      <w:r>
        <w:rPr>
          <w:sz w:val="20"/>
        </w:rPr>
        <w:t xml:space="preserve"> in a </w:t>
      </w:r>
      <w:r w:rsidRPr="00D61F6D">
        <w:rPr>
          <w:sz w:val="20"/>
        </w:rPr>
        <w:t xml:space="preserve">fundamental shift </w:t>
      </w:r>
      <w:r>
        <w:rPr>
          <w:sz w:val="20"/>
        </w:rPr>
        <w:t xml:space="preserve">in our approach to </w:t>
      </w:r>
      <w:r w:rsidRPr="00D61F6D">
        <w:rPr>
          <w:sz w:val="20"/>
        </w:rPr>
        <w:t>peanut allergy prevention</w:t>
      </w:r>
      <w:r>
        <w:rPr>
          <w:sz w:val="20"/>
        </w:rPr>
        <w:t>.</w:t>
      </w:r>
      <w:r w:rsidR="007256F8">
        <w:rPr>
          <w:sz w:val="20"/>
          <w:vertAlign w:val="superscript"/>
        </w:rPr>
        <w:t>22</w:t>
      </w:r>
      <w:r w:rsidR="007256F8">
        <w:rPr>
          <w:sz w:val="20"/>
        </w:rPr>
        <w:t xml:space="preserve"> </w:t>
      </w:r>
      <w:r w:rsidR="00E35EC1">
        <w:rPr>
          <w:sz w:val="20"/>
        </w:rPr>
        <w:t xml:space="preserve">They have now been replicated in both the </w:t>
      </w:r>
      <w:r w:rsidR="00280B77">
        <w:rPr>
          <w:sz w:val="20"/>
        </w:rPr>
        <w:t xml:space="preserve">UK </w:t>
      </w:r>
      <w:r w:rsidR="00E35EC1">
        <w:rPr>
          <w:sz w:val="20"/>
        </w:rPr>
        <w:t xml:space="preserve">EAT and </w:t>
      </w:r>
      <w:r w:rsidR="00280B77">
        <w:rPr>
          <w:sz w:val="20"/>
        </w:rPr>
        <w:t xml:space="preserve">Scandinavian </w:t>
      </w:r>
      <w:r w:rsidR="00280B77" w:rsidRPr="00280B77">
        <w:rPr>
          <w:sz w:val="20"/>
        </w:rPr>
        <w:t xml:space="preserve">PreventADALL </w:t>
      </w:r>
      <w:r w:rsidR="00280B77">
        <w:rPr>
          <w:sz w:val="20"/>
        </w:rPr>
        <w:t>randomized controlled trials</w:t>
      </w:r>
      <w:r w:rsidR="00280B77" w:rsidRPr="00B9101D">
        <w:rPr>
          <w:sz w:val="20"/>
          <w:vertAlign w:val="superscript"/>
        </w:rPr>
        <w:t>16,</w:t>
      </w:r>
      <w:r w:rsidR="00B17A04">
        <w:rPr>
          <w:sz w:val="20"/>
          <w:vertAlign w:val="superscript"/>
        </w:rPr>
        <w:t>23</w:t>
      </w:r>
      <w:r w:rsidR="00280B77">
        <w:rPr>
          <w:sz w:val="20"/>
        </w:rPr>
        <w:t xml:space="preserve">. </w:t>
      </w:r>
      <w:r w:rsidR="00E139B3" w:rsidRPr="00981995">
        <w:rPr>
          <w:sz w:val="20"/>
        </w:rPr>
        <w:t xml:space="preserve">We sought to </w:t>
      </w:r>
      <w:r w:rsidR="003A5099">
        <w:rPr>
          <w:sz w:val="20"/>
        </w:rPr>
        <w:t>evaluate</w:t>
      </w:r>
      <w:r w:rsidR="003A5099" w:rsidRPr="00981995">
        <w:rPr>
          <w:sz w:val="20"/>
        </w:rPr>
        <w:t xml:space="preserve"> </w:t>
      </w:r>
      <w:r w:rsidR="00E139B3" w:rsidRPr="00981995">
        <w:rPr>
          <w:sz w:val="20"/>
        </w:rPr>
        <w:t xml:space="preserve">the impact of </w:t>
      </w:r>
      <w:r w:rsidR="00E7740C">
        <w:rPr>
          <w:sz w:val="20"/>
        </w:rPr>
        <w:t xml:space="preserve">timing the introduction of </w:t>
      </w:r>
      <w:r w:rsidR="00E139B3" w:rsidRPr="00981995">
        <w:rPr>
          <w:sz w:val="20"/>
        </w:rPr>
        <w:t>peanut</w:t>
      </w:r>
      <w:r w:rsidR="002317A2">
        <w:rPr>
          <w:sz w:val="20"/>
        </w:rPr>
        <w:t xml:space="preserve"> product</w:t>
      </w:r>
      <w:r w:rsidR="00E139B3" w:rsidRPr="00981995">
        <w:rPr>
          <w:sz w:val="20"/>
        </w:rPr>
        <w:t xml:space="preserve">s </w:t>
      </w:r>
      <w:r w:rsidR="003A5099">
        <w:rPr>
          <w:sz w:val="20"/>
        </w:rPr>
        <w:t xml:space="preserve">into different risk groups </w:t>
      </w:r>
      <w:r w:rsidR="00E139B3" w:rsidRPr="00981995">
        <w:rPr>
          <w:sz w:val="20"/>
        </w:rPr>
        <w:t xml:space="preserve">during infancy in a general population to reduce the burden of peanut allergy. In both the LEAP screening cohort and EAT trial we found that the majority of peanut allergy had already developed </w:t>
      </w:r>
      <w:r w:rsidR="00D36474" w:rsidRPr="00981995">
        <w:rPr>
          <w:sz w:val="20"/>
        </w:rPr>
        <w:t xml:space="preserve">by </w:t>
      </w:r>
      <w:r w:rsidR="007574F9">
        <w:rPr>
          <w:sz w:val="20"/>
        </w:rPr>
        <w:t>the first</w:t>
      </w:r>
      <w:r w:rsidR="007574F9" w:rsidRPr="00981995">
        <w:rPr>
          <w:sz w:val="20"/>
        </w:rPr>
        <w:t xml:space="preserve"> </w:t>
      </w:r>
      <w:r w:rsidR="00E139B3" w:rsidRPr="00981995">
        <w:rPr>
          <w:sz w:val="20"/>
        </w:rPr>
        <w:t>year of life (</w:t>
      </w:r>
      <w:r w:rsidR="00E139B3" w:rsidRPr="00981995">
        <w:rPr>
          <w:b/>
          <w:sz w:val="20"/>
        </w:rPr>
        <w:t xml:space="preserve">Figure </w:t>
      </w:r>
      <w:r w:rsidR="0057730D">
        <w:rPr>
          <w:b/>
          <w:sz w:val="20"/>
        </w:rPr>
        <w:t>2</w:t>
      </w:r>
      <w:r w:rsidR="00E139B3" w:rsidRPr="00981995">
        <w:rPr>
          <w:sz w:val="20"/>
        </w:rPr>
        <w:t xml:space="preserve">) </w:t>
      </w:r>
      <w:r w:rsidR="00D36474" w:rsidRPr="00981995">
        <w:rPr>
          <w:sz w:val="20"/>
        </w:rPr>
        <w:t xml:space="preserve">especially </w:t>
      </w:r>
      <w:r w:rsidR="00E7740C">
        <w:rPr>
          <w:sz w:val="20"/>
        </w:rPr>
        <w:t xml:space="preserve">among those </w:t>
      </w:r>
      <w:r w:rsidR="00D36474" w:rsidRPr="00981995">
        <w:rPr>
          <w:sz w:val="20"/>
        </w:rPr>
        <w:t xml:space="preserve">with </w:t>
      </w:r>
      <w:r w:rsidR="00E139B3" w:rsidRPr="00981995">
        <w:rPr>
          <w:sz w:val="20"/>
        </w:rPr>
        <w:t>severe eczema, egg allergy and non-white ethnicity (</w:t>
      </w:r>
      <w:r w:rsidR="00E139B3" w:rsidRPr="00981995">
        <w:rPr>
          <w:b/>
          <w:sz w:val="20"/>
        </w:rPr>
        <w:t>Figures 1-3</w:t>
      </w:r>
      <w:r w:rsidR="008D00DD" w:rsidRPr="00981995">
        <w:rPr>
          <w:b/>
          <w:sz w:val="20"/>
        </w:rPr>
        <w:t xml:space="preserve">, </w:t>
      </w:r>
      <w:r w:rsidR="00DE4380">
        <w:rPr>
          <w:b/>
          <w:sz w:val="20"/>
        </w:rPr>
        <w:t xml:space="preserve">Figure </w:t>
      </w:r>
      <w:r w:rsidR="002E7BDF">
        <w:rPr>
          <w:b/>
          <w:sz w:val="20"/>
        </w:rPr>
        <w:t>E</w:t>
      </w:r>
      <w:r w:rsidR="008D00DD" w:rsidRPr="00981995">
        <w:rPr>
          <w:b/>
          <w:sz w:val="20"/>
        </w:rPr>
        <w:t>15</w:t>
      </w:r>
      <w:r w:rsidR="00E139B3" w:rsidRPr="00981995">
        <w:rPr>
          <w:sz w:val="20"/>
        </w:rPr>
        <w:t xml:space="preserve">). </w:t>
      </w:r>
      <w:r w:rsidR="007B0682" w:rsidRPr="00981995">
        <w:rPr>
          <w:sz w:val="20"/>
        </w:rPr>
        <w:t>C</w:t>
      </w:r>
      <w:r w:rsidR="00E139B3" w:rsidRPr="00981995">
        <w:rPr>
          <w:sz w:val="20"/>
        </w:rPr>
        <w:t>onfining the intervention to</w:t>
      </w:r>
      <w:r w:rsidR="0035542C" w:rsidRPr="00981995">
        <w:rPr>
          <w:sz w:val="20"/>
        </w:rPr>
        <w:t xml:space="preserve"> </w:t>
      </w:r>
      <w:r w:rsidR="00E139B3" w:rsidRPr="00981995">
        <w:rPr>
          <w:sz w:val="20"/>
        </w:rPr>
        <w:t xml:space="preserve">the highest risk infants </w:t>
      </w:r>
      <w:r w:rsidR="007B0682" w:rsidRPr="00981995">
        <w:rPr>
          <w:sz w:val="20"/>
        </w:rPr>
        <w:t xml:space="preserve">has a minimal impact on the overall </w:t>
      </w:r>
      <w:r w:rsidR="00E139B3" w:rsidRPr="00981995">
        <w:rPr>
          <w:sz w:val="20"/>
        </w:rPr>
        <w:t>population burden</w:t>
      </w:r>
      <w:r w:rsidR="007B0682" w:rsidRPr="00981995">
        <w:rPr>
          <w:sz w:val="20"/>
        </w:rPr>
        <w:t>; t</w:t>
      </w:r>
      <w:r w:rsidR="00E139B3" w:rsidRPr="00981995">
        <w:rPr>
          <w:sz w:val="20"/>
        </w:rPr>
        <w:t xml:space="preserve">he greatest benefit was achieved when the whole population </w:t>
      </w:r>
      <w:r w:rsidR="007B0682" w:rsidRPr="00981995">
        <w:rPr>
          <w:sz w:val="20"/>
        </w:rPr>
        <w:t>is targeted</w:t>
      </w:r>
      <w:r w:rsidR="007574F9">
        <w:rPr>
          <w:sz w:val="20"/>
        </w:rPr>
        <w:t>,</w:t>
      </w:r>
      <w:r w:rsidR="007B0682" w:rsidRPr="00981995">
        <w:rPr>
          <w:sz w:val="20"/>
        </w:rPr>
        <w:t xml:space="preserve"> as </w:t>
      </w:r>
      <w:r w:rsidR="00E139B3" w:rsidRPr="00981995">
        <w:rPr>
          <w:sz w:val="20"/>
        </w:rPr>
        <w:t xml:space="preserve">the majority of peanut allergy occurs in </w:t>
      </w:r>
      <w:r w:rsidR="007B0682" w:rsidRPr="00981995">
        <w:rPr>
          <w:sz w:val="20"/>
        </w:rPr>
        <w:t xml:space="preserve">the large </w:t>
      </w:r>
      <w:r w:rsidR="00E139B3" w:rsidRPr="00981995">
        <w:rPr>
          <w:sz w:val="20"/>
        </w:rPr>
        <w:t>lower risk groups</w:t>
      </w:r>
      <w:r w:rsidR="007B0682" w:rsidRPr="00981995">
        <w:rPr>
          <w:sz w:val="20"/>
        </w:rPr>
        <w:t xml:space="preserve"> (</w:t>
      </w:r>
      <w:r w:rsidR="007B0682" w:rsidRPr="00981995">
        <w:rPr>
          <w:b/>
          <w:sz w:val="20"/>
        </w:rPr>
        <w:t>Table 2</w:t>
      </w:r>
      <w:r w:rsidR="007B0682" w:rsidRPr="00981995">
        <w:rPr>
          <w:sz w:val="20"/>
        </w:rPr>
        <w:t>)</w:t>
      </w:r>
      <w:r w:rsidR="00E139B3" w:rsidRPr="00981995">
        <w:rPr>
          <w:sz w:val="20"/>
        </w:rPr>
        <w:t xml:space="preserve">. The impact of the early introduction of peanut </w:t>
      </w:r>
      <w:r w:rsidR="003A18AD">
        <w:rPr>
          <w:sz w:val="20"/>
        </w:rPr>
        <w:t xml:space="preserve">products </w:t>
      </w:r>
      <w:r w:rsidR="00E139B3" w:rsidRPr="00981995">
        <w:rPr>
          <w:sz w:val="20"/>
        </w:rPr>
        <w:t>was most effective when applied as early as possible</w:t>
      </w:r>
      <w:r w:rsidR="00F62C5A" w:rsidRPr="00981995">
        <w:rPr>
          <w:sz w:val="20"/>
        </w:rPr>
        <w:t xml:space="preserve">. </w:t>
      </w:r>
      <w:r w:rsidR="00566493">
        <w:rPr>
          <w:sz w:val="20"/>
        </w:rPr>
        <w:t xml:space="preserve">This reflects the experience in the Israel </w:t>
      </w:r>
      <w:r w:rsidR="00A617C6">
        <w:rPr>
          <w:sz w:val="20"/>
        </w:rPr>
        <w:t xml:space="preserve">culture </w:t>
      </w:r>
      <w:r w:rsidR="00566493">
        <w:rPr>
          <w:sz w:val="20"/>
        </w:rPr>
        <w:t xml:space="preserve">where peanut products are </w:t>
      </w:r>
      <w:r w:rsidR="00A617C6">
        <w:rPr>
          <w:sz w:val="20"/>
        </w:rPr>
        <w:t xml:space="preserve">commonly </w:t>
      </w:r>
      <w:r w:rsidR="00566493">
        <w:rPr>
          <w:sz w:val="20"/>
        </w:rPr>
        <w:t xml:space="preserve">introduced early into the infant diet and peanut allergy </w:t>
      </w:r>
      <w:r w:rsidR="00566493" w:rsidRPr="007256F8">
        <w:rPr>
          <w:sz w:val="20"/>
        </w:rPr>
        <w:t>is very rare.</w:t>
      </w:r>
      <w:r w:rsidR="007256F8" w:rsidRPr="007256F8">
        <w:rPr>
          <w:sz w:val="20"/>
          <w:vertAlign w:val="superscript"/>
        </w:rPr>
        <w:t>2</w:t>
      </w:r>
      <w:r w:rsidR="00B17A04">
        <w:rPr>
          <w:sz w:val="20"/>
          <w:vertAlign w:val="superscript"/>
        </w:rPr>
        <w:t>4</w:t>
      </w:r>
    </w:p>
    <w:p w14:paraId="23D04F8A" w14:textId="311357C0" w:rsidR="00EE257A" w:rsidRDefault="00E139B3" w:rsidP="00646D57">
      <w:pPr>
        <w:spacing w:after="120" w:line="480" w:lineRule="auto"/>
        <w:rPr>
          <w:rFonts w:cs="Times New Roman"/>
          <w:sz w:val="20"/>
        </w:rPr>
      </w:pPr>
      <w:r w:rsidRPr="00981995">
        <w:rPr>
          <w:rFonts w:eastAsiaTheme="minorEastAsia" w:cs="Times New Roman"/>
          <w:sz w:val="20"/>
          <w:lang w:eastAsia="zh-CN"/>
        </w:rPr>
        <w:t xml:space="preserve">Our analysis demonstrating the need to intervene at the whole population level agrees with previous publications extrapolating data from the LEAP trial. O’Connor </w:t>
      </w:r>
      <w:r w:rsidRPr="00981995">
        <w:rPr>
          <w:rFonts w:eastAsiaTheme="minorEastAsia" w:cs="Times New Roman"/>
          <w:i/>
          <w:sz w:val="20"/>
          <w:lang w:eastAsia="zh-CN"/>
        </w:rPr>
        <w:t>et al</w:t>
      </w:r>
      <w:r w:rsidRPr="00981995">
        <w:rPr>
          <w:rFonts w:eastAsiaTheme="minorEastAsia" w:cs="Times New Roman"/>
          <w:sz w:val="20"/>
          <w:lang w:eastAsia="zh-CN"/>
        </w:rPr>
        <w:t xml:space="preserve"> estimated that if the intervention was applied</w:t>
      </w:r>
      <w:r w:rsidR="00027034" w:rsidRPr="00981995">
        <w:rPr>
          <w:rFonts w:eastAsiaTheme="minorEastAsia" w:cs="Times New Roman"/>
          <w:sz w:val="20"/>
          <w:lang w:eastAsia="zh-CN"/>
        </w:rPr>
        <w:t xml:space="preserve"> only</w:t>
      </w:r>
      <w:r w:rsidRPr="00981995">
        <w:rPr>
          <w:rFonts w:eastAsiaTheme="minorEastAsia" w:cs="Times New Roman"/>
          <w:sz w:val="20"/>
          <w:lang w:eastAsia="zh-CN"/>
        </w:rPr>
        <w:t xml:space="preserve"> to Irish infants with severe eczema and egg allergy, the population burden of peanut allergy would only have been reduced by 29%.</w:t>
      </w:r>
      <w:r w:rsidR="00B06BE1">
        <w:rPr>
          <w:rFonts w:eastAsiaTheme="minorEastAsia" w:cs="Times New Roman"/>
          <w:sz w:val="20"/>
          <w:vertAlign w:val="superscript"/>
          <w:lang w:eastAsia="zh-CN"/>
        </w:rPr>
        <w:t>2</w:t>
      </w:r>
      <w:r w:rsidR="00B17A04">
        <w:rPr>
          <w:rFonts w:eastAsiaTheme="minorEastAsia" w:cs="Times New Roman"/>
          <w:sz w:val="20"/>
          <w:vertAlign w:val="superscript"/>
          <w:lang w:eastAsia="zh-CN"/>
        </w:rPr>
        <w:t>5</w:t>
      </w:r>
      <w:r w:rsidR="00B06BE1" w:rsidRPr="00981995">
        <w:rPr>
          <w:rFonts w:eastAsiaTheme="minorEastAsia" w:cs="Times New Roman"/>
          <w:sz w:val="20"/>
          <w:lang w:eastAsia="zh-CN"/>
        </w:rPr>
        <w:t xml:space="preserve"> </w:t>
      </w:r>
      <w:r w:rsidRPr="00981995">
        <w:rPr>
          <w:rFonts w:eastAsiaTheme="minorEastAsia" w:cs="Times New Roman"/>
          <w:sz w:val="20"/>
          <w:lang w:eastAsia="zh-CN"/>
        </w:rPr>
        <w:t xml:space="preserve">Similarly, Koplin </w:t>
      </w:r>
      <w:r w:rsidRPr="00981995">
        <w:rPr>
          <w:rFonts w:eastAsiaTheme="minorEastAsia" w:cs="Times New Roman"/>
          <w:i/>
          <w:sz w:val="20"/>
          <w:lang w:eastAsia="zh-CN"/>
        </w:rPr>
        <w:t>et al</w:t>
      </w:r>
      <w:r w:rsidRPr="00981995">
        <w:rPr>
          <w:rFonts w:eastAsiaTheme="minorEastAsia" w:cs="Times New Roman"/>
          <w:sz w:val="20"/>
          <w:lang w:eastAsia="zh-CN"/>
        </w:rPr>
        <w:t xml:space="preserve"> in an Australian cohort estimated that targeting the intervention </w:t>
      </w:r>
      <w:r w:rsidR="003A5099">
        <w:rPr>
          <w:rFonts w:eastAsiaTheme="minorEastAsia" w:cs="Times New Roman"/>
          <w:sz w:val="20"/>
          <w:lang w:eastAsia="zh-CN"/>
        </w:rPr>
        <w:t>to</w:t>
      </w:r>
      <w:r w:rsidR="003A5099" w:rsidRPr="00981995">
        <w:rPr>
          <w:rFonts w:eastAsiaTheme="minorEastAsia" w:cs="Times New Roman"/>
          <w:sz w:val="20"/>
          <w:lang w:eastAsia="zh-CN"/>
        </w:rPr>
        <w:t xml:space="preserve"> </w:t>
      </w:r>
      <w:r w:rsidRPr="00981995">
        <w:rPr>
          <w:rFonts w:eastAsiaTheme="minorEastAsia" w:cs="Times New Roman"/>
          <w:sz w:val="20"/>
          <w:lang w:eastAsia="zh-CN"/>
        </w:rPr>
        <w:t>infants with severe eczema and/or egg allergy would have reduced the population disease burden by</w:t>
      </w:r>
      <w:r w:rsidR="00027034" w:rsidRPr="00981995">
        <w:rPr>
          <w:rFonts w:eastAsiaTheme="minorEastAsia" w:cs="Times New Roman"/>
          <w:sz w:val="20"/>
          <w:lang w:eastAsia="zh-CN"/>
        </w:rPr>
        <w:t xml:space="preserve"> only</w:t>
      </w:r>
      <w:r w:rsidRPr="00981995">
        <w:rPr>
          <w:rFonts w:eastAsiaTheme="minorEastAsia" w:cs="Times New Roman"/>
          <w:sz w:val="20"/>
          <w:lang w:eastAsia="zh-CN"/>
        </w:rPr>
        <w:t xml:space="preserve"> 6%,</w:t>
      </w:r>
      <w:r w:rsidR="00B06BE1" w:rsidRPr="00981995">
        <w:rPr>
          <w:rFonts w:eastAsiaTheme="minorEastAsia" w:cs="Times New Roman"/>
          <w:sz w:val="20"/>
          <w:vertAlign w:val="superscript"/>
          <w:lang w:eastAsia="zh-CN"/>
        </w:rPr>
        <w:t>1</w:t>
      </w:r>
      <w:r w:rsidR="00B06BE1">
        <w:rPr>
          <w:rFonts w:eastAsiaTheme="minorEastAsia" w:cs="Times New Roman"/>
          <w:sz w:val="20"/>
          <w:vertAlign w:val="superscript"/>
          <w:lang w:eastAsia="zh-CN"/>
        </w:rPr>
        <w:t>8</w:t>
      </w:r>
      <w:r w:rsidR="00B06BE1" w:rsidRPr="00981995">
        <w:rPr>
          <w:rFonts w:eastAsiaTheme="minorEastAsia" w:cs="Times New Roman"/>
          <w:sz w:val="20"/>
          <w:lang w:eastAsia="zh-CN"/>
        </w:rPr>
        <w:t xml:space="preserve"> </w:t>
      </w:r>
      <w:r w:rsidRPr="00981995">
        <w:rPr>
          <w:rFonts w:eastAsiaTheme="minorEastAsia" w:cs="Times New Roman"/>
          <w:sz w:val="20"/>
          <w:lang w:eastAsia="zh-CN"/>
        </w:rPr>
        <w:t xml:space="preserve">which is very similar to our estimate </w:t>
      </w:r>
      <w:r w:rsidR="00301A77">
        <w:rPr>
          <w:sz w:val="20"/>
        </w:rPr>
        <w:t>(</w:t>
      </w:r>
      <w:r w:rsidR="00301A77" w:rsidRPr="00BE340F">
        <w:rPr>
          <w:b/>
          <w:sz w:val="20"/>
        </w:rPr>
        <w:t>Table 2</w:t>
      </w:r>
      <w:r w:rsidR="00301A77">
        <w:rPr>
          <w:sz w:val="20"/>
        </w:rPr>
        <w:t>)</w:t>
      </w:r>
      <w:r w:rsidRPr="00981995">
        <w:rPr>
          <w:rFonts w:eastAsiaTheme="minorEastAsia" w:cs="Times New Roman"/>
          <w:sz w:val="20"/>
          <w:lang w:eastAsia="zh-CN"/>
        </w:rPr>
        <w:t xml:space="preserve">.  </w:t>
      </w:r>
      <w:r w:rsidR="00E56DD3" w:rsidRPr="00C664FF">
        <w:rPr>
          <w:rFonts w:cs="Times New Roman"/>
          <w:sz w:val="20"/>
        </w:rPr>
        <w:t>Applying simple, low cost and safe interventions to the whole population is a more effective preventive public health strategy than targeting selected groups.</w:t>
      </w:r>
      <w:bookmarkStart w:id="3" w:name="_Hlk108682932"/>
      <w:r w:rsidR="00B06BE1">
        <w:rPr>
          <w:rFonts w:cs="Times New Roman"/>
          <w:sz w:val="20"/>
          <w:vertAlign w:val="superscript"/>
        </w:rPr>
        <w:t>2</w:t>
      </w:r>
      <w:r w:rsidR="00B17A04">
        <w:rPr>
          <w:rFonts w:cs="Times New Roman"/>
          <w:sz w:val="20"/>
          <w:vertAlign w:val="superscript"/>
        </w:rPr>
        <w:t>6</w:t>
      </w:r>
      <w:r w:rsidR="00B06BE1" w:rsidRPr="00C664FF">
        <w:rPr>
          <w:rFonts w:cs="Times New Roman"/>
          <w:sz w:val="20"/>
        </w:rPr>
        <w:t xml:space="preserve"> </w:t>
      </w:r>
      <w:bookmarkStart w:id="4" w:name="_Hlk108287341"/>
      <w:r w:rsidR="00D45E9E">
        <w:rPr>
          <w:rFonts w:cs="Times New Roman"/>
          <w:sz w:val="20"/>
        </w:rPr>
        <w:t>Lastly</w:t>
      </w:r>
      <w:r w:rsidR="00E56DD3" w:rsidRPr="00C664FF">
        <w:rPr>
          <w:rFonts w:cs="Times New Roman"/>
          <w:sz w:val="20"/>
        </w:rPr>
        <w:t xml:space="preserve"> there is the theoretical consequence</w:t>
      </w:r>
      <w:r w:rsidR="00C217C2">
        <w:rPr>
          <w:rFonts w:cs="Times New Roman"/>
          <w:sz w:val="20"/>
        </w:rPr>
        <w:t xml:space="preserve"> </w:t>
      </w:r>
      <w:r w:rsidR="00E56DD3" w:rsidRPr="00C664FF">
        <w:rPr>
          <w:rFonts w:cs="Times New Roman"/>
          <w:sz w:val="20"/>
        </w:rPr>
        <w:t>that</w:t>
      </w:r>
      <w:r w:rsidR="00C87F09">
        <w:rPr>
          <w:rFonts w:cs="Times New Roman"/>
          <w:sz w:val="20"/>
        </w:rPr>
        <w:t xml:space="preserve"> introducing peanuts </w:t>
      </w:r>
      <w:r w:rsidR="00C217C2">
        <w:rPr>
          <w:rFonts w:cs="Times New Roman"/>
          <w:sz w:val="20"/>
        </w:rPr>
        <w:t xml:space="preserve">exclusively </w:t>
      </w:r>
      <w:r w:rsidR="00C87F09">
        <w:rPr>
          <w:rFonts w:cs="Times New Roman"/>
          <w:sz w:val="20"/>
        </w:rPr>
        <w:t xml:space="preserve">to </w:t>
      </w:r>
      <w:r w:rsidR="00E56DD3" w:rsidRPr="00C664FF">
        <w:rPr>
          <w:rFonts w:cs="Times New Roman"/>
          <w:sz w:val="20"/>
        </w:rPr>
        <w:t xml:space="preserve">high risk infants may result in a </w:t>
      </w:r>
      <w:r w:rsidR="00C87F09">
        <w:rPr>
          <w:rFonts w:cs="Times New Roman"/>
          <w:sz w:val="20"/>
        </w:rPr>
        <w:t>greater environmental peanut exposure of low</w:t>
      </w:r>
      <w:r w:rsidR="00C217C2">
        <w:rPr>
          <w:rFonts w:cs="Times New Roman"/>
          <w:sz w:val="20"/>
        </w:rPr>
        <w:t>er</w:t>
      </w:r>
      <w:r w:rsidR="00C87F09">
        <w:rPr>
          <w:rFonts w:cs="Times New Roman"/>
          <w:sz w:val="20"/>
        </w:rPr>
        <w:t xml:space="preserve"> risk infants who are not consuming peanuts</w:t>
      </w:r>
      <w:r w:rsidR="00D77F23">
        <w:rPr>
          <w:rFonts w:cs="Times New Roman"/>
          <w:sz w:val="20"/>
        </w:rPr>
        <w:t>.</w:t>
      </w:r>
      <w:r w:rsidR="007E174D">
        <w:rPr>
          <w:rFonts w:cs="Times New Roman"/>
          <w:sz w:val="20"/>
        </w:rPr>
        <w:t xml:space="preserve"> </w:t>
      </w:r>
      <w:r w:rsidR="00D77F23">
        <w:rPr>
          <w:rFonts w:cs="Times New Roman"/>
          <w:sz w:val="20"/>
        </w:rPr>
        <w:t>T</w:t>
      </w:r>
      <w:r w:rsidR="007E174D">
        <w:rPr>
          <w:rFonts w:cs="Times New Roman"/>
          <w:sz w:val="20"/>
        </w:rPr>
        <w:t xml:space="preserve">his could </w:t>
      </w:r>
      <w:r w:rsidR="00C217C2">
        <w:rPr>
          <w:rFonts w:cs="Times New Roman"/>
          <w:sz w:val="20"/>
        </w:rPr>
        <w:t xml:space="preserve">result </w:t>
      </w:r>
      <w:r w:rsidR="00C87F09">
        <w:rPr>
          <w:rFonts w:cs="Times New Roman"/>
          <w:sz w:val="20"/>
        </w:rPr>
        <w:t>in</w:t>
      </w:r>
      <w:r w:rsidR="007E174D">
        <w:rPr>
          <w:rFonts w:cs="Times New Roman"/>
          <w:sz w:val="20"/>
        </w:rPr>
        <w:t xml:space="preserve"> a higher rate of peanut allergy </w:t>
      </w:r>
      <w:r w:rsidR="00C217C2">
        <w:rPr>
          <w:rFonts w:cs="Times New Roman"/>
          <w:sz w:val="20"/>
        </w:rPr>
        <w:t>in this lower risk group</w:t>
      </w:r>
      <w:r w:rsidR="007E174D">
        <w:rPr>
          <w:rFonts w:cs="Times New Roman"/>
          <w:sz w:val="20"/>
        </w:rPr>
        <w:t xml:space="preserve"> who are not protect</w:t>
      </w:r>
      <w:r w:rsidR="0005247B">
        <w:rPr>
          <w:rFonts w:cs="Times New Roman"/>
          <w:sz w:val="20"/>
        </w:rPr>
        <w:t>ed</w:t>
      </w:r>
      <w:r w:rsidR="007E174D">
        <w:rPr>
          <w:rFonts w:cs="Times New Roman"/>
          <w:sz w:val="20"/>
        </w:rPr>
        <w:t xml:space="preserve"> by early peanut consumption</w:t>
      </w:r>
      <w:r w:rsidR="00C217C2">
        <w:rPr>
          <w:rFonts w:cs="Times New Roman"/>
          <w:sz w:val="20"/>
        </w:rPr>
        <w:t>, as predicted by the dual allergen exposure hypothesis</w:t>
      </w:r>
      <w:bookmarkEnd w:id="4"/>
      <w:r w:rsidR="00E56DD3" w:rsidRPr="00C664FF">
        <w:rPr>
          <w:rFonts w:cs="Times New Roman"/>
          <w:sz w:val="20"/>
        </w:rPr>
        <w:t>.</w:t>
      </w:r>
      <w:bookmarkEnd w:id="3"/>
      <w:r w:rsidR="00A62F8A">
        <w:rPr>
          <w:rFonts w:cs="Times New Roman"/>
          <w:sz w:val="20"/>
          <w:vertAlign w:val="superscript"/>
        </w:rPr>
        <w:t>2</w:t>
      </w:r>
      <w:r w:rsidR="00B17A04">
        <w:rPr>
          <w:rFonts w:cs="Times New Roman"/>
          <w:sz w:val="20"/>
          <w:vertAlign w:val="superscript"/>
        </w:rPr>
        <w:t>7</w:t>
      </w:r>
      <w:r w:rsidR="00A62F8A" w:rsidRPr="00C664FF">
        <w:rPr>
          <w:rFonts w:cs="Times New Roman"/>
          <w:sz w:val="20"/>
        </w:rPr>
        <w:t xml:space="preserve"> </w:t>
      </w:r>
    </w:p>
    <w:p w14:paraId="170D5927" w14:textId="1A42D1CB" w:rsidR="00DE1AED" w:rsidRDefault="00EE257A" w:rsidP="00196B10">
      <w:pPr>
        <w:spacing w:after="120" w:line="480" w:lineRule="auto"/>
        <w:jc w:val="both"/>
        <w:rPr>
          <w:rFonts w:cs="Times New Roman"/>
          <w:sz w:val="20"/>
        </w:rPr>
      </w:pPr>
      <w:r>
        <w:rPr>
          <w:rFonts w:cs="Times New Roman"/>
          <w:sz w:val="20"/>
        </w:rPr>
        <w:t xml:space="preserve">Over several decades, the deliberate avoidance of peanut has understandably led to parental fear of early introduction.  </w:t>
      </w:r>
      <w:r w:rsidR="00DE1AED">
        <w:rPr>
          <w:rFonts w:cs="Times New Roman"/>
          <w:sz w:val="20"/>
        </w:rPr>
        <w:t xml:space="preserve">Applying </w:t>
      </w:r>
      <w:r>
        <w:rPr>
          <w:rFonts w:cs="Times New Roman"/>
          <w:sz w:val="20"/>
        </w:rPr>
        <w:t xml:space="preserve">early introduction of peanut </w:t>
      </w:r>
      <w:r w:rsidR="00DE1AED">
        <w:rPr>
          <w:rFonts w:cs="Times New Roman"/>
          <w:sz w:val="20"/>
        </w:rPr>
        <w:t xml:space="preserve">to a whole population requires considerable education of healthcare professionals and families with detailed advice on weaning strategies and being able to address their concerns. </w:t>
      </w:r>
      <w:r w:rsidR="00442259">
        <w:rPr>
          <w:rFonts w:cs="Times New Roman"/>
          <w:sz w:val="20"/>
        </w:rPr>
        <w:t>T</w:t>
      </w:r>
      <w:r w:rsidR="002D61A3">
        <w:rPr>
          <w:rFonts w:cs="Times New Roman"/>
          <w:sz w:val="20"/>
        </w:rPr>
        <w:t>he safety of early introduction of peanut products has been observed in LEAP and EAT</w:t>
      </w:r>
      <w:r w:rsidR="00294F1A" w:rsidRPr="00B9101D">
        <w:rPr>
          <w:rFonts w:cs="Times New Roman"/>
          <w:sz w:val="20"/>
          <w:vertAlign w:val="superscript"/>
        </w:rPr>
        <w:t>16</w:t>
      </w:r>
      <w:r w:rsidR="00683E17" w:rsidRPr="00B9101D">
        <w:rPr>
          <w:rFonts w:cs="Times New Roman"/>
          <w:sz w:val="20"/>
          <w:vertAlign w:val="superscript"/>
        </w:rPr>
        <w:t>,28</w:t>
      </w:r>
      <w:r w:rsidR="00442259">
        <w:rPr>
          <w:rFonts w:cs="Times New Roman"/>
          <w:sz w:val="20"/>
        </w:rPr>
        <w:t>. W</w:t>
      </w:r>
      <w:r w:rsidR="003F6CEB">
        <w:rPr>
          <w:rFonts w:cs="Times New Roman"/>
          <w:sz w:val="20"/>
        </w:rPr>
        <w:t xml:space="preserve">e need to be aware of </w:t>
      </w:r>
      <w:r w:rsidR="003F6CEB">
        <w:rPr>
          <w:rFonts w:cs="Times New Roman"/>
          <w:sz w:val="20"/>
        </w:rPr>
        <w:lastRenderedPageBreak/>
        <w:t>unintended consequences</w:t>
      </w:r>
      <w:r w:rsidR="005B0637">
        <w:rPr>
          <w:rFonts w:cs="Times New Roman"/>
          <w:sz w:val="20"/>
          <w:vertAlign w:val="superscript"/>
        </w:rPr>
        <w:t>29</w:t>
      </w:r>
      <w:r w:rsidR="003F6CEB">
        <w:rPr>
          <w:rFonts w:cs="Times New Roman"/>
          <w:sz w:val="20"/>
        </w:rPr>
        <w:t xml:space="preserve"> </w:t>
      </w:r>
      <w:r w:rsidR="00442259">
        <w:rPr>
          <w:rFonts w:cs="Times New Roman"/>
          <w:sz w:val="20"/>
        </w:rPr>
        <w:t xml:space="preserve">such as the possibility of parents giving infants whole nuts leading to a </w:t>
      </w:r>
      <w:r w:rsidR="003F6CEB">
        <w:rPr>
          <w:rFonts w:cs="Times New Roman"/>
          <w:sz w:val="20"/>
        </w:rPr>
        <w:t>risk of nut inhalation</w:t>
      </w:r>
      <w:r w:rsidR="00442259">
        <w:rPr>
          <w:rFonts w:cs="Times New Roman"/>
          <w:sz w:val="20"/>
        </w:rPr>
        <w:t>. I</w:t>
      </w:r>
      <w:r w:rsidR="003F6CEB">
        <w:rPr>
          <w:rFonts w:cs="Times New Roman"/>
          <w:sz w:val="20"/>
        </w:rPr>
        <w:t>t is critical that education stresse</w:t>
      </w:r>
      <w:r w:rsidR="0027692D">
        <w:rPr>
          <w:rFonts w:cs="Times New Roman"/>
          <w:sz w:val="20"/>
        </w:rPr>
        <w:t>s</w:t>
      </w:r>
      <w:r w:rsidR="003F6CEB">
        <w:rPr>
          <w:rFonts w:cs="Times New Roman"/>
          <w:sz w:val="20"/>
        </w:rPr>
        <w:t xml:space="preserve"> the need to introduce peanut product</w:t>
      </w:r>
      <w:r w:rsidR="00442259">
        <w:rPr>
          <w:rFonts w:cs="Times New Roman"/>
          <w:sz w:val="20"/>
        </w:rPr>
        <w:t>s</w:t>
      </w:r>
      <w:r w:rsidR="003F6CEB">
        <w:rPr>
          <w:rFonts w:cs="Times New Roman"/>
          <w:sz w:val="20"/>
        </w:rPr>
        <w:t>, such as a butter</w:t>
      </w:r>
      <w:r w:rsidR="00442259">
        <w:rPr>
          <w:rFonts w:cs="Times New Roman"/>
          <w:sz w:val="20"/>
        </w:rPr>
        <w:t xml:space="preserve"> or puffs</w:t>
      </w:r>
      <w:r w:rsidR="0027692D">
        <w:rPr>
          <w:rFonts w:cs="Times New Roman"/>
          <w:sz w:val="20"/>
        </w:rPr>
        <w:t>,</w:t>
      </w:r>
      <w:r w:rsidR="003F6CEB">
        <w:rPr>
          <w:rFonts w:cs="Times New Roman"/>
          <w:sz w:val="20"/>
        </w:rPr>
        <w:t xml:space="preserve"> and not as a whole nut. </w:t>
      </w:r>
      <w:r w:rsidR="00DE1AED">
        <w:rPr>
          <w:rFonts w:cs="Times New Roman"/>
          <w:sz w:val="20"/>
        </w:rPr>
        <w:t xml:space="preserve"> </w:t>
      </w:r>
      <w:r>
        <w:rPr>
          <w:rFonts w:cs="Times New Roman"/>
          <w:sz w:val="20"/>
        </w:rPr>
        <w:t xml:space="preserve">  </w:t>
      </w:r>
    </w:p>
    <w:p w14:paraId="4EDA50A9" w14:textId="64757FEE" w:rsidR="00242C38" w:rsidRDefault="00E139B3" w:rsidP="00B00132">
      <w:pPr>
        <w:spacing w:after="120" w:line="480" w:lineRule="auto"/>
        <w:rPr>
          <w:rFonts w:cs="Times New Roman"/>
          <w:sz w:val="20"/>
        </w:rPr>
      </w:pPr>
      <w:r w:rsidRPr="00981995">
        <w:rPr>
          <w:sz w:val="20"/>
        </w:rPr>
        <w:t>We have shown that</w:t>
      </w:r>
      <w:r w:rsidR="003A5099">
        <w:rPr>
          <w:sz w:val="20"/>
        </w:rPr>
        <w:t xml:space="preserve"> in</w:t>
      </w:r>
      <w:r w:rsidRPr="00981995">
        <w:rPr>
          <w:sz w:val="20"/>
        </w:rPr>
        <w:t xml:space="preserve"> both a high risk and normal population, the majority of peanut allergy has already developed in the first year of life (</w:t>
      </w:r>
      <w:r w:rsidRPr="00981995">
        <w:rPr>
          <w:b/>
          <w:sz w:val="20"/>
        </w:rPr>
        <w:t xml:space="preserve">Figure </w:t>
      </w:r>
      <w:r w:rsidR="007E52AA">
        <w:rPr>
          <w:b/>
          <w:sz w:val="20"/>
        </w:rPr>
        <w:t>2</w:t>
      </w:r>
      <w:r w:rsidRPr="00981995">
        <w:rPr>
          <w:sz w:val="20"/>
        </w:rPr>
        <w:t xml:space="preserve">). This </w:t>
      </w:r>
      <w:r w:rsidR="00993001">
        <w:rPr>
          <w:sz w:val="20"/>
        </w:rPr>
        <w:t>aligns</w:t>
      </w:r>
      <w:r w:rsidRPr="00981995">
        <w:rPr>
          <w:sz w:val="20"/>
        </w:rPr>
        <w:t xml:space="preserve"> with the Australian HealthNuts cohort where 3.1% of infants had challenge-proven peanut allergy at 1 year of age.</w:t>
      </w:r>
      <w:r w:rsidR="0081248C" w:rsidRPr="00981995">
        <w:rPr>
          <w:sz w:val="20"/>
          <w:vertAlign w:val="superscript"/>
        </w:rPr>
        <w:t>2,</w:t>
      </w:r>
      <w:r w:rsidR="00F40921">
        <w:rPr>
          <w:sz w:val="20"/>
          <w:vertAlign w:val="superscript"/>
        </w:rPr>
        <w:t>30</w:t>
      </w:r>
      <w:r w:rsidR="00A62F8A" w:rsidRPr="00981995">
        <w:rPr>
          <w:sz w:val="20"/>
        </w:rPr>
        <w:t xml:space="preserve"> </w:t>
      </w:r>
      <w:r w:rsidR="00646D57">
        <w:rPr>
          <w:sz w:val="20"/>
        </w:rPr>
        <w:t xml:space="preserve">The 3.1% is similar to the overall peanut allergy rate expected in the </w:t>
      </w:r>
      <w:r w:rsidR="003A5099">
        <w:rPr>
          <w:sz w:val="20"/>
        </w:rPr>
        <w:t>Australian</w:t>
      </w:r>
      <w:r w:rsidR="00646D57">
        <w:rPr>
          <w:sz w:val="20"/>
        </w:rPr>
        <w:t xml:space="preserve"> population. </w:t>
      </w:r>
      <w:r w:rsidR="00A672EA">
        <w:rPr>
          <w:sz w:val="20"/>
        </w:rPr>
        <w:t xml:space="preserve">A recent US publication also confirms </w:t>
      </w:r>
      <w:r w:rsidR="00AE721E">
        <w:rPr>
          <w:sz w:val="20"/>
        </w:rPr>
        <w:t>that a high rate of challenge proven peanut allergy is seen in the first year of life (18% in infants with moderate to severe eczema</w:t>
      </w:r>
      <w:r w:rsidR="000557B2">
        <w:rPr>
          <w:sz w:val="20"/>
        </w:rPr>
        <w:t xml:space="preserve"> which is similar to that seen in LEAP</w:t>
      </w:r>
      <w:r w:rsidR="00AE721E">
        <w:rPr>
          <w:sz w:val="20"/>
        </w:rPr>
        <w:t>)</w:t>
      </w:r>
      <w:r w:rsidR="00ED4144">
        <w:rPr>
          <w:sz w:val="20"/>
        </w:rPr>
        <w:t>.</w:t>
      </w:r>
      <w:r w:rsidR="00F40921">
        <w:rPr>
          <w:sz w:val="20"/>
          <w:vertAlign w:val="superscript"/>
        </w:rPr>
        <w:t>31</w:t>
      </w:r>
      <w:r w:rsidR="00ED4144">
        <w:rPr>
          <w:sz w:val="20"/>
        </w:rPr>
        <w:t xml:space="preserve"> A</w:t>
      </w:r>
      <w:r w:rsidR="00AE721E">
        <w:rPr>
          <w:sz w:val="20"/>
        </w:rPr>
        <w:t>dditional</w:t>
      </w:r>
      <w:r w:rsidR="00ED4144">
        <w:rPr>
          <w:sz w:val="20"/>
        </w:rPr>
        <w:t>ly</w:t>
      </w:r>
      <w:r w:rsidR="00A672EA">
        <w:rPr>
          <w:sz w:val="20"/>
        </w:rPr>
        <w:t xml:space="preserve"> infants </w:t>
      </w:r>
      <w:r w:rsidR="00385439">
        <w:rPr>
          <w:sz w:val="20"/>
        </w:rPr>
        <w:t>under</w:t>
      </w:r>
      <w:r w:rsidR="00A672EA">
        <w:rPr>
          <w:sz w:val="20"/>
        </w:rPr>
        <w:t xml:space="preserve"> 6 months of age </w:t>
      </w:r>
      <w:r w:rsidR="00AE721E">
        <w:rPr>
          <w:sz w:val="20"/>
        </w:rPr>
        <w:t xml:space="preserve">had a </w:t>
      </w:r>
      <w:r w:rsidR="00385439">
        <w:rPr>
          <w:sz w:val="20"/>
        </w:rPr>
        <w:t xml:space="preserve">much lower likelihood of having peanut allergy </w:t>
      </w:r>
      <w:r w:rsidR="00E35EC1">
        <w:rPr>
          <w:sz w:val="20"/>
        </w:rPr>
        <w:t xml:space="preserve">compared to those over 6 months, </w:t>
      </w:r>
      <w:r w:rsidR="00385439">
        <w:rPr>
          <w:sz w:val="20"/>
        </w:rPr>
        <w:t>even with severe eczema.</w:t>
      </w:r>
      <w:r w:rsidR="00A672EA">
        <w:rPr>
          <w:sz w:val="20"/>
        </w:rPr>
        <w:t xml:space="preserve"> </w:t>
      </w:r>
      <w:r w:rsidR="00BB0DE1">
        <w:rPr>
          <w:sz w:val="20"/>
        </w:rPr>
        <w:t xml:space="preserve">In their series of 321 infants aged 4-11 months whose parents responded to publicity about the study, twice as many </w:t>
      </w:r>
      <w:r w:rsidR="00617675">
        <w:rPr>
          <w:sz w:val="20"/>
        </w:rPr>
        <w:t>as in the LEAP screening study would have defined as already having peanut allergy by the LEAP study criteria.</w:t>
      </w:r>
      <w:r w:rsidR="00617675" w:rsidRPr="00B9101D">
        <w:rPr>
          <w:sz w:val="20"/>
          <w:vertAlign w:val="superscript"/>
        </w:rPr>
        <w:t>9</w:t>
      </w:r>
      <w:r w:rsidR="00BB0DE1">
        <w:rPr>
          <w:sz w:val="20"/>
        </w:rPr>
        <w:t xml:space="preserve"> </w:t>
      </w:r>
      <w:r w:rsidRPr="00981995">
        <w:rPr>
          <w:sz w:val="20"/>
        </w:rPr>
        <w:t xml:space="preserve">This highlights the necessity for early intervention. </w:t>
      </w:r>
      <w:r w:rsidR="00580D13">
        <w:rPr>
          <w:sz w:val="20"/>
        </w:rPr>
        <w:t xml:space="preserve">While our results may not be exactly applicable to all populations, it is reassuring from the </w:t>
      </w:r>
      <w:r w:rsidR="00580D13" w:rsidRPr="00580D13">
        <w:rPr>
          <w:sz w:val="20"/>
        </w:rPr>
        <w:t xml:space="preserve">PreventADALL </w:t>
      </w:r>
      <w:r w:rsidR="00580D13">
        <w:rPr>
          <w:sz w:val="20"/>
        </w:rPr>
        <w:t xml:space="preserve">study that early introduction of peanut products was able to </w:t>
      </w:r>
      <w:r w:rsidR="00066A08">
        <w:rPr>
          <w:sz w:val="20"/>
        </w:rPr>
        <w:t xml:space="preserve">significantly </w:t>
      </w:r>
      <w:r w:rsidR="00580D13">
        <w:rPr>
          <w:sz w:val="20"/>
        </w:rPr>
        <w:t xml:space="preserve">prevent </w:t>
      </w:r>
      <w:r w:rsidR="00066A08">
        <w:rPr>
          <w:sz w:val="20"/>
        </w:rPr>
        <w:t>peanut allergy in a randomized controlled trial in Sweden and Norway</w:t>
      </w:r>
      <w:r w:rsidR="00601F0D">
        <w:rPr>
          <w:sz w:val="20"/>
        </w:rPr>
        <w:t>.</w:t>
      </w:r>
      <w:r w:rsidR="00601F0D">
        <w:rPr>
          <w:sz w:val="20"/>
          <w:vertAlign w:val="superscript"/>
        </w:rPr>
        <w:t xml:space="preserve">23 </w:t>
      </w:r>
      <w:r w:rsidRPr="00981995">
        <w:rPr>
          <w:sz w:val="20"/>
        </w:rPr>
        <w:t>The easily identifiable factors in early infancy that are associated with early development of peanut allergy are severity and duration of eczema plus non-white ethnicity which could be used to identify high risk infants (</w:t>
      </w:r>
      <w:r w:rsidRPr="00981995">
        <w:rPr>
          <w:b/>
          <w:sz w:val="20"/>
        </w:rPr>
        <w:t>Figures 1</w:t>
      </w:r>
      <w:r w:rsidR="00502AAC" w:rsidRPr="00981995">
        <w:rPr>
          <w:b/>
          <w:sz w:val="20"/>
        </w:rPr>
        <w:t xml:space="preserve">, </w:t>
      </w:r>
      <w:r w:rsidR="002D266D">
        <w:rPr>
          <w:b/>
          <w:sz w:val="20"/>
        </w:rPr>
        <w:t xml:space="preserve">and Figures </w:t>
      </w:r>
      <w:r w:rsidR="00A36B14">
        <w:rPr>
          <w:b/>
          <w:sz w:val="20"/>
        </w:rPr>
        <w:t>E</w:t>
      </w:r>
      <w:r w:rsidR="00E81DE9">
        <w:rPr>
          <w:b/>
          <w:sz w:val="20"/>
        </w:rPr>
        <w:t>8</w:t>
      </w:r>
      <w:r w:rsidR="00502AAC" w:rsidRPr="00981995">
        <w:rPr>
          <w:b/>
          <w:sz w:val="20"/>
        </w:rPr>
        <w:t>,</w:t>
      </w:r>
      <w:r w:rsidRPr="00981995">
        <w:rPr>
          <w:b/>
          <w:sz w:val="20"/>
        </w:rPr>
        <w:t xml:space="preserve"> </w:t>
      </w:r>
      <w:r w:rsidR="00A36B14">
        <w:rPr>
          <w:b/>
          <w:sz w:val="20"/>
        </w:rPr>
        <w:t>E</w:t>
      </w:r>
      <w:r w:rsidRPr="00981995">
        <w:rPr>
          <w:b/>
          <w:sz w:val="20"/>
        </w:rPr>
        <w:t>12C</w:t>
      </w:r>
      <w:r w:rsidR="00502AAC" w:rsidRPr="00981995">
        <w:rPr>
          <w:b/>
          <w:sz w:val="20"/>
        </w:rPr>
        <w:t xml:space="preserve"> and </w:t>
      </w:r>
      <w:r w:rsidR="00A36B14">
        <w:rPr>
          <w:b/>
          <w:sz w:val="20"/>
        </w:rPr>
        <w:t>E</w:t>
      </w:r>
      <w:r w:rsidR="002D266D">
        <w:rPr>
          <w:b/>
          <w:sz w:val="20"/>
        </w:rPr>
        <w:t>12</w:t>
      </w:r>
      <w:r w:rsidR="00502AAC" w:rsidRPr="00981995">
        <w:rPr>
          <w:b/>
          <w:sz w:val="20"/>
        </w:rPr>
        <w:t>D</w:t>
      </w:r>
      <w:r w:rsidRPr="00981995">
        <w:rPr>
          <w:sz w:val="20"/>
        </w:rPr>
        <w:t xml:space="preserve">). </w:t>
      </w:r>
      <w:r w:rsidR="00242C38" w:rsidRPr="00C664FF">
        <w:rPr>
          <w:rFonts w:cs="Times New Roman"/>
          <w:sz w:val="20"/>
        </w:rPr>
        <w:t xml:space="preserve">The important question as to whether age of introduction of peanuts </w:t>
      </w:r>
      <w:r w:rsidR="00242C38" w:rsidRPr="00A36B14">
        <w:rPr>
          <w:rFonts w:cs="Times New Roman"/>
          <w:sz w:val="20"/>
        </w:rPr>
        <w:t>into</w:t>
      </w:r>
      <w:r w:rsidR="00242C38" w:rsidRPr="00C664FF">
        <w:rPr>
          <w:rFonts w:cs="Times New Roman"/>
          <w:sz w:val="20"/>
        </w:rPr>
        <w:t xml:space="preserve"> the diet affects the efficacy has been previously raised.</w:t>
      </w:r>
      <w:r w:rsidR="00601F0D">
        <w:rPr>
          <w:rFonts w:cs="Times New Roman"/>
          <w:sz w:val="20"/>
          <w:vertAlign w:val="superscript"/>
        </w:rPr>
        <w:t>32</w:t>
      </w:r>
      <w:r w:rsidR="00601F0D" w:rsidRPr="00BE340F">
        <w:rPr>
          <w:rFonts w:cs="Times New Roman"/>
          <w:sz w:val="20"/>
          <w:vertAlign w:val="superscript"/>
        </w:rPr>
        <w:t xml:space="preserve"> </w:t>
      </w:r>
      <w:r w:rsidR="00601F0D">
        <w:rPr>
          <w:rFonts w:cs="Times New Roman"/>
          <w:sz w:val="20"/>
          <w:vertAlign w:val="superscript"/>
        </w:rPr>
        <w:t xml:space="preserve"> </w:t>
      </w:r>
      <w:r w:rsidR="00242C38" w:rsidRPr="00C664FF">
        <w:rPr>
          <w:rFonts w:cs="Times New Roman"/>
          <w:sz w:val="20"/>
        </w:rPr>
        <w:t>Our analysis of only the LEAP RCT cohorts found that the intervention was equally effective in younger and older infants.</w:t>
      </w:r>
      <w:r w:rsidR="00601F0D">
        <w:rPr>
          <w:rFonts w:cs="Times New Roman"/>
          <w:sz w:val="20"/>
          <w:vertAlign w:val="superscript"/>
        </w:rPr>
        <w:t>33</w:t>
      </w:r>
      <w:r w:rsidR="00601F0D" w:rsidRPr="00C664FF">
        <w:rPr>
          <w:rFonts w:cs="Times New Roman"/>
          <w:sz w:val="20"/>
        </w:rPr>
        <w:t xml:space="preserve"> </w:t>
      </w:r>
      <w:r w:rsidR="00242C38" w:rsidRPr="00C664FF">
        <w:rPr>
          <w:rFonts w:cs="Times New Roman"/>
          <w:sz w:val="20"/>
        </w:rPr>
        <w:t>However, when the entire LEAP screening study cohort is assessed, increasing age of introduction reduces the efficacy (</w:t>
      </w:r>
      <w:r w:rsidR="00242C38" w:rsidRPr="004E76D1">
        <w:rPr>
          <w:rFonts w:cs="Times New Roman"/>
          <w:b/>
          <w:sz w:val="20"/>
        </w:rPr>
        <w:t>Figure 3A</w:t>
      </w:r>
      <w:r w:rsidR="00242C38" w:rsidRPr="00C664FF">
        <w:rPr>
          <w:rFonts w:cs="Times New Roman"/>
          <w:sz w:val="20"/>
        </w:rPr>
        <w:t xml:space="preserve">). This is because some of the infants developed peanut allergy </w:t>
      </w:r>
      <w:r w:rsidR="00A36B14">
        <w:rPr>
          <w:rFonts w:cs="Times New Roman"/>
          <w:sz w:val="20"/>
        </w:rPr>
        <w:t xml:space="preserve">early </w:t>
      </w:r>
      <w:r w:rsidR="00242C38" w:rsidRPr="00C664FF">
        <w:rPr>
          <w:rFonts w:cs="Times New Roman"/>
          <w:sz w:val="20"/>
        </w:rPr>
        <w:t>in infancy before the intervention could have commenced and so were excluded from LEAP RCT (</w:t>
      </w:r>
      <w:r w:rsidR="00242C38" w:rsidRPr="004E76D1">
        <w:rPr>
          <w:rFonts w:cs="Times New Roman"/>
          <w:b/>
          <w:sz w:val="20"/>
        </w:rPr>
        <w:t>Figures 2 and 3</w:t>
      </w:r>
      <w:r w:rsidR="00242C38" w:rsidRPr="00C664FF">
        <w:rPr>
          <w:rFonts w:cs="Times New Roman"/>
          <w:sz w:val="20"/>
        </w:rPr>
        <w:t>). Also, the intervention itself was less effective in children with increasing whe</w:t>
      </w:r>
      <w:r w:rsidR="00A36B14">
        <w:rPr>
          <w:rFonts w:cs="Times New Roman"/>
          <w:sz w:val="20"/>
        </w:rPr>
        <w:t>al diameters to peanut (</w:t>
      </w:r>
      <w:r w:rsidR="00A36B14" w:rsidRPr="004E76D1">
        <w:rPr>
          <w:rFonts w:cs="Times New Roman"/>
          <w:b/>
          <w:sz w:val="20"/>
        </w:rPr>
        <w:t>Figure E</w:t>
      </w:r>
      <w:r w:rsidR="00242C38" w:rsidRPr="004E76D1">
        <w:rPr>
          <w:rFonts w:cs="Times New Roman"/>
          <w:b/>
          <w:sz w:val="20"/>
        </w:rPr>
        <w:t>4</w:t>
      </w:r>
      <w:r w:rsidR="00242C38" w:rsidRPr="00C664FF">
        <w:rPr>
          <w:rFonts w:cs="Times New Roman"/>
          <w:sz w:val="20"/>
        </w:rPr>
        <w:t>) and we observed that wheal size increased with age (</w:t>
      </w:r>
      <w:r w:rsidR="00242C38" w:rsidRPr="004E76D1">
        <w:rPr>
          <w:rFonts w:cs="Times New Roman"/>
          <w:b/>
          <w:sz w:val="20"/>
        </w:rPr>
        <w:t xml:space="preserve">Figures 2, 3 and </w:t>
      </w:r>
      <w:r w:rsidR="00A36B14" w:rsidRPr="004E76D1">
        <w:rPr>
          <w:rFonts w:cs="Times New Roman"/>
          <w:b/>
          <w:sz w:val="20"/>
        </w:rPr>
        <w:t>E</w:t>
      </w:r>
      <w:r w:rsidR="00242C38" w:rsidRPr="004E76D1">
        <w:rPr>
          <w:rFonts w:cs="Times New Roman"/>
          <w:b/>
          <w:sz w:val="20"/>
        </w:rPr>
        <w:t>10</w:t>
      </w:r>
      <w:r w:rsidR="00242C38" w:rsidRPr="00C664FF">
        <w:rPr>
          <w:rFonts w:cs="Times New Roman"/>
          <w:sz w:val="20"/>
        </w:rPr>
        <w:t xml:space="preserve">).  </w:t>
      </w:r>
    </w:p>
    <w:p w14:paraId="7FD838AD" w14:textId="0437B1F8" w:rsidR="00E139B3" w:rsidRPr="00BE340F" w:rsidRDefault="00E139B3" w:rsidP="00294F1A">
      <w:pPr>
        <w:spacing w:after="120" w:line="480" w:lineRule="auto"/>
        <w:textAlignment w:val="center"/>
        <w:rPr>
          <w:rFonts w:cs="Times New Roman"/>
          <w:sz w:val="20"/>
        </w:rPr>
      </w:pPr>
      <w:r w:rsidRPr="00981995">
        <w:rPr>
          <w:sz w:val="20"/>
        </w:rPr>
        <w:t>Our modelled approach, consistent with the raw data, points to the need for early intervention by six months of age</w:t>
      </w:r>
      <w:r w:rsidR="00242C38">
        <w:rPr>
          <w:sz w:val="20"/>
        </w:rPr>
        <w:t xml:space="preserve"> </w:t>
      </w:r>
      <w:r w:rsidR="00E56DD3">
        <w:rPr>
          <w:sz w:val="20"/>
        </w:rPr>
        <w:t>for</w:t>
      </w:r>
      <w:r w:rsidR="00242C38">
        <w:rPr>
          <w:sz w:val="20"/>
        </w:rPr>
        <w:t xml:space="preserve"> the whole population</w:t>
      </w:r>
      <w:r w:rsidRPr="00981995">
        <w:rPr>
          <w:sz w:val="20"/>
        </w:rPr>
        <w:t>, with even earlier intervention from four months of age in those with eczema (</w:t>
      </w:r>
      <w:r w:rsidRPr="00981995">
        <w:rPr>
          <w:b/>
          <w:sz w:val="20"/>
        </w:rPr>
        <w:t xml:space="preserve">Figure </w:t>
      </w:r>
      <w:r w:rsidR="007E52AA">
        <w:rPr>
          <w:b/>
          <w:sz w:val="20"/>
        </w:rPr>
        <w:t>3</w:t>
      </w:r>
      <w:r w:rsidRPr="00981995">
        <w:rPr>
          <w:b/>
          <w:sz w:val="20"/>
        </w:rPr>
        <w:t>C</w:t>
      </w:r>
      <w:r w:rsidRPr="00981995">
        <w:rPr>
          <w:sz w:val="20"/>
        </w:rPr>
        <w:t xml:space="preserve">). This reflects the </w:t>
      </w:r>
      <w:r w:rsidR="009361CA">
        <w:rPr>
          <w:sz w:val="20"/>
        </w:rPr>
        <w:t xml:space="preserve">relatively </w:t>
      </w:r>
      <w:r w:rsidRPr="00981995">
        <w:rPr>
          <w:sz w:val="20"/>
        </w:rPr>
        <w:t>narrow window of opportunity to prevent peanut allergy which appears to be most time critical in infants with eczema (especially severe eczema) and in UK non-white infants (</w:t>
      </w:r>
      <w:r w:rsidRPr="00981995">
        <w:rPr>
          <w:b/>
          <w:sz w:val="20"/>
        </w:rPr>
        <w:t xml:space="preserve">Figure </w:t>
      </w:r>
      <w:r w:rsidR="00A36B14">
        <w:rPr>
          <w:b/>
          <w:sz w:val="20"/>
        </w:rPr>
        <w:t>E</w:t>
      </w:r>
      <w:r w:rsidR="00395372">
        <w:rPr>
          <w:b/>
          <w:sz w:val="20"/>
        </w:rPr>
        <w:t>9</w:t>
      </w:r>
      <w:r w:rsidRPr="00981995">
        <w:rPr>
          <w:b/>
          <w:sz w:val="20"/>
        </w:rPr>
        <w:t>)</w:t>
      </w:r>
      <w:r w:rsidRPr="00981995">
        <w:rPr>
          <w:sz w:val="20"/>
        </w:rPr>
        <w:t xml:space="preserve">. </w:t>
      </w:r>
      <w:r w:rsidR="00B16413" w:rsidRPr="00B16413">
        <w:rPr>
          <w:sz w:val="20"/>
        </w:rPr>
        <w:t xml:space="preserve">A simpler </w:t>
      </w:r>
      <w:r w:rsidR="00B16413" w:rsidRPr="00B16413">
        <w:rPr>
          <w:sz w:val="20"/>
        </w:rPr>
        <w:lastRenderedPageBreak/>
        <w:t xml:space="preserve">approach would be to recommend early introduction of peanut products </w:t>
      </w:r>
      <w:r w:rsidR="00667BE5">
        <w:rPr>
          <w:sz w:val="20"/>
        </w:rPr>
        <w:t xml:space="preserve">to all children </w:t>
      </w:r>
      <w:r w:rsidR="00B16413" w:rsidRPr="00B16413">
        <w:rPr>
          <w:sz w:val="20"/>
        </w:rPr>
        <w:t>by 6 months of age</w:t>
      </w:r>
      <w:r w:rsidR="00AA1D35">
        <w:rPr>
          <w:sz w:val="20"/>
        </w:rPr>
        <w:t>,</w:t>
      </w:r>
      <w:r w:rsidR="00B16413" w:rsidRPr="00B16413">
        <w:rPr>
          <w:sz w:val="20"/>
        </w:rPr>
        <w:t xml:space="preserve"> but this </w:t>
      </w:r>
      <w:r w:rsidR="00AA1D35">
        <w:rPr>
          <w:sz w:val="20"/>
        </w:rPr>
        <w:t xml:space="preserve">would </w:t>
      </w:r>
      <w:r w:rsidR="00B16413" w:rsidRPr="00B16413">
        <w:rPr>
          <w:sz w:val="20"/>
        </w:rPr>
        <w:t>fail to prevent the development of allergy in a substantial proportion of infants with eczema</w:t>
      </w:r>
      <w:r w:rsidR="00A62F8A">
        <w:rPr>
          <w:sz w:val="20"/>
        </w:rPr>
        <w:t xml:space="preserve"> (</w:t>
      </w:r>
      <w:r w:rsidR="00A62F8A" w:rsidRPr="00B9101D">
        <w:rPr>
          <w:b/>
          <w:bCs/>
          <w:sz w:val="20"/>
        </w:rPr>
        <w:t>Figure E12B</w:t>
      </w:r>
      <w:r w:rsidR="00A62F8A">
        <w:rPr>
          <w:sz w:val="20"/>
        </w:rPr>
        <w:t>)</w:t>
      </w:r>
      <w:r w:rsidR="00B16413" w:rsidRPr="00B16413">
        <w:rPr>
          <w:sz w:val="20"/>
        </w:rPr>
        <w:t>.</w:t>
      </w:r>
    </w:p>
    <w:p w14:paraId="47890B22" w14:textId="7DD6964B" w:rsidR="00E139B3" w:rsidRPr="00981995" w:rsidRDefault="00E139B3" w:rsidP="00294F1A">
      <w:pPr>
        <w:spacing w:after="120" w:line="480" w:lineRule="auto"/>
        <w:textAlignment w:val="center"/>
        <w:rPr>
          <w:rFonts w:cs="Times New Roman"/>
          <w:sz w:val="20"/>
        </w:rPr>
      </w:pPr>
      <w:r w:rsidRPr="00981995">
        <w:rPr>
          <w:rFonts w:cs="Times New Roman"/>
          <w:sz w:val="20"/>
        </w:rPr>
        <w:t xml:space="preserve">This analysis provides meaningful insight into the benefits of early introduction of peanut as it uses RCT data including participants with all levels of risk of developing peanut allergy as well as follow up data from participants who failed the LEAP entry criteria. Additionally, this analysis has challenge-proven primary outcomes for most participants and all of the studies had high completion rates (89%). However, this analysis has some limitations. In generating the population model, </w:t>
      </w:r>
      <w:r w:rsidR="00DB4EF4">
        <w:rPr>
          <w:rFonts w:cs="Times New Roman"/>
          <w:sz w:val="20"/>
        </w:rPr>
        <w:t xml:space="preserve">several </w:t>
      </w:r>
      <w:r w:rsidRPr="00981995">
        <w:rPr>
          <w:rFonts w:cs="Times New Roman"/>
          <w:sz w:val="20"/>
        </w:rPr>
        <w:t>assumptions are made which are highlighted and justified (</w:t>
      </w:r>
      <w:r w:rsidRPr="00981995">
        <w:rPr>
          <w:rFonts w:cs="Times New Roman"/>
          <w:b/>
          <w:sz w:val="20"/>
        </w:rPr>
        <w:t xml:space="preserve">Table </w:t>
      </w:r>
      <w:r w:rsidR="00A36B14">
        <w:rPr>
          <w:rFonts w:cs="Times New Roman"/>
          <w:b/>
          <w:sz w:val="20"/>
        </w:rPr>
        <w:t>E</w:t>
      </w:r>
      <w:r w:rsidRPr="00981995">
        <w:rPr>
          <w:rFonts w:cs="Times New Roman"/>
          <w:b/>
          <w:sz w:val="20"/>
        </w:rPr>
        <w:t>1</w:t>
      </w:r>
      <w:r w:rsidRPr="00981995">
        <w:rPr>
          <w:rFonts w:cs="Times New Roman"/>
          <w:sz w:val="20"/>
        </w:rPr>
        <w:t xml:space="preserve">). One important assumption is the LEAP treatment effect </w:t>
      </w:r>
      <w:r w:rsidR="009D62B8" w:rsidRPr="00981995">
        <w:rPr>
          <w:rFonts w:cs="Times New Roman"/>
          <w:sz w:val="20"/>
        </w:rPr>
        <w:t>for each</w:t>
      </w:r>
      <w:r w:rsidRPr="00981995">
        <w:rPr>
          <w:rFonts w:cs="Times New Roman"/>
          <w:sz w:val="20"/>
        </w:rPr>
        <w:t xml:space="preserve"> risk group</w:t>
      </w:r>
      <w:r w:rsidR="009D62B8" w:rsidRPr="00981995">
        <w:rPr>
          <w:rFonts w:cs="Times New Roman"/>
          <w:sz w:val="20"/>
        </w:rPr>
        <w:t xml:space="preserve"> was used </w:t>
      </w:r>
      <w:r w:rsidRPr="00981995">
        <w:rPr>
          <w:rFonts w:cs="Times New Roman"/>
          <w:sz w:val="20"/>
        </w:rPr>
        <w:t>in our modelled approach. However</w:t>
      </w:r>
      <w:r w:rsidR="00486072" w:rsidRPr="00981995">
        <w:rPr>
          <w:rFonts w:cs="Times New Roman"/>
          <w:sz w:val="20"/>
        </w:rPr>
        <w:t>,</w:t>
      </w:r>
      <w:r w:rsidRPr="00981995">
        <w:rPr>
          <w:rFonts w:cs="Times New Roman"/>
          <w:sz w:val="20"/>
        </w:rPr>
        <w:t xml:space="preserve"> it should be noted that this treatment effect may be a conservative estimate given the very high per protocol effect sizes in both the LEAP and EAT trials (98% and 100% relative reduction</w:t>
      </w:r>
      <w:r w:rsidR="006A7335" w:rsidRPr="00981995">
        <w:rPr>
          <w:rFonts w:cs="Times New Roman"/>
          <w:sz w:val="20"/>
        </w:rPr>
        <w:t xml:space="preserve"> respectively</w:t>
      </w:r>
      <w:r w:rsidRPr="00981995">
        <w:rPr>
          <w:rFonts w:cs="Times New Roman"/>
          <w:sz w:val="20"/>
        </w:rPr>
        <w:t>).</w:t>
      </w:r>
      <w:r w:rsidR="008009C1" w:rsidRPr="00981995">
        <w:rPr>
          <w:rFonts w:cs="Times New Roman"/>
          <w:sz w:val="20"/>
          <w:vertAlign w:val="superscript"/>
        </w:rPr>
        <w:t>7,</w:t>
      </w:r>
      <w:r w:rsidR="00163B0D" w:rsidRPr="00981995">
        <w:rPr>
          <w:rFonts w:cs="Times New Roman"/>
          <w:sz w:val="20"/>
          <w:vertAlign w:val="superscript"/>
        </w:rPr>
        <w:t>1</w:t>
      </w:r>
      <w:r w:rsidR="00163B0D">
        <w:rPr>
          <w:rFonts w:cs="Times New Roman"/>
          <w:sz w:val="20"/>
          <w:vertAlign w:val="superscript"/>
        </w:rPr>
        <w:t>6</w:t>
      </w:r>
      <w:r w:rsidR="00163B0D" w:rsidRPr="00981995">
        <w:rPr>
          <w:rFonts w:cs="Times New Roman"/>
          <w:sz w:val="20"/>
        </w:rPr>
        <w:t xml:space="preserve"> </w:t>
      </w:r>
      <w:r w:rsidRPr="00981995">
        <w:rPr>
          <w:rFonts w:cs="Times New Roman"/>
          <w:sz w:val="20"/>
        </w:rPr>
        <w:t>The LEAP and EAT trials differed in how the intervention was applied and the length of follow up</w:t>
      </w:r>
      <w:r w:rsidR="00797AA9">
        <w:rPr>
          <w:rFonts w:cs="Times New Roman"/>
          <w:sz w:val="20"/>
        </w:rPr>
        <w:t xml:space="preserve"> so the preventative effect may have been underestimated in EAT due to </w:t>
      </w:r>
      <w:r w:rsidR="005E56E1">
        <w:rPr>
          <w:rFonts w:cs="Times New Roman"/>
          <w:sz w:val="20"/>
        </w:rPr>
        <w:t xml:space="preserve">the </w:t>
      </w:r>
      <w:r w:rsidR="00797AA9">
        <w:rPr>
          <w:rFonts w:cs="Times New Roman"/>
          <w:sz w:val="20"/>
        </w:rPr>
        <w:t xml:space="preserve">potential for some </w:t>
      </w:r>
      <w:r w:rsidR="00B1626D">
        <w:rPr>
          <w:rFonts w:cs="Times New Roman"/>
          <w:sz w:val="20"/>
        </w:rPr>
        <w:t xml:space="preserve">resolution </w:t>
      </w:r>
      <w:r w:rsidR="00513E75">
        <w:rPr>
          <w:rFonts w:cs="Times New Roman"/>
          <w:sz w:val="20"/>
        </w:rPr>
        <w:t xml:space="preserve">of allergy </w:t>
      </w:r>
      <w:r w:rsidR="00797AA9">
        <w:rPr>
          <w:rFonts w:cs="Times New Roman"/>
          <w:sz w:val="20"/>
        </w:rPr>
        <w:t>from 3-5 years of age</w:t>
      </w:r>
      <w:r w:rsidRPr="00981995">
        <w:rPr>
          <w:rFonts w:cs="Times New Roman"/>
          <w:sz w:val="20"/>
        </w:rPr>
        <w:t xml:space="preserve">.  In some analyses we have used a SPT &gt;4mm as indicative of allergy given that there are </w:t>
      </w:r>
      <w:r w:rsidR="004471C1">
        <w:rPr>
          <w:rFonts w:cs="Times New Roman"/>
          <w:sz w:val="20"/>
        </w:rPr>
        <w:t xml:space="preserve">published </w:t>
      </w:r>
      <w:r w:rsidRPr="00981995">
        <w:rPr>
          <w:rFonts w:cs="Times New Roman"/>
          <w:sz w:val="20"/>
        </w:rPr>
        <w:t xml:space="preserve">data suggesting </w:t>
      </w:r>
      <w:r w:rsidR="009E79E0">
        <w:rPr>
          <w:rFonts w:cs="Times New Roman"/>
          <w:sz w:val="20"/>
        </w:rPr>
        <w:t>7</w:t>
      </w:r>
      <w:r w:rsidRPr="00981995">
        <w:rPr>
          <w:rFonts w:cs="Times New Roman"/>
          <w:sz w:val="20"/>
        </w:rPr>
        <w:t xml:space="preserve">5% of these infants have peanut </w:t>
      </w:r>
      <w:r w:rsidRPr="007058AC">
        <w:rPr>
          <w:rFonts w:cs="Times New Roman"/>
          <w:sz w:val="20"/>
        </w:rPr>
        <w:t>allergy.</w:t>
      </w:r>
      <w:r w:rsidR="00163B0D" w:rsidRPr="00196B10">
        <w:rPr>
          <w:rFonts w:cs="Times New Roman"/>
          <w:sz w:val="20"/>
          <w:vertAlign w:val="superscript"/>
        </w:rPr>
        <w:t>18-21</w:t>
      </w:r>
      <w:r w:rsidR="00BE5B0C" w:rsidRPr="00196B10">
        <w:rPr>
          <w:rFonts w:cs="Times New Roman"/>
          <w:sz w:val="20"/>
          <w:vertAlign w:val="superscript"/>
        </w:rPr>
        <w:t xml:space="preserve"> </w:t>
      </w:r>
      <w:r w:rsidR="000978CF" w:rsidRPr="00196B10">
        <w:rPr>
          <w:rFonts w:cs="Times New Roman"/>
          <w:sz w:val="20"/>
          <w:vertAlign w:val="superscript"/>
        </w:rPr>
        <w:t xml:space="preserve"> </w:t>
      </w:r>
      <w:r w:rsidR="000978CF" w:rsidRPr="007058AC">
        <w:rPr>
          <w:rFonts w:cs="Times New Roman"/>
          <w:sz w:val="20"/>
        </w:rPr>
        <w:t>Thes</w:t>
      </w:r>
      <w:r w:rsidR="000978CF" w:rsidRPr="00163B0D">
        <w:rPr>
          <w:rFonts w:cs="Times New Roman"/>
          <w:sz w:val="20"/>
        </w:rPr>
        <w:t>e</w:t>
      </w:r>
      <w:r w:rsidR="000978CF">
        <w:rPr>
          <w:rFonts w:cs="Times New Roman"/>
          <w:sz w:val="20"/>
        </w:rPr>
        <w:t xml:space="preserve"> data used the same SPT solutions (ALK Abello) and methodology </w:t>
      </w:r>
      <w:r w:rsidR="009E79E0">
        <w:rPr>
          <w:rFonts w:cs="Times New Roman"/>
          <w:sz w:val="20"/>
        </w:rPr>
        <w:t>as the LEAP and EAT cohorts</w:t>
      </w:r>
      <w:r w:rsidR="00B716C6">
        <w:rPr>
          <w:rFonts w:cs="Times New Roman"/>
          <w:sz w:val="20"/>
        </w:rPr>
        <w:t xml:space="preserve">, and our diagnostic assumptions are presented in detail in supplemental </w:t>
      </w:r>
      <w:r w:rsidR="00B716C6" w:rsidRPr="00196B10">
        <w:rPr>
          <w:rFonts w:cs="Times New Roman"/>
          <w:b/>
          <w:bCs/>
          <w:sz w:val="20"/>
        </w:rPr>
        <w:t>Table E1</w:t>
      </w:r>
      <w:r w:rsidR="00B716C6">
        <w:rPr>
          <w:rFonts w:cs="Times New Roman"/>
          <w:sz w:val="20"/>
        </w:rPr>
        <w:t xml:space="preserve"> and </w:t>
      </w:r>
      <w:r w:rsidR="00B716C6" w:rsidRPr="00196B10">
        <w:rPr>
          <w:rFonts w:cs="Times New Roman"/>
          <w:b/>
          <w:bCs/>
          <w:sz w:val="20"/>
        </w:rPr>
        <w:t>Figures E1</w:t>
      </w:r>
      <w:r w:rsidR="00B716C6">
        <w:rPr>
          <w:rFonts w:cs="Times New Roman"/>
          <w:sz w:val="20"/>
        </w:rPr>
        <w:t xml:space="preserve"> and </w:t>
      </w:r>
      <w:r w:rsidR="00B716C6" w:rsidRPr="00196B10">
        <w:rPr>
          <w:rFonts w:cs="Times New Roman"/>
          <w:b/>
          <w:bCs/>
          <w:sz w:val="20"/>
        </w:rPr>
        <w:t>E3</w:t>
      </w:r>
      <w:r w:rsidR="00B716C6">
        <w:rPr>
          <w:rFonts w:cs="Times New Roman"/>
          <w:sz w:val="20"/>
        </w:rPr>
        <w:t xml:space="preserve">.  </w:t>
      </w:r>
      <w:r w:rsidRPr="00981995">
        <w:rPr>
          <w:rFonts w:cs="Times New Roman"/>
          <w:sz w:val="20"/>
        </w:rPr>
        <w:t>Another potential criticism is that the EAT participants were all exclusively breastfed until at least 3 months of age, a narrower population than the full UK general risk group. A systematic review has concluded that breastfeeding is not associated with food allergy;</w:t>
      </w:r>
      <w:r w:rsidR="00601F0D">
        <w:rPr>
          <w:rFonts w:cs="Times New Roman"/>
          <w:sz w:val="20"/>
          <w:vertAlign w:val="superscript"/>
        </w:rPr>
        <w:t>34</w:t>
      </w:r>
      <w:r w:rsidR="00601F0D" w:rsidRPr="00981995">
        <w:rPr>
          <w:rFonts w:cs="Times New Roman"/>
          <w:sz w:val="20"/>
        </w:rPr>
        <w:t xml:space="preserve"> </w:t>
      </w:r>
      <w:r w:rsidRPr="00981995">
        <w:rPr>
          <w:rFonts w:cs="Times New Roman"/>
          <w:sz w:val="20"/>
        </w:rPr>
        <w:t xml:space="preserve">additional analysis in the LEAP study did not show a significant effect </w:t>
      </w:r>
      <w:r w:rsidR="00486072" w:rsidRPr="00981995">
        <w:rPr>
          <w:rFonts w:cs="Times New Roman"/>
          <w:sz w:val="20"/>
        </w:rPr>
        <w:t xml:space="preserve">of breastfeeding </w:t>
      </w:r>
      <w:r w:rsidRPr="00981995">
        <w:rPr>
          <w:rFonts w:cs="Times New Roman"/>
          <w:sz w:val="20"/>
        </w:rPr>
        <w:t>on the efficacy of the intervention (</w:t>
      </w:r>
      <w:r w:rsidRPr="00981995">
        <w:rPr>
          <w:rFonts w:cs="Times New Roman"/>
          <w:b/>
          <w:sz w:val="20"/>
        </w:rPr>
        <w:t xml:space="preserve">Table </w:t>
      </w:r>
      <w:r w:rsidR="00B1626D">
        <w:rPr>
          <w:rFonts w:cs="Times New Roman"/>
          <w:b/>
          <w:sz w:val="20"/>
        </w:rPr>
        <w:t>E</w:t>
      </w:r>
      <w:r w:rsidRPr="00981995">
        <w:rPr>
          <w:rFonts w:cs="Times New Roman"/>
          <w:b/>
          <w:sz w:val="20"/>
        </w:rPr>
        <w:t>1</w:t>
      </w:r>
      <w:r w:rsidRPr="00981995">
        <w:rPr>
          <w:rFonts w:cs="Times New Roman"/>
          <w:sz w:val="20"/>
        </w:rPr>
        <w:t xml:space="preserve">). </w:t>
      </w:r>
    </w:p>
    <w:p w14:paraId="2BA97868" w14:textId="4BFEA824" w:rsidR="004D763A" w:rsidRPr="004A418E" w:rsidRDefault="00607E44" w:rsidP="00981995">
      <w:pPr>
        <w:spacing w:after="120" w:line="480" w:lineRule="auto"/>
        <w:jc w:val="both"/>
        <w:rPr>
          <w:rFonts w:cs="Times New Roman"/>
          <w:sz w:val="20"/>
          <w:lang w:val="en-GB"/>
        </w:rPr>
      </w:pPr>
      <w:r>
        <w:rPr>
          <w:rFonts w:cs="Times New Roman"/>
          <w:sz w:val="20"/>
          <w:lang w:val="en-GB"/>
        </w:rPr>
        <w:t>A</w:t>
      </w:r>
      <w:r w:rsidR="004D763A" w:rsidRPr="004A418E">
        <w:rPr>
          <w:rFonts w:cs="Times New Roman"/>
          <w:sz w:val="20"/>
          <w:lang w:val="en-GB"/>
        </w:rPr>
        <w:t xml:space="preserve">s acknowledged, </w:t>
      </w:r>
      <w:r w:rsidR="008D4F0D">
        <w:rPr>
          <w:rFonts w:cs="Times New Roman"/>
          <w:sz w:val="20"/>
          <w:lang w:val="en-GB"/>
        </w:rPr>
        <w:t xml:space="preserve">our </w:t>
      </w:r>
      <w:r>
        <w:rPr>
          <w:rFonts w:cs="Times New Roman"/>
          <w:sz w:val="20"/>
          <w:lang w:val="en-GB"/>
        </w:rPr>
        <w:t xml:space="preserve">whole population model </w:t>
      </w:r>
      <w:r w:rsidR="008D4F0D">
        <w:rPr>
          <w:rFonts w:cs="Times New Roman"/>
          <w:sz w:val="20"/>
          <w:lang w:val="en-GB"/>
        </w:rPr>
        <w:t xml:space="preserve">(Figure 3B) </w:t>
      </w:r>
      <w:r w:rsidR="004D763A" w:rsidRPr="004A418E">
        <w:rPr>
          <w:rFonts w:cs="Times New Roman"/>
          <w:sz w:val="20"/>
          <w:lang w:val="en-GB"/>
        </w:rPr>
        <w:t>rel</w:t>
      </w:r>
      <w:r w:rsidR="00F11B4B">
        <w:rPr>
          <w:rFonts w:cs="Times New Roman"/>
          <w:sz w:val="20"/>
          <w:lang w:val="en-GB"/>
        </w:rPr>
        <w:t>ies</w:t>
      </w:r>
      <w:r w:rsidR="004D763A" w:rsidRPr="004A418E">
        <w:rPr>
          <w:rFonts w:cs="Times New Roman"/>
          <w:sz w:val="20"/>
          <w:lang w:val="en-GB"/>
        </w:rPr>
        <w:t xml:space="preserve"> on assumptions</w:t>
      </w:r>
      <w:r w:rsidR="006C27A6">
        <w:rPr>
          <w:rFonts w:cs="Times New Roman"/>
          <w:sz w:val="20"/>
          <w:lang w:val="en-GB"/>
        </w:rPr>
        <w:t>,</w:t>
      </w:r>
      <w:r w:rsidR="004D763A" w:rsidRPr="004A418E">
        <w:rPr>
          <w:rFonts w:cs="Times New Roman"/>
          <w:sz w:val="20"/>
          <w:lang w:val="en-GB"/>
        </w:rPr>
        <w:t xml:space="preserve"> and</w:t>
      </w:r>
      <w:r w:rsidR="006C27A6">
        <w:rPr>
          <w:rFonts w:cs="Times New Roman"/>
          <w:sz w:val="20"/>
          <w:lang w:val="en-GB"/>
        </w:rPr>
        <w:t xml:space="preserve"> further</w:t>
      </w:r>
      <w:r w:rsidR="00CE33A0">
        <w:rPr>
          <w:rFonts w:cs="Times New Roman"/>
          <w:sz w:val="20"/>
          <w:lang w:val="en-GB"/>
        </w:rPr>
        <w:t>more</w:t>
      </w:r>
      <w:r w:rsidR="006C27A6">
        <w:rPr>
          <w:rFonts w:cs="Times New Roman"/>
          <w:sz w:val="20"/>
          <w:lang w:val="en-GB"/>
        </w:rPr>
        <w:t xml:space="preserve"> </w:t>
      </w:r>
      <w:r w:rsidR="004D763A" w:rsidRPr="004A418E">
        <w:rPr>
          <w:rFonts w:cs="Times New Roman"/>
          <w:sz w:val="20"/>
          <w:lang w:val="en-GB"/>
        </w:rPr>
        <w:t xml:space="preserve">there are inherent vulnerabilities </w:t>
      </w:r>
      <w:r w:rsidR="00CE33A0">
        <w:rPr>
          <w:rFonts w:cs="Times New Roman"/>
          <w:sz w:val="20"/>
          <w:lang w:val="en-GB"/>
        </w:rPr>
        <w:t xml:space="preserve">associated </w:t>
      </w:r>
      <w:r w:rsidR="004D763A" w:rsidRPr="004A418E">
        <w:rPr>
          <w:rFonts w:cs="Times New Roman"/>
          <w:sz w:val="20"/>
          <w:lang w:val="en-GB"/>
        </w:rPr>
        <w:t xml:space="preserve">with linking </w:t>
      </w:r>
      <w:r w:rsidR="008D4F0D">
        <w:rPr>
          <w:rFonts w:cs="Times New Roman"/>
          <w:sz w:val="20"/>
          <w:lang w:val="en-GB"/>
        </w:rPr>
        <w:t xml:space="preserve">the </w:t>
      </w:r>
      <w:r w:rsidR="004D763A" w:rsidRPr="004A418E">
        <w:rPr>
          <w:rFonts w:cs="Times New Roman"/>
          <w:sz w:val="20"/>
          <w:lang w:val="en-GB"/>
        </w:rPr>
        <w:t>multiple data sources</w:t>
      </w:r>
      <w:r w:rsidR="002907AE">
        <w:rPr>
          <w:rFonts w:cs="Times New Roman"/>
          <w:sz w:val="20"/>
          <w:lang w:val="en-GB"/>
        </w:rPr>
        <w:t xml:space="preserve"> </w:t>
      </w:r>
      <w:r w:rsidR="004D763A" w:rsidRPr="004A418E">
        <w:rPr>
          <w:rFonts w:cs="Times New Roman"/>
          <w:sz w:val="20"/>
          <w:lang w:val="en-GB"/>
        </w:rPr>
        <w:t>Therefore, it is reassuring that the much more simply estimated treatment effect by age in the combined LEAP/PAS high-risk analysis (</w:t>
      </w:r>
      <w:r w:rsidR="004D763A" w:rsidRPr="004A418E">
        <w:rPr>
          <w:rFonts w:cs="Times New Roman"/>
          <w:b/>
          <w:sz w:val="20"/>
          <w:lang w:val="en-GB"/>
        </w:rPr>
        <w:t xml:space="preserve">Figure </w:t>
      </w:r>
      <w:r w:rsidR="004D763A">
        <w:rPr>
          <w:rFonts w:cs="Times New Roman"/>
          <w:b/>
          <w:sz w:val="20"/>
          <w:lang w:val="en-GB"/>
        </w:rPr>
        <w:t>3</w:t>
      </w:r>
      <w:r w:rsidR="004D763A" w:rsidRPr="004A418E">
        <w:rPr>
          <w:rFonts w:cs="Times New Roman"/>
          <w:b/>
          <w:sz w:val="20"/>
          <w:lang w:val="en-GB"/>
        </w:rPr>
        <w:t>A</w:t>
      </w:r>
      <w:r w:rsidR="004D763A" w:rsidRPr="004A418E">
        <w:rPr>
          <w:rFonts w:cs="Times New Roman"/>
          <w:sz w:val="20"/>
          <w:lang w:val="en-GB"/>
        </w:rPr>
        <w:t>) has a similar slope to the modelled general population curve (</w:t>
      </w:r>
      <w:r w:rsidR="004D763A" w:rsidRPr="004A418E">
        <w:rPr>
          <w:rFonts w:cs="Times New Roman"/>
          <w:b/>
          <w:sz w:val="20"/>
          <w:lang w:val="en-GB"/>
        </w:rPr>
        <w:t xml:space="preserve">Figure </w:t>
      </w:r>
      <w:r w:rsidR="004D763A">
        <w:rPr>
          <w:rFonts w:cs="Times New Roman"/>
          <w:b/>
          <w:sz w:val="20"/>
          <w:lang w:val="en-GB"/>
        </w:rPr>
        <w:t>3</w:t>
      </w:r>
      <w:r w:rsidR="004D763A" w:rsidRPr="004A418E">
        <w:rPr>
          <w:rFonts w:cs="Times New Roman"/>
          <w:b/>
          <w:sz w:val="20"/>
          <w:lang w:val="en-GB"/>
        </w:rPr>
        <w:t>B</w:t>
      </w:r>
      <w:r w:rsidR="004D763A" w:rsidRPr="004A418E">
        <w:rPr>
          <w:rFonts w:cs="Times New Roman"/>
          <w:sz w:val="20"/>
          <w:lang w:val="en-GB"/>
        </w:rPr>
        <w:t>), as did the modelled treatment effect in the EAT study</w:t>
      </w:r>
      <w:r w:rsidR="004D763A" w:rsidRPr="00CC249A">
        <w:rPr>
          <w:rFonts w:cs="Times New Roman"/>
          <w:sz w:val="20"/>
          <w:lang w:val="en-GB"/>
        </w:rPr>
        <w:t xml:space="preserve"> (</w:t>
      </w:r>
      <w:r w:rsidR="004D763A" w:rsidRPr="00CC249A">
        <w:rPr>
          <w:rFonts w:cs="Times New Roman"/>
          <w:b/>
          <w:sz w:val="20"/>
          <w:lang w:val="en-GB"/>
        </w:rPr>
        <w:t xml:space="preserve">Figure </w:t>
      </w:r>
      <w:r w:rsidR="004D763A">
        <w:rPr>
          <w:rFonts w:cs="Times New Roman"/>
          <w:b/>
          <w:sz w:val="20"/>
          <w:lang w:val="en-GB"/>
        </w:rPr>
        <w:t>3</w:t>
      </w:r>
      <w:r w:rsidR="004D763A" w:rsidRPr="00CC249A">
        <w:rPr>
          <w:rFonts w:cs="Times New Roman"/>
          <w:b/>
          <w:sz w:val="20"/>
          <w:lang w:val="en-GB"/>
        </w:rPr>
        <w:t>B</w:t>
      </w:r>
      <w:r w:rsidR="004D763A" w:rsidRPr="00CC249A">
        <w:rPr>
          <w:rFonts w:cs="Times New Roman"/>
          <w:sz w:val="20"/>
          <w:lang w:val="en-GB"/>
        </w:rPr>
        <w:t xml:space="preserve">).  </w:t>
      </w:r>
      <w:r w:rsidR="006C27A6">
        <w:rPr>
          <w:rFonts w:cs="Times New Roman"/>
          <w:sz w:val="20"/>
          <w:lang w:val="en-GB"/>
        </w:rPr>
        <w:t>That said,</w:t>
      </w:r>
      <w:r w:rsidR="004D763A" w:rsidRPr="00CC249A">
        <w:rPr>
          <w:rFonts w:cs="Times New Roman"/>
          <w:sz w:val="20"/>
          <w:lang w:val="en-GB"/>
        </w:rPr>
        <w:t xml:space="preserve"> the LEAP/PAS sensitivity analyses include the possibility</w:t>
      </w:r>
      <w:r w:rsidR="004D763A" w:rsidRPr="004A418E">
        <w:rPr>
          <w:rFonts w:cs="Times New Roman"/>
          <w:sz w:val="20"/>
          <w:lang w:val="en-GB"/>
        </w:rPr>
        <w:t xml:space="preserve"> </w:t>
      </w:r>
      <w:r w:rsidR="006C27A6">
        <w:rPr>
          <w:rFonts w:cs="Times New Roman"/>
          <w:sz w:val="20"/>
          <w:lang w:val="en-GB"/>
        </w:rPr>
        <w:t>of</w:t>
      </w:r>
      <w:r w:rsidR="004D763A" w:rsidRPr="004A418E">
        <w:rPr>
          <w:rFonts w:cs="Times New Roman"/>
          <w:sz w:val="20"/>
          <w:lang w:val="en-GB"/>
        </w:rPr>
        <w:t xml:space="preserve"> a substantial decrease in benefit between four and five months followed by a relatively smaller decline between 5 and 8 months (see point estimates in </w:t>
      </w:r>
      <w:r w:rsidR="004D763A" w:rsidRPr="004A418E">
        <w:rPr>
          <w:rFonts w:cs="Times New Roman"/>
          <w:b/>
          <w:sz w:val="20"/>
          <w:lang w:val="en-GB"/>
        </w:rPr>
        <w:t xml:space="preserve">Figure </w:t>
      </w:r>
      <w:r w:rsidR="004D763A">
        <w:rPr>
          <w:rFonts w:cs="Times New Roman"/>
          <w:b/>
          <w:sz w:val="20"/>
          <w:lang w:val="en-GB"/>
        </w:rPr>
        <w:t>3</w:t>
      </w:r>
      <w:r w:rsidR="004D763A" w:rsidRPr="004A418E">
        <w:rPr>
          <w:rFonts w:cs="Times New Roman"/>
          <w:b/>
          <w:sz w:val="20"/>
          <w:lang w:val="en-GB"/>
        </w:rPr>
        <w:t xml:space="preserve">A and </w:t>
      </w:r>
      <w:r w:rsidR="004D763A">
        <w:rPr>
          <w:rFonts w:cs="Times New Roman"/>
          <w:b/>
          <w:sz w:val="20"/>
          <w:lang w:val="en-GB"/>
        </w:rPr>
        <w:t xml:space="preserve">Figure </w:t>
      </w:r>
      <w:r w:rsidR="00B1626D">
        <w:rPr>
          <w:rFonts w:cs="Times New Roman"/>
          <w:b/>
          <w:sz w:val="20"/>
          <w:lang w:val="en-GB"/>
        </w:rPr>
        <w:t>E</w:t>
      </w:r>
      <w:r w:rsidR="004D763A" w:rsidRPr="004A418E">
        <w:rPr>
          <w:rFonts w:cs="Times New Roman"/>
          <w:b/>
          <w:sz w:val="20"/>
          <w:lang w:val="en-GB"/>
        </w:rPr>
        <w:t>13</w:t>
      </w:r>
      <w:r w:rsidR="004D763A" w:rsidRPr="004A418E">
        <w:rPr>
          <w:rFonts w:cs="Times New Roman"/>
          <w:sz w:val="20"/>
          <w:lang w:val="en-GB"/>
        </w:rPr>
        <w:t xml:space="preserve">). </w:t>
      </w:r>
    </w:p>
    <w:p w14:paraId="09D8560E" w14:textId="3164AED1" w:rsidR="00E139B3" w:rsidRPr="00C4525F" w:rsidRDefault="00E139B3" w:rsidP="00981995">
      <w:pPr>
        <w:spacing w:after="120" w:line="480" w:lineRule="auto"/>
        <w:rPr>
          <w:sz w:val="20"/>
        </w:rPr>
      </w:pPr>
      <w:r w:rsidRPr="00981995">
        <w:rPr>
          <w:rFonts w:cs="Times New Roman"/>
          <w:sz w:val="20"/>
        </w:rPr>
        <w:lastRenderedPageBreak/>
        <w:t xml:space="preserve">We have generated a model for the burden of peanut allergy across a whole UK population. </w:t>
      </w:r>
      <w:r w:rsidRPr="00981995">
        <w:rPr>
          <w:rFonts w:eastAsiaTheme="minorEastAsia" w:cs="Times New Roman"/>
          <w:sz w:val="20"/>
          <w:lang w:eastAsia="zh-CN"/>
        </w:rPr>
        <w:t xml:space="preserve">Our estimates show that it is most advantageous to intervene in the whole population. </w:t>
      </w:r>
      <w:r w:rsidR="00F62C5A" w:rsidRPr="00981995">
        <w:rPr>
          <w:rFonts w:eastAsiaTheme="minorEastAsia" w:cs="Times New Roman"/>
          <w:sz w:val="20"/>
          <w:lang w:eastAsia="zh-CN"/>
        </w:rPr>
        <w:t>I</w:t>
      </w:r>
      <w:r w:rsidRPr="00981995">
        <w:rPr>
          <w:sz w:val="20"/>
        </w:rPr>
        <w:t xml:space="preserve">f we were to introduce peanut </w:t>
      </w:r>
      <w:r w:rsidR="002317A2">
        <w:rPr>
          <w:sz w:val="20"/>
        </w:rPr>
        <w:t>pr</w:t>
      </w:r>
      <w:r w:rsidR="00BF4109">
        <w:rPr>
          <w:sz w:val="20"/>
        </w:rPr>
        <w:t>o</w:t>
      </w:r>
      <w:r w:rsidR="002317A2">
        <w:rPr>
          <w:sz w:val="20"/>
        </w:rPr>
        <w:t xml:space="preserve">ducts </w:t>
      </w:r>
      <w:r w:rsidRPr="00981995">
        <w:rPr>
          <w:sz w:val="20"/>
        </w:rPr>
        <w:t xml:space="preserve">in high-risk infants with any eczema at 4 months of age and in all other infants at 6 months of age, we estimate that we could reduce the burden of peanut </w:t>
      </w:r>
      <w:r w:rsidR="00BF4109">
        <w:rPr>
          <w:sz w:val="20"/>
        </w:rPr>
        <w:t xml:space="preserve">allergy </w:t>
      </w:r>
      <w:r w:rsidRPr="00981995">
        <w:rPr>
          <w:sz w:val="20"/>
        </w:rPr>
        <w:t xml:space="preserve">in the population by 77%. </w:t>
      </w:r>
      <w:r w:rsidR="004923C8" w:rsidRPr="00981995">
        <w:rPr>
          <w:sz w:val="20"/>
        </w:rPr>
        <w:t xml:space="preserve">This </w:t>
      </w:r>
      <w:r w:rsidR="009C4E33">
        <w:rPr>
          <w:sz w:val="20"/>
        </w:rPr>
        <w:t xml:space="preserve">provides the evidence for the recommendations in the recent North American and European guidelines that </w:t>
      </w:r>
      <w:r w:rsidR="00863DE3">
        <w:rPr>
          <w:sz w:val="20"/>
        </w:rPr>
        <w:t xml:space="preserve">suggest </w:t>
      </w:r>
      <w:r w:rsidR="004923C8" w:rsidRPr="00981995">
        <w:rPr>
          <w:sz w:val="20"/>
        </w:rPr>
        <w:t xml:space="preserve">the early introduction of peanut </w:t>
      </w:r>
      <w:r w:rsidR="002317A2">
        <w:rPr>
          <w:sz w:val="20"/>
        </w:rPr>
        <w:t xml:space="preserve">products </w:t>
      </w:r>
      <w:r w:rsidR="009C4E33">
        <w:rPr>
          <w:sz w:val="20"/>
        </w:rPr>
        <w:t>for</w:t>
      </w:r>
      <w:r w:rsidR="004923C8" w:rsidRPr="00981995">
        <w:rPr>
          <w:sz w:val="20"/>
        </w:rPr>
        <w:t xml:space="preserve"> all infants</w:t>
      </w:r>
      <w:r w:rsidR="009C4E33">
        <w:rPr>
          <w:sz w:val="20"/>
        </w:rPr>
        <w:t xml:space="preserve"> </w:t>
      </w:r>
      <w:r w:rsidR="00863DE3">
        <w:rPr>
          <w:sz w:val="20"/>
        </w:rPr>
        <w:t>based on an extrapolation from</w:t>
      </w:r>
      <w:r w:rsidR="009C4E33">
        <w:rPr>
          <w:sz w:val="20"/>
        </w:rPr>
        <w:t xml:space="preserve"> the </w:t>
      </w:r>
      <w:r w:rsidR="00C677F2">
        <w:rPr>
          <w:sz w:val="20"/>
        </w:rPr>
        <w:t xml:space="preserve">previously </w:t>
      </w:r>
      <w:r w:rsidR="009C4E33">
        <w:rPr>
          <w:sz w:val="20"/>
        </w:rPr>
        <w:t xml:space="preserve">published </w:t>
      </w:r>
      <w:r w:rsidR="00863DE3">
        <w:rPr>
          <w:sz w:val="20"/>
        </w:rPr>
        <w:t>evidence</w:t>
      </w:r>
      <w:r w:rsidR="009C4E33">
        <w:rPr>
          <w:sz w:val="20"/>
        </w:rPr>
        <w:t xml:space="preserve"> from the LEAP and EAT studies</w:t>
      </w:r>
      <w:r w:rsidR="003C151C">
        <w:rPr>
          <w:sz w:val="20"/>
        </w:rPr>
        <w:t>.</w:t>
      </w:r>
      <w:r w:rsidR="00641C66">
        <w:rPr>
          <w:sz w:val="20"/>
          <w:vertAlign w:val="superscript"/>
        </w:rPr>
        <w:t>12</w:t>
      </w:r>
      <w:r w:rsidR="00127AB7">
        <w:rPr>
          <w:sz w:val="20"/>
          <w:vertAlign w:val="superscript"/>
        </w:rPr>
        <w:t>,</w:t>
      </w:r>
      <w:r w:rsidR="00D91830">
        <w:rPr>
          <w:sz w:val="20"/>
          <w:vertAlign w:val="superscript"/>
        </w:rPr>
        <w:t>3</w:t>
      </w:r>
      <w:r w:rsidR="00155379">
        <w:rPr>
          <w:sz w:val="20"/>
          <w:vertAlign w:val="superscript"/>
        </w:rPr>
        <w:t>5</w:t>
      </w:r>
      <w:r w:rsidR="00D91830" w:rsidRPr="00981995">
        <w:rPr>
          <w:sz w:val="20"/>
        </w:rPr>
        <w:t xml:space="preserve"> </w:t>
      </w:r>
      <w:r w:rsidR="002C3EC4">
        <w:rPr>
          <w:sz w:val="20"/>
        </w:rPr>
        <w:t>We would advocate that public health policies should recommend that peanut products are introduced at 4-6 months of age in countries wher</w:t>
      </w:r>
      <w:r w:rsidR="00211EDC">
        <w:rPr>
          <w:sz w:val="20"/>
        </w:rPr>
        <w:t>e peanut is an important allergen</w:t>
      </w:r>
      <w:r w:rsidR="002C3EC4">
        <w:rPr>
          <w:sz w:val="20"/>
        </w:rPr>
        <w:t xml:space="preserve">. Healthcare professionals </w:t>
      </w:r>
      <w:r w:rsidR="00C832A4">
        <w:rPr>
          <w:sz w:val="20"/>
        </w:rPr>
        <w:t xml:space="preserve">supporting families with introducing complementary feeding should encourage introduction at 4 months when eczema is present. Support will be needed to help families to know when their infant is ready for solids and to the most appropriate peanut product. </w:t>
      </w:r>
      <w:r w:rsidR="002C3EC4">
        <w:rPr>
          <w:sz w:val="20"/>
        </w:rPr>
        <w:t xml:space="preserve"> </w:t>
      </w:r>
      <w:r w:rsidR="00532040" w:rsidRPr="00981995">
        <w:rPr>
          <w:sz w:val="20"/>
        </w:rPr>
        <w:t>Encouragingly, d</w:t>
      </w:r>
      <w:r w:rsidR="00570628" w:rsidRPr="00981995">
        <w:rPr>
          <w:sz w:val="20"/>
        </w:rPr>
        <w:t>ata now indicate</w:t>
      </w:r>
      <w:r w:rsidR="00C832A4">
        <w:rPr>
          <w:sz w:val="20"/>
        </w:rPr>
        <w:t>s</w:t>
      </w:r>
      <w:r w:rsidR="00570628" w:rsidRPr="00981995">
        <w:rPr>
          <w:sz w:val="20"/>
        </w:rPr>
        <w:t xml:space="preserve"> that </w:t>
      </w:r>
      <w:r w:rsidR="004B268C">
        <w:rPr>
          <w:sz w:val="20"/>
        </w:rPr>
        <w:t>88.6% of A</w:t>
      </w:r>
      <w:r w:rsidR="004B268C" w:rsidRPr="00981995">
        <w:rPr>
          <w:sz w:val="20"/>
        </w:rPr>
        <w:t xml:space="preserve">ustralia </w:t>
      </w:r>
      <w:r w:rsidR="004B268C">
        <w:rPr>
          <w:sz w:val="20"/>
        </w:rPr>
        <w:t xml:space="preserve">infants are consuming peanut </w:t>
      </w:r>
      <w:r w:rsidR="00966A9A">
        <w:rPr>
          <w:sz w:val="20"/>
        </w:rPr>
        <w:t xml:space="preserve">in the first year of life following </w:t>
      </w:r>
      <w:r w:rsidR="00570628" w:rsidRPr="00981995">
        <w:rPr>
          <w:sz w:val="20"/>
        </w:rPr>
        <w:t xml:space="preserve">changes to </w:t>
      </w:r>
      <w:r w:rsidR="00C832A4">
        <w:rPr>
          <w:sz w:val="20"/>
        </w:rPr>
        <w:t xml:space="preserve">their </w:t>
      </w:r>
      <w:r w:rsidR="0054499A">
        <w:rPr>
          <w:sz w:val="20"/>
        </w:rPr>
        <w:t xml:space="preserve">national </w:t>
      </w:r>
      <w:r w:rsidR="00570628" w:rsidRPr="00981995">
        <w:rPr>
          <w:sz w:val="20"/>
        </w:rPr>
        <w:t>infant feeding guidelines</w:t>
      </w:r>
      <w:r w:rsidR="00966A9A">
        <w:rPr>
          <w:sz w:val="20"/>
        </w:rPr>
        <w:t xml:space="preserve"> (2016)</w:t>
      </w:r>
      <w:r w:rsidR="00C973C2">
        <w:rPr>
          <w:sz w:val="20"/>
        </w:rPr>
        <w:t>.</w:t>
      </w:r>
      <w:r w:rsidR="00D91830">
        <w:rPr>
          <w:sz w:val="20"/>
          <w:vertAlign w:val="superscript"/>
        </w:rPr>
        <w:t>13</w:t>
      </w:r>
      <w:r w:rsidR="00C973C2">
        <w:rPr>
          <w:sz w:val="20"/>
        </w:rPr>
        <w:t xml:space="preserve">   While this prevention</w:t>
      </w:r>
      <w:r w:rsidR="009A2873">
        <w:rPr>
          <w:sz w:val="20"/>
        </w:rPr>
        <w:t xml:space="preserve"> strategy </w:t>
      </w:r>
      <w:r w:rsidR="00C973C2">
        <w:rPr>
          <w:sz w:val="20"/>
        </w:rPr>
        <w:t xml:space="preserve">appears to have practically influenced behavior </w:t>
      </w:r>
      <w:r w:rsidR="009A2873">
        <w:rPr>
          <w:sz w:val="20"/>
        </w:rPr>
        <w:t>in a real-world setting</w:t>
      </w:r>
      <w:r w:rsidR="00C973C2">
        <w:rPr>
          <w:sz w:val="20"/>
        </w:rPr>
        <w:t xml:space="preserve">, </w:t>
      </w:r>
      <w:r w:rsidR="00961DB7">
        <w:rPr>
          <w:sz w:val="20"/>
        </w:rPr>
        <w:t xml:space="preserve">the rate of peanut allergy has </w:t>
      </w:r>
      <w:r w:rsidR="00966A9A">
        <w:rPr>
          <w:sz w:val="20"/>
        </w:rPr>
        <w:t xml:space="preserve">disappointedly </w:t>
      </w:r>
      <w:r w:rsidR="00961DB7">
        <w:rPr>
          <w:sz w:val="20"/>
        </w:rPr>
        <w:t>remained stable</w:t>
      </w:r>
      <w:r w:rsidR="004B268C">
        <w:rPr>
          <w:sz w:val="20"/>
        </w:rPr>
        <w:t xml:space="preserve"> at 3.1%</w:t>
      </w:r>
      <w:r w:rsidR="00570628" w:rsidRPr="00981995">
        <w:rPr>
          <w:sz w:val="20"/>
        </w:rPr>
        <w:t>.</w:t>
      </w:r>
      <w:r w:rsidR="0048561F" w:rsidRPr="00196B10">
        <w:rPr>
          <w:sz w:val="20"/>
          <w:vertAlign w:val="superscript"/>
        </w:rPr>
        <w:t>14</w:t>
      </w:r>
      <w:r w:rsidR="00183189">
        <w:rPr>
          <w:sz w:val="20"/>
          <w:vertAlign w:val="superscript"/>
        </w:rPr>
        <w:t>,3</w:t>
      </w:r>
      <w:r w:rsidR="00155379">
        <w:rPr>
          <w:sz w:val="20"/>
          <w:vertAlign w:val="superscript"/>
        </w:rPr>
        <w:t>6</w:t>
      </w:r>
      <w:r w:rsidR="00966A9A">
        <w:rPr>
          <w:sz w:val="20"/>
        </w:rPr>
        <w:t xml:space="preserve">  </w:t>
      </w:r>
      <w:r w:rsidR="0057207C">
        <w:rPr>
          <w:sz w:val="20"/>
        </w:rPr>
        <w:t>Interestingly, the authors of this study</w:t>
      </w:r>
      <w:r w:rsidR="00907B42">
        <w:rPr>
          <w:sz w:val="20"/>
        </w:rPr>
        <w:t xml:space="preserve"> </w:t>
      </w:r>
      <w:r w:rsidR="0057207C">
        <w:rPr>
          <w:sz w:val="20"/>
        </w:rPr>
        <w:t xml:space="preserve">report that </w:t>
      </w:r>
      <w:r w:rsidR="007F5DDA">
        <w:rPr>
          <w:sz w:val="20"/>
        </w:rPr>
        <w:t xml:space="preserve">earlier introduction, especially </w:t>
      </w:r>
      <w:r w:rsidR="00247E33">
        <w:rPr>
          <w:sz w:val="20"/>
        </w:rPr>
        <w:t xml:space="preserve">less than </w:t>
      </w:r>
      <w:r w:rsidR="007F5DDA">
        <w:rPr>
          <w:sz w:val="20"/>
        </w:rPr>
        <w:t xml:space="preserve">6 months of age compared to after 12 months of age, is significantly associated with a </w:t>
      </w:r>
      <w:r w:rsidR="005F37D5">
        <w:rPr>
          <w:sz w:val="20"/>
        </w:rPr>
        <w:t xml:space="preserve">substantially </w:t>
      </w:r>
      <w:r w:rsidR="007F5DDA">
        <w:rPr>
          <w:sz w:val="20"/>
        </w:rPr>
        <w:t xml:space="preserve">reduced risk of peanut allergy among those of Australian </w:t>
      </w:r>
      <w:r w:rsidR="002604EE">
        <w:rPr>
          <w:sz w:val="20"/>
        </w:rPr>
        <w:t>ancestry</w:t>
      </w:r>
      <w:r w:rsidR="007F5DDA">
        <w:rPr>
          <w:sz w:val="20"/>
        </w:rPr>
        <w:t>.</w:t>
      </w:r>
      <w:r w:rsidR="00907B42">
        <w:rPr>
          <w:sz w:val="20"/>
        </w:rPr>
        <w:t xml:space="preserve">  Our findings </w:t>
      </w:r>
      <w:r w:rsidR="004855EB">
        <w:rPr>
          <w:sz w:val="20"/>
        </w:rPr>
        <w:t xml:space="preserve">both </w:t>
      </w:r>
      <w:r w:rsidR="00247E33">
        <w:rPr>
          <w:sz w:val="20"/>
        </w:rPr>
        <w:t xml:space="preserve">support </w:t>
      </w:r>
      <w:r w:rsidR="004855EB">
        <w:rPr>
          <w:sz w:val="20"/>
        </w:rPr>
        <w:t xml:space="preserve">and explain </w:t>
      </w:r>
      <w:r w:rsidR="00247E33">
        <w:rPr>
          <w:sz w:val="20"/>
        </w:rPr>
        <w:t xml:space="preserve">these observations </w:t>
      </w:r>
      <w:r w:rsidR="004855EB">
        <w:rPr>
          <w:sz w:val="20"/>
        </w:rPr>
        <w:t xml:space="preserve">while emphasizing </w:t>
      </w:r>
      <w:r w:rsidR="00FF4D6C">
        <w:rPr>
          <w:sz w:val="20"/>
        </w:rPr>
        <w:t>the need for earlier introduction</w:t>
      </w:r>
      <w:r w:rsidR="004855EB">
        <w:rPr>
          <w:sz w:val="20"/>
        </w:rPr>
        <w:t xml:space="preserve"> to prevent </w:t>
      </w:r>
      <w:r w:rsidR="00FF4D6C">
        <w:rPr>
          <w:sz w:val="20"/>
        </w:rPr>
        <w:t>peanut allergy in the general population</w:t>
      </w:r>
      <w:r w:rsidR="004855EB">
        <w:rPr>
          <w:sz w:val="20"/>
        </w:rPr>
        <w:t>.</w:t>
      </w:r>
    </w:p>
    <w:p w14:paraId="4B20111F" w14:textId="77777777" w:rsidR="00933EEF" w:rsidRDefault="00933EEF" w:rsidP="00981995">
      <w:pPr>
        <w:pStyle w:val="Heading1"/>
        <w:spacing w:line="480" w:lineRule="auto"/>
        <w:rPr>
          <w:sz w:val="20"/>
        </w:rPr>
      </w:pPr>
    </w:p>
    <w:p w14:paraId="4B6A132E" w14:textId="0497B5A4" w:rsidR="00E139B3" w:rsidRPr="00E2447E" w:rsidRDefault="00E139B3" w:rsidP="00981995">
      <w:pPr>
        <w:pStyle w:val="Heading1"/>
        <w:spacing w:line="480" w:lineRule="auto"/>
        <w:rPr>
          <w:sz w:val="24"/>
        </w:rPr>
      </w:pPr>
      <w:r w:rsidRPr="00E2447E">
        <w:rPr>
          <w:sz w:val="24"/>
        </w:rPr>
        <w:t xml:space="preserve">Funding </w:t>
      </w:r>
    </w:p>
    <w:p w14:paraId="3F6E991D" w14:textId="5C3B7371" w:rsidR="00E139B3" w:rsidRPr="00981995" w:rsidRDefault="00E139B3" w:rsidP="00981995">
      <w:pPr>
        <w:pStyle w:val="Heading1"/>
        <w:spacing w:line="480" w:lineRule="auto"/>
        <w:rPr>
          <w:b w:val="0"/>
          <w:sz w:val="20"/>
        </w:rPr>
      </w:pPr>
      <w:r w:rsidRPr="00981995">
        <w:rPr>
          <w:b w:val="0"/>
          <w:sz w:val="20"/>
        </w:rPr>
        <w:t>The LEAP study was supported by grants (NO1-AI-15416, UM1AI109565,  HHSN272200800029C, and UM2AI117870) from the National Institute of Allergy and Infectious Diseases of the National Institutes of Health and by Food Allergy Research and Education, the Medical Research Council and Asthma U.K. Centre, and the U.K. Department of Health through a National Institute for Health Research comprehensive Biomedical Research Centre award to Guy’s and St. Thomas’ NHS Foundation Trust, in partnership with King’s College London and King’s College Hospital NHS Foundation Trust. The U.K. Food Standards Agency provided additional support for the costs of phlebotomy. The EAT study was Supported by grants from the Food Standards Agency and the Medical Research Council, by the NIHR Biomedical Research Centre and Comprehensive Biomedical Research Centre plus a NIHR Clinician Scientist Award (NIHRCS/01/2008/009) to Professor Flohr.</w:t>
      </w:r>
      <w:r w:rsidRPr="00981995">
        <w:rPr>
          <w:sz w:val="20"/>
        </w:rPr>
        <w:t xml:space="preserve">  </w:t>
      </w:r>
      <w:r w:rsidRPr="00981995">
        <w:rPr>
          <w:b w:val="0"/>
          <w:sz w:val="20"/>
        </w:rPr>
        <w:t>The clinical trials unit is supported in part by the National Peanut Board, Atlanta, USA.</w:t>
      </w:r>
    </w:p>
    <w:p w14:paraId="10F4B95E" w14:textId="77777777" w:rsidR="00E139B3" w:rsidRPr="00981995" w:rsidRDefault="00E139B3" w:rsidP="00981995">
      <w:pPr>
        <w:spacing w:line="480" w:lineRule="auto"/>
      </w:pPr>
    </w:p>
    <w:p w14:paraId="1777F7BC" w14:textId="77777777" w:rsidR="00E139B3" w:rsidRPr="00E2447E" w:rsidRDefault="00E139B3" w:rsidP="00981995">
      <w:pPr>
        <w:spacing w:line="480" w:lineRule="auto"/>
        <w:rPr>
          <w:b/>
          <w:sz w:val="24"/>
        </w:rPr>
      </w:pPr>
      <w:r w:rsidRPr="00E2447E">
        <w:rPr>
          <w:b/>
          <w:sz w:val="24"/>
        </w:rPr>
        <w:t>Declarations of interest</w:t>
      </w:r>
    </w:p>
    <w:p w14:paraId="70679DB1" w14:textId="4D00DB27" w:rsidR="00E139B3" w:rsidRPr="00981995" w:rsidRDefault="00E139B3" w:rsidP="00981995">
      <w:pPr>
        <w:spacing w:line="480" w:lineRule="auto"/>
        <w:rPr>
          <w:sz w:val="20"/>
        </w:rPr>
      </w:pPr>
      <w:r w:rsidRPr="00981995">
        <w:rPr>
          <w:sz w:val="20"/>
        </w:rPr>
        <w:t xml:space="preserve">The authors </w:t>
      </w:r>
      <w:r w:rsidR="003258E1" w:rsidRPr="00981995">
        <w:rPr>
          <w:sz w:val="20"/>
        </w:rPr>
        <w:t xml:space="preserve">(GR, HTB, GDT, COR, MLS, GL) </w:t>
      </w:r>
      <w:r w:rsidRPr="00981995">
        <w:rPr>
          <w:sz w:val="20"/>
        </w:rPr>
        <w:t xml:space="preserve">report that their institutions received funding from the above funders for undertaking the LEAP and EAT studies. G Roberts </w:t>
      </w:r>
      <w:r w:rsidR="00261C9D" w:rsidRPr="00981995">
        <w:rPr>
          <w:sz w:val="20"/>
        </w:rPr>
        <w:t xml:space="preserve">additionally </w:t>
      </w:r>
      <w:r w:rsidRPr="00981995">
        <w:rPr>
          <w:sz w:val="20"/>
        </w:rPr>
        <w:t xml:space="preserve">reports being employed by the University of Southampton plus honorary contracts at University Hospital Southampton NHS Foundation Trust and the Isle of Wight Trust; the positions of Editor in Chief of Clinical and Experimental Allergy and President Elect of British Society of Allergy and Clinical Immunology; and authorship of the European Academy of Allergy and Clinical Immunology food allergy and anaphylaxis guidelines. </w:t>
      </w:r>
      <w:r w:rsidR="0051745E" w:rsidRPr="00981995">
        <w:rPr>
          <w:sz w:val="20"/>
        </w:rPr>
        <w:t>HTB additionally reports consultancy fees from King’s College London</w:t>
      </w:r>
      <w:r w:rsidR="00AC5D46">
        <w:rPr>
          <w:sz w:val="20"/>
        </w:rPr>
        <w:t xml:space="preserve">, </w:t>
      </w:r>
      <w:r w:rsidR="0051745E" w:rsidRPr="00981995">
        <w:rPr>
          <w:sz w:val="20"/>
        </w:rPr>
        <w:t>DBV Technologies</w:t>
      </w:r>
      <w:r w:rsidR="00AC5D46">
        <w:rPr>
          <w:sz w:val="20"/>
        </w:rPr>
        <w:t>, and MyOR diagnostics</w:t>
      </w:r>
      <w:r w:rsidR="0051745E" w:rsidRPr="00981995">
        <w:rPr>
          <w:sz w:val="20"/>
        </w:rPr>
        <w:t xml:space="preserve">. </w:t>
      </w:r>
      <w:r w:rsidR="00261C9D" w:rsidRPr="00981995">
        <w:rPr>
          <w:sz w:val="20"/>
        </w:rPr>
        <w:t>G Lack additionally reports grants from The Davis Foundation during the conduct of the study plus personal fees from DBV Technologies, Mighty Mission Me, Novartis, Sanofi-Genyzme, Regeneron, ALK-Abello and Lurie Children's Hospital outside the submitted work.</w:t>
      </w:r>
    </w:p>
    <w:p w14:paraId="2902DDB2" w14:textId="77777777" w:rsidR="00220598" w:rsidRPr="00E2447E" w:rsidRDefault="00F53A22" w:rsidP="00981995">
      <w:pPr>
        <w:pStyle w:val="Heading1"/>
        <w:spacing w:line="480" w:lineRule="auto"/>
        <w:rPr>
          <w:sz w:val="24"/>
        </w:rPr>
      </w:pPr>
      <w:r w:rsidRPr="00E2447E">
        <w:rPr>
          <w:sz w:val="24"/>
        </w:rPr>
        <w:lastRenderedPageBreak/>
        <w:t xml:space="preserve">Contributions </w:t>
      </w:r>
    </w:p>
    <w:p w14:paraId="78A2C222" w14:textId="2DBC39D1" w:rsidR="00220598" w:rsidRPr="00981995" w:rsidRDefault="00220598" w:rsidP="00981995">
      <w:pPr>
        <w:pStyle w:val="Heading1"/>
        <w:spacing w:line="480" w:lineRule="auto"/>
        <w:rPr>
          <w:sz w:val="20"/>
        </w:rPr>
      </w:pPr>
      <w:r w:rsidRPr="00981995">
        <w:rPr>
          <w:b w:val="0"/>
          <w:sz w:val="20"/>
        </w:rPr>
        <w:t>GR, HTB, GDT, COR, MLS, EB, MP and GL all participated in the conception and design of the study. HTB and COR performed the statistical analysis of the results. All authors had full access to and verified all the data. All authors contributed to the interpretation of the results. GR, HTB, GDT and GL led the writing of the initial drafts of the manuscript on which all authors commented. All authors agreed with the decision to submit.</w:t>
      </w:r>
    </w:p>
    <w:p w14:paraId="52198A8F" w14:textId="10932944" w:rsidR="00E139B3" w:rsidRPr="00E2447E" w:rsidRDefault="00E139B3" w:rsidP="00981995">
      <w:pPr>
        <w:pStyle w:val="Heading1"/>
        <w:spacing w:line="480" w:lineRule="auto"/>
        <w:contextualSpacing w:val="0"/>
        <w:rPr>
          <w:sz w:val="24"/>
        </w:rPr>
      </w:pPr>
      <w:r w:rsidRPr="00E2447E">
        <w:rPr>
          <w:sz w:val="24"/>
        </w:rPr>
        <w:t>Acknowledgements</w:t>
      </w:r>
    </w:p>
    <w:p w14:paraId="38E56225" w14:textId="53B8E7CA" w:rsidR="00E139B3" w:rsidRPr="00981995" w:rsidRDefault="00E139B3" w:rsidP="00981995">
      <w:pPr>
        <w:pStyle w:val="Heading1"/>
        <w:spacing w:line="480" w:lineRule="auto"/>
        <w:rPr>
          <w:b w:val="0"/>
          <w:sz w:val="20"/>
        </w:rPr>
      </w:pPr>
      <w:r w:rsidRPr="00981995">
        <w:rPr>
          <w:b w:val="0"/>
          <w:sz w:val="20"/>
        </w:rPr>
        <w:t>We thank Dr Daniel Rotrosen, Dr Alkis Togias, and Dr Gerald Nepom for their critical insights and helpful comments. We thank the many nurses, dietitians, doctors, and administrative staff of the Guy’s and St Thomas’ NHS Foundation Trust Children’s Allergy Service for clinical and logistical assistance over the period of the LEAP, EAT and PAS studies and Poling Lau and Alyssa Ylescupidez for support in the preparation and editing of this manuscript. Above all, we are indebted to all of the children and their families who generously took part in this study.</w:t>
      </w:r>
    </w:p>
    <w:p w14:paraId="52F3093F" w14:textId="77777777" w:rsidR="00E139B3" w:rsidRPr="00981995" w:rsidRDefault="00E139B3" w:rsidP="00981995">
      <w:pPr>
        <w:spacing w:line="480" w:lineRule="auto"/>
      </w:pPr>
    </w:p>
    <w:p w14:paraId="50B68DA1" w14:textId="77777777" w:rsidR="00E139B3" w:rsidRPr="00E2447E" w:rsidRDefault="00E139B3" w:rsidP="00981995">
      <w:pPr>
        <w:spacing w:line="480" w:lineRule="auto"/>
        <w:rPr>
          <w:b/>
        </w:rPr>
      </w:pPr>
      <w:r w:rsidRPr="00E2447E">
        <w:rPr>
          <w:b/>
        </w:rPr>
        <w:t>Data sharing statement</w:t>
      </w:r>
    </w:p>
    <w:p w14:paraId="066427DE" w14:textId="6B81FB2C" w:rsidR="00E139B3" w:rsidRPr="00981995" w:rsidRDefault="00E139B3" w:rsidP="00981995">
      <w:pPr>
        <w:spacing w:line="480" w:lineRule="auto"/>
        <w:rPr>
          <w:sz w:val="20"/>
        </w:rPr>
      </w:pPr>
      <w:r w:rsidRPr="00981995">
        <w:rPr>
          <w:sz w:val="20"/>
        </w:rPr>
        <w:t xml:space="preserve">All data for the analyses presented are available as described in the </w:t>
      </w:r>
      <w:r w:rsidR="00F20D81" w:rsidRPr="00BE340F">
        <w:rPr>
          <w:b/>
          <w:sz w:val="20"/>
        </w:rPr>
        <w:t xml:space="preserve">supplementary </w:t>
      </w:r>
      <w:r w:rsidR="003D6E9E" w:rsidRPr="00BE340F">
        <w:rPr>
          <w:b/>
          <w:sz w:val="20"/>
        </w:rPr>
        <w:t>Methods</w:t>
      </w:r>
      <w:r w:rsidRPr="00981995">
        <w:rPr>
          <w:sz w:val="20"/>
        </w:rPr>
        <w:t xml:space="preserve">. </w:t>
      </w:r>
    </w:p>
    <w:p w14:paraId="5BFC948E" w14:textId="77777777" w:rsidR="00E139B3" w:rsidRPr="00981995" w:rsidRDefault="00E139B3" w:rsidP="00981995">
      <w:pPr>
        <w:pStyle w:val="Heading1"/>
        <w:spacing w:line="480" w:lineRule="auto"/>
        <w:rPr>
          <w:sz w:val="24"/>
          <w:szCs w:val="24"/>
          <w:highlight w:val="yellow"/>
        </w:rPr>
      </w:pPr>
      <w:r w:rsidRPr="00981995">
        <w:rPr>
          <w:sz w:val="24"/>
          <w:szCs w:val="24"/>
          <w:highlight w:val="yellow"/>
        </w:rPr>
        <w:br w:type="page"/>
      </w:r>
    </w:p>
    <w:p w14:paraId="03DBED39" w14:textId="77777777" w:rsidR="00E139B3" w:rsidRPr="00981995" w:rsidRDefault="00E139B3" w:rsidP="00B51474">
      <w:pPr>
        <w:pStyle w:val="Heading1"/>
        <w:rPr>
          <w:sz w:val="24"/>
          <w:szCs w:val="24"/>
        </w:rPr>
      </w:pPr>
      <w:r w:rsidRPr="00981995">
        <w:rPr>
          <w:sz w:val="24"/>
          <w:szCs w:val="24"/>
        </w:rPr>
        <w:lastRenderedPageBreak/>
        <w:t>References</w:t>
      </w:r>
    </w:p>
    <w:p w14:paraId="27284AD2" w14:textId="77777777" w:rsidR="00E139B3" w:rsidRPr="00981995" w:rsidRDefault="00E139B3">
      <w:pPr>
        <w:rPr>
          <w:rFonts w:eastAsia="Times New Roman" w:cs="Times New Roman"/>
        </w:rPr>
      </w:pPr>
    </w:p>
    <w:p w14:paraId="4FCB2D16" w14:textId="3D0AF7B1" w:rsidR="00E139B3" w:rsidRPr="00981995" w:rsidRDefault="008F492B" w:rsidP="005B684F">
      <w:pPr>
        <w:pStyle w:val="EndNoteBibliography"/>
        <w:spacing w:line="360" w:lineRule="auto"/>
        <w:ind w:left="425" w:hanging="425"/>
        <w:jc w:val="both"/>
      </w:pPr>
      <w:r w:rsidRPr="00981995">
        <w:t xml:space="preserve">1.    </w:t>
      </w:r>
      <w:r w:rsidR="00E139B3" w:rsidRPr="00981995">
        <w:t>Nwaru BI, Hickstein L, Panesar SS, Roberts G, Muraro A, Sheikh A, et al. Prevalence of common food allergies in Europe: a systematic review and meta-analysis. Allergy. 2014;69(8):992-1007.</w:t>
      </w:r>
    </w:p>
    <w:p w14:paraId="408D73D1" w14:textId="6DD9745C" w:rsidR="00E139B3" w:rsidRPr="00981995" w:rsidRDefault="008F492B" w:rsidP="005B684F">
      <w:pPr>
        <w:pStyle w:val="EndNoteBibliography"/>
        <w:spacing w:line="360" w:lineRule="auto"/>
        <w:ind w:left="425" w:hanging="425"/>
        <w:jc w:val="both"/>
      </w:pPr>
      <w:r w:rsidRPr="00981995">
        <w:t xml:space="preserve">2.    </w:t>
      </w:r>
      <w:r w:rsidR="00E139B3" w:rsidRPr="00981995">
        <w:t>Peters RL, Koplin JJ, Gurrin LC, Dharmage SC, Wake M, Ponsonby A-L, et al. The prevalence of food allergy and other allergic diseases in early childhood in a population-based study: HealthNuts age 4-year follow-up. Journal of Allergy and Clinical Immunology. 2017;140(1):145-53. e8.</w:t>
      </w:r>
    </w:p>
    <w:p w14:paraId="43A97AC1" w14:textId="5CB830E3" w:rsidR="008F492B" w:rsidRPr="00981995" w:rsidRDefault="00E139B3" w:rsidP="005B684F">
      <w:pPr>
        <w:pStyle w:val="EndNoteBibliography"/>
        <w:spacing w:line="360" w:lineRule="auto"/>
        <w:ind w:left="425" w:hanging="425"/>
        <w:jc w:val="both"/>
      </w:pPr>
      <w:r w:rsidRPr="00981995">
        <w:t>3.</w:t>
      </w:r>
      <w:r w:rsidR="008F492B" w:rsidRPr="00981995">
        <w:t xml:space="preserve">    Acaster S, Gallop K, de Vries J, Ryan R, Vereda A, Knibb RC. Peanut allergy impact on productivity and quality of life (PAPRIQUA): Caregiver‐reported psychosocial impact of peanut allergy on children. Clinical &amp; Experimental Allergy. 2020; 50(11):1249-57.</w:t>
      </w:r>
    </w:p>
    <w:p w14:paraId="73488B98" w14:textId="21385BF1" w:rsidR="008F492B" w:rsidRPr="00981995" w:rsidRDefault="008F492B" w:rsidP="005B684F">
      <w:pPr>
        <w:pStyle w:val="EndNoteBibliography"/>
        <w:spacing w:line="360" w:lineRule="auto"/>
        <w:ind w:left="425" w:hanging="425"/>
        <w:jc w:val="both"/>
      </w:pPr>
      <w:r w:rsidRPr="00981995">
        <w:t>4.   DunnGalvin A, Gallop K, Acaster S, Timmermans F, Regent L, Schnadt S, Podestà M, Sánchez A, Ryan R, Couratier P, Feeney M. APPEAL‐2: A pan‐European qualitative study to explore the burden of peanut‐allergic children, teenagers and their caregivers. Clinical &amp; Experimental Allergy. 2020;50(11):1238-48.</w:t>
      </w:r>
    </w:p>
    <w:p w14:paraId="60F01916" w14:textId="551AE637" w:rsidR="008F492B" w:rsidRPr="00981995" w:rsidRDefault="008F492B" w:rsidP="005B684F">
      <w:pPr>
        <w:pStyle w:val="EndNoteBibliography"/>
        <w:spacing w:line="360" w:lineRule="auto"/>
        <w:ind w:left="425" w:hanging="425"/>
        <w:jc w:val="both"/>
      </w:pPr>
      <w:r w:rsidRPr="00981995">
        <w:t>5.    DunnGalvin A, Roberts G, Schnadt S, Astley S, Austin M, Blom WM, Baumert J, Chan CH, Crevel RW, Grimshaw KE, Kruizinga AG. Evidence‐based approaches to the application of precautionary allergen labelling: Report from two iFAAM workshops. Clinical &amp; Experimental Allergy. 2019;49(9):1191-200.</w:t>
      </w:r>
    </w:p>
    <w:p w14:paraId="730C952F" w14:textId="708079C7" w:rsidR="00E139B3" w:rsidRPr="00981995" w:rsidRDefault="008F492B" w:rsidP="005B684F">
      <w:pPr>
        <w:pStyle w:val="EndNoteBibliography"/>
        <w:spacing w:line="360" w:lineRule="auto"/>
        <w:ind w:left="425" w:hanging="425"/>
        <w:jc w:val="both"/>
      </w:pPr>
      <w:r w:rsidRPr="00981995">
        <w:t>6</w:t>
      </w:r>
      <w:r w:rsidR="00E139B3" w:rsidRPr="00981995">
        <w:t>.</w:t>
      </w:r>
      <w:r w:rsidR="00E139B3" w:rsidRPr="00981995">
        <w:tab/>
        <w:t>Roberts G, Allen K, Ballmer‐Weber B, Clark A, Crevel R, Dunn Galvin A, et al. Identifying and managing patients at risk of severe allergic reactions to food: report from two iFAAM workshops. Clinical &amp; Experimental Allergy. 2019</w:t>
      </w:r>
      <w:r w:rsidR="00F96377" w:rsidRPr="00F96377">
        <w:t>;49(12):1558-66.</w:t>
      </w:r>
    </w:p>
    <w:p w14:paraId="44C40FF4" w14:textId="5DE6BB89" w:rsidR="00E139B3" w:rsidRPr="00981995" w:rsidRDefault="008F492B" w:rsidP="005B684F">
      <w:pPr>
        <w:pStyle w:val="EndNoteBibliography"/>
        <w:spacing w:line="360" w:lineRule="auto"/>
        <w:ind w:left="425" w:hanging="425"/>
        <w:jc w:val="both"/>
      </w:pPr>
      <w:r w:rsidRPr="00981995">
        <w:t>7</w:t>
      </w:r>
      <w:r w:rsidR="00E139B3" w:rsidRPr="00981995">
        <w:t>.</w:t>
      </w:r>
      <w:r w:rsidR="00E139B3" w:rsidRPr="00981995">
        <w:tab/>
        <w:t>Du Toit G, Roberts G, Sayre PH, Bahnson HT, Radulovic S, Santos AF, et al. Randomized trial of peanut consumption in infants at risk for peanut allergy. New England Journal of Medicine. 2015;372(9):803-13.</w:t>
      </w:r>
    </w:p>
    <w:p w14:paraId="30A4E26D" w14:textId="77B54C2F" w:rsidR="00E139B3" w:rsidRPr="00981995" w:rsidRDefault="008F492B" w:rsidP="005B684F">
      <w:pPr>
        <w:pStyle w:val="EndNoteBibliography"/>
        <w:spacing w:line="360" w:lineRule="auto"/>
        <w:ind w:left="425" w:hanging="425"/>
        <w:jc w:val="both"/>
      </w:pPr>
      <w:r w:rsidRPr="00981995">
        <w:t>8</w:t>
      </w:r>
      <w:r w:rsidR="00E139B3" w:rsidRPr="00981995">
        <w:t>.</w:t>
      </w:r>
      <w:r w:rsidR="00E139B3" w:rsidRPr="00981995">
        <w:tab/>
        <w:t>Roberts G, Grimshaw K, Beyer K, Boyle R, Lack G, Austin M, et al. Can dietary strategies in early life prevent childhood food allergy? A report from two iFAAM workshops. Clinical &amp; Experimental Allergy. 2019;49(12):1567-77.</w:t>
      </w:r>
    </w:p>
    <w:p w14:paraId="408F40D2" w14:textId="0138A9FA" w:rsidR="00E139B3" w:rsidRPr="00981995" w:rsidRDefault="007B2EF0" w:rsidP="005B684F">
      <w:pPr>
        <w:pStyle w:val="EndNoteBibliography"/>
        <w:spacing w:line="360" w:lineRule="auto"/>
        <w:ind w:left="425" w:hanging="425"/>
        <w:jc w:val="both"/>
      </w:pPr>
      <w:r w:rsidRPr="00981995">
        <w:t>9</w:t>
      </w:r>
      <w:r w:rsidR="00E139B3" w:rsidRPr="00981995">
        <w:t>.</w:t>
      </w:r>
      <w:r w:rsidR="00E139B3" w:rsidRPr="00981995">
        <w:tab/>
        <w:t>Du Toit G, Roberts G, Sayre PH, Plaut M, Bahnson HT, Mitchell H, et al. Identifying infants at high risk of peanut allergy: the Learning Early About Peanut Allergy (LEAP) screening study. Journal of Allergy &amp; Clinical Immunology. 2013;131(1):135-43.e1-12.</w:t>
      </w:r>
    </w:p>
    <w:p w14:paraId="52B68E3B" w14:textId="75DD9BE2" w:rsidR="00E139B3" w:rsidRPr="00981995" w:rsidRDefault="007B2EF0" w:rsidP="005B684F">
      <w:pPr>
        <w:pStyle w:val="EndNoteBibliography"/>
        <w:spacing w:line="360" w:lineRule="auto"/>
        <w:ind w:left="425" w:hanging="425"/>
        <w:jc w:val="both"/>
      </w:pPr>
      <w:r w:rsidRPr="00981995">
        <w:t>10</w:t>
      </w:r>
      <w:r w:rsidR="00E139B3" w:rsidRPr="00981995">
        <w:t>.</w:t>
      </w:r>
      <w:r w:rsidR="00E139B3" w:rsidRPr="00981995">
        <w:tab/>
        <w:t>Togias A, Cooper SF, Acebal ML, Assa'ad A, Baker JR, Jr., Beck LA, et al. Addendum Guidelines for the Prevention of Peanut Allergy in the United States: Summary of the National Institute of Allergy and Infectious Diseases-Sponsored Expert Panel. Journal of the Academy of Nutrition &amp; Dietetics. 2017;117(5):788-93.</w:t>
      </w:r>
    </w:p>
    <w:p w14:paraId="407B5463" w14:textId="377EB4B8" w:rsidR="00E139B3" w:rsidRPr="00981995" w:rsidRDefault="007B2EF0" w:rsidP="005B684F">
      <w:pPr>
        <w:pStyle w:val="EndNoteBibliography"/>
        <w:spacing w:line="360" w:lineRule="auto"/>
        <w:ind w:left="425" w:hanging="425"/>
        <w:jc w:val="both"/>
      </w:pPr>
      <w:r w:rsidRPr="00981995">
        <w:lastRenderedPageBreak/>
        <w:t>11</w:t>
      </w:r>
      <w:r w:rsidR="00E139B3" w:rsidRPr="00981995">
        <w:t>.</w:t>
      </w:r>
      <w:r w:rsidR="00E139B3" w:rsidRPr="00981995">
        <w:tab/>
        <w:t xml:space="preserve">Turner PJ, Campbell DE. Implementing primary prevention for peanut allergy at a population level. </w:t>
      </w:r>
      <w:r w:rsidRPr="00981995">
        <w:t>JAMA</w:t>
      </w:r>
      <w:r w:rsidR="00E139B3" w:rsidRPr="00981995">
        <w:t>. 2017;317(11):1111-2.</w:t>
      </w:r>
    </w:p>
    <w:p w14:paraId="4F87AF38" w14:textId="77777777" w:rsidR="000E712E" w:rsidRDefault="007B2EF0" w:rsidP="005B684F">
      <w:pPr>
        <w:pStyle w:val="EndNoteBibliography"/>
        <w:spacing w:line="360" w:lineRule="auto"/>
        <w:ind w:left="425" w:hanging="425"/>
        <w:jc w:val="both"/>
      </w:pPr>
      <w:r w:rsidRPr="00981995">
        <w:t xml:space="preserve">12.   </w:t>
      </w:r>
      <w:r w:rsidR="000E712E" w:rsidRPr="009C4E33">
        <w:t xml:space="preserve">Halken S, Muraro A, de Silva D, Khaleva E, Angier E, Arasi S, </w:t>
      </w:r>
      <w:r w:rsidR="000E712E">
        <w:t>et al.</w:t>
      </w:r>
      <w:r w:rsidR="000E712E" w:rsidRPr="009C4E33">
        <w:t xml:space="preserve"> EAACI guideline: Preventing the development of food allergy in infants and young children (2020 update). Pediatric Allergy and Immunology</w:t>
      </w:r>
      <w:r w:rsidR="000E712E">
        <w:t xml:space="preserve"> 2021;32</w:t>
      </w:r>
      <w:r w:rsidR="000E712E" w:rsidRPr="00DA41BC">
        <w:t>:843-58</w:t>
      </w:r>
      <w:r w:rsidR="000E712E" w:rsidRPr="009C4E33">
        <w:t>.</w:t>
      </w:r>
    </w:p>
    <w:p w14:paraId="6B29199E" w14:textId="77777777" w:rsidR="005F2413" w:rsidRDefault="000E712E" w:rsidP="005B684F">
      <w:pPr>
        <w:pStyle w:val="EndNoteBibliography"/>
        <w:spacing w:line="360" w:lineRule="auto"/>
        <w:ind w:left="425" w:hanging="425"/>
        <w:jc w:val="both"/>
      </w:pPr>
      <w:r>
        <w:t xml:space="preserve">13.  </w:t>
      </w:r>
      <w:r w:rsidR="005F2413" w:rsidRPr="005F2413">
        <w:t>Soriano VX, Peters RL, Ponsonby AL, Dharmage SC, Perrett KP, Field MJ, Knox A, Tey D, Odoi S, Gell G, Perez BC. Earlier ingestion of peanut after changes to infant feeding guidelines: The EarlyNuts study. Journal of Allergy and Clinical Immunology. 2019;144(5):1327-35.</w:t>
      </w:r>
    </w:p>
    <w:p w14:paraId="3D00AEB0" w14:textId="62D2DCB2" w:rsidR="00914958" w:rsidRDefault="00914958" w:rsidP="005B684F">
      <w:pPr>
        <w:pStyle w:val="EndNoteBibliography"/>
        <w:spacing w:line="360" w:lineRule="auto"/>
        <w:ind w:left="425" w:hanging="425"/>
        <w:jc w:val="both"/>
      </w:pPr>
      <w:r>
        <w:t xml:space="preserve">14.  </w:t>
      </w:r>
      <w:r w:rsidRPr="00914958">
        <w:t>Soriano VX, Peters RL, Moreno-Betancur M, Ponsonby AL, Gell G, Odoi A, Perrett KP, Tang ML, Gurrin LC, Allen KJ, Dharmage SC. Association Between Earlier Introduction of Peanut and Prevalence of Peanut Allergy in Infants in Australia. JAMA. 2022;328(1):48-56.</w:t>
      </w:r>
    </w:p>
    <w:p w14:paraId="1091A851" w14:textId="6E49BCD4" w:rsidR="007B2EF0" w:rsidRPr="00981995" w:rsidRDefault="00AE6047" w:rsidP="005B684F">
      <w:pPr>
        <w:pStyle w:val="EndNoteBibliography"/>
        <w:spacing w:line="360" w:lineRule="auto"/>
        <w:ind w:left="425" w:hanging="425"/>
        <w:jc w:val="both"/>
      </w:pPr>
      <w:r>
        <w:t xml:space="preserve">15.  </w:t>
      </w:r>
      <w:r w:rsidR="007B2EF0" w:rsidRPr="00981995" w:rsidDel="005764EC">
        <w:t>Burgess JA, Dharmage SC, Allen K, Koplin J, Garcia‐Larsen V, Boyle R, Waidyatillake N, Lodge CJ. Age at introduction to complementary solid food and food allergy and sensitization: A systematic review and meta‐analysis. Clinical &amp; Experimental Allergy. 2019;49(6):754-69.</w:t>
      </w:r>
    </w:p>
    <w:p w14:paraId="56612378" w14:textId="4A811FB6" w:rsidR="00E139B3" w:rsidRPr="00981995" w:rsidRDefault="007B2EF0" w:rsidP="005B684F">
      <w:pPr>
        <w:pStyle w:val="EndNoteBibliography"/>
        <w:spacing w:line="360" w:lineRule="auto"/>
        <w:ind w:left="425" w:hanging="425"/>
        <w:jc w:val="both"/>
      </w:pPr>
      <w:r w:rsidRPr="00981995">
        <w:t>1</w:t>
      </w:r>
      <w:r w:rsidR="00AE6047">
        <w:t>6</w:t>
      </w:r>
      <w:r w:rsidR="00E139B3" w:rsidRPr="00981995">
        <w:t>.</w:t>
      </w:r>
      <w:r w:rsidR="00E139B3" w:rsidRPr="00981995">
        <w:tab/>
        <w:t>Perkin MR, Logan K, Tseng A, Raji B, Ayis S, Peacock J, et al. Randomized Trial of Introduction of Allergenic Foods in Breast-Fed Infants. New England Journal of Medicine. 2016;374(18):1733-43.</w:t>
      </w:r>
    </w:p>
    <w:p w14:paraId="679A93B3" w14:textId="56AA5E16" w:rsidR="00E139B3" w:rsidRPr="00981995" w:rsidRDefault="00E139B3" w:rsidP="005B684F">
      <w:pPr>
        <w:pStyle w:val="EndNoteBibliography"/>
        <w:spacing w:line="360" w:lineRule="auto"/>
        <w:ind w:left="425" w:hanging="425"/>
        <w:jc w:val="both"/>
      </w:pPr>
      <w:r w:rsidRPr="00981995">
        <w:t>1</w:t>
      </w:r>
      <w:r w:rsidR="00844C65">
        <w:t>7</w:t>
      </w:r>
      <w:r w:rsidRPr="00981995">
        <w:t>.</w:t>
      </w:r>
      <w:r w:rsidRPr="00981995">
        <w:tab/>
        <w:t>Du Toit G, Sayre PH, Roberts G, Sever ML, Lawson K, Bahnson HT, et al. Effect of avoidance on peanut allergy after early peanut consumption. New England Journal of Medicine. 2016;374(15):1435-43.</w:t>
      </w:r>
    </w:p>
    <w:p w14:paraId="0259E26D" w14:textId="60E84B15" w:rsidR="00E139B3" w:rsidRPr="00981995" w:rsidRDefault="00E139B3" w:rsidP="006552E0">
      <w:pPr>
        <w:pStyle w:val="EndNoteBibliography"/>
        <w:spacing w:line="360" w:lineRule="auto"/>
        <w:ind w:left="425" w:hanging="425"/>
        <w:jc w:val="both"/>
      </w:pPr>
      <w:r w:rsidRPr="00981995">
        <w:t>1</w:t>
      </w:r>
      <w:r w:rsidR="00323EFE">
        <w:t>8</w:t>
      </w:r>
      <w:r w:rsidRPr="00981995">
        <w:t>.</w:t>
      </w:r>
      <w:r w:rsidRPr="00981995">
        <w:tab/>
        <w:t>Koplin JJ, Peters RL, Dharmage SC, Gurrin L, Tang ML, Ponsonby A-L, et al. Understanding the feasibility and implications of implementing early peanut introduction for prevention of peanut allergy. Journal of Allergy and Clinical Immunology. 2016;138(4):1131-41. e2.</w:t>
      </w:r>
    </w:p>
    <w:p w14:paraId="0792CA4C" w14:textId="4A953D58" w:rsidR="00323EFE" w:rsidRDefault="00E139B3" w:rsidP="008125CA">
      <w:pPr>
        <w:pStyle w:val="EndNoteBibliography"/>
        <w:spacing w:line="360" w:lineRule="auto"/>
        <w:ind w:left="425" w:hanging="425"/>
        <w:jc w:val="both"/>
      </w:pPr>
      <w:r w:rsidRPr="00981995">
        <w:t>1</w:t>
      </w:r>
      <w:r w:rsidR="00323EFE">
        <w:t>9</w:t>
      </w:r>
      <w:r w:rsidRPr="00981995">
        <w:t>.</w:t>
      </w:r>
      <w:r w:rsidRPr="00981995">
        <w:tab/>
        <w:t>Peters RL, Allen KJ, Dharmage SC, Tang ML, Koplin JJ, Ponsonby AL, et al. Skin prick test responses and allergen-specific IgE levels as predictors of peanut, egg, and sesame allergy in infants. Journal of Allergy &amp; Clinical Immunology. 2013;132(4):874-80.</w:t>
      </w:r>
      <w:r w:rsidR="00323EFE" w:rsidRPr="00323EFE">
        <w:t xml:space="preserve"> </w:t>
      </w:r>
    </w:p>
    <w:p w14:paraId="6BFF365D" w14:textId="29ADB681" w:rsidR="00E139B3" w:rsidRPr="00981995" w:rsidRDefault="00323EFE" w:rsidP="008125CA">
      <w:pPr>
        <w:pStyle w:val="EndNoteBibliography"/>
        <w:spacing w:line="360" w:lineRule="auto"/>
        <w:ind w:left="425" w:hanging="425"/>
        <w:jc w:val="both"/>
      </w:pPr>
      <w:r>
        <w:t xml:space="preserve">20.  </w:t>
      </w:r>
      <w:r w:rsidRPr="00981995">
        <w:t>Roberts G, Lack G. Food allergy--getting more out of your skin prick tests. Clinical &amp; Experimental Allergy. 2000;30(11):1495-8.</w:t>
      </w:r>
    </w:p>
    <w:p w14:paraId="3572B67D" w14:textId="1F0AA6B3" w:rsidR="00323EFE" w:rsidRDefault="00323EFE" w:rsidP="005B684F">
      <w:pPr>
        <w:pStyle w:val="EndNoteBibliography"/>
        <w:spacing w:line="360" w:lineRule="auto"/>
        <w:ind w:left="425" w:hanging="425"/>
        <w:jc w:val="both"/>
      </w:pPr>
      <w:r>
        <w:t xml:space="preserve">21.  </w:t>
      </w:r>
      <w:r w:rsidRPr="00323EFE">
        <w:t xml:space="preserve">Sporik R, Hill DJ, Hosking CS. Specificity of allergen skin testing in predicting positive open food challenges to milk, egg and peanut in children. Clinical &amp; </w:t>
      </w:r>
      <w:r>
        <w:t>E</w:t>
      </w:r>
      <w:r w:rsidRPr="00323EFE">
        <w:t xml:space="preserve">xperimental </w:t>
      </w:r>
      <w:r>
        <w:t>A</w:t>
      </w:r>
      <w:r w:rsidRPr="00323EFE">
        <w:t>llergy. 2000;30:1541-6.</w:t>
      </w:r>
      <w:r>
        <w:tab/>
      </w:r>
    </w:p>
    <w:p w14:paraId="5D110653" w14:textId="4F5480E7" w:rsidR="00D61F6D" w:rsidRDefault="007256F8" w:rsidP="005B684F">
      <w:pPr>
        <w:pStyle w:val="EndNoteBibliography"/>
        <w:spacing w:line="360" w:lineRule="auto"/>
        <w:ind w:left="425" w:hanging="425"/>
        <w:jc w:val="both"/>
      </w:pPr>
      <w:r>
        <w:t>22</w:t>
      </w:r>
      <w:r w:rsidR="00E139B3" w:rsidRPr="00981995">
        <w:t>.</w:t>
      </w:r>
      <w:r w:rsidR="00E139B3" w:rsidRPr="00981995">
        <w:tab/>
      </w:r>
      <w:r w:rsidR="00D61F6D" w:rsidRPr="00D61F6D">
        <w:t>Abrams EM, Shaker M, Greenhawt M, Mack DP. International Peanut Allergy Prevention, 6 Years After the Learnin</w:t>
      </w:r>
      <w:r w:rsidR="0035259B">
        <w:t xml:space="preserve">g Early About Peanut Study. </w:t>
      </w:r>
      <w:r w:rsidR="00D61F6D" w:rsidRPr="00D61F6D">
        <w:t>Journal of Allergy and Clinical Immunology: In Practice. 2022 Jan 1;10(1):71-7.</w:t>
      </w:r>
    </w:p>
    <w:p w14:paraId="3A9A6802" w14:textId="77777777" w:rsidR="00B17A04" w:rsidRDefault="007256F8" w:rsidP="005B684F">
      <w:pPr>
        <w:pStyle w:val="EndNoteBibliography"/>
        <w:spacing w:line="360" w:lineRule="auto"/>
        <w:ind w:left="425" w:hanging="425"/>
        <w:jc w:val="both"/>
      </w:pPr>
      <w:r>
        <w:lastRenderedPageBreak/>
        <w:t xml:space="preserve">23.  </w:t>
      </w:r>
      <w:r w:rsidR="00313F93" w:rsidRPr="00313F93">
        <w:t>Skjerven HO, Lie A, Vettukattil R, Rehbinder EM, LeBlanc M, Asarnoj A, et al. Early food intervention and skin emollients to prevent food allergy in young children (PreventADALL): a factorial, multicentre, cluster-randomised trial. Lancet 2022; 399: 2398-2411.</w:t>
      </w:r>
    </w:p>
    <w:p w14:paraId="77B219D3" w14:textId="5861375E" w:rsidR="007256F8" w:rsidRDefault="00B17A04" w:rsidP="005B684F">
      <w:pPr>
        <w:pStyle w:val="EndNoteBibliography"/>
        <w:spacing w:line="360" w:lineRule="auto"/>
        <w:ind w:left="425" w:hanging="425"/>
        <w:jc w:val="both"/>
      </w:pPr>
      <w:r>
        <w:t xml:space="preserve">24.  </w:t>
      </w:r>
      <w:r w:rsidR="007256F8" w:rsidRPr="007256F8">
        <w:t>Du Toit G, Katz Y, Sasieni P, Mesher D, Maleki SJ, Fisher HR, et al. Early consumption of peanuts in infancy is associated with a low prevalence of peanut allergy. Journal of Allergy and Clinical Immunology. 2008;122:984-91.</w:t>
      </w:r>
    </w:p>
    <w:p w14:paraId="38D5757D" w14:textId="7E935972" w:rsidR="00E139B3" w:rsidRPr="00981995" w:rsidRDefault="00B06BE1" w:rsidP="005B684F">
      <w:pPr>
        <w:pStyle w:val="EndNoteBibliography"/>
        <w:spacing w:line="360" w:lineRule="auto"/>
        <w:ind w:left="425" w:hanging="425"/>
        <w:jc w:val="both"/>
      </w:pPr>
      <w:r>
        <w:t>2</w:t>
      </w:r>
      <w:r w:rsidR="00A00AD6">
        <w:t>5</w:t>
      </w:r>
      <w:r w:rsidR="0035259B">
        <w:t xml:space="preserve">.  </w:t>
      </w:r>
      <w:r w:rsidR="00E139B3" w:rsidRPr="00981995">
        <w:t>O'Connor C, Kelleher M, Hourihane JOB. Calculating the effect of population-level implementation of the Learning Early About Peanut Allergy (LEAP) protocol to prevent peanut allergy. Journal of Allergy and Clinical Immunology. 2016;137(4):1263-4. e2.</w:t>
      </w:r>
    </w:p>
    <w:p w14:paraId="7008FEDE" w14:textId="75DB5C3A" w:rsidR="00E139B3" w:rsidRPr="00981995" w:rsidRDefault="00B06BE1" w:rsidP="005B684F">
      <w:pPr>
        <w:pStyle w:val="EndNoteBibliography"/>
        <w:spacing w:line="360" w:lineRule="auto"/>
        <w:ind w:left="425" w:hanging="425"/>
        <w:jc w:val="both"/>
      </w:pPr>
      <w:r>
        <w:t>2</w:t>
      </w:r>
      <w:r w:rsidR="00B17A04">
        <w:t>6</w:t>
      </w:r>
      <w:r w:rsidR="00E139B3" w:rsidRPr="00981995">
        <w:t>.</w:t>
      </w:r>
      <w:r w:rsidR="00E139B3" w:rsidRPr="00981995">
        <w:tab/>
        <w:t>Mortensen MB, Nordestgaard BG. Statin use in primary prevention of atherosclerotic cardiovascular disease according to 5 major guidelines for sensitivity, specificity, and number needed to treat. Jama Cardiology. 2019;4(11):1131-8.</w:t>
      </w:r>
    </w:p>
    <w:p w14:paraId="24268F46" w14:textId="7B6E19F9" w:rsidR="00E139B3" w:rsidRDefault="00A62F8A" w:rsidP="005B684F">
      <w:pPr>
        <w:pStyle w:val="EndNoteBibliography"/>
        <w:spacing w:line="360" w:lineRule="auto"/>
        <w:ind w:left="425" w:hanging="425"/>
        <w:jc w:val="both"/>
      </w:pPr>
      <w:r>
        <w:t>2</w:t>
      </w:r>
      <w:r w:rsidR="00B17A04">
        <w:t>7</w:t>
      </w:r>
      <w:r w:rsidR="00E139B3" w:rsidRPr="00981995">
        <w:t>.</w:t>
      </w:r>
      <w:r w:rsidR="00E139B3" w:rsidRPr="00981995">
        <w:tab/>
        <w:t>Fox AT, Sasieni P, du Toit G, Syed H, Lack G. Household peanut consumption as a risk factor for the development of peanut allergy. Journal of Allergy &amp; Clinical Immunology. 2009;123(2):417-23.</w:t>
      </w:r>
    </w:p>
    <w:p w14:paraId="21B22A5B" w14:textId="4C08E397" w:rsidR="00294F1A" w:rsidRPr="00F64034" w:rsidRDefault="00A62F8A" w:rsidP="00B9101D">
      <w:pPr>
        <w:shd w:val="clear" w:color="auto" w:fill="FFFFFF"/>
        <w:tabs>
          <w:tab w:val="left" w:pos="426"/>
        </w:tabs>
        <w:spacing w:after="80" w:line="240" w:lineRule="auto"/>
        <w:ind w:left="426" w:hanging="426"/>
        <w:jc w:val="both"/>
      </w:pPr>
      <w:r>
        <w:t>2</w:t>
      </w:r>
      <w:r w:rsidR="00294F1A">
        <w:t>8</w:t>
      </w:r>
      <w:r w:rsidR="00536429">
        <w:t xml:space="preserve">. </w:t>
      </w:r>
      <w:r w:rsidR="00294F1A" w:rsidRPr="00F64034">
        <w:rPr>
          <w:lang w:eastAsia="en-GB"/>
        </w:rPr>
        <w:t xml:space="preserve">Feeney M, du Toit G, </w:t>
      </w:r>
      <w:r w:rsidR="00294F1A" w:rsidRPr="00B9101D">
        <w:rPr>
          <w:bCs/>
          <w:lang w:eastAsia="en-GB"/>
        </w:rPr>
        <w:t>Roberts G</w:t>
      </w:r>
      <w:r w:rsidR="00294F1A" w:rsidRPr="00294F1A">
        <w:rPr>
          <w:bCs/>
          <w:lang w:eastAsia="en-GB"/>
        </w:rPr>
        <w:t>, Sayre PH, Lawson K, Bahnson HT,</w:t>
      </w:r>
      <w:r w:rsidR="00294F1A">
        <w:rPr>
          <w:bCs/>
          <w:lang w:eastAsia="en-GB"/>
        </w:rPr>
        <w:t xml:space="preserve"> et al</w:t>
      </w:r>
      <w:r w:rsidR="00294F1A" w:rsidRPr="00F64034">
        <w:rPr>
          <w:lang w:eastAsia="en-GB"/>
        </w:rPr>
        <w:t xml:space="preserve">. </w:t>
      </w:r>
      <w:r w:rsidR="00294F1A" w:rsidRPr="00F64034">
        <w:t xml:space="preserve">Impact of peanut consumption in The LEAP Study: feasibility, growth and nutrition. J Allergy Clin Immunol 2016; </w:t>
      </w:r>
      <w:r w:rsidR="00294F1A" w:rsidRPr="00294F1A">
        <w:rPr>
          <w:rStyle w:val="issuevolsp"/>
          <w:color w:val="333333"/>
          <w:lang w:val="en"/>
        </w:rPr>
        <w:t>138: 1</w:t>
      </w:r>
      <w:r w:rsidR="00294F1A" w:rsidRPr="00294F1A">
        <w:rPr>
          <w:rStyle w:val="pagerange"/>
          <w:color w:val="333333"/>
          <w:lang w:val="en"/>
        </w:rPr>
        <w:t xml:space="preserve">108–1118. </w:t>
      </w:r>
    </w:p>
    <w:p w14:paraId="5973B982" w14:textId="5AE85F2F" w:rsidR="00294F1A" w:rsidRDefault="005B0637" w:rsidP="005B684F">
      <w:pPr>
        <w:pStyle w:val="EndNoteBibliography"/>
        <w:spacing w:line="360" w:lineRule="auto"/>
        <w:ind w:left="425" w:hanging="425"/>
        <w:jc w:val="both"/>
      </w:pPr>
      <w:r>
        <w:t xml:space="preserve">29.  </w:t>
      </w:r>
      <w:r w:rsidRPr="005B0637">
        <w:t>Koplin JJ, Soriano VX, Peters RL. Real-World LEAP Implementation. Current Allergy and Asthma Reports. 2022 Apr 8:1-6.</w:t>
      </w:r>
    </w:p>
    <w:p w14:paraId="2943F69F" w14:textId="614B0A00" w:rsidR="00010822" w:rsidRDefault="00F40921" w:rsidP="005B684F">
      <w:pPr>
        <w:pStyle w:val="EndNoteBibliography"/>
        <w:spacing w:line="360" w:lineRule="auto"/>
        <w:ind w:left="425" w:hanging="425"/>
        <w:jc w:val="both"/>
      </w:pPr>
      <w:r>
        <w:t xml:space="preserve">30.  </w:t>
      </w:r>
      <w:r w:rsidR="00010822" w:rsidRPr="00010822">
        <w:t>Peters RL, Allen KJ, Dharmage SC, Koplin JJ, Dang T, Tilbrook KP, et al. Natural history of peanut allergy and predictors of resolution in the first 4 years of life: a population-based assessment. Journal of Allergy and Clinical Immunology. 2015;135(5):1257-66. e2.</w:t>
      </w:r>
    </w:p>
    <w:p w14:paraId="7F3B92FA" w14:textId="77777777" w:rsidR="00F40921" w:rsidRDefault="00F40921" w:rsidP="005B684F">
      <w:pPr>
        <w:pStyle w:val="EndNoteBibliography"/>
        <w:spacing w:line="360" w:lineRule="auto"/>
        <w:ind w:left="425" w:hanging="425"/>
        <w:jc w:val="both"/>
      </w:pPr>
      <w:r>
        <w:t xml:space="preserve">31.  </w:t>
      </w:r>
      <w:r w:rsidRPr="00F40921">
        <w:t>Keet C, Pistiner M, Plesa M, Szelag D, Shreffler W, Wood R, et al. Age and eczema severity, but not family history, are major risk factors for peanut allergy in infancy. J Allergy Clinical Immunology. 2021;147:984-91.</w:t>
      </w:r>
    </w:p>
    <w:p w14:paraId="50FE7CEB" w14:textId="0C0FFECF" w:rsidR="00536429" w:rsidRDefault="00601F0D" w:rsidP="005B684F">
      <w:pPr>
        <w:pStyle w:val="EndNoteBibliography"/>
        <w:spacing w:line="360" w:lineRule="auto"/>
        <w:ind w:left="425" w:hanging="425"/>
        <w:jc w:val="both"/>
      </w:pPr>
      <w:r>
        <w:t>32</w:t>
      </w:r>
      <w:r w:rsidR="00BA09E4">
        <w:t xml:space="preserve">.  </w:t>
      </w:r>
      <w:r w:rsidR="00536429" w:rsidRPr="00536429">
        <w:t>Greenhawt M, Fleischer DM, Chan ES, Venter C, Stukus D, Gupta R, et al. LEAPing through the looking glass: secondary analysis of the effect of skin test size and age of introduction on peanut tolerance after early peanut introduction. Allergy. 2017;72(8):1254-60.</w:t>
      </w:r>
    </w:p>
    <w:p w14:paraId="18FC5715" w14:textId="5CAF14B4" w:rsidR="00536429" w:rsidRPr="00981995" w:rsidRDefault="00601F0D" w:rsidP="005B684F">
      <w:pPr>
        <w:pStyle w:val="EndNoteBibliography"/>
        <w:spacing w:line="360" w:lineRule="auto"/>
        <w:ind w:left="425" w:hanging="425"/>
        <w:jc w:val="both"/>
      </w:pPr>
      <w:r>
        <w:t>33</w:t>
      </w:r>
      <w:r w:rsidR="00F20C72">
        <w:t xml:space="preserve">.   </w:t>
      </w:r>
      <w:r w:rsidR="00F20C72" w:rsidRPr="00F20C72">
        <w:t>Lawson K, Bahnson HT, Brittain E, Sever M, Du Toit G, Lack G, et al. Letter of response to Greenhawt et al. 'LEAPing Through the Looking Glass: Secondary Analysis of the Effect of Skin Test Size and Age of Introduction on Peanut Tolerance after Early Peanut Introduction'. Allergy. 2017;72(8):1267-71.</w:t>
      </w:r>
    </w:p>
    <w:p w14:paraId="769166C4" w14:textId="43BA1E7F" w:rsidR="00E139B3" w:rsidRPr="00981995" w:rsidRDefault="00601F0D" w:rsidP="005B684F">
      <w:pPr>
        <w:pStyle w:val="EndNoteBibliography"/>
        <w:spacing w:line="360" w:lineRule="auto"/>
        <w:ind w:left="425" w:hanging="425"/>
        <w:jc w:val="both"/>
      </w:pPr>
      <w:r>
        <w:t>34</w:t>
      </w:r>
      <w:r w:rsidR="00E139B3" w:rsidRPr="00981995">
        <w:t>.</w:t>
      </w:r>
      <w:r w:rsidR="00E139B3" w:rsidRPr="00981995">
        <w:tab/>
        <w:t>de Silva D, Geromi M, Halken S, Host A, Panesar SS, Muraro A, et al. Primary prevention of food allergy in children and adults: systematic review. Allergy. 2014;69(5):581-9.</w:t>
      </w:r>
    </w:p>
    <w:p w14:paraId="4DC2FD46" w14:textId="5630D78F" w:rsidR="00A325F8" w:rsidRDefault="00155379" w:rsidP="00A325F8">
      <w:pPr>
        <w:pStyle w:val="EndNoteBibliography"/>
        <w:spacing w:line="360" w:lineRule="auto"/>
        <w:ind w:left="425" w:hanging="425"/>
        <w:jc w:val="both"/>
      </w:pPr>
      <w:r>
        <w:lastRenderedPageBreak/>
        <w:t>35</w:t>
      </w:r>
      <w:r w:rsidR="00C13B72" w:rsidRPr="00981995">
        <w:t xml:space="preserve">.  </w:t>
      </w:r>
      <w:r w:rsidR="00A325F8" w:rsidRPr="009C4E33">
        <w:t xml:space="preserve">Fleischer DM, Chan ES, Venter C, Spergel JM, Abrams EM, Stukus D, </w:t>
      </w:r>
      <w:r w:rsidR="00A325F8">
        <w:t>et al</w:t>
      </w:r>
      <w:r w:rsidR="00A325F8" w:rsidRPr="009C4E33">
        <w:t>. A consensus approach to the primary prevention of food allergy through nutrition: guidance from the American Academy of Allergy, Asthma, and Immunology; American College of Allergy, Asthma, and Immunology; and the Canadian Society for Aller</w:t>
      </w:r>
      <w:r w:rsidR="00A325F8">
        <w:t xml:space="preserve">gy and Clinical Immunology. </w:t>
      </w:r>
      <w:r w:rsidR="00A325F8" w:rsidRPr="009C4E33">
        <w:t>J Allergy Clinical Imm</w:t>
      </w:r>
      <w:r w:rsidR="00A325F8">
        <w:t>unology: In Practice. 2021</w:t>
      </w:r>
      <w:r w:rsidR="00A325F8" w:rsidRPr="009C4E33">
        <w:t>;</w:t>
      </w:r>
      <w:r w:rsidR="00A325F8">
        <w:t xml:space="preserve"> </w:t>
      </w:r>
      <w:r w:rsidR="00A325F8" w:rsidRPr="009C4E33">
        <w:t>9(1):</w:t>
      </w:r>
      <w:r w:rsidR="00A325F8">
        <w:t xml:space="preserve"> </w:t>
      </w:r>
      <w:r w:rsidR="00A325F8" w:rsidRPr="009C4E33">
        <w:t>22-43.</w:t>
      </w:r>
    </w:p>
    <w:p w14:paraId="06A8F42C" w14:textId="6D8C248C" w:rsidR="00280B77" w:rsidRDefault="00155379" w:rsidP="00155379">
      <w:pPr>
        <w:pStyle w:val="EndNoteBibliography"/>
        <w:spacing w:line="360" w:lineRule="auto"/>
        <w:ind w:left="425" w:hanging="425"/>
        <w:jc w:val="both"/>
      </w:pPr>
      <w:r>
        <w:t>36</w:t>
      </w:r>
      <w:r w:rsidR="00183189">
        <w:t xml:space="preserve">. </w:t>
      </w:r>
      <w:r w:rsidR="00183189" w:rsidRPr="00183189">
        <w:t>Dantzer J, Wood RA. Can Peanut Allergy Prevention Be Translated to the Pediatric Population?. JAMA. 2022;328(1):25-6.</w:t>
      </w:r>
    </w:p>
    <w:p w14:paraId="4A9AD7E7" w14:textId="358C9B7D" w:rsidR="003B1AB0" w:rsidRDefault="003B1AB0" w:rsidP="004E76D1">
      <w:pPr>
        <w:pStyle w:val="EndNoteBibliography"/>
        <w:spacing w:line="360" w:lineRule="auto"/>
        <w:ind w:left="425" w:hanging="425"/>
        <w:jc w:val="both"/>
      </w:pPr>
      <w:r>
        <w:br w:type="page"/>
      </w:r>
    </w:p>
    <w:p w14:paraId="110AD059" w14:textId="77777777" w:rsidR="003B1AB0" w:rsidRPr="001706C6" w:rsidRDefault="003B1AB0" w:rsidP="001706C6">
      <w:pPr>
        <w:pStyle w:val="EndNoteBibliography"/>
        <w:spacing w:line="360" w:lineRule="auto"/>
        <w:jc w:val="both"/>
        <w:rPr>
          <w:b/>
          <w:bCs/>
        </w:rPr>
      </w:pPr>
      <w:r w:rsidRPr="001706C6">
        <w:rPr>
          <w:b/>
          <w:bCs/>
        </w:rPr>
        <w:lastRenderedPageBreak/>
        <w:t>Figure 1. Relationship between age at baseline, reported duration and severity of eczema on the likelihood of peanut allergy at baseline in the first year of life</w:t>
      </w:r>
    </w:p>
    <w:p w14:paraId="66E796A9" w14:textId="77777777" w:rsidR="003B1AB0" w:rsidRDefault="003B1AB0" w:rsidP="001706C6">
      <w:pPr>
        <w:pStyle w:val="EndNoteBibliography"/>
        <w:spacing w:line="360" w:lineRule="auto"/>
        <w:jc w:val="both"/>
      </w:pPr>
      <w:r>
        <w:t>Bars represent prevalence of peanut allergy at baseline (raw data), defined by baseline oral food challenge or SPT &gt; 4mm at screening, for participants in the LEAP screening cohort (7 LEAP RCT and 76 PAS group IV participants). Participants aged 4 to 11 months were assessed in the study at baseline and defined as low risk (all Group I subjects, assumed to be tolerant), high risk and high risk-sensitized (Groups II and III from early introduction group, assessed by baseline peanut challenge) and likely allergy (Group IV, assumed to be peanut allergic as peanut wheal &gt;4mm (</w:t>
      </w:r>
      <w:r w:rsidRPr="00B9101D">
        <w:rPr>
          <w:b/>
          <w:bCs/>
        </w:rPr>
        <w:t>Table E1</w:t>
      </w:r>
      <w:r>
        <w:t>)).  Those randomized to peanut avoidance (Groups II and III) were omitted from figure as they were not assessed for peanut allergy by oral food challenge at baseline.  Part A presents proportion with infant peanut allergy by tertile of age at screening (months) and part B by tertile of duration of eczema at screening (months); duration was the more important risk factor (</w:t>
      </w:r>
      <w:r w:rsidRPr="00B9101D">
        <w:rPr>
          <w:b/>
          <w:bCs/>
        </w:rPr>
        <w:t>Figure E7</w:t>
      </w:r>
      <w:r>
        <w:t xml:space="preserve">).  The number with baseline peanut allergy is annotated above each bar and the sample size is below each bar. </w:t>
      </w:r>
    </w:p>
    <w:p w14:paraId="5D8BB14D" w14:textId="77777777" w:rsidR="003B1AB0" w:rsidRDefault="003B1AB0" w:rsidP="003B1AB0">
      <w:pPr>
        <w:pStyle w:val="EndNoteBibliography"/>
        <w:spacing w:line="360" w:lineRule="auto"/>
        <w:ind w:left="425" w:hanging="425"/>
        <w:jc w:val="both"/>
      </w:pPr>
      <w:r>
        <w:t xml:space="preserve"> </w:t>
      </w:r>
    </w:p>
    <w:p w14:paraId="108CB6FA" w14:textId="41410731" w:rsidR="003B1AB0" w:rsidRPr="001706C6" w:rsidRDefault="003B1AB0" w:rsidP="009F5BD4">
      <w:pPr>
        <w:pStyle w:val="EndNoteBibliography"/>
        <w:spacing w:line="360" w:lineRule="auto"/>
        <w:jc w:val="both"/>
        <w:rPr>
          <w:b/>
          <w:bCs/>
        </w:rPr>
      </w:pPr>
      <w:r w:rsidRPr="001706C6">
        <w:rPr>
          <w:b/>
          <w:bCs/>
        </w:rPr>
        <w:t>Figure 2. Trajectory of peanut wheal sizes of avoidance group participants allergic to peanut at the</w:t>
      </w:r>
      <w:r w:rsidR="00DA6015">
        <w:rPr>
          <w:b/>
          <w:bCs/>
        </w:rPr>
        <w:t xml:space="preserve"> </w:t>
      </w:r>
      <w:r w:rsidRPr="001706C6">
        <w:rPr>
          <w:b/>
          <w:bCs/>
        </w:rPr>
        <w:t>final assessment (n=53, 36 months for EAT; 60 months for LEAP and PAS participants)</w:t>
      </w:r>
    </w:p>
    <w:p w14:paraId="01544DB2" w14:textId="77777777" w:rsidR="003B1AB0" w:rsidRDefault="003B1AB0" w:rsidP="001706C6">
      <w:pPr>
        <w:pStyle w:val="EndNoteBibliography"/>
        <w:spacing w:line="360" w:lineRule="auto"/>
        <w:jc w:val="both"/>
      </w:pPr>
      <w:r>
        <w:t xml:space="preserve">Each line represents an allergic participant’s SPT values over the course of the study starting with their age in months at baseline. SPT was not collected in the EAT avoidance group at 3 months; therefore, a distribution was imputed based on the EAT early introduction group SPT distribution at baseline.  Since 99% of SPT distribution at 3 months in the EAT early introduction group was between 0mm and 1mm, points were jittered within this interval so that lines could be connected between the 3, 12, and 36-month assessments.  Participants with a &gt;4mm wheal at screening are identified by red lines (PAS Group IV) and only had SPT data available at the screening visit and the 60 month visit.  Orange lines represent EAT and LEAP allergic, avoidance group participants whose wheal sizes were greater than 4mm by their 12 month visit. Black lines represent allergic participants from the avoidance group whose wheal sizes were &lt;4mm by their 12 month visit. Assuming that participants with a SPT &gt;4mm are allergic to peanut,18-21 approximately 60% of participants with peanut allergy at the end of the study were allergic at or before their 12 month visit based on wheal sizes &gt;4mm. PA: peanut allergy. </w:t>
      </w:r>
    </w:p>
    <w:p w14:paraId="1A3553F9" w14:textId="77777777" w:rsidR="003B1AB0" w:rsidRDefault="003B1AB0" w:rsidP="001706C6">
      <w:pPr>
        <w:pStyle w:val="EndNoteBibliography"/>
        <w:spacing w:line="360" w:lineRule="auto"/>
        <w:jc w:val="both"/>
      </w:pPr>
    </w:p>
    <w:p w14:paraId="691E02E1" w14:textId="77777777" w:rsidR="003B1AB0" w:rsidRPr="001706C6" w:rsidRDefault="003B1AB0" w:rsidP="001706C6">
      <w:pPr>
        <w:pStyle w:val="EndNoteBibliography"/>
        <w:spacing w:line="360" w:lineRule="auto"/>
        <w:jc w:val="both"/>
        <w:rPr>
          <w:b/>
          <w:bCs/>
        </w:rPr>
      </w:pPr>
      <w:r w:rsidRPr="001706C6">
        <w:rPr>
          <w:b/>
          <w:bCs/>
        </w:rPr>
        <w:t>Figure 3. Relative reduction in burden of peanut allergy in a normalized population by age of introduction for (A) raw data from each study; (B) EAT modeled effect plus whole population model and (C) whole population model by eczema severity</w:t>
      </w:r>
    </w:p>
    <w:p w14:paraId="6E35CE25" w14:textId="6736CB28" w:rsidR="00A325F8" w:rsidRDefault="003B1AB0" w:rsidP="001706C6">
      <w:pPr>
        <w:pStyle w:val="EndNoteBibliography"/>
        <w:spacing w:line="360" w:lineRule="auto"/>
        <w:jc w:val="both"/>
      </w:pPr>
      <w:r>
        <w:t xml:space="preserve">All relative reductions in this figure estimate the treatment effect between early peanut introduction and avoidance.  In panel (A) The EAT intention to treat (ITT) and per protocol (PP, restricted to only those </w:t>
      </w:r>
      <w:r>
        <w:lastRenderedPageBreak/>
        <w:t xml:space="preserve">exposed to intervention) point estimates are displayed as red squares and are calculated as relative reductions between the standard introduction and early introduction arms.  The blue points and blue smoothed regression line using a spline term for age shows relative reduction estimates from the raw high risk LEAP screening population data, (that is, LEAP+ PAS, with imputed treatment effect among the PAS cohort, where the imputed benefit in PAS group IV was 0%). In panel (B) the red dashed line shows the EAT modeled estimates using the LEAP ITT treatment effect (Figure E4) applied at 3 months and 12 months.  The whole population (EAT+LEAP+PAS) modelled ITT effect with bootstrapped 95% confidence intervals is shown in black and gray (see </w:t>
      </w:r>
      <w:r w:rsidRPr="00B9101D">
        <w:rPr>
          <w:b/>
          <w:bCs/>
        </w:rPr>
        <w:t>Figure E14</w:t>
      </w:r>
      <w:r>
        <w:t xml:space="preserve"> for sensitivity analyses).  In panel (C) the whole population modelled ITT effect is shown by eczema severity.  Additional sensitivity analyses and modeling details relevant to these analyses are shown in the supplemental appendix (</w:t>
      </w:r>
      <w:r w:rsidRPr="00B9101D">
        <w:rPr>
          <w:b/>
          <w:bCs/>
        </w:rPr>
        <w:t>Figures E12 and E13, Tables S4, E5, and E6</w:t>
      </w:r>
      <w:r>
        <w:t>).</w:t>
      </w:r>
    </w:p>
    <w:p w14:paraId="7FA3729F" w14:textId="77777777" w:rsidR="0095572F" w:rsidRDefault="0095572F" w:rsidP="001706C6">
      <w:pPr>
        <w:pStyle w:val="EndNoteBibliography"/>
        <w:spacing w:line="360" w:lineRule="auto"/>
        <w:jc w:val="both"/>
        <w:sectPr w:rsidR="0095572F" w:rsidSect="009F5BD4">
          <w:type w:val="continuous"/>
          <w:pgSz w:w="12240" w:h="15840"/>
          <w:pgMar w:top="1440" w:right="1440" w:bottom="1440" w:left="1440" w:header="720" w:footer="720" w:gutter="0"/>
          <w:lnNumType w:countBy="1" w:restart="continuous"/>
          <w:cols w:space="720"/>
          <w:docGrid w:linePitch="299"/>
        </w:sectPr>
      </w:pPr>
    </w:p>
    <w:p w14:paraId="2A9B2825" w14:textId="77777777" w:rsidR="0095572F" w:rsidRPr="0025169D" w:rsidRDefault="0095572F" w:rsidP="0095572F"/>
    <w:tbl>
      <w:tblPr>
        <w:tblW w:w="13892" w:type="dxa"/>
        <w:tblCellMar>
          <w:left w:w="0" w:type="dxa"/>
          <w:right w:w="0" w:type="dxa"/>
        </w:tblCellMar>
        <w:tblLook w:val="04A0" w:firstRow="1" w:lastRow="0" w:firstColumn="1" w:lastColumn="0" w:noHBand="0" w:noVBand="1"/>
      </w:tblPr>
      <w:tblGrid>
        <w:gridCol w:w="2410"/>
        <w:gridCol w:w="851"/>
        <w:gridCol w:w="2976"/>
        <w:gridCol w:w="3402"/>
        <w:gridCol w:w="1560"/>
        <w:gridCol w:w="2693"/>
      </w:tblGrid>
      <w:tr w:rsidR="0095572F" w:rsidRPr="00D86F5F" w14:paraId="732F240B" w14:textId="77777777" w:rsidTr="009F5BD4">
        <w:trPr>
          <w:trHeight w:val="633"/>
        </w:trPr>
        <w:tc>
          <w:tcPr>
            <w:tcW w:w="2410"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hideMark/>
          </w:tcPr>
          <w:p w14:paraId="1D5FE724" w14:textId="77777777" w:rsidR="0095572F" w:rsidRPr="002F2A84" w:rsidRDefault="0095572F" w:rsidP="00574CC2">
            <w:pPr>
              <w:rPr>
                <w:b/>
                <w:sz w:val="20"/>
                <w:lang w:val="en-GB"/>
              </w:rPr>
            </w:pPr>
            <w:r w:rsidRPr="002F2A84">
              <w:rPr>
                <w:b/>
                <w:sz w:val="20"/>
                <w:lang w:val="en-GB"/>
              </w:rPr>
              <w:t>LEAP screening study groups</w:t>
            </w:r>
          </w:p>
        </w:tc>
        <w:tc>
          <w:tcPr>
            <w:tcW w:w="851"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hideMark/>
          </w:tcPr>
          <w:p w14:paraId="0332FF70" w14:textId="77777777" w:rsidR="0095572F" w:rsidRPr="002F2A84" w:rsidRDefault="0095572F" w:rsidP="00574CC2">
            <w:pPr>
              <w:rPr>
                <w:b/>
                <w:sz w:val="20"/>
                <w:lang w:val="en-GB"/>
              </w:rPr>
            </w:pPr>
            <w:r w:rsidRPr="002F2A84">
              <w:rPr>
                <w:b/>
                <w:sz w:val="20"/>
                <w:lang w:val="en-GB"/>
              </w:rPr>
              <w:t>Sample size</w:t>
            </w:r>
          </w:p>
        </w:tc>
        <w:tc>
          <w:tcPr>
            <w:tcW w:w="2976"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hideMark/>
          </w:tcPr>
          <w:p w14:paraId="567E175F" w14:textId="77777777" w:rsidR="0095572F" w:rsidRPr="002F2A84" w:rsidRDefault="0095572F" w:rsidP="00574CC2">
            <w:pPr>
              <w:rPr>
                <w:b/>
                <w:sz w:val="20"/>
                <w:lang w:val="en-GB"/>
              </w:rPr>
            </w:pPr>
            <w:r w:rsidRPr="002F2A84">
              <w:rPr>
                <w:b/>
                <w:sz w:val="20"/>
                <w:lang w:val="en-GB"/>
              </w:rPr>
              <w:t>Peanut allergy</w:t>
            </w:r>
            <w:r>
              <w:rPr>
                <w:b/>
                <w:sz w:val="20"/>
                <w:lang w:val="en-GB"/>
              </w:rPr>
              <w:t xml:space="preserve"> in avoidance group</w:t>
            </w:r>
            <w:r w:rsidRPr="002F2A84">
              <w:rPr>
                <w:b/>
                <w:sz w:val="20"/>
                <w:lang w:val="en-GB"/>
              </w:rPr>
              <w:t xml:space="preserve"> at 60 months of age</w:t>
            </w:r>
          </w:p>
        </w:tc>
        <w:tc>
          <w:tcPr>
            <w:tcW w:w="3402"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hideMark/>
          </w:tcPr>
          <w:p w14:paraId="3E536D62" w14:textId="77777777" w:rsidR="0095572F" w:rsidRPr="002F2A84" w:rsidRDefault="0095572F" w:rsidP="00574CC2">
            <w:pPr>
              <w:rPr>
                <w:b/>
                <w:sz w:val="20"/>
                <w:lang w:val="en-GB"/>
              </w:rPr>
            </w:pPr>
            <w:r w:rsidRPr="002F2A84">
              <w:rPr>
                <w:b/>
                <w:sz w:val="20"/>
                <w:lang w:val="en-GB"/>
              </w:rPr>
              <w:t xml:space="preserve">Peanut allergy in </w:t>
            </w:r>
            <w:r>
              <w:rPr>
                <w:b/>
                <w:sz w:val="20"/>
                <w:lang w:val="en-GB"/>
              </w:rPr>
              <w:t>early introduction</w:t>
            </w:r>
            <w:r w:rsidRPr="002F2A84">
              <w:rPr>
                <w:b/>
                <w:sz w:val="20"/>
                <w:lang w:val="en-GB"/>
              </w:rPr>
              <w:t xml:space="preserve"> group at 60 months of age </w:t>
            </w:r>
          </w:p>
        </w:tc>
        <w:tc>
          <w:tcPr>
            <w:tcW w:w="1560"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hideMark/>
          </w:tcPr>
          <w:p w14:paraId="2198193A" w14:textId="77777777" w:rsidR="0095572F" w:rsidRPr="002F2A84" w:rsidRDefault="0095572F" w:rsidP="00574CC2">
            <w:pPr>
              <w:rPr>
                <w:b/>
                <w:sz w:val="20"/>
                <w:lang w:val="en-GB"/>
              </w:rPr>
            </w:pPr>
            <w:r w:rsidRPr="002F2A84">
              <w:rPr>
                <w:b/>
                <w:sz w:val="20"/>
                <w:lang w:val="en-GB"/>
              </w:rPr>
              <w:t>Reduction in each group</w:t>
            </w:r>
          </w:p>
        </w:tc>
        <w:tc>
          <w:tcPr>
            <w:tcW w:w="2693"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hideMark/>
          </w:tcPr>
          <w:p w14:paraId="630C8AA1" w14:textId="77777777" w:rsidR="0095572F" w:rsidRPr="002F2A84" w:rsidRDefault="0095572F" w:rsidP="00574CC2">
            <w:pPr>
              <w:rPr>
                <w:b/>
                <w:sz w:val="20"/>
                <w:lang w:val="en-GB"/>
              </w:rPr>
            </w:pPr>
            <w:r w:rsidRPr="002F2A84">
              <w:rPr>
                <w:b/>
                <w:sz w:val="20"/>
                <w:lang w:val="en-GB"/>
              </w:rPr>
              <w:t>Reduction in LEAP trial participants</w:t>
            </w:r>
          </w:p>
        </w:tc>
      </w:tr>
      <w:tr w:rsidR="0095572F" w:rsidRPr="00D86F5F" w14:paraId="7898E5DD" w14:textId="77777777" w:rsidTr="00574CC2">
        <w:trPr>
          <w:trHeight w:val="287"/>
        </w:trPr>
        <w:tc>
          <w:tcPr>
            <w:tcW w:w="241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7286A6DD" w14:textId="77777777" w:rsidR="0095572F" w:rsidRPr="002F2A84" w:rsidRDefault="0095572F" w:rsidP="00574CC2">
            <w:pPr>
              <w:rPr>
                <w:sz w:val="20"/>
                <w:lang w:val="en-GB"/>
              </w:rPr>
            </w:pPr>
            <w:r w:rsidRPr="002F2A84">
              <w:rPr>
                <w:sz w:val="20"/>
                <w:lang w:val="en-GB"/>
              </w:rPr>
              <w:t>I (low risk)</w:t>
            </w:r>
          </w:p>
        </w:tc>
        <w:tc>
          <w:tcPr>
            <w:tcW w:w="851"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32BC69A4" w14:textId="77777777" w:rsidR="0095572F" w:rsidRPr="002F2A84" w:rsidRDefault="0095572F" w:rsidP="00574CC2">
            <w:pPr>
              <w:rPr>
                <w:sz w:val="20"/>
                <w:lang w:val="en-GB"/>
              </w:rPr>
            </w:pPr>
            <w:r w:rsidRPr="002F2A84">
              <w:rPr>
                <w:sz w:val="20"/>
                <w:lang w:val="en-GB"/>
              </w:rPr>
              <w:t>118</w:t>
            </w:r>
          </w:p>
        </w:tc>
        <w:tc>
          <w:tcPr>
            <w:tcW w:w="2976"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012D8E13" w14:textId="77777777" w:rsidR="0095572F" w:rsidRPr="002F2A84" w:rsidRDefault="0095572F" w:rsidP="00574CC2">
            <w:pPr>
              <w:rPr>
                <w:sz w:val="20"/>
                <w:lang w:val="en-GB"/>
              </w:rPr>
            </w:pPr>
            <w:r w:rsidRPr="002F2A84">
              <w:rPr>
                <w:sz w:val="20"/>
                <w:lang w:val="en-GB"/>
              </w:rPr>
              <w:t>0.8%*</w:t>
            </w:r>
          </w:p>
        </w:tc>
        <w:tc>
          <w:tcPr>
            <w:tcW w:w="3402"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BB02C0B" w14:textId="77777777" w:rsidR="0095572F" w:rsidRPr="002F2A84" w:rsidRDefault="0095572F" w:rsidP="00574CC2">
            <w:pPr>
              <w:rPr>
                <w:sz w:val="20"/>
                <w:lang w:val="en-GB"/>
              </w:rPr>
            </w:pPr>
            <w:r w:rsidRPr="002F2A84">
              <w:rPr>
                <w:sz w:val="20"/>
                <w:lang w:val="en-GB"/>
              </w:rPr>
              <w:t>NA</w:t>
            </w:r>
          </w:p>
        </w:tc>
        <w:tc>
          <w:tcPr>
            <w:tcW w:w="1560"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096843B" w14:textId="77777777" w:rsidR="0095572F" w:rsidRPr="002F2A84" w:rsidRDefault="0095572F" w:rsidP="00574CC2">
            <w:pPr>
              <w:rPr>
                <w:sz w:val="20"/>
                <w:lang w:val="en-GB"/>
              </w:rPr>
            </w:pPr>
            <w:r w:rsidRPr="002F2A84">
              <w:rPr>
                <w:sz w:val="20"/>
                <w:lang w:val="en-GB"/>
              </w:rPr>
              <w:t>NA**</w:t>
            </w:r>
          </w:p>
        </w:tc>
        <w:tc>
          <w:tcPr>
            <w:tcW w:w="2693" w:type="dxa"/>
            <w:tcBorders>
              <w:top w:val="single" w:sz="8" w:space="0" w:color="000000"/>
              <w:left w:val="nil"/>
              <w:right w:val="nil"/>
            </w:tcBorders>
            <w:shd w:val="clear" w:color="auto" w:fill="auto"/>
            <w:tcMar>
              <w:top w:w="15" w:type="dxa"/>
              <w:left w:w="108" w:type="dxa"/>
              <w:bottom w:w="0" w:type="dxa"/>
              <w:right w:w="108" w:type="dxa"/>
            </w:tcMar>
            <w:hideMark/>
          </w:tcPr>
          <w:p w14:paraId="695B8F64" w14:textId="77777777" w:rsidR="0095572F" w:rsidRPr="002F2A84" w:rsidRDefault="0095572F" w:rsidP="00574CC2">
            <w:pPr>
              <w:rPr>
                <w:sz w:val="20"/>
                <w:lang w:val="en-GB"/>
              </w:rPr>
            </w:pPr>
          </w:p>
        </w:tc>
      </w:tr>
      <w:tr w:rsidR="0095572F" w:rsidRPr="00D86F5F" w14:paraId="71E6EB63" w14:textId="77777777" w:rsidTr="00574CC2">
        <w:trPr>
          <w:trHeight w:val="287"/>
        </w:trPr>
        <w:tc>
          <w:tcPr>
            <w:tcW w:w="2410" w:type="dxa"/>
            <w:tcBorders>
              <w:top w:val="nil"/>
              <w:left w:val="nil"/>
              <w:bottom w:val="nil"/>
              <w:right w:val="nil"/>
            </w:tcBorders>
            <w:shd w:val="clear" w:color="auto" w:fill="auto"/>
            <w:tcMar>
              <w:top w:w="15" w:type="dxa"/>
              <w:left w:w="108" w:type="dxa"/>
              <w:bottom w:w="0" w:type="dxa"/>
              <w:right w:w="108" w:type="dxa"/>
            </w:tcMar>
            <w:vAlign w:val="center"/>
            <w:hideMark/>
          </w:tcPr>
          <w:p w14:paraId="1CB736C3" w14:textId="77777777" w:rsidR="0095572F" w:rsidRPr="002F2A84" w:rsidRDefault="0095572F" w:rsidP="00574CC2">
            <w:pPr>
              <w:rPr>
                <w:sz w:val="20"/>
                <w:lang w:val="en-GB"/>
              </w:rPr>
            </w:pPr>
            <w:r w:rsidRPr="002F2A84">
              <w:rPr>
                <w:sz w:val="20"/>
                <w:lang w:val="en-GB"/>
              </w:rPr>
              <w:t>II (high risk)</w:t>
            </w:r>
          </w:p>
        </w:tc>
        <w:tc>
          <w:tcPr>
            <w:tcW w:w="851" w:type="dxa"/>
            <w:tcBorders>
              <w:top w:val="nil"/>
              <w:left w:val="nil"/>
              <w:bottom w:val="nil"/>
              <w:right w:val="nil"/>
            </w:tcBorders>
            <w:shd w:val="clear" w:color="auto" w:fill="auto"/>
            <w:tcMar>
              <w:top w:w="15" w:type="dxa"/>
              <w:left w:w="108" w:type="dxa"/>
              <w:bottom w:w="0" w:type="dxa"/>
              <w:right w:w="108" w:type="dxa"/>
            </w:tcMar>
            <w:vAlign w:val="center"/>
            <w:hideMark/>
          </w:tcPr>
          <w:p w14:paraId="3BBCAAD6" w14:textId="77777777" w:rsidR="0095572F" w:rsidRPr="002F2A84" w:rsidRDefault="0095572F" w:rsidP="00574CC2">
            <w:pPr>
              <w:rPr>
                <w:sz w:val="20"/>
                <w:lang w:val="en-GB"/>
              </w:rPr>
            </w:pPr>
            <w:r w:rsidRPr="002F2A84">
              <w:rPr>
                <w:sz w:val="20"/>
                <w:lang w:val="en-GB"/>
              </w:rPr>
              <w:t>542</w:t>
            </w:r>
          </w:p>
        </w:tc>
        <w:tc>
          <w:tcPr>
            <w:tcW w:w="2976" w:type="dxa"/>
            <w:tcBorders>
              <w:top w:val="nil"/>
              <w:left w:val="nil"/>
              <w:bottom w:val="nil"/>
              <w:right w:val="nil"/>
            </w:tcBorders>
            <w:shd w:val="clear" w:color="auto" w:fill="auto"/>
            <w:tcMar>
              <w:top w:w="15" w:type="dxa"/>
              <w:left w:w="108" w:type="dxa"/>
              <w:bottom w:w="0" w:type="dxa"/>
              <w:right w:w="108" w:type="dxa"/>
            </w:tcMar>
            <w:vAlign w:val="center"/>
            <w:hideMark/>
          </w:tcPr>
          <w:p w14:paraId="4FF29EF8" w14:textId="77777777" w:rsidR="0095572F" w:rsidRPr="002F2A84" w:rsidRDefault="0095572F" w:rsidP="00574CC2">
            <w:pPr>
              <w:rPr>
                <w:sz w:val="20"/>
                <w:lang w:val="en-GB"/>
              </w:rPr>
            </w:pPr>
            <w:r w:rsidRPr="002F2A84">
              <w:rPr>
                <w:sz w:val="20"/>
                <w:lang w:val="en-GB"/>
              </w:rPr>
              <w:t>13.7%</w:t>
            </w:r>
          </w:p>
        </w:tc>
        <w:tc>
          <w:tcPr>
            <w:tcW w:w="3402" w:type="dxa"/>
            <w:tcBorders>
              <w:top w:val="nil"/>
              <w:left w:val="nil"/>
              <w:bottom w:val="nil"/>
              <w:right w:val="nil"/>
            </w:tcBorders>
            <w:shd w:val="clear" w:color="auto" w:fill="auto"/>
            <w:tcMar>
              <w:top w:w="15" w:type="dxa"/>
              <w:left w:w="108" w:type="dxa"/>
              <w:bottom w:w="0" w:type="dxa"/>
              <w:right w:w="108" w:type="dxa"/>
            </w:tcMar>
            <w:vAlign w:val="center"/>
            <w:hideMark/>
          </w:tcPr>
          <w:p w14:paraId="29C97805" w14:textId="77777777" w:rsidR="0095572F" w:rsidRPr="002F2A84" w:rsidRDefault="0095572F" w:rsidP="00574CC2">
            <w:pPr>
              <w:rPr>
                <w:sz w:val="20"/>
                <w:lang w:val="en-GB"/>
              </w:rPr>
            </w:pPr>
            <w:r w:rsidRPr="002F2A84">
              <w:rPr>
                <w:sz w:val="20"/>
                <w:lang w:val="en-GB"/>
              </w:rPr>
              <w:t>1.9%</w:t>
            </w:r>
          </w:p>
        </w:tc>
        <w:tc>
          <w:tcPr>
            <w:tcW w:w="1560" w:type="dxa"/>
            <w:tcBorders>
              <w:top w:val="nil"/>
              <w:left w:val="nil"/>
              <w:bottom w:val="nil"/>
            </w:tcBorders>
            <w:shd w:val="clear" w:color="auto" w:fill="auto"/>
            <w:tcMar>
              <w:top w:w="15" w:type="dxa"/>
              <w:left w:w="108" w:type="dxa"/>
              <w:bottom w:w="0" w:type="dxa"/>
              <w:right w:w="108" w:type="dxa"/>
            </w:tcMar>
            <w:vAlign w:val="center"/>
            <w:hideMark/>
          </w:tcPr>
          <w:p w14:paraId="310E2F2F" w14:textId="77777777" w:rsidR="0095572F" w:rsidRPr="002F2A84" w:rsidRDefault="0095572F" w:rsidP="00574CC2">
            <w:pPr>
              <w:rPr>
                <w:sz w:val="20"/>
                <w:lang w:val="en-GB"/>
              </w:rPr>
            </w:pPr>
            <w:r w:rsidRPr="002F2A84">
              <w:rPr>
                <w:sz w:val="20"/>
                <w:lang w:val="en-GB"/>
              </w:rPr>
              <w:t>86.1%</w:t>
            </w:r>
          </w:p>
        </w:tc>
        <w:tc>
          <w:tcPr>
            <w:tcW w:w="2693" w:type="dxa"/>
            <w:vMerge w:val="restart"/>
            <w:tcBorders>
              <w:top w:val="nil"/>
              <w:bottom w:val="nil"/>
              <w:right w:val="nil"/>
            </w:tcBorders>
            <w:shd w:val="clear" w:color="auto" w:fill="auto"/>
            <w:tcMar>
              <w:top w:w="15" w:type="dxa"/>
              <w:left w:w="108" w:type="dxa"/>
              <w:bottom w:w="0" w:type="dxa"/>
              <w:right w:w="108" w:type="dxa"/>
            </w:tcMar>
            <w:vAlign w:val="center"/>
            <w:hideMark/>
          </w:tcPr>
          <w:p w14:paraId="0834EFF9" w14:textId="77777777" w:rsidR="0095572F" w:rsidRPr="002F2A84" w:rsidRDefault="0095572F" w:rsidP="00574CC2">
            <w:pPr>
              <w:rPr>
                <w:sz w:val="20"/>
                <w:lang w:val="en-GB"/>
              </w:rPr>
            </w:pPr>
            <w:r w:rsidRPr="002F2A84">
              <w:rPr>
                <w:sz w:val="20"/>
                <w:lang w:val="en-GB"/>
              </w:rPr>
              <w:t>81.0%</w:t>
            </w:r>
          </w:p>
        </w:tc>
      </w:tr>
      <w:tr w:rsidR="0095572F" w:rsidRPr="00D86F5F" w14:paraId="00D13AEE" w14:textId="77777777" w:rsidTr="00574CC2">
        <w:trPr>
          <w:trHeight w:val="287"/>
        </w:trPr>
        <w:tc>
          <w:tcPr>
            <w:tcW w:w="2410" w:type="dxa"/>
            <w:tcBorders>
              <w:top w:val="nil"/>
              <w:left w:val="nil"/>
              <w:bottom w:val="nil"/>
              <w:right w:val="nil"/>
            </w:tcBorders>
            <w:shd w:val="clear" w:color="auto" w:fill="auto"/>
            <w:tcMar>
              <w:top w:w="15" w:type="dxa"/>
              <w:left w:w="108" w:type="dxa"/>
              <w:bottom w:w="0" w:type="dxa"/>
              <w:right w:w="108" w:type="dxa"/>
            </w:tcMar>
            <w:vAlign w:val="center"/>
            <w:hideMark/>
          </w:tcPr>
          <w:p w14:paraId="42E11D31" w14:textId="77777777" w:rsidR="0095572F" w:rsidRPr="002F2A84" w:rsidRDefault="0095572F" w:rsidP="00574CC2">
            <w:pPr>
              <w:rPr>
                <w:sz w:val="20"/>
                <w:lang w:val="en-GB"/>
              </w:rPr>
            </w:pPr>
            <w:r w:rsidRPr="002F2A84">
              <w:rPr>
                <w:sz w:val="20"/>
                <w:lang w:val="en-GB"/>
              </w:rPr>
              <w:t>III (high risk-sensitised)</w:t>
            </w:r>
          </w:p>
        </w:tc>
        <w:tc>
          <w:tcPr>
            <w:tcW w:w="851" w:type="dxa"/>
            <w:tcBorders>
              <w:top w:val="nil"/>
              <w:left w:val="nil"/>
              <w:bottom w:val="nil"/>
              <w:right w:val="nil"/>
            </w:tcBorders>
            <w:shd w:val="clear" w:color="auto" w:fill="auto"/>
            <w:tcMar>
              <w:top w:w="15" w:type="dxa"/>
              <w:left w:w="108" w:type="dxa"/>
              <w:bottom w:w="0" w:type="dxa"/>
              <w:right w:w="108" w:type="dxa"/>
            </w:tcMar>
            <w:vAlign w:val="center"/>
            <w:hideMark/>
          </w:tcPr>
          <w:p w14:paraId="5129ADC0" w14:textId="77777777" w:rsidR="0095572F" w:rsidRPr="002F2A84" w:rsidRDefault="0095572F" w:rsidP="00574CC2">
            <w:pPr>
              <w:rPr>
                <w:sz w:val="20"/>
                <w:lang w:val="en-GB"/>
              </w:rPr>
            </w:pPr>
            <w:r w:rsidRPr="002F2A84">
              <w:rPr>
                <w:sz w:val="20"/>
                <w:lang w:val="en-GB"/>
              </w:rPr>
              <w:t>98</w:t>
            </w:r>
          </w:p>
        </w:tc>
        <w:tc>
          <w:tcPr>
            <w:tcW w:w="2976" w:type="dxa"/>
            <w:tcBorders>
              <w:top w:val="nil"/>
              <w:left w:val="nil"/>
              <w:bottom w:val="nil"/>
              <w:right w:val="nil"/>
            </w:tcBorders>
            <w:shd w:val="clear" w:color="auto" w:fill="auto"/>
            <w:tcMar>
              <w:top w:w="15" w:type="dxa"/>
              <w:left w:w="108" w:type="dxa"/>
              <w:bottom w:w="0" w:type="dxa"/>
              <w:right w:w="108" w:type="dxa"/>
            </w:tcMar>
            <w:vAlign w:val="center"/>
            <w:hideMark/>
          </w:tcPr>
          <w:p w14:paraId="46FB8D7E" w14:textId="77777777" w:rsidR="0095572F" w:rsidRPr="002F2A84" w:rsidRDefault="0095572F" w:rsidP="00574CC2">
            <w:pPr>
              <w:rPr>
                <w:sz w:val="20"/>
                <w:lang w:val="en-GB"/>
              </w:rPr>
            </w:pPr>
            <w:r w:rsidRPr="002F2A84">
              <w:rPr>
                <w:sz w:val="20"/>
                <w:lang w:val="en-GB"/>
              </w:rPr>
              <w:t>35.3%</w:t>
            </w:r>
          </w:p>
        </w:tc>
        <w:tc>
          <w:tcPr>
            <w:tcW w:w="3402" w:type="dxa"/>
            <w:tcBorders>
              <w:top w:val="nil"/>
              <w:left w:val="nil"/>
              <w:bottom w:val="nil"/>
              <w:right w:val="nil"/>
            </w:tcBorders>
            <w:shd w:val="clear" w:color="auto" w:fill="auto"/>
            <w:tcMar>
              <w:top w:w="15" w:type="dxa"/>
              <w:left w:w="108" w:type="dxa"/>
              <w:bottom w:w="0" w:type="dxa"/>
              <w:right w:w="108" w:type="dxa"/>
            </w:tcMar>
            <w:vAlign w:val="center"/>
            <w:hideMark/>
          </w:tcPr>
          <w:p w14:paraId="3B700672" w14:textId="77777777" w:rsidR="0095572F" w:rsidRPr="002F2A84" w:rsidRDefault="0095572F" w:rsidP="00574CC2">
            <w:pPr>
              <w:rPr>
                <w:sz w:val="20"/>
                <w:lang w:val="en-GB"/>
              </w:rPr>
            </w:pPr>
            <w:r w:rsidRPr="002F2A84">
              <w:rPr>
                <w:sz w:val="20"/>
                <w:lang w:val="en-GB"/>
              </w:rPr>
              <w:t>10.6%</w:t>
            </w:r>
          </w:p>
        </w:tc>
        <w:tc>
          <w:tcPr>
            <w:tcW w:w="1560" w:type="dxa"/>
            <w:tcBorders>
              <w:top w:val="nil"/>
              <w:left w:val="nil"/>
              <w:bottom w:val="nil"/>
            </w:tcBorders>
            <w:shd w:val="clear" w:color="auto" w:fill="auto"/>
            <w:tcMar>
              <w:top w:w="15" w:type="dxa"/>
              <w:left w:w="108" w:type="dxa"/>
              <w:bottom w:w="0" w:type="dxa"/>
              <w:right w:w="108" w:type="dxa"/>
            </w:tcMar>
            <w:vAlign w:val="center"/>
            <w:hideMark/>
          </w:tcPr>
          <w:p w14:paraId="53B41DED" w14:textId="77777777" w:rsidR="0095572F" w:rsidRPr="002F2A84" w:rsidRDefault="0095572F" w:rsidP="00574CC2">
            <w:pPr>
              <w:rPr>
                <w:sz w:val="20"/>
                <w:lang w:val="en-GB"/>
              </w:rPr>
            </w:pPr>
            <w:r w:rsidRPr="002F2A84">
              <w:rPr>
                <w:noProof/>
                <w:sz w:val="20"/>
                <w:lang w:val="en-GB" w:eastAsia="en-GB"/>
              </w:rPr>
              <mc:AlternateContent>
                <mc:Choice Requires="wps">
                  <w:drawing>
                    <wp:anchor distT="0" distB="0" distL="114300" distR="114300" simplePos="0" relativeHeight="251659264" behindDoc="0" locked="0" layoutInCell="1" allowOverlap="1" wp14:anchorId="0399BCF0" wp14:editId="3BF1FFBB">
                      <wp:simplePos x="0" y="0"/>
                      <wp:positionH relativeFrom="column">
                        <wp:posOffset>823595</wp:posOffset>
                      </wp:positionH>
                      <wp:positionV relativeFrom="paragraph">
                        <wp:posOffset>-153670</wp:posOffset>
                      </wp:positionV>
                      <wp:extent cx="46355" cy="269875"/>
                      <wp:effectExtent l="0" t="0" r="10795" b="15875"/>
                      <wp:wrapNone/>
                      <wp:docPr id="2" name="Right Bracket 2"/>
                      <wp:cNvGraphicFramePr/>
                      <a:graphic xmlns:a="http://schemas.openxmlformats.org/drawingml/2006/main">
                        <a:graphicData uri="http://schemas.microsoft.com/office/word/2010/wordprocessingShape">
                          <wps:wsp>
                            <wps:cNvSpPr/>
                            <wps:spPr>
                              <a:xfrm>
                                <a:off x="0" y="0"/>
                                <a:ext cx="46355" cy="26987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ADBE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 o:spid="_x0000_s1026" type="#_x0000_t86" style="position:absolute;margin-left:64.85pt;margin-top:-12.1pt;width:3.6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" adj="309" strokecolor="black [3213]" strokeweight="1pt">
                      <v:stroke joinstyle="miter"/>
                    </v:shape>
                  </w:pict>
                </mc:Fallback>
              </mc:AlternateContent>
            </w:r>
            <w:r w:rsidRPr="002F2A84">
              <w:rPr>
                <w:sz w:val="20"/>
                <w:lang w:val="en-GB"/>
              </w:rPr>
              <w:t>70.0%</w:t>
            </w:r>
          </w:p>
        </w:tc>
        <w:tc>
          <w:tcPr>
            <w:tcW w:w="2693" w:type="dxa"/>
            <w:vMerge/>
            <w:tcBorders>
              <w:top w:val="nil"/>
              <w:bottom w:val="nil"/>
              <w:right w:val="nil"/>
            </w:tcBorders>
            <w:vAlign w:val="center"/>
            <w:hideMark/>
          </w:tcPr>
          <w:p w14:paraId="3FECF71F" w14:textId="77777777" w:rsidR="0095572F" w:rsidRPr="002F2A84" w:rsidRDefault="0095572F" w:rsidP="00574CC2">
            <w:pPr>
              <w:rPr>
                <w:sz w:val="20"/>
                <w:lang w:val="en-GB"/>
              </w:rPr>
            </w:pPr>
          </w:p>
        </w:tc>
      </w:tr>
      <w:tr w:rsidR="0095572F" w:rsidRPr="00D86F5F" w14:paraId="6975F484" w14:textId="77777777" w:rsidTr="00574CC2">
        <w:trPr>
          <w:trHeight w:val="287"/>
        </w:trPr>
        <w:tc>
          <w:tcPr>
            <w:tcW w:w="2410" w:type="dxa"/>
            <w:tcBorders>
              <w:top w:val="nil"/>
              <w:left w:val="nil"/>
              <w:bottom w:val="nil"/>
              <w:right w:val="nil"/>
            </w:tcBorders>
            <w:shd w:val="clear" w:color="auto" w:fill="auto"/>
            <w:tcMar>
              <w:top w:w="15" w:type="dxa"/>
              <w:left w:w="108" w:type="dxa"/>
              <w:bottom w:w="0" w:type="dxa"/>
              <w:right w:w="108" w:type="dxa"/>
            </w:tcMar>
            <w:vAlign w:val="center"/>
            <w:hideMark/>
          </w:tcPr>
          <w:p w14:paraId="75CE67B1" w14:textId="77777777" w:rsidR="0095572F" w:rsidRPr="002F2A84" w:rsidRDefault="0095572F" w:rsidP="00574CC2">
            <w:pPr>
              <w:rPr>
                <w:sz w:val="20"/>
                <w:lang w:val="en-GB"/>
              </w:rPr>
            </w:pPr>
            <w:r w:rsidRPr="002F2A84">
              <w:rPr>
                <w:sz w:val="20"/>
                <w:lang w:val="en-GB"/>
              </w:rPr>
              <w:t>IV (likely peanut allergic)</w:t>
            </w:r>
          </w:p>
        </w:tc>
        <w:tc>
          <w:tcPr>
            <w:tcW w:w="851" w:type="dxa"/>
            <w:tcBorders>
              <w:top w:val="nil"/>
              <w:left w:val="nil"/>
              <w:bottom w:val="nil"/>
              <w:right w:val="nil"/>
            </w:tcBorders>
            <w:shd w:val="clear" w:color="auto" w:fill="auto"/>
            <w:tcMar>
              <w:top w:w="15" w:type="dxa"/>
              <w:left w:w="108" w:type="dxa"/>
              <w:bottom w:w="0" w:type="dxa"/>
              <w:right w:w="108" w:type="dxa"/>
            </w:tcMar>
            <w:vAlign w:val="center"/>
            <w:hideMark/>
          </w:tcPr>
          <w:p w14:paraId="0A6CEA17" w14:textId="77777777" w:rsidR="0095572F" w:rsidRPr="002F2A84" w:rsidRDefault="0095572F" w:rsidP="00574CC2">
            <w:pPr>
              <w:rPr>
                <w:sz w:val="20"/>
                <w:lang w:val="en-GB"/>
              </w:rPr>
            </w:pPr>
            <w:r w:rsidRPr="002F2A84">
              <w:rPr>
                <w:sz w:val="20"/>
                <w:lang w:val="en-GB"/>
              </w:rPr>
              <w:t>76</w:t>
            </w:r>
          </w:p>
        </w:tc>
        <w:tc>
          <w:tcPr>
            <w:tcW w:w="2976" w:type="dxa"/>
            <w:tcBorders>
              <w:top w:val="nil"/>
              <w:left w:val="nil"/>
              <w:bottom w:val="nil"/>
              <w:right w:val="nil"/>
            </w:tcBorders>
            <w:shd w:val="clear" w:color="auto" w:fill="auto"/>
            <w:tcMar>
              <w:top w:w="15" w:type="dxa"/>
              <w:left w:w="108" w:type="dxa"/>
              <w:bottom w:w="0" w:type="dxa"/>
              <w:right w:w="108" w:type="dxa"/>
            </w:tcMar>
            <w:vAlign w:val="center"/>
            <w:hideMark/>
          </w:tcPr>
          <w:p w14:paraId="0F5D2BE1" w14:textId="77777777" w:rsidR="0095572F" w:rsidRPr="002F2A84" w:rsidRDefault="0095572F" w:rsidP="00574CC2">
            <w:pPr>
              <w:rPr>
                <w:sz w:val="20"/>
                <w:lang w:val="en-GB"/>
              </w:rPr>
            </w:pPr>
            <w:r w:rsidRPr="002F2A84">
              <w:rPr>
                <w:sz w:val="20"/>
                <w:lang w:val="en-GB"/>
              </w:rPr>
              <w:t>81.4%</w:t>
            </w:r>
          </w:p>
        </w:tc>
        <w:tc>
          <w:tcPr>
            <w:tcW w:w="3402" w:type="dxa"/>
            <w:tcBorders>
              <w:top w:val="nil"/>
              <w:left w:val="nil"/>
              <w:bottom w:val="nil"/>
              <w:right w:val="nil"/>
            </w:tcBorders>
            <w:shd w:val="clear" w:color="auto" w:fill="auto"/>
            <w:tcMar>
              <w:top w:w="15" w:type="dxa"/>
              <w:left w:w="108" w:type="dxa"/>
              <w:bottom w:w="0" w:type="dxa"/>
              <w:right w:w="108" w:type="dxa"/>
            </w:tcMar>
            <w:vAlign w:val="center"/>
            <w:hideMark/>
          </w:tcPr>
          <w:p w14:paraId="04692112" w14:textId="77777777" w:rsidR="0095572F" w:rsidRPr="002F2A84" w:rsidRDefault="0095572F" w:rsidP="00574CC2">
            <w:pPr>
              <w:rPr>
                <w:sz w:val="20"/>
                <w:lang w:val="en-GB"/>
              </w:rPr>
            </w:pPr>
            <w:r w:rsidRPr="002F2A84">
              <w:rPr>
                <w:sz w:val="20"/>
                <w:lang w:val="en-GB"/>
              </w:rPr>
              <w:t>NA</w:t>
            </w:r>
          </w:p>
        </w:tc>
        <w:tc>
          <w:tcPr>
            <w:tcW w:w="1560" w:type="dxa"/>
            <w:tcBorders>
              <w:top w:val="nil"/>
              <w:left w:val="nil"/>
              <w:bottom w:val="nil"/>
              <w:right w:val="nil"/>
            </w:tcBorders>
            <w:shd w:val="clear" w:color="auto" w:fill="auto"/>
            <w:tcMar>
              <w:top w:w="15" w:type="dxa"/>
              <w:left w:w="108" w:type="dxa"/>
              <w:bottom w:w="0" w:type="dxa"/>
              <w:right w:w="108" w:type="dxa"/>
            </w:tcMar>
            <w:vAlign w:val="center"/>
            <w:hideMark/>
          </w:tcPr>
          <w:p w14:paraId="50266A35" w14:textId="77777777" w:rsidR="0095572F" w:rsidRPr="002F2A84" w:rsidRDefault="0095572F" w:rsidP="00574CC2">
            <w:pPr>
              <w:rPr>
                <w:sz w:val="20"/>
                <w:lang w:val="en-GB"/>
              </w:rPr>
            </w:pPr>
            <w:r w:rsidRPr="002F2A84">
              <w:rPr>
                <w:sz w:val="20"/>
                <w:lang w:val="en-GB"/>
              </w:rPr>
              <w:t>NA***</w:t>
            </w:r>
          </w:p>
        </w:tc>
        <w:tc>
          <w:tcPr>
            <w:tcW w:w="2693" w:type="dxa"/>
            <w:tcBorders>
              <w:top w:val="nil"/>
              <w:left w:val="nil"/>
              <w:bottom w:val="nil"/>
              <w:right w:val="nil"/>
            </w:tcBorders>
            <w:shd w:val="clear" w:color="auto" w:fill="auto"/>
            <w:tcMar>
              <w:top w:w="15" w:type="dxa"/>
              <w:left w:w="108" w:type="dxa"/>
              <w:bottom w:w="0" w:type="dxa"/>
              <w:right w:w="108" w:type="dxa"/>
            </w:tcMar>
            <w:hideMark/>
          </w:tcPr>
          <w:p w14:paraId="6CC555B5" w14:textId="77777777" w:rsidR="0095572F" w:rsidRPr="002F2A84" w:rsidRDefault="0095572F" w:rsidP="00574CC2">
            <w:pPr>
              <w:rPr>
                <w:sz w:val="20"/>
                <w:lang w:val="en-GB"/>
              </w:rPr>
            </w:pPr>
            <w:r w:rsidRPr="002F2A84">
              <w:rPr>
                <w:sz w:val="20"/>
                <w:lang w:val="en-GB"/>
              </w:rPr>
              <w:t> </w:t>
            </w:r>
          </w:p>
        </w:tc>
      </w:tr>
      <w:tr w:rsidR="0095572F" w:rsidRPr="00D86F5F" w14:paraId="0D5AD984" w14:textId="77777777" w:rsidTr="00574CC2">
        <w:trPr>
          <w:trHeight w:val="287"/>
        </w:trPr>
        <w:tc>
          <w:tcPr>
            <w:tcW w:w="2410"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6D325E37" w14:textId="77777777" w:rsidR="0095572F" w:rsidRPr="002F2A84" w:rsidRDefault="0095572F" w:rsidP="00574CC2">
            <w:pPr>
              <w:rPr>
                <w:sz w:val="20"/>
                <w:lang w:val="en-GB"/>
              </w:rPr>
            </w:pPr>
            <w:r w:rsidRPr="002F2A84">
              <w:rPr>
                <w:sz w:val="20"/>
                <w:lang w:val="en-GB"/>
              </w:rPr>
              <w:t>All groups</w:t>
            </w:r>
          </w:p>
        </w:tc>
        <w:tc>
          <w:tcPr>
            <w:tcW w:w="851"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40556442" w14:textId="77777777" w:rsidR="0095572F" w:rsidRPr="002F2A84" w:rsidRDefault="0095572F" w:rsidP="00574CC2">
            <w:pPr>
              <w:rPr>
                <w:sz w:val="20"/>
                <w:lang w:val="en-GB"/>
              </w:rPr>
            </w:pPr>
            <w:r w:rsidRPr="002F2A84">
              <w:rPr>
                <w:sz w:val="20"/>
                <w:lang w:val="en-GB"/>
              </w:rPr>
              <w:t>834</w:t>
            </w:r>
          </w:p>
        </w:tc>
        <w:tc>
          <w:tcPr>
            <w:tcW w:w="2976"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26F4109E" w14:textId="77777777" w:rsidR="0095572F" w:rsidRPr="002F2A84" w:rsidRDefault="0095572F" w:rsidP="00574CC2">
            <w:pPr>
              <w:rPr>
                <w:sz w:val="20"/>
                <w:lang w:val="en-GB"/>
              </w:rPr>
            </w:pPr>
            <w:r w:rsidRPr="002F2A84">
              <w:rPr>
                <w:sz w:val="20"/>
                <w:lang w:val="en-GB"/>
              </w:rPr>
              <w:t>20.4%</w:t>
            </w:r>
          </w:p>
        </w:tc>
        <w:tc>
          <w:tcPr>
            <w:tcW w:w="3402"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7C2E52AA" w14:textId="77777777" w:rsidR="0095572F" w:rsidRPr="002F2A84" w:rsidRDefault="0095572F" w:rsidP="00574CC2">
            <w:pPr>
              <w:rPr>
                <w:sz w:val="20"/>
                <w:lang w:val="en-GB"/>
              </w:rPr>
            </w:pPr>
          </w:p>
        </w:tc>
        <w:tc>
          <w:tcPr>
            <w:tcW w:w="4253" w:type="dxa"/>
            <w:gridSpan w:val="2"/>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182638B9" w14:textId="77777777" w:rsidR="0095572F" w:rsidRPr="002F2A84" w:rsidRDefault="0095572F" w:rsidP="00574CC2">
            <w:pPr>
              <w:rPr>
                <w:sz w:val="20"/>
                <w:lang w:val="en-GB"/>
              </w:rPr>
            </w:pPr>
          </w:p>
        </w:tc>
      </w:tr>
    </w:tbl>
    <w:p w14:paraId="71575B4A" w14:textId="77777777" w:rsidR="0095572F" w:rsidRDefault="0095572F" w:rsidP="0095572F"/>
    <w:p w14:paraId="3F562AE2" w14:textId="77777777" w:rsidR="0095572F" w:rsidRPr="008A4B3B" w:rsidRDefault="0095572F" w:rsidP="009F5BD4">
      <w:pPr>
        <w:pStyle w:val="NormalWeb"/>
        <w:spacing w:before="0" w:beforeAutospacing="0" w:after="0" w:afterAutospacing="0" w:line="360" w:lineRule="auto"/>
        <w:rPr>
          <w:sz w:val="18"/>
        </w:rPr>
      </w:pPr>
      <w:r w:rsidRPr="008A4B3B">
        <w:rPr>
          <w:rFonts w:eastAsiaTheme="minorEastAsia"/>
          <w:b/>
          <w:bCs/>
          <w:color w:val="000000" w:themeColor="text1"/>
          <w:kern w:val="24"/>
          <w:sz w:val="20"/>
          <w:szCs w:val="28"/>
        </w:rPr>
        <w:t xml:space="preserve">Table 1. Impact of early peanut </w:t>
      </w:r>
      <w:r>
        <w:rPr>
          <w:rFonts w:eastAsiaTheme="minorEastAsia"/>
          <w:b/>
          <w:bCs/>
          <w:color w:val="000000" w:themeColor="text1"/>
          <w:kern w:val="24"/>
          <w:sz w:val="20"/>
          <w:szCs w:val="28"/>
        </w:rPr>
        <w:t>introduction</w:t>
      </w:r>
      <w:r w:rsidRPr="008A4B3B">
        <w:rPr>
          <w:rFonts w:eastAsiaTheme="minorEastAsia"/>
          <w:b/>
          <w:bCs/>
          <w:color w:val="000000" w:themeColor="text1"/>
          <w:kern w:val="24"/>
          <w:sz w:val="20"/>
          <w:szCs w:val="28"/>
        </w:rPr>
        <w:t xml:space="preserve"> on allergy in the LEAP screening cohort</w:t>
      </w:r>
    </w:p>
    <w:p w14:paraId="67B7E376" w14:textId="77777777" w:rsidR="0095572F" w:rsidRDefault="0095572F" w:rsidP="009F5BD4">
      <w:pPr>
        <w:pStyle w:val="NormalWeb"/>
        <w:spacing w:before="0" w:beforeAutospacing="0" w:after="0" w:afterAutospacing="0" w:line="360" w:lineRule="auto"/>
        <w:jc w:val="both"/>
        <w:rPr>
          <w:sz w:val="20"/>
          <w:szCs w:val="20"/>
        </w:rPr>
      </w:pPr>
      <w:r w:rsidRPr="008A4B3B">
        <w:rPr>
          <w:rFonts w:eastAsiaTheme="minorEastAsia"/>
          <w:color w:val="000000" w:themeColor="text1"/>
          <w:kern w:val="24"/>
          <w:sz w:val="20"/>
          <w:szCs w:val="28"/>
        </w:rPr>
        <w:t>The LEAP screening cohort includes</w:t>
      </w:r>
      <w:r>
        <w:rPr>
          <w:rFonts w:eastAsiaTheme="minorEastAsia"/>
          <w:color w:val="000000" w:themeColor="text1"/>
          <w:kern w:val="24"/>
          <w:sz w:val="20"/>
          <w:szCs w:val="28"/>
        </w:rPr>
        <w:t xml:space="preserve"> two groups (groups II and III), and two other groups, a</w:t>
      </w:r>
      <w:r w:rsidRPr="008A4B3B">
        <w:rPr>
          <w:rFonts w:eastAsiaTheme="minorEastAsia"/>
          <w:color w:val="000000" w:themeColor="text1"/>
          <w:kern w:val="24"/>
          <w:sz w:val="20"/>
          <w:szCs w:val="28"/>
        </w:rPr>
        <w:t xml:space="preserve"> high</w:t>
      </w:r>
      <w:r>
        <w:rPr>
          <w:rFonts w:eastAsiaTheme="minorEastAsia"/>
          <w:color w:val="000000" w:themeColor="text1"/>
          <w:kern w:val="24"/>
          <w:sz w:val="20"/>
          <w:szCs w:val="28"/>
        </w:rPr>
        <w:t xml:space="preserve"> risk</w:t>
      </w:r>
      <w:r w:rsidRPr="008A4B3B">
        <w:rPr>
          <w:rFonts w:eastAsiaTheme="minorEastAsia"/>
          <w:color w:val="000000" w:themeColor="text1"/>
          <w:kern w:val="24"/>
          <w:sz w:val="20"/>
          <w:szCs w:val="28"/>
        </w:rPr>
        <w:t xml:space="preserve"> and</w:t>
      </w:r>
      <w:r>
        <w:rPr>
          <w:rFonts w:eastAsiaTheme="minorEastAsia"/>
          <w:color w:val="000000" w:themeColor="text1"/>
          <w:kern w:val="24"/>
          <w:sz w:val="20"/>
          <w:szCs w:val="28"/>
        </w:rPr>
        <w:t xml:space="preserve"> a</w:t>
      </w:r>
      <w:r w:rsidRPr="008A4B3B">
        <w:rPr>
          <w:rFonts w:eastAsiaTheme="minorEastAsia"/>
          <w:color w:val="000000" w:themeColor="text1"/>
          <w:kern w:val="24"/>
          <w:sz w:val="20"/>
          <w:szCs w:val="28"/>
        </w:rPr>
        <w:t xml:space="preserve"> low risk groups </w:t>
      </w:r>
      <w:r>
        <w:rPr>
          <w:rFonts w:eastAsiaTheme="minorEastAsia"/>
          <w:color w:val="000000" w:themeColor="text1"/>
          <w:kern w:val="24"/>
          <w:sz w:val="20"/>
          <w:szCs w:val="28"/>
        </w:rPr>
        <w:t>that</w:t>
      </w:r>
      <w:r w:rsidRPr="008A4B3B">
        <w:rPr>
          <w:rFonts w:eastAsiaTheme="minorEastAsia"/>
          <w:color w:val="000000" w:themeColor="text1"/>
          <w:kern w:val="24"/>
          <w:sz w:val="20"/>
          <w:szCs w:val="28"/>
        </w:rPr>
        <w:t xml:space="preserve"> were not included in the </w:t>
      </w:r>
      <w:r>
        <w:rPr>
          <w:rFonts w:eastAsiaTheme="minorEastAsia"/>
          <w:color w:val="000000" w:themeColor="text1"/>
          <w:kern w:val="24"/>
          <w:sz w:val="20"/>
          <w:szCs w:val="28"/>
        </w:rPr>
        <w:t>randomised controlled trial</w:t>
      </w:r>
      <w:r w:rsidRPr="008A4B3B">
        <w:rPr>
          <w:rFonts w:eastAsiaTheme="minorEastAsia"/>
          <w:color w:val="000000" w:themeColor="text1"/>
          <w:kern w:val="24"/>
          <w:sz w:val="20"/>
          <w:szCs w:val="28"/>
        </w:rPr>
        <w:t xml:space="preserve">.  Group IV (n=76) were considered already allergic (peanut SPT &gt;4mm). Group I (n=118) </w:t>
      </w:r>
      <w:r>
        <w:rPr>
          <w:rFonts w:eastAsiaTheme="minorEastAsia"/>
          <w:color w:val="000000" w:themeColor="text1"/>
          <w:kern w:val="24"/>
          <w:sz w:val="20"/>
          <w:szCs w:val="28"/>
        </w:rPr>
        <w:t>had</w:t>
      </w:r>
      <w:r w:rsidRPr="008A4B3B">
        <w:rPr>
          <w:rFonts w:eastAsiaTheme="minorEastAsia"/>
          <w:color w:val="000000" w:themeColor="text1"/>
          <w:kern w:val="24"/>
          <w:sz w:val="20"/>
          <w:szCs w:val="28"/>
        </w:rPr>
        <w:t xml:space="preserve"> mild eczema and no egg allergy</w:t>
      </w:r>
      <w:r>
        <w:rPr>
          <w:rFonts w:eastAsiaTheme="minorEastAsia"/>
          <w:color w:val="000000" w:themeColor="text1"/>
          <w:kern w:val="24"/>
          <w:sz w:val="20"/>
          <w:szCs w:val="28"/>
        </w:rPr>
        <w:t xml:space="preserve">, and </w:t>
      </w:r>
      <w:r w:rsidRPr="008A4B3B">
        <w:rPr>
          <w:rFonts w:eastAsiaTheme="minorEastAsia"/>
          <w:color w:val="000000" w:themeColor="text1"/>
          <w:kern w:val="24"/>
          <w:sz w:val="20"/>
          <w:szCs w:val="28"/>
        </w:rPr>
        <w:t xml:space="preserve">were </w:t>
      </w:r>
      <w:r>
        <w:rPr>
          <w:rFonts w:eastAsiaTheme="minorEastAsia"/>
          <w:color w:val="000000" w:themeColor="text1"/>
          <w:kern w:val="24"/>
          <w:sz w:val="20"/>
          <w:szCs w:val="28"/>
        </w:rPr>
        <w:t xml:space="preserve">considered too low </w:t>
      </w:r>
      <w:r w:rsidRPr="008A4B3B">
        <w:rPr>
          <w:rFonts w:eastAsiaTheme="minorEastAsia"/>
          <w:color w:val="000000" w:themeColor="text1"/>
          <w:kern w:val="24"/>
          <w:sz w:val="20"/>
          <w:szCs w:val="28"/>
        </w:rPr>
        <w:t>risk</w:t>
      </w:r>
      <w:r>
        <w:rPr>
          <w:rFonts w:eastAsiaTheme="minorEastAsia"/>
          <w:color w:val="000000" w:themeColor="text1"/>
          <w:kern w:val="24"/>
          <w:sz w:val="20"/>
          <w:szCs w:val="28"/>
        </w:rPr>
        <w:t xml:space="preserve"> to be entered into the trial</w:t>
      </w:r>
      <w:r w:rsidRPr="008A4B3B">
        <w:rPr>
          <w:rFonts w:eastAsiaTheme="minorEastAsia"/>
          <w:color w:val="000000" w:themeColor="text1"/>
          <w:kern w:val="24"/>
          <w:sz w:val="20"/>
          <w:szCs w:val="28"/>
        </w:rPr>
        <w:t xml:space="preserve">. Groups II and III </w:t>
      </w:r>
      <w:r>
        <w:rPr>
          <w:rFonts w:eastAsiaTheme="minorEastAsia"/>
          <w:color w:val="000000" w:themeColor="text1"/>
          <w:kern w:val="24"/>
          <w:sz w:val="20"/>
          <w:szCs w:val="28"/>
        </w:rPr>
        <w:t xml:space="preserve">were randomized </w:t>
      </w:r>
      <w:r w:rsidRPr="008A4B3B">
        <w:rPr>
          <w:rFonts w:eastAsiaTheme="minorEastAsia"/>
          <w:color w:val="000000" w:themeColor="text1"/>
          <w:kern w:val="24"/>
          <w:sz w:val="20"/>
          <w:szCs w:val="28"/>
        </w:rPr>
        <w:t xml:space="preserve">to early </w:t>
      </w:r>
      <w:r>
        <w:rPr>
          <w:rFonts w:eastAsiaTheme="minorEastAsia"/>
          <w:color w:val="000000" w:themeColor="text1"/>
          <w:kern w:val="24"/>
          <w:sz w:val="20"/>
          <w:szCs w:val="28"/>
        </w:rPr>
        <w:t xml:space="preserve">introduction </w:t>
      </w:r>
      <w:r w:rsidRPr="008A4B3B">
        <w:rPr>
          <w:rFonts w:eastAsiaTheme="minorEastAsia"/>
          <w:color w:val="000000" w:themeColor="text1"/>
          <w:kern w:val="24"/>
          <w:sz w:val="20"/>
          <w:szCs w:val="28"/>
        </w:rPr>
        <w:t>or avoidance of</w:t>
      </w:r>
      <w:r>
        <w:rPr>
          <w:rFonts w:eastAsiaTheme="minorEastAsia"/>
          <w:color w:val="000000" w:themeColor="text1"/>
          <w:kern w:val="24"/>
          <w:sz w:val="20"/>
          <w:szCs w:val="28"/>
        </w:rPr>
        <w:t xml:space="preserve"> peanuts. All groups were assessed for peanut allergy by the same method at 60 months. *Any participants in Group I not assessed at 60 months was </w:t>
      </w:r>
      <w:r w:rsidRPr="007C3D4F">
        <w:rPr>
          <w:rFonts w:eastAsiaTheme="minorEastAsia"/>
          <w:color w:val="000000" w:themeColor="text1"/>
          <w:kern w:val="24"/>
          <w:sz w:val="20"/>
          <w:szCs w:val="28"/>
        </w:rPr>
        <w:t xml:space="preserve">assumed to be not </w:t>
      </w:r>
      <w:r w:rsidRPr="00263DF4">
        <w:rPr>
          <w:rFonts w:eastAsiaTheme="minorEastAsia"/>
          <w:color w:val="000000" w:themeColor="text1"/>
          <w:kern w:val="24"/>
          <w:sz w:val="20"/>
          <w:szCs w:val="28"/>
        </w:rPr>
        <w:t xml:space="preserve">peanut allergic. </w:t>
      </w:r>
      <w:r w:rsidRPr="00263DF4">
        <w:rPr>
          <w:rFonts w:eastAsiaTheme="minorEastAsia"/>
          <w:b/>
          <w:bCs/>
          <w:color w:val="000000" w:themeColor="text1"/>
          <w:kern w:val="24"/>
          <w:sz w:val="20"/>
          <w:szCs w:val="28"/>
        </w:rPr>
        <w:t>*</w:t>
      </w:r>
      <w:r w:rsidRPr="007C3D4F">
        <w:rPr>
          <w:rFonts w:eastAsiaTheme="minorEastAsia"/>
          <w:b/>
          <w:bCs/>
          <w:color w:val="000000" w:themeColor="text1"/>
          <w:kern w:val="24"/>
          <w:sz w:val="20"/>
          <w:szCs w:val="28"/>
        </w:rPr>
        <w:t>*</w:t>
      </w:r>
      <w:r w:rsidRPr="007C3D4F">
        <w:rPr>
          <w:rFonts w:eastAsiaTheme="minorEastAsia"/>
          <w:color w:val="000000" w:themeColor="text1"/>
          <w:kern w:val="24"/>
          <w:sz w:val="20"/>
          <w:szCs w:val="28"/>
        </w:rPr>
        <w:t xml:space="preserve">Intervention not applied. </w:t>
      </w:r>
      <w:r w:rsidRPr="007C3D4F">
        <w:rPr>
          <w:rFonts w:eastAsiaTheme="minorEastAsia"/>
          <w:b/>
          <w:bCs/>
          <w:color w:val="000000" w:themeColor="text1"/>
          <w:kern w:val="24"/>
          <w:sz w:val="20"/>
          <w:szCs w:val="28"/>
        </w:rPr>
        <w:t>***</w:t>
      </w:r>
      <w:r w:rsidRPr="007C3D4F">
        <w:rPr>
          <w:rFonts w:eastAsiaTheme="minorEastAsia"/>
          <w:color w:val="000000" w:themeColor="text1"/>
          <w:kern w:val="24"/>
          <w:sz w:val="20"/>
          <w:szCs w:val="28"/>
        </w:rPr>
        <w:t xml:space="preserve">Intervention not </w:t>
      </w:r>
      <w:r w:rsidRPr="00176305">
        <w:rPr>
          <w:rFonts w:eastAsiaTheme="minorEastAsia"/>
          <w:color w:val="000000" w:themeColor="text1"/>
          <w:kern w:val="24"/>
          <w:sz w:val="20"/>
          <w:szCs w:val="20"/>
        </w:rPr>
        <w:t xml:space="preserve">applicable as </w:t>
      </w:r>
      <w:r w:rsidRPr="009D448C">
        <w:rPr>
          <w:rFonts w:eastAsiaTheme="minorEastAsia"/>
          <w:color w:val="000000" w:themeColor="text1"/>
          <w:kern w:val="24"/>
          <w:sz w:val="20"/>
          <w:szCs w:val="20"/>
        </w:rPr>
        <w:t>assumed to already be allergic.</w:t>
      </w:r>
      <w:r w:rsidRPr="00AE39B5">
        <w:rPr>
          <w:sz w:val="20"/>
          <w:szCs w:val="20"/>
        </w:rPr>
        <w:t xml:space="preserve"> If Groups I and IV had received the intervention (and if we assume complete benefit in Group I and no benefit in Group IV), the reduction in peanut allergy across the LEAP screening cohort (Groups I-IV) would be 52%</w:t>
      </w:r>
      <w:r>
        <w:rPr>
          <w:sz w:val="20"/>
          <w:szCs w:val="20"/>
        </w:rPr>
        <w:t xml:space="preserve"> ([(0.019*542)+(0.106*98)+(1*76)]/[118+542+98+76]/</w:t>
      </w:r>
      <w:r w:rsidRPr="009F43C8">
        <w:rPr>
          <w:sz w:val="20"/>
          <w:szCs w:val="20"/>
        </w:rPr>
        <w:t xml:space="preserve"> </w:t>
      </w:r>
      <w:r>
        <w:rPr>
          <w:sz w:val="20"/>
          <w:szCs w:val="20"/>
        </w:rPr>
        <w:t>[(0.137*542)+(0.353*98)+1.000*76]/[118+542+98+76)])</w:t>
      </w:r>
      <w:r w:rsidRPr="00AE39B5">
        <w:rPr>
          <w:sz w:val="20"/>
          <w:szCs w:val="20"/>
        </w:rPr>
        <w:t>, rather than the 8</w:t>
      </w:r>
      <w:r>
        <w:rPr>
          <w:sz w:val="20"/>
          <w:szCs w:val="20"/>
        </w:rPr>
        <w:t>1</w:t>
      </w:r>
      <w:r w:rsidRPr="00AE39B5">
        <w:rPr>
          <w:sz w:val="20"/>
          <w:szCs w:val="20"/>
        </w:rPr>
        <w:t>% seen in the LEAP trial</w:t>
      </w:r>
      <w:r>
        <w:rPr>
          <w:sz w:val="20"/>
          <w:szCs w:val="20"/>
        </w:rPr>
        <w:t xml:space="preserve">. </w:t>
      </w:r>
    </w:p>
    <w:p w14:paraId="149E0B06" w14:textId="77777777" w:rsidR="0095572F" w:rsidRDefault="0095572F" w:rsidP="0095572F">
      <w:pPr>
        <w:pStyle w:val="NormalWeb"/>
        <w:spacing w:before="0" w:beforeAutospacing="0" w:after="0" w:afterAutospacing="0"/>
        <w:jc w:val="both"/>
        <w:rPr>
          <w:sz w:val="20"/>
          <w:szCs w:val="20"/>
        </w:rPr>
      </w:pPr>
    </w:p>
    <w:p w14:paraId="0E19A0E7" w14:textId="77777777" w:rsidR="0095572F" w:rsidRDefault="0095572F" w:rsidP="0095572F">
      <w:pPr>
        <w:pStyle w:val="NormalWeb"/>
        <w:spacing w:before="0" w:beforeAutospacing="0" w:after="0" w:afterAutospacing="0"/>
        <w:jc w:val="both"/>
        <w:rPr>
          <w:rFonts w:eastAsiaTheme="minorEastAsia"/>
          <w:color w:val="000000" w:themeColor="text1"/>
          <w:kern w:val="24"/>
          <w:sz w:val="20"/>
          <w:szCs w:val="28"/>
        </w:rPr>
        <w:sectPr w:rsidR="0095572F" w:rsidSect="009F5BD4">
          <w:footerReference w:type="default" r:id="rId13"/>
          <w:pgSz w:w="16838" w:h="11906" w:orient="landscape" w:code="9"/>
          <w:pgMar w:top="1440" w:right="1440" w:bottom="1440" w:left="1440" w:header="708" w:footer="708" w:gutter="0"/>
          <w:lnNumType w:countBy="1" w:restart="continuous"/>
          <w:pgNumType w:start="1"/>
          <w:cols w:space="708"/>
          <w:docGrid w:linePitch="360"/>
        </w:sectPr>
      </w:pPr>
    </w:p>
    <w:p w14:paraId="083E687B" w14:textId="77777777" w:rsidR="0095572F" w:rsidRDefault="0095572F" w:rsidP="0095572F">
      <w:pPr>
        <w:pStyle w:val="NormalWeb"/>
        <w:spacing w:before="0" w:beforeAutospacing="0" w:after="0" w:afterAutospacing="0"/>
        <w:jc w:val="both"/>
        <w:rPr>
          <w:rFonts w:eastAsiaTheme="minorEastAsia"/>
          <w:color w:val="000000" w:themeColor="text1"/>
          <w:kern w:val="24"/>
          <w:sz w:val="20"/>
          <w:szCs w:val="28"/>
        </w:rPr>
      </w:pPr>
    </w:p>
    <w:p w14:paraId="5D3AF0C0" w14:textId="77777777" w:rsidR="0095572F" w:rsidRDefault="0095572F" w:rsidP="0095572F">
      <w:pPr>
        <w:pStyle w:val="NormalWeb"/>
        <w:spacing w:before="0" w:beforeAutospacing="0" w:after="0" w:afterAutospacing="0"/>
        <w:rPr>
          <w:rFonts w:eastAsiaTheme="minorEastAsia"/>
          <w:color w:val="000000" w:themeColor="text1"/>
          <w:kern w:val="24"/>
          <w:sz w:val="20"/>
          <w:szCs w:val="28"/>
        </w:rPr>
      </w:pPr>
    </w:p>
    <w:tbl>
      <w:tblPr>
        <w:tblW w:w="13183" w:type="dxa"/>
        <w:tblLook w:val="04A0" w:firstRow="1" w:lastRow="0" w:firstColumn="1" w:lastColumn="0" w:noHBand="0" w:noVBand="1"/>
      </w:tblPr>
      <w:tblGrid>
        <w:gridCol w:w="1843"/>
        <w:gridCol w:w="1843"/>
        <w:gridCol w:w="3685"/>
        <w:gridCol w:w="2268"/>
        <w:gridCol w:w="3544"/>
      </w:tblGrid>
      <w:tr w:rsidR="0095572F" w:rsidRPr="00801C97" w14:paraId="64E1D8BA" w14:textId="77777777" w:rsidTr="00574CC2">
        <w:trPr>
          <w:trHeight w:val="192"/>
        </w:trPr>
        <w:tc>
          <w:tcPr>
            <w:tcW w:w="1843" w:type="dxa"/>
            <w:vMerge w:val="restart"/>
            <w:tcBorders>
              <w:top w:val="single" w:sz="4" w:space="0" w:color="auto"/>
            </w:tcBorders>
            <w:shd w:val="clear" w:color="auto" w:fill="FFFFFF" w:themeFill="background1"/>
            <w:vAlign w:val="bottom"/>
            <w:hideMark/>
          </w:tcPr>
          <w:p w14:paraId="3932ED30" w14:textId="77777777" w:rsidR="0095572F" w:rsidRPr="002F2A84" w:rsidRDefault="0095572F" w:rsidP="00574CC2">
            <w:pPr>
              <w:spacing w:line="240" w:lineRule="auto"/>
              <w:rPr>
                <w:rFonts w:eastAsia="Times New Roman" w:cs="Times New Roman"/>
                <w:b/>
                <w:bCs/>
                <w:sz w:val="18"/>
                <w:szCs w:val="16"/>
                <w:lang w:val="en-GB" w:eastAsia="en-GB"/>
              </w:rPr>
            </w:pPr>
            <w:r w:rsidRPr="002F2A84">
              <w:rPr>
                <w:rFonts w:eastAsia="Times New Roman" w:cs="Times New Roman"/>
                <w:b/>
                <w:bCs/>
                <w:sz w:val="18"/>
                <w:szCs w:val="16"/>
                <w:lang w:val="en-GB" w:eastAsia="en-GB"/>
              </w:rPr>
              <w:t xml:space="preserve">Eczema </w:t>
            </w:r>
            <w:r>
              <w:rPr>
                <w:rFonts w:eastAsia="Times New Roman" w:cs="Times New Roman"/>
                <w:b/>
                <w:bCs/>
                <w:sz w:val="18"/>
                <w:szCs w:val="16"/>
                <w:lang w:val="en-GB" w:eastAsia="en-GB"/>
              </w:rPr>
              <w:t>r</w:t>
            </w:r>
            <w:r w:rsidRPr="002F2A84">
              <w:rPr>
                <w:rFonts w:eastAsia="Times New Roman" w:cs="Times New Roman"/>
                <w:b/>
                <w:bCs/>
                <w:sz w:val="18"/>
                <w:szCs w:val="16"/>
                <w:lang w:val="en-GB" w:eastAsia="en-GB"/>
              </w:rPr>
              <w:t xml:space="preserve">isk </w:t>
            </w:r>
            <w:r>
              <w:rPr>
                <w:rFonts w:eastAsia="Times New Roman" w:cs="Times New Roman"/>
                <w:b/>
                <w:bCs/>
                <w:sz w:val="18"/>
                <w:szCs w:val="16"/>
                <w:lang w:val="en-GB" w:eastAsia="en-GB"/>
              </w:rPr>
              <w:t>g</w:t>
            </w:r>
            <w:r w:rsidRPr="002F2A84">
              <w:rPr>
                <w:rFonts w:eastAsia="Times New Roman" w:cs="Times New Roman"/>
                <w:b/>
                <w:bCs/>
                <w:sz w:val="18"/>
                <w:szCs w:val="16"/>
                <w:lang w:val="en-GB" w:eastAsia="en-GB"/>
              </w:rPr>
              <w:t>roups by SCORAD</w:t>
            </w:r>
          </w:p>
        </w:tc>
        <w:tc>
          <w:tcPr>
            <w:tcW w:w="1843" w:type="dxa"/>
            <w:vMerge w:val="restart"/>
            <w:tcBorders>
              <w:top w:val="single" w:sz="4" w:space="0" w:color="auto"/>
            </w:tcBorders>
            <w:shd w:val="clear" w:color="auto" w:fill="FFFFFF" w:themeFill="background1"/>
            <w:vAlign w:val="bottom"/>
            <w:hideMark/>
          </w:tcPr>
          <w:p w14:paraId="71C21271" w14:textId="77777777" w:rsidR="0095572F" w:rsidRPr="002F2A84" w:rsidRDefault="0095572F" w:rsidP="00574CC2">
            <w:pPr>
              <w:spacing w:line="240" w:lineRule="auto"/>
              <w:rPr>
                <w:rFonts w:eastAsia="Times New Roman" w:cs="Times New Roman"/>
                <w:b/>
                <w:bCs/>
                <w:sz w:val="18"/>
                <w:szCs w:val="16"/>
                <w:lang w:val="en-GB" w:eastAsia="en-GB"/>
              </w:rPr>
            </w:pPr>
            <w:r w:rsidRPr="002F2A84">
              <w:rPr>
                <w:rFonts w:eastAsia="Times New Roman" w:cs="Times New Roman"/>
                <w:b/>
                <w:bCs/>
                <w:sz w:val="18"/>
                <w:szCs w:val="16"/>
                <w:lang w:val="en-GB" w:eastAsia="en-GB"/>
              </w:rPr>
              <w:t xml:space="preserve">Proportion of EAT </w:t>
            </w:r>
            <w:r>
              <w:rPr>
                <w:rFonts w:eastAsia="Times New Roman" w:cs="Times New Roman"/>
                <w:b/>
                <w:bCs/>
                <w:sz w:val="18"/>
                <w:szCs w:val="16"/>
                <w:lang w:val="en-GB" w:eastAsia="en-GB"/>
              </w:rPr>
              <w:t>a</w:t>
            </w:r>
            <w:r w:rsidRPr="002F2A84">
              <w:rPr>
                <w:rFonts w:eastAsia="Times New Roman" w:cs="Times New Roman"/>
                <w:b/>
                <w:bCs/>
                <w:sz w:val="18"/>
                <w:szCs w:val="16"/>
                <w:lang w:val="en-GB" w:eastAsia="en-GB"/>
              </w:rPr>
              <w:t xml:space="preserve">voidance </w:t>
            </w:r>
            <w:r>
              <w:rPr>
                <w:rFonts w:eastAsia="Times New Roman" w:cs="Times New Roman"/>
                <w:b/>
                <w:bCs/>
                <w:sz w:val="18"/>
                <w:szCs w:val="16"/>
                <w:lang w:val="en-GB" w:eastAsia="en-GB"/>
              </w:rPr>
              <w:t>g</w:t>
            </w:r>
            <w:r w:rsidRPr="002F2A84">
              <w:rPr>
                <w:rFonts w:eastAsia="Times New Roman" w:cs="Times New Roman"/>
                <w:b/>
                <w:bCs/>
                <w:sz w:val="18"/>
                <w:szCs w:val="16"/>
                <w:lang w:val="en-GB" w:eastAsia="en-GB"/>
              </w:rPr>
              <w:t>roup</w:t>
            </w:r>
            <w:r>
              <w:rPr>
                <w:rFonts w:eastAsia="Times New Roman" w:cs="Times New Roman"/>
                <w:b/>
                <w:bCs/>
                <w:sz w:val="18"/>
                <w:szCs w:val="16"/>
                <w:lang w:val="en-GB" w:eastAsia="en-GB"/>
              </w:rPr>
              <w:t xml:space="preserve"> (n)</w:t>
            </w:r>
          </w:p>
        </w:tc>
        <w:tc>
          <w:tcPr>
            <w:tcW w:w="5953" w:type="dxa"/>
            <w:gridSpan w:val="2"/>
            <w:tcBorders>
              <w:top w:val="single" w:sz="4" w:space="0" w:color="auto"/>
              <w:bottom w:val="single" w:sz="4" w:space="0" w:color="auto"/>
            </w:tcBorders>
            <w:shd w:val="clear" w:color="auto" w:fill="FFFFFF" w:themeFill="background1"/>
            <w:vAlign w:val="bottom"/>
            <w:hideMark/>
          </w:tcPr>
          <w:p w14:paraId="3D4A683F" w14:textId="77777777" w:rsidR="0095572F" w:rsidRPr="002F2A84" w:rsidRDefault="0095572F" w:rsidP="00574CC2">
            <w:pPr>
              <w:spacing w:line="240" w:lineRule="auto"/>
              <w:rPr>
                <w:rFonts w:eastAsia="Times New Roman" w:cs="Times New Roman"/>
                <w:b/>
                <w:bCs/>
                <w:sz w:val="18"/>
                <w:szCs w:val="16"/>
                <w:lang w:val="en-GB" w:eastAsia="en-GB"/>
              </w:rPr>
            </w:pPr>
            <w:r w:rsidRPr="002F2A84">
              <w:rPr>
                <w:rFonts w:eastAsia="Times New Roman" w:cs="Times New Roman"/>
                <w:b/>
                <w:bCs/>
                <w:sz w:val="18"/>
                <w:szCs w:val="16"/>
                <w:lang w:val="en-GB" w:eastAsia="en-GB"/>
              </w:rPr>
              <w:t xml:space="preserve">Peanut allergy at 36 months </w:t>
            </w:r>
          </w:p>
        </w:tc>
        <w:tc>
          <w:tcPr>
            <w:tcW w:w="3544" w:type="dxa"/>
            <w:vMerge w:val="restart"/>
            <w:tcBorders>
              <w:top w:val="single" w:sz="4" w:space="0" w:color="auto"/>
            </w:tcBorders>
            <w:shd w:val="clear" w:color="auto" w:fill="FFFFFF" w:themeFill="background1"/>
            <w:vAlign w:val="bottom"/>
            <w:hideMark/>
          </w:tcPr>
          <w:p w14:paraId="6A8E01A4" w14:textId="77777777" w:rsidR="0095572F" w:rsidRPr="002F2A84" w:rsidRDefault="0095572F" w:rsidP="00574CC2">
            <w:pPr>
              <w:spacing w:line="240" w:lineRule="auto"/>
              <w:rPr>
                <w:rFonts w:eastAsia="Times New Roman" w:cs="Times New Roman"/>
                <w:b/>
                <w:bCs/>
                <w:sz w:val="18"/>
                <w:szCs w:val="16"/>
                <w:lang w:val="en-GB" w:eastAsia="en-GB"/>
              </w:rPr>
            </w:pPr>
            <w:r w:rsidRPr="002F2A84">
              <w:rPr>
                <w:rFonts w:eastAsia="Times New Roman" w:cs="Times New Roman"/>
                <w:b/>
                <w:bCs/>
                <w:sz w:val="18"/>
                <w:szCs w:val="16"/>
                <w:lang w:val="en-GB" w:eastAsia="en-GB"/>
              </w:rPr>
              <w:t xml:space="preserve">Peanut allergy burden (proportion of total allergy in </w:t>
            </w:r>
            <w:r>
              <w:rPr>
                <w:rFonts w:eastAsia="Times New Roman" w:cs="Times New Roman"/>
                <w:b/>
                <w:bCs/>
                <w:sz w:val="18"/>
                <w:szCs w:val="16"/>
                <w:lang w:val="en-GB" w:eastAsia="en-GB"/>
              </w:rPr>
              <w:t xml:space="preserve">avoidance group by </w:t>
            </w:r>
            <w:r w:rsidRPr="002F2A84">
              <w:rPr>
                <w:rFonts w:eastAsia="Times New Roman" w:cs="Times New Roman"/>
                <w:b/>
                <w:bCs/>
                <w:sz w:val="18"/>
                <w:szCs w:val="16"/>
                <w:lang w:val="en-GB" w:eastAsia="en-GB"/>
              </w:rPr>
              <w:t>strat</w:t>
            </w:r>
            <w:r>
              <w:rPr>
                <w:rFonts w:eastAsia="Times New Roman" w:cs="Times New Roman"/>
                <w:b/>
                <w:bCs/>
                <w:sz w:val="18"/>
                <w:szCs w:val="16"/>
                <w:lang w:val="en-GB" w:eastAsia="en-GB"/>
              </w:rPr>
              <w:t>um</w:t>
            </w:r>
            <w:r w:rsidRPr="002F2A84">
              <w:rPr>
                <w:rFonts w:eastAsia="Times New Roman" w:cs="Times New Roman"/>
                <w:b/>
                <w:bCs/>
                <w:sz w:val="18"/>
                <w:szCs w:val="16"/>
                <w:lang w:val="en-GB" w:eastAsia="en-GB"/>
              </w:rPr>
              <w:t>)</w:t>
            </w:r>
          </w:p>
        </w:tc>
      </w:tr>
      <w:tr w:rsidR="0095572F" w:rsidRPr="00801C97" w14:paraId="3C691A32" w14:textId="77777777" w:rsidTr="00574CC2">
        <w:trPr>
          <w:trHeight w:val="34"/>
        </w:trPr>
        <w:tc>
          <w:tcPr>
            <w:tcW w:w="1843" w:type="dxa"/>
            <w:vMerge/>
            <w:tcBorders>
              <w:bottom w:val="single" w:sz="4" w:space="0" w:color="auto"/>
            </w:tcBorders>
            <w:shd w:val="clear" w:color="auto" w:fill="FFFFFF" w:themeFill="background1"/>
            <w:vAlign w:val="center"/>
            <w:hideMark/>
          </w:tcPr>
          <w:p w14:paraId="474443D7" w14:textId="77777777" w:rsidR="0095572F" w:rsidRPr="002F2A84" w:rsidRDefault="0095572F" w:rsidP="00574CC2">
            <w:pPr>
              <w:spacing w:line="240" w:lineRule="auto"/>
              <w:rPr>
                <w:rFonts w:eastAsia="Times New Roman" w:cs="Times New Roman"/>
                <w:b/>
                <w:bCs/>
                <w:sz w:val="18"/>
                <w:szCs w:val="16"/>
                <w:lang w:val="en-GB" w:eastAsia="en-GB"/>
              </w:rPr>
            </w:pPr>
          </w:p>
        </w:tc>
        <w:tc>
          <w:tcPr>
            <w:tcW w:w="1843" w:type="dxa"/>
            <w:vMerge/>
            <w:tcBorders>
              <w:bottom w:val="single" w:sz="4" w:space="0" w:color="auto"/>
            </w:tcBorders>
            <w:shd w:val="clear" w:color="auto" w:fill="FFFFFF" w:themeFill="background1"/>
            <w:vAlign w:val="center"/>
            <w:hideMark/>
          </w:tcPr>
          <w:p w14:paraId="20EB7B01" w14:textId="77777777" w:rsidR="0095572F" w:rsidRPr="002F2A84" w:rsidRDefault="0095572F" w:rsidP="00574CC2">
            <w:pPr>
              <w:spacing w:line="240" w:lineRule="auto"/>
              <w:rPr>
                <w:rFonts w:eastAsia="Times New Roman" w:cs="Times New Roman"/>
                <w:b/>
                <w:bCs/>
                <w:sz w:val="18"/>
                <w:szCs w:val="16"/>
                <w:lang w:val="en-GB" w:eastAsia="en-GB"/>
              </w:rPr>
            </w:pPr>
          </w:p>
        </w:tc>
        <w:tc>
          <w:tcPr>
            <w:tcW w:w="3685" w:type="dxa"/>
            <w:tcBorders>
              <w:top w:val="single" w:sz="4" w:space="0" w:color="auto"/>
              <w:bottom w:val="single" w:sz="4" w:space="0" w:color="auto"/>
            </w:tcBorders>
            <w:shd w:val="clear" w:color="auto" w:fill="FFFFFF" w:themeFill="background1"/>
            <w:vAlign w:val="bottom"/>
            <w:hideMark/>
          </w:tcPr>
          <w:p w14:paraId="04DA9E6C" w14:textId="77777777" w:rsidR="0095572F" w:rsidRPr="002F2A84" w:rsidRDefault="0095572F" w:rsidP="00574CC2">
            <w:pPr>
              <w:spacing w:line="240" w:lineRule="auto"/>
              <w:rPr>
                <w:rFonts w:eastAsia="Times New Roman" w:cs="Times New Roman"/>
                <w:b/>
                <w:bCs/>
                <w:sz w:val="18"/>
                <w:szCs w:val="16"/>
                <w:lang w:val="en-GB" w:eastAsia="en-GB"/>
              </w:rPr>
            </w:pPr>
            <w:r w:rsidRPr="002F2A84">
              <w:rPr>
                <w:rFonts w:eastAsia="Times New Roman" w:cs="Times New Roman"/>
                <w:b/>
                <w:bCs/>
                <w:sz w:val="18"/>
                <w:szCs w:val="16"/>
                <w:lang w:val="en-GB" w:eastAsia="en-GB"/>
              </w:rPr>
              <w:t>Avoidance group (observed data</w:t>
            </w:r>
            <w:r>
              <w:rPr>
                <w:rFonts w:eastAsia="Times New Roman" w:cs="Times New Roman"/>
                <w:b/>
                <w:bCs/>
                <w:sz w:val="18"/>
                <w:szCs w:val="16"/>
                <w:lang w:val="en-GB" w:eastAsia="en-GB"/>
              </w:rPr>
              <w:t xml:space="preserve"> from EAT</w:t>
            </w:r>
            <w:r w:rsidRPr="002F2A84">
              <w:rPr>
                <w:rFonts w:eastAsia="Times New Roman" w:cs="Times New Roman"/>
                <w:b/>
                <w:bCs/>
                <w:sz w:val="18"/>
                <w:szCs w:val="16"/>
                <w:lang w:val="en-GB" w:eastAsia="en-GB"/>
              </w:rPr>
              <w:t>)</w:t>
            </w:r>
          </w:p>
        </w:tc>
        <w:tc>
          <w:tcPr>
            <w:tcW w:w="2268" w:type="dxa"/>
            <w:tcBorders>
              <w:top w:val="single" w:sz="4" w:space="0" w:color="auto"/>
              <w:bottom w:val="single" w:sz="4" w:space="0" w:color="auto"/>
            </w:tcBorders>
            <w:shd w:val="clear" w:color="auto" w:fill="FFFFFF" w:themeFill="background1"/>
            <w:vAlign w:val="bottom"/>
            <w:hideMark/>
          </w:tcPr>
          <w:p w14:paraId="51FC4C88" w14:textId="77777777" w:rsidR="0095572F" w:rsidRPr="002F2A84" w:rsidRDefault="0095572F" w:rsidP="00574CC2">
            <w:pPr>
              <w:spacing w:line="240" w:lineRule="auto"/>
              <w:rPr>
                <w:rFonts w:eastAsia="Times New Roman" w:cs="Times New Roman"/>
                <w:b/>
                <w:bCs/>
                <w:sz w:val="18"/>
                <w:szCs w:val="16"/>
                <w:lang w:val="en-GB" w:eastAsia="en-GB"/>
              </w:rPr>
            </w:pPr>
            <w:r w:rsidRPr="002F2A84">
              <w:rPr>
                <w:rFonts w:eastAsia="Times New Roman" w:cs="Times New Roman"/>
                <w:b/>
                <w:bCs/>
                <w:sz w:val="18"/>
                <w:szCs w:val="16"/>
                <w:lang w:val="en-GB" w:eastAsia="en-GB"/>
              </w:rPr>
              <w:t xml:space="preserve">Early </w:t>
            </w:r>
            <w:r>
              <w:rPr>
                <w:rFonts w:eastAsia="Times New Roman" w:cs="Times New Roman"/>
                <w:b/>
                <w:bCs/>
                <w:sz w:val="18"/>
                <w:szCs w:val="16"/>
                <w:lang w:val="en-GB" w:eastAsia="en-GB"/>
              </w:rPr>
              <w:t>introduction</w:t>
            </w:r>
            <w:r w:rsidRPr="002F2A84">
              <w:rPr>
                <w:rFonts w:eastAsia="Times New Roman" w:cs="Times New Roman"/>
                <w:b/>
                <w:bCs/>
                <w:sz w:val="18"/>
                <w:szCs w:val="16"/>
                <w:lang w:val="en-GB" w:eastAsia="en-GB"/>
              </w:rPr>
              <w:t xml:space="preserve"> group</w:t>
            </w:r>
          </w:p>
        </w:tc>
        <w:tc>
          <w:tcPr>
            <w:tcW w:w="3544" w:type="dxa"/>
            <w:vMerge/>
            <w:tcBorders>
              <w:bottom w:val="single" w:sz="4" w:space="0" w:color="auto"/>
            </w:tcBorders>
            <w:shd w:val="clear" w:color="auto" w:fill="FFFFFF" w:themeFill="background1"/>
            <w:vAlign w:val="center"/>
            <w:hideMark/>
          </w:tcPr>
          <w:p w14:paraId="5710D931" w14:textId="77777777" w:rsidR="0095572F" w:rsidRPr="002F2A84" w:rsidRDefault="0095572F" w:rsidP="00574CC2">
            <w:pPr>
              <w:spacing w:line="240" w:lineRule="auto"/>
              <w:rPr>
                <w:rFonts w:eastAsia="Times New Roman" w:cs="Times New Roman"/>
                <w:b/>
                <w:bCs/>
                <w:sz w:val="18"/>
                <w:szCs w:val="16"/>
                <w:lang w:val="en-GB" w:eastAsia="en-GB"/>
              </w:rPr>
            </w:pPr>
          </w:p>
        </w:tc>
      </w:tr>
      <w:tr w:rsidR="0095572F" w:rsidRPr="00801C97" w14:paraId="06D5D6A7" w14:textId="77777777" w:rsidTr="00574CC2">
        <w:trPr>
          <w:trHeight w:val="27"/>
        </w:trPr>
        <w:tc>
          <w:tcPr>
            <w:tcW w:w="1843" w:type="dxa"/>
            <w:tcBorders>
              <w:top w:val="single" w:sz="4" w:space="0" w:color="auto"/>
            </w:tcBorders>
            <w:shd w:val="clear" w:color="auto" w:fill="FFFFFF" w:themeFill="background1"/>
            <w:vAlign w:val="center"/>
            <w:hideMark/>
          </w:tcPr>
          <w:p w14:paraId="271ED17F" w14:textId="77777777" w:rsidR="0095572F" w:rsidRPr="002F2A84" w:rsidRDefault="0095572F" w:rsidP="00574CC2">
            <w:pPr>
              <w:spacing w:line="240" w:lineRule="auto"/>
              <w:rPr>
                <w:rFonts w:eastAsia="Times New Roman" w:cs="Times New Roman"/>
                <w:b/>
                <w:bCs/>
                <w:sz w:val="18"/>
                <w:szCs w:val="16"/>
                <w:lang w:val="en-GB" w:eastAsia="en-GB"/>
              </w:rPr>
            </w:pPr>
            <w:r w:rsidRPr="002F2A84">
              <w:rPr>
                <w:rFonts w:eastAsia="Times New Roman" w:cs="Times New Roman"/>
                <w:b/>
                <w:bCs/>
                <w:sz w:val="18"/>
                <w:szCs w:val="16"/>
                <w:lang w:val="en-GB" w:eastAsia="en-GB"/>
              </w:rPr>
              <w:t xml:space="preserve">&gt;40 </w:t>
            </w:r>
          </w:p>
        </w:tc>
        <w:tc>
          <w:tcPr>
            <w:tcW w:w="1843" w:type="dxa"/>
            <w:tcBorders>
              <w:top w:val="single" w:sz="4" w:space="0" w:color="auto"/>
            </w:tcBorders>
            <w:shd w:val="clear" w:color="auto" w:fill="FFFFFF" w:themeFill="background1"/>
            <w:hideMark/>
          </w:tcPr>
          <w:p w14:paraId="6457CD1A" w14:textId="77777777" w:rsidR="0095572F" w:rsidRPr="002F2A84" w:rsidRDefault="0095572F" w:rsidP="00574CC2">
            <w:pPr>
              <w:spacing w:line="240" w:lineRule="auto"/>
              <w:rPr>
                <w:rFonts w:eastAsia="Times New Roman" w:cs="Times New Roman"/>
                <w:sz w:val="18"/>
                <w:szCs w:val="16"/>
                <w:lang w:val="en-GB" w:eastAsia="en-GB"/>
              </w:rPr>
            </w:pPr>
            <w:r w:rsidRPr="002F2A84">
              <w:rPr>
                <w:rFonts w:eastAsia="Times New Roman" w:cs="Times New Roman"/>
                <w:sz w:val="18"/>
                <w:szCs w:val="16"/>
                <w:lang w:val="en-GB" w:eastAsia="en-GB"/>
              </w:rPr>
              <w:t>0.5%</w:t>
            </w:r>
            <w:r>
              <w:rPr>
                <w:rFonts w:eastAsia="Times New Roman" w:cs="Times New Roman"/>
                <w:sz w:val="18"/>
                <w:szCs w:val="16"/>
                <w:lang w:val="en-GB" w:eastAsia="en-GB"/>
              </w:rPr>
              <w:t xml:space="preserve"> (3)</w:t>
            </w:r>
          </w:p>
        </w:tc>
        <w:tc>
          <w:tcPr>
            <w:tcW w:w="3685" w:type="dxa"/>
            <w:tcBorders>
              <w:top w:val="single" w:sz="4" w:space="0" w:color="auto"/>
            </w:tcBorders>
            <w:shd w:val="clear" w:color="auto" w:fill="FFFFFF" w:themeFill="background1"/>
            <w:vAlign w:val="center"/>
            <w:hideMark/>
          </w:tcPr>
          <w:p w14:paraId="176441BA" w14:textId="77777777" w:rsidR="0095572F" w:rsidRPr="002F2A84" w:rsidRDefault="0095572F" w:rsidP="00574CC2">
            <w:pPr>
              <w:spacing w:line="240" w:lineRule="auto"/>
              <w:rPr>
                <w:rFonts w:eastAsia="Times New Roman" w:cs="Times New Roman"/>
                <w:sz w:val="18"/>
                <w:szCs w:val="16"/>
                <w:lang w:val="en-GB" w:eastAsia="en-GB"/>
              </w:rPr>
            </w:pPr>
            <w:r w:rsidRPr="002F2A84">
              <w:rPr>
                <w:rFonts w:eastAsia="Times New Roman" w:cs="Times New Roman"/>
                <w:sz w:val="18"/>
                <w:szCs w:val="16"/>
                <w:lang w:val="en-GB" w:eastAsia="en-GB"/>
              </w:rPr>
              <w:t>33.3%</w:t>
            </w:r>
          </w:p>
        </w:tc>
        <w:tc>
          <w:tcPr>
            <w:tcW w:w="2268" w:type="dxa"/>
            <w:tcBorders>
              <w:top w:val="single" w:sz="4" w:space="0" w:color="auto"/>
            </w:tcBorders>
            <w:shd w:val="clear" w:color="000000" w:fill="FFFFFF"/>
            <w:vAlign w:val="center"/>
            <w:hideMark/>
          </w:tcPr>
          <w:p w14:paraId="7C3A49E5" w14:textId="77777777" w:rsidR="0095572F" w:rsidRPr="002F2A84" w:rsidRDefault="0095572F" w:rsidP="00574CC2">
            <w:pPr>
              <w:spacing w:line="240" w:lineRule="auto"/>
              <w:rPr>
                <w:rFonts w:eastAsia="Times New Roman" w:cs="Times New Roman"/>
                <w:sz w:val="18"/>
                <w:szCs w:val="16"/>
                <w:lang w:val="en-GB" w:eastAsia="en-GB"/>
              </w:rPr>
            </w:pPr>
            <w:r>
              <w:rPr>
                <w:sz w:val="18"/>
                <w:szCs w:val="18"/>
              </w:rPr>
              <w:t>10.32%</w:t>
            </w:r>
          </w:p>
        </w:tc>
        <w:tc>
          <w:tcPr>
            <w:tcW w:w="3544" w:type="dxa"/>
            <w:tcBorders>
              <w:top w:val="single" w:sz="4" w:space="0" w:color="auto"/>
            </w:tcBorders>
            <w:shd w:val="clear" w:color="000000" w:fill="FFFFFF"/>
            <w:vAlign w:val="center"/>
            <w:hideMark/>
          </w:tcPr>
          <w:p w14:paraId="6331C169" w14:textId="77777777" w:rsidR="0095572F" w:rsidRPr="002F2A84" w:rsidRDefault="0095572F" w:rsidP="00574CC2">
            <w:pPr>
              <w:spacing w:line="240" w:lineRule="auto"/>
              <w:rPr>
                <w:rFonts w:eastAsia="Times New Roman" w:cs="Times New Roman"/>
                <w:sz w:val="18"/>
                <w:szCs w:val="16"/>
                <w:lang w:val="en-GB" w:eastAsia="en-GB"/>
              </w:rPr>
            </w:pPr>
            <w:r>
              <w:rPr>
                <w:sz w:val="18"/>
                <w:szCs w:val="18"/>
              </w:rPr>
              <w:t>6.64%</w:t>
            </w:r>
          </w:p>
        </w:tc>
      </w:tr>
      <w:tr w:rsidR="0095572F" w:rsidRPr="00801C97" w14:paraId="1F9F8C61" w14:textId="77777777" w:rsidTr="00574CC2">
        <w:trPr>
          <w:trHeight w:val="47"/>
        </w:trPr>
        <w:tc>
          <w:tcPr>
            <w:tcW w:w="1843" w:type="dxa"/>
            <w:shd w:val="clear" w:color="auto" w:fill="FFFFFF" w:themeFill="background1"/>
            <w:vAlign w:val="center"/>
            <w:hideMark/>
          </w:tcPr>
          <w:p w14:paraId="549881A9" w14:textId="77777777" w:rsidR="0095572F" w:rsidRPr="002F2A84" w:rsidRDefault="0095572F" w:rsidP="00574CC2">
            <w:pPr>
              <w:spacing w:line="240" w:lineRule="auto"/>
              <w:rPr>
                <w:rFonts w:eastAsia="Times New Roman" w:cs="Times New Roman"/>
                <w:b/>
                <w:bCs/>
                <w:sz w:val="18"/>
                <w:szCs w:val="16"/>
                <w:lang w:val="en-GB" w:eastAsia="en-GB"/>
              </w:rPr>
            </w:pPr>
            <w:r w:rsidRPr="002F2A84">
              <w:rPr>
                <w:rFonts w:eastAsia="Times New Roman" w:cs="Times New Roman"/>
                <w:b/>
                <w:bCs/>
                <w:sz w:val="18"/>
                <w:szCs w:val="16"/>
                <w:lang w:val="en-GB" w:eastAsia="en-GB"/>
              </w:rPr>
              <w:t>15-40</w:t>
            </w:r>
          </w:p>
        </w:tc>
        <w:tc>
          <w:tcPr>
            <w:tcW w:w="1843" w:type="dxa"/>
            <w:shd w:val="clear" w:color="auto" w:fill="FFFFFF" w:themeFill="background1"/>
            <w:hideMark/>
          </w:tcPr>
          <w:p w14:paraId="79B304B0" w14:textId="77777777" w:rsidR="0095572F" w:rsidRPr="002F2A84" w:rsidRDefault="0095572F" w:rsidP="00574CC2">
            <w:pPr>
              <w:spacing w:line="240" w:lineRule="auto"/>
              <w:rPr>
                <w:rFonts w:eastAsia="Times New Roman" w:cs="Times New Roman"/>
                <w:sz w:val="18"/>
                <w:szCs w:val="16"/>
                <w:lang w:val="en-GB" w:eastAsia="en-GB"/>
              </w:rPr>
            </w:pPr>
            <w:r w:rsidRPr="002F2A84">
              <w:rPr>
                <w:rFonts w:eastAsia="Times New Roman" w:cs="Times New Roman"/>
                <w:sz w:val="18"/>
                <w:szCs w:val="16"/>
                <w:lang w:val="en-GB" w:eastAsia="en-GB"/>
              </w:rPr>
              <w:t>4.</w:t>
            </w:r>
            <w:r>
              <w:rPr>
                <w:rFonts w:eastAsia="Times New Roman" w:cs="Times New Roman"/>
                <w:sz w:val="18"/>
                <w:szCs w:val="16"/>
                <w:lang w:val="en-GB" w:eastAsia="en-GB"/>
              </w:rPr>
              <w:t>9</w:t>
            </w:r>
            <w:r w:rsidRPr="002F2A84">
              <w:rPr>
                <w:rFonts w:eastAsia="Times New Roman" w:cs="Times New Roman"/>
                <w:sz w:val="18"/>
                <w:szCs w:val="16"/>
                <w:lang w:val="en-GB" w:eastAsia="en-GB"/>
              </w:rPr>
              <w:t>%</w:t>
            </w:r>
            <w:r>
              <w:rPr>
                <w:rFonts w:eastAsia="Times New Roman" w:cs="Times New Roman"/>
                <w:sz w:val="18"/>
                <w:szCs w:val="16"/>
                <w:lang w:val="en-GB" w:eastAsia="en-GB"/>
              </w:rPr>
              <w:t xml:space="preserve"> (29)</w:t>
            </w:r>
          </w:p>
        </w:tc>
        <w:tc>
          <w:tcPr>
            <w:tcW w:w="3685" w:type="dxa"/>
            <w:shd w:val="clear" w:color="auto" w:fill="FFFFFF" w:themeFill="background1"/>
            <w:vAlign w:val="center"/>
            <w:hideMark/>
          </w:tcPr>
          <w:p w14:paraId="63C7BB09" w14:textId="77777777" w:rsidR="0095572F" w:rsidRPr="002F2A84" w:rsidRDefault="0095572F" w:rsidP="00574CC2">
            <w:pPr>
              <w:spacing w:line="240" w:lineRule="auto"/>
              <w:rPr>
                <w:rFonts w:eastAsia="Times New Roman" w:cs="Times New Roman"/>
                <w:sz w:val="18"/>
                <w:szCs w:val="16"/>
                <w:lang w:val="en-GB" w:eastAsia="en-GB"/>
              </w:rPr>
            </w:pPr>
            <w:r w:rsidRPr="002F2A84">
              <w:rPr>
                <w:rFonts w:eastAsia="Times New Roman" w:cs="Times New Roman"/>
                <w:sz w:val="18"/>
                <w:szCs w:val="16"/>
                <w:lang w:val="en-GB" w:eastAsia="en-GB"/>
              </w:rPr>
              <w:t>13.</w:t>
            </w:r>
            <w:r>
              <w:rPr>
                <w:rFonts w:eastAsia="Times New Roman" w:cs="Times New Roman"/>
                <w:sz w:val="18"/>
                <w:szCs w:val="16"/>
                <w:lang w:val="en-GB" w:eastAsia="en-GB"/>
              </w:rPr>
              <w:t>8</w:t>
            </w:r>
            <w:r w:rsidRPr="002F2A84">
              <w:rPr>
                <w:rFonts w:eastAsia="Times New Roman" w:cs="Times New Roman"/>
                <w:sz w:val="18"/>
                <w:szCs w:val="16"/>
                <w:lang w:val="en-GB" w:eastAsia="en-GB"/>
              </w:rPr>
              <w:t>%</w:t>
            </w:r>
          </w:p>
        </w:tc>
        <w:tc>
          <w:tcPr>
            <w:tcW w:w="2268" w:type="dxa"/>
            <w:shd w:val="clear" w:color="000000" w:fill="FFFFFF"/>
            <w:vAlign w:val="center"/>
            <w:hideMark/>
          </w:tcPr>
          <w:p w14:paraId="005F4614" w14:textId="77777777" w:rsidR="0095572F" w:rsidRPr="002F2A84" w:rsidRDefault="0095572F" w:rsidP="00574CC2">
            <w:pPr>
              <w:spacing w:line="240" w:lineRule="auto"/>
              <w:rPr>
                <w:rFonts w:eastAsia="Times New Roman" w:cs="Times New Roman"/>
                <w:sz w:val="18"/>
                <w:szCs w:val="16"/>
                <w:lang w:val="en-GB" w:eastAsia="en-GB"/>
              </w:rPr>
            </w:pPr>
            <w:r>
              <w:rPr>
                <w:sz w:val="18"/>
                <w:szCs w:val="18"/>
              </w:rPr>
              <w:t>0.69%</w:t>
            </w:r>
          </w:p>
        </w:tc>
        <w:tc>
          <w:tcPr>
            <w:tcW w:w="3544" w:type="dxa"/>
            <w:shd w:val="clear" w:color="000000" w:fill="FFFFFF"/>
            <w:vAlign w:val="center"/>
            <w:hideMark/>
          </w:tcPr>
          <w:p w14:paraId="62101FC4" w14:textId="77777777" w:rsidR="0095572F" w:rsidRPr="002F2A84" w:rsidRDefault="0095572F" w:rsidP="00574CC2">
            <w:pPr>
              <w:spacing w:line="240" w:lineRule="auto"/>
              <w:rPr>
                <w:rFonts w:eastAsia="Times New Roman" w:cs="Times New Roman"/>
                <w:sz w:val="18"/>
                <w:szCs w:val="16"/>
                <w:lang w:val="en-GB" w:eastAsia="en-GB"/>
              </w:rPr>
            </w:pPr>
            <w:r>
              <w:rPr>
                <w:sz w:val="18"/>
                <w:szCs w:val="18"/>
              </w:rPr>
              <w:t>25.58%</w:t>
            </w:r>
          </w:p>
        </w:tc>
      </w:tr>
      <w:tr w:rsidR="0095572F" w:rsidRPr="00801C97" w14:paraId="2943E508" w14:textId="77777777" w:rsidTr="00574CC2">
        <w:trPr>
          <w:trHeight w:val="47"/>
        </w:trPr>
        <w:tc>
          <w:tcPr>
            <w:tcW w:w="1843" w:type="dxa"/>
            <w:shd w:val="clear" w:color="auto" w:fill="FFFFFF" w:themeFill="background1"/>
            <w:vAlign w:val="center"/>
            <w:hideMark/>
          </w:tcPr>
          <w:p w14:paraId="46D935DC" w14:textId="77777777" w:rsidR="0095572F" w:rsidRPr="002F2A84" w:rsidRDefault="0095572F" w:rsidP="00574CC2">
            <w:pPr>
              <w:spacing w:line="240" w:lineRule="auto"/>
              <w:rPr>
                <w:rFonts w:eastAsia="Times New Roman" w:cs="Times New Roman"/>
                <w:b/>
                <w:bCs/>
                <w:sz w:val="18"/>
                <w:szCs w:val="16"/>
                <w:lang w:val="en-GB" w:eastAsia="en-GB"/>
              </w:rPr>
            </w:pPr>
            <w:r w:rsidRPr="002F2A84">
              <w:rPr>
                <w:rFonts w:eastAsia="Times New Roman" w:cs="Times New Roman"/>
                <w:b/>
                <w:bCs/>
                <w:sz w:val="18"/>
                <w:szCs w:val="16"/>
                <w:lang w:val="en-GB" w:eastAsia="en-GB"/>
              </w:rPr>
              <w:t>1-14</w:t>
            </w:r>
          </w:p>
        </w:tc>
        <w:tc>
          <w:tcPr>
            <w:tcW w:w="1843" w:type="dxa"/>
            <w:shd w:val="clear" w:color="auto" w:fill="FFFFFF" w:themeFill="background1"/>
            <w:hideMark/>
          </w:tcPr>
          <w:p w14:paraId="15F423D9" w14:textId="77777777" w:rsidR="0095572F" w:rsidRPr="002F2A84" w:rsidRDefault="0095572F" w:rsidP="00574CC2">
            <w:pPr>
              <w:spacing w:line="240" w:lineRule="auto"/>
              <w:rPr>
                <w:rFonts w:eastAsia="Times New Roman" w:cs="Times New Roman"/>
                <w:sz w:val="18"/>
                <w:szCs w:val="16"/>
                <w:lang w:val="en-GB" w:eastAsia="en-GB"/>
              </w:rPr>
            </w:pPr>
            <w:r w:rsidRPr="002F2A84">
              <w:rPr>
                <w:rFonts w:eastAsia="Times New Roman" w:cs="Times New Roman"/>
                <w:sz w:val="18"/>
                <w:szCs w:val="16"/>
                <w:lang w:val="en-GB" w:eastAsia="en-GB"/>
              </w:rPr>
              <w:t>18.</w:t>
            </w:r>
            <w:r>
              <w:rPr>
                <w:rFonts w:eastAsia="Times New Roman" w:cs="Times New Roman"/>
                <w:sz w:val="18"/>
                <w:szCs w:val="16"/>
                <w:lang w:val="en-GB" w:eastAsia="en-GB"/>
              </w:rPr>
              <w:t>5</w:t>
            </w:r>
            <w:r w:rsidRPr="002F2A84">
              <w:rPr>
                <w:rFonts w:eastAsia="Times New Roman" w:cs="Times New Roman"/>
                <w:sz w:val="18"/>
                <w:szCs w:val="16"/>
                <w:lang w:val="en-GB" w:eastAsia="en-GB"/>
              </w:rPr>
              <w:t>%</w:t>
            </w:r>
            <w:r>
              <w:rPr>
                <w:rFonts w:eastAsia="Times New Roman" w:cs="Times New Roman"/>
                <w:sz w:val="18"/>
                <w:szCs w:val="16"/>
                <w:lang w:val="en-GB" w:eastAsia="en-GB"/>
              </w:rPr>
              <w:t xml:space="preserve"> (110)</w:t>
            </w:r>
          </w:p>
        </w:tc>
        <w:tc>
          <w:tcPr>
            <w:tcW w:w="3685" w:type="dxa"/>
            <w:shd w:val="clear" w:color="auto" w:fill="FFFFFF" w:themeFill="background1"/>
            <w:vAlign w:val="center"/>
            <w:hideMark/>
          </w:tcPr>
          <w:p w14:paraId="520FF706" w14:textId="77777777" w:rsidR="0095572F" w:rsidRPr="002F2A84" w:rsidRDefault="0095572F" w:rsidP="00574CC2">
            <w:pPr>
              <w:spacing w:line="240" w:lineRule="auto"/>
              <w:rPr>
                <w:rFonts w:eastAsia="Times New Roman" w:cs="Times New Roman"/>
                <w:sz w:val="18"/>
                <w:szCs w:val="16"/>
                <w:lang w:val="en-GB" w:eastAsia="en-GB"/>
              </w:rPr>
            </w:pPr>
            <w:r w:rsidRPr="002F2A84">
              <w:rPr>
                <w:rFonts w:eastAsia="Times New Roman" w:cs="Times New Roman"/>
                <w:sz w:val="18"/>
                <w:szCs w:val="16"/>
                <w:lang w:val="en-GB" w:eastAsia="en-GB"/>
              </w:rPr>
              <w:t>4.</w:t>
            </w:r>
            <w:r>
              <w:rPr>
                <w:rFonts w:eastAsia="Times New Roman" w:cs="Times New Roman"/>
                <w:sz w:val="18"/>
                <w:szCs w:val="16"/>
                <w:lang w:val="en-GB" w:eastAsia="en-GB"/>
              </w:rPr>
              <w:t>6</w:t>
            </w:r>
            <w:r w:rsidRPr="002F2A84">
              <w:rPr>
                <w:rFonts w:eastAsia="Times New Roman" w:cs="Times New Roman"/>
                <w:sz w:val="18"/>
                <w:szCs w:val="16"/>
                <w:lang w:val="en-GB" w:eastAsia="en-GB"/>
              </w:rPr>
              <w:t>%</w:t>
            </w:r>
          </w:p>
        </w:tc>
        <w:tc>
          <w:tcPr>
            <w:tcW w:w="2268" w:type="dxa"/>
            <w:shd w:val="clear" w:color="000000" w:fill="FFFFFF"/>
            <w:vAlign w:val="center"/>
            <w:hideMark/>
          </w:tcPr>
          <w:p w14:paraId="49848E0D" w14:textId="77777777" w:rsidR="0095572F" w:rsidRPr="002F2A84" w:rsidRDefault="0095572F" w:rsidP="00574CC2">
            <w:pPr>
              <w:spacing w:line="240" w:lineRule="auto"/>
              <w:rPr>
                <w:rFonts w:eastAsia="Times New Roman" w:cs="Times New Roman"/>
                <w:sz w:val="18"/>
                <w:szCs w:val="16"/>
                <w:lang w:val="en-GB" w:eastAsia="en-GB"/>
              </w:rPr>
            </w:pPr>
            <w:r>
              <w:rPr>
                <w:sz w:val="18"/>
                <w:szCs w:val="18"/>
              </w:rPr>
              <w:t>0.55%</w:t>
            </w:r>
          </w:p>
        </w:tc>
        <w:tc>
          <w:tcPr>
            <w:tcW w:w="3544" w:type="dxa"/>
            <w:shd w:val="clear" w:color="000000" w:fill="FFFFFF"/>
            <w:vAlign w:val="center"/>
            <w:hideMark/>
          </w:tcPr>
          <w:p w14:paraId="7D4A5FA3" w14:textId="77777777" w:rsidR="0095572F" w:rsidRPr="002F2A84" w:rsidRDefault="0095572F" w:rsidP="00574CC2">
            <w:pPr>
              <w:spacing w:line="240" w:lineRule="auto"/>
              <w:rPr>
                <w:rFonts w:eastAsia="Times New Roman" w:cs="Times New Roman"/>
                <w:sz w:val="18"/>
                <w:szCs w:val="16"/>
                <w:lang w:val="en-GB" w:eastAsia="en-GB"/>
              </w:rPr>
            </w:pPr>
            <w:r>
              <w:rPr>
                <w:sz w:val="18"/>
                <w:szCs w:val="18"/>
              </w:rPr>
              <w:t>33.61%</w:t>
            </w:r>
          </w:p>
        </w:tc>
      </w:tr>
      <w:tr w:rsidR="0095572F" w:rsidRPr="00801C97" w14:paraId="46779E20" w14:textId="77777777" w:rsidTr="00574CC2">
        <w:trPr>
          <w:trHeight w:val="47"/>
        </w:trPr>
        <w:tc>
          <w:tcPr>
            <w:tcW w:w="1843" w:type="dxa"/>
            <w:shd w:val="clear" w:color="auto" w:fill="FFFFFF" w:themeFill="background1"/>
            <w:vAlign w:val="center"/>
            <w:hideMark/>
          </w:tcPr>
          <w:p w14:paraId="2CB61E47" w14:textId="77777777" w:rsidR="0095572F" w:rsidRPr="002F2A84" w:rsidRDefault="0095572F" w:rsidP="00574CC2">
            <w:pPr>
              <w:spacing w:line="240" w:lineRule="auto"/>
              <w:rPr>
                <w:rFonts w:eastAsia="Times New Roman" w:cs="Times New Roman"/>
                <w:b/>
                <w:bCs/>
                <w:sz w:val="18"/>
                <w:szCs w:val="16"/>
                <w:lang w:val="en-GB" w:eastAsia="en-GB"/>
              </w:rPr>
            </w:pPr>
            <w:r w:rsidRPr="002F2A84">
              <w:rPr>
                <w:rFonts w:eastAsia="Times New Roman" w:cs="Times New Roman"/>
                <w:b/>
                <w:bCs/>
                <w:sz w:val="18"/>
                <w:szCs w:val="16"/>
                <w:lang w:val="en-GB" w:eastAsia="en-GB"/>
              </w:rPr>
              <w:t>0</w:t>
            </w:r>
          </w:p>
        </w:tc>
        <w:tc>
          <w:tcPr>
            <w:tcW w:w="1843" w:type="dxa"/>
            <w:shd w:val="clear" w:color="auto" w:fill="FFFFFF" w:themeFill="background1"/>
            <w:hideMark/>
          </w:tcPr>
          <w:p w14:paraId="61B45060" w14:textId="77777777" w:rsidR="0095572F" w:rsidRPr="002F2A84" w:rsidRDefault="0095572F" w:rsidP="00574CC2">
            <w:pPr>
              <w:spacing w:line="240" w:lineRule="auto"/>
              <w:rPr>
                <w:rFonts w:eastAsia="Times New Roman" w:cs="Times New Roman"/>
                <w:sz w:val="18"/>
                <w:szCs w:val="16"/>
                <w:lang w:val="en-GB" w:eastAsia="en-GB"/>
              </w:rPr>
            </w:pPr>
            <w:r w:rsidRPr="002F2A84">
              <w:rPr>
                <w:rFonts w:eastAsia="Times New Roman" w:cs="Times New Roman"/>
                <w:sz w:val="18"/>
                <w:szCs w:val="16"/>
                <w:lang w:val="en-GB" w:eastAsia="en-GB"/>
              </w:rPr>
              <w:t>76.</w:t>
            </w:r>
            <w:r>
              <w:rPr>
                <w:rFonts w:eastAsia="Times New Roman" w:cs="Times New Roman"/>
                <w:sz w:val="18"/>
                <w:szCs w:val="16"/>
                <w:lang w:val="en-GB" w:eastAsia="en-GB"/>
              </w:rPr>
              <w:t>2</w:t>
            </w:r>
            <w:r w:rsidRPr="002F2A84">
              <w:rPr>
                <w:rFonts w:eastAsia="Times New Roman" w:cs="Times New Roman"/>
                <w:sz w:val="18"/>
                <w:szCs w:val="16"/>
                <w:lang w:val="en-GB" w:eastAsia="en-GB"/>
              </w:rPr>
              <w:t>%</w:t>
            </w:r>
            <w:r>
              <w:rPr>
                <w:rFonts w:eastAsia="Times New Roman" w:cs="Times New Roman"/>
                <w:sz w:val="18"/>
                <w:szCs w:val="16"/>
                <w:lang w:val="en-GB" w:eastAsia="en-GB"/>
              </w:rPr>
              <w:t xml:space="preserve"> (454)</w:t>
            </w:r>
          </w:p>
        </w:tc>
        <w:tc>
          <w:tcPr>
            <w:tcW w:w="3685" w:type="dxa"/>
            <w:shd w:val="clear" w:color="auto" w:fill="FFFFFF" w:themeFill="background1"/>
            <w:vAlign w:val="center"/>
            <w:hideMark/>
          </w:tcPr>
          <w:p w14:paraId="5D7C50C2" w14:textId="77777777" w:rsidR="0095572F" w:rsidRPr="002F2A84" w:rsidRDefault="0095572F" w:rsidP="00574CC2">
            <w:pPr>
              <w:spacing w:line="240" w:lineRule="auto"/>
              <w:rPr>
                <w:rFonts w:eastAsia="Times New Roman" w:cs="Times New Roman"/>
                <w:sz w:val="18"/>
                <w:szCs w:val="16"/>
                <w:lang w:val="en-GB" w:eastAsia="en-GB"/>
              </w:rPr>
            </w:pPr>
            <w:r w:rsidRPr="002F2A84">
              <w:rPr>
                <w:rFonts w:eastAsia="Times New Roman" w:cs="Times New Roman"/>
                <w:sz w:val="18"/>
                <w:szCs w:val="16"/>
                <w:lang w:val="en-GB" w:eastAsia="en-GB"/>
              </w:rPr>
              <w:t>1.1%</w:t>
            </w:r>
          </w:p>
        </w:tc>
        <w:tc>
          <w:tcPr>
            <w:tcW w:w="2268" w:type="dxa"/>
            <w:shd w:val="clear" w:color="000000" w:fill="FFFFFF"/>
            <w:vAlign w:val="center"/>
            <w:hideMark/>
          </w:tcPr>
          <w:p w14:paraId="0533132C" w14:textId="77777777" w:rsidR="0095572F" w:rsidRPr="002F2A84" w:rsidRDefault="0095572F" w:rsidP="00574CC2">
            <w:pPr>
              <w:spacing w:line="240" w:lineRule="auto"/>
              <w:rPr>
                <w:rFonts w:eastAsia="Times New Roman" w:cs="Times New Roman"/>
                <w:sz w:val="18"/>
                <w:szCs w:val="16"/>
                <w:lang w:val="en-GB" w:eastAsia="en-GB"/>
              </w:rPr>
            </w:pPr>
            <w:r>
              <w:rPr>
                <w:sz w:val="18"/>
                <w:szCs w:val="18"/>
              </w:rPr>
              <w:t>0.13%</w:t>
            </w:r>
          </w:p>
        </w:tc>
        <w:tc>
          <w:tcPr>
            <w:tcW w:w="3544" w:type="dxa"/>
            <w:shd w:val="clear" w:color="000000" w:fill="FFFFFF"/>
            <w:vAlign w:val="center"/>
            <w:hideMark/>
          </w:tcPr>
          <w:p w14:paraId="137339A8" w14:textId="77777777" w:rsidR="0095572F" w:rsidRPr="002F2A84" w:rsidRDefault="0095572F" w:rsidP="00574CC2">
            <w:pPr>
              <w:spacing w:line="240" w:lineRule="auto"/>
              <w:rPr>
                <w:rFonts w:eastAsia="Times New Roman" w:cs="Times New Roman"/>
                <w:sz w:val="18"/>
                <w:szCs w:val="16"/>
                <w:lang w:val="en-GB" w:eastAsia="en-GB"/>
              </w:rPr>
            </w:pPr>
            <w:r>
              <w:rPr>
                <w:sz w:val="18"/>
                <w:szCs w:val="18"/>
              </w:rPr>
              <w:t>33.17%</w:t>
            </w:r>
          </w:p>
        </w:tc>
      </w:tr>
      <w:tr w:rsidR="0095572F" w:rsidRPr="00801C97" w14:paraId="45DC5372" w14:textId="77777777" w:rsidTr="00574CC2">
        <w:trPr>
          <w:trHeight w:val="47"/>
        </w:trPr>
        <w:tc>
          <w:tcPr>
            <w:tcW w:w="1843" w:type="dxa"/>
            <w:tcBorders>
              <w:bottom w:val="single" w:sz="4" w:space="0" w:color="auto"/>
            </w:tcBorders>
            <w:shd w:val="clear" w:color="auto" w:fill="FFFFFF" w:themeFill="background1"/>
            <w:vAlign w:val="bottom"/>
            <w:hideMark/>
          </w:tcPr>
          <w:p w14:paraId="75F9FF06" w14:textId="77777777" w:rsidR="0095572F" w:rsidRPr="002F2A84" w:rsidRDefault="0095572F" w:rsidP="00574CC2">
            <w:pPr>
              <w:spacing w:line="240" w:lineRule="auto"/>
              <w:rPr>
                <w:rFonts w:eastAsia="Times New Roman" w:cs="Times New Roman"/>
                <w:b/>
                <w:bCs/>
                <w:sz w:val="18"/>
                <w:szCs w:val="16"/>
                <w:lang w:val="en-GB" w:eastAsia="en-GB"/>
              </w:rPr>
            </w:pPr>
            <w:r w:rsidRPr="002F2A84">
              <w:rPr>
                <w:rFonts w:eastAsia="Times New Roman" w:cs="Times New Roman"/>
                <w:b/>
                <w:bCs/>
                <w:sz w:val="18"/>
                <w:szCs w:val="16"/>
                <w:lang w:val="en-GB" w:eastAsia="en-GB"/>
              </w:rPr>
              <w:t>All</w:t>
            </w:r>
          </w:p>
        </w:tc>
        <w:tc>
          <w:tcPr>
            <w:tcW w:w="1843" w:type="dxa"/>
            <w:tcBorders>
              <w:bottom w:val="single" w:sz="4" w:space="0" w:color="auto"/>
            </w:tcBorders>
            <w:shd w:val="clear" w:color="auto" w:fill="FFFFFF" w:themeFill="background1"/>
            <w:vAlign w:val="bottom"/>
            <w:hideMark/>
          </w:tcPr>
          <w:p w14:paraId="12B97B60" w14:textId="77777777" w:rsidR="0095572F" w:rsidRPr="002F2A84" w:rsidRDefault="0095572F" w:rsidP="00574CC2">
            <w:pPr>
              <w:spacing w:line="240" w:lineRule="auto"/>
              <w:jc w:val="both"/>
              <w:rPr>
                <w:rFonts w:eastAsia="Times New Roman" w:cs="Times New Roman"/>
                <w:sz w:val="18"/>
                <w:szCs w:val="16"/>
                <w:lang w:val="en-GB" w:eastAsia="en-GB"/>
              </w:rPr>
            </w:pPr>
            <w:r w:rsidRPr="002F2A84">
              <w:rPr>
                <w:rFonts w:eastAsia="Times New Roman" w:cs="Times New Roman"/>
                <w:sz w:val="18"/>
                <w:szCs w:val="16"/>
                <w:lang w:val="en-GB" w:eastAsia="en-GB"/>
              </w:rPr>
              <w:t>100%</w:t>
            </w:r>
            <w:r>
              <w:rPr>
                <w:rFonts w:eastAsia="Times New Roman" w:cs="Times New Roman"/>
                <w:sz w:val="18"/>
                <w:szCs w:val="16"/>
                <w:lang w:val="en-GB" w:eastAsia="en-GB"/>
              </w:rPr>
              <w:t xml:space="preserve"> (596)</w:t>
            </w:r>
          </w:p>
        </w:tc>
        <w:tc>
          <w:tcPr>
            <w:tcW w:w="3685" w:type="dxa"/>
            <w:tcBorders>
              <w:bottom w:val="single" w:sz="4" w:space="0" w:color="auto"/>
            </w:tcBorders>
            <w:shd w:val="clear" w:color="auto" w:fill="FFFFFF" w:themeFill="background1"/>
            <w:vAlign w:val="bottom"/>
            <w:hideMark/>
          </w:tcPr>
          <w:p w14:paraId="70BEBE74" w14:textId="77777777" w:rsidR="0095572F" w:rsidRPr="002F2A84" w:rsidRDefault="0095572F" w:rsidP="00574CC2">
            <w:pPr>
              <w:spacing w:line="240" w:lineRule="auto"/>
              <w:jc w:val="both"/>
              <w:rPr>
                <w:rFonts w:eastAsia="Times New Roman" w:cs="Times New Roman"/>
                <w:sz w:val="18"/>
                <w:szCs w:val="16"/>
                <w:lang w:val="en-GB" w:eastAsia="en-GB"/>
              </w:rPr>
            </w:pPr>
            <w:r w:rsidRPr="002F2A84">
              <w:rPr>
                <w:rFonts w:eastAsia="Times New Roman" w:cs="Times New Roman"/>
                <w:sz w:val="18"/>
                <w:szCs w:val="16"/>
                <w:lang w:val="en-GB" w:eastAsia="en-GB"/>
              </w:rPr>
              <w:t>2.5%</w:t>
            </w:r>
          </w:p>
        </w:tc>
        <w:tc>
          <w:tcPr>
            <w:tcW w:w="2268" w:type="dxa"/>
            <w:tcBorders>
              <w:bottom w:val="single" w:sz="4" w:space="0" w:color="auto"/>
            </w:tcBorders>
            <w:shd w:val="clear" w:color="000000" w:fill="FFFFFF"/>
            <w:vAlign w:val="center"/>
            <w:hideMark/>
          </w:tcPr>
          <w:p w14:paraId="609D6B43" w14:textId="77777777" w:rsidR="0095572F" w:rsidRPr="002F2A84" w:rsidRDefault="0095572F" w:rsidP="00574CC2">
            <w:pPr>
              <w:spacing w:line="240" w:lineRule="auto"/>
              <w:jc w:val="both"/>
              <w:rPr>
                <w:rFonts w:eastAsia="Times New Roman" w:cs="Times New Roman"/>
                <w:sz w:val="18"/>
                <w:szCs w:val="16"/>
                <w:lang w:val="en-GB" w:eastAsia="en-GB"/>
              </w:rPr>
            </w:pPr>
            <w:r>
              <w:rPr>
                <w:sz w:val="18"/>
                <w:szCs w:val="18"/>
              </w:rPr>
              <w:t>0.29%</w:t>
            </w:r>
          </w:p>
        </w:tc>
        <w:tc>
          <w:tcPr>
            <w:tcW w:w="3544" w:type="dxa"/>
            <w:tcBorders>
              <w:bottom w:val="single" w:sz="4" w:space="0" w:color="auto"/>
            </w:tcBorders>
            <w:shd w:val="clear" w:color="auto" w:fill="FFFFFF" w:themeFill="background1"/>
            <w:hideMark/>
          </w:tcPr>
          <w:p w14:paraId="1228E4C0" w14:textId="77777777" w:rsidR="0095572F" w:rsidRPr="002F2A84" w:rsidRDefault="0095572F" w:rsidP="00574CC2">
            <w:pPr>
              <w:spacing w:line="240" w:lineRule="auto"/>
              <w:jc w:val="right"/>
              <w:rPr>
                <w:rFonts w:eastAsia="Times New Roman" w:cs="Times New Roman"/>
                <w:color w:val="auto"/>
                <w:sz w:val="18"/>
                <w:szCs w:val="16"/>
                <w:lang w:val="en-GB" w:eastAsia="en-GB"/>
              </w:rPr>
            </w:pPr>
            <w:r w:rsidRPr="002F2A84">
              <w:rPr>
                <w:rFonts w:eastAsia="Times New Roman" w:cs="Times New Roman"/>
                <w:color w:val="auto"/>
                <w:sz w:val="18"/>
                <w:szCs w:val="16"/>
                <w:lang w:val="en-GB" w:eastAsia="en-GB"/>
              </w:rPr>
              <w:t> </w:t>
            </w:r>
          </w:p>
        </w:tc>
      </w:tr>
    </w:tbl>
    <w:p w14:paraId="307A1102" w14:textId="77777777" w:rsidR="0095572F" w:rsidRPr="008A4B3B" w:rsidRDefault="0095572F" w:rsidP="0095572F">
      <w:pPr>
        <w:pStyle w:val="NormalWeb"/>
        <w:spacing w:before="0" w:beforeAutospacing="0" w:after="0" w:afterAutospacing="0"/>
        <w:rPr>
          <w:sz w:val="16"/>
          <w:szCs w:val="16"/>
        </w:rPr>
      </w:pPr>
    </w:p>
    <w:p w14:paraId="55EB5656" w14:textId="77777777" w:rsidR="0095572F" w:rsidRDefault="0095572F" w:rsidP="0095572F">
      <w:pPr>
        <w:pStyle w:val="NormalWeb"/>
        <w:spacing w:before="0" w:beforeAutospacing="0" w:after="0" w:afterAutospacing="0"/>
        <w:rPr>
          <w:rFonts w:eastAsiaTheme="minorEastAsia"/>
          <w:color w:val="00B050"/>
          <w:kern w:val="24"/>
          <w:sz w:val="20"/>
          <w:szCs w:val="28"/>
        </w:rPr>
      </w:pPr>
    </w:p>
    <w:p w14:paraId="405C0E90" w14:textId="77777777" w:rsidR="0095572F" w:rsidRPr="008A4B3B" w:rsidRDefault="0095572F" w:rsidP="009F5BD4">
      <w:pPr>
        <w:spacing w:line="360" w:lineRule="auto"/>
        <w:jc w:val="both"/>
        <w:rPr>
          <w:b/>
          <w:bCs/>
          <w:sz w:val="20"/>
        </w:rPr>
      </w:pPr>
      <w:r w:rsidRPr="008A4B3B">
        <w:rPr>
          <w:b/>
          <w:bCs/>
          <w:sz w:val="20"/>
        </w:rPr>
        <w:t xml:space="preserve">Table 2. Prevalence and population burden of peanut allergy at 36 months by SCORAD bands and the potential impact of applying the LEAP intervention </w:t>
      </w:r>
      <w:r>
        <w:rPr>
          <w:b/>
          <w:bCs/>
          <w:sz w:val="20"/>
        </w:rPr>
        <w:t>to</w:t>
      </w:r>
      <w:r w:rsidRPr="008A4B3B">
        <w:rPr>
          <w:b/>
          <w:bCs/>
          <w:sz w:val="20"/>
        </w:rPr>
        <w:t xml:space="preserve"> </w:t>
      </w:r>
      <w:r>
        <w:rPr>
          <w:b/>
          <w:bCs/>
          <w:sz w:val="20"/>
        </w:rPr>
        <w:t>EAT, a</w:t>
      </w:r>
      <w:r w:rsidRPr="008A4B3B">
        <w:rPr>
          <w:b/>
          <w:bCs/>
          <w:sz w:val="20"/>
        </w:rPr>
        <w:t xml:space="preserve"> normal </w:t>
      </w:r>
      <w:r>
        <w:rPr>
          <w:b/>
          <w:bCs/>
          <w:sz w:val="20"/>
        </w:rPr>
        <w:t xml:space="preserve">risk </w:t>
      </w:r>
      <w:r w:rsidRPr="008A4B3B">
        <w:rPr>
          <w:b/>
          <w:bCs/>
          <w:sz w:val="20"/>
        </w:rPr>
        <w:t>population</w:t>
      </w:r>
    </w:p>
    <w:p w14:paraId="26A784AE" w14:textId="77777777" w:rsidR="0095572F" w:rsidRDefault="0095572F" w:rsidP="009F5BD4">
      <w:pPr>
        <w:spacing w:line="360" w:lineRule="auto"/>
        <w:jc w:val="both"/>
        <w:rPr>
          <w:bCs/>
          <w:sz w:val="20"/>
        </w:rPr>
      </w:pPr>
      <w:r w:rsidRPr="009836B7">
        <w:rPr>
          <w:bCs/>
          <w:sz w:val="20"/>
        </w:rPr>
        <w:t>Observed proportions of peanut allergy in the EAT avoidance group are shown for each eczema risk strata.</w:t>
      </w:r>
      <w:r w:rsidRPr="00A4048A">
        <w:rPr>
          <w:bCs/>
          <w:sz w:val="20"/>
          <w:vertAlign w:val="superscript"/>
        </w:rPr>
        <w:t>1</w:t>
      </w:r>
      <w:r>
        <w:rPr>
          <w:bCs/>
          <w:sz w:val="20"/>
          <w:vertAlign w:val="superscript"/>
        </w:rPr>
        <w:t>6</w:t>
      </w:r>
      <w:r w:rsidRPr="009836B7">
        <w:rPr>
          <w:bCs/>
          <w:sz w:val="20"/>
        </w:rPr>
        <w:t xml:space="preserve"> The prevalence of peanut allergy at 36 months in the early introduction group </w:t>
      </w:r>
      <w:r>
        <w:rPr>
          <w:bCs/>
          <w:sz w:val="20"/>
        </w:rPr>
        <w:t>wa</w:t>
      </w:r>
      <w:r w:rsidRPr="009836B7">
        <w:rPr>
          <w:bCs/>
          <w:sz w:val="20"/>
        </w:rPr>
        <w:t>s estimated by applying the relative reduction of peanut allergy observed with the LEAP intervention</w:t>
      </w:r>
      <w:r w:rsidRPr="009836B7">
        <w:t xml:space="preserve"> </w:t>
      </w:r>
      <w:r w:rsidRPr="009836B7">
        <w:rPr>
          <w:bCs/>
          <w:sz w:val="20"/>
        </w:rPr>
        <w:t>for that SCORAD band (</w:t>
      </w:r>
      <w:r w:rsidRPr="00A4048A">
        <w:rPr>
          <w:b/>
          <w:bCs/>
          <w:sz w:val="20"/>
        </w:rPr>
        <w:t xml:space="preserve">Figure </w:t>
      </w:r>
      <w:r>
        <w:rPr>
          <w:b/>
          <w:bCs/>
          <w:sz w:val="20"/>
        </w:rPr>
        <w:t>E</w:t>
      </w:r>
      <w:r w:rsidRPr="00A4048A">
        <w:rPr>
          <w:b/>
          <w:bCs/>
          <w:sz w:val="20"/>
        </w:rPr>
        <w:t>11</w:t>
      </w:r>
      <w:r w:rsidRPr="009836B7">
        <w:rPr>
          <w:bCs/>
          <w:sz w:val="20"/>
        </w:rPr>
        <w:t xml:space="preserve">). The burden of peanut allergy </w:t>
      </w:r>
      <w:r>
        <w:rPr>
          <w:bCs/>
          <w:sz w:val="20"/>
        </w:rPr>
        <w:t xml:space="preserve">explained by each stratum </w:t>
      </w:r>
      <w:r w:rsidRPr="009836B7">
        <w:rPr>
          <w:bCs/>
          <w:sz w:val="20"/>
        </w:rPr>
        <w:t>takes into account the size of the risk strat</w:t>
      </w:r>
      <w:r>
        <w:rPr>
          <w:bCs/>
          <w:sz w:val="20"/>
        </w:rPr>
        <w:t>um</w:t>
      </w:r>
      <w:r w:rsidRPr="009836B7">
        <w:rPr>
          <w:bCs/>
          <w:sz w:val="20"/>
        </w:rPr>
        <w:t xml:space="preserve"> and the allergy rate within each strat</w:t>
      </w:r>
      <w:r>
        <w:rPr>
          <w:bCs/>
          <w:sz w:val="20"/>
        </w:rPr>
        <w:t>um</w:t>
      </w:r>
      <w:r w:rsidRPr="009836B7">
        <w:rPr>
          <w:bCs/>
          <w:sz w:val="20"/>
        </w:rPr>
        <w:t>.</w:t>
      </w:r>
      <w:r>
        <w:rPr>
          <w:bCs/>
          <w:sz w:val="20"/>
        </w:rPr>
        <w:t xml:space="preserve"> If the intervention was applied only to the &gt;40 (severe eczema), 15-40 (moderate eczema), 1-14 (mild eczema) or 0 SCORAD bands, the population burden of peanut allergy would be reduced by 4.55%, 25.43%, 29.65% or 29.20% respectively.  </w:t>
      </w:r>
      <w:r w:rsidRPr="009836B7">
        <w:rPr>
          <w:bCs/>
          <w:sz w:val="20"/>
        </w:rPr>
        <w:t xml:space="preserve"> </w:t>
      </w:r>
    </w:p>
    <w:p w14:paraId="3C1CA874" w14:textId="77777777" w:rsidR="0095572F" w:rsidRPr="00CA38D9" w:rsidRDefault="0095572F" w:rsidP="001706C6">
      <w:pPr>
        <w:pStyle w:val="EndNoteBibliography"/>
        <w:spacing w:line="360" w:lineRule="auto"/>
        <w:jc w:val="both"/>
      </w:pPr>
    </w:p>
    <w:sectPr w:rsidR="0095572F" w:rsidRPr="00CA38D9" w:rsidSect="009F5BD4">
      <w:pgSz w:w="15840" w:h="12240" w:orient="landscape"/>
      <w:pgMar w:top="1440" w:right="1440" w:bottom="1440" w:left="1440" w:header="720" w:footer="72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2B574" w14:textId="77777777" w:rsidR="00A92F81" w:rsidRDefault="00A92F81">
      <w:pPr>
        <w:spacing w:line="240" w:lineRule="auto"/>
      </w:pPr>
      <w:r>
        <w:separator/>
      </w:r>
    </w:p>
  </w:endnote>
  <w:endnote w:type="continuationSeparator" w:id="0">
    <w:p w14:paraId="0B0DBAAA" w14:textId="77777777" w:rsidR="00A92F81" w:rsidRDefault="00A92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485079"/>
      <w:docPartObj>
        <w:docPartGallery w:val="Page Numbers (Bottom of Page)"/>
        <w:docPartUnique/>
      </w:docPartObj>
    </w:sdtPr>
    <w:sdtEndPr>
      <w:rPr>
        <w:noProof/>
      </w:rPr>
    </w:sdtEndPr>
    <w:sdtContent>
      <w:p w14:paraId="4CE96767" w14:textId="3D3E552E" w:rsidR="004644A4" w:rsidRDefault="004644A4" w:rsidP="00B51474">
        <w:pPr>
          <w:pStyle w:val="Footer"/>
        </w:pPr>
        <w:r w:rsidRPr="00944AD6">
          <w:t xml:space="preserve">Window and target populations to prevent peanut allergy </w:t>
        </w:r>
        <w:r>
          <w:t xml:space="preserve">      </w:t>
        </w:r>
        <w:r w:rsidR="00112696">
          <w:t>28</w:t>
        </w:r>
        <w:r w:rsidR="00112696" w:rsidRPr="00B9101D">
          <w:rPr>
            <w:vertAlign w:val="superscript"/>
          </w:rPr>
          <w:t>th</w:t>
        </w:r>
        <w:r w:rsidR="00112696">
          <w:t xml:space="preserve"> August </w:t>
        </w:r>
        <w:r w:rsidR="00C22462">
          <w:t>2022</w:t>
        </w:r>
        <w:r w:rsidR="00C36F93">
          <w:t xml:space="preserve">   V</w:t>
        </w:r>
        <w:r w:rsidR="00112696">
          <w:t>3</w:t>
        </w:r>
        <w:r>
          <w:tab/>
        </w:r>
        <w:r>
          <w:fldChar w:fldCharType="begin"/>
        </w:r>
        <w:r>
          <w:instrText xml:space="preserve"> PAGE   \* MERGEFORMAT </w:instrText>
        </w:r>
        <w:r>
          <w:fldChar w:fldCharType="separate"/>
        </w:r>
        <w:r w:rsidR="00E2447E">
          <w:rPr>
            <w:noProof/>
          </w:rPr>
          <w:t>17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79C8" w14:textId="6C6EC1B4" w:rsidR="0095572F" w:rsidRDefault="0095572F">
    <w:pPr>
      <w:pStyle w:val="Footer"/>
      <w:jc w:val="right"/>
    </w:pPr>
    <w:r w:rsidRPr="0067460A">
      <w:t xml:space="preserve">Window and target populations to prevent peanut allergy figure and tables    </w:t>
    </w:r>
    <w:r w:rsidR="00526A86">
      <w:t>28</w:t>
    </w:r>
    <w:r w:rsidR="00526A86" w:rsidRPr="00B9101D">
      <w:rPr>
        <w:vertAlign w:val="superscript"/>
      </w:rPr>
      <w:t>TH</w:t>
    </w:r>
    <w:r w:rsidR="00526A86">
      <w:t xml:space="preserve"> August </w:t>
    </w:r>
    <w:r>
      <w:t xml:space="preserve">2022      </w:t>
    </w:r>
    <w:sdt>
      <w:sdtPr>
        <w:id w:val="-5043552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0408C720" w14:textId="77777777" w:rsidR="0095572F" w:rsidRDefault="00955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5EA62" w14:textId="77777777" w:rsidR="00A92F81" w:rsidRDefault="00A92F81">
      <w:pPr>
        <w:spacing w:line="240" w:lineRule="auto"/>
      </w:pPr>
      <w:r>
        <w:separator/>
      </w:r>
    </w:p>
  </w:footnote>
  <w:footnote w:type="continuationSeparator" w:id="0">
    <w:p w14:paraId="4B9A8307" w14:textId="77777777" w:rsidR="00A92F81" w:rsidRDefault="00A92F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4BB"/>
    <w:multiLevelType w:val="multilevel"/>
    <w:tmpl w:val="420C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86CAF"/>
    <w:multiLevelType w:val="hybridMultilevel"/>
    <w:tmpl w:val="8FFE9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61681"/>
    <w:multiLevelType w:val="hybridMultilevel"/>
    <w:tmpl w:val="032AC5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76959"/>
    <w:multiLevelType w:val="hybridMultilevel"/>
    <w:tmpl w:val="B4466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C1BB9"/>
    <w:multiLevelType w:val="hybridMultilevel"/>
    <w:tmpl w:val="708AB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E1BE3"/>
    <w:multiLevelType w:val="hybridMultilevel"/>
    <w:tmpl w:val="2728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77464"/>
    <w:multiLevelType w:val="hybridMultilevel"/>
    <w:tmpl w:val="0ED455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C60BA"/>
    <w:multiLevelType w:val="hybridMultilevel"/>
    <w:tmpl w:val="0B78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80999"/>
    <w:multiLevelType w:val="hybridMultilevel"/>
    <w:tmpl w:val="C3D07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A2E63"/>
    <w:multiLevelType w:val="hybridMultilevel"/>
    <w:tmpl w:val="B1C2F566"/>
    <w:lvl w:ilvl="0" w:tplc="4C0A9C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03156"/>
    <w:multiLevelType w:val="hybridMultilevel"/>
    <w:tmpl w:val="FDCE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541AA"/>
    <w:multiLevelType w:val="multilevel"/>
    <w:tmpl w:val="CAB28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A33C26"/>
    <w:multiLevelType w:val="hybridMultilevel"/>
    <w:tmpl w:val="64A6C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038AD"/>
    <w:multiLevelType w:val="multilevel"/>
    <w:tmpl w:val="EFCA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2418FB"/>
    <w:multiLevelType w:val="hybridMultilevel"/>
    <w:tmpl w:val="D8AE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279DC"/>
    <w:multiLevelType w:val="hybridMultilevel"/>
    <w:tmpl w:val="F77C0BD8"/>
    <w:lvl w:ilvl="0" w:tplc="3E1E79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019421D"/>
    <w:multiLevelType w:val="hybridMultilevel"/>
    <w:tmpl w:val="0FBE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8D610A"/>
    <w:multiLevelType w:val="hybridMultilevel"/>
    <w:tmpl w:val="BF325A2E"/>
    <w:lvl w:ilvl="0" w:tplc="867EFFA4">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2C3150"/>
    <w:multiLevelType w:val="hybridMultilevel"/>
    <w:tmpl w:val="E978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73580A"/>
    <w:multiLevelType w:val="multilevel"/>
    <w:tmpl w:val="962E086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501A330E"/>
    <w:multiLevelType w:val="hybridMultilevel"/>
    <w:tmpl w:val="B0483766"/>
    <w:lvl w:ilvl="0" w:tplc="A9E4091C">
      <w:start w:val="1"/>
      <w:numFmt w:val="bullet"/>
      <w:lvlText w:val=""/>
      <w:lvlJc w:val="left"/>
      <w:pPr>
        <w:tabs>
          <w:tab w:val="num" w:pos="720"/>
        </w:tabs>
        <w:ind w:left="720" w:hanging="360"/>
      </w:pPr>
      <w:rPr>
        <w:rFonts w:ascii="Wingdings" w:hAnsi="Wingdings" w:hint="default"/>
      </w:rPr>
    </w:lvl>
    <w:lvl w:ilvl="1" w:tplc="B8681926" w:tentative="1">
      <w:start w:val="1"/>
      <w:numFmt w:val="bullet"/>
      <w:lvlText w:val=""/>
      <w:lvlJc w:val="left"/>
      <w:pPr>
        <w:tabs>
          <w:tab w:val="num" w:pos="1440"/>
        </w:tabs>
        <w:ind w:left="1440" w:hanging="360"/>
      </w:pPr>
      <w:rPr>
        <w:rFonts w:ascii="Wingdings" w:hAnsi="Wingdings" w:hint="default"/>
      </w:rPr>
    </w:lvl>
    <w:lvl w:ilvl="2" w:tplc="4DF6274E" w:tentative="1">
      <w:start w:val="1"/>
      <w:numFmt w:val="bullet"/>
      <w:lvlText w:val=""/>
      <w:lvlJc w:val="left"/>
      <w:pPr>
        <w:tabs>
          <w:tab w:val="num" w:pos="2160"/>
        </w:tabs>
        <w:ind w:left="2160" w:hanging="360"/>
      </w:pPr>
      <w:rPr>
        <w:rFonts w:ascii="Wingdings" w:hAnsi="Wingdings" w:hint="default"/>
      </w:rPr>
    </w:lvl>
    <w:lvl w:ilvl="3" w:tplc="1F74283C" w:tentative="1">
      <w:start w:val="1"/>
      <w:numFmt w:val="bullet"/>
      <w:lvlText w:val=""/>
      <w:lvlJc w:val="left"/>
      <w:pPr>
        <w:tabs>
          <w:tab w:val="num" w:pos="2880"/>
        </w:tabs>
        <w:ind w:left="2880" w:hanging="360"/>
      </w:pPr>
      <w:rPr>
        <w:rFonts w:ascii="Wingdings" w:hAnsi="Wingdings" w:hint="default"/>
      </w:rPr>
    </w:lvl>
    <w:lvl w:ilvl="4" w:tplc="E7A4105A" w:tentative="1">
      <w:start w:val="1"/>
      <w:numFmt w:val="bullet"/>
      <w:lvlText w:val=""/>
      <w:lvlJc w:val="left"/>
      <w:pPr>
        <w:tabs>
          <w:tab w:val="num" w:pos="3600"/>
        </w:tabs>
        <w:ind w:left="3600" w:hanging="360"/>
      </w:pPr>
      <w:rPr>
        <w:rFonts w:ascii="Wingdings" w:hAnsi="Wingdings" w:hint="default"/>
      </w:rPr>
    </w:lvl>
    <w:lvl w:ilvl="5" w:tplc="AF20D116" w:tentative="1">
      <w:start w:val="1"/>
      <w:numFmt w:val="bullet"/>
      <w:lvlText w:val=""/>
      <w:lvlJc w:val="left"/>
      <w:pPr>
        <w:tabs>
          <w:tab w:val="num" w:pos="4320"/>
        </w:tabs>
        <w:ind w:left="4320" w:hanging="360"/>
      </w:pPr>
      <w:rPr>
        <w:rFonts w:ascii="Wingdings" w:hAnsi="Wingdings" w:hint="default"/>
      </w:rPr>
    </w:lvl>
    <w:lvl w:ilvl="6" w:tplc="DEE8FB1C" w:tentative="1">
      <w:start w:val="1"/>
      <w:numFmt w:val="bullet"/>
      <w:lvlText w:val=""/>
      <w:lvlJc w:val="left"/>
      <w:pPr>
        <w:tabs>
          <w:tab w:val="num" w:pos="5040"/>
        </w:tabs>
        <w:ind w:left="5040" w:hanging="360"/>
      </w:pPr>
      <w:rPr>
        <w:rFonts w:ascii="Wingdings" w:hAnsi="Wingdings" w:hint="default"/>
      </w:rPr>
    </w:lvl>
    <w:lvl w:ilvl="7" w:tplc="00E80434" w:tentative="1">
      <w:start w:val="1"/>
      <w:numFmt w:val="bullet"/>
      <w:lvlText w:val=""/>
      <w:lvlJc w:val="left"/>
      <w:pPr>
        <w:tabs>
          <w:tab w:val="num" w:pos="5760"/>
        </w:tabs>
        <w:ind w:left="5760" w:hanging="360"/>
      </w:pPr>
      <w:rPr>
        <w:rFonts w:ascii="Wingdings" w:hAnsi="Wingdings" w:hint="default"/>
      </w:rPr>
    </w:lvl>
    <w:lvl w:ilvl="8" w:tplc="8510471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1A2227"/>
    <w:multiLevelType w:val="hybridMultilevel"/>
    <w:tmpl w:val="D8E0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FC445E"/>
    <w:multiLevelType w:val="hybridMultilevel"/>
    <w:tmpl w:val="F558B402"/>
    <w:lvl w:ilvl="0" w:tplc="607CC9D0">
      <w:start w:val="1"/>
      <w:numFmt w:val="bullet"/>
      <w:lvlText w:val="•"/>
      <w:lvlJc w:val="left"/>
      <w:pPr>
        <w:tabs>
          <w:tab w:val="num" w:pos="720"/>
        </w:tabs>
        <w:ind w:left="720" w:hanging="360"/>
      </w:pPr>
      <w:rPr>
        <w:rFonts w:ascii="Arial" w:hAnsi="Arial" w:hint="default"/>
      </w:rPr>
    </w:lvl>
    <w:lvl w:ilvl="1" w:tplc="EAE88132" w:tentative="1">
      <w:start w:val="1"/>
      <w:numFmt w:val="bullet"/>
      <w:lvlText w:val="•"/>
      <w:lvlJc w:val="left"/>
      <w:pPr>
        <w:tabs>
          <w:tab w:val="num" w:pos="1440"/>
        </w:tabs>
        <w:ind w:left="1440" w:hanging="360"/>
      </w:pPr>
      <w:rPr>
        <w:rFonts w:ascii="Arial" w:hAnsi="Arial" w:hint="default"/>
      </w:rPr>
    </w:lvl>
    <w:lvl w:ilvl="2" w:tplc="00B0C112" w:tentative="1">
      <w:start w:val="1"/>
      <w:numFmt w:val="bullet"/>
      <w:lvlText w:val="•"/>
      <w:lvlJc w:val="left"/>
      <w:pPr>
        <w:tabs>
          <w:tab w:val="num" w:pos="2160"/>
        </w:tabs>
        <w:ind w:left="2160" w:hanging="360"/>
      </w:pPr>
      <w:rPr>
        <w:rFonts w:ascii="Arial" w:hAnsi="Arial" w:hint="default"/>
      </w:rPr>
    </w:lvl>
    <w:lvl w:ilvl="3" w:tplc="5252A84C" w:tentative="1">
      <w:start w:val="1"/>
      <w:numFmt w:val="bullet"/>
      <w:lvlText w:val="•"/>
      <w:lvlJc w:val="left"/>
      <w:pPr>
        <w:tabs>
          <w:tab w:val="num" w:pos="2880"/>
        </w:tabs>
        <w:ind w:left="2880" w:hanging="360"/>
      </w:pPr>
      <w:rPr>
        <w:rFonts w:ascii="Arial" w:hAnsi="Arial" w:hint="default"/>
      </w:rPr>
    </w:lvl>
    <w:lvl w:ilvl="4" w:tplc="FA066702" w:tentative="1">
      <w:start w:val="1"/>
      <w:numFmt w:val="bullet"/>
      <w:lvlText w:val="•"/>
      <w:lvlJc w:val="left"/>
      <w:pPr>
        <w:tabs>
          <w:tab w:val="num" w:pos="3600"/>
        </w:tabs>
        <w:ind w:left="3600" w:hanging="360"/>
      </w:pPr>
      <w:rPr>
        <w:rFonts w:ascii="Arial" w:hAnsi="Arial" w:hint="default"/>
      </w:rPr>
    </w:lvl>
    <w:lvl w:ilvl="5" w:tplc="4D682748" w:tentative="1">
      <w:start w:val="1"/>
      <w:numFmt w:val="bullet"/>
      <w:lvlText w:val="•"/>
      <w:lvlJc w:val="left"/>
      <w:pPr>
        <w:tabs>
          <w:tab w:val="num" w:pos="4320"/>
        </w:tabs>
        <w:ind w:left="4320" w:hanging="360"/>
      </w:pPr>
      <w:rPr>
        <w:rFonts w:ascii="Arial" w:hAnsi="Arial" w:hint="default"/>
      </w:rPr>
    </w:lvl>
    <w:lvl w:ilvl="6" w:tplc="7D8A9818" w:tentative="1">
      <w:start w:val="1"/>
      <w:numFmt w:val="bullet"/>
      <w:lvlText w:val="•"/>
      <w:lvlJc w:val="left"/>
      <w:pPr>
        <w:tabs>
          <w:tab w:val="num" w:pos="5040"/>
        </w:tabs>
        <w:ind w:left="5040" w:hanging="360"/>
      </w:pPr>
      <w:rPr>
        <w:rFonts w:ascii="Arial" w:hAnsi="Arial" w:hint="default"/>
      </w:rPr>
    </w:lvl>
    <w:lvl w:ilvl="7" w:tplc="533CBD38" w:tentative="1">
      <w:start w:val="1"/>
      <w:numFmt w:val="bullet"/>
      <w:lvlText w:val="•"/>
      <w:lvlJc w:val="left"/>
      <w:pPr>
        <w:tabs>
          <w:tab w:val="num" w:pos="5760"/>
        </w:tabs>
        <w:ind w:left="5760" w:hanging="360"/>
      </w:pPr>
      <w:rPr>
        <w:rFonts w:ascii="Arial" w:hAnsi="Arial" w:hint="default"/>
      </w:rPr>
    </w:lvl>
    <w:lvl w:ilvl="8" w:tplc="B1FA4E5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65738D"/>
    <w:multiLevelType w:val="hybridMultilevel"/>
    <w:tmpl w:val="BFE42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363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A82F31"/>
    <w:multiLevelType w:val="hybridMultilevel"/>
    <w:tmpl w:val="1C7C441C"/>
    <w:lvl w:ilvl="0" w:tplc="1D7A3AB8">
      <w:start w:val="1"/>
      <w:numFmt w:val="lowerLetter"/>
      <w:lvlText w:val="(%1)"/>
      <w:lvlJc w:val="left"/>
      <w:pPr>
        <w:ind w:left="720" w:hanging="360"/>
      </w:pPr>
      <w:rPr>
        <w:rFonts w:ascii="Times New Roman" w:hAnsi="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0E1B14"/>
    <w:multiLevelType w:val="hybridMultilevel"/>
    <w:tmpl w:val="09F07A80"/>
    <w:lvl w:ilvl="0" w:tplc="DB98ECF2">
      <w:start w:val="1"/>
      <w:numFmt w:val="bullet"/>
      <w:lvlText w:val="•"/>
      <w:lvlJc w:val="left"/>
      <w:pPr>
        <w:tabs>
          <w:tab w:val="num" w:pos="720"/>
        </w:tabs>
        <w:ind w:left="720" w:hanging="360"/>
      </w:pPr>
      <w:rPr>
        <w:rFonts w:ascii="Arial" w:hAnsi="Arial" w:hint="default"/>
      </w:rPr>
    </w:lvl>
    <w:lvl w:ilvl="1" w:tplc="80EA190E" w:tentative="1">
      <w:start w:val="1"/>
      <w:numFmt w:val="bullet"/>
      <w:lvlText w:val="•"/>
      <w:lvlJc w:val="left"/>
      <w:pPr>
        <w:tabs>
          <w:tab w:val="num" w:pos="1440"/>
        </w:tabs>
        <w:ind w:left="1440" w:hanging="360"/>
      </w:pPr>
      <w:rPr>
        <w:rFonts w:ascii="Arial" w:hAnsi="Arial" w:hint="default"/>
      </w:rPr>
    </w:lvl>
    <w:lvl w:ilvl="2" w:tplc="8312DBF0" w:tentative="1">
      <w:start w:val="1"/>
      <w:numFmt w:val="bullet"/>
      <w:lvlText w:val="•"/>
      <w:lvlJc w:val="left"/>
      <w:pPr>
        <w:tabs>
          <w:tab w:val="num" w:pos="2160"/>
        </w:tabs>
        <w:ind w:left="2160" w:hanging="360"/>
      </w:pPr>
      <w:rPr>
        <w:rFonts w:ascii="Arial" w:hAnsi="Arial" w:hint="default"/>
      </w:rPr>
    </w:lvl>
    <w:lvl w:ilvl="3" w:tplc="335A887C" w:tentative="1">
      <w:start w:val="1"/>
      <w:numFmt w:val="bullet"/>
      <w:lvlText w:val="•"/>
      <w:lvlJc w:val="left"/>
      <w:pPr>
        <w:tabs>
          <w:tab w:val="num" w:pos="2880"/>
        </w:tabs>
        <w:ind w:left="2880" w:hanging="360"/>
      </w:pPr>
      <w:rPr>
        <w:rFonts w:ascii="Arial" w:hAnsi="Arial" w:hint="default"/>
      </w:rPr>
    </w:lvl>
    <w:lvl w:ilvl="4" w:tplc="96DA90C8" w:tentative="1">
      <w:start w:val="1"/>
      <w:numFmt w:val="bullet"/>
      <w:lvlText w:val="•"/>
      <w:lvlJc w:val="left"/>
      <w:pPr>
        <w:tabs>
          <w:tab w:val="num" w:pos="3600"/>
        </w:tabs>
        <w:ind w:left="3600" w:hanging="360"/>
      </w:pPr>
      <w:rPr>
        <w:rFonts w:ascii="Arial" w:hAnsi="Arial" w:hint="default"/>
      </w:rPr>
    </w:lvl>
    <w:lvl w:ilvl="5" w:tplc="EFB491C4" w:tentative="1">
      <w:start w:val="1"/>
      <w:numFmt w:val="bullet"/>
      <w:lvlText w:val="•"/>
      <w:lvlJc w:val="left"/>
      <w:pPr>
        <w:tabs>
          <w:tab w:val="num" w:pos="4320"/>
        </w:tabs>
        <w:ind w:left="4320" w:hanging="360"/>
      </w:pPr>
      <w:rPr>
        <w:rFonts w:ascii="Arial" w:hAnsi="Arial" w:hint="default"/>
      </w:rPr>
    </w:lvl>
    <w:lvl w:ilvl="6" w:tplc="B940481A" w:tentative="1">
      <w:start w:val="1"/>
      <w:numFmt w:val="bullet"/>
      <w:lvlText w:val="•"/>
      <w:lvlJc w:val="left"/>
      <w:pPr>
        <w:tabs>
          <w:tab w:val="num" w:pos="5040"/>
        </w:tabs>
        <w:ind w:left="5040" w:hanging="360"/>
      </w:pPr>
      <w:rPr>
        <w:rFonts w:ascii="Arial" w:hAnsi="Arial" w:hint="default"/>
      </w:rPr>
    </w:lvl>
    <w:lvl w:ilvl="7" w:tplc="A498D3F2" w:tentative="1">
      <w:start w:val="1"/>
      <w:numFmt w:val="bullet"/>
      <w:lvlText w:val="•"/>
      <w:lvlJc w:val="left"/>
      <w:pPr>
        <w:tabs>
          <w:tab w:val="num" w:pos="5760"/>
        </w:tabs>
        <w:ind w:left="5760" w:hanging="360"/>
      </w:pPr>
      <w:rPr>
        <w:rFonts w:ascii="Arial" w:hAnsi="Arial" w:hint="default"/>
      </w:rPr>
    </w:lvl>
    <w:lvl w:ilvl="8" w:tplc="7194DB4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D13A22"/>
    <w:multiLevelType w:val="hybridMultilevel"/>
    <w:tmpl w:val="DC26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230B9"/>
    <w:multiLevelType w:val="multilevel"/>
    <w:tmpl w:val="D042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D00F03"/>
    <w:multiLevelType w:val="hybridMultilevel"/>
    <w:tmpl w:val="29EA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3D6E61"/>
    <w:multiLevelType w:val="hybridMultilevel"/>
    <w:tmpl w:val="7DD0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625930"/>
    <w:multiLevelType w:val="hybridMultilevel"/>
    <w:tmpl w:val="A2867EB4"/>
    <w:lvl w:ilvl="0" w:tplc="17009BEE">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C679E1"/>
    <w:multiLevelType w:val="hybridMultilevel"/>
    <w:tmpl w:val="F578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245D67"/>
    <w:multiLevelType w:val="hybridMultilevel"/>
    <w:tmpl w:val="1F080136"/>
    <w:lvl w:ilvl="0" w:tplc="B9C2FF92">
      <w:start w:val="1"/>
      <w:numFmt w:val="bullet"/>
      <w:lvlText w:val="•"/>
      <w:lvlJc w:val="left"/>
      <w:pPr>
        <w:tabs>
          <w:tab w:val="num" w:pos="720"/>
        </w:tabs>
        <w:ind w:left="720" w:hanging="360"/>
      </w:pPr>
      <w:rPr>
        <w:rFonts w:ascii="Arial" w:hAnsi="Arial" w:hint="default"/>
      </w:rPr>
    </w:lvl>
    <w:lvl w:ilvl="1" w:tplc="255C865A">
      <w:start w:val="1"/>
      <w:numFmt w:val="bullet"/>
      <w:lvlText w:val="•"/>
      <w:lvlJc w:val="left"/>
      <w:pPr>
        <w:tabs>
          <w:tab w:val="num" w:pos="1440"/>
        </w:tabs>
        <w:ind w:left="1440" w:hanging="360"/>
      </w:pPr>
      <w:rPr>
        <w:rFonts w:ascii="Arial" w:hAnsi="Arial" w:hint="default"/>
      </w:rPr>
    </w:lvl>
    <w:lvl w:ilvl="2" w:tplc="CF081E96" w:tentative="1">
      <w:start w:val="1"/>
      <w:numFmt w:val="bullet"/>
      <w:lvlText w:val="•"/>
      <w:lvlJc w:val="left"/>
      <w:pPr>
        <w:tabs>
          <w:tab w:val="num" w:pos="2160"/>
        </w:tabs>
        <w:ind w:left="2160" w:hanging="360"/>
      </w:pPr>
      <w:rPr>
        <w:rFonts w:ascii="Arial" w:hAnsi="Arial" w:hint="default"/>
      </w:rPr>
    </w:lvl>
    <w:lvl w:ilvl="3" w:tplc="BD7250D0" w:tentative="1">
      <w:start w:val="1"/>
      <w:numFmt w:val="bullet"/>
      <w:lvlText w:val="•"/>
      <w:lvlJc w:val="left"/>
      <w:pPr>
        <w:tabs>
          <w:tab w:val="num" w:pos="2880"/>
        </w:tabs>
        <w:ind w:left="2880" w:hanging="360"/>
      </w:pPr>
      <w:rPr>
        <w:rFonts w:ascii="Arial" w:hAnsi="Arial" w:hint="default"/>
      </w:rPr>
    </w:lvl>
    <w:lvl w:ilvl="4" w:tplc="9AD8E896" w:tentative="1">
      <w:start w:val="1"/>
      <w:numFmt w:val="bullet"/>
      <w:lvlText w:val="•"/>
      <w:lvlJc w:val="left"/>
      <w:pPr>
        <w:tabs>
          <w:tab w:val="num" w:pos="3600"/>
        </w:tabs>
        <w:ind w:left="3600" w:hanging="360"/>
      </w:pPr>
      <w:rPr>
        <w:rFonts w:ascii="Arial" w:hAnsi="Arial" w:hint="default"/>
      </w:rPr>
    </w:lvl>
    <w:lvl w:ilvl="5" w:tplc="8390CCC4" w:tentative="1">
      <w:start w:val="1"/>
      <w:numFmt w:val="bullet"/>
      <w:lvlText w:val="•"/>
      <w:lvlJc w:val="left"/>
      <w:pPr>
        <w:tabs>
          <w:tab w:val="num" w:pos="4320"/>
        </w:tabs>
        <w:ind w:left="4320" w:hanging="360"/>
      </w:pPr>
      <w:rPr>
        <w:rFonts w:ascii="Arial" w:hAnsi="Arial" w:hint="default"/>
      </w:rPr>
    </w:lvl>
    <w:lvl w:ilvl="6" w:tplc="034026EC" w:tentative="1">
      <w:start w:val="1"/>
      <w:numFmt w:val="bullet"/>
      <w:lvlText w:val="•"/>
      <w:lvlJc w:val="left"/>
      <w:pPr>
        <w:tabs>
          <w:tab w:val="num" w:pos="5040"/>
        </w:tabs>
        <w:ind w:left="5040" w:hanging="360"/>
      </w:pPr>
      <w:rPr>
        <w:rFonts w:ascii="Arial" w:hAnsi="Arial" w:hint="default"/>
      </w:rPr>
    </w:lvl>
    <w:lvl w:ilvl="7" w:tplc="9D52C7B0" w:tentative="1">
      <w:start w:val="1"/>
      <w:numFmt w:val="bullet"/>
      <w:lvlText w:val="•"/>
      <w:lvlJc w:val="left"/>
      <w:pPr>
        <w:tabs>
          <w:tab w:val="num" w:pos="5760"/>
        </w:tabs>
        <w:ind w:left="5760" w:hanging="360"/>
      </w:pPr>
      <w:rPr>
        <w:rFonts w:ascii="Arial" w:hAnsi="Arial" w:hint="default"/>
      </w:rPr>
    </w:lvl>
    <w:lvl w:ilvl="8" w:tplc="2574230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77662D"/>
    <w:multiLevelType w:val="hybridMultilevel"/>
    <w:tmpl w:val="38D6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906EDE"/>
    <w:multiLevelType w:val="hybridMultilevel"/>
    <w:tmpl w:val="8FFE9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EA1057"/>
    <w:multiLevelType w:val="hybridMultilevel"/>
    <w:tmpl w:val="F7F29B1A"/>
    <w:lvl w:ilvl="0" w:tplc="5C9C50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1"/>
  </w:num>
  <w:num w:numId="3">
    <w:abstractNumId w:val="30"/>
  </w:num>
  <w:num w:numId="4">
    <w:abstractNumId w:val="2"/>
  </w:num>
  <w:num w:numId="5">
    <w:abstractNumId w:val="21"/>
  </w:num>
  <w:num w:numId="6">
    <w:abstractNumId w:val="31"/>
  </w:num>
  <w:num w:numId="7">
    <w:abstractNumId w:val="36"/>
  </w:num>
  <w:num w:numId="8">
    <w:abstractNumId w:val="32"/>
  </w:num>
  <w:num w:numId="9">
    <w:abstractNumId w:val="17"/>
  </w:num>
  <w:num w:numId="10">
    <w:abstractNumId w:val="18"/>
  </w:num>
  <w:num w:numId="11">
    <w:abstractNumId w:val="14"/>
  </w:num>
  <w:num w:numId="12">
    <w:abstractNumId w:val="29"/>
  </w:num>
  <w:num w:numId="13">
    <w:abstractNumId w:val="7"/>
  </w:num>
  <w:num w:numId="14">
    <w:abstractNumId w:val="15"/>
  </w:num>
  <w:num w:numId="15">
    <w:abstractNumId w:val="10"/>
  </w:num>
  <w:num w:numId="16">
    <w:abstractNumId w:val="0"/>
  </w:num>
  <w:num w:numId="17">
    <w:abstractNumId w:val="13"/>
  </w:num>
  <w:num w:numId="18">
    <w:abstractNumId w:val="5"/>
  </w:num>
  <w:num w:numId="19">
    <w:abstractNumId w:val="26"/>
  </w:num>
  <w:num w:numId="20">
    <w:abstractNumId w:val="22"/>
  </w:num>
  <w:num w:numId="21">
    <w:abstractNumId w:val="25"/>
  </w:num>
  <w:num w:numId="22">
    <w:abstractNumId w:val="16"/>
  </w:num>
  <w:num w:numId="23">
    <w:abstractNumId w:val="20"/>
  </w:num>
  <w:num w:numId="24">
    <w:abstractNumId w:val="34"/>
  </w:num>
  <w:num w:numId="25">
    <w:abstractNumId w:val="8"/>
  </w:num>
  <w:num w:numId="26">
    <w:abstractNumId w:val="23"/>
  </w:num>
  <w:num w:numId="27">
    <w:abstractNumId w:val="27"/>
  </w:num>
  <w:num w:numId="28">
    <w:abstractNumId w:val="9"/>
  </w:num>
  <w:num w:numId="29">
    <w:abstractNumId w:val="1"/>
  </w:num>
  <w:num w:numId="30">
    <w:abstractNumId w:val="35"/>
  </w:num>
  <w:num w:numId="31">
    <w:abstractNumId w:val="33"/>
  </w:num>
  <w:num w:numId="32">
    <w:abstractNumId w:val="4"/>
  </w:num>
  <w:num w:numId="33">
    <w:abstractNumId w:val="28"/>
  </w:num>
  <w:num w:numId="34">
    <w:abstractNumId w:val="12"/>
  </w:num>
  <w:num w:numId="35">
    <w:abstractNumId w:val="24"/>
  </w:num>
  <w:num w:numId="36">
    <w:abstractNumId w:val="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139B3"/>
    <w:rsid w:val="00007062"/>
    <w:rsid w:val="000101C4"/>
    <w:rsid w:val="00010822"/>
    <w:rsid w:val="00011A70"/>
    <w:rsid w:val="000126DF"/>
    <w:rsid w:val="000162E4"/>
    <w:rsid w:val="0001732A"/>
    <w:rsid w:val="000230CC"/>
    <w:rsid w:val="00027034"/>
    <w:rsid w:val="00031FED"/>
    <w:rsid w:val="00045A56"/>
    <w:rsid w:val="000463F0"/>
    <w:rsid w:val="0005247B"/>
    <w:rsid w:val="000557B2"/>
    <w:rsid w:val="0006083A"/>
    <w:rsid w:val="0006112A"/>
    <w:rsid w:val="0006389D"/>
    <w:rsid w:val="00065829"/>
    <w:rsid w:val="00066A08"/>
    <w:rsid w:val="00070DA4"/>
    <w:rsid w:val="00080D82"/>
    <w:rsid w:val="000978CF"/>
    <w:rsid w:val="000A2563"/>
    <w:rsid w:val="000B01FA"/>
    <w:rsid w:val="000C62DD"/>
    <w:rsid w:val="000D760B"/>
    <w:rsid w:val="000E712E"/>
    <w:rsid w:val="000E76A4"/>
    <w:rsid w:val="000F4234"/>
    <w:rsid w:val="00106E92"/>
    <w:rsid w:val="001112B8"/>
    <w:rsid w:val="00112696"/>
    <w:rsid w:val="0011516D"/>
    <w:rsid w:val="00115E81"/>
    <w:rsid w:val="001179C2"/>
    <w:rsid w:val="00122A90"/>
    <w:rsid w:val="00127AB7"/>
    <w:rsid w:val="001369FB"/>
    <w:rsid w:val="001443F0"/>
    <w:rsid w:val="00155379"/>
    <w:rsid w:val="00163B0D"/>
    <w:rsid w:val="001706C6"/>
    <w:rsid w:val="001755CC"/>
    <w:rsid w:val="001767DA"/>
    <w:rsid w:val="00177524"/>
    <w:rsid w:val="001800F3"/>
    <w:rsid w:val="0018160B"/>
    <w:rsid w:val="00182C00"/>
    <w:rsid w:val="00183189"/>
    <w:rsid w:val="00185E5F"/>
    <w:rsid w:val="00190012"/>
    <w:rsid w:val="00194D32"/>
    <w:rsid w:val="00196B10"/>
    <w:rsid w:val="001973F8"/>
    <w:rsid w:val="001A0438"/>
    <w:rsid w:val="001A112D"/>
    <w:rsid w:val="001A29D1"/>
    <w:rsid w:val="001A3A27"/>
    <w:rsid w:val="001A471B"/>
    <w:rsid w:val="001A6D34"/>
    <w:rsid w:val="001B41CB"/>
    <w:rsid w:val="001B6AB8"/>
    <w:rsid w:val="001C0F1B"/>
    <w:rsid w:val="001C3E84"/>
    <w:rsid w:val="001C73E2"/>
    <w:rsid w:val="001D5F85"/>
    <w:rsid w:val="001E18DE"/>
    <w:rsid w:val="001F1C3E"/>
    <w:rsid w:val="001F50E0"/>
    <w:rsid w:val="00204D14"/>
    <w:rsid w:val="00211EDC"/>
    <w:rsid w:val="002136F6"/>
    <w:rsid w:val="002147BD"/>
    <w:rsid w:val="00216647"/>
    <w:rsid w:val="0022043C"/>
    <w:rsid w:val="00220598"/>
    <w:rsid w:val="0022697E"/>
    <w:rsid w:val="0023039A"/>
    <w:rsid w:val="002317A2"/>
    <w:rsid w:val="00232E6E"/>
    <w:rsid w:val="00237965"/>
    <w:rsid w:val="00242C38"/>
    <w:rsid w:val="00246CF3"/>
    <w:rsid w:val="00247E33"/>
    <w:rsid w:val="002604EE"/>
    <w:rsid w:val="00261C9D"/>
    <w:rsid w:val="00267768"/>
    <w:rsid w:val="00274ECD"/>
    <w:rsid w:val="00276069"/>
    <w:rsid w:val="0027692D"/>
    <w:rsid w:val="00280B77"/>
    <w:rsid w:val="00286396"/>
    <w:rsid w:val="002907AE"/>
    <w:rsid w:val="00290D99"/>
    <w:rsid w:val="00291D2F"/>
    <w:rsid w:val="00292E0A"/>
    <w:rsid w:val="00294F1A"/>
    <w:rsid w:val="002960D4"/>
    <w:rsid w:val="00296E42"/>
    <w:rsid w:val="002A6981"/>
    <w:rsid w:val="002B5881"/>
    <w:rsid w:val="002C25C8"/>
    <w:rsid w:val="002C3EC4"/>
    <w:rsid w:val="002C7D92"/>
    <w:rsid w:val="002D266D"/>
    <w:rsid w:val="002D2E8A"/>
    <w:rsid w:val="002D61A3"/>
    <w:rsid w:val="002E4E81"/>
    <w:rsid w:val="002E7BDF"/>
    <w:rsid w:val="00300A22"/>
    <w:rsid w:val="00300CE3"/>
    <w:rsid w:val="00301A77"/>
    <w:rsid w:val="00302942"/>
    <w:rsid w:val="00304A96"/>
    <w:rsid w:val="00310360"/>
    <w:rsid w:val="00313F93"/>
    <w:rsid w:val="00314AFE"/>
    <w:rsid w:val="00314BF5"/>
    <w:rsid w:val="00323EFE"/>
    <w:rsid w:val="003258E1"/>
    <w:rsid w:val="00330218"/>
    <w:rsid w:val="00331670"/>
    <w:rsid w:val="00333D68"/>
    <w:rsid w:val="00334974"/>
    <w:rsid w:val="0033636D"/>
    <w:rsid w:val="00342A83"/>
    <w:rsid w:val="003450E2"/>
    <w:rsid w:val="00346B93"/>
    <w:rsid w:val="0035259B"/>
    <w:rsid w:val="00352900"/>
    <w:rsid w:val="00354DF3"/>
    <w:rsid w:val="0035542C"/>
    <w:rsid w:val="00364FAA"/>
    <w:rsid w:val="00385439"/>
    <w:rsid w:val="003878FC"/>
    <w:rsid w:val="00395372"/>
    <w:rsid w:val="003A18AD"/>
    <w:rsid w:val="003A2557"/>
    <w:rsid w:val="003A4FC3"/>
    <w:rsid w:val="003A5099"/>
    <w:rsid w:val="003B0C70"/>
    <w:rsid w:val="003B1AB0"/>
    <w:rsid w:val="003B5884"/>
    <w:rsid w:val="003C151C"/>
    <w:rsid w:val="003C15DC"/>
    <w:rsid w:val="003C673A"/>
    <w:rsid w:val="003D6E9E"/>
    <w:rsid w:val="003E710D"/>
    <w:rsid w:val="003F6277"/>
    <w:rsid w:val="003F6CEB"/>
    <w:rsid w:val="00410DD8"/>
    <w:rsid w:val="00413EF3"/>
    <w:rsid w:val="0042471A"/>
    <w:rsid w:val="00425C6B"/>
    <w:rsid w:val="0042601D"/>
    <w:rsid w:val="00442259"/>
    <w:rsid w:val="004471C1"/>
    <w:rsid w:val="004533C4"/>
    <w:rsid w:val="0045608C"/>
    <w:rsid w:val="00456DC8"/>
    <w:rsid w:val="004644A4"/>
    <w:rsid w:val="004742FD"/>
    <w:rsid w:val="00476E7B"/>
    <w:rsid w:val="004855EB"/>
    <w:rsid w:val="0048561F"/>
    <w:rsid w:val="00485EE9"/>
    <w:rsid w:val="00486072"/>
    <w:rsid w:val="00487F0F"/>
    <w:rsid w:val="004923C8"/>
    <w:rsid w:val="004A5956"/>
    <w:rsid w:val="004A7ABD"/>
    <w:rsid w:val="004B268C"/>
    <w:rsid w:val="004C05AF"/>
    <w:rsid w:val="004C672A"/>
    <w:rsid w:val="004D026B"/>
    <w:rsid w:val="004D0D57"/>
    <w:rsid w:val="004D260C"/>
    <w:rsid w:val="004D596C"/>
    <w:rsid w:val="004D62E1"/>
    <w:rsid w:val="004D763A"/>
    <w:rsid w:val="004E2569"/>
    <w:rsid w:val="004E6913"/>
    <w:rsid w:val="004E76D1"/>
    <w:rsid w:val="004F162B"/>
    <w:rsid w:val="004F699B"/>
    <w:rsid w:val="00502AAC"/>
    <w:rsid w:val="005116DD"/>
    <w:rsid w:val="00513E75"/>
    <w:rsid w:val="00515489"/>
    <w:rsid w:val="0051745E"/>
    <w:rsid w:val="00524156"/>
    <w:rsid w:val="005251BB"/>
    <w:rsid w:val="00526A86"/>
    <w:rsid w:val="005314BE"/>
    <w:rsid w:val="00532040"/>
    <w:rsid w:val="00535D9F"/>
    <w:rsid w:val="00536429"/>
    <w:rsid w:val="0054499A"/>
    <w:rsid w:val="0056636B"/>
    <w:rsid w:val="00566493"/>
    <w:rsid w:val="00570628"/>
    <w:rsid w:val="0057207C"/>
    <w:rsid w:val="00573F15"/>
    <w:rsid w:val="005764EC"/>
    <w:rsid w:val="0057730D"/>
    <w:rsid w:val="00580484"/>
    <w:rsid w:val="00580D13"/>
    <w:rsid w:val="00590323"/>
    <w:rsid w:val="00590A29"/>
    <w:rsid w:val="005954F2"/>
    <w:rsid w:val="005A3F7B"/>
    <w:rsid w:val="005B0637"/>
    <w:rsid w:val="005B4401"/>
    <w:rsid w:val="005B61FE"/>
    <w:rsid w:val="005B684F"/>
    <w:rsid w:val="005C08C3"/>
    <w:rsid w:val="005D6DF9"/>
    <w:rsid w:val="005E0859"/>
    <w:rsid w:val="005E0E80"/>
    <w:rsid w:val="005E1308"/>
    <w:rsid w:val="005E56E1"/>
    <w:rsid w:val="005F1D82"/>
    <w:rsid w:val="005F23DC"/>
    <w:rsid w:val="005F2413"/>
    <w:rsid w:val="005F37D5"/>
    <w:rsid w:val="005F48B4"/>
    <w:rsid w:val="005F4ADB"/>
    <w:rsid w:val="00601C46"/>
    <w:rsid w:val="00601F0D"/>
    <w:rsid w:val="00602ADD"/>
    <w:rsid w:val="006036D8"/>
    <w:rsid w:val="00607E44"/>
    <w:rsid w:val="00610AC6"/>
    <w:rsid w:val="00612179"/>
    <w:rsid w:val="00613EB7"/>
    <w:rsid w:val="00617675"/>
    <w:rsid w:val="00627251"/>
    <w:rsid w:val="00627274"/>
    <w:rsid w:val="006305CF"/>
    <w:rsid w:val="00631151"/>
    <w:rsid w:val="0063593E"/>
    <w:rsid w:val="00636518"/>
    <w:rsid w:val="00641C66"/>
    <w:rsid w:val="00642D69"/>
    <w:rsid w:val="00646D57"/>
    <w:rsid w:val="006526D1"/>
    <w:rsid w:val="006552E0"/>
    <w:rsid w:val="006553D0"/>
    <w:rsid w:val="006638C1"/>
    <w:rsid w:val="00667561"/>
    <w:rsid w:val="00667BE5"/>
    <w:rsid w:val="00683E17"/>
    <w:rsid w:val="00690113"/>
    <w:rsid w:val="00692CD4"/>
    <w:rsid w:val="00697E36"/>
    <w:rsid w:val="006A7335"/>
    <w:rsid w:val="006B21CE"/>
    <w:rsid w:val="006B271F"/>
    <w:rsid w:val="006C27A6"/>
    <w:rsid w:val="006C56F9"/>
    <w:rsid w:val="006E1BC8"/>
    <w:rsid w:val="006E4E68"/>
    <w:rsid w:val="007058AC"/>
    <w:rsid w:val="00711BDD"/>
    <w:rsid w:val="0071203A"/>
    <w:rsid w:val="00716EC2"/>
    <w:rsid w:val="007256F8"/>
    <w:rsid w:val="0073664F"/>
    <w:rsid w:val="00742798"/>
    <w:rsid w:val="0074382E"/>
    <w:rsid w:val="007506DA"/>
    <w:rsid w:val="007517E1"/>
    <w:rsid w:val="00754ADB"/>
    <w:rsid w:val="007574F9"/>
    <w:rsid w:val="00764E8C"/>
    <w:rsid w:val="00767B99"/>
    <w:rsid w:val="00767EF1"/>
    <w:rsid w:val="00770E7D"/>
    <w:rsid w:val="00775F0A"/>
    <w:rsid w:val="00785BAA"/>
    <w:rsid w:val="007901F7"/>
    <w:rsid w:val="00794CF6"/>
    <w:rsid w:val="0079595C"/>
    <w:rsid w:val="00795BD8"/>
    <w:rsid w:val="0079711F"/>
    <w:rsid w:val="00797AA9"/>
    <w:rsid w:val="007B0682"/>
    <w:rsid w:val="007B0E65"/>
    <w:rsid w:val="007B2EF0"/>
    <w:rsid w:val="007B5696"/>
    <w:rsid w:val="007C6112"/>
    <w:rsid w:val="007E174D"/>
    <w:rsid w:val="007E52AA"/>
    <w:rsid w:val="007F5DDA"/>
    <w:rsid w:val="008009C1"/>
    <w:rsid w:val="008024A8"/>
    <w:rsid w:val="00811796"/>
    <w:rsid w:val="0081248C"/>
    <w:rsid w:val="008125CA"/>
    <w:rsid w:val="00823521"/>
    <w:rsid w:val="00825B15"/>
    <w:rsid w:val="0083336B"/>
    <w:rsid w:val="0083636E"/>
    <w:rsid w:val="00842D5C"/>
    <w:rsid w:val="008430D3"/>
    <w:rsid w:val="00844C65"/>
    <w:rsid w:val="008630B8"/>
    <w:rsid w:val="00863DE3"/>
    <w:rsid w:val="00872E32"/>
    <w:rsid w:val="00873AF2"/>
    <w:rsid w:val="00875274"/>
    <w:rsid w:val="00880E9D"/>
    <w:rsid w:val="00883422"/>
    <w:rsid w:val="008856EC"/>
    <w:rsid w:val="0088692E"/>
    <w:rsid w:val="008932A1"/>
    <w:rsid w:val="008A0D3F"/>
    <w:rsid w:val="008A0F26"/>
    <w:rsid w:val="008B4024"/>
    <w:rsid w:val="008C2DFF"/>
    <w:rsid w:val="008C3F4D"/>
    <w:rsid w:val="008D00DD"/>
    <w:rsid w:val="008D27A1"/>
    <w:rsid w:val="008D4478"/>
    <w:rsid w:val="008D4F0D"/>
    <w:rsid w:val="008E2122"/>
    <w:rsid w:val="008F11A5"/>
    <w:rsid w:val="008F492B"/>
    <w:rsid w:val="00900944"/>
    <w:rsid w:val="00907B42"/>
    <w:rsid w:val="009101B6"/>
    <w:rsid w:val="00913401"/>
    <w:rsid w:val="00914958"/>
    <w:rsid w:val="009154A9"/>
    <w:rsid w:val="0092013A"/>
    <w:rsid w:val="009213DC"/>
    <w:rsid w:val="00924FDF"/>
    <w:rsid w:val="00930D3B"/>
    <w:rsid w:val="0093173C"/>
    <w:rsid w:val="00931AD9"/>
    <w:rsid w:val="00932681"/>
    <w:rsid w:val="0093396C"/>
    <w:rsid w:val="00933EEF"/>
    <w:rsid w:val="009361CA"/>
    <w:rsid w:val="00936811"/>
    <w:rsid w:val="009418BD"/>
    <w:rsid w:val="0094531C"/>
    <w:rsid w:val="0095572F"/>
    <w:rsid w:val="00961DB7"/>
    <w:rsid w:val="00966A9A"/>
    <w:rsid w:val="00967D26"/>
    <w:rsid w:val="00972D16"/>
    <w:rsid w:val="00981995"/>
    <w:rsid w:val="0099189F"/>
    <w:rsid w:val="00993001"/>
    <w:rsid w:val="009938DF"/>
    <w:rsid w:val="00997B57"/>
    <w:rsid w:val="009A2873"/>
    <w:rsid w:val="009B31BB"/>
    <w:rsid w:val="009B37AE"/>
    <w:rsid w:val="009B6677"/>
    <w:rsid w:val="009C4E33"/>
    <w:rsid w:val="009C7BCD"/>
    <w:rsid w:val="009D029A"/>
    <w:rsid w:val="009D0DDD"/>
    <w:rsid w:val="009D3076"/>
    <w:rsid w:val="009D5C78"/>
    <w:rsid w:val="009D5DD9"/>
    <w:rsid w:val="009D62B8"/>
    <w:rsid w:val="009E058B"/>
    <w:rsid w:val="009E5EBB"/>
    <w:rsid w:val="009E664D"/>
    <w:rsid w:val="009E79E0"/>
    <w:rsid w:val="009F1872"/>
    <w:rsid w:val="009F3DEF"/>
    <w:rsid w:val="009F5BD4"/>
    <w:rsid w:val="00A00AD6"/>
    <w:rsid w:val="00A010D1"/>
    <w:rsid w:val="00A02ACD"/>
    <w:rsid w:val="00A03819"/>
    <w:rsid w:val="00A1203F"/>
    <w:rsid w:val="00A13D72"/>
    <w:rsid w:val="00A2567B"/>
    <w:rsid w:val="00A3228D"/>
    <w:rsid w:val="00A325F8"/>
    <w:rsid w:val="00A33BBF"/>
    <w:rsid w:val="00A35F2A"/>
    <w:rsid w:val="00A36B14"/>
    <w:rsid w:val="00A40EB9"/>
    <w:rsid w:val="00A53584"/>
    <w:rsid w:val="00A56747"/>
    <w:rsid w:val="00A617C6"/>
    <w:rsid w:val="00A62F8A"/>
    <w:rsid w:val="00A64E73"/>
    <w:rsid w:val="00A66FA2"/>
    <w:rsid w:val="00A672EA"/>
    <w:rsid w:val="00A804F4"/>
    <w:rsid w:val="00A81825"/>
    <w:rsid w:val="00A86EEB"/>
    <w:rsid w:val="00A90149"/>
    <w:rsid w:val="00A92F81"/>
    <w:rsid w:val="00AA1D35"/>
    <w:rsid w:val="00AA5870"/>
    <w:rsid w:val="00AA615D"/>
    <w:rsid w:val="00AC5D46"/>
    <w:rsid w:val="00AC5EB4"/>
    <w:rsid w:val="00AD1B68"/>
    <w:rsid w:val="00AD778F"/>
    <w:rsid w:val="00AE55CC"/>
    <w:rsid w:val="00AE6047"/>
    <w:rsid w:val="00AE7212"/>
    <w:rsid w:val="00AE721E"/>
    <w:rsid w:val="00B00132"/>
    <w:rsid w:val="00B01779"/>
    <w:rsid w:val="00B02810"/>
    <w:rsid w:val="00B06BE1"/>
    <w:rsid w:val="00B154A1"/>
    <w:rsid w:val="00B1626D"/>
    <w:rsid w:val="00B16413"/>
    <w:rsid w:val="00B17A04"/>
    <w:rsid w:val="00B17E03"/>
    <w:rsid w:val="00B20798"/>
    <w:rsid w:val="00B21788"/>
    <w:rsid w:val="00B23A9C"/>
    <w:rsid w:val="00B31064"/>
    <w:rsid w:val="00B42194"/>
    <w:rsid w:val="00B51474"/>
    <w:rsid w:val="00B53CDF"/>
    <w:rsid w:val="00B615FA"/>
    <w:rsid w:val="00B61C4A"/>
    <w:rsid w:val="00B635D0"/>
    <w:rsid w:val="00B6514C"/>
    <w:rsid w:val="00B6576E"/>
    <w:rsid w:val="00B66091"/>
    <w:rsid w:val="00B66629"/>
    <w:rsid w:val="00B716C6"/>
    <w:rsid w:val="00B74946"/>
    <w:rsid w:val="00B861B6"/>
    <w:rsid w:val="00B869CF"/>
    <w:rsid w:val="00B9101D"/>
    <w:rsid w:val="00B932A8"/>
    <w:rsid w:val="00B96273"/>
    <w:rsid w:val="00B9646D"/>
    <w:rsid w:val="00BA09E4"/>
    <w:rsid w:val="00BA1008"/>
    <w:rsid w:val="00BA415D"/>
    <w:rsid w:val="00BA4295"/>
    <w:rsid w:val="00BA7601"/>
    <w:rsid w:val="00BB0DE1"/>
    <w:rsid w:val="00BB2C93"/>
    <w:rsid w:val="00BB5183"/>
    <w:rsid w:val="00BC054B"/>
    <w:rsid w:val="00BC5A83"/>
    <w:rsid w:val="00BC7D3B"/>
    <w:rsid w:val="00BD0115"/>
    <w:rsid w:val="00BD05ED"/>
    <w:rsid w:val="00BE2C86"/>
    <w:rsid w:val="00BE340F"/>
    <w:rsid w:val="00BE5B0C"/>
    <w:rsid w:val="00BF2D1B"/>
    <w:rsid w:val="00BF34F4"/>
    <w:rsid w:val="00BF4109"/>
    <w:rsid w:val="00C0122C"/>
    <w:rsid w:val="00C04DEC"/>
    <w:rsid w:val="00C05D8B"/>
    <w:rsid w:val="00C119FF"/>
    <w:rsid w:val="00C12C33"/>
    <w:rsid w:val="00C13B72"/>
    <w:rsid w:val="00C1534A"/>
    <w:rsid w:val="00C1590F"/>
    <w:rsid w:val="00C16F24"/>
    <w:rsid w:val="00C217C2"/>
    <w:rsid w:val="00C218C5"/>
    <w:rsid w:val="00C22462"/>
    <w:rsid w:val="00C27505"/>
    <w:rsid w:val="00C27C13"/>
    <w:rsid w:val="00C32463"/>
    <w:rsid w:val="00C35C94"/>
    <w:rsid w:val="00C36F93"/>
    <w:rsid w:val="00C43317"/>
    <w:rsid w:val="00C4380B"/>
    <w:rsid w:val="00C4525F"/>
    <w:rsid w:val="00C45A8A"/>
    <w:rsid w:val="00C531FB"/>
    <w:rsid w:val="00C642CB"/>
    <w:rsid w:val="00C664FF"/>
    <w:rsid w:val="00C677F2"/>
    <w:rsid w:val="00C7052E"/>
    <w:rsid w:val="00C72A2A"/>
    <w:rsid w:val="00C737D2"/>
    <w:rsid w:val="00C75D49"/>
    <w:rsid w:val="00C82038"/>
    <w:rsid w:val="00C823C8"/>
    <w:rsid w:val="00C832A4"/>
    <w:rsid w:val="00C87F09"/>
    <w:rsid w:val="00C973C2"/>
    <w:rsid w:val="00CA136B"/>
    <w:rsid w:val="00CA38D9"/>
    <w:rsid w:val="00CB2516"/>
    <w:rsid w:val="00CB6752"/>
    <w:rsid w:val="00CC51B1"/>
    <w:rsid w:val="00CC5A7E"/>
    <w:rsid w:val="00CD0C39"/>
    <w:rsid w:val="00CD47BF"/>
    <w:rsid w:val="00CD6704"/>
    <w:rsid w:val="00CE33A0"/>
    <w:rsid w:val="00CE7738"/>
    <w:rsid w:val="00CF6F5E"/>
    <w:rsid w:val="00CF71E0"/>
    <w:rsid w:val="00D117B5"/>
    <w:rsid w:val="00D14E88"/>
    <w:rsid w:val="00D15370"/>
    <w:rsid w:val="00D16513"/>
    <w:rsid w:val="00D20C61"/>
    <w:rsid w:val="00D21788"/>
    <w:rsid w:val="00D35341"/>
    <w:rsid w:val="00D36474"/>
    <w:rsid w:val="00D37871"/>
    <w:rsid w:val="00D40FAC"/>
    <w:rsid w:val="00D42734"/>
    <w:rsid w:val="00D458FD"/>
    <w:rsid w:val="00D45E9E"/>
    <w:rsid w:val="00D47F03"/>
    <w:rsid w:val="00D52A18"/>
    <w:rsid w:val="00D55A77"/>
    <w:rsid w:val="00D61F6D"/>
    <w:rsid w:val="00D6294D"/>
    <w:rsid w:val="00D64EC8"/>
    <w:rsid w:val="00D774B0"/>
    <w:rsid w:val="00D77F23"/>
    <w:rsid w:val="00D819AB"/>
    <w:rsid w:val="00D824F8"/>
    <w:rsid w:val="00D831C9"/>
    <w:rsid w:val="00D91830"/>
    <w:rsid w:val="00D93678"/>
    <w:rsid w:val="00D95671"/>
    <w:rsid w:val="00DA41BC"/>
    <w:rsid w:val="00DA474E"/>
    <w:rsid w:val="00DA503E"/>
    <w:rsid w:val="00DA6015"/>
    <w:rsid w:val="00DA6711"/>
    <w:rsid w:val="00DA6BC7"/>
    <w:rsid w:val="00DB26A8"/>
    <w:rsid w:val="00DB4EF4"/>
    <w:rsid w:val="00DB7332"/>
    <w:rsid w:val="00DB7B03"/>
    <w:rsid w:val="00DC1412"/>
    <w:rsid w:val="00DD286F"/>
    <w:rsid w:val="00DD70C8"/>
    <w:rsid w:val="00DD726B"/>
    <w:rsid w:val="00DD7CEB"/>
    <w:rsid w:val="00DE1AED"/>
    <w:rsid w:val="00DE4380"/>
    <w:rsid w:val="00DE55C1"/>
    <w:rsid w:val="00DE5E6C"/>
    <w:rsid w:val="00DF206E"/>
    <w:rsid w:val="00DF632B"/>
    <w:rsid w:val="00E02266"/>
    <w:rsid w:val="00E0301F"/>
    <w:rsid w:val="00E0493B"/>
    <w:rsid w:val="00E064A0"/>
    <w:rsid w:val="00E07AFC"/>
    <w:rsid w:val="00E12170"/>
    <w:rsid w:val="00E139B3"/>
    <w:rsid w:val="00E1684B"/>
    <w:rsid w:val="00E2447E"/>
    <w:rsid w:val="00E35EC1"/>
    <w:rsid w:val="00E36CA8"/>
    <w:rsid w:val="00E46A0A"/>
    <w:rsid w:val="00E56058"/>
    <w:rsid w:val="00E56DD3"/>
    <w:rsid w:val="00E61DD7"/>
    <w:rsid w:val="00E6297A"/>
    <w:rsid w:val="00E65860"/>
    <w:rsid w:val="00E663C5"/>
    <w:rsid w:val="00E66CAC"/>
    <w:rsid w:val="00E749B0"/>
    <w:rsid w:val="00E74BEB"/>
    <w:rsid w:val="00E75BF8"/>
    <w:rsid w:val="00E7740C"/>
    <w:rsid w:val="00E81DE9"/>
    <w:rsid w:val="00E849FA"/>
    <w:rsid w:val="00E953E3"/>
    <w:rsid w:val="00EA31AA"/>
    <w:rsid w:val="00EA7F87"/>
    <w:rsid w:val="00EB0325"/>
    <w:rsid w:val="00EB7D6E"/>
    <w:rsid w:val="00EC2BCC"/>
    <w:rsid w:val="00EC77A6"/>
    <w:rsid w:val="00ED2C4E"/>
    <w:rsid w:val="00ED334E"/>
    <w:rsid w:val="00ED4144"/>
    <w:rsid w:val="00EE233D"/>
    <w:rsid w:val="00EE257A"/>
    <w:rsid w:val="00EE31DF"/>
    <w:rsid w:val="00EE63D1"/>
    <w:rsid w:val="00EF0713"/>
    <w:rsid w:val="00EF37CB"/>
    <w:rsid w:val="00EF50D2"/>
    <w:rsid w:val="00EF6FA2"/>
    <w:rsid w:val="00F11B4B"/>
    <w:rsid w:val="00F12B1E"/>
    <w:rsid w:val="00F20C72"/>
    <w:rsid w:val="00F20D81"/>
    <w:rsid w:val="00F21B1B"/>
    <w:rsid w:val="00F235F9"/>
    <w:rsid w:val="00F26433"/>
    <w:rsid w:val="00F27AB8"/>
    <w:rsid w:val="00F30664"/>
    <w:rsid w:val="00F32605"/>
    <w:rsid w:val="00F3661B"/>
    <w:rsid w:val="00F40921"/>
    <w:rsid w:val="00F416EF"/>
    <w:rsid w:val="00F42966"/>
    <w:rsid w:val="00F536B0"/>
    <w:rsid w:val="00F53A22"/>
    <w:rsid w:val="00F55A6D"/>
    <w:rsid w:val="00F57DA5"/>
    <w:rsid w:val="00F60624"/>
    <w:rsid w:val="00F62C5A"/>
    <w:rsid w:val="00F64F63"/>
    <w:rsid w:val="00F7339C"/>
    <w:rsid w:val="00F74B09"/>
    <w:rsid w:val="00F75CA5"/>
    <w:rsid w:val="00F80136"/>
    <w:rsid w:val="00F845C5"/>
    <w:rsid w:val="00F8567A"/>
    <w:rsid w:val="00F94026"/>
    <w:rsid w:val="00F96377"/>
    <w:rsid w:val="00F96B2B"/>
    <w:rsid w:val="00FA21DD"/>
    <w:rsid w:val="00FB328D"/>
    <w:rsid w:val="00FB4BA9"/>
    <w:rsid w:val="00FD5CF5"/>
    <w:rsid w:val="00FE0561"/>
    <w:rsid w:val="00FE48F2"/>
    <w:rsid w:val="00FF0E73"/>
    <w:rsid w:val="00FF1993"/>
    <w:rsid w:val="00FF4AAF"/>
    <w:rsid w:val="00FF4D6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F13B6"/>
  <w15:chartTrackingRefBased/>
  <w15:docId w15:val="{471E0C02-94AE-4868-B71E-F8638896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39B3"/>
    <w:pPr>
      <w:spacing w:after="0" w:line="276" w:lineRule="auto"/>
    </w:pPr>
    <w:rPr>
      <w:rFonts w:ascii="Times New Roman" w:eastAsia="Arial" w:hAnsi="Times New Roman" w:cs="Arial"/>
      <w:color w:val="000000"/>
      <w:szCs w:val="20"/>
      <w:lang w:val="en-US"/>
    </w:rPr>
  </w:style>
  <w:style w:type="paragraph" w:styleId="Heading1">
    <w:name w:val="heading 1"/>
    <w:basedOn w:val="Normal"/>
    <w:next w:val="Normal"/>
    <w:link w:val="Heading1Char"/>
    <w:qFormat/>
    <w:rsid w:val="00E139B3"/>
    <w:pPr>
      <w:keepNext/>
      <w:keepLines/>
      <w:spacing w:before="200"/>
      <w:contextualSpacing/>
      <w:outlineLvl w:val="0"/>
    </w:pPr>
    <w:rPr>
      <w:rFonts w:eastAsia="Trebuchet MS" w:cs="Trebuchet MS"/>
      <w:b/>
      <w:sz w:val="28"/>
    </w:rPr>
  </w:style>
  <w:style w:type="paragraph" w:styleId="Heading2">
    <w:name w:val="heading 2"/>
    <w:basedOn w:val="Normal"/>
    <w:next w:val="Normal"/>
    <w:link w:val="Heading2Char"/>
    <w:qFormat/>
    <w:rsid w:val="00E139B3"/>
    <w:pPr>
      <w:keepNext/>
      <w:keepLines/>
      <w:spacing w:before="200"/>
      <w:contextualSpacing/>
      <w:outlineLvl w:val="1"/>
    </w:pPr>
    <w:rPr>
      <w:rFonts w:eastAsia="Trebuchet MS" w:cs="Trebuchet MS"/>
      <w:b/>
      <w:sz w:val="26"/>
      <w:u w:val="single"/>
    </w:rPr>
  </w:style>
  <w:style w:type="paragraph" w:styleId="Heading3">
    <w:name w:val="heading 3"/>
    <w:basedOn w:val="Normal"/>
    <w:next w:val="Normal"/>
    <w:link w:val="Heading3Char"/>
    <w:qFormat/>
    <w:rsid w:val="00E139B3"/>
    <w:pPr>
      <w:keepNext/>
      <w:keepLines/>
      <w:spacing w:before="160"/>
      <w:contextualSpacing/>
      <w:outlineLvl w:val="2"/>
    </w:pPr>
    <w:rPr>
      <w:rFonts w:eastAsia="Trebuchet MS" w:cs="Trebuchet MS"/>
      <w:b/>
      <w:color w:val="auto"/>
      <w:sz w:val="24"/>
    </w:rPr>
  </w:style>
  <w:style w:type="paragraph" w:styleId="Heading4">
    <w:name w:val="heading 4"/>
    <w:basedOn w:val="Normal"/>
    <w:next w:val="Normal"/>
    <w:link w:val="Heading4Char"/>
    <w:qFormat/>
    <w:rsid w:val="00E139B3"/>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link w:val="Heading5Char"/>
    <w:rsid w:val="00E139B3"/>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link w:val="Heading6Char"/>
    <w:rsid w:val="00E139B3"/>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39B3"/>
    <w:rPr>
      <w:rFonts w:ascii="Times New Roman" w:eastAsia="Trebuchet MS" w:hAnsi="Times New Roman" w:cs="Trebuchet MS"/>
      <w:b/>
      <w:color w:val="000000"/>
      <w:sz w:val="28"/>
      <w:szCs w:val="20"/>
      <w:lang w:val="en-US"/>
    </w:rPr>
  </w:style>
  <w:style w:type="character" w:customStyle="1" w:styleId="Heading2Char">
    <w:name w:val="Heading 2 Char"/>
    <w:basedOn w:val="DefaultParagraphFont"/>
    <w:link w:val="Heading2"/>
    <w:rsid w:val="00E139B3"/>
    <w:rPr>
      <w:rFonts w:ascii="Times New Roman" w:eastAsia="Trebuchet MS" w:hAnsi="Times New Roman" w:cs="Trebuchet MS"/>
      <w:b/>
      <w:color w:val="000000"/>
      <w:sz w:val="26"/>
      <w:szCs w:val="20"/>
      <w:u w:val="single"/>
      <w:lang w:val="en-US"/>
    </w:rPr>
  </w:style>
  <w:style w:type="character" w:customStyle="1" w:styleId="Heading3Char">
    <w:name w:val="Heading 3 Char"/>
    <w:basedOn w:val="DefaultParagraphFont"/>
    <w:link w:val="Heading3"/>
    <w:rsid w:val="00E139B3"/>
    <w:rPr>
      <w:rFonts w:ascii="Times New Roman" w:eastAsia="Trebuchet MS" w:hAnsi="Times New Roman" w:cs="Trebuchet MS"/>
      <w:b/>
      <w:sz w:val="24"/>
      <w:szCs w:val="20"/>
      <w:lang w:val="en-US"/>
    </w:rPr>
  </w:style>
  <w:style w:type="character" w:customStyle="1" w:styleId="Heading4Char">
    <w:name w:val="Heading 4 Char"/>
    <w:basedOn w:val="DefaultParagraphFont"/>
    <w:link w:val="Heading4"/>
    <w:rsid w:val="00E139B3"/>
    <w:rPr>
      <w:rFonts w:ascii="Trebuchet MS" w:eastAsia="Trebuchet MS" w:hAnsi="Trebuchet MS" w:cs="Trebuchet MS"/>
      <w:color w:val="666666"/>
      <w:szCs w:val="20"/>
      <w:u w:val="single"/>
      <w:lang w:val="en-US"/>
    </w:rPr>
  </w:style>
  <w:style w:type="character" w:customStyle="1" w:styleId="Heading5Char">
    <w:name w:val="Heading 5 Char"/>
    <w:basedOn w:val="DefaultParagraphFont"/>
    <w:link w:val="Heading5"/>
    <w:rsid w:val="00E139B3"/>
    <w:rPr>
      <w:rFonts w:ascii="Trebuchet MS" w:eastAsia="Trebuchet MS" w:hAnsi="Trebuchet MS" w:cs="Trebuchet MS"/>
      <w:color w:val="666666"/>
      <w:szCs w:val="20"/>
      <w:lang w:val="en-US"/>
    </w:rPr>
  </w:style>
  <w:style w:type="character" w:customStyle="1" w:styleId="Heading6Char">
    <w:name w:val="Heading 6 Char"/>
    <w:basedOn w:val="DefaultParagraphFont"/>
    <w:link w:val="Heading6"/>
    <w:rsid w:val="00E139B3"/>
    <w:rPr>
      <w:rFonts w:ascii="Trebuchet MS" w:eastAsia="Trebuchet MS" w:hAnsi="Trebuchet MS" w:cs="Trebuchet MS"/>
      <w:i/>
      <w:color w:val="666666"/>
      <w:szCs w:val="20"/>
      <w:lang w:val="en-US"/>
    </w:rPr>
  </w:style>
  <w:style w:type="paragraph" w:styleId="Title">
    <w:name w:val="Title"/>
    <w:basedOn w:val="Normal"/>
    <w:next w:val="Normal"/>
    <w:link w:val="TitleChar"/>
    <w:rsid w:val="00E139B3"/>
    <w:pPr>
      <w:keepNext/>
      <w:keepLines/>
      <w:contextualSpacing/>
    </w:pPr>
    <w:rPr>
      <w:rFonts w:eastAsia="Trebuchet MS" w:cs="Trebuchet MS"/>
      <w:b/>
      <w:sz w:val="32"/>
    </w:rPr>
  </w:style>
  <w:style w:type="character" w:customStyle="1" w:styleId="TitleChar">
    <w:name w:val="Title Char"/>
    <w:basedOn w:val="DefaultParagraphFont"/>
    <w:link w:val="Title"/>
    <w:rsid w:val="00E139B3"/>
    <w:rPr>
      <w:rFonts w:ascii="Times New Roman" w:eastAsia="Trebuchet MS" w:hAnsi="Times New Roman" w:cs="Trebuchet MS"/>
      <w:b/>
      <w:color w:val="000000"/>
      <w:sz w:val="32"/>
      <w:szCs w:val="20"/>
      <w:lang w:val="en-US"/>
    </w:rPr>
  </w:style>
  <w:style w:type="paragraph" w:styleId="Subtitle">
    <w:name w:val="Subtitle"/>
    <w:basedOn w:val="Normal"/>
    <w:next w:val="Normal"/>
    <w:link w:val="SubtitleChar"/>
    <w:rsid w:val="00E139B3"/>
    <w:pPr>
      <w:keepNext/>
      <w:keepLines/>
      <w:spacing w:after="200"/>
      <w:contextualSpacing/>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E139B3"/>
    <w:rPr>
      <w:rFonts w:ascii="Trebuchet MS" w:eastAsia="Trebuchet MS" w:hAnsi="Trebuchet MS" w:cs="Trebuchet MS"/>
      <w:i/>
      <w:color w:val="666666"/>
      <w:sz w:val="26"/>
      <w:szCs w:val="20"/>
      <w:lang w:val="en-US"/>
    </w:rPr>
  </w:style>
  <w:style w:type="paragraph" w:styleId="CommentText">
    <w:name w:val="annotation text"/>
    <w:basedOn w:val="Normal"/>
    <w:link w:val="CommentTextChar"/>
    <w:uiPriority w:val="99"/>
    <w:unhideWhenUsed/>
    <w:rsid w:val="00E139B3"/>
    <w:pPr>
      <w:spacing w:line="240" w:lineRule="auto"/>
    </w:pPr>
    <w:rPr>
      <w:sz w:val="20"/>
    </w:rPr>
  </w:style>
  <w:style w:type="character" w:customStyle="1" w:styleId="CommentTextChar">
    <w:name w:val="Comment Text Char"/>
    <w:basedOn w:val="DefaultParagraphFont"/>
    <w:link w:val="CommentText"/>
    <w:uiPriority w:val="99"/>
    <w:rsid w:val="00E139B3"/>
    <w:rPr>
      <w:rFonts w:ascii="Times New Roman" w:eastAsia="Arial" w:hAnsi="Times New Roman" w:cs="Arial"/>
      <w:color w:val="000000"/>
      <w:sz w:val="20"/>
      <w:szCs w:val="20"/>
      <w:lang w:val="en-US"/>
    </w:rPr>
  </w:style>
  <w:style w:type="character" w:styleId="CommentReference">
    <w:name w:val="annotation reference"/>
    <w:basedOn w:val="DefaultParagraphFont"/>
    <w:uiPriority w:val="99"/>
    <w:semiHidden/>
    <w:unhideWhenUsed/>
    <w:rsid w:val="00E139B3"/>
    <w:rPr>
      <w:sz w:val="16"/>
      <w:szCs w:val="16"/>
    </w:rPr>
  </w:style>
  <w:style w:type="paragraph" w:styleId="BalloonText">
    <w:name w:val="Balloon Text"/>
    <w:basedOn w:val="Normal"/>
    <w:link w:val="BalloonTextChar"/>
    <w:uiPriority w:val="99"/>
    <w:semiHidden/>
    <w:unhideWhenUsed/>
    <w:rsid w:val="00E139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9B3"/>
    <w:rPr>
      <w:rFonts w:ascii="Segoe UI" w:eastAsia="Arial" w:hAnsi="Segoe UI" w:cs="Segoe UI"/>
      <w:color w:val="000000"/>
      <w:sz w:val="18"/>
      <w:szCs w:val="18"/>
      <w:lang w:val="en-US"/>
    </w:rPr>
  </w:style>
  <w:style w:type="paragraph" w:styleId="Header">
    <w:name w:val="header"/>
    <w:basedOn w:val="Normal"/>
    <w:link w:val="HeaderChar"/>
    <w:uiPriority w:val="99"/>
    <w:unhideWhenUsed/>
    <w:rsid w:val="00E139B3"/>
    <w:pPr>
      <w:tabs>
        <w:tab w:val="center" w:pos="4680"/>
        <w:tab w:val="right" w:pos="9360"/>
      </w:tabs>
      <w:spacing w:line="240" w:lineRule="auto"/>
    </w:pPr>
  </w:style>
  <w:style w:type="character" w:customStyle="1" w:styleId="HeaderChar">
    <w:name w:val="Header Char"/>
    <w:basedOn w:val="DefaultParagraphFont"/>
    <w:link w:val="Header"/>
    <w:uiPriority w:val="99"/>
    <w:rsid w:val="00E139B3"/>
    <w:rPr>
      <w:rFonts w:ascii="Times New Roman" w:eastAsia="Arial" w:hAnsi="Times New Roman" w:cs="Arial"/>
      <w:color w:val="000000"/>
      <w:szCs w:val="20"/>
      <w:lang w:val="en-US"/>
    </w:rPr>
  </w:style>
  <w:style w:type="paragraph" w:styleId="Footer">
    <w:name w:val="footer"/>
    <w:basedOn w:val="Normal"/>
    <w:link w:val="FooterChar"/>
    <w:uiPriority w:val="99"/>
    <w:unhideWhenUsed/>
    <w:rsid w:val="00E139B3"/>
    <w:pPr>
      <w:tabs>
        <w:tab w:val="center" w:pos="4680"/>
        <w:tab w:val="right" w:pos="9360"/>
      </w:tabs>
      <w:spacing w:line="240" w:lineRule="auto"/>
    </w:pPr>
  </w:style>
  <w:style w:type="character" w:customStyle="1" w:styleId="FooterChar">
    <w:name w:val="Footer Char"/>
    <w:basedOn w:val="DefaultParagraphFont"/>
    <w:link w:val="Footer"/>
    <w:uiPriority w:val="99"/>
    <w:rsid w:val="00E139B3"/>
    <w:rPr>
      <w:rFonts w:ascii="Times New Roman" w:eastAsia="Arial" w:hAnsi="Times New Roman" w:cs="Arial"/>
      <w:color w:val="000000"/>
      <w:szCs w:val="20"/>
      <w:lang w:val="en-US"/>
    </w:rPr>
  </w:style>
  <w:style w:type="paragraph" w:customStyle="1" w:styleId="EndNoteBibliographyTitle">
    <w:name w:val="EndNote Bibliography Title"/>
    <w:basedOn w:val="Normal"/>
    <w:link w:val="EndNoteBibliographyTitleChar"/>
    <w:rsid w:val="00E139B3"/>
    <w:pPr>
      <w:jc w:val="center"/>
    </w:pPr>
    <w:rPr>
      <w:rFonts w:cs="Times New Roman"/>
      <w:noProof/>
    </w:rPr>
  </w:style>
  <w:style w:type="character" w:customStyle="1" w:styleId="EndNoteBibliographyTitleChar">
    <w:name w:val="EndNote Bibliography Title Char"/>
    <w:basedOn w:val="DefaultParagraphFont"/>
    <w:link w:val="EndNoteBibliographyTitle"/>
    <w:rsid w:val="00E139B3"/>
    <w:rPr>
      <w:rFonts w:ascii="Times New Roman" w:eastAsia="Arial" w:hAnsi="Times New Roman" w:cs="Times New Roman"/>
      <w:noProof/>
      <w:color w:val="000000"/>
      <w:szCs w:val="20"/>
      <w:lang w:val="en-US"/>
    </w:rPr>
  </w:style>
  <w:style w:type="paragraph" w:customStyle="1" w:styleId="EndNoteBibliography">
    <w:name w:val="EndNote Bibliography"/>
    <w:basedOn w:val="Normal"/>
    <w:link w:val="EndNoteBibliographyChar"/>
    <w:rsid w:val="00E139B3"/>
    <w:pPr>
      <w:spacing w:line="240" w:lineRule="auto"/>
    </w:pPr>
    <w:rPr>
      <w:rFonts w:cs="Times New Roman"/>
      <w:noProof/>
    </w:rPr>
  </w:style>
  <w:style w:type="character" w:customStyle="1" w:styleId="EndNoteBibliographyChar">
    <w:name w:val="EndNote Bibliography Char"/>
    <w:basedOn w:val="DefaultParagraphFont"/>
    <w:link w:val="EndNoteBibliography"/>
    <w:rsid w:val="00E139B3"/>
    <w:rPr>
      <w:rFonts w:ascii="Times New Roman" w:eastAsia="Arial" w:hAnsi="Times New Roman" w:cs="Times New Roman"/>
      <w:noProof/>
      <w:color w:val="000000"/>
      <w:szCs w:val="20"/>
      <w:lang w:val="en-US"/>
    </w:rPr>
  </w:style>
  <w:style w:type="paragraph" w:styleId="ListParagraph">
    <w:name w:val="List Paragraph"/>
    <w:basedOn w:val="Normal"/>
    <w:uiPriority w:val="34"/>
    <w:qFormat/>
    <w:rsid w:val="00E139B3"/>
    <w:pPr>
      <w:ind w:left="720"/>
      <w:contextualSpacing/>
    </w:pPr>
  </w:style>
  <w:style w:type="table" w:styleId="TableGrid">
    <w:name w:val="Table Grid"/>
    <w:basedOn w:val="TableNormal"/>
    <w:uiPriority w:val="39"/>
    <w:rsid w:val="00E139B3"/>
    <w:pPr>
      <w:spacing w:after="0" w:line="240" w:lineRule="auto"/>
    </w:pPr>
    <w:rPr>
      <w:rFonts w:ascii="Arial" w:eastAsia="Arial" w:hAnsi="Arial" w:cs="Arial"/>
      <w:color w:val="00000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139B3"/>
    <w:rPr>
      <w:b/>
      <w:bCs/>
    </w:rPr>
  </w:style>
  <w:style w:type="character" w:customStyle="1" w:styleId="CommentSubjectChar">
    <w:name w:val="Comment Subject Char"/>
    <w:basedOn w:val="CommentTextChar"/>
    <w:link w:val="CommentSubject"/>
    <w:uiPriority w:val="99"/>
    <w:semiHidden/>
    <w:rsid w:val="00E139B3"/>
    <w:rPr>
      <w:rFonts w:ascii="Times New Roman" w:eastAsia="Arial" w:hAnsi="Times New Roman" w:cs="Arial"/>
      <w:b/>
      <w:bCs/>
      <w:color w:val="000000"/>
      <w:sz w:val="20"/>
      <w:szCs w:val="20"/>
      <w:lang w:val="en-US"/>
    </w:rPr>
  </w:style>
  <w:style w:type="paragraph" w:styleId="Revision">
    <w:name w:val="Revision"/>
    <w:hidden/>
    <w:uiPriority w:val="99"/>
    <w:semiHidden/>
    <w:rsid w:val="00E139B3"/>
    <w:pPr>
      <w:spacing w:after="0" w:line="240" w:lineRule="auto"/>
    </w:pPr>
    <w:rPr>
      <w:rFonts w:ascii="Times New Roman" w:eastAsia="Arial" w:hAnsi="Times New Roman" w:cs="Arial"/>
      <w:color w:val="000000"/>
      <w:szCs w:val="20"/>
      <w:lang w:val="en-US"/>
    </w:rPr>
  </w:style>
  <w:style w:type="paragraph" w:styleId="FootnoteText">
    <w:name w:val="footnote text"/>
    <w:basedOn w:val="Normal"/>
    <w:link w:val="FootnoteTextChar"/>
    <w:uiPriority w:val="99"/>
    <w:semiHidden/>
    <w:unhideWhenUsed/>
    <w:rsid w:val="00E139B3"/>
    <w:pPr>
      <w:spacing w:line="240" w:lineRule="auto"/>
    </w:pPr>
    <w:rPr>
      <w:sz w:val="20"/>
    </w:rPr>
  </w:style>
  <w:style w:type="character" w:customStyle="1" w:styleId="FootnoteTextChar">
    <w:name w:val="Footnote Text Char"/>
    <w:basedOn w:val="DefaultParagraphFont"/>
    <w:link w:val="FootnoteText"/>
    <w:uiPriority w:val="99"/>
    <w:semiHidden/>
    <w:rsid w:val="00E139B3"/>
    <w:rPr>
      <w:rFonts w:ascii="Times New Roman" w:eastAsia="Arial" w:hAnsi="Times New Roman" w:cs="Arial"/>
      <w:color w:val="000000"/>
      <w:sz w:val="20"/>
      <w:szCs w:val="20"/>
      <w:lang w:val="en-US"/>
    </w:rPr>
  </w:style>
  <w:style w:type="character" w:styleId="FootnoteReference">
    <w:name w:val="footnote reference"/>
    <w:basedOn w:val="DefaultParagraphFont"/>
    <w:uiPriority w:val="99"/>
    <w:semiHidden/>
    <w:unhideWhenUsed/>
    <w:rsid w:val="00E139B3"/>
    <w:rPr>
      <w:vertAlign w:val="superscript"/>
    </w:rPr>
  </w:style>
  <w:style w:type="paragraph" w:styleId="NormalWeb">
    <w:name w:val="Normal (Web)"/>
    <w:basedOn w:val="Normal"/>
    <w:uiPriority w:val="99"/>
    <w:unhideWhenUsed/>
    <w:rsid w:val="00E139B3"/>
    <w:pPr>
      <w:spacing w:before="100" w:beforeAutospacing="1" w:after="100" w:afterAutospacing="1" w:line="240" w:lineRule="auto"/>
    </w:pPr>
    <w:rPr>
      <w:rFonts w:eastAsia="Times New Roman" w:cs="Times New Roman"/>
      <w:color w:val="auto"/>
      <w:sz w:val="24"/>
      <w:szCs w:val="24"/>
      <w:lang w:val="en-GB" w:eastAsia="en-GB"/>
    </w:rPr>
  </w:style>
  <w:style w:type="character" w:styleId="LineNumber">
    <w:name w:val="line number"/>
    <w:basedOn w:val="DefaultParagraphFont"/>
    <w:uiPriority w:val="99"/>
    <w:semiHidden/>
    <w:unhideWhenUsed/>
    <w:rsid w:val="00E139B3"/>
  </w:style>
  <w:style w:type="character" w:styleId="Hyperlink">
    <w:name w:val="Hyperlink"/>
    <w:basedOn w:val="DefaultParagraphFont"/>
    <w:uiPriority w:val="99"/>
    <w:unhideWhenUsed/>
    <w:rsid w:val="00E139B3"/>
    <w:rPr>
      <w:color w:val="0000FF"/>
      <w:u w:val="single"/>
    </w:rPr>
  </w:style>
  <w:style w:type="character" w:styleId="Strong">
    <w:name w:val="Strong"/>
    <w:basedOn w:val="DefaultParagraphFont"/>
    <w:uiPriority w:val="22"/>
    <w:qFormat/>
    <w:rsid w:val="00E139B3"/>
    <w:rPr>
      <w:b/>
      <w:bCs/>
    </w:rPr>
  </w:style>
  <w:style w:type="character" w:styleId="Emphasis">
    <w:name w:val="Emphasis"/>
    <w:basedOn w:val="DefaultParagraphFont"/>
    <w:uiPriority w:val="20"/>
    <w:qFormat/>
    <w:rsid w:val="00E139B3"/>
    <w:rPr>
      <w:i/>
      <w:iCs/>
    </w:rPr>
  </w:style>
  <w:style w:type="paragraph" w:customStyle="1" w:styleId="minuscar">
    <w:name w:val="minus_car"/>
    <w:basedOn w:val="Normal"/>
    <w:rsid w:val="00E139B3"/>
    <w:pPr>
      <w:spacing w:before="100" w:beforeAutospacing="1" w:after="100" w:afterAutospacing="1" w:line="240" w:lineRule="auto"/>
    </w:pPr>
    <w:rPr>
      <w:rFonts w:eastAsia="Times New Roman" w:cs="Times New Roman"/>
      <w:color w:val="auto"/>
      <w:sz w:val="24"/>
      <w:szCs w:val="24"/>
      <w:lang w:val="en-GB" w:eastAsia="en-GB"/>
    </w:rPr>
  </w:style>
  <w:style w:type="character" w:customStyle="1" w:styleId="author">
    <w:name w:val="author"/>
    <w:basedOn w:val="DefaultParagraphFont"/>
    <w:rsid w:val="00E139B3"/>
  </w:style>
  <w:style w:type="character" w:customStyle="1" w:styleId="journaltitle">
    <w:name w:val="journaltitle"/>
    <w:basedOn w:val="DefaultParagraphFont"/>
    <w:rsid w:val="00E139B3"/>
  </w:style>
  <w:style w:type="character" w:customStyle="1" w:styleId="pubyear">
    <w:name w:val="pubyear"/>
    <w:basedOn w:val="DefaultParagraphFont"/>
    <w:rsid w:val="00E139B3"/>
  </w:style>
  <w:style w:type="character" w:customStyle="1" w:styleId="vol">
    <w:name w:val="vol"/>
    <w:basedOn w:val="DefaultParagraphFont"/>
    <w:rsid w:val="00E139B3"/>
  </w:style>
  <w:style w:type="character" w:customStyle="1" w:styleId="pagefirst">
    <w:name w:val="pagefirst"/>
    <w:basedOn w:val="DefaultParagraphFont"/>
    <w:rsid w:val="00E139B3"/>
  </w:style>
  <w:style w:type="character" w:customStyle="1" w:styleId="pagelast">
    <w:name w:val="pagelast"/>
    <w:basedOn w:val="DefaultParagraphFont"/>
    <w:rsid w:val="00E139B3"/>
  </w:style>
  <w:style w:type="character" w:customStyle="1" w:styleId="ref-journal">
    <w:name w:val="ref-journal"/>
    <w:basedOn w:val="DefaultParagraphFont"/>
    <w:rsid w:val="00E139B3"/>
  </w:style>
  <w:style w:type="character" w:customStyle="1" w:styleId="ref-vol">
    <w:name w:val="ref-vol"/>
    <w:basedOn w:val="DefaultParagraphFont"/>
    <w:rsid w:val="00E139B3"/>
  </w:style>
  <w:style w:type="paragraph" w:customStyle="1" w:styleId="Default">
    <w:name w:val="Default"/>
    <w:rsid w:val="00E139B3"/>
    <w:pPr>
      <w:autoSpaceDE w:val="0"/>
      <w:autoSpaceDN w:val="0"/>
      <w:adjustRightInd w:val="0"/>
      <w:spacing w:after="0" w:line="240" w:lineRule="auto"/>
    </w:pPr>
    <w:rPr>
      <w:rFonts w:ascii="Calibri" w:eastAsia="Arial" w:hAnsi="Calibri" w:cs="Calibri"/>
      <w:color w:val="000000"/>
      <w:sz w:val="24"/>
      <w:szCs w:val="24"/>
    </w:rPr>
  </w:style>
  <w:style w:type="paragraph" w:styleId="EndnoteText">
    <w:name w:val="endnote text"/>
    <w:basedOn w:val="Normal"/>
    <w:link w:val="EndnoteTextChar"/>
    <w:uiPriority w:val="99"/>
    <w:semiHidden/>
    <w:unhideWhenUsed/>
    <w:rsid w:val="00E139B3"/>
    <w:pPr>
      <w:spacing w:line="240" w:lineRule="auto"/>
    </w:pPr>
    <w:rPr>
      <w:sz w:val="20"/>
    </w:rPr>
  </w:style>
  <w:style w:type="character" w:customStyle="1" w:styleId="EndnoteTextChar">
    <w:name w:val="Endnote Text Char"/>
    <w:basedOn w:val="DefaultParagraphFont"/>
    <w:link w:val="EndnoteText"/>
    <w:uiPriority w:val="99"/>
    <w:semiHidden/>
    <w:rsid w:val="00E139B3"/>
    <w:rPr>
      <w:rFonts w:ascii="Times New Roman" w:eastAsia="Arial" w:hAnsi="Times New Roman" w:cs="Arial"/>
      <w:color w:val="000000"/>
      <w:sz w:val="20"/>
      <w:szCs w:val="20"/>
      <w:lang w:val="en-US"/>
    </w:rPr>
  </w:style>
  <w:style w:type="character" w:styleId="EndnoteReference">
    <w:name w:val="endnote reference"/>
    <w:basedOn w:val="DefaultParagraphFont"/>
    <w:uiPriority w:val="99"/>
    <w:semiHidden/>
    <w:unhideWhenUsed/>
    <w:rsid w:val="00E139B3"/>
    <w:rPr>
      <w:vertAlign w:val="superscript"/>
    </w:rPr>
  </w:style>
  <w:style w:type="character" w:customStyle="1" w:styleId="label">
    <w:name w:val="label"/>
    <w:basedOn w:val="DefaultParagraphFont"/>
    <w:rsid w:val="00E139B3"/>
  </w:style>
  <w:style w:type="character" w:customStyle="1" w:styleId="separator">
    <w:name w:val="separator"/>
    <w:basedOn w:val="DefaultParagraphFont"/>
    <w:rsid w:val="00E139B3"/>
  </w:style>
  <w:style w:type="character" w:customStyle="1" w:styleId="value">
    <w:name w:val="value"/>
    <w:basedOn w:val="DefaultParagraphFont"/>
    <w:rsid w:val="00E139B3"/>
  </w:style>
  <w:style w:type="character" w:customStyle="1" w:styleId="highlight">
    <w:name w:val="highlight"/>
    <w:basedOn w:val="DefaultParagraphFont"/>
    <w:rsid w:val="00E139B3"/>
  </w:style>
  <w:style w:type="character" w:customStyle="1" w:styleId="ui-ncbitoggler-master-text">
    <w:name w:val="ui-ncbitoggler-master-text"/>
    <w:basedOn w:val="DefaultParagraphFont"/>
    <w:rsid w:val="00E139B3"/>
  </w:style>
  <w:style w:type="paragraph" w:styleId="HTMLPreformatted">
    <w:name w:val="HTML Preformatted"/>
    <w:basedOn w:val="Normal"/>
    <w:link w:val="HTMLPreformattedChar"/>
    <w:uiPriority w:val="99"/>
    <w:unhideWhenUsed/>
    <w:rsid w:val="00E1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color w:val="auto"/>
      <w:sz w:val="20"/>
    </w:rPr>
  </w:style>
  <w:style w:type="character" w:customStyle="1" w:styleId="HTMLPreformattedChar">
    <w:name w:val="HTML Preformatted Char"/>
    <w:basedOn w:val="DefaultParagraphFont"/>
    <w:link w:val="HTMLPreformatted"/>
    <w:uiPriority w:val="99"/>
    <w:rsid w:val="00E139B3"/>
    <w:rPr>
      <w:rFonts w:ascii="Courier New" w:hAnsi="Courier New" w:cs="Courier New"/>
      <w:sz w:val="20"/>
      <w:szCs w:val="20"/>
      <w:lang w:val="en-US"/>
    </w:rPr>
  </w:style>
  <w:style w:type="character" w:customStyle="1" w:styleId="gd15mcfceub">
    <w:name w:val="gd15mcfceub"/>
    <w:basedOn w:val="DefaultParagraphFont"/>
    <w:rsid w:val="00E139B3"/>
  </w:style>
  <w:style w:type="character" w:customStyle="1" w:styleId="UnresolvedMention1">
    <w:name w:val="Unresolved Mention1"/>
    <w:basedOn w:val="DefaultParagraphFont"/>
    <w:uiPriority w:val="99"/>
    <w:semiHidden/>
    <w:unhideWhenUsed/>
    <w:rsid w:val="000101C4"/>
    <w:rPr>
      <w:color w:val="605E5C"/>
      <w:shd w:val="clear" w:color="auto" w:fill="E1DFDD"/>
    </w:rPr>
  </w:style>
  <w:style w:type="character" w:customStyle="1" w:styleId="issuevolsp">
    <w:name w:val="issuevolsp"/>
    <w:basedOn w:val="DefaultParagraphFont"/>
    <w:rsid w:val="00294F1A"/>
  </w:style>
  <w:style w:type="character" w:customStyle="1" w:styleId="pagerange">
    <w:name w:val="pagerange"/>
    <w:basedOn w:val="DefaultParagraphFont"/>
    <w:rsid w:val="00294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238608">
      <w:bodyDiv w:val="1"/>
      <w:marLeft w:val="0"/>
      <w:marRight w:val="0"/>
      <w:marTop w:val="0"/>
      <w:marBottom w:val="0"/>
      <w:divBdr>
        <w:top w:val="none" w:sz="0" w:space="0" w:color="auto"/>
        <w:left w:val="none" w:sz="0" w:space="0" w:color="auto"/>
        <w:bottom w:val="none" w:sz="0" w:space="0" w:color="auto"/>
        <w:right w:val="none" w:sz="0" w:space="0" w:color="auto"/>
      </w:divBdr>
    </w:div>
    <w:div w:id="15937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deon.lack@kcl.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22B85979564A4A8A35D56FE0AC4CEF" ma:contentTypeVersion="12" ma:contentTypeDescription="Create a new document." ma:contentTypeScope="" ma:versionID="d5855aa0d35950140563c228b964579e">
  <xsd:schema xmlns:xsd="http://www.w3.org/2001/XMLSchema" xmlns:xs="http://www.w3.org/2001/XMLSchema" xmlns:p="http://schemas.microsoft.com/office/2006/metadata/properties" xmlns:ns3="b2c1b8c4-6606-4345-953b-1c7561b25141" xmlns:ns4="61db1f2b-d445-4d61-973e-3e5ad4c6cc46" targetNamespace="http://schemas.microsoft.com/office/2006/metadata/properties" ma:root="true" ma:fieldsID="199debc6558d2f2d4516ed281d9daf9d" ns3:_="" ns4:_="">
    <xsd:import namespace="b2c1b8c4-6606-4345-953b-1c7561b25141"/>
    <xsd:import namespace="61db1f2b-d445-4d61-973e-3e5ad4c6cc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1b8c4-6606-4345-953b-1c7561b25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b1f2b-d445-4d61-973e-3e5ad4c6cc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FFD90-164F-4900-842F-6B0F84EA2A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28FF41-92C3-4036-9396-BF5E1FD46FC3}">
  <ds:schemaRefs>
    <ds:schemaRef ds:uri="http://schemas.microsoft.com/sharepoint/v3/contenttype/forms"/>
  </ds:schemaRefs>
</ds:datastoreItem>
</file>

<file path=customXml/itemProps3.xml><?xml version="1.0" encoding="utf-8"?>
<ds:datastoreItem xmlns:ds="http://schemas.openxmlformats.org/officeDocument/2006/customXml" ds:itemID="{8BEB6B40-A0D5-4356-BC63-F924044E2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1b8c4-6606-4345-953b-1c7561b25141"/>
    <ds:schemaRef ds:uri="61db1f2b-d445-4d61-973e-3e5ad4c6c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CCA78-28FA-402B-AB60-34B45697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7177</Words>
  <Characters>40913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Roberts</dc:creator>
  <cp:keywords/>
  <dc:description/>
  <cp:lastModifiedBy>Graham Roberts</cp:lastModifiedBy>
  <cp:revision>3</cp:revision>
  <dcterms:created xsi:type="dcterms:W3CDTF">2022-09-11T12:09:00Z</dcterms:created>
  <dcterms:modified xsi:type="dcterms:W3CDTF">2022-09-11T12:09:00Z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0x0101008A22B85979564A4A8A35D56FE0AC4CEF</vt:lpwstr>
  </property>
</Properties>
</file>