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025763" w14:textId="3587A06C" w:rsidR="009D5358" w:rsidRDefault="00107D75" w:rsidP="00195D52">
      <w:pPr>
        <w:spacing w:line="480" w:lineRule="auto"/>
        <w:jc w:val="both"/>
        <w:rPr>
          <w:b/>
          <w:i/>
        </w:rPr>
      </w:pPr>
      <w:r w:rsidRPr="00107D75">
        <w:rPr>
          <w:b/>
        </w:rPr>
        <w:t xml:space="preserve">Clinical Commentary Review Article </w:t>
      </w:r>
      <w:r w:rsidRPr="00107D75">
        <w:rPr>
          <w:b/>
          <w:i/>
        </w:rPr>
        <w:t>“</w:t>
      </w:r>
      <w:bookmarkStart w:id="0" w:name="_Hlk111635941"/>
      <w:r w:rsidRPr="00107D75">
        <w:rPr>
          <w:b/>
          <w:i/>
        </w:rPr>
        <w:t xml:space="preserve">Food </w:t>
      </w:r>
      <w:r w:rsidR="003228E5" w:rsidRPr="00107D75">
        <w:rPr>
          <w:b/>
          <w:i/>
        </w:rPr>
        <w:t>allerg</w:t>
      </w:r>
      <w:r w:rsidR="003228E5">
        <w:rPr>
          <w:b/>
          <w:i/>
        </w:rPr>
        <w:t>en</w:t>
      </w:r>
      <w:r w:rsidR="003228E5" w:rsidRPr="00107D75">
        <w:rPr>
          <w:b/>
          <w:i/>
        </w:rPr>
        <w:t xml:space="preserve"> </w:t>
      </w:r>
      <w:r w:rsidRPr="00107D75">
        <w:rPr>
          <w:b/>
          <w:i/>
        </w:rPr>
        <w:t>immunotherapy in preschool children</w:t>
      </w:r>
      <w:bookmarkEnd w:id="0"/>
      <w:r w:rsidRPr="00107D75">
        <w:rPr>
          <w:b/>
          <w:i/>
        </w:rPr>
        <w:t>: do we have the evidence?”</w:t>
      </w:r>
    </w:p>
    <w:p w14:paraId="7CDF2B7B" w14:textId="77777777" w:rsidR="00936F89" w:rsidRDefault="00936F89" w:rsidP="00195D52">
      <w:pPr>
        <w:spacing w:line="480" w:lineRule="auto"/>
        <w:rPr>
          <w:b/>
          <w:i/>
        </w:rPr>
      </w:pPr>
    </w:p>
    <w:p w14:paraId="6545FD42" w14:textId="78255C5B" w:rsidR="002C5C39" w:rsidRPr="00D81778" w:rsidRDefault="002C5C39" w:rsidP="00195D52">
      <w:pPr>
        <w:spacing w:line="480" w:lineRule="auto"/>
        <w:rPr>
          <w:rFonts w:ascii="Calibri" w:hAnsi="Calibri" w:cs="Calibri"/>
          <w:b/>
          <w:color w:val="000000"/>
        </w:rPr>
      </w:pPr>
      <w:r w:rsidRPr="00D81778">
        <w:rPr>
          <w:rFonts w:ascii="Calibri" w:hAnsi="Calibri" w:cs="Calibri"/>
          <w:b/>
          <w:color w:val="000000"/>
        </w:rPr>
        <w:t>Authors</w:t>
      </w:r>
      <w:r w:rsidR="00AD022A">
        <w:rPr>
          <w:rFonts w:ascii="Calibri" w:hAnsi="Calibri" w:cs="Calibri"/>
          <w:b/>
          <w:color w:val="000000"/>
        </w:rPr>
        <w:t xml:space="preserve"> and affiliations </w:t>
      </w:r>
    </w:p>
    <w:p w14:paraId="4EACA5D7" w14:textId="27CF9080" w:rsidR="00D91D4B" w:rsidRDefault="00CA1A2D" w:rsidP="001B4B46">
      <w:pPr>
        <w:spacing w:line="480" w:lineRule="auto"/>
        <w:jc w:val="both"/>
        <w:rPr>
          <w:rFonts w:ascii="Calibri" w:hAnsi="Calibri" w:cs="Calibri"/>
          <w:color w:val="000000"/>
        </w:rPr>
      </w:pPr>
      <w:r w:rsidRPr="009F4932">
        <w:rPr>
          <w:rFonts w:ascii="Calibri" w:hAnsi="Calibri" w:cs="Calibri"/>
          <w:color w:val="000000"/>
        </w:rPr>
        <w:t>Paxton Loke</w:t>
      </w:r>
      <w:r>
        <w:rPr>
          <w:rFonts w:ascii="Calibri" w:hAnsi="Calibri" w:cs="Calibri"/>
          <w:color w:val="000000"/>
        </w:rPr>
        <w:t>, PhD</w:t>
      </w:r>
      <w:r w:rsidR="00D91D4B">
        <w:rPr>
          <w:rFonts w:ascii="Calibri" w:hAnsi="Calibri" w:cs="Calibri"/>
          <w:color w:val="000000"/>
        </w:rPr>
        <w:t xml:space="preserve">, </w:t>
      </w:r>
      <w:r w:rsidR="00D91D4B" w:rsidRPr="00D91D4B">
        <w:rPr>
          <w:rFonts w:ascii="Calibri" w:hAnsi="Calibri" w:cs="Calibri"/>
          <w:color w:val="000000"/>
        </w:rPr>
        <w:t>Murdoch Children’s Research Institute, Melbourne, Australia</w:t>
      </w:r>
      <w:r w:rsidR="00D91D4B">
        <w:rPr>
          <w:rFonts w:ascii="Calibri" w:hAnsi="Calibri" w:cs="Calibri"/>
          <w:color w:val="000000"/>
        </w:rPr>
        <w:t xml:space="preserve">; </w:t>
      </w:r>
      <w:r w:rsidR="00D91D4B" w:rsidRPr="00D91D4B">
        <w:rPr>
          <w:rFonts w:ascii="Calibri" w:hAnsi="Calibri" w:cs="Calibri"/>
          <w:color w:val="000000"/>
        </w:rPr>
        <w:t>Department of Paediatrics, University of Melbourne, Melbourne, Australia</w:t>
      </w:r>
      <w:r w:rsidR="00D91D4B">
        <w:rPr>
          <w:rFonts w:ascii="Calibri" w:hAnsi="Calibri" w:cs="Calibri"/>
          <w:color w:val="000000"/>
        </w:rPr>
        <w:t xml:space="preserve">; </w:t>
      </w:r>
      <w:r w:rsidR="00D91D4B" w:rsidRPr="00D91D4B">
        <w:rPr>
          <w:rFonts w:ascii="Calibri" w:hAnsi="Calibri" w:cs="Calibri"/>
          <w:color w:val="000000"/>
        </w:rPr>
        <w:t>Monash Children’s Hospital, Melbourne, Australia</w:t>
      </w:r>
      <w:r w:rsidR="00D91D4B">
        <w:rPr>
          <w:rFonts w:ascii="Calibri" w:hAnsi="Calibri" w:cs="Calibri"/>
          <w:color w:val="000000"/>
        </w:rPr>
        <w:t xml:space="preserve">; </w:t>
      </w:r>
      <w:r w:rsidR="00D91D4B" w:rsidRPr="00D91D4B">
        <w:rPr>
          <w:rFonts w:ascii="Calibri" w:hAnsi="Calibri" w:cs="Calibri"/>
          <w:color w:val="000000"/>
        </w:rPr>
        <w:t>Department of Allergy and Immunology, Royal Children’s Hospital, Melbourne, Australia</w:t>
      </w:r>
    </w:p>
    <w:p w14:paraId="6C559391" w14:textId="31B6D086" w:rsidR="0023441E" w:rsidRDefault="0023441E" w:rsidP="001B4B46">
      <w:pPr>
        <w:spacing w:line="480" w:lineRule="auto"/>
        <w:jc w:val="both"/>
        <w:rPr>
          <w:rFonts w:ascii="Calibri" w:hAnsi="Calibri" w:cs="Calibri"/>
          <w:color w:val="000000"/>
        </w:rPr>
      </w:pPr>
      <w:r>
        <w:rPr>
          <w:rFonts w:ascii="Calibri" w:hAnsi="Calibri" w:cs="Calibri"/>
          <w:color w:val="000000"/>
        </w:rPr>
        <w:t xml:space="preserve">Brian </w:t>
      </w:r>
      <w:r w:rsidR="007205DA">
        <w:rPr>
          <w:rFonts w:ascii="Calibri" w:hAnsi="Calibri" w:cs="Calibri"/>
          <w:color w:val="000000"/>
        </w:rPr>
        <w:t xml:space="preserve">P. </w:t>
      </w:r>
      <w:r>
        <w:rPr>
          <w:rFonts w:ascii="Calibri" w:hAnsi="Calibri" w:cs="Calibri"/>
          <w:color w:val="000000"/>
        </w:rPr>
        <w:t>Vickery</w:t>
      </w:r>
      <w:r w:rsidR="007205DA">
        <w:rPr>
          <w:rFonts w:ascii="Calibri" w:hAnsi="Calibri" w:cs="Calibri"/>
          <w:color w:val="000000"/>
        </w:rPr>
        <w:t xml:space="preserve">, MD, Department of Pediatrics, Emory University and Children’s Healthcare of Atlanta, Atlanta GA </w:t>
      </w:r>
    </w:p>
    <w:p w14:paraId="35B22F51" w14:textId="2AF224AB" w:rsidR="0023441E" w:rsidRDefault="0023441E" w:rsidP="001B4B46">
      <w:pPr>
        <w:spacing w:line="480" w:lineRule="auto"/>
        <w:jc w:val="both"/>
        <w:rPr>
          <w:rFonts w:ascii="Calibri" w:hAnsi="Calibri" w:cs="Calibri"/>
          <w:color w:val="000000"/>
        </w:rPr>
      </w:pPr>
      <w:r>
        <w:rPr>
          <w:rFonts w:ascii="Calibri" w:hAnsi="Calibri" w:cs="Calibri"/>
          <w:color w:val="000000"/>
        </w:rPr>
        <w:t xml:space="preserve">Stacie </w:t>
      </w:r>
      <w:r w:rsidR="00B16DED">
        <w:rPr>
          <w:rFonts w:ascii="Calibri" w:hAnsi="Calibri" w:cs="Calibri"/>
          <w:color w:val="000000"/>
        </w:rPr>
        <w:t xml:space="preserve">M. </w:t>
      </w:r>
      <w:r>
        <w:rPr>
          <w:rFonts w:ascii="Calibri" w:hAnsi="Calibri" w:cs="Calibri"/>
          <w:color w:val="000000"/>
        </w:rPr>
        <w:t>Jones</w:t>
      </w:r>
      <w:r w:rsidR="00B16DED">
        <w:rPr>
          <w:rFonts w:ascii="Calibri" w:hAnsi="Calibri" w:cs="Calibri"/>
          <w:color w:val="000000"/>
        </w:rPr>
        <w:t>, MD, Department of Pediatrics, Allergy and Immunology, University of Arkansas for Medical Sciences and Arkansas Children’s Hospital, Little Rock, AR</w:t>
      </w:r>
    </w:p>
    <w:p w14:paraId="6E4A5E45" w14:textId="2B7FBBC0" w:rsidR="0023441E" w:rsidRDefault="0023441E" w:rsidP="001B4B46">
      <w:pPr>
        <w:spacing w:line="480" w:lineRule="auto"/>
        <w:jc w:val="both"/>
        <w:rPr>
          <w:rFonts w:ascii="Calibri" w:hAnsi="Calibri" w:cs="Calibri"/>
          <w:color w:val="000000"/>
        </w:rPr>
      </w:pPr>
      <w:r>
        <w:rPr>
          <w:rFonts w:ascii="Calibri" w:hAnsi="Calibri" w:cs="Calibri"/>
          <w:color w:val="000000"/>
        </w:rPr>
        <w:t xml:space="preserve">Rachel </w:t>
      </w:r>
      <w:r w:rsidR="001178B6">
        <w:rPr>
          <w:rFonts w:ascii="Calibri" w:hAnsi="Calibri" w:cs="Calibri"/>
          <w:color w:val="000000"/>
        </w:rPr>
        <w:t xml:space="preserve">L </w:t>
      </w:r>
      <w:r>
        <w:rPr>
          <w:rFonts w:ascii="Calibri" w:hAnsi="Calibri" w:cs="Calibri"/>
          <w:color w:val="000000"/>
        </w:rPr>
        <w:t>Peters</w:t>
      </w:r>
      <w:r w:rsidR="001178B6">
        <w:rPr>
          <w:rFonts w:ascii="Calibri" w:hAnsi="Calibri" w:cs="Calibri"/>
          <w:color w:val="000000"/>
        </w:rPr>
        <w:t xml:space="preserve"> PhD, </w:t>
      </w:r>
      <w:r w:rsidR="001178B6" w:rsidRPr="00D91D4B">
        <w:rPr>
          <w:rFonts w:ascii="Calibri" w:hAnsi="Calibri" w:cs="Calibri"/>
          <w:color w:val="000000"/>
        </w:rPr>
        <w:t>Murdoch Children’s Research Institute, Melbourne, Australia</w:t>
      </w:r>
      <w:r w:rsidR="001178B6">
        <w:rPr>
          <w:rFonts w:ascii="Calibri" w:hAnsi="Calibri" w:cs="Calibri"/>
          <w:color w:val="000000"/>
        </w:rPr>
        <w:t xml:space="preserve">; </w:t>
      </w:r>
      <w:r w:rsidR="001178B6" w:rsidRPr="00D91D4B">
        <w:rPr>
          <w:rFonts w:ascii="Calibri" w:hAnsi="Calibri" w:cs="Calibri"/>
          <w:color w:val="000000"/>
        </w:rPr>
        <w:t>Department of Paediatrics, University of Melbourne, Melbourne, Australia</w:t>
      </w:r>
      <w:r w:rsidR="001178B6">
        <w:rPr>
          <w:rFonts w:ascii="Calibri" w:hAnsi="Calibri" w:cs="Calibri"/>
          <w:color w:val="000000"/>
        </w:rPr>
        <w:t>;</w:t>
      </w:r>
    </w:p>
    <w:p w14:paraId="3C803B08" w14:textId="635DD82A" w:rsidR="0023441E" w:rsidRDefault="0023441E" w:rsidP="001B4B46">
      <w:pPr>
        <w:spacing w:line="480" w:lineRule="auto"/>
        <w:jc w:val="both"/>
        <w:rPr>
          <w:rFonts w:ascii="Calibri" w:hAnsi="Calibri" w:cs="Calibri"/>
          <w:color w:val="000000"/>
        </w:rPr>
      </w:pPr>
      <w:r>
        <w:rPr>
          <w:rFonts w:ascii="Calibri" w:hAnsi="Calibri" w:cs="Calibri"/>
          <w:color w:val="000000"/>
        </w:rPr>
        <w:t>Graham Roberts</w:t>
      </w:r>
      <w:r w:rsidR="006E0679">
        <w:rPr>
          <w:rFonts w:ascii="Calibri" w:hAnsi="Calibri" w:cs="Calibri"/>
          <w:color w:val="000000"/>
        </w:rPr>
        <w:t xml:space="preserve">, </w:t>
      </w:r>
      <w:r w:rsidR="006E0679" w:rsidRPr="006E0679">
        <w:rPr>
          <w:rFonts w:ascii="Calibri" w:hAnsi="Calibri" w:cs="Calibri"/>
          <w:color w:val="000000"/>
        </w:rPr>
        <w:t>DM, Faculty of Medicine, University of Southampton, Southampton, UK; NIHR Southampton Biomedical Research Centre, University Hospital Southampton NHS Foundation Trust, Southampton, UK; The David Hide Asthma and Allergy Centre, St Mary's Hospital, Isle of Wight, UK</w:t>
      </w:r>
    </w:p>
    <w:p w14:paraId="5581DA86" w14:textId="6E3D167E" w:rsidR="0023441E" w:rsidRDefault="0023441E" w:rsidP="001B4B46">
      <w:pPr>
        <w:spacing w:line="480" w:lineRule="auto"/>
        <w:jc w:val="both"/>
        <w:rPr>
          <w:rFonts w:ascii="Calibri" w:hAnsi="Calibri" w:cs="Calibri"/>
          <w:color w:val="000000"/>
        </w:rPr>
      </w:pPr>
      <w:r>
        <w:rPr>
          <w:rFonts w:ascii="Calibri" w:hAnsi="Calibri" w:cs="Calibri"/>
          <w:color w:val="000000"/>
        </w:rPr>
        <w:t>Jennifer</w:t>
      </w:r>
      <w:r w:rsidR="005362AC">
        <w:rPr>
          <w:rFonts w:ascii="Calibri" w:hAnsi="Calibri" w:cs="Calibri"/>
          <w:color w:val="000000"/>
        </w:rPr>
        <w:t xml:space="preserve"> J</w:t>
      </w:r>
      <w:r>
        <w:rPr>
          <w:rFonts w:ascii="Calibri" w:hAnsi="Calibri" w:cs="Calibri"/>
          <w:color w:val="000000"/>
        </w:rPr>
        <w:t xml:space="preserve"> Koplin</w:t>
      </w:r>
      <w:r w:rsidR="005362AC">
        <w:rPr>
          <w:rFonts w:ascii="Calibri" w:hAnsi="Calibri" w:cs="Calibri"/>
          <w:color w:val="000000"/>
        </w:rPr>
        <w:t xml:space="preserve">, PhD, </w:t>
      </w:r>
      <w:r w:rsidR="005362AC" w:rsidRPr="00D91D4B">
        <w:rPr>
          <w:rFonts w:ascii="Calibri" w:hAnsi="Calibri" w:cs="Calibri"/>
          <w:color w:val="000000"/>
        </w:rPr>
        <w:t>Murdoch Children’s Research Institute, Melbourne, Australia</w:t>
      </w:r>
      <w:r w:rsidR="005362AC">
        <w:rPr>
          <w:rFonts w:ascii="Calibri" w:hAnsi="Calibri" w:cs="Calibri"/>
          <w:color w:val="000000"/>
        </w:rPr>
        <w:t xml:space="preserve">; </w:t>
      </w:r>
      <w:r w:rsidR="005362AC" w:rsidRPr="00D91D4B">
        <w:rPr>
          <w:rFonts w:ascii="Calibri" w:hAnsi="Calibri" w:cs="Calibri"/>
          <w:color w:val="000000"/>
        </w:rPr>
        <w:t>Department of Paediatrics, University of Melbourne, Melbourne, Australia</w:t>
      </w:r>
    </w:p>
    <w:p w14:paraId="2A670767" w14:textId="295615A2" w:rsidR="0023441E" w:rsidRDefault="0023441E" w:rsidP="001B4B46">
      <w:pPr>
        <w:spacing w:line="480" w:lineRule="auto"/>
        <w:jc w:val="both"/>
        <w:rPr>
          <w:rFonts w:ascii="Calibri" w:hAnsi="Calibri" w:cs="Calibri"/>
          <w:color w:val="000000"/>
        </w:rPr>
      </w:pPr>
    </w:p>
    <w:p w14:paraId="6688C1D7" w14:textId="5E276B11" w:rsidR="001B4B46" w:rsidRPr="001B4B46" w:rsidRDefault="001B4B46" w:rsidP="001B4B46">
      <w:pPr>
        <w:spacing w:line="480" w:lineRule="auto"/>
        <w:jc w:val="both"/>
        <w:rPr>
          <w:rFonts w:ascii="Calibri" w:hAnsi="Calibri" w:cs="Calibri"/>
          <w:b/>
          <w:color w:val="000000"/>
        </w:rPr>
      </w:pPr>
      <w:r w:rsidRPr="001B4B46">
        <w:rPr>
          <w:rFonts w:ascii="Calibri" w:hAnsi="Calibri" w:cs="Calibri"/>
          <w:b/>
          <w:color w:val="000000"/>
        </w:rPr>
        <w:t>Corresponding Author:</w:t>
      </w:r>
    </w:p>
    <w:p w14:paraId="7F483712" w14:textId="4CF84F91" w:rsidR="009B11C0" w:rsidRDefault="001B4B46" w:rsidP="001B4B46">
      <w:pPr>
        <w:spacing w:line="480" w:lineRule="auto"/>
        <w:jc w:val="both"/>
        <w:rPr>
          <w:rFonts w:ascii="Calibri" w:hAnsi="Calibri" w:cs="Calibri"/>
          <w:color w:val="000000"/>
        </w:rPr>
      </w:pPr>
      <w:r w:rsidRPr="009F4932">
        <w:rPr>
          <w:rFonts w:ascii="Calibri" w:hAnsi="Calibri" w:cs="Calibri"/>
          <w:color w:val="000000"/>
        </w:rPr>
        <w:t>Paxton Loke</w:t>
      </w:r>
      <w:r>
        <w:rPr>
          <w:rFonts w:ascii="Calibri" w:hAnsi="Calibri" w:cs="Calibri"/>
          <w:color w:val="000000"/>
        </w:rPr>
        <w:t xml:space="preserve">, </w:t>
      </w:r>
      <w:r w:rsidRPr="00D91D4B">
        <w:rPr>
          <w:rFonts w:ascii="Calibri" w:hAnsi="Calibri" w:cs="Calibri"/>
          <w:color w:val="000000"/>
        </w:rPr>
        <w:t xml:space="preserve">Murdoch Children’s Research Institute, </w:t>
      </w:r>
      <w:r>
        <w:rPr>
          <w:rFonts w:ascii="Calibri" w:hAnsi="Calibri" w:cs="Calibri"/>
          <w:color w:val="000000"/>
        </w:rPr>
        <w:t>50 Flemington Road, Parkville 3052</w:t>
      </w:r>
      <w:r w:rsidRPr="00D91D4B">
        <w:rPr>
          <w:rFonts w:ascii="Calibri" w:hAnsi="Calibri" w:cs="Calibri"/>
          <w:color w:val="000000"/>
        </w:rPr>
        <w:t>, Australia</w:t>
      </w:r>
    </w:p>
    <w:p w14:paraId="300603AE" w14:textId="047FCB3C" w:rsidR="001B4B46" w:rsidRDefault="001B4B46" w:rsidP="001B4B46">
      <w:pPr>
        <w:spacing w:line="480" w:lineRule="auto"/>
        <w:jc w:val="both"/>
        <w:rPr>
          <w:rFonts w:ascii="Calibri" w:hAnsi="Calibri" w:cs="Calibri"/>
          <w:b/>
          <w:color w:val="000000"/>
        </w:rPr>
      </w:pPr>
      <w:r>
        <w:rPr>
          <w:rFonts w:ascii="Calibri" w:hAnsi="Calibri" w:cs="Calibri"/>
          <w:color w:val="000000"/>
        </w:rPr>
        <w:t xml:space="preserve">Phone: +61-3-8341 6200; Email: </w:t>
      </w:r>
      <w:r w:rsidRPr="00F83231">
        <w:rPr>
          <w:rFonts w:ascii="Calibri" w:hAnsi="Calibri" w:cs="Calibri"/>
        </w:rPr>
        <w:t>Paxton.Loke@mcri.edu.au</w:t>
      </w:r>
      <w:r>
        <w:rPr>
          <w:rFonts w:ascii="Calibri" w:hAnsi="Calibri" w:cs="Calibri"/>
          <w:color w:val="000000"/>
        </w:rPr>
        <w:t xml:space="preserve"> </w:t>
      </w:r>
    </w:p>
    <w:p w14:paraId="0B1340BE" w14:textId="77777777" w:rsidR="009B11C0" w:rsidRDefault="009B11C0" w:rsidP="001B4B46">
      <w:pPr>
        <w:spacing w:line="480" w:lineRule="auto"/>
        <w:jc w:val="both"/>
        <w:rPr>
          <w:rFonts w:ascii="Calibri" w:hAnsi="Calibri" w:cs="Calibri"/>
          <w:b/>
          <w:color w:val="000000"/>
        </w:rPr>
      </w:pPr>
    </w:p>
    <w:p w14:paraId="753D38D7" w14:textId="10759CF6" w:rsidR="002C5C39" w:rsidRPr="009F4932" w:rsidRDefault="002C5C39" w:rsidP="00195D52">
      <w:pPr>
        <w:spacing w:line="480" w:lineRule="auto"/>
        <w:rPr>
          <w:rFonts w:ascii="Calibri" w:hAnsi="Calibri" w:cs="Calibri"/>
          <w:b/>
          <w:color w:val="000000"/>
        </w:rPr>
      </w:pPr>
      <w:r w:rsidRPr="009F4932">
        <w:rPr>
          <w:rFonts w:ascii="Calibri" w:hAnsi="Calibri" w:cs="Calibri"/>
          <w:b/>
          <w:color w:val="000000"/>
        </w:rPr>
        <w:t>Conflict of interest disclosures</w:t>
      </w:r>
    </w:p>
    <w:p w14:paraId="509F374C" w14:textId="4839DDEC" w:rsidR="00880596" w:rsidRDefault="00673AE8" w:rsidP="00580C0A">
      <w:pPr>
        <w:spacing w:line="480" w:lineRule="auto"/>
        <w:jc w:val="both"/>
        <w:rPr>
          <w:rFonts w:ascii="Calibri" w:hAnsi="Calibri" w:cs="Calibri"/>
          <w:color w:val="000000"/>
        </w:rPr>
      </w:pPr>
      <w:r>
        <w:rPr>
          <w:rFonts w:ascii="Calibri" w:hAnsi="Calibri" w:cs="Calibri"/>
          <w:color w:val="000000"/>
        </w:rPr>
        <w:t>P</w:t>
      </w:r>
      <w:r w:rsidR="00580C0A">
        <w:rPr>
          <w:rFonts w:ascii="Calibri" w:hAnsi="Calibri" w:cs="Calibri"/>
          <w:color w:val="000000"/>
        </w:rPr>
        <w:t>.</w:t>
      </w:r>
      <w:r>
        <w:rPr>
          <w:rFonts w:ascii="Calibri" w:hAnsi="Calibri" w:cs="Calibri"/>
          <w:color w:val="000000"/>
        </w:rPr>
        <w:t xml:space="preserve"> Loke </w:t>
      </w:r>
      <w:r w:rsidRPr="00673AE8">
        <w:rPr>
          <w:rFonts w:ascii="Calibri" w:hAnsi="Calibri" w:cs="Calibri"/>
          <w:color w:val="000000"/>
        </w:rPr>
        <w:t>reports consultant fees</w:t>
      </w:r>
      <w:r>
        <w:rPr>
          <w:rFonts w:ascii="Calibri" w:hAnsi="Calibri" w:cs="Calibri"/>
          <w:color w:val="000000"/>
        </w:rPr>
        <w:t xml:space="preserve"> from </w:t>
      </w:r>
      <w:r w:rsidRPr="00673AE8">
        <w:rPr>
          <w:rFonts w:ascii="Calibri" w:hAnsi="Calibri" w:cs="Calibri"/>
          <w:color w:val="000000"/>
        </w:rPr>
        <w:t>SPRIM</w:t>
      </w:r>
      <w:r>
        <w:rPr>
          <w:rFonts w:ascii="Calibri" w:hAnsi="Calibri" w:cs="Calibri"/>
          <w:color w:val="000000"/>
        </w:rPr>
        <w:t xml:space="preserve"> Consulting</w:t>
      </w:r>
      <w:r w:rsidR="00580C0A">
        <w:rPr>
          <w:rFonts w:ascii="Calibri" w:hAnsi="Calibri" w:cs="Calibri"/>
          <w:color w:val="000000"/>
        </w:rPr>
        <w:t xml:space="preserve">, </w:t>
      </w:r>
      <w:r w:rsidR="00580C0A" w:rsidRPr="007205DA">
        <w:rPr>
          <w:rFonts w:ascii="Calibri" w:hAnsi="Calibri" w:cs="Calibri"/>
          <w:color w:val="000000"/>
          <w:lang w:val="en-US"/>
        </w:rPr>
        <w:t>outside the submitted work</w:t>
      </w:r>
      <w:r>
        <w:rPr>
          <w:rFonts w:ascii="Calibri" w:hAnsi="Calibri" w:cs="Calibri"/>
          <w:color w:val="000000"/>
        </w:rPr>
        <w:t>.</w:t>
      </w:r>
      <w:r w:rsidR="001178B6">
        <w:rPr>
          <w:rFonts w:ascii="Calibri" w:hAnsi="Calibri" w:cs="Calibri"/>
          <w:color w:val="000000"/>
        </w:rPr>
        <w:t xml:space="preserve"> R</w:t>
      </w:r>
      <w:r w:rsidR="00580C0A">
        <w:rPr>
          <w:rFonts w:ascii="Calibri" w:hAnsi="Calibri" w:cs="Calibri"/>
          <w:color w:val="000000"/>
        </w:rPr>
        <w:t>.</w:t>
      </w:r>
      <w:r w:rsidR="001178B6">
        <w:rPr>
          <w:rFonts w:ascii="Calibri" w:hAnsi="Calibri" w:cs="Calibri"/>
          <w:color w:val="000000"/>
        </w:rPr>
        <w:t>L</w:t>
      </w:r>
      <w:r w:rsidR="00580C0A">
        <w:rPr>
          <w:rFonts w:ascii="Calibri" w:hAnsi="Calibri" w:cs="Calibri"/>
          <w:color w:val="000000"/>
        </w:rPr>
        <w:t xml:space="preserve">. </w:t>
      </w:r>
      <w:r w:rsidR="001178B6">
        <w:rPr>
          <w:rFonts w:ascii="Calibri" w:hAnsi="Calibri" w:cs="Calibri"/>
          <w:color w:val="000000"/>
        </w:rPr>
        <w:t>P</w:t>
      </w:r>
      <w:r w:rsidR="00580C0A">
        <w:rPr>
          <w:rFonts w:ascii="Calibri" w:hAnsi="Calibri" w:cs="Calibri"/>
          <w:color w:val="000000"/>
        </w:rPr>
        <w:t>eters</w:t>
      </w:r>
      <w:r w:rsidR="001178B6">
        <w:rPr>
          <w:rFonts w:ascii="Calibri" w:hAnsi="Calibri" w:cs="Calibri"/>
          <w:color w:val="000000"/>
        </w:rPr>
        <w:t xml:space="preserve"> </w:t>
      </w:r>
      <w:r w:rsidR="005362AC">
        <w:rPr>
          <w:rFonts w:ascii="Calibri" w:hAnsi="Calibri" w:cs="Calibri"/>
          <w:color w:val="000000"/>
        </w:rPr>
        <w:t>and J</w:t>
      </w:r>
      <w:r w:rsidR="00580C0A">
        <w:rPr>
          <w:rFonts w:ascii="Calibri" w:hAnsi="Calibri" w:cs="Calibri"/>
          <w:color w:val="000000"/>
        </w:rPr>
        <w:t xml:space="preserve">.J. </w:t>
      </w:r>
      <w:r w:rsidR="005362AC">
        <w:rPr>
          <w:rFonts w:ascii="Calibri" w:hAnsi="Calibri" w:cs="Calibri"/>
          <w:color w:val="000000"/>
        </w:rPr>
        <w:t>K</w:t>
      </w:r>
      <w:r w:rsidR="00580C0A">
        <w:rPr>
          <w:rFonts w:ascii="Calibri" w:hAnsi="Calibri" w:cs="Calibri"/>
          <w:color w:val="000000"/>
        </w:rPr>
        <w:t>oplin</w:t>
      </w:r>
      <w:r w:rsidR="005362AC">
        <w:rPr>
          <w:rFonts w:ascii="Calibri" w:hAnsi="Calibri" w:cs="Calibri"/>
          <w:color w:val="000000"/>
        </w:rPr>
        <w:t xml:space="preserve"> </w:t>
      </w:r>
      <w:r w:rsidR="001178B6">
        <w:rPr>
          <w:rFonts w:ascii="Calibri" w:hAnsi="Calibri" w:cs="Calibri"/>
          <w:color w:val="000000"/>
        </w:rPr>
        <w:t>receive research support from NHMRC, outside of the submitted work.</w:t>
      </w:r>
      <w:r w:rsidR="00580C0A">
        <w:rPr>
          <w:rFonts w:ascii="Calibri" w:hAnsi="Calibri" w:cs="Calibri"/>
          <w:color w:val="000000"/>
        </w:rPr>
        <w:t xml:space="preserve"> </w:t>
      </w:r>
      <w:r w:rsidR="00195D52">
        <w:rPr>
          <w:color w:val="222222"/>
        </w:rPr>
        <w:t>S.M. Jones reports grants to her institution from the National Institute of Allergy and Infectious Diseases and from Food Allergy Research and Education; clinical trials funding to her institution from Aimmune Therapeutics, Inc., DBV Technologies, Inc., Regeneron Pharmaceuticals, Inc., Astellas Pharma, Inc., Genentech, Inc., ALK, Inc; and personal fees from Aimmune Therapeutics, Inc. as a member of the scientific advisory board and FDA advisory consultant, from Regeneron Pharmaceuticals, Inc. as a research advisory consultant, and from Astellas Pharma, Inc. as scientific advisory consultant.</w:t>
      </w:r>
      <w:r w:rsidR="00580C0A">
        <w:rPr>
          <w:color w:val="222222"/>
        </w:rPr>
        <w:t xml:space="preserve"> B.P</w:t>
      </w:r>
      <w:r w:rsidR="00580C0A">
        <w:rPr>
          <w:rFonts w:ascii="Calibri" w:hAnsi="Calibri" w:cs="Calibri"/>
          <w:color w:val="000000"/>
          <w:lang w:val="en-US"/>
        </w:rPr>
        <w:t xml:space="preserve">. </w:t>
      </w:r>
      <w:r w:rsidR="007205DA" w:rsidRPr="007205DA">
        <w:rPr>
          <w:rFonts w:ascii="Calibri" w:hAnsi="Calibri" w:cs="Calibri"/>
          <w:color w:val="000000"/>
          <w:lang w:val="en-US"/>
        </w:rPr>
        <w:t xml:space="preserve">Vickery reports grants from Abbott, grants and personal fees from Aimmune, grants from Alladapt, personal fees from AllerGenis, personal fees from Aravax, grants and personal fees from DBV, grants and personal fees from FARE, grants from Genentech, stock options from Moonlight Therapeutics, grants from NIH-NIAID, </w:t>
      </w:r>
      <w:r w:rsidR="007205DA">
        <w:rPr>
          <w:rFonts w:ascii="Calibri" w:hAnsi="Calibri" w:cs="Calibri"/>
          <w:color w:val="000000"/>
          <w:lang w:val="en-US"/>
        </w:rPr>
        <w:t xml:space="preserve">grants and personal fees from Novartis, </w:t>
      </w:r>
      <w:r w:rsidR="007205DA" w:rsidRPr="007205DA">
        <w:rPr>
          <w:rFonts w:ascii="Calibri" w:hAnsi="Calibri" w:cs="Calibri"/>
          <w:color w:val="000000"/>
          <w:lang w:val="en-US"/>
        </w:rPr>
        <w:t>personal fees from Reacta Biosciences, grants and personal fees from Regeneron, grants from Siolta, outside the submitted work.</w:t>
      </w:r>
      <w:r w:rsidR="00580C0A">
        <w:rPr>
          <w:rFonts w:ascii="Calibri" w:hAnsi="Calibri" w:cs="Calibri"/>
          <w:color w:val="000000"/>
          <w:lang w:val="en-US"/>
        </w:rPr>
        <w:t xml:space="preserve"> </w:t>
      </w:r>
      <w:r w:rsidR="006E0679" w:rsidRPr="006E0679">
        <w:rPr>
          <w:rFonts w:ascii="Calibri" w:hAnsi="Calibri" w:cs="Calibri"/>
          <w:color w:val="000000"/>
        </w:rPr>
        <w:t>G.</w:t>
      </w:r>
      <w:r w:rsidR="00580C0A">
        <w:rPr>
          <w:rFonts w:ascii="Calibri" w:hAnsi="Calibri" w:cs="Calibri"/>
          <w:color w:val="000000"/>
        </w:rPr>
        <w:t xml:space="preserve"> </w:t>
      </w:r>
      <w:r w:rsidR="006E0679" w:rsidRPr="006E0679">
        <w:rPr>
          <w:rFonts w:ascii="Calibri" w:hAnsi="Calibri" w:cs="Calibri"/>
          <w:color w:val="000000"/>
        </w:rPr>
        <w:t>R</w:t>
      </w:r>
      <w:r w:rsidR="00580C0A">
        <w:rPr>
          <w:rFonts w:ascii="Calibri" w:hAnsi="Calibri" w:cs="Calibri"/>
          <w:color w:val="000000"/>
        </w:rPr>
        <w:t>oberts</w:t>
      </w:r>
      <w:r w:rsidR="006E0679" w:rsidRPr="006E0679">
        <w:rPr>
          <w:rFonts w:ascii="Calibri" w:hAnsi="Calibri" w:cs="Calibri"/>
          <w:color w:val="000000"/>
        </w:rPr>
        <w:t xml:space="preserve"> reports grants to his institution from National Institute of Allergy and Infectious Diseases, National Institutes of Health Research and Action Medicine Research; President of the British Society of Allergy and Clinical Immunology.</w:t>
      </w:r>
    </w:p>
    <w:p w14:paraId="18C82B59" w14:textId="616B30AA" w:rsidR="00580C0A" w:rsidRDefault="00580C0A" w:rsidP="00195D52">
      <w:pPr>
        <w:spacing w:line="480" w:lineRule="auto"/>
        <w:rPr>
          <w:rFonts w:ascii="Calibri" w:hAnsi="Calibri" w:cs="Calibri"/>
          <w:color w:val="000000"/>
        </w:rPr>
      </w:pPr>
    </w:p>
    <w:p w14:paraId="6836E670" w14:textId="08A3031E" w:rsidR="00580C0A" w:rsidRDefault="00580C0A" w:rsidP="00195D52">
      <w:pPr>
        <w:spacing w:line="480" w:lineRule="auto"/>
        <w:rPr>
          <w:rFonts w:ascii="Calibri" w:hAnsi="Calibri" w:cs="Calibri"/>
          <w:color w:val="000000"/>
        </w:rPr>
      </w:pPr>
    </w:p>
    <w:p w14:paraId="70BB3CA2" w14:textId="06B8AD36" w:rsidR="00930EB9" w:rsidRDefault="00930EB9" w:rsidP="00195D52">
      <w:pPr>
        <w:spacing w:line="480" w:lineRule="auto"/>
        <w:rPr>
          <w:rFonts w:ascii="Calibri" w:hAnsi="Calibri" w:cs="Calibri"/>
          <w:color w:val="000000"/>
        </w:rPr>
      </w:pPr>
    </w:p>
    <w:p w14:paraId="75D9A1EB" w14:textId="573C73F0" w:rsidR="00930EB9" w:rsidRDefault="00930EB9" w:rsidP="00195D52">
      <w:pPr>
        <w:spacing w:line="480" w:lineRule="auto"/>
        <w:rPr>
          <w:rFonts w:ascii="Calibri" w:hAnsi="Calibri" w:cs="Calibri"/>
          <w:color w:val="000000"/>
        </w:rPr>
      </w:pPr>
    </w:p>
    <w:p w14:paraId="4538AE6E" w14:textId="7B260217" w:rsidR="00930EB9" w:rsidRDefault="00930EB9" w:rsidP="00195D52">
      <w:pPr>
        <w:spacing w:line="480" w:lineRule="auto"/>
        <w:rPr>
          <w:rFonts w:ascii="Calibri" w:hAnsi="Calibri" w:cs="Calibri"/>
          <w:color w:val="000000"/>
        </w:rPr>
      </w:pPr>
    </w:p>
    <w:p w14:paraId="7C2B2057" w14:textId="77777777" w:rsidR="00930EB9" w:rsidRDefault="00930EB9" w:rsidP="00195D52">
      <w:pPr>
        <w:spacing w:line="480" w:lineRule="auto"/>
        <w:rPr>
          <w:rFonts w:ascii="Calibri" w:hAnsi="Calibri" w:cs="Calibri"/>
          <w:color w:val="000000"/>
        </w:rPr>
      </w:pPr>
    </w:p>
    <w:p w14:paraId="56619F08" w14:textId="17BBB77A" w:rsidR="00F31EEA" w:rsidRPr="00FC6788" w:rsidRDefault="00F31EEA" w:rsidP="00195D52">
      <w:pPr>
        <w:spacing w:line="480" w:lineRule="auto"/>
        <w:rPr>
          <w:rFonts w:ascii="Calibri" w:hAnsi="Calibri" w:cs="Calibri"/>
          <w:b/>
          <w:color w:val="000000"/>
        </w:rPr>
      </w:pPr>
      <w:r w:rsidRPr="00FC6788">
        <w:rPr>
          <w:rFonts w:ascii="Calibri" w:hAnsi="Calibri" w:cs="Calibri"/>
          <w:b/>
          <w:color w:val="000000"/>
        </w:rPr>
        <w:lastRenderedPageBreak/>
        <w:t>Abstract</w:t>
      </w:r>
      <w:r>
        <w:rPr>
          <w:rFonts w:ascii="Calibri" w:hAnsi="Calibri" w:cs="Calibri"/>
          <w:b/>
          <w:color w:val="000000"/>
        </w:rPr>
        <w:t xml:space="preserve"> </w:t>
      </w:r>
    </w:p>
    <w:p w14:paraId="71DB3498" w14:textId="1DFA0C40" w:rsidR="007654A8" w:rsidRPr="00D81778" w:rsidRDefault="00CE3A27" w:rsidP="00195D52">
      <w:pPr>
        <w:spacing w:line="480" w:lineRule="auto"/>
        <w:jc w:val="both"/>
        <w:rPr>
          <w:rFonts w:ascii="Calibri" w:hAnsi="Calibri" w:cs="Calibri"/>
          <w:color w:val="000000"/>
        </w:rPr>
      </w:pPr>
      <w:r>
        <w:rPr>
          <w:rFonts w:ascii="Calibri" w:hAnsi="Calibri" w:cs="Calibri"/>
          <w:color w:val="000000"/>
        </w:rPr>
        <w:t>S</w:t>
      </w:r>
      <w:r w:rsidR="005649CF">
        <w:rPr>
          <w:rFonts w:ascii="Calibri" w:hAnsi="Calibri" w:cs="Calibri"/>
          <w:color w:val="000000"/>
        </w:rPr>
        <w:t xml:space="preserve">tandard care for the management of food allergies </w:t>
      </w:r>
      <w:r>
        <w:rPr>
          <w:rFonts w:ascii="Calibri" w:hAnsi="Calibri" w:cs="Calibri"/>
          <w:color w:val="000000"/>
        </w:rPr>
        <w:t xml:space="preserve">previously </w:t>
      </w:r>
      <w:r w:rsidR="005362AC">
        <w:rPr>
          <w:rFonts w:ascii="Calibri" w:hAnsi="Calibri" w:cs="Calibri"/>
          <w:color w:val="000000"/>
        </w:rPr>
        <w:t>centred</w:t>
      </w:r>
      <w:r w:rsidR="005649CF">
        <w:rPr>
          <w:rFonts w:ascii="Calibri" w:hAnsi="Calibri" w:cs="Calibri"/>
          <w:color w:val="000000"/>
        </w:rPr>
        <w:t xml:space="preserve"> upon allergen avoidance</w:t>
      </w:r>
      <w:r w:rsidR="001178B6">
        <w:rPr>
          <w:rFonts w:ascii="Calibri" w:hAnsi="Calibri" w:cs="Calibri"/>
          <w:color w:val="000000"/>
        </w:rPr>
        <w:t xml:space="preserve"> and treatment of adverse reactions following allergen exposure</w:t>
      </w:r>
      <w:r w:rsidR="005649CF">
        <w:rPr>
          <w:rFonts w:ascii="Calibri" w:hAnsi="Calibri" w:cs="Calibri"/>
          <w:color w:val="000000"/>
        </w:rPr>
        <w:t>. A</w:t>
      </w:r>
      <w:r w:rsidR="006E0679">
        <w:rPr>
          <w:rFonts w:ascii="Calibri" w:hAnsi="Calibri" w:cs="Calibri"/>
          <w:color w:val="000000"/>
        </w:rPr>
        <w:t>n</w:t>
      </w:r>
      <w:r w:rsidR="005649CF">
        <w:rPr>
          <w:rFonts w:ascii="Calibri" w:hAnsi="Calibri" w:cs="Calibri"/>
          <w:color w:val="000000"/>
        </w:rPr>
        <w:t xml:space="preserve"> </w:t>
      </w:r>
      <w:r w:rsidR="00A03E7D">
        <w:rPr>
          <w:rFonts w:ascii="Calibri" w:hAnsi="Calibri" w:cs="Calibri"/>
          <w:color w:val="000000"/>
        </w:rPr>
        <w:t xml:space="preserve">increase </w:t>
      </w:r>
      <w:r w:rsidR="006A45C8">
        <w:rPr>
          <w:rFonts w:ascii="Calibri" w:hAnsi="Calibri" w:cs="Calibri"/>
          <w:color w:val="000000"/>
        </w:rPr>
        <w:t xml:space="preserve">in the </w:t>
      </w:r>
      <w:r w:rsidR="001178B6">
        <w:rPr>
          <w:rFonts w:ascii="Calibri" w:hAnsi="Calibri" w:cs="Calibri"/>
          <w:color w:val="000000"/>
        </w:rPr>
        <w:t xml:space="preserve">development of </w:t>
      </w:r>
      <w:r w:rsidR="00DB2E3D" w:rsidRPr="00D81778">
        <w:rPr>
          <w:rFonts w:ascii="Calibri" w:hAnsi="Calibri" w:cs="Calibri"/>
          <w:color w:val="000000"/>
        </w:rPr>
        <w:t>immunotherapy</w:t>
      </w:r>
      <w:r w:rsidR="00DB2E3D">
        <w:rPr>
          <w:rFonts w:ascii="Calibri" w:hAnsi="Calibri" w:cs="Calibri"/>
          <w:color w:val="000000"/>
        </w:rPr>
        <w:t xml:space="preserve"> </w:t>
      </w:r>
      <w:r w:rsidR="001178B6">
        <w:rPr>
          <w:rFonts w:ascii="Calibri" w:hAnsi="Calibri" w:cs="Calibri"/>
          <w:color w:val="000000"/>
        </w:rPr>
        <w:t xml:space="preserve">treatments for food allergy has occurred </w:t>
      </w:r>
      <w:r w:rsidR="00810E1A">
        <w:rPr>
          <w:rFonts w:ascii="Calibri" w:hAnsi="Calibri" w:cs="Calibri"/>
          <w:color w:val="000000"/>
        </w:rPr>
        <w:t>over the last</w:t>
      </w:r>
      <w:r w:rsidR="007654A8">
        <w:rPr>
          <w:rFonts w:ascii="Calibri" w:hAnsi="Calibri" w:cs="Calibri"/>
          <w:color w:val="000000"/>
        </w:rPr>
        <w:t xml:space="preserve"> </w:t>
      </w:r>
      <w:r w:rsidR="00195D52">
        <w:rPr>
          <w:rFonts w:ascii="Calibri" w:hAnsi="Calibri" w:cs="Calibri"/>
          <w:color w:val="000000"/>
        </w:rPr>
        <w:t>two</w:t>
      </w:r>
      <w:r w:rsidR="007654A8">
        <w:rPr>
          <w:rFonts w:ascii="Calibri" w:hAnsi="Calibri" w:cs="Calibri"/>
          <w:color w:val="000000"/>
        </w:rPr>
        <w:t xml:space="preserve"> decades</w:t>
      </w:r>
      <w:r w:rsidR="001178B6">
        <w:rPr>
          <w:rFonts w:ascii="Calibri" w:hAnsi="Calibri" w:cs="Calibri"/>
          <w:color w:val="000000"/>
        </w:rPr>
        <w:t xml:space="preserve">, with </w:t>
      </w:r>
      <w:r w:rsidR="0077221F">
        <w:rPr>
          <w:rFonts w:ascii="Calibri" w:hAnsi="Calibri" w:cs="Calibri"/>
          <w:color w:val="000000"/>
        </w:rPr>
        <w:t xml:space="preserve">many </w:t>
      </w:r>
      <w:r w:rsidR="001178B6">
        <w:rPr>
          <w:rFonts w:ascii="Calibri" w:hAnsi="Calibri" w:cs="Calibri"/>
          <w:color w:val="000000"/>
        </w:rPr>
        <w:t xml:space="preserve">centres </w:t>
      </w:r>
      <w:r w:rsidR="005362AC">
        <w:rPr>
          <w:rFonts w:ascii="Calibri" w:hAnsi="Calibri" w:cs="Calibri"/>
          <w:color w:val="000000"/>
        </w:rPr>
        <w:t xml:space="preserve">now </w:t>
      </w:r>
      <w:r w:rsidR="001178B6">
        <w:rPr>
          <w:rFonts w:ascii="Calibri" w:hAnsi="Calibri" w:cs="Calibri"/>
          <w:color w:val="000000"/>
        </w:rPr>
        <w:t>offering imm</w:t>
      </w:r>
      <w:r w:rsidR="006D18C5">
        <w:rPr>
          <w:rFonts w:ascii="Calibri" w:hAnsi="Calibri" w:cs="Calibri"/>
          <w:color w:val="000000"/>
        </w:rPr>
        <w:t>unotherapy</w:t>
      </w:r>
      <w:r w:rsidR="00F56AA4">
        <w:rPr>
          <w:rFonts w:ascii="Calibri" w:hAnsi="Calibri" w:cs="Calibri"/>
          <w:color w:val="000000"/>
        </w:rPr>
        <w:t xml:space="preserve">. </w:t>
      </w:r>
      <w:r w:rsidR="00810E1A">
        <w:rPr>
          <w:rFonts w:ascii="Calibri" w:hAnsi="Calibri" w:cs="Calibri"/>
          <w:color w:val="000000"/>
        </w:rPr>
        <w:t xml:space="preserve">Previous studies have </w:t>
      </w:r>
      <w:r w:rsidR="00F56AA4">
        <w:rPr>
          <w:rFonts w:ascii="Calibri" w:hAnsi="Calibri" w:cs="Calibri"/>
          <w:color w:val="000000"/>
        </w:rPr>
        <w:t xml:space="preserve">mainly </w:t>
      </w:r>
      <w:r w:rsidR="00810E1A">
        <w:rPr>
          <w:rFonts w:ascii="Calibri" w:hAnsi="Calibri" w:cs="Calibri"/>
          <w:color w:val="000000"/>
        </w:rPr>
        <w:t xml:space="preserve">focused on </w:t>
      </w:r>
      <w:r w:rsidR="00195D52">
        <w:rPr>
          <w:rFonts w:ascii="Calibri" w:hAnsi="Calibri" w:cs="Calibri"/>
          <w:color w:val="000000"/>
        </w:rPr>
        <w:t xml:space="preserve">school-aged </w:t>
      </w:r>
      <w:r w:rsidR="00810E1A">
        <w:rPr>
          <w:rFonts w:ascii="Calibri" w:hAnsi="Calibri" w:cs="Calibri"/>
          <w:color w:val="000000"/>
        </w:rPr>
        <w:t>children where food allergies are likely to be persistent. However</w:t>
      </w:r>
      <w:r w:rsidR="005362AC">
        <w:rPr>
          <w:rFonts w:ascii="Calibri" w:hAnsi="Calibri" w:cs="Calibri"/>
          <w:color w:val="000000"/>
        </w:rPr>
        <w:t>,</w:t>
      </w:r>
      <w:r w:rsidR="00810E1A">
        <w:rPr>
          <w:rFonts w:ascii="Calibri" w:hAnsi="Calibri" w:cs="Calibri"/>
          <w:color w:val="000000"/>
        </w:rPr>
        <w:t xml:space="preserve"> there is increasing </w:t>
      </w:r>
      <w:r w:rsidR="00862BD0">
        <w:rPr>
          <w:rFonts w:ascii="Calibri" w:hAnsi="Calibri" w:cs="Calibri"/>
          <w:color w:val="000000"/>
        </w:rPr>
        <w:t>evidence</w:t>
      </w:r>
      <w:r w:rsidR="00195D52">
        <w:rPr>
          <w:rFonts w:ascii="Calibri" w:hAnsi="Calibri" w:cs="Calibri"/>
          <w:color w:val="000000"/>
        </w:rPr>
        <w:t xml:space="preserve"> </w:t>
      </w:r>
      <w:r w:rsidR="00810E1A">
        <w:rPr>
          <w:rFonts w:ascii="Calibri" w:hAnsi="Calibri" w:cs="Calibri"/>
          <w:color w:val="000000"/>
        </w:rPr>
        <w:t xml:space="preserve">that </w:t>
      </w:r>
      <w:r w:rsidR="0077221F">
        <w:rPr>
          <w:rFonts w:ascii="Calibri" w:hAnsi="Calibri" w:cs="Calibri"/>
          <w:color w:val="000000"/>
        </w:rPr>
        <w:t xml:space="preserve">delivering immunotherapy for food allergy </w:t>
      </w:r>
      <w:r w:rsidR="00F56AA4">
        <w:rPr>
          <w:rFonts w:ascii="Calibri" w:hAnsi="Calibri" w:cs="Calibri"/>
          <w:color w:val="000000"/>
        </w:rPr>
        <w:t xml:space="preserve">in preschool age children </w:t>
      </w:r>
      <w:r w:rsidR="007654A8">
        <w:rPr>
          <w:rFonts w:ascii="Calibri" w:hAnsi="Calibri" w:cs="Calibri"/>
          <w:color w:val="000000"/>
        </w:rPr>
        <w:t xml:space="preserve">may </w:t>
      </w:r>
      <w:r w:rsidR="00364F34">
        <w:rPr>
          <w:rFonts w:ascii="Calibri" w:hAnsi="Calibri" w:cs="Calibri"/>
          <w:color w:val="000000"/>
        </w:rPr>
        <w:t>deliver higher rates of success</w:t>
      </w:r>
      <w:r w:rsidR="00F56AA4">
        <w:rPr>
          <w:rFonts w:ascii="Calibri" w:hAnsi="Calibri" w:cs="Calibri"/>
          <w:color w:val="000000"/>
        </w:rPr>
        <w:t>,</w:t>
      </w:r>
      <w:r w:rsidR="00364F34">
        <w:rPr>
          <w:rFonts w:ascii="Calibri" w:hAnsi="Calibri" w:cs="Calibri"/>
          <w:color w:val="000000"/>
        </w:rPr>
        <w:t xml:space="preserve"> with peanut allergen immunotherapy leading the way. </w:t>
      </w:r>
      <w:r w:rsidR="00352CD8">
        <w:rPr>
          <w:rFonts w:ascii="Calibri" w:hAnsi="Calibri" w:cs="Calibri"/>
          <w:color w:val="000000"/>
        </w:rPr>
        <w:t>Conversely</w:t>
      </w:r>
      <w:r w:rsidR="0094145C">
        <w:rPr>
          <w:rFonts w:ascii="Calibri" w:hAnsi="Calibri" w:cs="Calibri"/>
          <w:color w:val="000000"/>
        </w:rPr>
        <w:t>,</w:t>
      </w:r>
      <w:r w:rsidR="00352CD8">
        <w:rPr>
          <w:rFonts w:ascii="Calibri" w:hAnsi="Calibri" w:cs="Calibri"/>
          <w:color w:val="000000"/>
        </w:rPr>
        <w:t xml:space="preserve"> </w:t>
      </w:r>
      <w:r w:rsidR="00364F34">
        <w:rPr>
          <w:rFonts w:ascii="Calibri" w:hAnsi="Calibri" w:cs="Calibri"/>
          <w:color w:val="000000"/>
        </w:rPr>
        <w:t xml:space="preserve">the natural resolution of food allergies </w:t>
      </w:r>
      <w:r w:rsidR="00352CD8">
        <w:rPr>
          <w:rFonts w:ascii="Calibri" w:hAnsi="Calibri" w:cs="Calibri"/>
          <w:color w:val="000000"/>
        </w:rPr>
        <w:t xml:space="preserve">occurs </w:t>
      </w:r>
      <w:r w:rsidR="00364F34">
        <w:rPr>
          <w:rFonts w:ascii="Calibri" w:hAnsi="Calibri" w:cs="Calibri"/>
          <w:color w:val="000000"/>
        </w:rPr>
        <w:t xml:space="preserve">primarily in </w:t>
      </w:r>
      <w:r>
        <w:rPr>
          <w:rFonts w:ascii="Calibri" w:hAnsi="Calibri" w:cs="Calibri"/>
          <w:color w:val="000000"/>
        </w:rPr>
        <w:t xml:space="preserve">these </w:t>
      </w:r>
      <w:r w:rsidR="00364F34">
        <w:rPr>
          <w:rFonts w:ascii="Calibri" w:hAnsi="Calibri" w:cs="Calibri"/>
          <w:color w:val="000000"/>
        </w:rPr>
        <w:t>younger age groups</w:t>
      </w:r>
      <w:r w:rsidR="00915519">
        <w:rPr>
          <w:rFonts w:ascii="Calibri" w:hAnsi="Calibri" w:cs="Calibri"/>
          <w:color w:val="000000"/>
        </w:rPr>
        <w:t xml:space="preserve">, </w:t>
      </w:r>
      <w:r w:rsidR="00D86CC1">
        <w:rPr>
          <w:rFonts w:ascii="Calibri" w:hAnsi="Calibri" w:cs="Calibri"/>
          <w:color w:val="000000"/>
        </w:rPr>
        <w:t>resulting in</w:t>
      </w:r>
      <w:r w:rsidR="001E1C1A">
        <w:rPr>
          <w:rFonts w:ascii="Calibri" w:hAnsi="Calibri" w:cs="Calibri"/>
          <w:color w:val="000000"/>
        </w:rPr>
        <w:t xml:space="preserve"> </w:t>
      </w:r>
      <w:r w:rsidR="00486B3D">
        <w:rPr>
          <w:rFonts w:ascii="Calibri" w:hAnsi="Calibri" w:cs="Calibri"/>
          <w:color w:val="000000"/>
        </w:rPr>
        <w:t xml:space="preserve">challenges in </w:t>
      </w:r>
      <w:r w:rsidR="005362AC">
        <w:rPr>
          <w:rFonts w:ascii="Calibri" w:hAnsi="Calibri" w:cs="Calibri"/>
          <w:color w:val="000000"/>
        </w:rPr>
        <w:t xml:space="preserve">selecting </w:t>
      </w:r>
      <w:r w:rsidR="00486B3D">
        <w:rPr>
          <w:rFonts w:ascii="Calibri" w:hAnsi="Calibri" w:cs="Calibri"/>
          <w:color w:val="000000"/>
        </w:rPr>
        <w:t>patient</w:t>
      </w:r>
      <w:r w:rsidR="005362AC">
        <w:rPr>
          <w:rFonts w:ascii="Calibri" w:hAnsi="Calibri" w:cs="Calibri"/>
          <w:color w:val="000000"/>
        </w:rPr>
        <w:t>s who will</w:t>
      </w:r>
      <w:r w:rsidR="001E1C1A">
        <w:rPr>
          <w:rFonts w:ascii="Calibri" w:hAnsi="Calibri" w:cs="Calibri"/>
          <w:color w:val="000000"/>
        </w:rPr>
        <w:t xml:space="preserve"> ultimately benefit</w:t>
      </w:r>
      <w:r w:rsidR="005362AC">
        <w:rPr>
          <w:rFonts w:ascii="Calibri" w:hAnsi="Calibri" w:cs="Calibri"/>
          <w:color w:val="000000"/>
        </w:rPr>
        <w:t xml:space="preserve"> from these treatments</w:t>
      </w:r>
      <w:r w:rsidR="00364F34">
        <w:rPr>
          <w:rFonts w:ascii="Calibri" w:hAnsi="Calibri" w:cs="Calibri"/>
          <w:color w:val="000000"/>
        </w:rPr>
        <w:t xml:space="preserve">. </w:t>
      </w:r>
      <w:r w:rsidR="00287D1A">
        <w:rPr>
          <w:rFonts w:ascii="Calibri" w:hAnsi="Calibri" w:cs="Calibri"/>
          <w:color w:val="000000"/>
        </w:rPr>
        <w:t xml:space="preserve">Both </w:t>
      </w:r>
      <w:r w:rsidR="005362AC">
        <w:rPr>
          <w:rFonts w:ascii="Calibri" w:hAnsi="Calibri" w:cs="Calibri"/>
          <w:color w:val="000000"/>
        </w:rPr>
        <w:t xml:space="preserve">immunotherapy and natural history studies </w:t>
      </w:r>
      <w:r w:rsidR="006148EC">
        <w:rPr>
          <w:rFonts w:ascii="Calibri" w:hAnsi="Calibri" w:cs="Calibri"/>
          <w:color w:val="000000"/>
        </w:rPr>
        <w:t xml:space="preserve">reveal </w:t>
      </w:r>
      <w:r w:rsidR="00287D1A">
        <w:rPr>
          <w:rFonts w:ascii="Calibri" w:hAnsi="Calibri" w:cs="Calibri"/>
          <w:color w:val="000000"/>
        </w:rPr>
        <w:t>t</w:t>
      </w:r>
      <w:r w:rsidR="00364F34">
        <w:rPr>
          <w:rFonts w:ascii="Calibri" w:hAnsi="Calibri" w:cs="Calibri"/>
          <w:color w:val="000000"/>
        </w:rPr>
        <w:t>he</w:t>
      </w:r>
      <w:r w:rsidR="00287D1A">
        <w:rPr>
          <w:rFonts w:ascii="Calibri" w:hAnsi="Calibri" w:cs="Calibri"/>
          <w:color w:val="000000"/>
        </w:rPr>
        <w:t xml:space="preserve"> inherent</w:t>
      </w:r>
      <w:r w:rsidR="00364F34">
        <w:rPr>
          <w:rFonts w:ascii="Calibri" w:hAnsi="Calibri" w:cs="Calibri"/>
          <w:color w:val="000000"/>
        </w:rPr>
        <w:t xml:space="preserve"> plasticity of the immune system</w:t>
      </w:r>
      <w:r w:rsidR="005362AC">
        <w:rPr>
          <w:rFonts w:ascii="Calibri" w:hAnsi="Calibri" w:cs="Calibri"/>
          <w:color w:val="000000"/>
        </w:rPr>
        <w:t xml:space="preserve"> in early life</w:t>
      </w:r>
      <w:r>
        <w:rPr>
          <w:rFonts w:ascii="Calibri" w:hAnsi="Calibri" w:cs="Calibri"/>
          <w:color w:val="000000"/>
        </w:rPr>
        <w:t>,</w:t>
      </w:r>
      <w:r w:rsidR="00364F34">
        <w:rPr>
          <w:rFonts w:ascii="Calibri" w:hAnsi="Calibri" w:cs="Calibri"/>
          <w:color w:val="000000"/>
        </w:rPr>
        <w:t xml:space="preserve"> </w:t>
      </w:r>
      <w:r w:rsidR="00287D1A">
        <w:rPr>
          <w:rFonts w:ascii="Calibri" w:hAnsi="Calibri" w:cs="Calibri"/>
          <w:color w:val="000000"/>
        </w:rPr>
        <w:t>which</w:t>
      </w:r>
      <w:r w:rsidR="008C192F">
        <w:rPr>
          <w:rFonts w:ascii="Calibri" w:hAnsi="Calibri" w:cs="Calibri"/>
          <w:color w:val="000000"/>
        </w:rPr>
        <w:t xml:space="preserve"> may be more amenable to intervention, but</w:t>
      </w:r>
      <w:r w:rsidR="00287D1A">
        <w:rPr>
          <w:rFonts w:ascii="Calibri" w:hAnsi="Calibri" w:cs="Calibri"/>
          <w:color w:val="000000"/>
        </w:rPr>
        <w:t xml:space="preserve"> </w:t>
      </w:r>
      <w:r>
        <w:rPr>
          <w:rFonts w:ascii="Calibri" w:hAnsi="Calibri" w:cs="Calibri"/>
          <w:color w:val="000000"/>
        </w:rPr>
        <w:t xml:space="preserve">this </w:t>
      </w:r>
      <w:r w:rsidR="005362AC">
        <w:rPr>
          <w:rFonts w:ascii="Calibri" w:hAnsi="Calibri" w:cs="Calibri"/>
          <w:color w:val="000000"/>
        </w:rPr>
        <w:t xml:space="preserve">raises </w:t>
      </w:r>
      <w:r w:rsidR="00287D1A">
        <w:rPr>
          <w:rFonts w:ascii="Calibri" w:hAnsi="Calibri" w:cs="Calibri"/>
          <w:color w:val="000000"/>
        </w:rPr>
        <w:t xml:space="preserve">a </w:t>
      </w:r>
      <w:r w:rsidR="006148EC">
        <w:rPr>
          <w:rFonts w:ascii="Calibri" w:hAnsi="Calibri" w:cs="Calibri"/>
          <w:color w:val="000000"/>
        </w:rPr>
        <w:t xml:space="preserve">delicate yet unknown </w:t>
      </w:r>
      <w:r w:rsidR="00287D1A">
        <w:rPr>
          <w:rFonts w:ascii="Calibri" w:hAnsi="Calibri" w:cs="Calibri"/>
          <w:color w:val="000000"/>
        </w:rPr>
        <w:t xml:space="preserve">balance between optimal timing of intervention </w:t>
      </w:r>
      <w:r>
        <w:rPr>
          <w:rFonts w:ascii="Calibri" w:hAnsi="Calibri" w:cs="Calibri"/>
          <w:color w:val="000000"/>
        </w:rPr>
        <w:t>versus waiting for</w:t>
      </w:r>
      <w:r w:rsidR="00287D1A">
        <w:rPr>
          <w:rFonts w:ascii="Calibri" w:hAnsi="Calibri" w:cs="Calibri"/>
          <w:color w:val="000000"/>
        </w:rPr>
        <w:t xml:space="preserve"> </w:t>
      </w:r>
      <w:r w:rsidR="00195D52">
        <w:rPr>
          <w:rFonts w:ascii="Calibri" w:hAnsi="Calibri" w:cs="Calibri"/>
          <w:color w:val="000000"/>
        </w:rPr>
        <w:t xml:space="preserve">natural resolution of </w:t>
      </w:r>
      <w:r w:rsidR="00461500">
        <w:rPr>
          <w:rFonts w:ascii="Calibri" w:hAnsi="Calibri" w:cs="Calibri"/>
          <w:color w:val="000000"/>
        </w:rPr>
        <w:t xml:space="preserve">the food allergy. </w:t>
      </w:r>
      <w:r w:rsidR="007654A8">
        <w:rPr>
          <w:rFonts w:ascii="Calibri" w:hAnsi="Calibri" w:cs="Calibri"/>
          <w:color w:val="000000"/>
        </w:rPr>
        <w:t xml:space="preserve">Here we review the evidence </w:t>
      </w:r>
      <w:r w:rsidR="003E543C">
        <w:rPr>
          <w:rFonts w:ascii="Calibri" w:hAnsi="Calibri" w:cs="Calibri"/>
          <w:color w:val="000000"/>
        </w:rPr>
        <w:t xml:space="preserve">for </w:t>
      </w:r>
      <w:r w:rsidR="007654A8">
        <w:rPr>
          <w:rFonts w:ascii="Calibri" w:hAnsi="Calibri" w:cs="Calibri"/>
          <w:color w:val="000000"/>
        </w:rPr>
        <w:t xml:space="preserve">early food </w:t>
      </w:r>
      <w:r w:rsidR="00D86CC1">
        <w:rPr>
          <w:rFonts w:ascii="Calibri" w:hAnsi="Calibri" w:cs="Calibri"/>
          <w:color w:val="000000"/>
        </w:rPr>
        <w:t xml:space="preserve">allergen </w:t>
      </w:r>
      <w:r w:rsidR="007654A8">
        <w:rPr>
          <w:rFonts w:ascii="Calibri" w:hAnsi="Calibri" w:cs="Calibri"/>
          <w:color w:val="000000"/>
        </w:rPr>
        <w:t>immunotherapy</w:t>
      </w:r>
      <w:r w:rsidR="00583382">
        <w:rPr>
          <w:rFonts w:ascii="Calibri" w:hAnsi="Calibri" w:cs="Calibri"/>
          <w:color w:val="000000"/>
        </w:rPr>
        <w:t xml:space="preserve"> in preschoolers</w:t>
      </w:r>
      <w:r w:rsidR="00297BC0">
        <w:rPr>
          <w:rFonts w:ascii="Calibri" w:hAnsi="Calibri" w:cs="Calibri"/>
          <w:color w:val="000000"/>
        </w:rPr>
        <w:t xml:space="preserve">, </w:t>
      </w:r>
      <w:r w:rsidR="00423002">
        <w:rPr>
          <w:rFonts w:ascii="Calibri" w:hAnsi="Calibri" w:cs="Calibri"/>
          <w:color w:val="000000"/>
        </w:rPr>
        <w:t>and present</w:t>
      </w:r>
      <w:r w:rsidR="005362AC">
        <w:rPr>
          <w:rFonts w:ascii="Calibri" w:hAnsi="Calibri" w:cs="Calibri"/>
          <w:color w:val="000000"/>
        </w:rPr>
        <w:t xml:space="preserve"> pro and con views for this approach, </w:t>
      </w:r>
      <w:r w:rsidR="00423002">
        <w:rPr>
          <w:rFonts w:ascii="Calibri" w:hAnsi="Calibri" w:cs="Calibri"/>
          <w:color w:val="000000"/>
        </w:rPr>
        <w:t xml:space="preserve">while </w:t>
      </w:r>
      <w:r w:rsidR="00297BC0">
        <w:rPr>
          <w:rFonts w:ascii="Calibri" w:hAnsi="Calibri" w:cs="Calibri"/>
          <w:color w:val="000000"/>
        </w:rPr>
        <w:t>acknowledging th</w:t>
      </w:r>
      <w:r w:rsidR="00195D52">
        <w:rPr>
          <w:rFonts w:ascii="Calibri" w:hAnsi="Calibri" w:cs="Calibri"/>
          <w:color w:val="000000"/>
        </w:rPr>
        <w:t>e</w:t>
      </w:r>
      <w:r w:rsidR="00297BC0">
        <w:rPr>
          <w:rFonts w:ascii="Calibri" w:hAnsi="Calibri" w:cs="Calibri"/>
          <w:color w:val="000000"/>
        </w:rPr>
        <w:t xml:space="preserve"> </w:t>
      </w:r>
      <w:r w:rsidR="005362AC">
        <w:rPr>
          <w:rFonts w:ascii="Calibri" w:hAnsi="Calibri" w:cs="Calibri"/>
          <w:color w:val="000000"/>
        </w:rPr>
        <w:t>important</w:t>
      </w:r>
      <w:r w:rsidR="00583382">
        <w:rPr>
          <w:rFonts w:ascii="Calibri" w:hAnsi="Calibri" w:cs="Calibri"/>
          <w:color w:val="000000"/>
        </w:rPr>
        <w:t xml:space="preserve"> research gaps </w:t>
      </w:r>
      <w:r w:rsidR="00297BC0">
        <w:rPr>
          <w:rFonts w:ascii="Calibri" w:hAnsi="Calibri" w:cs="Calibri"/>
          <w:color w:val="000000"/>
        </w:rPr>
        <w:t>in this age group</w:t>
      </w:r>
      <w:r w:rsidR="00423002">
        <w:rPr>
          <w:rFonts w:ascii="Calibri" w:hAnsi="Calibri" w:cs="Calibri"/>
          <w:color w:val="000000"/>
        </w:rPr>
        <w:t>.</w:t>
      </w:r>
    </w:p>
    <w:p w14:paraId="1F8AE0F6" w14:textId="77777777" w:rsidR="00DB2E3D" w:rsidRDefault="00DB2E3D" w:rsidP="00195D52">
      <w:pPr>
        <w:spacing w:line="480" w:lineRule="auto"/>
        <w:jc w:val="both"/>
        <w:rPr>
          <w:rFonts w:ascii="Calibri" w:hAnsi="Calibri" w:cs="Calibri"/>
          <w:b/>
          <w:color w:val="000000"/>
        </w:rPr>
      </w:pPr>
    </w:p>
    <w:p w14:paraId="799D3AD7" w14:textId="1B752951" w:rsidR="00447698" w:rsidRDefault="00447698" w:rsidP="00195D52">
      <w:pPr>
        <w:spacing w:line="480" w:lineRule="auto"/>
        <w:rPr>
          <w:rFonts w:ascii="Calibri" w:hAnsi="Calibri" w:cs="Calibri"/>
          <w:color w:val="000000"/>
          <w:shd w:val="clear" w:color="auto" w:fill="FFFFFF"/>
        </w:rPr>
      </w:pPr>
      <w:r w:rsidRPr="009F4932">
        <w:rPr>
          <w:rFonts w:ascii="Calibri" w:hAnsi="Calibri" w:cs="Calibri"/>
          <w:b/>
          <w:color w:val="000000"/>
          <w:shd w:val="clear" w:color="auto" w:fill="FFFFFF"/>
        </w:rPr>
        <w:t>Keywords</w:t>
      </w:r>
      <w:r>
        <w:rPr>
          <w:rFonts w:ascii="Calibri" w:hAnsi="Calibri" w:cs="Calibri"/>
          <w:color w:val="000000"/>
          <w:shd w:val="clear" w:color="auto" w:fill="FFFFFF"/>
        </w:rPr>
        <w:t xml:space="preserve"> </w:t>
      </w:r>
    </w:p>
    <w:p w14:paraId="78BECA5C" w14:textId="2E42FAB2" w:rsidR="00B97FA7" w:rsidRDefault="00B97FA7" w:rsidP="00195D52">
      <w:pPr>
        <w:spacing w:line="480" w:lineRule="auto"/>
        <w:rPr>
          <w:rFonts w:ascii="Calibri" w:hAnsi="Calibri" w:cs="Calibri"/>
          <w:color w:val="000000"/>
          <w:shd w:val="clear" w:color="auto" w:fill="FFFFFF"/>
        </w:rPr>
      </w:pPr>
      <w:r>
        <w:rPr>
          <w:rFonts w:ascii="Calibri" w:hAnsi="Calibri" w:cs="Calibri"/>
          <w:color w:val="000000"/>
          <w:shd w:val="clear" w:color="auto" w:fill="FFFFFF"/>
        </w:rPr>
        <w:t>Food allergy, allergen immunotherapy, oral immunotherapy, peanut, preschool</w:t>
      </w:r>
      <w:r w:rsidR="0008248D">
        <w:rPr>
          <w:rFonts w:ascii="Calibri" w:hAnsi="Calibri" w:cs="Calibri"/>
          <w:color w:val="000000"/>
          <w:shd w:val="clear" w:color="auto" w:fill="FFFFFF"/>
        </w:rPr>
        <w:t xml:space="preserve">, preschoolers </w:t>
      </w:r>
    </w:p>
    <w:p w14:paraId="0468A97D" w14:textId="77777777" w:rsidR="00447698" w:rsidRDefault="00447698" w:rsidP="00195D52">
      <w:pPr>
        <w:spacing w:line="480" w:lineRule="auto"/>
        <w:rPr>
          <w:rFonts w:ascii="Calibri" w:hAnsi="Calibri" w:cs="Calibri"/>
          <w:color w:val="000000"/>
          <w:shd w:val="clear" w:color="auto" w:fill="FFFFFF"/>
        </w:rPr>
      </w:pPr>
    </w:p>
    <w:p w14:paraId="7A408831" w14:textId="5FAA6FCA" w:rsidR="00447698" w:rsidRPr="009F4932" w:rsidRDefault="00447698" w:rsidP="00195D52">
      <w:pPr>
        <w:spacing w:line="480" w:lineRule="auto"/>
        <w:rPr>
          <w:rFonts w:ascii="Calibri" w:hAnsi="Calibri" w:cs="Calibri"/>
          <w:b/>
          <w:color w:val="000000"/>
        </w:rPr>
      </w:pPr>
      <w:r>
        <w:rPr>
          <w:rFonts w:ascii="Calibri" w:hAnsi="Calibri" w:cs="Calibri"/>
          <w:b/>
          <w:color w:val="000000"/>
          <w:shd w:val="clear" w:color="auto" w:fill="FFFFFF"/>
        </w:rPr>
        <w:t>A</w:t>
      </w:r>
      <w:r w:rsidRPr="009F4932">
        <w:rPr>
          <w:rFonts w:ascii="Calibri" w:hAnsi="Calibri" w:cs="Calibri"/>
          <w:b/>
          <w:color w:val="000000"/>
          <w:shd w:val="clear" w:color="auto" w:fill="FFFFFF"/>
        </w:rPr>
        <w:t>bbreviations</w:t>
      </w:r>
    </w:p>
    <w:p w14:paraId="59AB722B" w14:textId="551D3EBE" w:rsidR="00B22182" w:rsidRPr="00EA565F" w:rsidRDefault="00594F4F" w:rsidP="00195D52">
      <w:pPr>
        <w:spacing w:line="480" w:lineRule="auto"/>
        <w:jc w:val="both"/>
      </w:pPr>
      <w:r w:rsidRPr="00594F4F">
        <w:t>DBPCFC</w:t>
      </w:r>
      <w:r>
        <w:t xml:space="preserve"> – </w:t>
      </w:r>
      <w:r w:rsidRPr="00594F4F">
        <w:t>double-blind placebo-controlled food challenge</w:t>
      </w:r>
      <w:r>
        <w:t>;</w:t>
      </w:r>
      <w:r w:rsidR="00277641">
        <w:t xml:space="preserve"> </w:t>
      </w:r>
      <w:r w:rsidR="001B26A4">
        <w:t>EPIT</w:t>
      </w:r>
      <w:r w:rsidR="001B26A4" w:rsidRPr="009907D7">
        <w:t xml:space="preserve"> </w:t>
      </w:r>
      <w:r w:rsidR="001B26A4">
        <w:t>– e</w:t>
      </w:r>
      <w:r w:rsidR="001B26A4" w:rsidRPr="009907D7">
        <w:t>picutaneous immunotherapy</w:t>
      </w:r>
      <w:r w:rsidR="001B26A4">
        <w:t xml:space="preserve">; </w:t>
      </w:r>
      <w:r>
        <w:t>FDA – F</w:t>
      </w:r>
      <w:r w:rsidRPr="00594F4F">
        <w:t>ood and Drug Administration</w:t>
      </w:r>
      <w:r w:rsidR="001B26A4">
        <w:t>;</w:t>
      </w:r>
      <w:r>
        <w:t xml:space="preserve"> </w:t>
      </w:r>
      <w:r w:rsidR="007D3FBE">
        <w:t xml:space="preserve">IgE </w:t>
      </w:r>
      <w:r w:rsidR="001B26A4">
        <w:t>– immunoglobulin E; OIT – o</w:t>
      </w:r>
      <w:r w:rsidR="004346DC">
        <w:t xml:space="preserve">ral immunotherapy; </w:t>
      </w:r>
      <w:r w:rsidR="001B26A4">
        <w:t>QoL – q</w:t>
      </w:r>
      <w:r>
        <w:rPr>
          <w:rFonts w:ascii="Calibri" w:hAnsi="Calibri" w:cs="Calibri"/>
          <w:color w:val="000000"/>
        </w:rPr>
        <w:t xml:space="preserve">uality of life; </w:t>
      </w:r>
      <w:r w:rsidR="004346DC">
        <w:rPr>
          <w:rFonts w:ascii="Calibri" w:hAnsi="Calibri" w:cs="Calibri"/>
          <w:color w:val="000000"/>
        </w:rPr>
        <w:t xml:space="preserve">sIgE – specific immunoglobulin E; </w:t>
      </w:r>
      <w:r w:rsidR="001B26A4">
        <w:t>SLIT – sublingual immunotherapy</w:t>
      </w:r>
      <w:r w:rsidR="004346DC">
        <w:t>;</w:t>
      </w:r>
      <w:r w:rsidR="001B26A4">
        <w:t xml:space="preserve"> </w:t>
      </w:r>
      <w:r w:rsidR="00FC4820">
        <w:t>SPT – skin prick test</w:t>
      </w:r>
      <w:r w:rsidR="004346DC">
        <w:t>;</w:t>
      </w:r>
      <w:r w:rsidR="00FC4820">
        <w:t xml:space="preserve"> </w:t>
      </w:r>
      <w:r>
        <w:t>SU – sustained unresponsiveness</w:t>
      </w:r>
    </w:p>
    <w:p w14:paraId="2C2D136F" w14:textId="40718087" w:rsidR="0064633E" w:rsidRPr="001461B8" w:rsidRDefault="00936F89" w:rsidP="00195D52">
      <w:pPr>
        <w:spacing w:line="480" w:lineRule="auto"/>
        <w:jc w:val="both"/>
        <w:rPr>
          <w:rFonts w:ascii="Calibri" w:hAnsi="Calibri" w:cs="Calibri"/>
          <w:b/>
          <w:color w:val="000000"/>
        </w:rPr>
      </w:pPr>
      <w:r w:rsidRPr="001461B8">
        <w:rPr>
          <w:rFonts w:ascii="Calibri" w:hAnsi="Calibri" w:cs="Calibri"/>
          <w:b/>
          <w:color w:val="000000"/>
        </w:rPr>
        <w:lastRenderedPageBreak/>
        <w:t>Introduction</w:t>
      </w:r>
    </w:p>
    <w:p w14:paraId="7E0996BB" w14:textId="01B9B91F" w:rsidR="009907D7" w:rsidRDefault="00117556" w:rsidP="00195D52">
      <w:pPr>
        <w:spacing w:line="480" w:lineRule="auto"/>
        <w:jc w:val="both"/>
        <w:rPr>
          <w:rFonts w:ascii="Calibri" w:hAnsi="Calibri" w:cs="Calibri"/>
          <w:color w:val="000000"/>
        </w:rPr>
      </w:pPr>
      <w:r>
        <w:t>Food allergy prevalence continues to rise worldwide with significant lifestyle and economic burden</w:t>
      </w:r>
      <w:r w:rsidR="004355C8">
        <w:t xml:space="preserve"> to </w:t>
      </w:r>
      <w:r w:rsidR="00195D52">
        <w:t xml:space="preserve">individuals affected and to </w:t>
      </w:r>
      <w:r w:rsidR="004355C8">
        <w:t>society</w:t>
      </w:r>
      <w:r w:rsidR="00A55F78">
        <w:t>.</w:t>
      </w:r>
      <w:r w:rsidR="007B61DE">
        <w:t xml:space="preserve"> </w:t>
      </w:r>
      <w:r w:rsidR="00661B10" w:rsidRPr="00661B10">
        <w:rPr>
          <w:noProof/>
          <w:vertAlign w:val="superscript"/>
        </w:rPr>
        <w:t>1, 2</w:t>
      </w:r>
      <w:r w:rsidR="00A55F78">
        <w:t xml:space="preserve"> </w:t>
      </w:r>
      <w:r>
        <w:t>Together with prevention strategies to stem the tide of this burden, f</w:t>
      </w:r>
      <w:r w:rsidR="009907D7" w:rsidRPr="009907D7">
        <w:t>ood allerg</w:t>
      </w:r>
      <w:r w:rsidR="00B22182">
        <w:t>en</w:t>
      </w:r>
      <w:r w:rsidR="009907D7" w:rsidRPr="009907D7">
        <w:t xml:space="preserve"> </w:t>
      </w:r>
      <w:r w:rsidR="00936F89" w:rsidRPr="009907D7">
        <w:t>immunotherapy</w:t>
      </w:r>
      <w:r w:rsidR="001268CC">
        <w:t xml:space="preserve"> is </w:t>
      </w:r>
      <w:r w:rsidR="00F01C98" w:rsidRPr="009907D7">
        <w:t xml:space="preserve">an emergent </w:t>
      </w:r>
      <w:r w:rsidR="00195D52">
        <w:t>treatment</w:t>
      </w:r>
      <w:r w:rsidR="001F6CCE">
        <w:t>,</w:t>
      </w:r>
      <w:r w:rsidR="009907D7" w:rsidRPr="009907D7">
        <w:t xml:space="preserve"> with three main modalities </w:t>
      </w:r>
      <w:r w:rsidR="001268CC">
        <w:t xml:space="preserve">currently </w:t>
      </w:r>
      <w:r w:rsidR="00245839" w:rsidRPr="00245839">
        <w:t xml:space="preserve">in various stages of development, </w:t>
      </w:r>
      <w:r w:rsidR="009907D7">
        <w:t>including o</w:t>
      </w:r>
      <w:r w:rsidR="009907D7" w:rsidRPr="009907D7">
        <w:t>ral immunotherapy</w:t>
      </w:r>
      <w:r w:rsidR="009907D7">
        <w:t xml:space="preserve"> (OIT)</w:t>
      </w:r>
      <w:r w:rsidR="009907D7" w:rsidRPr="009907D7">
        <w:t>, epicutaneous immunotherapy</w:t>
      </w:r>
      <w:r w:rsidR="009907D7">
        <w:t xml:space="preserve"> (EPIT)</w:t>
      </w:r>
      <w:r w:rsidR="009907D7" w:rsidRPr="009907D7">
        <w:t xml:space="preserve">, </w:t>
      </w:r>
      <w:r w:rsidR="009907D7">
        <w:t xml:space="preserve">and </w:t>
      </w:r>
      <w:r w:rsidR="009907D7" w:rsidRPr="009907D7">
        <w:t xml:space="preserve">sublingual immunotherapy </w:t>
      </w:r>
      <w:r w:rsidR="009907D7">
        <w:t>(SLIT)</w:t>
      </w:r>
      <w:r w:rsidR="00A55F78">
        <w:t>.</w:t>
      </w:r>
      <w:r w:rsidR="0029787B">
        <w:t xml:space="preserve"> </w:t>
      </w:r>
      <w:r w:rsidR="00661B10" w:rsidRPr="00661B10">
        <w:rPr>
          <w:noProof/>
          <w:vertAlign w:val="superscript"/>
        </w:rPr>
        <w:t>3</w:t>
      </w:r>
      <w:r w:rsidR="009907D7">
        <w:t xml:space="preserve"> OIT </w:t>
      </w:r>
      <w:r w:rsidR="007E31A4">
        <w:t xml:space="preserve">is </w:t>
      </w:r>
      <w:r w:rsidR="009907D7">
        <w:t>the most studied</w:t>
      </w:r>
      <w:r w:rsidR="007E31A4">
        <w:t xml:space="preserve"> with </w:t>
      </w:r>
      <w:r w:rsidR="00857F31">
        <w:t xml:space="preserve">the </w:t>
      </w:r>
      <w:r w:rsidR="007E31A4">
        <w:rPr>
          <w:rFonts w:ascii="Calibri" w:hAnsi="Calibri" w:cs="Calibri"/>
          <w:color w:val="000000"/>
        </w:rPr>
        <w:t>m</w:t>
      </w:r>
      <w:r w:rsidR="00577307" w:rsidRPr="009907D7">
        <w:rPr>
          <w:rFonts w:ascii="Calibri" w:hAnsi="Calibri" w:cs="Calibri"/>
          <w:color w:val="000000"/>
        </w:rPr>
        <w:t xml:space="preserve">ajority of </w:t>
      </w:r>
      <w:r w:rsidR="00FD2D7D">
        <w:rPr>
          <w:rFonts w:ascii="Calibri" w:hAnsi="Calibri" w:cs="Calibri"/>
          <w:color w:val="000000"/>
        </w:rPr>
        <w:t>research</w:t>
      </w:r>
      <w:r w:rsidR="00FD2D7D" w:rsidRPr="009907D7">
        <w:rPr>
          <w:rFonts w:ascii="Calibri" w:hAnsi="Calibri" w:cs="Calibri"/>
          <w:color w:val="000000"/>
        </w:rPr>
        <w:t xml:space="preserve"> </w:t>
      </w:r>
      <w:r w:rsidR="007E31A4">
        <w:rPr>
          <w:rFonts w:ascii="Calibri" w:hAnsi="Calibri" w:cs="Calibri"/>
          <w:color w:val="000000"/>
        </w:rPr>
        <w:t xml:space="preserve">and </w:t>
      </w:r>
      <w:r w:rsidR="00FD2D7D">
        <w:rPr>
          <w:rFonts w:ascii="Calibri" w:hAnsi="Calibri" w:cs="Calibri"/>
          <w:color w:val="000000"/>
        </w:rPr>
        <w:t>publications</w:t>
      </w:r>
      <w:r w:rsidR="00FD2D7D" w:rsidRPr="009907D7">
        <w:rPr>
          <w:rFonts w:ascii="Calibri" w:hAnsi="Calibri" w:cs="Calibri"/>
          <w:color w:val="000000"/>
        </w:rPr>
        <w:t xml:space="preserve"> </w:t>
      </w:r>
      <w:r w:rsidR="007075EF">
        <w:rPr>
          <w:rFonts w:ascii="Calibri" w:hAnsi="Calibri" w:cs="Calibri"/>
          <w:color w:val="000000"/>
        </w:rPr>
        <w:t>focused on</w:t>
      </w:r>
      <w:r w:rsidR="00577307" w:rsidRPr="009907D7">
        <w:rPr>
          <w:rFonts w:ascii="Calibri" w:hAnsi="Calibri" w:cs="Calibri"/>
          <w:color w:val="000000"/>
        </w:rPr>
        <w:t xml:space="preserve"> peanut</w:t>
      </w:r>
      <w:r w:rsidR="007E31A4">
        <w:rPr>
          <w:rFonts w:ascii="Calibri" w:hAnsi="Calibri" w:cs="Calibri"/>
          <w:color w:val="000000"/>
        </w:rPr>
        <w:t xml:space="preserve"> OIT</w:t>
      </w:r>
      <w:r w:rsidR="00A55F78">
        <w:rPr>
          <w:rFonts w:ascii="Calibri" w:hAnsi="Calibri" w:cs="Calibri"/>
          <w:color w:val="000000"/>
        </w:rPr>
        <w:t>.</w:t>
      </w:r>
      <w:r w:rsidR="000A1EDA">
        <w:rPr>
          <w:rFonts w:ascii="Calibri" w:hAnsi="Calibri" w:cs="Calibri"/>
          <w:color w:val="000000"/>
        </w:rPr>
        <w:t xml:space="preserve"> </w:t>
      </w:r>
      <w:r w:rsidR="00661B10" w:rsidRPr="00661B10">
        <w:rPr>
          <w:rFonts w:ascii="Calibri" w:hAnsi="Calibri" w:cs="Calibri"/>
          <w:noProof/>
          <w:color w:val="000000"/>
          <w:vertAlign w:val="superscript"/>
        </w:rPr>
        <w:t>4</w:t>
      </w:r>
      <w:r w:rsidR="007E31A4">
        <w:rPr>
          <w:rFonts w:ascii="Calibri" w:hAnsi="Calibri" w:cs="Calibri"/>
          <w:color w:val="000000"/>
        </w:rPr>
        <w:t xml:space="preserve"> </w:t>
      </w:r>
      <w:r w:rsidR="00857F31">
        <w:rPr>
          <w:rFonts w:ascii="Calibri" w:hAnsi="Calibri" w:cs="Calibri"/>
          <w:color w:val="000000"/>
        </w:rPr>
        <w:t>The f</w:t>
      </w:r>
      <w:r w:rsidR="009907D7" w:rsidRPr="009907D7">
        <w:rPr>
          <w:rFonts w:ascii="Calibri" w:hAnsi="Calibri" w:cs="Calibri"/>
          <w:color w:val="000000"/>
        </w:rPr>
        <w:t xml:space="preserve">irst </w:t>
      </w:r>
      <w:r w:rsidR="009907D7">
        <w:rPr>
          <w:rFonts w:ascii="Calibri" w:hAnsi="Calibri" w:cs="Calibri"/>
          <w:color w:val="000000"/>
        </w:rPr>
        <w:t>product</w:t>
      </w:r>
      <w:r w:rsidR="00862BD0">
        <w:rPr>
          <w:rFonts w:ascii="Calibri" w:hAnsi="Calibri" w:cs="Calibri"/>
          <w:color w:val="000000"/>
        </w:rPr>
        <w:t xml:space="preserve"> to be approved for a food allergy indication by the U</w:t>
      </w:r>
      <w:r w:rsidR="002C2419">
        <w:rPr>
          <w:rFonts w:ascii="Calibri" w:hAnsi="Calibri" w:cs="Calibri"/>
          <w:color w:val="000000"/>
        </w:rPr>
        <w:t xml:space="preserve">nited </w:t>
      </w:r>
      <w:r w:rsidR="00862BD0">
        <w:rPr>
          <w:rFonts w:ascii="Calibri" w:hAnsi="Calibri" w:cs="Calibri"/>
          <w:color w:val="000000"/>
        </w:rPr>
        <w:t>S</w:t>
      </w:r>
      <w:r w:rsidR="002C2419">
        <w:rPr>
          <w:rFonts w:ascii="Calibri" w:hAnsi="Calibri" w:cs="Calibri"/>
          <w:color w:val="000000"/>
        </w:rPr>
        <w:t>tates</w:t>
      </w:r>
      <w:r w:rsidR="00862BD0">
        <w:rPr>
          <w:rFonts w:ascii="Calibri" w:hAnsi="Calibri" w:cs="Calibri"/>
          <w:color w:val="000000"/>
        </w:rPr>
        <w:t xml:space="preserve"> Food and Drug Administration (FDA)</w:t>
      </w:r>
      <w:r w:rsidR="009907D7">
        <w:rPr>
          <w:rFonts w:ascii="Calibri" w:hAnsi="Calibri" w:cs="Calibri"/>
          <w:color w:val="000000"/>
        </w:rPr>
        <w:t xml:space="preserve"> </w:t>
      </w:r>
      <w:r w:rsidR="00443A37">
        <w:rPr>
          <w:rFonts w:ascii="Calibri" w:hAnsi="Calibri" w:cs="Calibri"/>
          <w:color w:val="000000"/>
        </w:rPr>
        <w:t xml:space="preserve">is a biologic OIT drug </w:t>
      </w:r>
      <w:r w:rsidR="009907D7">
        <w:rPr>
          <w:rFonts w:ascii="Calibri" w:hAnsi="Calibri" w:cs="Calibri"/>
          <w:color w:val="000000"/>
        </w:rPr>
        <w:t>(</w:t>
      </w:r>
      <w:r w:rsidR="009907D7" w:rsidRPr="009907D7">
        <w:rPr>
          <w:rFonts w:ascii="Calibri" w:hAnsi="Calibri" w:cs="Calibri"/>
          <w:color w:val="000000"/>
        </w:rPr>
        <w:t>Palforzia</w:t>
      </w:r>
      <w:r w:rsidR="007E16E3">
        <w:rPr>
          <w:rFonts w:ascii="Calibri" w:hAnsi="Calibri" w:cs="Calibri"/>
          <w:color w:val="000000"/>
        </w:rPr>
        <w:t>®</w:t>
      </w:r>
      <w:r w:rsidR="009907D7">
        <w:rPr>
          <w:rFonts w:ascii="Calibri" w:hAnsi="Calibri" w:cs="Calibri"/>
          <w:color w:val="000000"/>
        </w:rPr>
        <w:t>)</w:t>
      </w:r>
      <w:r w:rsidR="00443A37">
        <w:rPr>
          <w:rFonts w:ascii="Calibri" w:hAnsi="Calibri" w:cs="Calibri"/>
          <w:color w:val="000000"/>
        </w:rPr>
        <w:t xml:space="preserve">. </w:t>
      </w:r>
      <w:r w:rsidR="009907D7" w:rsidRPr="009907D7">
        <w:rPr>
          <w:rFonts w:ascii="Calibri" w:hAnsi="Calibri" w:cs="Calibri"/>
          <w:color w:val="000000"/>
        </w:rPr>
        <w:t xml:space="preserve"> </w:t>
      </w:r>
      <w:r w:rsidR="00443A37">
        <w:rPr>
          <w:rFonts w:ascii="Calibri" w:hAnsi="Calibri" w:cs="Calibri"/>
          <w:color w:val="000000"/>
        </w:rPr>
        <w:t xml:space="preserve">Palforzia® was approved in 2020 for select </w:t>
      </w:r>
      <w:r w:rsidR="00577307">
        <w:rPr>
          <w:rFonts w:ascii="Calibri" w:hAnsi="Calibri" w:cs="Calibri"/>
          <w:color w:val="000000"/>
        </w:rPr>
        <w:t>peanut</w:t>
      </w:r>
      <w:r w:rsidR="007075EF">
        <w:rPr>
          <w:rFonts w:ascii="Calibri" w:hAnsi="Calibri" w:cs="Calibri"/>
          <w:color w:val="000000"/>
        </w:rPr>
        <w:t>-allergic patients, ages</w:t>
      </w:r>
      <w:r w:rsidR="009907D7" w:rsidRPr="009907D7">
        <w:rPr>
          <w:rFonts w:ascii="Calibri" w:hAnsi="Calibri" w:cs="Calibri"/>
          <w:color w:val="000000"/>
        </w:rPr>
        <w:t xml:space="preserve"> 4-17 years</w:t>
      </w:r>
      <w:r w:rsidR="007075EF">
        <w:rPr>
          <w:rFonts w:ascii="Calibri" w:hAnsi="Calibri" w:cs="Calibri"/>
          <w:color w:val="000000"/>
        </w:rPr>
        <w:t>, targeting desensitization as a key clinical outcome</w:t>
      </w:r>
      <w:r w:rsidR="003F39B3">
        <w:rPr>
          <w:rFonts w:ascii="Calibri" w:hAnsi="Calibri" w:cs="Calibri"/>
          <w:color w:val="000000"/>
        </w:rPr>
        <w:t>,</w:t>
      </w:r>
      <w:r w:rsidR="00857F31">
        <w:rPr>
          <w:rFonts w:ascii="Calibri" w:hAnsi="Calibri" w:cs="Calibri"/>
          <w:color w:val="000000"/>
        </w:rPr>
        <w:t xml:space="preserve"> </w:t>
      </w:r>
      <w:r w:rsidR="009907D7" w:rsidRPr="009907D7">
        <w:rPr>
          <w:rFonts w:ascii="Calibri" w:hAnsi="Calibri" w:cs="Calibri"/>
          <w:color w:val="000000"/>
        </w:rPr>
        <w:t xml:space="preserve">and </w:t>
      </w:r>
      <w:r w:rsidR="003F39B3">
        <w:rPr>
          <w:rFonts w:ascii="Calibri" w:hAnsi="Calibri" w:cs="Calibri"/>
          <w:color w:val="000000"/>
        </w:rPr>
        <w:t xml:space="preserve">it </w:t>
      </w:r>
      <w:r w:rsidR="00857F31">
        <w:rPr>
          <w:rFonts w:ascii="Calibri" w:hAnsi="Calibri" w:cs="Calibri"/>
          <w:color w:val="000000"/>
        </w:rPr>
        <w:t xml:space="preserve">is </w:t>
      </w:r>
      <w:r w:rsidR="009907D7" w:rsidRPr="009907D7">
        <w:rPr>
          <w:rFonts w:ascii="Calibri" w:hAnsi="Calibri" w:cs="Calibri"/>
          <w:color w:val="000000"/>
        </w:rPr>
        <w:t xml:space="preserve">now available in the </w:t>
      </w:r>
      <w:r w:rsidR="009907D7">
        <w:rPr>
          <w:rFonts w:ascii="Calibri" w:hAnsi="Calibri" w:cs="Calibri"/>
          <w:color w:val="000000"/>
        </w:rPr>
        <w:t xml:space="preserve">US, UK and </w:t>
      </w:r>
      <w:r w:rsidR="009907D7" w:rsidRPr="009907D7">
        <w:rPr>
          <w:rFonts w:ascii="Calibri" w:hAnsi="Calibri" w:cs="Calibri"/>
          <w:color w:val="000000"/>
        </w:rPr>
        <w:t>EU</w:t>
      </w:r>
      <w:r w:rsidR="00A55F78">
        <w:rPr>
          <w:rFonts w:ascii="Calibri" w:hAnsi="Calibri" w:cs="Calibri"/>
          <w:color w:val="000000"/>
        </w:rPr>
        <w:t>.</w:t>
      </w:r>
      <w:r w:rsidR="00914E2A">
        <w:rPr>
          <w:rFonts w:ascii="Calibri" w:hAnsi="Calibri" w:cs="Calibri"/>
          <w:color w:val="000000"/>
        </w:rPr>
        <w:t xml:space="preserve"> </w:t>
      </w:r>
      <w:r w:rsidR="00661B10" w:rsidRPr="00661B10">
        <w:rPr>
          <w:rFonts w:ascii="Calibri" w:hAnsi="Calibri" w:cs="Calibri"/>
          <w:noProof/>
          <w:color w:val="000000"/>
          <w:vertAlign w:val="superscript"/>
        </w:rPr>
        <w:t>5-7</w:t>
      </w:r>
      <w:r w:rsidR="00857F31">
        <w:rPr>
          <w:rFonts w:ascii="Calibri" w:hAnsi="Calibri" w:cs="Calibri"/>
          <w:color w:val="000000"/>
        </w:rPr>
        <w:t xml:space="preserve"> </w:t>
      </w:r>
      <w:r w:rsidR="00FD2D7D">
        <w:rPr>
          <w:rFonts w:ascii="Calibri" w:hAnsi="Calibri" w:cs="Calibri"/>
          <w:color w:val="000000"/>
        </w:rPr>
        <w:t xml:space="preserve"> </w:t>
      </w:r>
    </w:p>
    <w:p w14:paraId="0B3E4159" w14:textId="77777777" w:rsidR="000860C1" w:rsidRDefault="000860C1" w:rsidP="00195D52">
      <w:pPr>
        <w:spacing w:line="480" w:lineRule="auto"/>
        <w:jc w:val="both"/>
        <w:rPr>
          <w:rFonts w:ascii="Calibri" w:hAnsi="Calibri" w:cs="Calibri"/>
          <w:color w:val="000000"/>
        </w:rPr>
      </w:pPr>
    </w:p>
    <w:p w14:paraId="50E892D2" w14:textId="40FF7238" w:rsidR="009F1548" w:rsidRPr="009907D7" w:rsidRDefault="009D2AA4" w:rsidP="00195D52">
      <w:pPr>
        <w:spacing w:line="480" w:lineRule="auto"/>
        <w:jc w:val="both"/>
        <w:rPr>
          <w:rFonts w:ascii="Calibri" w:hAnsi="Calibri" w:cs="Calibri"/>
          <w:color w:val="000000"/>
        </w:rPr>
      </w:pPr>
      <w:r>
        <w:rPr>
          <w:rFonts w:ascii="Calibri" w:hAnsi="Calibri" w:cs="Calibri"/>
          <w:color w:val="000000"/>
        </w:rPr>
        <w:t xml:space="preserve">The </w:t>
      </w:r>
      <w:r w:rsidR="00443A37">
        <w:rPr>
          <w:rFonts w:ascii="Calibri" w:hAnsi="Calibri" w:cs="Calibri"/>
          <w:color w:val="000000"/>
        </w:rPr>
        <w:t xml:space="preserve">efficacy </w:t>
      </w:r>
      <w:r>
        <w:rPr>
          <w:rFonts w:ascii="Calibri" w:hAnsi="Calibri" w:cs="Calibri"/>
          <w:color w:val="000000"/>
        </w:rPr>
        <w:t>o</w:t>
      </w:r>
      <w:r w:rsidR="009F1548" w:rsidRPr="00FC6788">
        <w:rPr>
          <w:rFonts w:ascii="Calibri" w:hAnsi="Calibri" w:cs="Calibri"/>
          <w:color w:val="000000"/>
        </w:rPr>
        <w:t xml:space="preserve">utcomes </w:t>
      </w:r>
      <w:r w:rsidR="003F39B3">
        <w:rPr>
          <w:rFonts w:ascii="Calibri" w:hAnsi="Calibri" w:cs="Calibri"/>
          <w:color w:val="000000"/>
        </w:rPr>
        <w:t xml:space="preserve">most commonly described in clinical trials </w:t>
      </w:r>
      <w:r w:rsidR="009F1548" w:rsidRPr="00FC6788">
        <w:rPr>
          <w:rFonts w:ascii="Calibri" w:hAnsi="Calibri" w:cs="Calibri"/>
          <w:color w:val="000000"/>
        </w:rPr>
        <w:t xml:space="preserve">of a food allergy treatment </w:t>
      </w:r>
      <w:r w:rsidR="000860C1">
        <w:rPr>
          <w:rFonts w:ascii="Calibri" w:hAnsi="Calibri" w:cs="Calibri"/>
          <w:color w:val="000000"/>
        </w:rPr>
        <w:t xml:space="preserve">regimen </w:t>
      </w:r>
      <w:r w:rsidR="009F1548" w:rsidRPr="00FC6788">
        <w:rPr>
          <w:rFonts w:ascii="Calibri" w:hAnsi="Calibri" w:cs="Calibri"/>
          <w:color w:val="000000"/>
        </w:rPr>
        <w:t xml:space="preserve">include </w:t>
      </w:r>
      <w:r w:rsidR="0084626A">
        <w:rPr>
          <w:rFonts w:ascii="Calibri" w:hAnsi="Calibri" w:cs="Calibri"/>
          <w:color w:val="000000"/>
        </w:rPr>
        <w:t>desensitization</w:t>
      </w:r>
      <w:r w:rsidR="009B1AE3" w:rsidRPr="00FC6788">
        <w:rPr>
          <w:rFonts w:ascii="Calibri" w:hAnsi="Calibri" w:cs="Calibri"/>
          <w:color w:val="000000"/>
        </w:rPr>
        <w:t xml:space="preserve"> </w:t>
      </w:r>
      <w:r w:rsidR="009F1548" w:rsidRPr="00FC6788">
        <w:rPr>
          <w:rFonts w:ascii="Calibri" w:hAnsi="Calibri" w:cs="Calibri"/>
          <w:color w:val="000000"/>
        </w:rPr>
        <w:t xml:space="preserve">and sustained unresponsiveness </w:t>
      </w:r>
      <w:r w:rsidR="009B1AE3" w:rsidRPr="00FC6788">
        <w:rPr>
          <w:rFonts w:ascii="Calibri" w:hAnsi="Calibri" w:cs="Calibri"/>
          <w:color w:val="000000"/>
        </w:rPr>
        <w:t>(SU)</w:t>
      </w:r>
      <w:r w:rsidR="00A55F78">
        <w:rPr>
          <w:rFonts w:ascii="Calibri" w:hAnsi="Calibri" w:cs="Calibri"/>
          <w:color w:val="000000"/>
        </w:rPr>
        <w:t>.</w:t>
      </w:r>
      <w:r w:rsidR="00093217">
        <w:rPr>
          <w:rFonts w:ascii="Calibri" w:hAnsi="Calibri" w:cs="Calibri"/>
          <w:color w:val="000000"/>
        </w:rPr>
        <w:t xml:space="preserve"> </w:t>
      </w:r>
      <w:r w:rsidR="00661B10" w:rsidRPr="00661B10">
        <w:rPr>
          <w:rFonts w:ascii="Calibri" w:hAnsi="Calibri" w:cs="Calibri"/>
          <w:noProof/>
          <w:color w:val="000000"/>
          <w:vertAlign w:val="superscript"/>
        </w:rPr>
        <w:t>3, 8</w:t>
      </w:r>
      <w:r w:rsidR="00AA56D1">
        <w:rPr>
          <w:rFonts w:ascii="Calibri" w:hAnsi="Calibri" w:cs="Calibri"/>
          <w:color w:val="000000"/>
        </w:rPr>
        <w:t xml:space="preserve"> </w:t>
      </w:r>
      <w:r w:rsidR="0084626A">
        <w:rPr>
          <w:rFonts w:ascii="Calibri" w:hAnsi="Calibri" w:cs="Calibri"/>
          <w:color w:val="000000"/>
        </w:rPr>
        <w:t>Desensitization</w:t>
      </w:r>
      <w:r w:rsidR="007B36AF">
        <w:rPr>
          <w:rFonts w:ascii="Calibri" w:hAnsi="Calibri" w:cs="Calibri"/>
          <w:color w:val="000000"/>
        </w:rPr>
        <w:t xml:space="preserve"> is the temporary increase in </w:t>
      </w:r>
      <w:r w:rsidR="00060E02">
        <w:rPr>
          <w:rFonts w:ascii="Calibri" w:hAnsi="Calibri" w:cs="Calibri"/>
          <w:color w:val="000000"/>
        </w:rPr>
        <w:t xml:space="preserve">reaction </w:t>
      </w:r>
      <w:r w:rsidR="007B36AF">
        <w:rPr>
          <w:rFonts w:ascii="Calibri" w:hAnsi="Calibri" w:cs="Calibri"/>
          <w:color w:val="000000"/>
        </w:rPr>
        <w:t xml:space="preserve">threshold while </w:t>
      </w:r>
      <w:r w:rsidR="00A90A35">
        <w:rPr>
          <w:rFonts w:ascii="Calibri" w:hAnsi="Calibri" w:cs="Calibri"/>
          <w:color w:val="000000"/>
        </w:rPr>
        <w:t>on treatment</w:t>
      </w:r>
      <w:r w:rsidR="00A34C13">
        <w:rPr>
          <w:rFonts w:ascii="Calibri" w:hAnsi="Calibri" w:cs="Calibri"/>
          <w:color w:val="000000"/>
        </w:rPr>
        <w:t xml:space="preserve"> where </w:t>
      </w:r>
      <w:r w:rsidR="00A90A35">
        <w:rPr>
          <w:rFonts w:ascii="Calibri" w:hAnsi="Calibri" w:cs="Calibri"/>
          <w:color w:val="000000"/>
        </w:rPr>
        <w:t>allergen avoidance</w:t>
      </w:r>
      <w:r w:rsidR="00FD2D7D">
        <w:rPr>
          <w:rFonts w:ascii="Calibri" w:hAnsi="Calibri" w:cs="Calibri"/>
          <w:color w:val="000000"/>
        </w:rPr>
        <w:t xml:space="preserve"> must be maintained </w:t>
      </w:r>
      <w:r w:rsidR="00A90A35">
        <w:rPr>
          <w:rFonts w:ascii="Calibri" w:hAnsi="Calibri" w:cs="Calibri"/>
          <w:color w:val="000000"/>
        </w:rPr>
        <w:t>and treatment may be indefinite</w:t>
      </w:r>
      <w:r w:rsidR="00C8693F">
        <w:rPr>
          <w:rFonts w:ascii="Calibri" w:hAnsi="Calibri" w:cs="Calibri"/>
          <w:color w:val="000000"/>
        </w:rPr>
        <w:t>.</w:t>
      </w:r>
      <w:r w:rsidR="00BA67B0">
        <w:rPr>
          <w:rFonts w:ascii="Calibri" w:hAnsi="Calibri" w:cs="Calibri"/>
          <w:color w:val="000000"/>
        </w:rPr>
        <w:t xml:space="preserve"> </w:t>
      </w:r>
      <w:r w:rsidR="00661B10" w:rsidRPr="00661B10">
        <w:rPr>
          <w:rFonts w:ascii="Calibri" w:hAnsi="Calibri" w:cs="Calibri"/>
          <w:noProof/>
          <w:color w:val="000000"/>
          <w:vertAlign w:val="superscript"/>
        </w:rPr>
        <w:t>3</w:t>
      </w:r>
      <w:r w:rsidR="00A90A35">
        <w:rPr>
          <w:rFonts w:ascii="Calibri" w:hAnsi="Calibri" w:cs="Calibri"/>
          <w:color w:val="000000"/>
        </w:rPr>
        <w:t xml:space="preserve"> SU is a period of non-reactivity while off treatment</w:t>
      </w:r>
      <w:r w:rsidR="00060E02">
        <w:rPr>
          <w:rFonts w:ascii="Calibri" w:hAnsi="Calibri" w:cs="Calibri"/>
          <w:color w:val="000000"/>
        </w:rPr>
        <w:t xml:space="preserve"> that </w:t>
      </w:r>
      <w:r w:rsidR="00A90A35">
        <w:rPr>
          <w:rFonts w:ascii="Calibri" w:hAnsi="Calibri" w:cs="Calibri"/>
          <w:color w:val="000000"/>
        </w:rPr>
        <w:t xml:space="preserve">allows for </w:t>
      </w:r>
      <w:r w:rsidR="00A90A35" w:rsidRPr="00FC6788">
        <w:rPr>
          <w:rFonts w:ascii="Calibri" w:hAnsi="Calibri" w:cs="Calibri"/>
          <w:i/>
          <w:color w:val="000000"/>
        </w:rPr>
        <w:t>ad libitum</w:t>
      </w:r>
      <w:r w:rsidR="00A90A35">
        <w:rPr>
          <w:rFonts w:ascii="Calibri" w:hAnsi="Calibri" w:cs="Calibri"/>
          <w:color w:val="000000"/>
        </w:rPr>
        <w:t xml:space="preserve"> </w:t>
      </w:r>
      <w:r w:rsidR="00CF0396">
        <w:rPr>
          <w:rFonts w:ascii="Calibri" w:hAnsi="Calibri" w:cs="Calibri"/>
          <w:color w:val="000000"/>
        </w:rPr>
        <w:t xml:space="preserve">consumption </w:t>
      </w:r>
      <w:r w:rsidR="00A90A35">
        <w:rPr>
          <w:rFonts w:ascii="Calibri" w:hAnsi="Calibri" w:cs="Calibri"/>
          <w:color w:val="000000"/>
        </w:rPr>
        <w:t>or a more liberal intake without prescriptive frequency or amount</w:t>
      </w:r>
      <w:r w:rsidR="00AA56D1">
        <w:rPr>
          <w:rFonts w:ascii="Calibri" w:hAnsi="Calibri" w:cs="Calibri"/>
          <w:color w:val="000000"/>
        </w:rPr>
        <w:t xml:space="preserve">, and </w:t>
      </w:r>
      <w:r w:rsidR="00A34C13">
        <w:rPr>
          <w:rFonts w:ascii="Calibri" w:hAnsi="Calibri" w:cs="Calibri"/>
          <w:color w:val="000000"/>
        </w:rPr>
        <w:t xml:space="preserve">this </w:t>
      </w:r>
      <w:r w:rsidR="00AA56D1">
        <w:rPr>
          <w:rFonts w:ascii="Calibri" w:hAnsi="Calibri" w:cs="Calibri"/>
          <w:color w:val="000000"/>
        </w:rPr>
        <w:t>may be better reflected by a newer term “remission”</w:t>
      </w:r>
      <w:r w:rsidR="00C8693F">
        <w:rPr>
          <w:rFonts w:ascii="Calibri" w:hAnsi="Calibri" w:cs="Calibri"/>
          <w:color w:val="000000"/>
        </w:rPr>
        <w:t>.</w:t>
      </w:r>
      <w:r w:rsidR="00AA56D1">
        <w:rPr>
          <w:rFonts w:ascii="Calibri" w:hAnsi="Calibri" w:cs="Calibri"/>
          <w:color w:val="000000"/>
        </w:rPr>
        <w:t xml:space="preserve"> </w:t>
      </w:r>
      <w:r w:rsidR="00661B10" w:rsidRPr="00661B10">
        <w:rPr>
          <w:rFonts w:ascii="Calibri" w:hAnsi="Calibri" w:cs="Calibri"/>
          <w:noProof/>
          <w:color w:val="000000"/>
          <w:vertAlign w:val="superscript"/>
        </w:rPr>
        <w:t>3, 8</w:t>
      </w:r>
      <w:r w:rsidR="00A34C13">
        <w:rPr>
          <w:rFonts w:ascii="Calibri" w:hAnsi="Calibri" w:cs="Calibri"/>
          <w:color w:val="000000"/>
        </w:rPr>
        <w:t xml:space="preserve"> </w:t>
      </w:r>
      <w:r w:rsidR="00215434">
        <w:rPr>
          <w:rFonts w:ascii="Calibri" w:hAnsi="Calibri" w:cs="Calibri"/>
          <w:color w:val="000000"/>
        </w:rPr>
        <w:t>The p</w:t>
      </w:r>
      <w:r w:rsidR="008B7EEE">
        <w:rPr>
          <w:rFonts w:ascii="Calibri" w:hAnsi="Calibri" w:cs="Calibri"/>
          <w:color w:val="000000"/>
        </w:rPr>
        <w:t>eriod of</w:t>
      </w:r>
      <w:r w:rsidR="005362AC">
        <w:rPr>
          <w:rFonts w:ascii="Calibri" w:hAnsi="Calibri" w:cs="Calibri"/>
          <w:color w:val="000000"/>
        </w:rPr>
        <w:t xml:space="preserve"> non-reactivity off treatment that defines</w:t>
      </w:r>
      <w:r w:rsidR="008B7EEE">
        <w:rPr>
          <w:rFonts w:ascii="Calibri" w:hAnsi="Calibri" w:cs="Calibri"/>
          <w:color w:val="000000"/>
        </w:rPr>
        <w:t xml:space="preserve"> </w:t>
      </w:r>
      <w:r w:rsidR="00AA56D1">
        <w:rPr>
          <w:rFonts w:ascii="Calibri" w:hAnsi="Calibri" w:cs="Calibri"/>
          <w:color w:val="000000"/>
        </w:rPr>
        <w:t xml:space="preserve">remission </w:t>
      </w:r>
      <w:r w:rsidR="00215434">
        <w:rPr>
          <w:rFonts w:ascii="Calibri" w:hAnsi="Calibri" w:cs="Calibri"/>
          <w:color w:val="000000"/>
        </w:rPr>
        <w:t xml:space="preserve">is currently </w:t>
      </w:r>
      <w:r w:rsidR="008B7EEE">
        <w:rPr>
          <w:rFonts w:ascii="Calibri" w:hAnsi="Calibri" w:cs="Calibri"/>
          <w:color w:val="000000"/>
        </w:rPr>
        <w:t xml:space="preserve">not standardized and </w:t>
      </w:r>
      <w:r w:rsidR="00215434">
        <w:rPr>
          <w:rFonts w:ascii="Calibri" w:hAnsi="Calibri" w:cs="Calibri"/>
          <w:color w:val="000000"/>
        </w:rPr>
        <w:t xml:space="preserve">it is </w:t>
      </w:r>
      <w:r w:rsidR="00410BEF">
        <w:rPr>
          <w:rFonts w:ascii="Calibri" w:hAnsi="Calibri" w:cs="Calibri"/>
          <w:color w:val="000000"/>
        </w:rPr>
        <w:t xml:space="preserve">uncertain how long </w:t>
      </w:r>
      <w:r w:rsidR="00AA56D1">
        <w:rPr>
          <w:rFonts w:ascii="Calibri" w:hAnsi="Calibri" w:cs="Calibri"/>
          <w:color w:val="000000"/>
        </w:rPr>
        <w:t xml:space="preserve">remission </w:t>
      </w:r>
      <w:r w:rsidR="00215434">
        <w:rPr>
          <w:rFonts w:ascii="Calibri" w:hAnsi="Calibri" w:cs="Calibri"/>
          <w:color w:val="000000"/>
        </w:rPr>
        <w:t xml:space="preserve">will </w:t>
      </w:r>
      <w:r w:rsidR="00410BEF">
        <w:rPr>
          <w:rFonts w:ascii="Calibri" w:hAnsi="Calibri" w:cs="Calibri"/>
          <w:color w:val="000000"/>
        </w:rPr>
        <w:t xml:space="preserve">persist or how </w:t>
      </w:r>
      <w:r w:rsidR="00410BEF" w:rsidRPr="00FC6788">
        <w:rPr>
          <w:rFonts w:ascii="Calibri" w:hAnsi="Calibri" w:cs="Calibri"/>
          <w:i/>
          <w:color w:val="000000"/>
        </w:rPr>
        <w:t>ad libitum</w:t>
      </w:r>
      <w:r w:rsidR="00410BEF">
        <w:rPr>
          <w:rFonts w:ascii="Calibri" w:hAnsi="Calibri" w:cs="Calibri"/>
          <w:color w:val="000000"/>
        </w:rPr>
        <w:t xml:space="preserve"> intake influences persistence of </w:t>
      </w:r>
      <w:r w:rsidR="00AA56D1">
        <w:rPr>
          <w:rFonts w:ascii="Calibri" w:hAnsi="Calibri" w:cs="Calibri"/>
          <w:color w:val="000000"/>
        </w:rPr>
        <w:t>remission</w:t>
      </w:r>
      <w:r w:rsidR="00215434">
        <w:rPr>
          <w:rFonts w:ascii="Calibri" w:hAnsi="Calibri" w:cs="Calibri"/>
          <w:color w:val="000000"/>
        </w:rPr>
        <w:t xml:space="preserve">. </w:t>
      </w:r>
      <w:r w:rsidR="002508DE">
        <w:rPr>
          <w:rFonts w:ascii="Calibri" w:hAnsi="Calibri" w:cs="Calibri"/>
          <w:color w:val="000000"/>
        </w:rPr>
        <w:t xml:space="preserve">All of </w:t>
      </w:r>
      <w:r w:rsidR="007D4A1B">
        <w:rPr>
          <w:rFonts w:ascii="Calibri" w:hAnsi="Calibri" w:cs="Calibri"/>
          <w:color w:val="000000"/>
        </w:rPr>
        <w:t>these treatment-induced outcome states</w:t>
      </w:r>
      <w:r w:rsidR="002508DE">
        <w:rPr>
          <w:rFonts w:ascii="Calibri" w:hAnsi="Calibri" w:cs="Calibri"/>
          <w:color w:val="000000"/>
        </w:rPr>
        <w:t xml:space="preserve"> appear to require some level and frequency of </w:t>
      </w:r>
      <w:r w:rsidR="00AA56D1">
        <w:rPr>
          <w:rFonts w:ascii="Calibri" w:hAnsi="Calibri" w:cs="Calibri"/>
          <w:color w:val="000000"/>
        </w:rPr>
        <w:t xml:space="preserve">allergen </w:t>
      </w:r>
      <w:r w:rsidR="002508DE">
        <w:rPr>
          <w:rFonts w:ascii="Calibri" w:hAnsi="Calibri" w:cs="Calibri"/>
          <w:color w:val="000000"/>
        </w:rPr>
        <w:t>exposure to maintain a lack of reactivity</w:t>
      </w:r>
      <w:r w:rsidR="00C8693F">
        <w:rPr>
          <w:rFonts w:ascii="Calibri" w:hAnsi="Calibri" w:cs="Calibri"/>
          <w:color w:val="000000"/>
        </w:rPr>
        <w:t>.</w:t>
      </w:r>
      <w:r w:rsidR="002508DE">
        <w:rPr>
          <w:rFonts w:ascii="Calibri" w:hAnsi="Calibri" w:cs="Calibri"/>
          <w:color w:val="000000"/>
        </w:rPr>
        <w:t xml:space="preserve"> </w:t>
      </w:r>
      <w:r w:rsidR="00661B10" w:rsidRPr="00661B10">
        <w:rPr>
          <w:rFonts w:ascii="Calibri" w:hAnsi="Calibri" w:cs="Calibri"/>
          <w:noProof/>
          <w:color w:val="000000"/>
          <w:vertAlign w:val="superscript"/>
        </w:rPr>
        <w:t>3</w:t>
      </w:r>
    </w:p>
    <w:p w14:paraId="0E519A72" w14:textId="77777777" w:rsidR="000860C1" w:rsidRDefault="000860C1" w:rsidP="00195D52">
      <w:pPr>
        <w:spacing w:line="480" w:lineRule="auto"/>
        <w:jc w:val="both"/>
      </w:pPr>
    </w:p>
    <w:p w14:paraId="4B1DD05F" w14:textId="3507AD09" w:rsidR="00593B1E" w:rsidRPr="00FC6788" w:rsidRDefault="003663E0" w:rsidP="00195D52">
      <w:pPr>
        <w:spacing w:line="480" w:lineRule="auto"/>
        <w:jc w:val="both"/>
        <w:rPr>
          <w:rFonts w:ascii="Calibri" w:hAnsi="Calibri" w:cs="Calibri"/>
          <w:color w:val="000000"/>
        </w:rPr>
      </w:pPr>
      <w:r>
        <w:t>F</w:t>
      </w:r>
      <w:r w:rsidR="00930EEE">
        <w:t xml:space="preserve">ood </w:t>
      </w:r>
      <w:r w:rsidR="00B22182">
        <w:t>allergen</w:t>
      </w:r>
      <w:r w:rsidR="00B22182" w:rsidRPr="009907D7">
        <w:t xml:space="preserve"> </w:t>
      </w:r>
      <w:r w:rsidRPr="009907D7">
        <w:t>immunotherapy</w:t>
      </w:r>
      <w:r>
        <w:t>, in particular</w:t>
      </w:r>
      <w:r>
        <w:rPr>
          <w:rFonts w:ascii="Calibri" w:hAnsi="Calibri" w:cs="Calibri"/>
          <w:color w:val="000000"/>
        </w:rPr>
        <w:t xml:space="preserve"> </w:t>
      </w:r>
      <w:r w:rsidR="00EA0B53" w:rsidRPr="00FC6788">
        <w:rPr>
          <w:rFonts w:ascii="Calibri" w:hAnsi="Calibri" w:cs="Calibri"/>
          <w:color w:val="000000"/>
        </w:rPr>
        <w:t xml:space="preserve">OIT </w:t>
      </w:r>
      <w:r w:rsidR="00FD2D7D" w:rsidRPr="00FC6788">
        <w:rPr>
          <w:rFonts w:ascii="Calibri" w:hAnsi="Calibri" w:cs="Calibri"/>
          <w:color w:val="000000"/>
        </w:rPr>
        <w:t>studies</w:t>
      </w:r>
      <w:r w:rsidR="00A82829">
        <w:rPr>
          <w:rFonts w:ascii="Calibri" w:hAnsi="Calibri" w:cs="Calibri"/>
          <w:color w:val="000000"/>
        </w:rPr>
        <w:t>,</w:t>
      </w:r>
      <w:r w:rsidR="00FD2D7D" w:rsidRPr="00FC6788">
        <w:rPr>
          <w:rFonts w:ascii="Calibri" w:hAnsi="Calibri" w:cs="Calibri"/>
          <w:color w:val="000000"/>
        </w:rPr>
        <w:t xml:space="preserve"> have primarily been conducted in</w:t>
      </w:r>
      <w:r w:rsidR="00237626" w:rsidRPr="00FC6788">
        <w:rPr>
          <w:rFonts w:ascii="Calibri" w:hAnsi="Calibri" w:cs="Calibri"/>
          <w:color w:val="000000"/>
        </w:rPr>
        <w:t xml:space="preserve"> </w:t>
      </w:r>
      <w:r w:rsidR="007D4A1B">
        <w:rPr>
          <w:rFonts w:ascii="Calibri" w:hAnsi="Calibri" w:cs="Calibri"/>
          <w:color w:val="000000"/>
        </w:rPr>
        <w:t>school-aged</w:t>
      </w:r>
      <w:r>
        <w:rPr>
          <w:rFonts w:ascii="Calibri" w:hAnsi="Calibri" w:cs="Calibri"/>
          <w:color w:val="000000"/>
        </w:rPr>
        <w:t xml:space="preserve"> children</w:t>
      </w:r>
      <w:r w:rsidR="001F6CCE">
        <w:rPr>
          <w:rFonts w:ascii="Calibri" w:hAnsi="Calibri" w:cs="Calibri"/>
          <w:color w:val="000000"/>
        </w:rPr>
        <w:t>.</w:t>
      </w:r>
      <w:r w:rsidR="00661B10" w:rsidRPr="00661B10">
        <w:rPr>
          <w:rFonts w:ascii="Calibri" w:hAnsi="Calibri" w:cs="Calibri"/>
          <w:noProof/>
          <w:color w:val="000000"/>
          <w:vertAlign w:val="superscript"/>
        </w:rPr>
        <w:t>4, 9</w:t>
      </w:r>
      <w:r w:rsidR="001F6CCE">
        <w:rPr>
          <w:rFonts w:ascii="Calibri" w:hAnsi="Calibri" w:cs="Calibri"/>
          <w:color w:val="000000"/>
        </w:rPr>
        <w:t xml:space="preserve"> T</w:t>
      </w:r>
      <w:r w:rsidR="00DB3417">
        <w:rPr>
          <w:rFonts w:ascii="Calibri" w:hAnsi="Calibri" w:cs="Calibri"/>
          <w:color w:val="000000"/>
        </w:rPr>
        <w:t xml:space="preserve">reatment </w:t>
      </w:r>
      <w:r w:rsidR="00FD2D7D" w:rsidRPr="00FC6788">
        <w:rPr>
          <w:rFonts w:ascii="Calibri" w:hAnsi="Calibri" w:cs="Calibri"/>
          <w:color w:val="000000"/>
        </w:rPr>
        <w:t>in younger</w:t>
      </w:r>
      <w:r w:rsidR="0077221F">
        <w:rPr>
          <w:rFonts w:ascii="Calibri" w:hAnsi="Calibri" w:cs="Calibri"/>
          <w:color w:val="000000"/>
        </w:rPr>
        <w:t xml:space="preserve">, preschool-aged children </w:t>
      </w:r>
      <w:r w:rsidR="00FD2D7D" w:rsidRPr="00FC6788">
        <w:rPr>
          <w:rFonts w:ascii="Calibri" w:hAnsi="Calibri" w:cs="Calibri"/>
          <w:color w:val="000000"/>
        </w:rPr>
        <w:t xml:space="preserve"> </w:t>
      </w:r>
      <w:r w:rsidR="007D4A1B">
        <w:rPr>
          <w:rFonts w:ascii="Calibri" w:hAnsi="Calibri" w:cs="Calibri"/>
          <w:color w:val="000000"/>
        </w:rPr>
        <w:t>has been</w:t>
      </w:r>
      <w:r w:rsidR="00FD2D7D" w:rsidRPr="00FC6788">
        <w:rPr>
          <w:rFonts w:ascii="Calibri" w:hAnsi="Calibri" w:cs="Calibri"/>
          <w:color w:val="000000"/>
        </w:rPr>
        <w:t xml:space="preserve"> </w:t>
      </w:r>
      <w:r w:rsidR="007D4A1B">
        <w:rPr>
          <w:rFonts w:ascii="Calibri" w:hAnsi="Calibri" w:cs="Calibri"/>
          <w:color w:val="000000"/>
        </w:rPr>
        <w:t xml:space="preserve">met with </w:t>
      </w:r>
      <w:r w:rsidR="00FD2D7D" w:rsidRPr="00FC6788">
        <w:rPr>
          <w:rFonts w:ascii="Calibri" w:hAnsi="Calibri" w:cs="Calibri"/>
          <w:color w:val="000000"/>
        </w:rPr>
        <w:t>controvers</w:t>
      </w:r>
      <w:r w:rsidR="007D4A1B">
        <w:rPr>
          <w:rFonts w:ascii="Calibri" w:hAnsi="Calibri" w:cs="Calibri"/>
          <w:color w:val="000000"/>
        </w:rPr>
        <w:t>y</w:t>
      </w:r>
      <w:r w:rsidR="00FD2D7D" w:rsidRPr="00FC6788">
        <w:rPr>
          <w:rFonts w:ascii="Calibri" w:hAnsi="Calibri" w:cs="Calibri"/>
          <w:color w:val="000000"/>
        </w:rPr>
        <w:t xml:space="preserve"> </w:t>
      </w:r>
      <w:r w:rsidR="00237626" w:rsidRPr="00FC6788">
        <w:rPr>
          <w:rFonts w:ascii="Calibri" w:hAnsi="Calibri" w:cs="Calibri"/>
          <w:color w:val="000000"/>
        </w:rPr>
        <w:t xml:space="preserve">as natural </w:t>
      </w:r>
      <w:r w:rsidR="00237626" w:rsidRPr="00FC6788">
        <w:rPr>
          <w:rFonts w:ascii="Calibri" w:hAnsi="Calibri" w:cs="Calibri"/>
          <w:color w:val="000000"/>
        </w:rPr>
        <w:lastRenderedPageBreak/>
        <w:t>resolution</w:t>
      </w:r>
      <w:r w:rsidR="005362AC">
        <w:rPr>
          <w:rFonts w:ascii="Calibri" w:hAnsi="Calibri" w:cs="Calibri"/>
          <w:color w:val="000000"/>
        </w:rPr>
        <w:t xml:space="preserve"> of food allergy</w:t>
      </w:r>
      <w:r w:rsidR="00EA0B53" w:rsidRPr="00FC6788">
        <w:rPr>
          <w:rFonts w:ascii="Calibri" w:hAnsi="Calibri" w:cs="Calibri"/>
          <w:color w:val="000000"/>
        </w:rPr>
        <w:t xml:space="preserve"> </w:t>
      </w:r>
      <w:r w:rsidR="005362AC">
        <w:rPr>
          <w:rFonts w:ascii="Calibri" w:hAnsi="Calibri" w:cs="Calibri"/>
          <w:color w:val="000000"/>
        </w:rPr>
        <w:t>can occur</w:t>
      </w:r>
      <w:r w:rsidR="00FD2D7D" w:rsidRPr="00FC6788">
        <w:rPr>
          <w:rFonts w:ascii="Calibri" w:hAnsi="Calibri" w:cs="Calibri"/>
          <w:color w:val="000000"/>
        </w:rPr>
        <w:t xml:space="preserve">, </w:t>
      </w:r>
      <w:r w:rsidR="006D18C5">
        <w:rPr>
          <w:rFonts w:ascii="Calibri" w:hAnsi="Calibri" w:cs="Calibri"/>
          <w:color w:val="000000"/>
        </w:rPr>
        <w:t>particularly</w:t>
      </w:r>
      <w:r w:rsidR="00DB3417">
        <w:rPr>
          <w:rFonts w:ascii="Calibri" w:hAnsi="Calibri" w:cs="Calibri"/>
          <w:color w:val="000000"/>
        </w:rPr>
        <w:t xml:space="preserve"> </w:t>
      </w:r>
      <w:r w:rsidR="00FD2D7D" w:rsidRPr="00FC6788">
        <w:rPr>
          <w:rFonts w:ascii="Calibri" w:hAnsi="Calibri" w:cs="Calibri"/>
          <w:color w:val="000000"/>
        </w:rPr>
        <w:t xml:space="preserve">in </w:t>
      </w:r>
      <w:r w:rsidR="00EA0B53" w:rsidRPr="00FC6788">
        <w:rPr>
          <w:rFonts w:ascii="Calibri" w:hAnsi="Calibri" w:cs="Calibri"/>
          <w:color w:val="000000"/>
        </w:rPr>
        <w:t>egg</w:t>
      </w:r>
      <w:r w:rsidR="007D4A1B">
        <w:rPr>
          <w:rFonts w:ascii="Calibri" w:hAnsi="Calibri" w:cs="Calibri"/>
          <w:color w:val="000000"/>
        </w:rPr>
        <w:t>-</w:t>
      </w:r>
      <w:r w:rsidR="00EA0B53" w:rsidRPr="00FC6788">
        <w:rPr>
          <w:rFonts w:ascii="Calibri" w:hAnsi="Calibri" w:cs="Calibri"/>
          <w:color w:val="000000"/>
        </w:rPr>
        <w:t xml:space="preserve"> and </w:t>
      </w:r>
      <w:r w:rsidR="00DB3417">
        <w:rPr>
          <w:rFonts w:ascii="Calibri" w:hAnsi="Calibri" w:cs="Calibri"/>
          <w:color w:val="000000"/>
        </w:rPr>
        <w:t xml:space="preserve">cow’s </w:t>
      </w:r>
      <w:r w:rsidR="00EA0B53" w:rsidRPr="00FC6788">
        <w:rPr>
          <w:rFonts w:ascii="Calibri" w:hAnsi="Calibri" w:cs="Calibri"/>
          <w:color w:val="000000"/>
        </w:rPr>
        <w:t>milk</w:t>
      </w:r>
      <w:r w:rsidR="005362AC">
        <w:rPr>
          <w:rFonts w:ascii="Calibri" w:hAnsi="Calibri" w:cs="Calibri"/>
          <w:color w:val="000000"/>
        </w:rPr>
        <w:t xml:space="preserve"> allergy where the majority of cases resolve in early life</w:t>
      </w:r>
      <w:r w:rsidR="008B1BAD">
        <w:rPr>
          <w:rFonts w:ascii="Calibri" w:hAnsi="Calibri" w:cs="Calibri"/>
          <w:color w:val="000000"/>
        </w:rPr>
        <w:t xml:space="preserve"> </w:t>
      </w:r>
      <w:r w:rsidR="00661B10" w:rsidRPr="00661B10">
        <w:rPr>
          <w:rFonts w:ascii="Calibri" w:hAnsi="Calibri" w:cs="Calibri"/>
          <w:noProof/>
          <w:color w:val="000000"/>
          <w:vertAlign w:val="superscript"/>
        </w:rPr>
        <w:t>10</w:t>
      </w:r>
      <w:r w:rsidR="00C8693F">
        <w:rPr>
          <w:rFonts w:ascii="Calibri" w:hAnsi="Calibri" w:cs="Calibri"/>
          <w:color w:val="000000"/>
        </w:rPr>
        <w:t>.</w:t>
      </w:r>
      <w:r w:rsidR="00055D99">
        <w:rPr>
          <w:rFonts w:ascii="Calibri" w:hAnsi="Calibri" w:cs="Calibri"/>
          <w:color w:val="000000"/>
        </w:rPr>
        <w:t xml:space="preserve"> </w:t>
      </w:r>
      <w:r w:rsidR="00595C41">
        <w:rPr>
          <w:rFonts w:ascii="Calibri" w:hAnsi="Calibri" w:cs="Calibri"/>
          <w:color w:val="000000"/>
        </w:rPr>
        <w:t>R</w:t>
      </w:r>
      <w:r w:rsidR="00FD2D7D">
        <w:rPr>
          <w:rFonts w:ascii="Calibri" w:hAnsi="Calibri" w:cs="Calibri"/>
          <w:color w:val="000000"/>
        </w:rPr>
        <w:t xml:space="preserve">ecent studies have explored </w:t>
      </w:r>
      <w:r w:rsidR="00595C41">
        <w:rPr>
          <w:rFonts w:ascii="Calibri" w:hAnsi="Calibri" w:cs="Calibri"/>
          <w:color w:val="000000"/>
        </w:rPr>
        <w:t xml:space="preserve">peanut </w:t>
      </w:r>
      <w:r w:rsidR="000860C1">
        <w:rPr>
          <w:rFonts w:ascii="Calibri" w:hAnsi="Calibri" w:cs="Calibri"/>
          <w:color w:val="000000"/>
        </w:rPr>
        <w:t xml:space="preserve">allergen </w:t>
      </w:r>
      <w:r w:rsidR="00FD2D7D">
        <w:rPr>
          <w:rFonts w:ascii="Calibri" w:hAnsi="Calibri" w:cs="Calibri"/>
          <w:color w:val="000000"/>
        </w:rPr>
        <w:t>immunotherapy in</w:t>
      </w:r>
      <w:r w:rsidR="005A4687">
        <w:rPr>
          <w:rFonts w:ascii="Calibri" w:hAnsi="Calibri" w:cs="Calibri"/>
          <w:color w:val="000000"/>
        </w:rPr>
        <w:t xml:space="preserve"> preschoolers</w:t>
      </w:r>
      <w:r w:rsidR="00055D99">
        <w:rPr>
          <w:rFonts w:ascii="Calibri" w:hAnsi="Calibri" w:cs="Calibri"/>
          <w:color w:val="000000"/>
        </w:rPr>
        <w:t xml:space="preserve"> </w:t>
      </w:r>
      <w:r w:rsidR="00521FC6">
        <w:rPr>
          <w:rFonts w:ascii="Calibri" w:hAnsi="Calibri" w:cs="Calibri"/>
          <w:color w:val="000000"/>
        </w:rPr>
        <w:t xml:space="preserve">due to </w:t>
      </w:r>
      <w:r w:rsidR="00FD2D7D">
        <w:rPr>
          <w:rFonts w:ascii="Calibri" w:hAnsi="Calibri" w:cs="Calibri"/>
          <w:color w:val="000000"/>
        </w:rPr>
        <w:t>the</w:t>
      </w:r>
      <w:r w:rsidR="00542D27">
        <w:rPr>
          <w:rFonts w:ascii="Calibri" w:hAnsi="Calibri" w:cs="Calibri"/>
          <w:color w:val="000000"/>
        </w:rPr>
        <w:t xml:space="preserve"> theoretical</w:t>
      </w:r>
      <w:r w:rsidR="00FD2D7D">
        <w:rPr>
          <w:rFonts w:ascii="Calibri" w:hAnsi="Calibri" w:cs="Calibri"/>
          <w:color w:val="000000"/>
        </w:rPr>
        <w:t xml:space="preserve"> potential for </w:t>
      </w:r>
      <w:r w:rsidR="00521FC6">
        <w:rPr>
          <w:rFonts w:ascii="Calibri" w:hAnsi="Calibri" w:cs="Calibri"/>
          <w:color w:val="000000"/>
        </w:rPr>
        <w:t xml:space="preserve">higher </w:t>
      </w:r>
      <w:r w:rsidR="007D4A1B">
        <w:rPr>
          <w:rFonts w:ascii="Calibri" w:hAnsi="Calibri" w:cs="Calibri"/>
          <w:color w:val="000000"/>
        </w:rPr>
        <w:t>rates of clinical efficacy outcomes</w:t>
      </w:r>
      <w:r w:rsidR="00845E2F">
        <w:rPr>
          <w:rFonts w:ascii="Calibri" w:hAnsi="Calibri" w:cs="Calibri"/>
          <w:color w:val="000000"/>
        </w:rPr>
        <w:t xml:space="preserve"> </w:t>
      </w:r>
      <w:r w:rsidR="00521FC6">
        <w:rPr>
          <w:rFonts w:ascii="Calibri" w:hAnsi="Calibri" w:cs="Calibri"/>
          <w:color w:val="000000"/>
        </w:rPr>
        <w:t xml:space="preserve">when intervening at a younger </w:t>
      </w:r>
      <w:r w:rsidR="007D4A1B">
        <w:rPr>
          <w:rFonts w:ascii="Calibri" w:hAnsi="Calibri" w:cs="Calibri"/>
          <w:color w:val="000000"/>
        </w:rPr>
        <w:t>age</w:t>
      </w:r>
      <w:r w:rsidR="00055D99">
        <w:rPr>
          <w:rFonts w:ascii="Calibri" w:hAnsi="Calibri" w:cs="Calibri"/>
          <w:color w:val="000000"/>
        </w:rPr>
        <w:t xml:space="preserve"> where the</w:t>
      </w:r>
      <w:r w:rsidR="00521FC6">
        <w:rPr>
          <w:rFonts w:ascii="Calibri" w:hAnsi="Calibri" w:cs="Calibri"/>
          <w:color w:val="000000"/>
        </w:rPr>
        <w:t xml:space="preserve"> immune system </w:t>
      </w:r>
      <w:r w:rsidR="00055D99">
        <w:rPr>
          <w:rFonts w:ascii="Calibri" w:hAnsi="Calibri" w:cs="Calibri"/>
          <w:color w:val="000000"/>
        </w:rPr>
        <w:t xml:space="preserve">is </w:t>
      </w:r>
      <w:r w:rsidR="0077221F">
        <w:rPr>
          <w:rFonts w:ascii="Calibri" w:hAnsi="Calibri" w:cs="Calibri"/>
          <w:color w:val="000000"/>
        </w:rPr>
        <w:t xml:space="preserve">might be </w:t>
      </w:r>
      <w:r w:rsidR="00521FC6">
        <w:rPr>
          <w:rFonts w:ascii="Calibri" w:hAnsi="Calibri" w:cs="Calibri"/>
          <w:color w:val="000000"/>
        </w:rPr>
        <w:t xml:space="preserve">more </w:t>
      </w:r>
      <w:r w:rsidR="00B22182">
        <w:rPr>
          <w:rFonts w:ascii="Calibri" w:hAnsi="Calibri" w:cs="Calibri"/>
          <w:color w:val="000000"/>
        </w:rPr>
        <w:t xml:space="preserve">dynamic or </w:t>
      </w:r>
      <w:r w:rsidR="00542D27">
        <w:rPr>
          <w:rFonts w:ascii="Calibri" w:hAnsi="Calibri" w:cs="Calibri"/>
          <w:color w:val="000000"/>
        </w:rPr>
        <w:t>plastic</w:t>
      </w:r>
      <w:r w:rsidR="00C8693F">
        <w:rPr>
          <w:rFonts w:ascii="Calibri" w:hAnsi="Calibri" w:cs="Calibri"/>
          <w:color w:val="000000"/>
        </w:rPr>
        <w:t>,</w:t>
      </w:r>
      <w:r w:rsidR="00845E2F">
        <w:rPr>
          <w:rFonts w:ascii="Calibri" w:hAnsi="Calibri" w:cs="Calibri"/>
          <w:color w:val="000000"/>
        </w:rPr>
        <w:t xml:space="preserve"> i.e. has a greater </w:t>
      </w:r>
      <w:r w:rsidR="00845E2F" w:rsidRPr="00845E2F">
        <w:rPr>
          <w:rFonts w:ascii="Calibri" w:hAnsi="Calibri" w:cs="Calibri"/>
          <w:color w:val="000000"/>
        </w:rPr>
        <w:t xml:space="preserve">ability to undergo </w:t>
      </w:r>
      <w:r w:rsidR="00845E2F">
        <w:rPr>
          <w:rFonts w:ascii="Calibri" w:hAnsi="Calibri" w:cs="Calibri"/>
          <w:color w:val="000000"/>
        </w:rPr>
        <w:t xml:space="preserve">phenotypic and functional </w:t>
      </w:r>
      <w:r w:rsidR="00845E2F" w:rsidRPr="00845E2F">
        <w:rPr>
          <w:rFonts w:ascii="Calibri" w:hAnsi="Calibri" w:cs="Calibri"/>
          <w:color w:val="000000"/>
        </w:rPr>
        <w:t xml:space="preserve">changes in response to </w:t>
      </w:r>
      <w:r w:rsidR="00845E2F">
        <w:rPr>
          <w:rFonts w:ascii="Calibri" w:hAnsi="Calibri" w:cs="Calibri"/>
          <w:color w:val="000000"/>
        </w:rPr>
        <w:t xml:space="preserve">the </w:t>
      </w:r>
      <w:r w:rsidR="00845E2F" w:rsidRPr="00845E2F">
        <w:rPr>
          <w:rFonts w:ascii="Calibri" w:hAnsi="Calibri" w:cs="Calibri"/>
          <w:color w:val="000000"/>
        </w:rPr>
        <w:t>environment</w:t>
      </w:r>
      <w:r w:rsidR="00B61D63">
        <w:rPr>
          <w:rFonts w:ascii="Calibri" w:hAnsi="Calibri" w:cs="Calibri"/>
          <w:color w:val="000000"/>
        </w:rPr>
        <w:t xml:space="preserve">. </w:t>
      </w:r>
      <w:r w:rsidR="00A82829">
        <w:rPr>
          <w:rFonts w:ascii="Calibri" w:hAnsi="Calibri" w:cs="Calibri"/>
          <w:color w:val="000000"/>
        </w:rPr>
        <w:t>Here, we review current evidence on f</w:t>
      </w:r>
      <w:r w:rsidR="00A82829" w:rsidRPr="00A82829">
        <w:rPr>
          <w:rFonts w:ascii="Calibri" w:hAnsi="Calibri" w:cs="Calibri"/>
          <w:color w:val="000000"/>
        </w:rPr>
        <w:t xml:space="preserve">ood </w:t>
      </w:r>
      <w:r w:rsidR="002B46F4" w:rsidRPr="00A82829">
        <w:rPr>
          <w:rFonts w:ascii="Calibri" w:hAnsi="Calibri" w:cs="Calibri"/>
          <w:color w:val="000000"/>
        </w:rPr>
        <w:t>allerg</w:t>
      </w:r>
      <w:r w:rsidR="002B46F4">
        <w:rPr>
          <w:rFonts w:ascii="Calibri" w:hAnsi="Calibri" w:cs="Calibri"/>
          <w:color w:val="000000"/>
        </w:rPr>
        <w:t>en</w:t>
      </w:r>
      <w:r w:rsidR="002B46F4" w:rsidRPr="00A82829">
        <w:rPr>
          <w:rFonts w:ascii="Calibri" w:hAnsi="Calibri" w:cs="Calibri"/>
          <w:color w:val="000000"/>
        </w:rPr>
        <w:t xml:space="preserve"> </w:t>
      </w:r>
      <w:r w:rsidR="00A82829" w:rsidRPr="00A82829">
        <w:rPr>
          <w:rFonts w:ascii="Calibri" w:hAnsi="Calibri" w:cs="Calibri"/>
          <w:color w:val="000000"/>
        </w:rPr>
        <w:t>immunotherapy in preschool children</w:t>
      </w:r>
      <w:r w:rsidR="00A82829">
        <w:rPr>
          <w:rFonts w:ascii="Calibri" w:hAnsi="Calibri" w:cs="Calibri"/>
          <w:color w:val="000000"/>
        </w:rPr>
        <w:t xml:space="preserve">, and present both pro and con views for conducting food </w:t>
      </w:r>
      <w:r w:rsidR="002B46F4">
        <w:rPr>
          <w:rFonts w:ascii="Calibri" w:hAnsi="Calibri" w:cs="Calibri"/>
          <w:color w:val="000000"/>
        </w:rPr>
        <w:t xml:space="preserve">allergen </w:t>
      </w:r>
      <w:r w:rsidR="00A82829">
        <w:rPr>
          <w:rFonts w:ascii="Calibri" w:hAnsi="Calibri" w:cs="Calibri"/>
          <w:color w:val="000000"/>
        </w:rPr>
        <w:t xml:space="preserve">immunotherapy in this age group. </w:t>
      </w:r>
    </w:p>
    <w:p w14:paraId="3A1E0A27" w14:textId="10ADBA14" w:rsidR="00FD2D7D" w:rsidRDefault="00FD2D7D" w:rsidP="00195D52">
      <w:pPr>
        <w:spacing w:line="480" w:lineRule="auto"/>
        <w:jc w:val="both"/>
        <w:rPr>
          <w:rFonts w:ascii="Calibri" w:hAnsi="Calibri" w:cs="Calibri"/>
          <w:color w:val="000000"/>
        </w:rPr>
      </w:pPr>
    </w:p>
    <w:p w14:paraId="71455CC2" w14:textId="5FE712A9" w:rsidR="00E6541A" w:rsidRDefault="00B26153" w:rsidP="00195D52">
      <w:pPr>
        <w:spacing w:line="480" w:lineRule="auto"/>
        <w:rPr>
          <w:rFonts w:ascii="Calibri" w:hAnsi="Calibri" w:cs="Calibri"/>
          <w:b/>
          <w:color w:val="000000"/>
        </w:rPr>
      </w:pPr>
      <w:r w:rsidRPr="005C6802">
        <w:rPr>
          <w:rFonts w:ascii="Calibri" w:hAnsi="Calibri" w:cs="Calibri"/>
          <w:b/>
          <w:color w:val="000000"/>
        </w:rPr>
        <w:t>What is the goal of</w:t>
      </w:r>
      <w:r w:rsidR="0077221F" w:rsidRPr="005C6802">
        <w:rPr>
          <w:b/>
        </w:rPr>
        <w:t xml:space="preserve"> intervening with </w:t>
      </w:r>
      <w:r w:rsidR="005C6802" w:rsidRPr="005C6802">
        <w:rPr>
          <w:b/>
        </w:rPr>
        <w:t xml:space="preserve">food allergen </w:t>
      </w:r>
      <w:r w:rsidR="0077221F" w:rsidRPr="005C6802">
        <w:rPr>
          <w:b/>
        </w:rPr>
        <w:t xml:space="preserve">immunotherapy in </w:t>
      </w:r>
      <w:r w:rsidR="005C6802" w:rsidRPr="005C6802">
        <w:rPr>
          <w:b/>
        </w:rPr>
        <w:t>preschoolers</w:t>
      </w:r>
      <w:r>
        <w:rPr>
          <w:rFonts w:ascii="Calibri" w:hAnsi="Calibri" w:cs="Calibri"/>
          <w:b/>
          <w:color w:val="000000"/>
        </w:rPr>
        <w:t>?</w:t>
      </w:r>
    </w:p>
    <w:p w14:paraId="5E2742A1" w14:textId="369EDA11" w:rsidR="0029048C" w:rsidRDefault="0029048C" w:rsidP="00195D52">
      <w:pPr>
        <w:spacing w:line="480" w:lineRule="auto"/>
        <w:jc w:val="both"/>
        <w:rPr>
          <w:rFonts w:ascii="Calibri" w:hAnsi="Calibri" w:cs="Calibri"/>
          <w:bCs/>
          <w:color w:val="000000"/>
        </w:rPr>
      </w:pPr>
      <w:r>
        <w:rPr>
          <w:rFonts w:ascii="Calibri" w:hAnsi="Calibri" w:cs="Calibri"/>
          <w:bCs/>
          <w:color w:val="000000"/>
        </w:rPr>
        <w:t xml:space="preserve">Food allergy is </w:t>
      </w:r>
      <w:r w:rsidR="008B1BAD">
        <w:rPr>
          <w:rFonts w:ascii="Calibri" w:hAnsi="Calibri" w:cs="Calibri"/>
          <w:bCs/>
          <w:color w:val="000000"/>
        </w:rPr>
        <w:t xml:space="preserve">a </w:t>
      </w:r>
      <w:r w:rsidR="00361634">
        <w:rPr>
          <w:rFonts w:ascii="Calibri" w:hAnsi="Calibri" w:cs="Calibri"/>
          <w:bCs/>
          <w:color w:val="000000"/>
        </w:rPr>
        <w:t xml:space="preserve">frightening and potentially life-threatening condition for children and their families. It is therefore not surprising that the use of immunotherapy is being assessed in </w:t>
      </w:r>
      <w:r w:rsidR="000C4B1E">
        <w:rPr>
          <w:rFonts w:ascii="Calibri" w:hAnsi="Calibri" w:cs="Calibri"/>
          <w:bCs/>
          <w:color w:val="000000"/>
        </w:rPr>
        <w:t>young</w:t>
      </w:r>
      <w:r w:rsidR="00361634">
        <w:rPr>
          <w:rFonts w:ascii="Calibri" w:hAnsi="Calibri" w:cs="Calibri"/>
          <w:bCs/>
          <w:color w:val="000000"/>
        </w:rPr>
        <w:t xml:space="preserve"> children. </w:t>
      </w:r>
      <w:r w:rsidR="000C4B1E">
        <w:rPr>
          <w:rFonts w:ascii="Calibri" w:hAnsi="Calibri" w:cs="Calibri"/>
          <w:bCs/>
          <w:color w:val="000000"/>
        </w:rPr>
        <w:t>The clinical goal</w:t>
      </w:r>
      <w:r w:rsidR="00CC1CDE">
        <w:rPr>
          <w:rFonts w:ascii="Calibri" w:hAnsi="Calibri" w:cs="Calibri"/>
          <w:bCs/>
          <w:color w:val="000000"/>
        </w:rPr>
        <w:t>s</w:t>
      </w:r>
      <w:r w:rsidR="000C4B1E">
        <w:rPr>
          <w:rFonts w:ascii="Calibri" w:hAnsi="Calibri" w:cs="Calibri"/>
          <w:bCs/>
          <w:color w:val="000000"/>
        </w:rPr>
        <w:t xml:space="preserve"> for therapy </w:t>
      </w:r>
      <w:r w:rsidR="00CC1CDE">
        <w:rPr>
          <w:rFonts w:ascii="Calibri" w:hAnsi="Calibri" w:cs="Calibri"/>
          <w:bCs/>
          <w:color w:val="000000"/>
        </w:rPr>
        <w:t xml:space="preserve">are </w:t>
      </w:r>
      <w:r w:rsidR="0084626A">
        <w:rPr>
          <w:rFonts w:ascii="Calibri" w:hAnsi="Calibri" w:cs="Calibri"/>
          <w:color w:val="000000"/>
        </w:rPr>
        <w:t>desensitization</w:t>
      </w:r>
      <w:r w:rsidR="000C4B1E">
        <w:rPr>
          <w:rFonts w:ascii="Calibri" w:hAnsi="Calibri" w:cs="Calibri"/>
          <w:bCs/>
          <w:color w:val="000000"/>
        </w:rPr>
        <w:t xml:space="preserve"> or preferably </w:t>
      </w:r>
      <w:r w:rsidR="00B051A1">
        <w:rPr>
          <w:rFonts w:ascii="Calibri" w:hAnsi="Calibri" w:cs="Calibri"/>
          <w:bCs/>
          <w:color w:val="000000"/>
        </w:rPr>
        <w:t>remission</w:t>
      </w:r>
      <w:r w:rsidR="00CE3A27">
        <w:rPr>
          <w:rFonts w:ascii="Calibri" w:hAnsi="Calibri" w:cs="Calibri"/>
          <w:bCs/>
          <w:color w:val="000000"/>
        </w:rPr>
        <w:t>,</w:t>
      </w:r>
      <w:r w:rsidR="000C4B1E">
        <w:rPr>
          <w:rFonts w:ascii="Calibri" w:hAnsi="Calibri" w:cs="Calibri"/>
          <w:bCs/>
          <w:color w:val="000000"/>
        </w:rPr>
        <w:t xml:space="preserve"> </w:t>
      </w:r>
      <w:r w:rsidR="00845E2F">
        <w:rPr>
          <w:rFonts w:ascii="Calibri" w:hAnsi="Calibri" w:cs="Calibri"/>
          <w:bCs/>
          <w:color w:val="000000"/>
        </w:rPr>
        <w:t>which</w:t>
      </w:r>
      <w:r w:rsidR="000C4B1E">
        <w:rPr>
          <w:rFonts w:ascii="Calibri" w:hAnsi="Calibri" w:cs="Calibri"/>
          <w:bCs/>
          <w:color w:val="000000"/>
        </w:rPr>
        <w:t xml:space="preserve"> </w:t>
      </w:r>
      <w:r w:rsidR="00CC1CDE">
        <w:rPr>
          <w:rFonts w:ascii="Calibri" w:hAnsi="Calibri" w:cs="Calibri"/>
          <w:bCs/>
          <w:color w:val="000000"/>
        </w:rPr>
        <w:t xml:space="preserve">are </w:t>
      </w:r>
      <w:r w:rsidR="000C4B1E">
        <w:rPr>
          <w:rFonts w:ascii="Calibri" w:hAnsi="Calibri" w:cs="Calibri"/>
          <w:bCs/>
          <w:color w:val="000000"/>
        </w:rPr>
        <w:t xml:space="preserve">readily defined by </w:t>
      </w:r>
      <w:r w:rsidR="00702DDF">
        <w:rPr>
          <w:rFonts w:ascii="Calibri" w:hAnsi="Calibri" w:cs="Calibri"/>
          <w:bCs/>
          <w:color w:val="000000"/>
        </w:rPr>
        <w:t xml:space="preserve">food </w:t>
      </w:r>
      <w:r w:rsidR="000C4B1E">
        <w:rPr>
          <w:rFonts w:ascii="Calibri" w:hAnsi="Calibri" w:cs="Calibri"/>
          <w:bCs/>
          <w:color w:val="000000"/>
        </w:rPr>
        <w:t>challenge and relatively objective. For the patient and family, the goals are broader</w:t>
      </w:r>
      <w:r w:rsidR="00697644">
        <w:rPr>
          <w:rFonts w:ascii="Calibri" w:hAnsi="Calibri" w:cs="Calibri"/>
          <w:bCs/>
          <w:color w:val="000000"/>
        </w:rPr>
        <w:t xml:space="preserve"> but can be summari</w:t>
      </w:r>
      <w:r w:rsidR="00423C56">
        <w:rPr>
          <w:rFonts w:ascii="Calibri" w:hAnsi="Calibri" w:cs="Calibri"/>
          <w:bCs/>
          <w:color w:val="000000"/>
        </w:rPr>
        <w:t>z</w:t>
      </w:r>
      <w:r w:rsidR="00697644">
        <w:rPr>
          <w:rFonts w:ascii="Calibri" w:hAnsi="Calibri" w:cs="Calibri"/>
          <w:bCs/>
          <w:color w:val="000000"/>
        </w:rPr>
        <w:t xml:space="preserve">ed as an </w:t>
      </w:r>
      <w:r w:rsidR="00A50212">
        <w:rPr>
          <w:rFonts w:ascii="Calibri" w:hAnsi="Calibri" w:cs="Calibri"/>
          <w:bCs/>
          <w:color w:val="000000"/>
        </w:rPr>
        <w:t>i</w:t>
      </w:r>
      <w:r w:rsidR="00697644">
        <w:rPr>
          <w:rFonts w:ascii="Calibri" w:hAnsi="Calibri" w:cs="Calibri"/>
          <w:bCs/>
          <w:color w:val="000000"/>
        </w:rPr>
        <w:t>mproved quality of life</w:t>
      </w:r>
      <w:r w:rsidR="00155071">
        <w:rPr>
          <w:rFonts w:ascii="Calibri" w:hAnsi="Calibri" w:cs="Calibri"/>
          <w:bCs/>
          <w:color w:val="000000"/>
        </w:rPr>
        <w:t>.</w:t>
      </w:r>
      <w:r w:rsidR="006474B4">
        <w:rPr>
          <w:rFonts w:ascii="Calibri" w:hAnsi="Calibri" w:cs="Calibri"/>
          <w:bCs/>
          <w:color w:val="000000"/>
        </w:rPr>
        <w:t xml:space="preserve"> </w:t>
      </w:r>
      <w:r w:rsidR="00661B10" w:rsidRPr="00661B10">
        <w:rPr>
          <w:rFonts w:ascii="Calibri" w:hAnsi="Calibri" w:cs="Calibri"/>
          <w:bCs/>
          <w:noProof/>
          <w:color w:val="000000"/>
          <w:vertAlign w:val="superscript"/>
        </w:rPr>
        <w:t>11</w:t>
      </w:r>
      <w:r w:rsidR="00A2015C">
        <w:rPr>
          <w:rFonts w:ascii="Calibri" w:hAnsi="Calibri" w:cs="Calibri"/>
          <w:bCs/>
          <w:color w:val="000000"/>
        </w:rPr>
        <w:t xml:space="preserve"> </w:t>
      </w:r>
      <w:r w:rsidR="00B940A6" w:rsidRPr="00B940A6">
        <w:rPr>
          <w:rFonts w:ascii="Calibri" w:hAnsi="Calibri" w:cs="Calibri"/>
          <w:bCs/>
          <w:color w:val="000000"/>
        </w:rPr>
        <w:t xml:space="preserve">Quality of life </w:t>
      </w:r>
      <w:r w:rsidR="00A2015C">
        <w:rPr>
          <w:rFonts w:ascii="Calibri" w:hAnsi="Calibri" w:cs="Calibri"/>
          <w:bCs/>
          <w:color w:val="000000"/>
        </w:rPr>
        <w:t xml:space="preserve">(QoL) </w:t>
      </w:r>
      <w:r w:rsidR="00697644">
        <w:rPr>
          <w:rFonts w:ascii="Calibri" w:hAnsi="Calibri" w:cs="Calibri"/>
          <w:bCs/>
          <w:color w:val="000000"/>
        </w:rPr>
        <w:t xml:space="preserve">has a number of different facets </w:t>
      </w:r>
      <w:r w:rsidR="000F185D">
        <w:rPr>
          <w:rFonts w:ascii="Calibri" w:hAnsi="Calibri" w:cs="Calibri"/>
          <w:bCs/>
          <w:color w:val="000000"/>
        </w:rPr>
        <w:t>including the dietary and social restrictions associated with allergen avoidance, risk of accidental exposure</w:t>
      </w:r>
      <w:r w:rsidR="006474B4">
        <w:rPr>
          <w:rFonts w:ascii="Calibri" w:hAnsi="Calibri" w:cs="Calibri"/>
          <w:bCs/>
          <w:color w:val="000000"/>
        </w:rPr>
        <w:t xml:space="preserve"> </w:t>
      </w:r>
      <w:r w:rsidR="000F185D">
        <w:rPr>
          <w:rFonts w:ascii="Calibri" w:hAnsi="Calibri" w:cs="Calibri"/>
          <w:bCs/>
          <w:color w:val="000000"/>
        </w:rPr>
        <w:t xml:space="preserve">and anxiety resulting from the broad impact of food allergy and </w:t>
      </w:r>
      <w:r w:rsidR="00CC1CDE">
        <w:rPr>
          <w:rFonts w:ascii="Calibri" w:hAnsi="Calibri" w:cs="Calibri"/>
          <w:bCs/>
          <w:color w:val="000000"/>
        </w:rPr>
        <w:t xml:space="preserve">perceived </w:t>
      </w:r>
      <w:r w:rsidR="000F185D">
        <w:rPr>
          <w:rFonts w:ascii="Calibri" w:hAnsi="Calibri" w:cs="Calibri"/>
          <w:bCs/>
          <w:color w:val="000000"/>
        </w:rPr>
        <w:t xml:space="preserve">lack of control </w:t>
      </w:r>
      <w:r w:rsidR="00661B10" w:rsidRPr="00661B10">
        <w:rPr>
          <w:rFonts w:ascii="Calibri" w:hAnsi="Calibri" w:cs="Calibri"/>
          <w:bCs/>
          <w:noProof/>
          <w:color w:val="000000"/>
          <w:vertAlign w:val="superscript"/>
        </w:rPr>
        <w:t>12-14</w:t>
      </w:r>
      <w:r w:rsidR="00D76B08">
        <w:rPr>
          <w:rFonts w:ascii="Calibri" w:hAnsi="Calibri" w:cs="Calibri"/>
          <w:bCs/>
          <w:color w:val="000000"/>
        </w:rPr>
        <w:t>.</w:t>
      </w:r>
      <w:r w:rsidR="000F185D">
        <w:rPr>
          <w:rFonts w:ascii="Calibri" w:hAnsi="Calibri" w:cs="Calibri"/>
          <w:bCs/>
          <w:color w:val="000000"/>
        </w:rPr>
        <w:t xml:space="preserve"> </w:t>
      </w:r>
    </w:p>
    <w:p w14:paraId="3AFE079A" w14:textId="77777777" w:rsidR="00A5408F" w:rsidRDefault="00A5408F" w:rsidP="00195D52">
      <w:pPr>
        <w:spacing w:line="480" w:lineRule="auto"/>
        <w:jc w:val="both"/>
        <w:rPr>
          <w:rFonts w:ascii="Calibri" w:hAnsi="Calibri" w:cs="Calibri"/>
          <w:bCs/>
          <w:color w:val="000000"/>
        </w:rPr>
      </w:pPr>
    </w:p>
    <w:p w14:paraId="75957C0D" w14:textId="381821B2" w:rsidR="00697644" w:rsidRDefault="00E625A6" w:rsidP="00195D52">
      <w:pPr>
        <w:spacing w:line="480" w:lineRule="auto"/>
        <w:jc w:val="both"/>
        <w:rPr>
          <w:rFonts w:ascii="Calibri" w:hAnsi="Calibri" w:cs="Calibri"/>
          <w:color w:val="000000"/>
        </w:rPr>
      </w:pPr>
      <w:r>
        <w:rPr>
          <w:rFonts w:ascii="Calibri" w:hAnsi="Calibri" w:cs="Calibri"/>
          <w:bCs/>
          <w:color w:val="000000"/>
        </w:rPr>
        <w:t>The benefits of earl</w:t>
      </w:r>
      <w:r w:rsidR="00702DDF">
        <w:rPr>
          <w:rFonts w:ascii="Calibri" w:hAnsi="Calibri" w:cs="Calibri"/>
          <w:bCs/>
          <w:color w:val="000000"/>
        </w:rPr>
        <w:t>ier</w:t>
      </w:r>
      <w:r>
        <w:rPr>
          <w:rFonts w:ascii="Calibri" w:hAnsi="Calibri" w:cs="Calibri"/>
          <w:bCs/>
          <w:color w:val="000000"/>
        </w:rPr>
        <w:t xml:space="preserve"> intervention need to outweigh any associated risks. </w:t>
      </w:r>
      <w:r w:rsidR="00227069">
        <w:rPr>
          <w:rFonts w:ascii="Calibri" w:hAnsi="Calibri" w:cs="Calibri"/>
          <w:bCs/>
          <w:color w:val="000000"/>
        </w:rPr>
        <w:t xml:space="preserve">An increased likelihood of obtaining </w:t>
      </w:r>
      <w:r w:rsidR="0084626A">
        <w:rPr>
          <w:rFonts w:ascii="Calibri" w:hAnsi="Calibri" w:cs="Calibri"/>
          <w:color w:val="000000"/>
        </w:rPr>
        <w:t>desensitization</w:t>
      </w:r>
      <w:r w:rsidR="00227069">
        <w:rPr>
          <w:rFonts w:ascii="Calibri" w:hAnsi="Calibri" w:cs="Calibri"/>
          <w:bCs/>
          <w:color w:val="000000"/>
        </w:rPr>
        <w:t xml:space="preserve"> or </w:t>
      </w:r>
      <w:r w:rsidR="00423C56">
        <w:rPr>
          <w:rFonts w:ascii="Calibri" w:hAnsi="Calibri" w:cs="Calibri"/>
          <w:bCs/>
          <w:color w:val="000000"/>
        </w:rPr>
        <w:t>remission</w:t>
      </w:r>
      <w:r w:rsidR="00227069">
        <w:rPr>
          <w:rFonts w:ascii="Calibri" w:hAnsi="Calibri" w:cs="Calibri"/>
          <w:bCs/>
          <w:color w:val="000000"/>
        </w:rPr>
        <w:t xml:space="preserve"> </w:t>
      </w:r>
      <w:r w:rsidR="00CC1CDE">
        <w:rPr>
          <w:rFonts w:ascii="Calibri" w:hAnsi="Calibri" w:cs="Calibri"/>
          <w:bCs/>
          <w:color w:val="000000"/>
        </w:rPr>
        <w:t xml:space="preserve">are </w:t>
      </w:r>
      <w:r w:rsidR="00227069">
        <w:rPr>
          <w:rFonts w:ascii="Calibri" w:hAnsi="Calibri" w:cs="Calibri"/>
          <w:bCs/>
          <w:color w:val="000000"/>
        </w:rPr>
        <w:t xml:space="preserve">attractive </w:t>
      </w:r>
      <w:r w:rsidR="00CE3A27">
        <w:rPr>
          <w:rFonts w:ascii="Calibri" w:hAnsi="Calibri" w:cs="Calibri"/>
          <w:bCs/>
          <w:color w:val="000000"/>
        </w:rPr>
        <w:t>reason</w:t>
      </w:r>
      <w:r w:rsidR="00CC1CDE">
        <w:rPr>
          <w:rFonts w:ascii="Calibri" w:hAnsi="Calibri" w:cs="Calibri"/>
          <w:bCs/>
          <w:color w:val="000000"/>
        </w:rPr>
        <w:t>s</w:t>
      </w:r>
      <w:r w:rsidR="00CE3A27">
        <w:rPr>
          <w:rFonts w:ascii="Calibri" w:hAnsi="Calibri" w:cs="Calibri"/>
          <w:bCs/>
          <w:color w:val="000000"/>
        </w:rPr>
        <w:t>,</w:t>
      </w:r>
      <w:r w:rsidR="00227069">
        <w:rPr>
          <w:rFonts w:ascii="Calibri" w:hAnsi="Calibri" w:cs="Calibri"/>
          <w:bCs/>
          <w:color w:val="000000"/>
        </w:rPr>
        <w:t xml:space="preserve"> but </w:t>
      </w:r>
      <w:r w:rsidR="008B1BAD">
        <w:rPr>
          <w:rFonts w:ascii="Calibri" w:hAnsi="Calibri" w:cs="Calibri"/>
          <w:bCs/>
          <w:color w:val="000000"/>
        </w:rPr>
        <w:t xml:space="preserve">questions remain as to whether </w:t>
      </w:r>
      <w:r w:rsidR="00227069">
        <w:rPr>
          <w:rFonts w:ascii="Calibri" w:hAnsi="Calibri" w:cs="Calibri"/>
          <w:bCs/>
          <w:color w:val="000000"/>
        </w:rPr>
        <w:t>we have the evidence to support this</w:t>
      </w:r>
      <w:r w:rsidR="008B1BAD">
        <w:rPr>
          <w:rFonts w:ascii="Calibri" w:hAnsi="Calibri" w:cs="Calibri"/>
          <w:bCs/>
          <w:color w:val="000000"/>
        </w:rPr>
        <w:t>.</w:t>
      </w:r>
      <w:r w:rsidR="00227069">
        <w:rPr>
          <w:rFonts w:ascii="Calibri" w:hAnsi="Calibri" w:cs="Calibri"/>
          <w:bCs/>
          <w:color w:val="000000"/>
        </w:rPr>
        <w:t xml:space="preserve"> Relieving</w:t>
      </w:r>
      <w:r w:rsidR="00227069">
        <w:rPr>
          <w:rFonts w:ascii="Calibri" w:hAnsi="Calibri" w:cs="Calibri"/>
          <w:color w:val="000000"/>
        </w:rPr>
        <w:t xml:space="preserve"> </w:t>
      </w:r>
      <w:r w:rsidR="00227069" w:rsidRPr="00FC6788">
        <w:rPr>
          <w:rFonts w:ascii="Calibri" w:hAnsi="Calibri" w:cs="Calibri"/>
          <w:color w:val="000000"/>
        </w:rPr>
        <w:t>famil</w:t>
      </w:r>
      <w:r w:rsidR="00227069">
        <w:rPr>
          <w:rFonts w:ascii="Calibri" w:hAnsi="Calibri" w:cs="Calibri"/>
          <w:color w:val="000000"/>
        </w:rPr>
        <w:t xml:space="preserve">ies of the personal, </w:t>
      </w:r>
      <w:r w:rsidR="00227069" w:rsidRPr="00FC6788">
        <w:rPr>
          <w:rFonts w:ascii="Calibri" w:hAnsi="Calibri" w:cs="Calibri"/>
          <w:color w:val="000000"/>
        </w:rPr>
        <w:t>societal</w:t>
      </w:r>
      <w:r w:rsidR="00227069">
        <w:rPr>
          <w:rFonts w:ascii="Calibri" w:hAnsi="Calibri" w:cs="Calibri"/>
          <w:color w:val="000000"/>
        </w:rPr>
        <w:t xml:space="preserve"> and</w:t>
      </w:r>
      <w:r w:rsidR="00227069" w:rsidRPr="00FC6788">
        <w:rPr>
          <w:rFonts w:ascii="Calibri" w:hAnsi="Calibri" w:cs="Calibri"/>
          <w:color w:val="000000"/>
        </w:rPr>
        <w:t xml:space="preserve"> economic</w:t>
      </w:r>
      <w:r w:rsidR="00227069">
        <w:rPr>
          <w:rFonts w:ascii="Calibri" w:hAnsi="Calibri" w:cs="Calibri"/>
          <w:color w:val="000000"/>
        </w:rPr>
        <w:t xml:space="preserve"> burdens of food allergy earlier </w:t>
      </w:r>
      <w:r w:rsidR="009207A6">
        <w:rPr>
          <w:rFonts w:ascii="Calibri" w:hAnsi="Calibri" w:cs="Calibri"/>
          <w:color w:val="000000"/>
        </w:rPr>
        <w:t>are worthy goals</w:t>
      </w:r>
      <w:r w:rsidR="00227069">
        <w:rPr>
          <w:rFonts w:ascii="Calibri" w:hAnsi="Calibri" w:cs="Calibri"/>
          <w:color w:val="000000"/>
        </w:rPr>
        <w:t xml:space="preserve">. </w:t>
      </w:r>
      <w:r w:rsidR="00E83CEF">
        <w:rPr>
          <w:rFonts w:ascii="Calibri" w:hAnsi="Calibri" w:cs="Calibri"/>
          <w:color w:val="000000"/>
        </w:rPr>
        <w:t>However, a</w:t>
      </w:r>
      <w:r w:rsidR="008B1BAD">
        <w:rPr>
          <w:rFonts w:ascii="Calibri" w:hAnsi="Calibri" w:cs="Calibri"/>
          <w:color w:val="000000"/>
        </w:rPr>
        <w:t xml:space="preserve">dverse reactions </w:t>
      </w:r>
      <w:r w:rsidR="00E83CEF">
        <w:rPr>
          <w:rFonts w:ascii="Calibri" w:hAnsi="Calibri" w:cs="Calibri"/>
          <w:color w:val="000000"/>
        </w:rPr>
        <w:t xml:space="preserve">during immunotherapy </w:t>
      </w:r>
      <w:r w:rsidR="008B1BAD">
        <w:rPr>
          <w:rFonts w:ascii="Calibri" w:hAnsi="Calibri" w:cs="Calibri"/>
          <w:color w:val="000000"/>
        </w:rPr>
        <w:t xml:space="preserve">in young children when feeding patterns are </w:t>
      </w:r>
      <w:r w:rsidR="000860C1">
        <w:rPr>
          <w:rFonts w:ascii="Calibri" w:hAnsi="Calibri" w:cs="Calibri"/>
          <w:color w:val="000000"/>
        </w:rPr>
        <w:t xml:space="preserve">being </w:t>
      </w:r>
      <w:r w:rsidR="008B1BAD">
        <w:rPr>
          <w:rFonts w:ascii="Calibri" w:hAnsi="Calibri" w:cs="Calibri"/>
          <w:color w:val="000000"/>
        </w:rPr>
        <w:t xml:space="preserve">established, </w:t>
      </w:r>
      <w:r w:rsidR="007131B9">
        <w:rPr>
          <w:rFonts w:ascii="Calibri" w:hAnsi="Calibri" w:cs="Calibri"/>
          <w:color w:val="000000"/>
        </w:rPr>
        <w:t xml:space="preserve">may </w:t>
      </w:r>
      <w:r w:rsidR="000860C1">
        <w:rPr>
          <w:rFonts w:ascii="Calibri" w:hAnsi="Calibri" w:cs="Calibri"/>
          <w:color w:val="000000"/>
        </w:rPr>
        <w:t xml:space="preserve">negatively </w:t>
      </w:r>
      <w:r w:rsidR="009965FC">
        <w:rPr>
          <w:rFonts w:ascii="Calibri" w:hAnsi="Calibri" w:cs="Calibri"/>
          <w:color w:val="000000"/>
        </w:rPr>
        <w:t xml:space="preserve">impact </w:t>
      </w:r>
      <w:r w:rsidR="009965FC" w:rsidRPr="009965FC">
        <w:rPr>
          <w:rFonts w:ascii="Calibri" w:hAnsi="Calibri" w:cs="Calibri"/>
          <w:color w:val="000000"/>
        </w:rPr>
        <w:t>feeding patterns and nutrition</w:t>
      </w:r>
      <w:r w:rsidR="009965FC">
        <w:rPr>
          <w:rFonts w:ascii="Calibri" w:hAnsi="Calibri" w:cs="Calibri"/>
          <w:color w:val="000000"/>
        </w:rPr>
        <w:t xml:space="preserve"> </w:t>
      </w:r>
      <w:r w:rsidR="008B1BAD">
        <w:rPr>
          <w:rFonts w:ascii="Calibri" w:hAnsi="Calibri" w:cs="Calibri"/>
          <w:color w:val="000000"/>
        </w:rPr>
        <w:t xml:space="preserve">in the longer-term. </w:t>
      </w:r>
      <w:r w:rsidR="006D6DE7">
        <w:rPr>
          <w:rFonts w:ascii="Calibri" w:hAnsi="Calibri" w:cs="Calibri"/>
          <w:color w:val="000000"/>
        </w:rPr>
        <w:t xml:space="preserve">In addition, </w:t>
      </w:r>
      <w:r w:rsidR="005812F6">
        <w:rPr>
          <w:rFonts w:ascii="Calibri" w:hAnsi="Calibri" w:cs="Calibri"/>
          <w:color w:val="000000"/>
        </w:rPr>
        <w:t xml:space="preserve">there is limited data on QoL </w:t>
      </w:r>
      <w:r w:rsidR="00C945DB">
        <w:rPr>
          <w:rFonts w:ascii="Calibri" w:hAnsi="Calibri" w:cs="Calibri"/>
          <w:color w:val="000000"/>
        </w:rPr>
        <w:t xml:space="preserve">in food allergen immunotherapy </w:t>
      </w:r>
      <w:r w:rsidR="000A0800">
        <w:rPr>
          <w:rFonts w:ascii="Calibri" w:hAnsi="Calibri" w:cs="Calibri"/>
          <w:color w:val="000000"/>
        </w:rPr>
        <w:lastRenderedPageBreak/>
        <w:t>at any age</w:t>
      </w:r>
      <w:r w:rsidR="004E561A">
        <w:rPr>
          <w:rFonts w:ascii="Calibri" w:hAnsi="Calibri" w:cs="Calibri"/>
          <w:color w:val="000000"/>
        </w:rPr>
        <w:t xml:space="preserve">, </w:t>
      </w:r>
      <w:r w:rsidR="00BC69E5">
        <w:rPr>
          <w:rFonts w:ascii="Calibri" w:hAnsi="Calibri" w:cs="Calibri"/>
          <w:color w:val="000000"/>
        </w:rPr>
        <w:t>with</w:t>
      </w:r>
      <w:r w:rsidR="004A28CC">
        <w:rPr>
          <w:rFonts w:ascii="Calibri" w:hAnsi="Calibri" w:cs="Calibri"/>
          <w:color w:val="000000"/>
        </w:rPr>
        <w:t xml:space="preserve"> </w:t>
      </w:r>
      <w:r w:rsidR="00BC69E5">
        <w:rPr>
          <w:rFonts w:ascii="Calibri" w:hAnsi="Calibri" w:cs="Calibri"/>
          <w:color w:val="000000"/>
        </w:rPr>
        <w:t xml:space="preserve">some </w:t>
      </w:r>
      <w:r w:rsidR="004A28CC">
        <w:rPr>
          <w:rFonts w:ascii="Calibri" w:hAnsi="Calibri" w:cs="Calibri"/>
          <w:color w:val="000000"/>
        </w:rPr>
        <w:t xml:space="preserve">studies </w:t>
      </w:r>
      <w:r w:rsidR="00BC69E5">
        <w:rPr>
          <w:rFonts w:ascii="Calibri" w:hAnsi="Calibri" w:cs="Calibri"/>
          <w:color w:val="000000"/>
        </w:rPr>
        <w:t>showing</w:t>
      </w:r>
      <w:r w:rsidR="004A28CC">
        <w:rPr>
          <w:rFonts w:ascii="Calibri" w:hAnsi="Calibri" w:cs="Calibri"/>
          <w:color w:val="000000"/>
        </w:rPr>
        <w:t xml:space="preserve"> </w:t>
      </w:r>
      <w:r w:rsidR="00BC69E5">
        <w:rPr>
          <w:rFonts w:ascii="Calibri" w:hAnsi="Calibri" w:cs="Calibri"/>
          <w:color w:val="000000"/>
        </w:rPr>
        <w:t>a</w:t>
      </w:r>
      <w:r w:rsidR="004A28CC">
        <w:rPr>
          <w:rFonts w:ascii="Calibri" w:hAnsi="Calibri" w:cs="Calibri"/>
          <w:color w:val="000000"/>
        </w:rPr>
        <w:t xml:space="preserve"> lack of</w:t>
      </w:r>
      <w:r w:rsidR="00BC69E5">
        <w:rPr>
          <w:rFonts w:ascii="Calibri" w:hAnsi="Calibri" w:cs="Calibri"/>
          <w:color w:val="000000"/>
        </w:rPr>
        <w:t xml:space="preserve"> benefit while others report </w:t>
      </w:r>
      <w:r w:rsidR="004A28CC">
        <w:rPr>
          <w:rFonts w:ascii="Calibri" w:hAnsi="Calibri" w:cs="Calibri"/>
          <w:color w:val="000000"/>
        </w:rPr>
        <w:t xml:space="preserve">positive benefits </w:t>
      </w:r>
      <w:r w:rsidR="00BC69E5">
        <w:rPr>
          <w:rFonts w:ascii="Calibri" w:hAnsi="Calibri" w:cs="Calibri"/>
          <w:color w:val="000000"/>
        </w:rPr>
        <w:t>and others do not include</w:t>
      </w:r>
      <w:r w:rsidR="004A28CC">
        <w:rPr>
          <w:rFonts w:ascii="Calibri" w:hAnsi="Calibri" w:cs="Calibri"/>
          <w:color w:val="000000"/>
        </w:rPr>
        <w:t xml:space="preserve"> patient-reported outcomes.</w:t>
      </w:r>
      <w:r w:rsidR="004A28CC" w:rsidDel="004A28CC">
        <w:rPr>
          <w:rFonts w:ascii="Calibri" w:hAnsi="Calibri" w:cs="Calibri"/>
          <w:color w:val="000000"/>
        </w:rPr>
        <w:t xml:space="preserve"> </w:t>
      </w:r>
      <w:r w:rsidR="00661B10" w:rsidRPr="00661B10">
        <w:rPr>
          <w:rFonts w:ascii="Calibri" w:hAnsi="Calibri" w:cs="Calibri"/>
          <w:noProof/>
          <w:color w:val="000000"/>
          <w:vertAlign w:val="superscript"/>
        </w:rPr>
        <w:t>4, 15</w:t>
      </w:r>
    </w:p>
    <w:p w14:paraId="20A32DC9" w14:textId="77777777" w:rsidR="001B1BB2" w:rsidRPr="00D81778" w:rsidRDefault="001B1BB2" w:rsidP="00EA565F">
      <w:pPr>
        <w:spacing w:line="480" w:lineRule="auto"/>
        <w:jc w:val="both"/>
        <w:rPr>
          <w:rFonts w:ascii="Calibri" w:hAnsi="Calibri" w:cs="Calibri"/>
          <w:bCs/>
          <w:color w:val="000000"/>
        </w:rPr>
      </w:pPr>
    </w:p>
    <w:p w14:paraId="56F00027" w14:textId="0208C257" w:rsidR="00B26153" w:rsidRDefault="00B26153" w:rsidP="00195D52">
      <w:pPr>
        <w:spacing w:line="480" w:lineRule="auto"/>
        <w:rPr>
          <w:rFonts w:ascii="Calibri" w:hAnsi="Calibri" w:cs="Calibri"/>
          <w:b/>
          <w:color w:val="000000"/>
        </w:rPr>
      </w:pPr>
      <w:r>
        <w:rPr>
          <w:rFonts w:ascii="Calibri" w:hAnsi="Calibri" w:cs="Calibri"/>
          <w:b/>
          <w:color w:val="000000"/>
        </w:rPr>
        <w:t xml:space="preserve">Why might early </w:t>
      </w:r>
      <w:r w:rsidR="005C6802">
        <w:rPr>
          <w:rFonts w:ascii="Calibri" w:hAnsi="Calibri" w:cs="Calibri"/>
          <w:b/>
          <w:color w:val="000000"/>
        </w:rPr>
        <w:t xml:space="preserve">food allergen immunotherapy </w:t>
      </w:r>
      <w:r>
        <w:rPr>
          <w:rFonts w:ascii="Calibri" w:hAnsi="Calibri" w:cs="Calibri"/>
          <w:b/>
          <w:color w:val="000000"/>
        </w:rPr>
        <w:t>lead to higher remission rates?</w:t>
      </w:r>
    </w:p>
    <w:p w14:paraId="708E425A" w14:textId="09B6F0BE" w:rsidR="00320A4E" w:rsidRDefault="00320A4E" w:rsidP="00195D52">
      <w:pPr>
        <w:spacing w:line="480" w:lineRule="auto"/>
        <w:jc w:val="both"/>
        <w:rPr>
          <w:rFonts w:ascii="Calibri" w:hAnsi="Calibri" w:cs="Calibri"/>
          <w:bCs/>
          <w:color w:val="000000"/>
        </w:rPr>
      </w:pPr>
      <w:r>
        <w:rPr>
          <w:rFonts w:ascii="Calibri" w:hAnsi="Calibri" w:cs="Calibri"/>
          <w:bCs/>
          <w:color w:val="000000"/>
        </w:rPr>
        <w:t xml:space="preserve">Early intervention immunotherapy would be expected to drive superior long-term outcomes like remission if the young child’s immune system </w:t>
      </w:r>
      <w:r w:rsidR="002461B9">
        <w:rPr>
          <w:rFonts w:ascii="Calibri" w:hAnsi="Calibri" w:cs="Calibri"/>
          <w:bCs/>
          <w:color w:val="000000"/>
        </w:rPr>
        <w:t xml:space="preserve">is </w:t>
      </w:r>
      <w:r>
        <w:rPr>
          <w:rFonts w:ascii="Calibri" w:hAnsi="Calibri" w:cs="Calibri"/>
          <w:bCs/>
          <w:color w:val="000000"/>
        </w:rPr>
        <w:t>more receptive to, or permissive of, the immunomodulatory effects of therapy. Interventional trials in young children have been designed to assess clinical efficacy based on this theory of immunologic plasticity.</w:t>
      </w:r>
      <w:r w:rsidR="007131B9">
        <w:rPr>
          <w:rFonts w:ascii="Calibri" w:hAnsi="Calibri" w:cs="Calibri"/>
          <w:bCs/>
          <w:color w:val="000000"/>
        </w:rPr>
        <w:t xml:space="preserve"> </w:t>
      </w:r>
      <w:r w:rsidR="00661B10" w:rsidRPr="00661B10">
        <w:rPr>
          <w:rFonts w:ascii="Calibri" w:hAnsi="Calibri" w:cs="Calibri"/>
          <w:bCs/>
          <w:noProof/>
          <w:color w:val="000000"/>
          <w:vertAlign w:val="superscript"/>
        </w:rPr>
        <w:t>16-18</w:t>
      </w:r>
      <w:r>
        <w:rPr>
          <w:rFonts w:ascii="Calibri" w:hAnsi="Calibri" w:cs="Calibri"/>
          <w:bCs/>
          <w:color w:val="000000"/>
        </w:rPr>
        <w:t xml:space="preserve"> If immunologic plasticity either does not exist, or is inaccessible by current interventions, then treating an average 18-month-old with OIT would be, immunologically speaking, no</w:t>
      </w:r>
      <w:r w:rsidR="00C97FF7">
        <w:rPr>
          <w:rFonts w:ascii="Calibri" w:hAnsi="Calibri" w:cs="Calibri"/>
          <w:bCs/>
          <w:color w:val="000000"/>
        </w:rPr>
        <w:t>t much</w:t>
      </w:r>
      <w:r>
        <w:rPr>
          <w:rFonts w:ascii="Calibri" w:hAnsi="Calibri" w:cs="Calibri"/>
          <w:bCs/>
          <w:color w:val="000000"/>
        </w:rPr>
        <w:t xml:space="preserve"> different than treating an average 18-year-old</w:t>
      </w:r>
      <w:r w:rsidR="00463512">
        <w:rPr>
          <w:rFonts w:ascii="Calibri" w:hAnsi="Calibri" w:cs="Calibri"/>
          <w:bCs/>
          <w:color w:val="000000"/>
        </w:rPr>
        <w:t>.</w:t>
      </w:r>
      <w:r w:rsidR="000860C1">
        <w:rPr>
          <w:rFonts w:ascii="Calibri" w:hAnsi="Calibri" w:cs="Calibri"/>
          <w:bCs/>
          <w:color w:val="000000"/>
        </w:rPr>
        <w:t xml:space="preserve"> Yet emerging evidence suggest this is not the case, rather early treatment appears to have potential for added benefit.</w:t>
      </w:r>
    </w:p>
    <w:p w14:paraId="19517D44" w14:textId="77777777" w:rsidR="00B7734A" w:rsidRDefault="00B7734A" w:rsidP="00195D52">
      <w:pPr>
        <w:spacing w:line="480" w:lineRule="auto"/>
        <w:jc w:val="both"/>
        <w:rPr>
          <w:rFonts w:ascii="Calibri" w:hAnsi="Calibri" w:cs="Calibri"/>
          <w:bCs/>
          <w:color w:val="000000"/>
        </w:rPr>
      </w:pPr>
    </w:p>
    <w:p w14:paraId="1C9469A3" w14:textId="4C271E7A" w:rsidR="00320A4E" w:rsidRDefault="00320A4E" w:rsidP="00195D52">
      <w:pPr>
        <w:spacing w:line="480" w:lineRule="auto"/>
        <w:jc w:val="both"/>
        <w:rPr>
          <w:rFonts w:ascii="Calibri" w:hAnsi="Calibri" w:cs="Calibri"/>
          <w:bCs/>
          <w:color w:val="000000"/>
        </w:rPr>
      </w:pPr>
      <w:r>
        <w:rPr>
          <w:rFonts w:ascii="Calibri" w:hAnsi="Calibri" w:cs="Calibri"/>
          <w:bCs/>
          <w:color w:val="000000"/>
        </w:rPr>
        <w:t>It is well-established that food allergies typically present with a clinical reaction in the first or second year of life, in many cases on the first known oral exposure</w:t>
      </w:r>
      <w:r w:rsidR="003B159F">
        <w:rPr>
          <w:rFonts w:ascii="Calibri" w:hAnsi="Calibri" w:cs="Calibri"/>
          <w:bCs/>
          <w:color w:val="000000"/>
        </w:rPr>
        <w:t>.</w:t>
      </w:r>
      <w:r w:rsidR="001B2748">
        <w:rPr>
          <w:rFonts w:ascii="Calibri" w:hAnsi="Calibri" w:cs="Calibri"/>
          <w:bCs/>
          <w:color w:val="000000"/>
        </w:rPr>
        <w:t xml:space="preserve"> </w:t>
      </w:r>
      <w:r w:rsidR="00661B10" w:rsidRPr="00661B10">
        <w:rPr>
          <w:rFonts w:ascii="Calibri" w:hAnsi="Calibri" w:cs="Calibri"/>
          <w:bCs/>
          <w:noProof/>
          <w:color w:val="000000"/>
          <w:vertAlign w:val="superscript"/>
        </w:rPr>
        <w:t>19</w:t>
      </w:r>
      <w:r>
        <w:rPr>
          <w:rFonts w:ascii="Calibri" w:hAnsi="Calibri" w:cs="Calibri"/>
          <w:bCs/>
          <w:color w:val="000000"/>
        </w:rPr>
        <w:t xml:space="preserve"> Therefore, incipient allergic inflammation and IgE priming are likely to start during infancy or even earlier, a topic that has been examined in many birth cohorts</w:t>
      </w:r>
      <w:r w:rsidRPr="000B0D4A">
        <w:rPr>
          <w:rFonts w:cstheme="minorHAnsi"/>
          <w:bCs/>
          <w:color w:val="000000"/>
        </w:rPr>
        <w:t xml:space="preserve">. Yet early allergic responses </w:t>
      </w:r>
      <w:r>
        <w:rPr>
          <w:rFonts w:cstheme="minorHAnsi"/>
          <w:bCs/>
          <w:color w:val="000000"/>
        </w:rPr>
        <w:t>seem to be</w:t>
      </w:r>
      <w:r w:rsidRPr="000B0D4A">
        <w:rPr>
          <w:rFonts w:cstheme="minorHAnsi"/>
          <w:bCs/>
          <w:color w:val="000000"/>
        </w:rPr>
        <w:t xml:space="preserve"> immunologically disorganized, and characterized by </w:t>
      </w:r>
      <w:r w:rsidRPr="000B0D4A">
        <w:rPr>
          <w:rFonts w:cstheme="minorHAnsi"/>
        </w:rPr>
        <w:t>weak T cell receptor affinity, unstable expression of GATA-3 and little IL-4 production, suggesting uncommitted T</w:t>
      </w:r>
      <w:r w:rsidRPr="000B0D4A">
        <w:rPr>
          <w:rFonts w:cstheme="minorHAnsi"/>
          <w:vertAlign w:val="subscript"/>
        </w:rPr>
        <w:t>H</w:t>
      </w:r>
      <w:r w:rsidRPr="000B0D4A">
        <w:rPr>
          <w:rFonts w:cstheme="minorHAnsi"/>
        </w:rPr>
        <w:t xml:space="preserve">2 differentiation </w:t>
      </w:r>
      <w:r w:rsidR="001E1717" w:rsidRPr="000B0D4A">
        <w:rPr>
          <w:rFonts w:cstheme="minorHAnsi"/>
        </w:rPr>
        <w:t>programs</w:t>
      </w:r>
      <w:r w:rsidR="003B159F">
        <w:rPr>
          <w:rFonts w:cstheme="minorHAnsi"/>
        </w:rPr>
        <w:t>.</w:t>
      </w:r>
      <w:r w:rsidR="001E1717" w:rsidRPr="000B0D4A">
        <w:rPr>
          <w:rFonts w:cstheme="minorHAnsi"/>
        </w:rPr>
        <w:t xml:space="preserve"> </w:t>
      </w:r>
      <w:r w:rsidR="00661B10" w:rsidRPr="00661B10">
        <w:rPr>
          <w:rFonts w:cstheme="minorHAnsi"/>
          <w:noProof/>
          <w:vertAlign w:val="superscript"/>
        </w:rPr>
        <w:t>20</w:t>
      </w:r>
      <w:r w:rsidRPr="000B0D4A">
        <w:rPr>
          <w:rFonts w:cstheme="minorHAnsi"/>
        </w:rPr>
        <w:t xml:space="preserve"> </w:t>
      </w:r>
      <w:r w:rsidR="00E51443">
        <w:rPr>
          <w:rFonts w:cstheme="minorHAnsi"/>
        </w:rPr>
        <w:t xml:space="preserve">In addition, maturation of the IgE response is delayed or immature during infancy and early life, further adding to the rationale to intervene early. </w:t>
      </w:r>
      <w:r w:rsidRPr="000B0D4A">
        <w:rPr>
          <w:rFonts w:cstheme="minorHAnsi"/>
        </w:rPr>
        <w:t xml:space="preserve">Although a unified mechanistic understanding of allergic fate determination (allergy versus tolerance) remains elusive, the maturation and intensification of these initially weak signals may be required for persistence. </w:t>
      </w:r>
      <w:r w:rsidRPr="000B0D4A">
        <w:rPr>
          <w:rFonts w:cstheme="minorHAnsi"/>
          <w:bCs/>
          <w:color w:val="000000"/>
        </w:rPr>
        <w:t>For example, several key observa</w:t>
      </w:r>
      <w:r>
        <w:rPr>
          <w:rFonts w:ascii="Calibri" w:hAnsi="Calibri" w:cs="Calibri"/>
          <w:bCs/>
          <w:color w:val="000000"/>
        </w:rPr>
        <w:t>tional studies from around the world have linked the resolution of milk, egg, and peanut allergy with smaller quantities of allergen-</w:t>
      </w:r>
      <w:r>
        <w:rPr>
          <w:rFonts w:ascii="Calibri" w:hAnsi="Calibri" w:cs="Calibri"/>
          <w:bCs/>
          <w:color w:val="000000"/>
        </w:rPr>
        <w:lastRenderedPageBreak/>
        <w:t>specific IgE, and less diversity in IgE epitope repertoires</w:t>
      </w:r>
      <w:r w:rsidR="003B159F">
        <w:rPr>
          <w:rFonts w:ascii="Calibri" w:hAnsi="Calibri" w:cs="Calibri"/>
          <w:bCs/>
          <w:color w:val="000000"/>
        </w:rPr>
        <w:t>.</w:t>
      </w:r>
      <w:r w:rsidR="001B2748">
        <w:rPr>
          <w:rFonts w:ascii="Calibri" w:hAnsi="Calibri" w:cs="Calibri"/>
          <w:bCs/>
          <w:color w:val="000000"/>
        </w:rPr>
        <w:t xml:space="preserve"> </w:t>
      </w:r>
      <w:r w:rsidR="00661B10" w:rsidRPr="00661B10">
        <w:rPr>
          <w:rFonts w:ascii="Calibri" w:hAnsi="Calibri" w:cs="Calibri"/>
          <w:bCs/>
          <w:noProof/>
          <w:color w:val="000000"/>
          <w:vertAlign w:val="superscript"/>
        </w:rPr>
        <w:t>21-26</w:t>
      </w:r>
      <w:r>
        <w:rPr>
          <w:rFonts w:ascii="Calibri" w:hAnsi="Calibri" w:cs="Calibri"/>
          <w:bCs/>
          <w:color w:val="000000"/>
        </w:rPr>
        <w:t xml:space="preserve"> Supportive data from other cohorts similarly show that persistent peanut allergy is characterized by longitudinal amplification of IgE responses during the preschool years</w:t>
      </w:r>
      <w:r w:rsidR="003B159F">
        <w:rPr>
          <w:rFonts w:ascii="Calibri" w:hAnsi="Calibri" w:cs="Calibri"/>
          <w:bCs/>
          <w:color w:val="000000"/>
        </w:rPr>
        <w:t xml:space="preserve">. </w:t>
      </w:r>
      <w:r w:rsidR="00661B10" w:rsidRPr="00661B10">
        <w:rPr>
          <w:rFonts w:ascii="Calibri" w:hAnsi="Calibri" w:cs="Calibri"/>
          <w:bCs/>
          <w:noProof/>
          <w:color w:val="000000"/>
          <w:vertAlign w:val="superscript"/>
        </w:rPr>
        <w:t>27</w:t>
      </w:r>
      <w:r>
        <w:rPr>
          <w:rFonts w:ascii="Calibri" w:hAnsi="Calibri" w:cs="Calibri"/>
          <w:bCs/>
          <w:color w:val="000000"/>
        </w:rPr>
        <w:t xml:space="preserve"> Importantly, using challenge-proven outcomes</w:t>
      </w:r>
      <w:r w:rsidR="002C750C">
        <w:rPr>
          <w:rFonts w:ascii="Calibri" w:hAnsi="Calibri" w:cs="Calibri"/>
          <w:bCs/>
          <w:color w:val="000000"/>
        </w:rPr>
        <w:t xml:space="preserve">, the longitudinal </w:t>
      </w:r>
      <w:r w:rsidR="00830E0D">
        <w:rPr>
          <w:rFonts w:ascii="Calibri" w:hAnsi="Calibri" w:cs="Calibri"/>
          <w:bCs/>
          <w:color w:val="000000"/>
        </w:rPr>
        <w:t xml:space="preserve">Australian </w:t>
      </w:r>
      <w:r>
        <w:rPr>
          <w:rFonts w:ascii="Calibri" w:hAnsi="Calibri" w:cs="Calibri"/>
          <w:bCs/>
          <w:color w:val="000000"/>
        </w:rPr>
        <w:t>HealthNuts study has shown that</w:t>
      </w:r>
      <w:r w:rsidR="00BC69E5">
        <w:rPr>
          <w:rFonts w:ascii="Calibri" w:hAnsi="Calibri" w:cs="Calibri"/>
          <w:bCs/>
          <w:color w:val="000000"/>
        </w:rPr>
        <w:t xml:space="preserve"> food allergy prognosis in</w:t>
      </w:r>
      <w:r>
        <w:rPr>
          <w:rFonts w:ascii="Calibri" w:hAnsi="Calibri" w:cs="Calibri"/>
          <w:bCs/>
          <w:color w:val="000000"/>
        </w:rPr>
        <w:t xml:space="preserve"> </w:t>
      </w:r>
      <w:r w:rsidR="00BC69E5">
        <w:rPr>
          <w:rFonts w:ascii="Calibri" w:hAnsi="Calibri" w:cs="Calibri"/>
          <w:bCs/>
          <w:color w:val="000000"/>
        </w:rPr>
        <w:t>later childhood is</w:t>
      </w:r>
      <w:r>
        <w:rPr>
          <w:rFonts w:ascii="Calibri" w:hAnsi="Calibri" w:cs="Calibri"/>
          <w:bCs/>
          <w:color w:val="000000"/>
        </w:rPr>
        <w:t xml:space="preserve"> </w:t>
      </w:r>
      <w:r w:rsidR="00AD5A3D">
        <w:rPr>
          <w:rFonts w:ascii="Calibri" w:hAnsi="Calibri" w:cs="Calibri"/>
          <w:bCs/>
          <w:color w:val="000000"/>
        </w:rPr>
        <w:t>to some extent</w:t>
      </w:r>
      <w:r>
        <w:rPr>
          <w:rFonts w:ascii="Calibri" w:hAnsi="Calibri" w:cs="Calibri"/>
          <w:bCs/>
          <w:color w:val="000000"/>
        </w:rPr>
        <w:t xml:space="preserve"> predictable by age 1</w:t>
      </w:r>
      <w:r w:rsidR="003B159F">
        <w:rPr>
          <w:rFonts w:ascii="Calibri" w:hAnsi="Calibri" w:cs="Calibri"/>
          <w:bCs/>
          <w:color w:val="000000"/>
        </w:rPr>
        <w:t>.</w:t>
      </w:r>
      <w:r w:rsidR="001B2748">
        <w:rPr>
          <w:rFonts w:ascii="Calibri" w:hAnsi="Calibri" w:cs="Calibri"/>
          <w:bCs/>
          <w:color w:val="000000"/>
        </w:rPr>
        <w:t xml:space="preserve"> </w:t>
      </w:r>
      <w:r w:rsidR="00661B10" w:rsidRPr="00661B10">
        <w:rPr>
          <w:rFonts w:ascii="Calibri" w:hAnsi="Calibri" w:cs="Calibri"/>
          <w:bCs/>
          <w:noProof/>
          <w:color w:val="000000"/>
          <w:vertAlign w:val="superscript"/>
        </w:rPr>
        <w:t>28</w:t>
      </w:r>
      <w:r>
        <w:rPr>
          <w:rFonts w:ascii="Calibri" w:hAnsi="Calibri" w:cs="Calibri"/>
          <w:bCs/>
          <w:color w:val="000000"/>
        </w:rPr>
        <w:t xml:space="preserve"> Data from the BAMSE cohort extends these observations, linking peanut allergy at age 16 to preschool peanut IgE production </w:t>
      </w:r>
      <w:r w:rsidR="00661B10" w:rsidRPr="00661B10">
        <w:rPr>
          <w:rFonts w:ascii="Calibri" w:hAnsi="Calibri" w:cs="Calibri"/>
          <w:bCs/>
          <w:noProof/>
          <w:color w:val="000000"/>
          <w:vertAlign w:val="superscript"/>
        </w:rPr>
        <w:t>29</w:t>
      </w:r>
      <w:r w:rsidR="003B159F">
        <w:rPr>
          <w:rFonts w:ascii="Calibri" w:hAnsi="Calibri" w:cs="Calibri"/>
          <w:bCs/>
          <w:color w:val="000000"/>
        </w:rPr>
        <w:t xml:space="preserve">. </w:t>
      </w:r>
      <w:r>
        <w:rPr>
          <w:rFonts w:ascii="Calibri" w:hAnsi="Calibri" w:cs="Calibri"/>
          <w:bCs/>
          <w:color w:val="000000"/>
        </w:rPr>
        <w:t xml:space="preserve">These data suggest the existence of a natural circuit or “kill switch” that regulates immune programming in the preschool years, perhaps even within the first year of life, and further suggest that the output of this programming is directly linked to allergic phenotype. Ultimately the question is: does antigen exposure influence this natural process in some way (i.e. reverse or accelerate it), and if so when is the best time to intervene? </w:t>
      </w:r>
    </w:p>
    <w:p w14:paraId="453F5304" w14:textId="77777777" w:rsidR="00352220" w:rsidRDefault="00352220" w:rsidP="00195D52">
      <w:pPr>
        <w:spacing w:line="480" w:lineRule="auto"/>
        <w:jc w:val="both"/>
        <w:rPr>
          <w:rFonts w:ascii="Calibri" w:hAnsi="Calibri" w:cs="Calibri"/>
          <w:bCs/>
          <w:color w:val="000000"/>
        </w:rPr>
      </w:pPr>
    </w:p>
    <w:p w14:paraId="04A55E45" w14:textId="6989A274" w:rsidR="00320A4E" w:rsidRDefault="00C1337B" w:rsidP="00195D52">
      <w:pPr>
        <w:spacing w:line="480" w:lineRule="auto"/>
        <w:jc w:val="both"/>
        <w:rPr>
          <w:rFonts w:ascii="Calibri" w:hAnsi="Calibri" w:cs="Calibri"/>
          <w:bCs/>
          <w:color w:val="000000"/>
        </w:rPr>
      </w:pPr>
      <w:r>
        <w:rPr>
          <w:rFonts w:ascii="Calibri" w:hAnsi="Calibri" w:cs="Calibri"/>
          <w:bCs/>
          <w:color w:val="000000"/>
        </w:rPr>
        <w:t>P</w:t>
      </w:r>
      <w:r w:rsidR="00320A4E">
        <w:rPr>
          <w:rFonts w:ascii="Calibri" w:hAnsi="Calibri" w:cs="Calibri"/>
          <w:bCs/>
          <w:color w:val="000000"/>
        </w:rPr>
        <w:t xml:space="preserve">ossible answers to these questions are derived from the secondary prevention literature, which has </w:t>
      </w:r>
      <w:r w:rsidR="00A31970">
        <w:rPr>
          <w:rFonts w:ascii="Calibri" w:hAnsi="Calibri" w:cs="Calibri"/>
          <w:bCs/>
          <w:color w:val="000000"/>
        </w:rPr>
        <w:t>suggested</w:t>
      </w:r>
      <w:r w:rsidR="00320A4E">
        <w:rPr>
          <w:rFonts w:ascii="Calibri" w:hAnsi="Calibri" w:cs="Calibri"/>
          <w:bCs/>
          <w:color w:val="000000"/>
        </w:rPr>
        <w:t xml:space="preserve"> that timely oral feedings in high-risk infants increases the probability of tolerance</w:t>
      </w:r>
      <w:r w:rsidR="003B159F">
        <w:rPr>
          <w:rFonts w:ascii="Calibri" w:hAnsi="Calibri" w:cs="Calibri"/>
          <w:bCs/>
          <w:color w:val="000000"/>
        </w:rPr>
        <w:t>.</w:t>
      </w:r>
      <w:r w:rsidR="00201E13">
        <w:rPr>
          <w:rFonts w:ascii="Calibri" w:hAnsi="Calibri" w:cs="Calibri"/>
          <w:bCs/>
          <w:color w:val="000000"/>
        </w:rPr>
        <w:t xml:space="preserve"> </w:t>
      </w:r>
      <w:r w:rsidR="00661B10" w:rsidRPr="00661B10">
        <w:rPr>
          <w:rFonts w:ascii="Calibri" w:hAnsi="Calibri" w:cs="Calibri"/>
          <w:bCs/>
          <w:noProof/>
          <w:color w:val="000000"/>
          <w:vertAlign w:val="superscript"/>
        </w:rPr>
        <w:t>30-32</w:t>
      </w:r>
      <w:r w:rsidR="00320A4E">
        <w:rPr>
          <w:rFonts w:ascii="Calibri" w:hAnsi="Calibri" w:cs="Calibri"/>
          <w:bCs/>
          <w:color w:val="000000"/>
        </w:rPr>
        <w:t xml:space="preserve"> It should be clearly noted that oral exposure commenced therapeutically as a desensitization procedure, after the onset of clinical allergy, is likely to be distinct mechanistically from secondary prevention, and that inferences between these two scenarios are tenuous. Nonetheless, the explanatory power of the dual allergen exposure hypothesis depends critically on timely antigenic stimulation in the gastrointestinal tract known to create allergen tolerance in animal models via engagement of key regulatory cells and pathways.</w:t>
      </w:r>
      <w:r w:rsidR="00661B10" w:rsidRPr="00661B10">
        <w:rPr>
          <w:rFonts w:ascii="Calibri" w:hAnsi="Calibri" w:cs="Calibri"/>
          <w:bCs/>
          <w:noProof/>
          <w:color w:val="000000"/>
          <w:vertAlign w:val="superscript"/>
        </w:rPr>
        <w:t>33</w:t>
      </w:r>
      <w:r w:rsidR="00320A4E">
        <w:rPr>
          <w:rFonts w:ascii="Calibri" w:hAnsi="Calibri" w:cs="Calibri"/>
          <w:bCs/>
          <w:color w:val="000000"/>
        </w:rPr>
        <w:t xml:space="preserve"> It should also be noted that tolerance can </w:t>
      </w:r>
      <w:r w:rsidR="00AD5A3D">
        <w:rPr>
          <w:rFonts w:ascii="Calibri" w:hAnsi="Calibri" w:cs="Calibri"/>
          <w:bCs/>
          <w:color w:val="000000"/>
        </w:rPr>
        <w:t xml:space="preserve">be induced </w:t>
      </w:r>
      <w:r w:rsidR="00320A4E">
        <w:rPr>
          <w:rFonts w:ascii="Calibri" w:hAnsi="Calibri" w:cs="Calibri"/>
          <w:bCs/>
          <w:color w:val="000000"/>
        </w:rPr>
        <w:t xml:space="preserve">in </w:t>
      </w:r>
      <w:r w:rsidR="00AD5A3D">
        <w:rPr>
          <w:rFonts w:ascii="Calibri" w:hAnsi="Calibri" w:cs="Calibri"/>
          <w:bCs/>
          <w:color w:val="000000"/>
        </w:rPr>
        <w:t xml:space="preserve">infants </w:t>
      </w:r>
      <w:r w:rsidR="00320A4E">
        <w:rPr>
          <w:rFonts w:ascii="Calibri" w:hAnsi="Calibri" w:cs="Calibri"/>
          <w:bCs/>
          <w:color w:val="000000"/>
        </w:rPr>
        <w:t xml:space="preserve">who are already manufacturing detectable amounts of allergen-specific IgE (i.e. the skin prick test-positive stratum in </w:t>
      </w:r>
      <w:r w:rsidR="00BC69E5">
        <w:rPr>
          <w:rFonts w:ascii="Calibri" w:hAnsi="Calibri" w:cs="Calibri"/>
          <w:bCs/>
          <w:color w:val="000000"/>
        </w:rPr>
        <w:t xml:space="preserve">the </w:t>
      </w:r>
      <w:r w:rsidR="00320A4E">
        <w:rPr>
          <w:rFonts w:ascii="Calibri" w:hAnsi="Calibri" w:cs="Calibri"/>
          <w:bCs/>
          <w:color w:val="000000"/>
        </w:rPr>
        <w:t>LEAP</w:t>
      </w:r>
      <w:r w:rsidR="00BC69E5">
        <w:rPr>
          <w:rFonts w:ascii="Calibri" w:hAnsi="Calibri" w:cs="Calibri"/>
          <w:bCs/>
          <w:color w:val="000000"/>
        </w:rPr>
        <w:t xml:space="preserve"> study</w:t>
      </w:r>
      <w:r w:rsidR="00320A4E">
        <w:rPr>
          <w:rFonts w:ascii="Calibri" w:hAnsi="Calibri" w:cs="Calibri"/>
          <w:bCs/>
          <w:color w:val="000000"/>
        </w:rPr>
        <w:t>)</w:t>
      </w:r>
      <w:r w:rsidR="00CE01BA">
        <w:rPr>
          <w:rFonts w:ascii="Calibri" w:hAnsi="Calibri" w:cs="Calibri"/>
          <w:bCs/>
          <w:color w:val="000000"/>
        </w:rPr>
        <w:t xml:space="preserve"> </w:t>
      </w:r>
      <w:r w:rsidR="00661B10" w:rsidRPr="00661B10">
        <w:rPr>
          <w:rFonts w:ascii="Calibri" w:hAnsi="Calibri" w:cs="Calibri"/>
          <w:bCs/>
          <w:noProof/>
          <w:color w:val="000000"/>
          <w:vertAlign w:val="superscript"/>
        </w:rPr>
        <w:t>30</w:t>
      </w:r>
      <w:r w:rsidR="00320A4E">
        <w:rPr>
          <w:rFonts w:ascii="Calibri" w:hAnsi="Calibri" w:cs="Calibri"/>
          <w:bCs/>
          <w:color w:val="000000"/>
        </w:rPr>
        <w:t>, which suggests that the pathogenic process is reversible with an appropriately timed intervention. In those patients in whom the tolerance opportunity is lost, it is not difficult to imagine that standard care management advice (e.g. allergen avoidance) may further exacerbate the situation, by depriving the GI tract of the antigenic stimulation known to lead to permanent tolerance.</w:t>
      </w:r>
      <w:r w:rsidR="00320A4E" w:rsidRPr="00D81778">
        <w:rPr>
          <w:rFonts w:ascii="Calibri" w:hAnsi="Calibri" w:cs="Calibri"/>
          <w:bCs/>
          <w:strike/>
          <w:color w:val="000000"/>
        </w:rPr>
        <w:t xml:space="preserve"> </w:t>
      </w:r>
    </w:p>
    <w:p w14:paraId="08F793D3" w14:textId="77777777" w:rsidR="00352220" w:rsidRDefault="00352220" w:rsidP="00195D52">
      <w:pPr>
        <w:spacing w:line="480" w:lineRule="auto"/>
        <w:jc w:val="both"/>
        <w:rPr>
          <w:rFonts w:ascii="Calibri" w:hAnsi="Calibri" w:cs="Calibri"/>
          <w:bCs/>
          <w:color w:val="000000"/>
        </w:rPr>
      </w:pPr>
    </w:p>
    <w:p w14:paraId="571E3E8D" w14:textId="59FC50F5" w:rsidR="00320A4E" w:rsidRDefault="00320A4E" w:rsidP="00195D52">
      <w:pPr>
        <w:spacing w:line="480" w:lineRule="auto"/>
        <w:jc w:val="both"/>
        <w:rPr>
          <w:rFonts w:ascii="Calibri" w:hAnsi="Calibri" w:cs="Calibri"/>
          <w:bCs/>
          <w:color w:val="000000"/>
        </w:rPr>
      </w:pPr>
      <w:r>
        <w:rPr>
          <w:rFonts w:ascii="Calibri" w:hAnsi="Calibri" w:cs="Calibri"/>
          <w:bCs/>
          <w:color w:val="000000"/>
        </w:rPr>
        <w:t>There is a growing speculation, based mostly on clinical observations, that secondary prevention and early desensitization treatment may exist on a continuum. Recently an international group of authors described this as “salvage” treatment, calling for immunotherapy to be started promptly in infants after failures of preventative oral introduction</w:t>
      </w:r>
      <w:r w:rsidR="00511718">
        <w:rPr>
          <w:rFonts w:ascii="Calibri" w:hAnsi="Calibri" w:cs="Calibri"/>
          <w:bCs/>
          <w:color w:val="000000"/>
        </w:rPr>
        <w:t xml:space="preserve"> </w:t>
      </w:r>
      <w:r w:rsidR="00661B10" w:rsidRPr="00661B10">
        <w:rPr>
          <w:rFonts w:ascii="Calibri" w:hAnsi="Calibri" w:cs="Calibri"/>
          <w:bCs/>
          <w:noProof/>
          <w:color w:val="000000"/>
          <w:vertAlign w:val="superscript"/>
        </w:rPr>
        <w:t>34</w:t>
      </w:r>
      <w:r>
        <w:rPr>
          <w:rFonts w:ascii="Calibri" w:hAnsi="Calibri" w:cs="Calibri"/>
          <w:bCs/>
          <w:color w:val="000000"/>
        </w:rPr>
        <w:t xml:space="preserve">. </w:t>
      </w:r>
      <w:bookmarkStart w:id="1" w:name="_Hlk122427392"/>
      <w:r>
        <w:rPr>
          <w:rFonts w:ascii="Calibri" w:hAnsi="Calibri" w:cs="Calibri"/>
          <w:bCs/>
          <w:color w:val="000000"/>
        </w:rPr>
        <w:t xml:space="preserve">When reviewing the evidence supporting </w:t>
      </w:r>
      <w:r w:rsidR="00E7748C">
        <w:rPr>
          <w:rFonts w:ascii="Calibri" w:hAnsi="Calibri" w:cs="Calibri"/>
          <w:bCs/>
          <w:color w:val="000000"/>
        </w:rPr>
        <w:t xml:space="preserve">a “salvage” </w:t>
      </w:r>
      <w:r>
        <w:rPr>
          <w:rFonts w:ascii="Calibri" w:hAnsi="Calibri" w:cs="Calibri"/>
          <w:bCs/>
          <w:color w:val="000000"/>
        </w:rPr>
        <w:t xml:space="preserve">approach, it is important to consider </w:t>
      </w:r>
      <w:r w:rsidR="00582D94" w:rsidRPr="00582D94">
        <w:rPr>
          <w:rFonts w:ascii="Calibri" w:hAnsi="Calibri" w:cs="Calibri"/>
          <w:bCs/>
          <w:color w:val="000000"/>
        </w:rPr>
        <w:t>whether the study was specifically designed to test this approach. For example, the IMPACT study</w:t>
      </w:r>
      <w:r w:rsidR="00E45353">
        <w:rPr>
          <w:rFonts w:ascii="Calibri" w:hAnsi="Calibri" w:cs="Calibri"/>
          <w:bCs/>
          <w:color w:val="000000"/>
        </w:rPr>
        <w:t xml:space="preserve"> </w:t>
      </w:r>
      <w:r w:rsidR="00E45353" w:rsidRPr="00E45353">
        <w:rPr>
          <w:rFonts w:ascii="Calibri" w:hAnsi="Calibri" w:cs="Calibri"/>
          <w:bCs/>
          <w:noProof/>
          <w:color w:val="000000"/>
          <w:vertAlign w:val="superscript"/>
        </w:rPr>
        <w:t>18</w:t>
      </w:r>
      <w:r w:rsidR="00582D94" w:rsidRPr="00582D94">
        <w:rPr>
          <w:rFonts w:ascii="Calibri" w:hAnsi="Calibri" w:cs="Calibri"/>
          <w:bCs/>
          <w:color w:val="000000"/>
        </w:rPr>
        <w:t xml:space="preserve"> enrolled participants who were older and tended to have higher IgE levels, therefore phenotypically these participants were more similar to older patients with persistent peanut allergy than they were to infants receiving “salvage” OIT</w:t>
      </w:r>
      <w:r>
        <w:rPr>
          <w:rFonts w:ascii="Calibri" w:hAnsi="Calibri" w:cs="Calibri"/>
          <w:bCs/>
          <w:color w:val="000000"/>
        </w:rPr>
        <w:t xml:space="preserve">. </w:t>
      </w:r>
      <w:bookmarkEnd w:id="1"/>
      <w:r w:rsidR="000860C1">
        <w:rPr>
          <w:rFonts w:ascii="Calibri" w:hAnsi="Calibri" w:cs="Calibri"/>
          <w:bCs/>
          <w:color w:val="000000"/>
        </w:rPr>
        <w:t xml:space="preserve">One </w:t>
      </w:r>
      <w:r w:rsidR="00AB172D">
        <w:rPr>
          <w:rFonts w:ascii="Calibri" w:hAnsi="Calibri" w:cs="Calibri"/>
          <w:bCs/>
          <w:color w:val="000000"/>
        </w:rPr>
        <w:t xml:space="preserve">alternative </w:t>
      </w:r>
      <w:r w:rsidR="000860C1">
        <w:rPr>
          <w:rFonts w:ascii="Calibri" w:hAnsi="Calibri" w:cs="Calibri"/>
          <w:bCs/>
          <w:color w:val="000000"/>
        </w:rPr>
        <w:t>consideration is that</w:t>
      </w:r>
      <w:r>
        <w:rPr>
          <w:rFonts w:ascii="Calibri" w:hAnsi="Calibri" w:cs="Calibri"/>
          <w:bCs/>
          <w:color w:val="000000"/>
        </w:rPr>
        <w:t xml:space="preserve"> the effectiveness of the intervention in long-term outcomes may have less to do with age </w:t>
      </w:r>
      <w:r w:rsidRPr="005E721F">
        <w:rPr>
          <w:rFonts w:ascii="Calibri" w:hAnsi="Calibri" w:cs="Calibri"/>
          <w:bCs/>
          <w:i/>
          <w:iCs/>
          <w:color w:val="000000"/>
        </w:rPr>
        <w:t>per se</w:t>
      </w:r>
      <w:r>
        <w:rPr>
          <w:rFonts w:ascii="Calibri" w:hAnsi="Calibri" w:cs="Calibri"/>
          <w:bCs/>
          <w:color w:val="000000"/>
        </w:rPr>
        <w:t xml:space="preserve"> and more about the quality of the immune system at the time of the intervention</w:t>
      </w:r>
      <w:r w:rsidR="00AB172D">
        <w:rPr>
          <w:rFonts w:ascii="Calibri" w:hAnsi="Calibri" w:cs="Calibri"/>
          <w:bCs/>
          <w:color w:val="000000"/>
        </w:rPr>
        <w:t>;</w:t>
      </w:r>
      <w:r w:rsidR="00503B8F">
        <w:rPr>
          <w:rFonts w:ascii="Calibri" w:hAnsi="Calibri" w:cs="Calibri"/>
          <w:bCs/>
          <w:color w:val="000000"/>
        </w:rPr>
        <w:t xml:space="preserve"> </w:t>
      </w:r>
      <w:r w:rsidR="00AB172D">
        <w:rPr>
          <w:rFonts w:ascii="Calibri" w:hAnsi="Calibri" w:cs="Calibri"/>
          <w:bCs/>
          <w:color w:val="000000"/>
        </w:rPr>
        <w:t xml:space="preserve">however </w:t>
      </w:r>
      <w:r w:rsidR="005D5E9A">
        <w:rPr>
          <w:rFonts w:ascii="Calibri" w:hAnsi="Calibri" w:cs="Calibri"/>
          <w:bCs/>
          <w:color w:val="000000"/>
        </w:rPr>
        <w:t xml:space="preserve">this is not well understood and </w:t>
      </w:r>
      <w:r w:rsidR="00503B8F">
        <w:rPr>
          <w:rFonts w:ascii="Calibri" w:hAnsi="Calibri" w:cs="Calibri"/>
          <w:bCs/>
          <w:color w:val="000000"/>
        </w:rPr>
        <w:t>is likely to vary between children</w:t>
      </w:r>
      <w:r w:rsidR="00AB172D">
        <w:rPr>
          <w:rFonts w:ascii="Calibri" w:hAnsi="Calibri" w:cs="Calibri"/>
          <w:bCs/>
          <w:color w:val="000000"/>
        </w:rPr>
        <w:t>.</w:t>
      </w:r>
    </w:p>
    <w:p w14:paraId="2C3984B7" w14:textId="77777777" w:rsidR="00352220" w:rsidRDefault="00352220" w:rsidP="00195D52">
      <w:pPr>
        <w:spacing w:line="480" w:lineRule="auto"/>
        <w:jc w:val="both"/>
        <w:rPr>
          <w:rFonts w:ascii="Calibri" w:hAnsi="Calibri" w:cs="Calibri"/>
          <w:bCs/>
          <w:color w:val="000000"/>
        </w:rPr>
      </w:pPr>
    </w:p>
    <w:p w14:paraId="2D591B16" w14:textId="78F6694B" w:rsidR="00B26153" w:rsidRPr="00320A4E" w:rsidRDefault="00320A4E" w:rsidP="00195D52">
      <w:pPr>
        <w:spacing w:line="480" w:lineRule="auto"/>
        <w:jc w:val="both"/>
        <w:rPr>
          <w:rFonts w:ascii="Calibri" w:hAnsi="Calibri" w:cs="Calibri"/>
          <w:b/>
          <w:color w:val="000000"/>
        </w:rPr>
      </w:pPr>
      <w:r>
        <w:rPr>
          <w:rFonts w:ascii="Calibri" w:hAnsi="Calibri" w:cs="Calibri"/>
          <w:bCs/>
          <w:color w:val="000000"/>
        </w:rPr>
        <w:t>Taken together, these data suggest that there is a developmental immune program early in life –perhaps operative within the first year - that may be governed by the potency of Th2 T cell inflammation and yields IgE sensitization that is predictive of clinical disease. Allergic outcomes may be regulated by unknown factors (including allergen exposure)</w:t>
      </w:r>
      <w:r w:rsidRPr="005009C4">
        <w:rPr>
          <w:rFonts w:ascii="Calibri" w:hAnsi="Calibri" w:cs="Calibri"/>
          <w:bCs/>
          <w:color w:val="000000"/>
        </w:rPr>
        <w:t xml:space="preserve"> </w:t>
      </w:r>
      <w:r>
        <w:rPr>
          <w:rFonts w:ascii="Calibri" w:hAnsi="Calibri" w:cs="Calibri"/>
          <w:bCs/>
          <w:color w:val="000000"/>
        </w:rPr>
        <w:t xml:space="preserve">during this time, leading to potentially reversible persistent disease phenotypes. </w:t>
      </w:r>
      <w:r w:rsidR="006C15F2">
        <w:rPr>
          <w:rFonts w:ascii="Calibri" w:hAnsi="Calibri" w:cs="Calibri"/>
          <w:bCs/>
          <w:color w:val="000000"/>
        </w:rPr>
        <w:t xml:space="preserve">It </w:t>
      </w:r>
      <w:r w:rsidR="00D57CBD">
        <w:rPr>
          <w:rFonts w:ascii="Calibri" w:hAnsi="Calibri" w:cs="Calibri"/>
          <w:bCs/>
          <w:color w:val="000000"/>
        </w:rPr>
        <w:t xml:space="preserve">has also been observed that younger children </w:t>
      </w:r>
      <w:r w:rsidR="006C15F2">
        <w:rPr>
          <w:rFonts w:ascii="Calibri" w:hAnsi="Calibri" w:cs="Calibri"/>
          <w:bCs/>
          <w:color w:val="000000"/>
        </w:rPr>
        <w:t>have</w:t>
      </w:r>
      <w:r w:rsidR="00D57CBD">
        <w:rPr>
          <w:rFonts w:ascii="Calibri" w:hAnsi="Calibri" w:cs="Calibri"/>
          <w:bCs/>
          <w:color w:val="000000"/>
        </w:rPr>
        <w:t xml:space="preserve"> lower allergen-specific IgE</w:t>
      </w:r>
      <w:r w:rsidR="006C15F2">
        <w:rPr>
          <w:rFonts w:ascii="Calibri" w:hAnsi="Calibri" w:cs="Calibri"/>
          <w:bCs/>
          <w:color w:val="000000"/>
        </w:rPr>
        <w:t xml:space="preserve"> levels</w:t>
      </w:r>
      <w:r w:rsidR="00D57CBD">
        <w:rPr>
          <w:rFonts w:ascii="Calibri" w:hAnsi="Calibri" w:cs="Calibri"/>
          <w:bCs/>
          <w:color w:val="000000"/>
        </w:rPr>
        <w:t xml:space="preserve"> for environmental allergens than older children</w:t>
      </w:r>
      <w:r w:rsidR="00E45353">
        <w:rPr>
          <w:rFonts w:ascii="Calibri" w:hAnsi="Calibri" w:cs="Calibri"/>
          <w:bCs/>
          <w:color w:val="000000"/>
        </w:rPr>
        <w:t xml:space="preserve"> </w:t>
      </w:r>
      <w:r w:rsidR="00E45353" w:rsidRPr="00E45353">
        <w:rPr>
          <w:rFonts w:ascii="Calibri" w:hAnsi="Calibri" w:cs="Calibri"/>
          <w:bCs/>
          <w:noProof/>
          <w:color w:val="000000"/>
          <w:vertAlign w:val="superscript"/>
        </w:rPr>
        <w:t>35, 36</w:t>
      </w:r>
      <w:r w:rsidR="00610366">
        <w:rPr>
          <w:rFonts w:ascii="Calibri" w:hAnsi="Calibri" w:cs="Calibri"/>
          <w:bCs/>
          <w:color w:val="000000"/>
        </w:rPr>
        <w:t>, suggesting progression of the allergic</w:t>
      </w:r>
      <w:r w:rsidR="00D57CBD">
        <w:rPr>
          <w:rFonts w:ascii="Calibri" w:hAnsi="Calibri" w:cs="Calibri"/>
          <w:bCs/>
          <w:color w:val="000000"/>
        </w:rPr>
        <w:t xml:space="preserve"> </w:t>
      </w:r>
      <w:r w:rsidR="00610366">
        <w:rPr>
          <w:rFonts w:ascii="Calibri" w:hAnsi="Calibri" w:cs="Calibri"/>
          <w:bCs/>
          <w:color w:val="000000"/>
        </w:rPr>
        <w:t>state</w:t>
      </w:r>
      <w:r w:rsidR="006C15F2">
        <w:rPr>
          <w:rFonts w:ascii="Calibri" w:hAnsi="Calibri" w:cs="Calibri"/>
          <w:bCs/>
          <w:color w:val="000000"/>
        </w:rPr>
        <w:t xml:space="preserve"> may occur throughout childhood</w:t>
      </w:r>
      <w:r w:rsidR="00610366">
        <w:rPr>
          <w:rFonts w:ascii="Calibri" w:hAnsi="Calibri" w:cs="Calibri"/>
          <w:bCs/>
          <w:color w:val="000000"/>
        </w:rPr>
        <w:t xml:space="preserve">. </w:t>
      </w:r>
      <w:r>
        <w:rPr>
          <w:rFonts w:ascii="Calibri" w:hAnsi="Calibri" w:cs="Calibri"/>
          <w:bCs/>
          <w:color w:val="000000"/>
        </w:rPr>
        <w:t>This provides indirect evidence of developmental immunological plasticity, which we generally understand to be shaped by a window of opportunity, with the outcome critically dependent on timely oral exposure</w:t>
      </w:r>
      <w:r w:rsidR="00E87200">
        <w:rPr>
          <w:rFonts w:ascii="Calibri" w:hAnsi="Calibri" w:cs="Calibri"/>
          <w:bCs/>
          <w:color w:val="000000"/>
        </w:rPr>
        <w:t xml:space="preserve"> (see summary Figure 1)</w:t>
      </w:r>
      <w:r w:rsidR="000860C1">
        <w:rPr>
          <w:rFonts w:ascii="Calibri" w:hAnsi="Calibri" w:cs="Calibri"/>
          <w:bCs/>
          <w:color w:val="000000"/>
        </w:rPr>
        <w:t>.</w:t>
      </w:r>
      <w:r>
        <w:rPr>
          <w:rFonts w:ascii="Calibri" w:hAnsi="Calibri" w:cs="Calibri"/>
          <w:bCs/>
          <w:color w:val="000000"/>
        </w:rPr>
        <w:t xml:space="preserve"> </w:t>
      </w:r>
    </w:p>
    <w:p w14:paraId="17EF6875" w14:textId="112D3B04" w:rsidR="00842807" w:rsidRDefault="00842807" w:rsidP="00195D52">
      <w:pPr>
        <w:pStyle w:val="ListParagraph"/>
        <w:spacing w:line="480" w:lineRule="auto"/>
        <w:ind w:left="360"/>
        <w:rPr>
          <w:rFonts w:ascii="Calibri" w:hAnsi="Calibri" w:cs="Calibri"/>
          <w:b/>
          <w:color w:val="000000"/>
        </w:rPr>
      </w:pPr>
    </w:p>
    <w:p w14:paraId="2FA378CD" w14:textId="6D49563B" w:rsidR="001461B8" w:rsidRPr="001461B8" w:rsidRDefault="001461B8" w:rsidP="00195D52">
      <w:pPr>
        <w:spacing w:line="480" w:lineRule="auto"/>
        <w:rPr>
          <w:rFonts w:ascii="Calibri" w:hAnsi="Calibri" w:cs="Calibri"/>
          <w:b/>
          <w:color w:val="000000"/>
        </w:rPr>
      </w:pPr>
      <w:r w:rsidRPr="001461B8">
        <w:rPr>
          <w:rFonts w:ascii="Calibri" w:hAnsi="Calibri" w:cs="Calibri"/>
          <w:b/>
          <w:color w:val="000000"/>
        </w:rPr>
        <w:t xml:space="preserve">Review of </w:t>
      </w:r>
      <w:r w:rsidR="00B26153">
        <w:rPr>
          <w:rFonts w:ascii="Calibri" w:hAnsi="Calibri" w:cs="Calibri"/>
          <w:b/>
          <w:color w:val="000000"/>
        </w:rPr>
        <w:t xml:space="preserve">evidence on </w:t>
      </w:r>
      <w:r w:rsidR="003173B5">
        <w:rPr>
          <w:rFonts w:ascii="Calibri" w:hAnsi="Calibri" w:cs="Calibri"/>
          <w:b/>
          <w:color w:val="000000"/>
        </w:rPr>
        <w:t>early</w:t>
      </w:r>
      <w:r w:rsidR="00B26153">
        <w:rPr>
          <w:rFonts w:ascii="Calibri" w:hAnsi="Calibri" w:cs="Calibri"/>
          <w:b/>
          <w:color w:val="000000"/>
        </w:rPr>
        <w:t xml:space="preserve"> </w:t>
      </w:r>
      <w:r w:rsidR="003173B5">
        <w:rPr>
          <w:rFonts w:ascii="Calibri" w:hAnsi="Calibri" w:cs="Calibri"/>
          <w:b/>
          <w:color w:val="000000"/>
        </w:rPr>
        <w:t xml:space="preserve">food </w:t>
      </w:r>
      <w:r w:rsidR="00E37961">
        <w:rPr>
          <w:rFonts w:ascii="Calibri" w:hAnsi="Calibri" w:cs="Calibri"/>
          <w:b/>
          <w:color w:val="000000"/>
        </w:rPr>
        <w:t xml:space="preserve">allergen </w:t>
      </w:r>
      <w:r w:rsidR="00950B96">
        <w:rPr>
          <w:rFonts w:ascii="Calibri" w:hAnsi="Calibri" w:cs="Calibri"/>
          <w:b/>
          <w:color w:val="000000"/>
        </w:rPr>
        <w:t>immunotherapy</w:t>
      </w:r>
    </w:p>
    <w:p w14:paraId="4FCF4175" w14:textId="3471E420" w:rsidR="00A95F5F" w:rsidRDefault="004178F2" w:rsidP="00A95F5F">
      <w:pPr>
        <w:spacing w:line="480" w:lineRule="auto"/>
        <w:jc w:val="both"/>
        <w:rPr>
          <w:rFonts w:ascii="Calibri" w:hAnsi="Calibri" w:cs="Calibri"/>
          <w:color w:val="000000"/>
        </w:rPr>
      </w:pPr>
      <w:r w:rsidRPr="004F3225">
        <w:rPr>
          <w:rFonts w:ascii="Calibri" w:hAnsi="Calibri" w:cs="Calibri"/>
          <w:color w:val="000000"/>
        </w:rPr>
        <w:lastRenderedPageBreak/>
        <w:t>Systematic reviews of food allergen immunotherapy studies</w:t>
      </w:r>
      <w:r w:rsidR="002A5153">
        <w:rPr>
          <w:rFonts w:ascii="Calibri" w:hAnsi="Calibri" w:cs="Calibri"/>
          <w:color w:val="000000"/>
        </w:rPr>
        <w:t>,</w:t>
      </w:r>
      <w:r w:rsidRPr="004F3225">
        <w:rPr>
          <w:rFonts w:ascii="Calibri" w:hAnsi="Calibri" w:cs="Calibri"/>
          <w:color w:val="000000"/>
        </w:rPr>
        <w:t xml:space="preserve"> </w:t>
      </w:r>
      <w:r w:rsidR="00C82E80">
        <w:rPr>
          <w:rFonts w:ascii="Calibri" w:hAnsi="Calibri" w:cs="Calibri"/>
          <w:color w:val="000000"/>
        </w:rPr>
        <w:t>where most studies have focused on cow’s milk, egg and peanut</w:t>
      </w:r>
      <w:r w:rsidR="00BD3817">
        <w:rPr>
          <w:rFonts w:ascii="Calibri" w:hAnsi="Calibri" w:cs="Calibri"/>
          <w:color w:val="000000"/>
        </w:rPr>
        <w:t xml:space="preserve">, </w:t>
      </w:r>
      <w:r w:rsidR="00607D56">
        <w:rPr>
          <w:rFonts w:ascii="Calibri" w:hAnsi="Calibri" w:cs="Calibri"/>
          <w:color w:val="000000"/>
        </w:rPr>
        <w:t xml:space="preserve">predominantly in children </w:t>
      </w:r>
      <w:r w:rsidR="006A126D">
        <w:rPr>
          <w:rFonts w:ascii="Calibri" w:hAnsi="Calibri" w:cs="Calibri"/>
          <w:color w:val="000000"/>
        </w:rPr>
        <w:t>and adolescents in mixed age ranges (</w:t>
      </w:r>
      <w:r w:rsidR="000C4C20">
        <w:rPr>
          <w:rFonts w:ascii="Calibri" w:hAnsi="Calibri" w:cs="Calibri"/>
          <w:color w:val="000000"/>
        </w:rPr>
        <w:t>4</w:t>
      </w:r>
      <w:r w:rsidR="006A126D">
        <w:rPr>
          <w:rFonts w:ascii="Calibri" w:hAnsi="Calibri" w:cs="Calibri"/>
          <w:color w:val="000000"/>
        </w:rPr>
        <w:t xml:space="preserve">-17 </w:t>
      </w:r>
      <w:r w:rsidR="00607D56">
        <w:rPr>
          <w:rFonts w:ascii="Calibri" w:hAnsi="Calibri" w:cs="Calibri"/>
          <w:color w:val="000000"/>
        </w:rPr>
        <w:t>years</w:t>
      </w:r>
      <w:r w:rsidR="006A126D">
        <w:rPr>
          <w:rFonts w:ascii="Calibri" w:hAnsi="Calibri" w:cs="Calibri"/>
          <w:color w:val="000000"/>
        </w:rPr>
        <w:t>)</w:t>
      </w:r>
      <w:r w:rsidR="00607D56">
        <w:rPr>
          <w:rFonts w:ascii="Calibri" w:hAnsi="Calibri" w:cs="Calibri"/>
          <w:color w:val="000000"/>
        </w:rPr>
        <w:t xml:space="preserve"> </w:t>
      </w:r>
      <w:r w:rsidR="00C82E80">
        <w:rPr>
          <w:rFonts w:ascii="Calibri" w:hAnsi="Calibri" w:cs="Calibri"/>
          <w:color w:val="000000"/>
        </w:rPr>
        <w:t xml:space="preserve">with </w:t>
      </w:r>
      <w:r w:rsidR="00BD3817">
        <w:rPr>
          <w:rFonts w:ascii="Calibri" w:hAnsi="Calibri" w:cs="Calibri"/>
          <w:color w:val="000000"/>
        </w:rPr>
        <w:t xml:space="preserve">OIT being </w:t>
      </w:r>
      <w:r w:rsidR="00C82E80">
        <w:rPr>
          <w:rFonts w:ascii="Calibri" w:hAnsi="Calibri" w:cs="Calibri"/>
          <w:color w:val="000000"/>
        </w:rPr>
        <w:t>the main modality</w:t>
      </w:r>
      <w:r w:rsidR="002A5153">
        <w:rPr>
          <w:rFonts w:ascii="Calibri" w:hAnsi="Calibri" w:cs="Calibri"/>
          <w:color w:val="000000"/>
        </w:rPr>
        <w:t>,</w:t>
      </w:r>
      <w:r w:rsidR="00C82E80">
        <w:rPr>
          <w:rFonts w:ascii="Calibri" w:hAnsi="Calibri" w:cs="Calibri"/>
          <w:color w:val="000000"/>
        </w:rPr>
        <w:t xml:space="preserve"> </w:t>
      </w:r>
      <w:r w:rsidRPr="004F3225">
        <w:rPr>
          <w:rFonts w:ascii="Calibri" w:hAnsi="Calibri" w:cs="Calibri"/>
          <w:color w:val="000000"/>
        </w:rPr>
        <w:t xml:space="preserve">have demonstrated </w:t>
      </w:r>
      <w:r w:rsidR="0084626A">
        <w:rPr>
          <w:rFonts w:ascii="Calibri" w:hAnsi="Calibri" w:cs="Calibri"/>
          <w:color w:val="000000"/>
        </w:rPr>
        <w:t>desensitization</w:t>
      </w:r>
      <w:r w:rsidR="00107A1F">
        <w:rPr>
          <w:rFonts w:ascii="Calibri" w:hAnsi="Calibri" w:cs="Calibri"/>
          <w:color w:val="000000"/>
        </w:rPr>
        <w:t xml:space="preserve"> effectiveness of </w:t>
      </w:r>
      <w:r>
        <w:rPr>
          <w:rFonts w:ascii="Calibri" w:hAnsi="Calibri" w:cs="Calibri"/>
          <w:color w:val="000000"/>
        </w:rPr>
        <w:t xml:space="preserve">up to 75% </w:t>
      </w:r>
      <w:r w:rsidRPr="004F3225">
        <w:rPr>
          <w:rFonts w:ascii="Calibri" w:hAnsi="Calibri" w:cs="Calibri"/>
          <w:color w:val="000000"/>
        </w:rPr>
        <w:t xml:space="preserve">in randomized and </w:t>
      </w:r>
      <w:r w:rsidR="000C4C20">
        <w:rPr>
          <w:rFonts w:ascii="Calibri" w:hAnsi="Calibri" w:cs="Calibri"/>
          <w:color w:val="000000"/>
        </w:rPr>
        <w:t xml:space="preserve">non-randomized </w:t>
      </w:r>
      <w:r w:rsidRPr="004F3225">
        <w:rPr>
          <w:rFonts w:ascii="Calibri" w:hAnsi="Calibri" w:cs="Calibri"/>
          <w:color w:val="000000"/>
        </w:rPr>
        <w:t xml:space="preserve">control trials but </w:t>
      </w:r>
      <w:r>
        <w:rPr>
          <w:rFonts w:ascii="Calibri" w:hAnsi="Calibri" w:cs="Calibri"/>
          <w:color w:val="000000"/>
        </w:rPr>
        <w:t>only</w:t>
      </w:r>
      <w:r w:rsidRPr="004F3225">
        <w:rPr>
          <w:rFonts w:ascii="Calibri" w:hAnsi="Calibri" w:cs="Calibri"/>
          <w:color w:val="000000"/>
        </w:rPr>
        <w:t xml:space="preserve"> </w:t>
      </w:r>
      <w:r w:rsidR="00107A1F" w:rsidRPr="004F3225">
        <w:rPr>
          <w:rFonts w:ascii="Calibri" w:hAnsi="Calibri" w:cs="Calibri"/>
          <w:color w:val="000000"/>
        </w:rPr>
        <w:t>approximately 30</w:t>
      </w:r>
      <w:r w:rsidR="000C4C20">
        <w:rPr>
          <w:rFonts w:ascii="Calibri" w:hAnsi="Calibri" w:cs="Calibri"/>
          <w:color w:val="000000"/>
        </w:rPr>
        <w:t>-35</w:t>
      </w:r>
      <w:r w:rsidR="00107A1F" w:rsidRPr="004F3225">
        <w:rPr>
          <w:rFonts w:ascii="Calibri" w:hAnsi="Calibri" w:cs="Calibri"/>
          <w:color w:val="000000"/>
        </w:rPr>
        <w:t xml:space="preserve">% effectiveness </w:t>
      </w:r>
      <w:r w:rsidR="00107A1F">
        <w:rPr>
          <w:rFonts w:ascii="Calibri" w:hAnsi="Calibri" w:cs="Calibri"/>
          <w:color w:val="000000"/>
        </w:rPr>
        <w:t xml:space="preserve">for </w:t>
      </w:r>
      <w:r w:rsidR="002C750C">
        <w:rPr>
          <w:rFonts w:ascii="Calibri" w:hAnsi="Calibri" w:cs="Calibri"/>
          <w:color w:val="000000"/>
        </w:rPr>
        <w:t>SU/</w:t>
      </w:r>
      <w:r w:rsidR="00107A1F">
        <w:rPr>
          <w:rFonts w:ascii="Calibri" w:hAnsi="Calibri" w:cs="Calibri"/>
          <w:color w:val="000000"/>
        </w:rPr>
        <w:t xml:space="preserve">remission in </w:t>
      </w:r>
      <w:r w:rsidR="002A5153">
        <w:rPr>
          <w:rFonts w:ascii="Calibri" w:hAnsi="Calibri" w:cs="Calibri"/>
          <w:color w:val="000000"/>
        </w:rPr>
        <w:t xml:space="preserve">the </w:t>
      </w:r>
      <w:r w:rsidRPr="004F3225">
        <w:rPr>
          <w:rFonts w:ascii="Calibri" w:hAnsi="Calibri" w:cs="Calibri"/>
          <w:color w:val="000000"/>
        </w:rPr>
        <w:t>few studies</w:t>
      </w:r>
      <w:r w:rsidR="002A5153">
        <w:rPr>
          <w:rFonts w:ascii="Calibri" w:hAnsi="Calibri" w:cs="Calibri"/>
          <w:color w:val="000000"/>
        </w:rPr>
        <w:t xml:space="preserve"> that have examined this outcome</w:t>
      </w:r>
      <w:r w:rsidRPr="004F3225">
        <w:rPr>
          <w:rFonts w:ascii="Calibri" w:hAnsi="Calibri" w:cs="Calibri"/>
          <w:color w:val="000000"/>
        </w:rPr>
        <w:t xml:space="preserve"> </w:t>
      </w:r>
      <w:r w:rsidR="00661B10" w:rsidRPr="00661B10">
        <w:rPr>
          <w:rFonts w:ascii="Calibri" w:hAnsi="Calibri" w:cs="Calibri"/>
          <w:noProof/>
          <w:color w:val="000000"/>
          <w:vertAlign w:val="superscript"/>
        </w:rPr>
        <w:t>4, 9</w:t>
      </w:r>
      <w:r w:rsidRPr="004F3225">
        <w:rPr>
          <w:rFonts w:ascii="Calibri" w:hAnsi="Calibri" w:cs="Calibri"/>
          <w:color w:val="000000"/>
        </w:rPr>
        <w:t>. A systematic review and meta-analysis of peanut OIT studies showed that the median age across trials was 8.7 years (QR 5.9-11.2)</w:t>
      </w:r>
      <w:r w:rsidR="00973667">
        <w:rPr>
          <w:rFonts w:ascii="Calibri" w:hAnsi="Calibri" w:cs="Calibri"/>
          <w:color w:val="000000"/>
        </w:rPr>
        <w:t>.</w:t>
      </w:r>
      <w:r w:rsidRPr="004F3225">
        <w:rPr>
          <w:rFonts w:ascii="Calibri" w:hAnsi="Calibri" w:cs="Calibri"/>
          <w:color w:val="000000"/>
        </w:rPr>
        <w:t xml:space="preserve"> </w:t>
      </w:r>
      <w:r w:rsidR="00E45353" w:rsidRPr="00E45353">
        <w:rPr>
          <w:rFonts w:ascii="Calibri" w:hAnsi="Calibri" w:cs="Calibri"/>
          <w:noProof/>
          <w:color w:val="000000"/>
          <w:vertAlign w:val="superscript"/>
        </w:rPr>
        <w:t>37</w:t>
      </w:r>
      <w:r w:rsidR="00A86F9E">
        <w:rPr>
          <w:rFonts w:ascii="Calibri" w:hAnsi="Calibri" w:cs="Calibri"/>
          <w:color w:val="000000"/>
        </w:rPr>
        <w:t xml:space="preserve"> </w:t>
      </w:r>
      <w:r>
        <w:rPr>
          <w:rFonts w:ascii="Calibri" w:hAnsi="Calibri" w:cs="Calibri"/>
          <w:color w:val="000000"/>
        </w:rPr>
        <w:t>Previous cow’s milk</w:t>
      </w:r>
      <w:r w:rsidR="002C42B7">
        <w:rPr>
          <w:rFonts w:ascii="Calibri" w:hAnsi="Calibri" w:cs="Calibri"/>
          <w:color w:val="000000"/>
        </w:rPr>
        <w:t xml:space="preserve"> and </w:t>
      </w:r>
      <w:r>
        <w:rPr>
          <w:rFonts w:ascii="Calibri" w:hAnsi="Calibri" w:cs="Calibri"/>
          <w:color w:val="000000"/>
        </w:rPr>
        <w:t xml:space="preserve">egg OIT studies have included </w:t>
      </w:r>
      <w:r w:rsidR="00870980">
        <w:rPr>
          <w:rFonts w:ascii="Calibri" w:hAnsi="Calibri" w:cs="Calibri"/>
          <w:color w:val="000000"/>
        </w:rPr>
        <w:t xml:space="preserve">young </w:t>
      </w:r>
      <w:r>
        <w:rPr>
          <w:rFonts w:ascii="Calibri" w:hAnsi="Calibri" w:cs="Calibri"/>
          <w:color w:val="000000"/>
        </w:rPr>
        <w:t xml:space="preserve">children from 1 year of age but </w:t>
      </w:r>
      <w:r w:rsidR="003A4375">
        <w:rPr>
          <w:rFonts w:ascii="Calibri" w:hAnsi="Calibri" w:cs="Calibri"/>
          <w:color w:val="000000"/>
        </w:rPr>
        <w:t>as</w:t>
      </w:r>
      <w:r>
        <w:rPr>
          <w:rFonts w:ascii="Calibri" w:hAnsi="Calibri" w:cs="Calibri"/>
          <w:color w:val="000000"/>
        </w:rPr>
        <w:t xml:space="preserve"> part of larger </w:t>
      </w:r>
      <w:r w:rsidR="00C82E80">
        <w:rPr>
          <w:rFonts w:ascii="Calibri" w:hAnsi="Calibri" w:cs="Calibri"/>
          <w:color w:val="000000"/>
        </w:rPr>
        <w:t xml:space="preserve">broad age </w:t>
      </w:r>
      <w:r w:rsidR="0011064C">
        <w:rPr>
          <w:rFonts w:ascii="Calibri" w:hAnsi="Calibri" w:cs="Calibri"/>
          <w:color w:val="000000"/>
        </w:rPr>
        <w:t xml:space="preserve">mixed </w:t>
      </w:r>
      <w:r w:rsidR="00C82E80">
        <w:rPr>
          <w:rFonts w:ascii="Calibri" w:hAnsi="Calibri" w:cs="Calibri"/>
          <w:color w:val="000000"/>
        </w:rPr>
        <w:t xml:space="preserve">range </w:t>
      </w:r>
      <w:r>
        <w:rPr>
          <w:rFonts w:ascii="Calibri" w:hAnsi="Calibri" w:cs="Calibri"/>
          <w:color w:val="000000"/>
        </w:rPr>
        <w:t>studies</w:t>
      </w:r>
      <w:r w:rsidR="00870980">
        <w:rPr>
          <w:rFonts w:ascii="Calibri" w:hAnsi="Calibri" w:cs="Calibri"/>
          <w:color w:val="000000"/>
        </w:rPr>
        <w:t xml:space="preserve"> </w:t>
      </w:r>
      <w:r w:rsidR="0011064C">
        <w:rPr>
          <w:rFonts w:ascii="Calibri" w:hAnsi="Calibri" w:cs="Calibri"/>
          <w:color w:val="000000"/>
        </w:rPr>
        <w:t xml:space="preserve">(up to school-age children) </w:t>
      </w:r>
      <w:r w:rsidR="00870980">
        <w:rPr>
          <w:rFonts w:ascii="Calibri" w:hAnsi="Calibri" w:cs="Calibri"/>
          <w:color w:val="000000"/>
        </w:rPr>
        <w:t xml:space="preserve">rather than </w:t>
      </w:r>
      <w:r w:rsidR="0057701B">
        <w:rPr>
          <w:rFonts w:ascii="Calibri" w:hAnsi="Calibri" w:cs="Calibri"/>
          <w:color w:val="000000"/>
        </w:rPr>
        <w:t xml:space="preserve">exclusively in </w:t>
      </w:r>
      <w:r w:rsidR="00973667">
        <w:rPr>
          <w:rFonts w:ascii="Calibri" w:hAnsi="Calibri" w:cs="Calibri"/>
          <w:color w:val="000000"/>
        </w:rPr>
        <w:t>preschoolers.</w:t>
      </w:r>
      <w:r w:rsidR="0057701B">
        <w:rPr>
          <w:rFonts w:ascii="Calibri" w:hAnsi="Calibri" w:cs="Calibri"/>
          <w:color w:val="000000"/>
        </w:rPr>
        <w:t xml:space="preserve"> </w:t>
      </w:r>
      <w:r w:rsidR="00E45353" w:rsidRPr="00E45353">
        <w:rPr>
          <w:rFonts w:ascii="Calibri" w:hAnsi="Calibri" w:cs="Calibri"/>
          <w:noProof/>
          <w:color w:val="000000"/>
          <w:vertAlign w:val="superscript"/>
        </w:rPr>
        <w:t>4, 9</w:t>
      </w:r>
      <w:r w:rsidR="0007645E">
        <w:rPr>
          <w:rFonts w:ascii="Calibri" w:hAnsi="Calibri" w:cs="Calibri"/>
          <w:color w:val="000000"/>
        </w:rPr>
        <w:t xml:space="preserve"> An exception </w:t>
      </w:r>
      <w:r w:rsidR="0017080A">
        <w:rPr>
          <w:rFonts w:ascii="Calibri" w:hAnsi="Calibri" w:cs="Calibri"/>
          <w:color w:val="000000"/>
        </w:rPr>
        <w:t xml:space="preserve">is </w:t>
      </w:r>
      <w:r>
        <w:rPr>
          <w:rFonts w:ascii="Calibri" w:hAnsi="Calibri" w:cs="Calibri"/>
          <w:color w:val="000000"/>
        </w:rPr>
        <w:t xml:space="preserve">one cow’s milk </w:t>
      </w:r>
      <w:r w:rsidRPr="00842022">
        <w:rPr>
          <w:rFonts w:ascii="Calibri" w:hAnsi="Calibri" w:cs="Calibri"/>
          <w:color w:val="000000"/>
        </w:rPr>
        <w:t xml:space="preserve">OIT </w:t>
      </w:r>
      <w:r>
        <w:rPr>
          <w:rFonts w:ascii="Calibri" w:hAnsi="Calibri" w:cs="Calibri"/>
          <w:color w:val="000000"/>
        </w:rPr>
        <w:t xml:space="preserve">study which enrolled children </w:t>
      </w:r>
      <w:r w:rsidRPr="00842022">
        <w:rPr>
          <w:rFonts w:ascii="Calibri" w:hAnsi="Calibri" w:cs="Calibri"/>
          <w:color w:val="000000"/>
        </w:rPr>
        <w:t xml:space="preserve">age </w:t>
      </w:r>
      <w:r>
        <w:rPr>
          <w:rFonts w:ascii="Calibri" w:hAnsi="Calibri" w:cs="Calibri"/>
          <w:color w:val="000000"/>
        </w:rPr>
        <w:t xml:space="preserve">24-36 months which demonstrated a </w:t>
      </w:r>
      <w:r w:rsidRPr="00842022">
        <w:rPr>
          <w:rFonts w:ascii="Calibri" w:hAnsi="Calibri" w:cs="Calibri"/>
          <w:color w:val="000000"/>
        </w:rPr>
        <w:t xml:space="preserve">90% </w:t>
      </w:r>
      <w:r w:rsidR="0084626A">
        <w:rPr>
          <w:rFonts w:ascii="Calibri" w:hAnsi="Calibri" w:cs="Calibri"/>
          <w:color w:val="000000"/>
        </w:rPr>
        <w:t>desensitization</w:t>
      </w:r>
      <w:r>
        <w:rPr>
          <w:rFonts w:ascii="Calibri" w:hAnsi="Calibri" w:cs="Calibri"/>
          <w:color w:val="000000"/>
        </w:rPr>
        <w:t xml:space="preserve"> rate </w:t>
      </w:r>
      <w:r w:rsidRPr="00842022">
        <w:rPr>
          <w:rFonts w:ascii="Calibri" w:hAnsi="Calibri" w:cs="Calibri"/>
          <w:color w:val="000000"/>
        </w:rPr>
        <w:t>after 1 year</w:t>
      </w:r>
      <w:r w:rsidR="0017080A">
        <w:rPr>
          <w:rFonts w:ascii="Calibri" w:hAnsi="Calibri" w:cs="Calibri"/>
          <w:color w:val="000000"/>
        </w:rPr>
        <w:t xml:space="preserve"> compared to 23% in the control group</w:t>
      </w:r>
      <w:r w:rsidR="0057701B">
        <w:rPr>
          <w:rFonts w:ascii="Calibri" w:hAnsi="Calibri" w:cs="Calibri"/>
          <w:color w:val="000000"/>
        </w:rPr>
        <w:t>.</w:t>
      </w:r>
      <w:r w:rsidR="00E45353" w:rsidRPr="00E45353">
        <w:rPr>
          <w:rFonts w:ascii="Calibri" w:hAnsi="Calibri" w:cs="Calibri"/>
          <w:noProof/>
          <w:color w:val="000000"/>
          <w:vertAlign w:val="superscript"/>
        </w:rPr>
        <w:t>38</w:t>
      </w:r>
      <w:r w:rsidR="00AD2704">
        <w:rPr>
          <w:rFonts w:ascii="Calibri" w:hAnsi="Calibri" w:cs="Calibri"/>
          <w:color w:val="000000"/>
        </w:rPr>
        <w:t xml:space="preserve"> </w:t>
      </w:r>
      <w:r w:rsidR="00A95F5F">
        <w:rPr>
          <w:rFonts w:ascii="Calibri" w:hAnsi="Calibri" w:cs="Calibri"/>
          <w:color w:val="000000"/>
        </w:rPr>
        <w:t xml:space="preserve">Combining </w:t>
      </w:r>
      <w:r w:rsidR="00C319F9">
        <w:rPr>
          <w:rFonts w:ascii="Calibri" w:hAnsi="Calibri" w:cs="Calibri"/>
          <w:color w:val="000000"/>
        </w:rPr>
        <w:t>s</w:t>
      </w:r>
      <w:r w:rsidR="00040A6F">
        <w:rPr>
          <w:rFonts w:ascii="Calibri" w:hAnsi="Calibri" w:cs="Calibri"/>
          <w:color w:val="000000"/>
        </w:rPr>
        <w:t xml:space="preserve">tudies </w:t>
      </w:r>
      <w:r w:rsidR="00A95F5F">
        <w:rPr>
          <w:rFonts w:ascii="Calibri" w:hAnsi="Calibri" w:cs="Calibri"/>
          <w:color w:val="000000"/>
        </w:rPr>
        <w:t xml:space="preserve">involving </w:t>
      </w:r>
      <w:r w:rsidR="00040A6F">
        <w:rPr>
          <w:rFonts w:ascii="Calibri" w:hAnsi="Calibri" w:cs="Calibri"/>
          <w:color w:val="000000"/>
        </w:rPr>
        <w:t xml:space="preserve">older children for </w:t>
      </w:r>
      <w:r w:rsidR="00BD412F">
        <w:rPr>
          <w:rFonts w:ascii="Calibri" w:hAnsi="Calibri" w:cs="Calibri"/>
          <w:color w:val="000000"/>
        </w:rPr>
        <w:t xml:space="preserve">cow’s </w:t>
      </w:r>
      <w:r w:rsidR="00040A6F">
        <w:rPr>
          <w:rFonts w:ascii="Calibri" w:hAnsi="Calibri" w:cs="Calibri"/>
          <w:color w:val="000000"/>
        </w:rPr>
        <w:t>milk OIT</w:t>
      </w:r>
      <w:r w:rsidR="00BD412F">
        <w:rPr>
          <w:rFonts w:ascii="Calibri" w:hAnsi="Calibri" w:cs="Calibri"/>
          <w:color w:val="000000"/>
        </w:rPr>
        <w:t xml:space="preserve"> showed </w:t>
      </w:r>
      <w:r w:rsidR="00040A6F">
        <w:rPr>
          <w:rFonts w:ascii="Calibri" w:hAnsi="Calibri" w:cs="Calibri"/>
          <w:color w:val="000000"/>
        </w:rPr>
        <w:t xml:space="preserve">desensitization rates of </w:t>
      </w:r>
      <w:r w:rsidR="00C319F9">
        <w:rPr>
          <w:rFonts w:ascii="Calibri" w:hAnsi="Calibri" w:cs="Calibri"/>
          <w:color w:val="000000"/>
        </w:rPr>
        <w:t xml:space="preserve">68% </w:t>
      </w:r>
      <w:r w:rsidR="00A21127">
        <w:rPr>
          <w:rFonts w:ascii="Calibri" w:hAnsi="Calibri" w:cs="Calibri"/>
          <w:color w:val="000000"/>
        </w:rPr>
        <w:t>in active</w:t>
      </w:r>
      <w:r w:rsidR="00A95F5F">
        <w:rPr>
          <w:rFonts w:ascii="Calibri" w:hAnsi="Calibri" w:cs="Calibri"/>
          <w:color w:val="000000"/>
        </w:rPr>
        <w:t xml:space="preserve">ly-treated </w:t>
      </w:r>
      <w:r w:rsidR="00A21127">
        <w:rPr>
          <w:rFonts w:ascii="Calibri" w:hAnsi="Calibri" w:cs="Calibri"/>
          <w:color w:val="000000"/>
        </w:rPr>
        <w:t xml:space="preserve">vs 15% </w:t>
      </w:r>
      <w:r w:rsidR="00A95F5F">
        <w:rPr>
          <w:rFonts w:ascii="Calibri" w:hAnsi="Calibri" w:cs="Calibri"/>
          <w:color w:val="000000"/>
        </w:rPr>
        <w:t xml:space="preserve">in control groups </w:t>
      </w:r>
      <w:r w:rsidR="00BD412F">
        <w:rPr>
          <w:rFonts w:ascii="Calibri" w:hAnsi="Calibri" w:cs="Calibri"/>
          <w:color w:val="000000"/>
        </w:rPr>
        <w:t>respectively</w:t>
      </w:r>
      <w:r w:rsidR="00A95F5F">
        <w:rPr>
          <w:rFonts w:ascii="Calibri" w:hAnsi="Calibri" w:cs="Calibri"/>
          <w:color w:val="000000"/>
        </w:rPr>
        <w:t xml:space="preserve">. </w:t>
      </w:r>
      <w:r w:rsidR="00003A00" w:rsidRPr="00003A00">
        <w:rPr>
          <w:rFonts w:ascii="Calibri" w:hAnsi="Calibri" w:cs="Calibri"/>
          <w:noProof/>
          <w:color w:val="000000"/>
          <w:vertAlign w:val="superscript"/>
        </w:rPr>
        <w:t>4</w:t>
      </w:r>
      <w:r w:rsidR="00003A00">
        <w:rPr>
          <w:rFonts w:ascii="Calibri" w:hAnsi="Calibri" w:cs="Calibri"/>
          <w:color w:val="000000"/>
        </w:rPr>
        <w:t xml:space="preserve"> </w:t>
      </w:r>
      <w:r w:rsidR="00A95F5F">
        <w:rPr>
          <w:rFonts w:ascii="Calibri" w:hAnsi="Calibri" w:cs="Calibri"/>
          <w:color w:val="000000"/>
        </w:rPr>
        <w:t>Overall data in preschoolers are limited.</w:t>
      </w:r>
    </w:p>
    <w:p w14:paraId="30172355" w14:textId="6295AF9C" w:rsidR="00352220" w:rsidRDefault="00352220" w:rsidP="00195D52">
      <w:pPr>
        <w:spacing w:line="480" w:lineRule="auto"/>
        <w:jc w:val="both"/>
        <w:rPr>
          <w:rFonts w:ascii="Calibri" w:hAnsi="Calibri" w:cs="Calibri"/>
          <w:color w:val="000000"/>
        </w:rPr>
      </w:pPr>
    </w:p>
    <w:p w14:paraId="6D86228E" w14:textId="4DEDD187" w:rsidR="00BE08D5" w:rsidRDefault="004178F2" w:rsidP="00195D52">
      <w:pPr>
        <w:spacing w:line="480" w:lineRule="auto"/>
        <w:jc w:val="both"/>
        <w:rPr>
          <w:rFonts w:ascii="Calibri" w:hAnsi="Calibri" w:cs="Calibri"/>
          <w:color w:val="000000"/>
        </w:rPr>
      </w:pPr>
      <w:r>
        <w:rPr>
          <w:rFonts w:ascii="Calibri" w:hAnsi="Calibri" w:cs="Calibri"/>
          <w:color w:val="000000"/>
        </w:rPr>
        <w:t xml:space="preserve">Evidence is currently </w:t>
      </w:r>
      <w:r w:rsidRPr="00EA330D">
        <w:rPr>
          <w:rFonts w:ascii="Calibri" w:hAnsi="Calibri" w:cs="Calibri"/>
          <w:color w:val="000000"/>
        </w:rPr>
        <w:t xml:space="preserve">emerging from </w:t>
      </w:r>
      <w:r w:rsidR="00920979">
        <w:rPr>
          <w:rFonts w:ascii="Calibri" w:hAnsi="Calibri" w:cs="Calibri"/>
          <w:color w:val="000000"/>
        </w:rPr>
        <w:t xml:space="preserve">3 </w:t>
      </w:r>
      <w:r w:rsidRPr="00EA330D">
        <w:rPr>
          <w:rFonts w:ascii="Calibri" w:hAnsi="Calibri" w:cs="Calibri"/>
          <w:color w:val="000000"/>
        </w:rPr>
        <w:t xml:space="preserve">recent </w:t>
      </w:r>
      <w:r>
        <w:rPr>
          <w:rFonts w:ascii="Calibri" w:hAnsi="Calibri" w:cs="Calibri"/>
          <w:color w:val="000000"/>
        </w:rPr>
        <w:t xml:space="preserve">randomized control trials </w:t>
      </w:r>
      <w:r w:rsidR="006A20BF">
        <w:rPr>
          <w:rFonts w:ascii="Calibri" w:hAnsi="Calibri" w:cs="Calibri"/>
          <w:color w:val="000000"/>
        </w:rPr>
        <w:t xml:space="preserve">(RCT) </w:t>
      </w:r>
      <w:r w:rsidRPr="00EA330D">
        <w:rPr>
          <w:rFonts w:ascii="Calibri" w:hAnsi="Calibri" w:cs="Calibri"/>
          <w:color w:val="000000"/>
        </w:rPr>
        <w:t xml:space="preserve">that early intervention with peanut </w:t>
      </w:r>
      <w:r>
        <w:rPr>
          <w:rFonts w:ascii="Calibri" w:hAnsi="Calibri" w:cs="Calibri"/>
          <w:color w:val="000000"/>
        </w:rPr>
        <w:t xml:space="preserve">OIT </w:t>
      </w:r>
      <w:r w:rsidRPr="00EA330D">
        <w:rPr>
          <w:rFonts w:ascii="Calibri" w:hAnsi="Calibri" w:cs="Calibri"/>
          <w:color w:val="000000"/>
        </w:rPr>
        <w:t>in children 1-5 years of age may increase the likelihood of achieving remission</w:t>
      </w:r>
      <w:r>
        <w:rPr>
          <w:rFonts w:ascii="Calibri" w:hAnsi="Calibri" w:cs="Calibri"/>
          <w:color w:val="000000"/>
        </w:rPr>
        <w:t xml:space="preserve">. </w:t>
      </w:r>
      <w:r w:rsidR="004E79BA" w:rsidRPr="00274703">
        <w:rPr>
          <w:rFonts w:ascii="Calibri" w:hAnsi="Calibri" w:cs="Calibri"/>
          <w:color w:val="000000"/>
        </w:rPr>
        <w:t xml:space="preserve">The first randomized trial </w:t>
      </w:r>
      <w:r w:rsidR="00250F27">
        <w:rPr>
          <w:rFonts w:ascii="Calibri" w:hAnsi="Calibri" w:cs="Calibri"/>
          <w:color w:val="000000"/>
        </w:rPr>
        <w:t xml:space="preserve">(DEVIL) </w:t>
      </w:r>
      <w:r w:rsidR="004E79BA" w:rsidRPr="00274703">
        <w:rPr>
          <w:rFonts w:ascii="Calibri" w:hAnsi="Calibri" w:cs="Calibri"/>
          <w:color w:val="000000"/>
        </w:rPr>
        <w:t xml:space="preserve">to investigate efficacy and safety of </w:t>
      </w:r>
      <w:r w:rsidR="00B96E9D">
        <w:rPr>
          <w:rFonts w:ascii="Calibri" w:hAnsi="Calibri" w:cs="Calibri"/>
          <w:color w:val="000000"/>
        </w:rPr>
        <w:t xml:space="preserve">peanut </w:t>
      </w:r>
      <w:r w:rsidR="004E79BA" w:rsidRPr="00274703">
        <w:rPr>
          <w:rFonts w:ascii="Calibri" w:hAnsi="Calibri" w:cs="Calibri"/>
          <w:color w:val="000000"/>
        </w:rPr>
        <w:t>OIT in preschool children</w:t>
      </w:r>
      <w:r w:rsidR="00B76358">
        <w:rPr>
          <w:rFonts w:ascii="Calibri" w:hAnsi="Calibri" w:cs="Calibri"/>
          <w:color w:val="000000"/>
        </w:rPr>
        <w:t xml:space="preserve"> </w:t>
      </w:r>
      <w:r w:rsidR="004E79BA" w:rsidRPr="00274703">
        <w:rPr>
          <w:rFonts w:ascii="Calibri" w:hAnsi="Calibri" w:cs="Calibri"/>
          <w:color w:val="000000"/>
        </w:rPr>
        <w:t>enroll</w:t>
      </w:r>
      <w:r w:rsidR="0058694F">
        <w:rPr>
          <w:rFonts w:ascii="Calibri" w:hAnsi="Calibri" w:cs="Calibri"/>
          <w:color w:val="000000"/>
        </w:rPr>
        <w:t>ed</w:t>
      </w:r>
      <w:r w:rsidR="004E79BA" w:rsidRPr="00274703">
        <w:rPr>
          <w:rFonts w:ascii="Calibri" w:hAnsi="Calibri" w:cs="Calibri"/>
          <w:color w:val="000000"/>
        </w:rPr>
        <w:t xml:space="preserve"> 40 children, ages 9-36 months, and </w:t>
      </w:r>
      <w:r w:rsidR="00BC69E5">
        <w:rPr>
          <w:rFonts w:ascii="Calibri" w:hAnsi="Calibri" w:cs="Calibri"/>
          <w:color w:val="000000"/>
        </w:rPr>
        <w:t>randomized</w:t>
      </w:r>
      <w:r w:rsidR="00BC69E5" w:rsidRPr="00274703">
        <w:rPr>
          <w:rFonts w:ascii="Calibri" w:hAnsi="Calibri" w:cs="Calibri"/>
          <w:color w:val="000000"/>
        </w:rPr>
        <w:t xml:space="preserve"> </w:t>
      </w:r>
      <w:r w:rsidR="004E79BA" w:rsidRPr="00274703">
        <w:rPr>
          <w:rFonts w:ascii="Calibri" w:hAnsi="Calibri" w:cs="Calibri"/>
          <w:color w:val="000000"/>
        </w:rPr>
        <w:t xml:space="preserve">to low (300 mg) </w:t>
      </w:r>
      <w:r w:rsidR="00BC69E5">
        <w:rPr>
          <w:rFonts w:ascii="Calibri" w:hAnsi="Calibri" w:cs="Calibri"/>
          <w:color w:val="000000"/>
        </w:rPr>
        <w:t>or</w:t>
      </w:r>
      <w:r w:rsidR="00BC69E5" w:rsidRPr="00274703">
        <w:rPr>
          <w:rFonts w:ascii="Calibri" w:hAnsi="Calibri" w:cs="Calibri"/>
          <w:color w:val="000000"/>
        </w:rPr>
        <w:t xml:space="preserve"> </w:t>
      </w:r>
      <w:r w:rsidR="004E79BA" w:rsidRPr="00274703">
        <w:rPr>
          <w:rFonts w:ascii="Calibri" w:hAnsi="Calibri" w:cs="Calibri"/>
          <w:color w:val="000000"/>
        </w:rPr>
        <w:t>high (3000 mg) dose of peanut protein for daily maintenance</w:t>
      </w:r>
      <w:r w:rsidR="006979EF">
        <w:rPr>
          <w:rFonts w:ascii="Calibri" w:hAnsi="Calibri" w:cs="Calibri"/>
          <w:color w:val="000000"/>
        </w:rPr>
        <w:t>.</w:t>
      </w:r>
      <w:r w:rsidR="00605FFB">
        <w:rPr>
          <w:rFonts w:ascii="Calibri" w:hAnsi="Calibri" w:cs="Calibri"/>
          <w:color w:val="000000"/>
        </w:rPr>
        <w:t xml:space="preserve"> </w:t>
      </w:r>
      <w:r w:rsidR="00661B10" w:rsidRPr="00661B10">
        <w:rPr>
          <w:rFonts w:ascii="Calibri" w:hAnsi="Calibri" w:cs="Calibri"/>
          <w:noProof/>
          <w:color w:val="000000"/>
          <w:vertAlign w:val="superscript"/>
        </w:rPr>
        <w:t>17</w:t>
      </w:r>
      <w:r w:rsidR="009043B0">
        <w:rPr>
          <w:rFonts w:ascii="Calibri" w:hAnsi="Calibri" w:cs="Calibri"/>
          <w:color w:val="000000"/>
        </w:rPr>
        <w:t xml:space="preserve"> </w:t>
      </w:r>
      <w:r w:rsidR="00CA700A">
        <w:rPr>
          <w:rFonts w:ascii="Calibri" w:hAnsi="Calibri" w:cs="Calibri"/>
          <w:color w:val="000000"/>
        </w:rPr>
        <w:t>Overall h</w:t>
      </w:r>
      <w:r w:rsidR="00CA700A" w:rsidRPr="00067F74">
        <w:rPr>
          <w:rFonts w:ascii="Calibri" w:hAnsi="Calibri" w:cs="Calibri"/>
          <w:color w:val="000000"/>
        </w:rPr>
        <w:t xml:space="preserve">igh rates </w:t>
      </w:r>
      <w:r w:rsidR="00CA700A">
        <w:rPr>
          <w:rFonts w:ascii="Calibri" w:hAnsi="Calibri" w:cs="Calibri"/>
          <w:color w:val="000000"/>
        </w:rPr>
        <w:t xml:space="preserve">of </w:t>
      </w:r>
      <w:r w:rsidR="00F157A9">
        <w:rPr>
          <w:rFonts w:ascii="Calibri" w:hAnsi="Calibri" w:cs="Calibri"/>
          <w:color w:val="000000"/>
        </w:rPr>
        <w:t>desensitization</w:t>
      </w:r>
      <w:r w:rsidR="00CA700A">
        <w:rPr>
          <w:rFonts w:ascii="Calibri" w:hAnsi="Calibri" w:cs="Calibri"/>
          <w:color w:val="000000"/>
        </w:rPr>
        <w:t xml:space="preserve"> </w:t>
      </w:r>
      <w:r w:rsidR="003149AF">
        <w:rPr>
          <w:rFonts w:ascii="Calibri" w:hAnsi="Calibri" w:cs="Calibri"/>
          <w:color w:val="000000"/>
        </w:rPr>
        <w:t xml:space="preserve">of </w:t>
      </w:r>
      <w:r w:rsidR="00CA700A">
        <w:rPr>
          <w:rFonts w:ascii="Calibri" w:hAnsi="Calibri" w:cs="Calibri"/>
          <w:color w:val="000000"/>
        </w:rPr>
        <w:t>81%</w:t>
      </w:r>
      <w:r w:rsidR="003149AF">
        <w:rPr>
          <w:rFonts w:ascii="Calibri" w:hAnsi="Calibri" w:cs="Calibri"/>
          <w:color w:val="000000"/>
        </w:rPr>
        <w:t xml:space="preserve"> </w:t>
      </w:r>
      <w:r w:rsidR="00B76358">
        <w:rPr>
          <w:rFonts w:ascii="Calibri" w:hAnsi="Calibri" w:cs="Calibri"/>
          <w:color w:val="000000"/>
        </w:rPr>
        <w:t xml:space="preserve">were shown </w:t>
      </w:r>
      <w:r w:rsidR="003149AF">
        <w:rPr>
          <w:rFonts w:ascii="Calibri" w:hAnsi="Calibri" w:cs="Calibri"/>
          <w:color w:val="000000"/>
        </w:rPr>
        <w:t xml:space="preserve">with </w:t>
      </w:r>
      <w:r w:rsidR="00CA700A">
        <w:rPr>
          <w:rFonts w:ascii="Calibri" w:hAnsi="Calibri" w:cs="Calibri"/>
          <w:color w:val="000000"/>
        </w:rPr>
        <w:t>no differences in the l</w:t>
      </w:r>
      <w:r w:rsidR="00CA700A" w:rsidRPr="00703CD5">
        <w:rPr>
          <w:rFonts w:ascii="Calibri" w:hAnsi="Calibri" w:cs="Calibri"/>
          <w:color w:val="000000"/>
        </w:rPr>
        <w:t xml:space="preserve">ow dose </w:t>
      </w:r>
      <w:r w:rsidR="00CA700A">
        <w:rPr>
          <w:rFonts w:ascii="Calibri" w:hAnsi="Calibri" w:cs="Calibri"/>
          <w:color w:val="000000"/>
        </w:rPr>
        <w:t>(</w:t>
      </w:r>
      <w:r w:rsidR="00CA700A" w:rsidRPr="00703CD5">
        <w:rPr>
          <w:rFonts w:ascii="Calibri" w:hAnsi="Calibri" w:cs="Calibri"/>
          <w:color w:val="000000"/>
        </w:rPr>
        <w:t>85%</w:t>
      </w:r>
      <w:r w:rsidR="003149AF">
        <w:rPr>
          <w:rFonts w:ascii="Calibri" w:hAnsi="Calibri" w:cs="Calibri"/>
          <w:color w:val="000000"/>
        </w:rPr>
        <w:t xml:space="preserve">) </w:t>
      </w:r>
      <w:r w:rsidR="00CA700A" w:rsidRPr="00703CD5">
        <w:rPr>
          <w:rFonts w:ascii="Calibri" w:hAnsi="Calibri" w:cs="Calibri"/>
          <w:color w:val="000000"/>
        </w:rPr>
        <w:t>v</w:t>
      </w:r>
      <w:r w:rsidR="00CA700A">
        <w:rPr>
          <w:rFonts w:ascii="Calibri" w:hAnsi="Calibri" w:cs="Calibri"/>
          <w:color w:val="000000"/>
        </w:rPr>
        <w:t>ersu</w:t>
      </w:r>
      <w:r w:rsidR="00CA700A" w:rsidRPr="00703CD5">
        <w:rPr>
          <w:rFonts w:ascii="Calibri" w:hAnsi="Calibri" w:cs="Calibri"/>
          <w:color w:val="000000"/>
        </w:rPr>
        <w:t xml:space="preserve">s high dose </w:t>
      </w:r>
      <w:r w:rsidR="00CA700A">
        <w:rPr>
          <w:rFonts w:ascii="Calibri" w:hAnsi="Calibri" w:cs="Calibri"/>
          <w:color w:val="000000"/>
        </w:rPr>
        <w:t>groups (</w:t>
      </w:r>
      <w:r w:rsidR="00CA700A" w:rsidRPr="00703CD5">
        <w:rPr>
          <w:rFonts w:ascii="Calibri" w:hAnsi="Calibri" w:cs="Calibri"/>
          <w:color w:val="000000"/>
        </w:rPr>
        <w:t>76%</w:t>
      </w:r>
      <w:r w:rsidR="003149AF">
        <w:rPr>
          <w:rFonts w:ascii="Calibri" w:hAnsi="Calibri" w:cs="Calibri"/>
          <w:color w:val="000000"/>
        </w:rPr>
        <w:t>)</w:t>
      </w:r>
      <w:r w:rsidR="006979EF">
        <w:rPr>
          <w:rFonts w:ascii="Calibri" w:hAnsi="Calibri" w:cs="Calibri"/>
          <w:color w:val="000000"/>
        </w:rPr>
        <w:t>.</w:t>
      </w:r>
      <w:r w:rsidR="00605FFB">
        <w:rPr>
          <w:rFonts w:ascii="Calibri" w:hAnsi="Calibri" w:cs="Calibri"/>
          <w:color w:val="000000"/>
        </w:rPr>
        <w:t xml:space="preserve"> </w:t>
      </w:r>
      <w:r w:rsidR="00661B10" w:rsidRPr="00661B10">
        <w:rPr>
          <w:rFonts w:ascii="Calibri" w:hAnsi="Calibri" w:cs="Calibri"/>
          <w:noProof/>
          <w:color w:val="000000"/>
          <w:vertAlign w:val="superscript"/>
        </w:rPr>
        <w:t>17</w:t>
      </w:r>
      <w:r w:rsidR="00CA700A">
        <w:rPr>
          <w:rFonts w:ascii="Calibri" w:hAnsi="Calibri" w:cs="Calibri"/>
          <w:color w:val="000000"/>
        </w:rPr>
        <w:t xml:space="preserve"> </w:t>
      </w:r>
      <w:r w:rsidR="00CE5F34">
        <w:rPr>
          <w:rFonts w:ascii="Calibri" w:hAnsi="Calibri" w:cs="Calibri"/>
          <w:color w:val="000000"/>
        </w:rPr>
        <w:t>A</w:t>
      </w:r>
      <w:r w:rsidR="00CA700A">
        <w:rPr>
          <w:rFonts w:ascii="Calibri" w:hAnsi="Calibri" w:cs="Calibri"/>
          <w:color w:val="000000"/>
        </w:rPr>
        <w:t xml:space="preserve"> 4-</w:t>
      </w:r>
      <w:r w:rsidR="00CA700A" w:rsidRPr="00703CD5">
        <w:rPr>
          <w:rFonts w:ascii="Calibri" w:hAnsi="Calibri" w:cs="Calibri"/>
          <w:color w:val="000000"/>
        </w:rPr>
        <w:t>w</w:t>
      </w:r>
      <w:r w:rsidR="00CA700A">
        <w:rPr>
          <w:rFonts w:ascii="Calibri" w:hAnsi="Calibri" w:cs="Calibri"/>
          <w:color w:val="000000"/>
        </w:rPr>
        <w:t>ee</w:t>
      </w:r>
      <w:r w:rsidR="00CA700A" w:rsidRPr="00703CD5">
        <w:rPr>
          <w:rFonts w:ascii="Calibri" w:hAnsi="Calibri" w:cs="Calibri"/>
          <w:color w:val="000000"/>
        </w:rPr>
        <w:t xml:space="preserve">k </w:t>
      </w:r>
      <w:r w:rsidR="003149AF">
        <w:rPr>
          <w:rFonts w:ascii="Calibri" w:hAnsi="Calibri" w:cs="Calibri"/>
          <w:color w:val="000000"/>
        </w:rPr>
        <w:t xml:space="preserve">remission </w:t>
      </w:r>
      <w:r w:rsidR="00CA700A">
        <w:rPr>
          <w:rFonts w:ascii="Calibri" w:hAnsi="Calibri" w:cs="Calibri"/>
          <w:color w:val="000000"/>
        </w:rPr>
        <w:t xml:space="preserve">rate of 78% </w:t>
      </w:r>
      <w:r w:rsidR="00CE5F34">
        <w:rPr>
          <w:rFonts w:ascii="Calibri" w:hAnsi="Calibri" w:cs="Calibri"/>
          <w:color w:val="000000"/>
        </w:rPr>
        <w:t xml:space="preserve">was demonstrated, </w:t>
      </w:r>
      <w:r w:rsidR="00CA700A">
        <w:rPr>
          <w:rFonts w:ascii="Calibri" w:hAnsi="Calibri" w:cs="Calibri"/>
          <w:color w:val="000000"/>
        </w:rPr>
        <w:t>with comparative results in the l</w:t>
      </w:r>
      <w:r w:rsidR="00CA700A" w:rsidRPr="00703CD5">
        <w:rPr>
          <w:rFonts w:ascii="Calibri" w:hAnsi="Calibri" w:cs="Calibri"/>
          <w:color w:val="000000"/>
        </w:rPr>
        <w:t xml:space="preserve">ow </w:t>
      </w:r>
      <w:r w:rsidR="00CA700A">
        <w:rPr>
          <w:rFonts w:ascii="Calibri" w:hAnsi="Calibri" w:cs="Calibri"/>
          <w:color w:val="000000"/>
        </w:rPr>
        <w:t>d</w:t>
      </w:r>
      <w:r w:rsidR="00CA700A" w:rsidRPr="00703CD5">
        <w:rPr>
          <w:rFonts w:ascii="Calibri" w:hAnsi="Calibri" w:cs="Calibri"/>
          <w:color w:val="000000"/>
        </w:rPr>
        <w:t xml:space="preserve">ose </w:t>
      </w:r>
      <w:r w:rsidR="00CA700A">
        <w:rPr>
          <w:rFonts w:ascii="Calibri" w:hAnsi="Calibri" w:cs="Calibri"/>
          <w:color w:val="000000"/>
        </w:rPr>
        <w:t>(</w:t>
      </w:r>
      <w:r w:rsidR="00CA700A" w:rsidRPr="00703CD5">
        <w:rPr>
          <w:rFonts w:ascii="Calibri" w:hAnsi="Calibri" w:cs="Calibri"/>
          <w:color w:val="000000"/>
        </w:rPr>
        <w:t>85%</w:t>
      </w:r>
      <w:r w:rsidR="003149AF">
        <w:rPr>
          <w:rFonts w:ascii="Calibri" w:hAnsi="Calibri" w:cs="Calibri"/>
          <w:color w:val="000000"/>
        </w:rPr>
        <w:t xml:space="preserve">) </w:t>
      </w:r>
      <w:r w:rsidR="00CA700A" w:rsidRPr="00703CD5">
        <w:rPr>
          <w:rFonts w:ascii="Calibri" w:hAnsi="Calibri" w:cs="Calibri"/>
          <w:color w:val="000000"/>
        </w:rPr>
        <w:t>v</w:t>
      </w:r>
      <w:r w:rsidR="00CA700A">
        <w:rPr>
          <w:rFonts w:ascii="Calibri" w:hAnsi="Calibri" w:cs="Calibri"/>
          <w:color w:val="000000"/>
        </w:rPr>
        <w:t>ersu</w:t>
      </w:r>
      <w:r w:rsidR="00CA700A" w:rsidRPr="00703CD5">
        <w:rPr>
          <w:rFonts w:ascii="Calibri" w:hAnsi="Calibri" w:cs="Calibri"/>
          <w:color w:val="000000"/>
        </w:rPr>
        <w:t xml:space="preserve">s </w:t>
      </w:r>
      <w:r w:rsidR="00CA700A">
        <w:rPr>
          <w:rFonts w:ascii="Calibri" w:hAnsi="Calibri" w:cs="Calibri"/>
          <w:color w:val="000000"/>
        </w:rPr>
        <w:t>h</w:t>
      </w:r>
      <w:r w:rsidR="00CA700A" w:rsidRPr="00703CD5">
        <w:rPr>
          <w:rFonts w:ascii="Calibri" w:hAnsi="Calibri" w:cs="Calibri"/>
          <w:color w:val="000000"/>
        </w:rPr>
        <w:t>igh</w:t>
      </w:r>
      <w:r w:rsidR="00CA700A">
        <w:rPr>
          <w:rFonts w:ascii="Calibri" w:hAnsi="Calibri" w:cs="Calibri"/>
          <w:color w:val="000000"/>
        </w:rPr>
        <w:t xml:space="preserve"> dose (71%</w:t>
      </w:r>
      <w:r w:rsidR="003149AF">
        <w:rPr>
          <w:rFonts w:ascii="Calibri" w:hAnsi="Calibri" w:cs="Calibri"/>
          <w:color w:val="000000"/>
        </w:rPr>
        <w:t>) groups</w:t>
      </w:r>
      <w:r w:rsidR="006979EF">
        <w:rPr>
          <w:rFonts w:ascii="Calibri" w:hAnsi="Calibri" w:cs="Calibri"/>
          <w:color w:val="000000"/>
        </w:rPr>
        <w:t>.</w:t>
      </w:r>
      <w:r w:rsidR="00605FFB">
        <w:rPr>
          <w:rFonts w:ascii="Calibri" w:hAnsi="Calibri" w:cs="Calibri"/>
          <w:color w:val="000000"/>
        </w:rPr>
        <w:t xml:space="preserve"> </w:t>
      </w:r>
      <w:r w:rsidR="00661B10" w:rsidRPr="00661B10">
        <w:rPr>
          <w:rFonts w:ascii="Calibri" w:hAnsi="Calibri" w:cs="Calibri"/>
          <w:noProof/>
          <w:color w:val="000000"/>
          <w:vertAlign w:val="superscript"/>
        </w:rPr>
        <w:t>17</w:t>
      </w:r>
      <w:r w:rsidR="003149AF">
        <w:rPr>
          <w:rFonts w:ascii="Calibri" w:hAnsi="Calibri" w:cs="Calibri"/>
          <w:color w:val="000000"/>
        </w:rPr>
        <w:t xml:space="preserve"> </w:t>
      </w:r>
      <w:r w:rsidR="00B76358">
        <w:rPr>
          <w:rFonts w:ascii="Calibri" w:hAnsi="Calibri" w:cs="Calibri"/>
          <w:color w:val="000000"/>
        </w:rPr>
        <w:t>A c</w:t>
      </w:r>
      <w:r w:rsidR="00BE08D5">
        <w:rPr>
          <w:rFonts w:ascii="Calibri" w:hAnsi="Calibri" w:cs="Calibri"/>
          <w:color w:val="000000"/>
        </w:rPr>
        <w:t xml:space="preserve">aveat to this </w:t>
      </w:r>
      <w:r w:rsidR="007B7EBE">
        <w:rPr>
          <w:rFonts w:ascii="Calibri" w:hAnsi="Calibri" w:cs="Calibri"/>
          <w:color w:val="000000"/>
        </w:rPr>
        <w:t xml:space="preserve">study </w:t>
      </w:r>
      <w:r w:rsidR="00BE08D5">
        <w:rPr>
          <w:rFonts w:ascii="Calibri" w:hAnsi="Calibri" w:cs="Calibri"/>
          <w:color w:val="000000"/>
        </w:rPr>
        <w:t xml:space="preserve">is that there is no placebo </w:t>
      </w:r>
      <w:r w:rsidR="00B76358">
        <w:rPr>
          <w:rFonts w:ascii="Calibri" w:hAnsi="Calibri" w:cs="Calibri"/>
          <w:color w:val="000000"/>
        </w:rPr>
        <w:t xml:space="preserve">control </w:t>
      </w:r>
      <w:r w:rsidR="00BE08D5">
        <w:rPr>
          <w:rFonts w:ascii="Calibri" w:hAnsi="Calibri" w:cs="Calibri"/>
          <w:color w:val="000000"/>
        </w:rPr>
        <w:t>group</w:t>
      </w:r>
      <w:r w:rsidR="00B76358">
        <w:rPr>
          <w:rFonts w:ascii="Calibri" w:hAnsi="Calibri" w:cs="Calibri"/>
          <w:color w:val="000000"/>
        </w:rPr>
        <w:t xml:space="preserve">. </w:t>
      </w:r>
    </w:p>
    <w:p w14:paraId="27EC2C3C" w14:textId="77777777" w:rsidR="00271EE4" w:rsidRDefault="00271EE4" w:rsidP="00195D52">
      <w:pPr>
        <w:pStyle w:val="ListParagraph"/>
        <w:spacing w:line="480" w:lineRule="auto"/>
        <w:ind w:left="0"/>
        <w:jc w:val="both"/>
        <w:rPr>
          <w:rFonts w:ascii="Calibri" w:hAnsi="Calibri" w:cs="Calibri"/>
          <w:color w:val="000000"/>
        </w:rPr>
      </w:pPr>
    </w:p>
    <w:p w14:paraId="7698FA22" w14:textId="0EB909F1" w:rsidR="00CB7C45" w:rsidRDefault="006A20BF" w:rsidP="00195D52">
      <w:pPr>
        <w:pStyle w:val="ListParagraph"/>
        <w:spacing w:line="480" w:lineRule="auto"/>
        <w:ind w:left="0"/>
        <w:jc w:val="both"/>
        <w:rPr>
          <w:rFonts w:ascii="Calibri" w:hAnsi="Calibri" w:cs="Calibri"/>
          <w:color w:val="000000"/>
        </w:rPr>
      </w:pPr>
      <w:r>
        <w:rPr>
          <w:rFonts w:ascii="Calibri" w:hAnsi="Calibri" w:cs="Calibri"/>
          <w:color w:val="000000"/>
        </w:rPr>
        <w:t>T</w:t>
      </w:r>
      <w:r w:rsidR="004178F2">
        <w:rPr>
          <w:rFonts w:ascii="Calibri" w:hAnsi="Calibri" w:cs="Calibri"/>
          <w:color w:val="000000"/>
        </w:rPr>
        <w:t xml:space="preserve">he PPOIT-003 study </w:t>
      </w:r>
      <w:r>
        <w:rPr>
          <w:rFonts w:ascii="Calibri" w:hAnsi="Calibri" w:cs="Calibri"/>
          <w:color w:val="000000"/>
        </w:rPr>
        <w:t xml:space="preserve">was a 3-arm RCT </w:t>
      </w:r>
      <w:r w:rsidR="004178F2">
        <w:rPr>
          <w:rFonts w:ascii="Calibri" w:hAnsi="Calibri" w:cs="Calibri"/>
          <w:color w:val="000000"/>
        </w:rPr>
        <w:t>which compared probiotic peanut OIT (PPOIT) v</w:t>
      </w:r>
      <w:r w:rsidR="008A66EB">
        <w:rPr>
          <w:rFonts w:ascii="Calibri" w:hAnsi="Calibri" w:cs="Calibri"/>
          <w:color w:val="000000"/>
        </w:rPr>
        <w:t>ersu</w:t>
      </w:r>
      <w:r w:rsidR="004178F2">
        <w:rPr>
          <w:rFonts w:ascii="Calibri" w:hAnsi="Calibri" w:cs="Calibri"/>
          <w:color w:val="000000"/>
        </w:rPr>
        <w:t>s peanut OIT v</w:t>
      </w:r>
      <w:r w:rsidR="008A66EB">
        <w:rPr>
          <w:rFonts w:ascii="Calibri" w:hAnsi="Calibri" w:cs="Calibri"/>
          <w:color w:val="000000"/>
        </w:rPr>
        <w:t>ersu</w:t>
      </w:r>
      <w:r w:rsidR="004178F2">
        <w:rPr>
          <w:rFonts w:ascii="Calibri" w:hAnsi="Calibri" w:cs="Calibri"/>
          <w:color w:val="000000"/>
        </w:rPr>
        <w:t xml:space="preserve">s placebo </w:t>
      </w:r>
      <w:r>
        <w:rPr>
          <w:rFonts w:ascii="Calibri" w:hAnsi="Calibri" w:cs="Calibri"/>
          <w:color w:val="000000"/>
        </w:rPr>
        <w:t xml:space="preserve">in </w:t>
      </w:r>
      <w:r w:rsidR="006E2524">
        <w:rPr>
          <w:rFonts w:ascii="Calibri" w:hAnsi="Calibri" w:cs="Calibri"/>
          <w:color w:val="000000"/>
        </w:rPr>
        <w:t xml:space="preserve">201 </w:t>
      </w:r>
      <w:r w:rsidR="004178F2">
        <w:rPr>
          <w:rFonts w:ascii="Calibri" w:hAnsi="Calibri" w:cs="Calibri"/>
          <w:color w:val="000000"/>
        </w:rPr>
        <w:t>children age 1-10 years</w:t>
      </w:r>
      <w:r w:rsidR="004721E0">
        <w:rPr>
          <w:rFonts w:ascii="Calibri" w:hAnsi="Calibri" w:cs="Calibri"/>
          <w:color w:val="000000"/>
        </w:rPr>
        <w:t>. Children underwent 18 months of treatment using a 2000</w:t>
      </w:r>
      <w:r w:rsidR="00ED5AF3">
        <w:rPr>
          <w:rFonts w:ascii="Calibri" w:hAnsi="Calibri" w:cs="Calibri"/>
          <w:color w:val="000000"/>
        </w:rPr>
        <w:t xml:space="preserve"> </w:t>
      </w:r>
      <w:r w:rsidR="004721E0">
        <w:rPr>
          <w:rFonts w:ascii="Calibri" w:hAnsi="Calibri" w:cs="Calibri"/>
          <w:color w:val="000000"/>
        </w:rPr>
        <w:t>mg maintenance peanut OIT dose. A</w:t>
      </w:r>
      <w:r>
        <w:rPr>
          <w:rFonts w:ascii="Calibri" w:hAnsi="Calibri" w:cs="Calibri"/>
          <w:color w:val="000000"/>
        </w:rPr>
        <w:t xml:space="preserve">n </w:t>
      </w:r>
      <w:r w:rsidR="004178F2" w:rsidRPr="007E381D">
        <w:rPr>
          <w:rFonts w:ascii="Calibri" w:hAnsi="Calibri" w:cs="Calibri"/>
          <w:i/>
          <w:color w:val="000000"/>
        </w:rPr>
        <w:t>a priori</w:t>
      </w:r>
      <w:r w:rsidR="004178F2">
        <w:rPr>
          <w:rFonts w:ascii="Calibri" w:hAnsi="Calibri" w:cs="Calibri"/>
          <w:color w:val="000000"/>
        </w:rPr>
        <w:t xml:space="preserve"> </w:t>
      </w:r>
      <w:r w:rsidR="004721E0">
        <w:rPr>
          <w:rFonts w:ascii="Calibri" w:hAnsi="Calibri" w:cs="Calibri"/>
          <w:color w:val="000000"/>
        </w:rPr>
        <w:t xml:space="preserve">decision was made to stratify the analysis by age, </w:t>
      </w:r>
      <w:r w:rsidR="00475A01">
        <w:rPr>
          <w:rFonts w:ascii="Calibri" w:hAnsi="Calibri" w:cs="Calibri"/>
          <w:color w:val="000000"/>
        </w:rPr>
        <w:lastRenderedPageBreak/>
        <w:t xml:space="preserve">divided into </w:t>
      </w:r>
      <w:r w:rsidR="004721E0">
        <w:rPr>
          <w:rFonts w:ascii="Calibri" w:hAnsi="Calibri" w:cs="Calibri"/>
          <w:color w:val="000000"/>
        </w:rPr>
        <w:t>1-5 years (n=104) and 6-10 years (n=97)</w:t>
      </w:r>
      <w:r w:rsidR="006979EF">
        <w:rPr>
          <w:rFonts w:ascii="Calibri" w:hAnsi="Calibri" w:cs="Calibri"/>
          <w:color w:val="000000"/>
        </w:rPr>
        <w:t>.</w:t>
      </w:r>
      <w:r w:rsidR="003866B3">
        <w:rPr>
          <w:rFonts w:ascii="Calibri" w:hAnsi="Calibri" w:cs="Calibri"/>
          <w:color w:val="000000"/>
        </w:rPr>
        <w:t xml:space="preserve"> </w:t>
      </w:r>
      <w:r w:rsidR="00661B10" w:rsidRPr="00661B10">
        <w:rPr>
          <w:rFonts w:ascii="Calibri" w:hAnsi="Calibri" w:cs="Calibri"/>
          <w:noProof/>
          <w:color w:val="000000"/>
          <w:vertAlign w:val="superscript"/>
        </w:rPr>
        <w:t>16</w:t>
      </w:r>
      <w:r w:rsidR="004178F2">
        <w:rPr>
          <w:rFonts w:ascii="Calibri" w:hAnsi="Calibri" w:cs="Calibri"/>
          <w:color w:val="000000"/>
        </w:rPr>
        <w:t xml:space="preserve"> There was no difference in </w:t>
      </w:r>
      <w:r w:rsidR="006E2524">
        <w:rPr>
          <w:rFonts w:ascii="Calibri" w:hAnsi="Calibri" w:cs="Calibri"/>
          <w:color w:val="000000"/>
        </w:rPr>
        <w:t xml:space="preserve">efficacy rates </w:t>
      </w:r>
      <w:r w:rsidR="004178F2">
        <w:rPr>
          <w:rFonts w:ascii="Calibri" w:hAnsi="Calibri" w:cs="Calibri"/>
          <w:color w:val="000000"/>
        </w:rPr>
        <w:t xml:space="preserve">in both treatment groups </w:t>
      </w:r>
      <w:r w:rsidR="00006DB3">
        <w:rPr>
          <w:rFonts w:ascii="Calibri" w:hAnsi="Calibri" w:cs="Calibri"/>
          <w:color w:val="000000"/>
        </w:rPr>
        <w:t xml:space="preserve">for </w:t>
      </w:r>
      <w:r w:rsidR="00F157A9">
        <w:rPr>
          <w:rFonts w:ascii="Calibri" w:hAnsi="Calibri" w:cs="Calibri"/>
          <w:color w:val="000000"/>
        </w:rPr>
        <w:t>desensitization</w:t>
      </w:r>
      <w:r w:rsidR="00006DB3">
        <w:rPr>
          <w:rFonts w:ascii="Calibri" w:hAnsi="Calibri" w:cs="Calibri"/>
          <w:color w:val="000000"/>
        </w:rPr>
        <w:t xml:space="preserve"> (</w:t>
      </w:r>
      <w:r w:rsidR="004178F2">
        <w:rPr>
          <w:rFonts w:ascii="Calibri" w:hAnsi="Calibri" w:cs="Calibri"/>
          <w:color w:val="000000"/>
        </w:rPr>
        <w:t xml:space="preserve">PPOIT </w:t>
      </w:r>
      <w:r w:rsidR="004178F2">
        <w:t>88% v</w:t>
      </w:r>
      <w:r w:rsidR="008A66EB">
        <w:t>ersu</w:t>
      </w:r>
      <w:r w:rsidR="004178F2">
        <w:t>s peanut OIT 79% v</w:t>
      </w:r>
      <w:r w:rsidR="008A66EB">
        <w:t>ersu</w:t>
      </w:r>
      <w:r w:rsidR="004178F2">
        <w:t>s placebo 10%</w:t>
      </w:r>
      <w:r w:rsidR="00006DB3">
        <w:t xml:space="preserve">) and </w:t>
      </w:r>
      <w:r w:rsidR="004178F2">
        <w:t xml:space="preserve">8-week </w:t>
      </w:r>
      <w:r w:rsidR="00094185">
        <w:rPr>
          <w:rFonts w:ascii="Calibri" w:hAnsi="Calibri" w:cs="Calibri"/>
          <w:color w:val="000000"/>
        </w:rPr>
        <w:t>remission</w:t>
      </w:r>
      <w:r w:rsidR="00006DB3">
        <w:rPr>
          <w:rFonts w:ascii="Calibri" w:hAnsi="Calibri" w:cs="Calibri"/>
          <w:color w:val="000000"/>
        </w:rPr>
        <w:t xml:space="preserve"> (</w:t>
      </w:r>
      <w:r w:rsidR="004178F2" w:rsidRPr="008C4AB6">
        <w:rPr>
          <w:rFonts w:ascii="Calibri" w:hAnsi="Calibri" w:cs="Calibri"/>
          <w:color w:val="000000"/>
        </w:rPr>
        <w:t>PPOIT 61% v</w:t>
      </w:r>
      <w:r w:rsidR="008A66EB">
        <w:rPr>
          <w:rFonts w:ascii="Calibri" w:hAnsi="Calibri" w:cs="Calibri"/>
          <w:color w:val="000000"/>
        </w:rPr>
        <w:t>ersu</w:t>
      </w:r>
      <w:r w:rsidR="004178F2" w:rsidRPr="008C4AB6">
        <w:rPr>
          <w:rFonts w:ascii="Calibri" w:hAnsi="Calibri" w:cs="Calibri"/>
          <w:color w:val="000000"/>
        </w:rPr>
        <w:t>s peanut OIT 56%</w:t>
      </w:r>
      <w:r w:rsidR="004178F2">
        <w:rPr>
          <w:rFonts w:ascii="Calibri" w:hAnsi="Calibri" w:cs="Calibri"/>
          <w:color w:val="000000"/>
        </w:rPr>
        <w:t xml:space="preserve"> vs placebo </w:t>
      </w:r>
      <w:r w:rsidR="004178F2" w:rsidRPr="008C4AB6">
        <w:rPr>
          <w:rFonts w:ascii="Calibri" w:hAnsi="Calibri" w:cs="Calibri"/>
          <w:color w:val="000000"/>
        </w:rPr>
        <w:t>10%</w:t>
      </w:r>
      <w:r w:rsidR="00A14C9A">
        <w:rPr>
          <w:rFonts w:ascii="Calibri" w:hAnsi="Calibri" w:cs="Calibri"/>
          <w:color w:val="000000"/>
        </w:rPr>
        <w:t>)</w:t>
      </w:r>
      <w:r w:rsidR="00006DB3">
        <w:rPr>
          <w:rFonts w:ascii="Calibri" w:hAnsi="Calibri" w:cs="Calibri"/>
          <w:color w:val="000000"/>
        </w:rPr>
        <w:t xml:space="preserve"> respectively</w:t>
      </w:r>
      <w:r w:rsidR="006979EF">
        <w:rPr>
          <w:rFonts w:ascii="Calibri" w:hAnsi="Calibri" w:cs="Calibri"/>
          <w:color w:val="000000"/>
        </w:rPr>
        <w:t>.</w:t>
      </w:r>
      <w:r w:rsidR="00676E97">
        <w:rPr>
          <w:rFonts w:ascii="Calibri" w:hAnsi="Calibri" w:cs="Calibri"/>
          <w:color w:val="000000"/>
        </w:rPr>
        <w:t xml:space="preserve"> </w:t>
      </w:r>
      <w:r w:rsidR="00661B10" w:rsidRPr="00661B10">
        <w:rPr>
          <w:rFonts w:ascii="Calibri" w:hAnsi="Calibri" w:cs="Calibri"/>
          <w:noProof/>
          <w:color w:val="000000"/>
          <w:vertAlign w:val="superscript"/>
        </w:rPr>
        <w:t>16</w:t>
      </w:r>
      <w:r w:rsidR="004178F2">
        <w:rPr>
          <w:rFonts w:ascii="Calibri" w:hAnsi="Calibri" w:cs="Calibri"/>
          <w:color w:val="000000"/>
        </w:rPr>
        <w:t xml:space="preserve"> </w:t>
      </w:r>
      <w:r w:rsidR="00B01ACB">
        <w:rPr>
          <w:rFonts w:ascii="Calibri" w:hAnsi="Calibri" w:cs="Calibri"/>
          <w:color w:val="000000"/>
        </w:rPr>
        <w:t>C</w:t>
      </w:r>
      <w:r w:rsidR="004178F2">
        <w:rPr>
          <w:rFonts w:ascii="Calibri" w:hAnsi="Calibri" w:cs="Calibri"/>
          <w:color w:val="000000"/>
        </w:rPr>
        <w:t>ombining both treatment arms</w:t>
      </w:r>
      <w:r w:rsidR="00E220E3">
        <w:rPr>
          <w:rFonts w:ascii="Calibri" w:hAnsi="Calibri" w:cs="Calibri"/>
          <w:color w:val="000000"/>
        </w:rPr>
        <w:t xml:space="preserve"> for the 1-5 year old age group</w:t>
      </w:r>
      <w:r w:rsidR="004178F2">
        <w:rPr>
          <w:rFonts w:ascii="Calibri" w:hAnsi="Calibri" w:cs="Calibri"/>
          <w:color w:val="000000"/>
        </w:rPr>
        <w:t xml:space="preserve"> demonstrated overall </w:t>
      </w:r>
      <w:r w:rsidR="00BA0364">
        <w:rPr>
          <w:rFonts w:ascii="Calibri" w:hAnsi="Calibri" w:cs="Calibri"/>
          <w:color w:val="000000"/>
        </w:rPr>
        <w:t xml:space="preserve">desensitization </w:t>
      </w:r>
      <w:r w:rsidR="004178F2">
        <w:rPr>
          <w:rFonts w:ascii="Calibri" w:hAnsi="Calibri" w:cs="Calibri"/>
          <w:color w:val="000000"/>
        </w:rPr>
        <w:t xml:space="preserve">and 8-week </w:t>
      </w:r>
      <w:r w:rsidR="00B70AA1">
        <w:rPr>
          <w:rFonts w:ascii="Calibri" w:hAnsi="Calibri" w:cs="Calibri"/>
          <w:color w:val="000000"/>
        </w:rPr>
        <w:t xml:space="preserve">remission </w:t>
      </w:r>
      <w:r w:rsidR="004178F2">
        <w:rPr>
          <w:rFonts w:ascii="Calibri" w:hAnsi="Calibri" w:cs="Calibri"/>
          <w:color w:val="000000"/>
        </w:rPr>
        <w:t>rates of 83% and 58% respectively</w:t>
      </w:r>
      <w:r w:rsidR="00B70AA1">
        <w:rPr>
          <w:rFonts w:ascii="Calibri" w:hAnsi="Calibri" w:cs="Calibri"/>
          <w:color w:val="000000"/>
        </w:rPr>
        <w:t xml:space="preserve">, </w:t>
      </w:r>
      <w:r w:rsidR="00D5712A">
        <w:rPr>
          <w:rFonts w:ascii="Calibri" w:hAnsi="Calibri" w:cs="Calibri"/>
          <w:color w:val="000000"/>
        </w:rPr>
        <w:t xml:space="preserve">compared to lower </w:t>
      </w:r>
      <w:r w:rsidR="00BA0364">
        <w:rPr>
          <w:rFonts w:ascii="Calibri" w:hAnsi="Calibri" w:cs="Calibri"/>
          <w:color w:val="000000"/>
        </w:rPr>
        <w:t>desensitization</w:t>
      </w:r>
      <w:r w:rsidR="00D5712A">
        <w:rPr>
          <w:rFonts w:ascii="Calibri" w:hAnsi="Calibri" w:cs="Calibri"/>
          <w:color w:val="000000"/>
        </w:rPr>
        <w:t xml:space="preserve">and 8-week </w:t>
      </w:r>
      <w:r w:rsidR="00B70AA1">
        <w:rPr>
          <w:rFonts w:ascii="Calibri" w:hAnsi="Calibri" w:cs="Calibri"/>
          <w:color w:val="000000"/>
        </w:rPr>
        <w:t xml:space="preserve">remission </w:t>
      </w:r>
      <w:r w:rsidR="00D5712A">
        <w:rPr>
          <w:rFonts w:ascii="Calibri" w:hAnsi="Calibri" w:cs="Calibri"/>
          <w:color w:val="000000"/>
        </w:rPr>
        <w:t xml:space="preserve">rates of 67% and 37% </w:t>
      </w:r>
      <w:r w:rsidR="00B0334F">
        <w:rPr>
          <w:rFonts w:ascii="Calibri" w:hAnsi="Calibri" w:cs="Calibri"/>
          <w:color w:val="000000"/>
        </w:rPr>
        <w:t xml:space="preserve">in the 6-10 year age group. </w:t>
      </w:r>
      <w:r w:rsidR="00661B10" w:rsidRPr="00661B10">
        <w:rPr>
          <w:rFonts w:ascii="Calibri" w:hAnsi="Calibri" w:cs="Calibri"/>
          <w:noProof/>
          <w:color w:val="000000"/>
          <w:vertAlign w:val="superscript"/>
        </w:rPr>
        <w:t>16</w:t>
      </w:r>
      <w:r w:rsidR="004721E0">
        <w:rPr>
          <w:rFonts w:ascii="Calibri" w:hAnsi="Calibri" w:cs="Calibri"/>
          <w:color w:val="000000"/>
        </w:rPr>
        <w:t xml:space="preserve"> This provides some of the first evidence that OIT may be more effective in younger children compared to older.</w:t>
      </w:r>
    </w:p>
    <w:p w14:paraId="08154016" w14:textId="77777777" w:rsidR="00E51443" w:rsidRDefault="00E51443" w:rsidP="00195D52">
      <w:pPr>
        <w:pStyle w:val="ListParagraph"/>
        <w:spacing w:line="480" w:lineRule="auto"/>
        <w:ind w:left="0"/>
        <w:jc w:val="both"/>
        <w:rPr>
          <w:rFonts w:ascii="Calibri" w:hAnsi="Calibri" w:cs="Calibri"/>
          <w:color w:val="000000"/>
        </w:rPr>
      </w:pPr>
    </w:p>
    <w:p w14:paraId="7D073683" w14:textId="2BDC2E26" w:rsidR="00F52E88" w:rsidRDefault="00794F8F" w:rsidP="00195D52">
      <w:pPr>
        <w:pStyle w:val="ListParagraph"/>
        <w:spacing w:line="480" w:lineRule="auto"/>
        <w:ind w:left="0"/>
        <w:jc w:val="both"/>
        <w:rPr>
          <w:rFonts w:ascii="Calibri" w:hAnsi="Calibri" w:cs="Calibri"/>
          <w:color w:val="000000"/>
        </w:rPr>
      </w:pPr>
      <w:r w:rsidRPr="00274703">
        <w:rPr>
          <w:rFonts w:ascii="Calibri" w:hAnsi="Calibri" w:cs="Calibri"/>
          <w:color w:val="000000"/>
        </w:rPr>
        <w:t xml:space="preserve">The IMPACT </w:t>
      </w:r>
      <w:r w:rsidR="00C84C22">
        <w:rPr>
          <w:rFonts w:ascii="Calibri" w:hAnsi="Calibri" w:cs="Calibri"/>
          <w:color w:val="000000"/>
        </w:rPr>
        <w:t>t</w:t>
      </w:r>
      <w:r w:rsidRPr="00274703">
        <w:rPr>
          <w:rFonts w:ascii="Calibri" w:hAnsi="Calibri" w:cs="Calibri"/>
          <w:color w:val="000000"/>
        </w:rPr>
        <w:t xml:space="preserve">rial </w:t>
      </w:r>
      <w:r>
        <w:rPr>
          <w:rFonts w:ascii="Calibri" w:hAnsi="Calibri" w:cs="Calibri"/>
          <w:color w:val="000000"/>
        </w:rPr>
        <w:t>was t</w:t>
      </w:r>
      <w:r w:rsidR="004178F2">
        <w:rPr>
          <w:rFonts w:ascii="Calibri" w:hAnsi="Calibri" w:cs="Calibri"/>
          <w:color w:val="000000"/>
        </w:rPr>
        <w:t xml:space="preserve">he first </w:t>
      </w:r>
      <w:r w:rsidR="00C84C22">
        <w:rPr>
          <w:rFonts w:ascii="Calibri" w:hAnsi="Calibri" w:cs="Calibri"/>
          <w:color w:val="000000"/>
        </w:rPr>
        <w:t xml:space="preserve">peanut OIT </w:t>
      </w:r>
      <w:r w:rsidR="004178F2">
        <w:rPr>
          <w:rFonts w:ascii="Calibri" w:hAnsi="Calibri" w:cs="Calibri"/>
          <w:color w:val="000000"/>
        </w:rPr>
        <w:t>RCT exclusively in preschoolers</w:t>
      </w:r>
      <w:r>
        <w:rPr>
          <w:rFonts w:ascii="Calibri" w:hAnsi="Calibri" w:cs="Calibri"/>
          <w:color w:val="000000"/>
        </w:rPr>
        <w:t>,</w:t>
      </w:r>
      <w:r w:rsidR="004178F2">
        <w:rPr>
          <w:rFonts w:ascii="Calibri" w:hAnsi="Calibri" w:cs="Calibri"/>
          <w:color w:val="000000"/>
        </w:rPr>
        <w:t xml:space="preserve"> </w:t>
      </w:r>
      <w:r w:rsidR="00475A01">
        <w:rPr>
          <w:rFonts w:ascii="Calibri" w:hAnsi="Calibri" w:cs="Calibri"/>
          <w:color w:val="000000"/>
        </w:rPr>
        <w:t>enrolling</w:t>
      </w:r>
      <w:r w:rsidR="004178F2">
        <w:rPr>
          <w:rFonts w:ascii="Calibri" w:hAnsi="Calibri" w:cs="Calibri"/>
          <w:color w:val="000000"/>
        </w:rPr>
        <w:t xml:space="preserve"> </w:t>
      </w:r>
      <w:r w:rsidR="00242A87">
        <w:rPr>
          <w:rFonts w:ascii="Calibri" w:hAnsi="Calibri" w:cs="Calibri"/>
          <w:color w:val="000000"/>
        </w:rPr>
        <w:t xml:space="preserve">146 </w:t>
      </w:r>
      <w:r w:rsidR="004178F2">
        <w:rPr>
          <w:rFonts w:ascii="Calibri" w:hAnsi="Calibri" w:cs="Calibri"/>
          <w:color w:val="000000"/>
        </w:rPr>
        <w:t>children age 12-48 months.</w:t>
      </w:r>
      <w:r w:rsidR="00661B10" w:rsidRPr="00661B10">
        <w:rPr>
          <w:rFonts w:ascii="Calibri" w:hAnsi="Calibri" w:cs="Calibri"/>
          <w:noProof/>
          <w:color w:val="000000"/>
          <w:vertAlign w:val="superscript"/>
        </w:rPr>
        <w:t>18</w:t>
      </w:r>
      <w:r w:rsidR="004178F2">
        <w:rPr>
          <w:rFonts w:ascii="Calibri" w:hAnsi="Calibri" w:cs="Calibri"/>
          <w:color w:val="000000"/>
        </w:rPr>
        <w:t xml:space="preserve"> These children were treated for </w:t>
      </w:r>
      <w:r w:rsidR="00242A87">
        <w:rPr>
          <w:rFonts w:ascii="Calibri" w:hAnsi="Calibri" w:cs="Calibri"/>
          <w:color w:val="000000"/>
        </w:rPr>
        <w:t xml:space="preserve">134 weeks </w:t>
      </w:r>
      <w:r w:rsidR="004178F2">
        <w:rPr>
          <w:rFonts w:ascii="Calibri" w:hAnsi="Calibri" w:cs="Calibri"/>
          <w:color w:val="000000"/>
        </w:rPr>
        <w:t xml:space="preserve">with a 2000 mg maintenance dose. </w:t>
      </w:r>
      <w:r w:rsidR="003628D7">
        <w:rPr>
          <w:rFonts w:ascii="Calibri" w:hAnsi="Calibri" w:cs="Calibri"/>
          <w:color w:val="000000"/>
        </w:rPr>
        <w:t xml:space="preserve">Efficacy outcomes </w:t>
      </w:r>
      <w:r w:rsidR="004178F2">
        <w:rPr>
          <w:rFonts w:ascii="Calibri" w:hAnsi="Calibri" w:cs="Calibri"/>
          <w:color w:val="000000"/>
        </w:rPr>
        <w:t xml:space="preserve">demonstrated </w:t>
      </w:r>
      <w:r w:rsidR="0084626A">
        <w:rPr>
          <w:rFonts w:ascii="Calibri" w:hAnsi="Calibri" w:cs="Calibri"/>
          <w:color w:val="000000"/>
        </w:rPr>
        <w:t>desensitization</w:t>
      </w:r>
      <w:r w:rsidR="005B6587">
        <w:rPr>
          <w:rFonts w:ascii="Calibri" w:hAnsi="Calibri" w:cs="Calibri"/>
          <w:color w:val="000000"/>
        </w:rPr>
        <w:t xml:space="preserve"> rate of </w:t>
      </w:r>
      <w:r w:rsidR="004178F2">
        <w:rPr>
          <w:rFonts w:ascii="Calibri" w:hAnsi="Calibri" w:cs="Calibri"/>
          <w:color w:val="000000"/>
        </w:rPr>
        <w:t>71% in the peanut OIT group v</w:t>
      </w:r>
      <w:r w:rsidR="00AF6C34">
        <w:rPr>
          <w:rFonts w:ascii="Calibri" w:hAnsi="Calibri" w:cs="Calibri"/>
          <w:color w:val="000000"/>
        </w:rPr>
        <w:t>ersu</w:t>
      </w:r>
      <w:r w:rsidR="004178F2">
        <w:rPr>
          <w:rFonts w:ascii="Calibri" w:hAnsi="Calibri" w:cs="Calibri"/>
          <w:color w:val="000000"/>
        </w:rPr>
        <w:t>s 2% in the placebo group.</w:t>
      </w:r>
      <w:r w:rsidR="00661B10" w:rsidRPr="00661B10">
        <w:rPr>
          <w:rFonts w:ascii="Calibri" w:hAnsi="Calibri" w:cs="Calibri"/>
          <w:noProof/>
          <w:color w:val="000000"/>
          <w:vertAlign w:val="superscript"/>
        </w:rPr>
        <w:t>18</w:t>
      </w:r>
      <w:r w:rsidR="004178F2">
        <w:rPr>
          <w:rFonts w:ascii="Calibri" w:hAnsi="Calibri" w:cs="Calibri"/>
          <w:color w:val="000000"/>
        </w:rPr>
        <w:t xml:space="preserve"> </w:t>
      </w:r>
      <w:r w:rsidR="00625917">
        <w:rPr>
          <w:rFonts w:ascii="Calibri" w:hAnsi="Calibri" w:cs="Calibri"/>
          <w:color w:val="000000"/>
        </w:rPr>
        <w:t>The remission rate after a</w:t>
      </w:r>
      <w:r w:rsidR="004178F2">
        <w:rPr>
          <w:rFonts w:ascii="Calibri" w:hAnsi="Calibri" w:cs="Calibri"/>
          <w:color w:val="000000"/>
        </w:rPr>
        <w:t xml:space="preserve"> 26-week </w:t>
      </w:r>
      <w:r w:rsidR="00E51443">
        <w:rPr>
          <w:rFonts w:ascii="Calibri" w:hAnsi="Calibri" w:cs="Calibri"/>
          <w:color w:val="000000"/>
        </w:rPr>
        <w:t xml:space="preserve">avoidance period </w:t>
      </w:r>
      <w:r w:rsidR="00475A01">
        <w:rPr>
          <w:rFonts w:ascii="Calibri" w:hAnsi="Calibri" w:cs="Calibri"/>
          <w:color w:val="000000"/>
        </w:rPr>
        <w:t>was</w:t>
      </w:r>
      <w:r w:rsidR="00184EBE">
        <w:rPr>
          <w:rFonts w:ascii="Calibri" w:hAnsi="Calibri" w:cs="Calibri"/>
          <w:color w:val="000000"/>
        </w:rPr>
        <w:t xml:space="preserve"> </w:t>
      </w:r>
      <w:r w:rsidR="004178F2">
        <w:rPr>
          <w:rFonts w:ascii="Calibri" w:hAnsi="Calibri" w:cs="Calibri"/>
          <w:color w:val="000000"/>
        </w:rPr>
        <w:t xml:space="preserve">21% </w:t>
      </w:r>
      <w:r w:rsidR="00184EBE">
        <w:rPr>
          <w:rFonts w:ascii="Calibri" w:hAnsi="Calibri" w:cs="Calibri"/>
        </w:rPr>
        <w:t xml:space="preserve">in </w:t>
      </w:r>
      <w:r w:rsidR="004178F2">
        <w:rPr>
          <w:rFonts w:ascii="Calibri" w:hAnsi="Calibri" w:cs="Calibri"/>
        </w:rPr>
        <w:t>peanut OIT v</w:t>
      </w:r>
      <w:r w:rsidR="00AF6C34">
        <w:rPr>
          <w:rFonts w:ascii="Calibri" w:hAnsi="Calibri" w:cs="Calibri"/>
        </w:rPr>
        <w:t>ersu</w:t>
      </w:r>
      <w:r w:rsidR="004178F2">
        <w:rPr>
          <w:rFonts w:ascii="Calibri" w:hAnsi="Calibri" w:cs="Calibri"/>
        </w:rPr>
        <w:t xml:space="preserve">s 2% </w:t>
      </w:r>
      <w:r w:rsidR="00184EBE">
        <w:rPr>
          <w:rFonts w:ascii="Calibri" w:hAnsi="Calibri" w:cs="Calibri"/>
          <w:color w:val="000000"/>
        </w:rPr>
        <w:t xml:space="preserve">in the </w:t>
      </w:r>
      <w:r w:rsidR="004178F2">
        <w:rPr>
          <w:rFonts w:ascii="Calibri" w:hAnsi="Calibri" w:cs="Calibri"/>
          <w:color w:val="000000"/>
        </w:rPr>
        <w:t>placebo</w:t>
      </w:r>
      <w:r w:rsidR="00184EBE">
        <w:rPr>
          <w:rFonts w:ascii="Calibri" w:hAnsi="Calibri" w:cs="Calibri"/>
          <w:color w:val="000000"/>
        </w:rPr>
        <w:t xml:space="preserve"> group</w:t>
      </w:r>
      <w:r w:rsidR="004178F2">
        <w:rPr>
          <w:rFonts w:ascii="Calibri" w:hAnsi="Calibri" w:cs="Calibri"/>
          <w:color w:val="000000"/>
        </w:rPr>
        <w:t xml:space="preserve">. </w:t>
      </w:r>
      <w:r w:rsidR="00AD5409">
        <w:rPr>
          <w:rFonts w:ascii="Calibri" w:hAnsi="Calibri" w:cs="Calibri"/>
          <w:color w:val="000000"/>
        </w:rPr>
        <w:t>A p</w:t>
      </w:r>
      <w:r w:rsidR="00AD5409" w:rsidRPr="00C666C6">
        <w:rPr>
          <w:rFonts w:ascii="Calibri" w:hAnsi="Calibri" w:cs="Calibri"/>
          <w:color w:val="000000"/>
        </w:rPr>
        <w:t xml:space="preserve">ost-hoc analysis of </w:t>
      </w:r>
      <w:r w:rsidR="00F52E88">
        <w:rPr>
          <w:rFonts w:ascii="Calibri" w:hAnsi="Calibri" w:cs="Calibri"/>
          <w:color w:val="000000"/>
        </w:rPr>
        <w:t xml:space="preserve">the IMPACT </w:t>
      </w:r>
      <w:r w:rsidR="00642B6B">
        <w:rPr>
          <w:rFonts w:ascii="Calibri" w:hAnsi="Calibri" w:cs="Calibri"/>
          <w:color w:val="000000"/>
        </w:rPr>
        <w:t>t</w:t>
      </w:r>
      <w:r w:rsidR="00F52E88">
        <w:rPr>
          <w:rFonts w:ascii="Calibri" w:hAnsi="Calibri" w:cs="Calibri"/>
          <w:color w:val="000000"/>
        </w:rPr>
        <w:t xml:space="preserve">rial </w:t>
      </w:r>
      <w:r w:rsidR="00AD5409">
        <w:rPr>
          <w:rFonts w:ascii="Calibri" w:hAnsi="Calibri" w:cs="Calibri"/>
          <w:color w:val="000000"/>
        </w:rPr>
        <w:t xml:space="preserve">showed </w:t>
      </w:r>
      <w:r w:rsidR="00F52E88" w:rsidRPr="00D81778">
        <w:rPr>
          <w:rFonts w:ascii="Calibri" w:hAnsi="Calibri" w:cs="Calibri"/>
          <w:color w:val="000000"/>
        </w:rPr>
        <w:t>highest remission rates among the youngest 2 age groups, 71% of those &lt;24 months and 35% of those aged 24-35.9 months compared to 19% of those aged 36-47.9 months</w:t>
      </w:r>
      <w:r w:rsidR="004277D3">
        <w:rPr>
          <w:rFonts w:ascii="Calibri" w:hAnsi="Calibri" w:cs="Calibri"/>
          <w:color w:val="000000"/>
        </w:rPr>
        <w:t>.</w:t>
      </w:r>
      <w:r w:rsidR="00A3451C">
        <w:rPr>
          <w:rFonts w:ascii="Calibri" w:hAnsi="Calibri" w:cs="Calibri"/>
          <w:color w:val="000000"/>
        </w:rPr>
        <w:t xml:space="preserve"> </w:t>
      </w:r>
      <w:r w:rsidR="00661B10" w:rsidRPr="00661B10">
        <w:rPr>
          <w:rFonts w:ascii="Calibri" w:hAnsi="Calibri" w:cs="Calibri"/>
          <w:noProof/>
          <w:color w:val="000000"/>
          <w:vertAlign w:val="superscript"/>
        </w:rPr>
        <w:t>18</w:t>
      </w:r>
      <w:r w:rsidR="006979EF">
        <w:rPr>
          <w:rFonts w:ascii="Calibri" w:hAnsi="Calibri" w:cs="Calibri"/>
          <w:color w:val="000000"/>
        </w:rPr>
        <w:t xml:space="preserve"> </w:t>
      </w:r>
      <w:r w:rsidR="00A3451C">
        <w:rPr>
          <w:rFonts w:ascii="Calibri" w:hAnsi="Calibri" w:cs="Calibri"/>
          <w:color w:val="000000"/>
        </w:rPr>
        <w:t xml:space="preserve">Alongside these </w:t>
      </w:r>
      <w:r w:rsidR="00A3451C" w:rsidRPr="008F1E3B">
        <w:rPr>
          <w:rFonts w:ascii="Calibri" w:hAnsi="Calibri" w:cs="Calibri"/>
          <w:color w:val="000000"/>
        </w:rPr>
        <w:t>RCT</w:t>
      </w:r>
      <w:r w:rsidR="00A3451C">
        <w:rPr>
          <w:rFonts w:ascii="Calibri" w:hAnsi="Calibri" w:cs="Calibri"/>
          <w:color w:val="000000"/>
        </w:rPr>
        <w:t>s</w:t>
      </w:r>
      <w:r w:rsidR="00A3451C" w:rsidRPr="008F1E3B">
        <w:rPr>
          <w:rFonts w:ascii="Calibri" w:hAnsi="Calibri" w:cs="Calibri"/>
          <w:color w:val="000000"/>
        </w:rPr>
        <w:t xml:space="preserve">, open-label real world peanut OIT </w:t>
      </w:r>
      <w:r w:rsidR="00A3451C">
        <w:rPr>
          <w:rFonts w:ascii="Calibri" w:hAnsi="Calibri" w:cs="Calibri"/>
          <w:color w:val="000000"/>
        </w:rPr>
        <w:t>s</w:t>
      </w:r>
      <w:r w:rsidR="00A3451C" w:rsidRPr="008F1E3B">
        <w:rPr>
          <w:rFonts w:ascii="Calibri" w:hAnsi="Calibri" w:cs="Calibri"/>
          <w:color w:val="000000"/>
        </w:rPr>
        <w:t xml:space="preserve">tudies in </w:t>
      </w:r>
      <w:r w:rsidR="00A3451C">
        <w:rPr>
          <w:rFonts w:ascii="Calibri" w:hAnsi="Calibri" w:cs="Calibri"/>
          <w:color w:val="000000"/>
        </w:rPr>
        <w:t xml:space="preserve">Canadian </w:t>
      </w:r>
      <w:r w:rsidR="00A3451C" w:rsidRPr="008F1E3B">
        <w:rPr>
          <w:rFonts w:ascii="Calibri" w:hAnsi="Calibri" w:cs="Calibri"/>
          <w:color w:val="000000"/>
        </w:rPr>
        <w:t>preschoolers using a 300</w:t>
      </w:r>
      <w:r w:rsidR="00E469A9">
        <w:rPr>
          <w:rFonts w:ascii="Calibri" w:hAnsi="Calibri" w:cs="Calibri"/>
          <w:color w:val="000000"/>
        </w:rPr>
        <w:t xml:space="preserve"> </w:t>
      </w:r>
      <w:r w:rsidR="00A3451C" w:rsidRPr="008F1E3B">
        <w:rPr>
          <w:rFonts w:ascii="Calibri" w:hAnsi="Calibri" w:cs="Calibri"/>
          <w:color w:val="000000"/>
        </w:rPr>
        <w:t xml:space="preserve">mg maintenance dose </w:t>
      </w:r>
      <w:r w:rsidR="00A3451C">
        <w:rPr>
          <w:rFonts w:ascii="Calibri" w:hAnsi="Calibri" w:cs="Calibri"/>
          <w:color w:val="000000"/>
        </w:rPr>
        <w:t xml:space="preserve">showed </w:t>
      </w:r>
      <w:r w:rsidR="0084626A">
        <w:rPr>
          <w:rFonts w:ascii="Calibri" w:hAnsi="Calibri" w:cs="Calibri"/>
          <w:color w:val="000000"/>
        </w:rPr>
        <w:t>desensitization</w:t>
      </w:r>
      <w:r w:rsidR="00A3451C" w:rsidRPr="008F1E3B">
        <w:rPr>
          <w:rFonts w:ascii="Calibri" w:hAnsi="Calibri" w:cs="Calibri"/>
          <w:color w:val="000000"/>
        </w:rPr>
        <w:t xml:space="preserve"> rates of 49% in infants &lt; 12 months and 50% in pre</w:t>
      </w:r>
      <w:r w:rsidR="00A3451C">
        <w:rPr>
          <w:rFonts w:ascii="Calibri" w:hAnsi="Calibri" w:cs="Calibri"/>
          <w:color w:val="000000"/>
        </w:rPr>
        <w:t>s</w:t>
      </w:r>
      <w:r w:rsidR="00A3451C" w:rsidRPr="008F1E3B">
        <w:rPr>
          <w:rFonts w:ascii="Calibri" w:hAnsi="Calibri" w:cs="Calibri"/>
          <w:color w:val="000000"/>
        </w:rPr>
        <w:t>choolers</w:t>
      </w:r>
      <w:r w:rsidR="00A3451C">
        <w:rPr>
          <w:rFonts w:ascii="Calibri" w:hAnsi="Calibri" w:cs="Calibri"/>
          <w:color w:val="000000"/>
        </w:rPr>
        <w:t xml:space="preserve"> but n</w:t>
      </w:r>
      <w:r w:rsidR="00A3451C" w:rsidRPr="008F1E3B">
        <w:rPr>
          <w:rFonts w:ascii="Calibri" w:hAnsi="Calibri" w:cs="Calibri"/>
          <w:color w:val="000000"/>
        </w:rPr>
        <w:t>o data on remission was available.</w:t>
      </w:r>
      <w:r w:rsidR="00416E4C">
        <w:rPr>
          <w:rFonts w:ascii="Calibri" w:hAnsi="Calibri" w:cs="Calibri"/>
          <w:color w:val="000000"/>
        </w:rPr>
        <w:t xml:space="preserve"> </w:t>
      </w:r>
      <w:r w:rsidR="00E45353" w:rsidRPr="00E45353">
        <w:rPr>
          <w:rFonts w:ascii="Calibri" w:hAnsi="Calibri" w:cs="Calibri"/>
          <w:noProof/>
          <w:color w:val="000000"/>
          <w:vertAlign w:val="superscript"/>
        </w:rPr>
        <w:t>39, 40</w:t>
      </w:r>
    </w:p>
    <w:p w14:paraId="32A782F5" w14:textId="77777777" w:rsidR="009C2A89" w:rsidRDefault="009C2A89" w:rsidP="00195D52">
      <w:pPr>
        <w:pStyle w:val="ListParagraph"/>
        <w:spacing w:line="480" w:lineRule="auto"/>
        <w:ind w:left="0"/>
        <w:jc w:val="both"/>
        <w:rPr>
          <w:rFonts w:ascii="Calibri" w:hAnsi="Calibri" w:cs="Calibri"/>
          <w:color w:val="000000"/>
        </w:rPr>
      </w:pPr>
    </w:p>
    <w:p w14:paraId="061E12CD" w14:textId="7947184A" w:rsidR="00070043" w:rsidRDefault="00917AAD" w:rsidP="00195D52">
      <w:pPr>
        <w:pStyle w:val="ListParagraph"/>
        <w:spacing w:line="480" w:lineRule="auto"/>
        <w:ind w:left="0"/>
        <w:jc w:val="both"/>
        <w:rPr>
          <w:rFonts w:ascii="Calibri" w:hAnsi="Calibri" w:cs="Calibri"/>
          <w:color w:val="000000"/>
        </w:rPr>
      </w:pPr>
      <w:r w:rsidRPr="00D81778">
        <w:rPr>
          <w:rFonts w:ascii="Calibri" w:hAnsi="Calibri" w:cs="Calibri"/>
          <w:color w:val="000000"/>
        </w:rPr>
        <w:t xml:space="preserve">Recently, a phase 3 peanut EPIT </w:t>
      </w:r>
      <w:r w:rsidR="00A3451C">
        <w:rPr>
          <w:rFonts w:ascii="Calibri" w:hAnsi="Calibri" w:cs="Calibri"/>
          <w:color w:val="000000"/>
        </w:rPr>
        <w:t xml:space="preserve">RCT </w:t>
      </w:r>
      <w:r w:rsidRPr="00D81778">
        <w:rPr>
          <w:rFonts w:ascii="Calibri" w:hAnsi="Calibri" w:cs="Calibri"/>
          <w:color w:val="000000"/>
        </w:rPr>
        <w:t xml:space="preserve">(EPITOPE) conducted in </w:t>
      </w:r>
      <w:r w:rsidR="00910F06" w:rsidRPr="00D81778">
        <w:rPr>
          <w:rFonts w:ascii="Calibri" w:hAnsi="Calibri" w:cs="Calibri"/>
          <w:color w:val="000000"/>
        </w:rPr>
        <w:t xml:space="preserve">362 </w:t>
      </w:r>
      <w:r w:rsidRPr="00D81778">
        <w:rPr>
          <w:rFonts w:ascii="Calibri" w:hAnsi="Calibri" w:cs="Calibri"/>
          <w:color w:val="000000"/>
        </w:rPr>
        <w:t xml:space="preserve">peanut-allergic children ages 1-3 years, released its top line results with a </w:t>
      </w:r>
      <w:r w:rsidR="0084626A">
        <w:rPr>
          <w:rFonts w:ascii="Calibri" w:hAnsi="Calibri" w:cs="Calibri"/>
          <w:color w:val="000000"/>
        </w:rPr>
        <w:t>desensitization</w:t>
      </w:r>
      <w:r w:rsidRPr="00D81778">
        <w:rPr>
          <w:rFonts w:ascii="Calibri" w:hAnsi="Calibri" w:cs="Calibri"/>
          <w:color w:val="000000"/>
        </w:rPr>
        <w:t xml:space="preserve"> </w:t>
      </w:r>
      <w:r w:rsidR="004525E3" w:rsidRPr="00727B7A">
        <w:rPr>
          <w:rFonts w:ascii="Calibri" w:hAnsi="Calibri" w:cs="Calibri"/>
          <w:color w:val="000000"/>
        </w:rPr>
        <w:t>endpoint</w:t>
      </w:r>
      <w:r w:rsidR="004525E3">
        <w:rPr>
          <w:rFonts w:ascii="Calibri" w:hAnsi="Calibri" w:cs="Calibri"/>
          <w:color w:val="000000"/>
        </w:rPr>
        <w:t xml:space="preserve">. </w:t>
      </w:r>
      <w:r w:rsidR="00E45353" w:rsidRPr="00E45353">
        <w:rPr>
          <w:rFonts w:ascii="Calibri" w:hAnsi="Calibri" w:cs="Calibri"/>
          <w:noProof/>
          <w:color w:val="000000"/>
          <w:vertAlign w:val="superscript"/>
        </w:rPr>
        <w:t>41</w:t>
      </w:r>
      <w:r w:rsidR="00701FA3">
        <w:rPr>
          <w:rFonts w:ascii="Calibri" w:hAnsi="Calibri" w:cs="Calibri"/>
          <w:color w:val="000000"/>
        </w:rPr>
        <w:t xml:space="preserve"> </w:t>
      </w:r>
      <w:r w:rsidR="00910F06">
        <w:rPr>
          <w:rFonts w:ascii="Calibri" w:hAnsi="Calibri" w:cs="Calibri"/>
          <w:color w:val="000000"/>
        </w:rPr>
        <w:t xml:space="preserve">This study </w:t>
      </w:r>
      <w:r w:rsidR="004178F2">
        <w:rPr>
          <w:rFonts w:ascii="Calibri" w:hAnsi="Calibri" w:cs="Calibri"/>
          <w:color w:val="000000"/>
        </w:rPr>
        <w:t xml:space="preserve">demonstrated </w:t>
      </w:r>
      <w:r w:rsidR="00910F06">
        <w:rPr>
          <w:rFonts w:ascii="Calibri" w:hAnsi="Calibri" w:cs="Calibri"/>
          <w:color w:val="000000"/>
        </w:rPr>
        <w:t xml:space="preserve">a </w:t>
      </w:r>
      <w:r w:rsidR="004178F2">
        <w:rPr>
          <w:rFonts w:ascii="Calibri" w:hAnsi="Calibri" w:cs="Calibri"/>
          <w:color w:val="000000"/>
        </w:rPr>
        <w:t xml:space="preserve">67% </w:t>
      </w:r>
      <w:r w:rsidR="00070043" w:rsidRPr="00274703">
        <w:rPr>
          <w:rFonts w:ascii="Calibri" w:hAnsi="Calibri" w:cs="Calibri"/>
          <w:color w:val="000000"/>
        </w:rPr>
        <w:t>treatment responder rate (defined as a participant with a baseline peanut eliciting dose (ED) of &lt;10 mg who reached an ED &gt;300 mg at month 12 or a participant with a baseline ED &gt;10 mg who reached an ED &gt;1000 mg at month 12) among peanut-treated participants compared to 33.5% of placebo-treated participants (p&lt;0.001</w:t>
      </w:r>
      <w:r w:rsidR="00A15217">
        <w:rPr>
          <w:rFonts w:ascii="Calibri" w:hAnsi="Calibri" w:cs="Calibri"/>
          <w:color w:val="000000"/>
        </w:rPr>
        <w:t>)</w:t>
      </w:r>
      <w:r w:rsidR="00070043" w:rsidRPr="00274703">
        <w:rPr>
          <w:rFonts w:ascii="Calibri" w:hAnsi="Calibri" w:cs="Calibri"/>
          <w:color w:val="000000"/>
        </w:rPr>
        <w:t xml:space="preserve">. </w:t>
      </w:r>
      <w:r w:rsidR="00E45353" w:rsidRPr="00E45353">
        <w:rPr>
          <w:rFonts w:ascii="Calibri" w:hAnsi="Calibri" w:cs="Calibri"/>
          <w:noProof/>
          <w:color w:val="000000"/>
          <w:vertAlign w:val="superscript"/>
        </w:rPr>
        <w:t>41</w:t>
      </w:r>
      <w:r w:rsidR="006A351A">
        <w:rPr>
          <w:rFonts w:ascii="Calibri" w:hAnsi="Calibri" w:cs="Calibri"/>
          <w:color w:val="000000"/>
        </w:rPr>
        <w:t xml:space="preserve"> </w:t>
      </w:r>
      <w:r w:rsidR="00D40C7A" w:rsidRPr="00D40C7A">
        <w:t xml:space="preserve">Once the EPITOPE study is published and peer-reviewed, it would be interesting to compare the results with an earlier phase 3 </w:t>
      </w:r>
      <w:r w:rsidR="00BB46EA">
        <w:t xml:space="preserve">peanut </w:t>
      </w:r>
      <w:r w:rsidR="00D40C7A" w:rsidRPr="00D40C7A">
        <w:t xml:space="preserve">EPIT study (PEPITES) in children age </w:t>
      </w:r>
      <w:r w:rsidR="00D40C7A" w:rsidRPr="00D40C7A">
        <w:lastRenderedPageBreak/>
        <w:t>4-11 years where a similar desensitization endpoint is used</w:t>
      </w:r>
      <w:r w:rsidR="00D40C7A" w:rsidRPr="00F83231">
        <w:t>.</w:t>
      </w:r>
      <w:r w:rsidR="00F83231">
        <w:t xml:space="preserve"> </w:t>
      </w:r>
      <w:bookmarkStart w:id="2" w:name="_GoBack"/>
      <w:bookmarkEnd w:id="2"/>
      <w:r w:rsidR="00665420" w:rsidRPr="00665420">
        <w:rPr>
          <w:noProof/>
          <w:vertAlign w:val="superscript"/>
        </w:rPr>
        <w:t>42</w:t>
      </w:r>
      <w:r w:rsidR="00D40C7A">
        <w:rPr>
          <w:color w:val="0070C0"/>
        </w:rPr>
        <w:t xml:space="preserve"> </w:t>
      </w:r>
      <w:r w:rsidR="00A3451C">
        <w:rPr>
          <w:rFonts w:ascii="Calibri" w:hAnsi="Calibri" w:cs="Calibri"/>
          <w:color w:val="000000"/>
        </w:rPr>
        <w:t xml:space="preserve">These RCTs </w:t>
      </w:r>
      <w:r w:rsidR="002001CC">
        <w:rPr>
          <w:rFonts w:ascii="Calibri" w:hAnsi="Calibri" w:cs="Calibri"/>
          <w:color w:val="000000"/>
        </w:rPr>
        <w:t>in pre</w:t>
      </w:r>
      <w:r w:rsidR="004A1E35">
        <w:rPr>
          <w:rFonts w:ascii="Calibri" w:hAnsi="Calibri" w:cs="Calibri"/>
          <w:color w:val="000000"/>
        </w:rPr>
        <w:t xml:space="preserve">schoolers </w:t>
      </w:r>
      <w:r w:rsidR="00A3451C">
        <w:rPr>
          <w:rFonts w:ascii="Calibri" w:hAnsi="Calibri" w:cs="Calibri"/>
          <w:color w:val="000000"/>
        </w:rPr>
        <w:t xml:space="preserve">are summarized in </w:t>
      </w:r>
      <w:r w:rsidR="00A3451C" w:rsidRPr="00D81778">
        <w:rPr>
          <w:rFonts w:ascii="Calibri" w:hAnsi="Calibri" w:cs="Calibri"/>
          <w:color w:val="000000"/>
        </w:rPr>
        <w:t>Table 1</w:t>
      </w:r>
      <w:r w:rsidR="00A3451C">
        <w:rPr>
          <w:rFonts w:ascii="Calibri" w:hAnsi="Calibri" w:cs="Calibri"/>
          <w:color w:val="000000"/>
        </w:rPr>
        <w:t>.</w:t>
      </w:r>
    </w:p>
    <w:p w14:paraId="61F63DCE" w14:textId="6D2D328E" w:rsidR="00465BAB" w:rsidRDefault="00465BAB" w:rsidP="00195D52">
      <w:pPr>
        <w:pStyle w:val="ListParagraph"/>
        <w:spacing w:line="480" w:lineRule="auto"/>
        <w:ind w:left="0"/>
        <w:jc w:val="both"/>
        <w:rPr>
          <w:rFonts w:ascii="Calibri" w:hAnsi="Calibri" w:cs="Calibri"/>
          <w:color w:val="000000"/>
        </w:rPr>
      </w:pPr>
    </w:p>
    <w:p w14:paraId="25780F41" w14:textId="7B5A0346" w:rsidR="00CF2192" w:rsidRDefault="00B6093C" w:rsidP="00195D52">
      <w:pPr>
        <w:pStyle w:val="ListParagraph"/>
        <w:spacing w:line="480" w:lineRule="auto"/>
        <w:ind w:left="0"/>
        <w:jc w:val="both"/>
        <w:rPr>
          <w:rFonts w:ascii="Calibri" w:hAnsi="Calibri" w:cs="Calibri"/>
          <w:color w:val="000000"/>
        </w:rPr>
      </w:pPr>
      <w:r>
        <w:rPr>
          <w:rFonts w:ascii="Calibri" w:hAnsi="Calibri" w:cs="Calibri"/>
          <w:color w:val="000000"/>
        </w:rPr>
        <w:t xml:space="preserve">Taking the above RCTs together, the overall peanut OIT </w:t>
      </w:r>
      <w:r w:rsidR="0084626A">
        <w:rPr>
          <w:rFonts w:ascii="Calibri" w:hAnsi="Calibri" w:cs="Calibri"/>
          <w:color w:val="000000"/>
        </w:rPr>
        <w:t>desensitization</w:t>
      </w:r>
      <w:r>
        <w:rPr>
          <w:rFonts w:ascii="Calibri" w:hAnsi="Calibri" w:cs="Calibri"/>
          <w:color w:val="000000"/>
        </w:rPr>
        <w:t xml:space="preserve"> rates for preschoolers ranges from 71%-83% but there is a broader 21%-78% range for remission rates</w:t>
      </w:r>
      <w:r w:rsidR="00DD38DD">
        <w:rPr>
          <w:rFonts w:ascii="Calibri" w:hAnsi="Calibri" w:cs="Calibri"/>
          <w:color w:val="000000"/>
        </w:rPr>
        <w:t>, depending on the definition of remission used and the duration of the avoidance period</w:t>
      </w:r>
      <w:r>
        <w:rPr>
          <w:rFonts w:ascii="Calibri" w:hAnsi="Calibri" w:cs="Calibri"/>
          <w:color w:val="000000"/>
        </w:rPr>
        <w:t xml:space="preserve">. </w:t>
      </w:r>
      <w:r w:rsidR="00661B10" w:rsidRPr="00661B10">
        <w:rPr>
          <w:rFonts w:ascii="Calibri" w:hAnsi="Calibri" w:cs="Calibri"/>
          <w:noProof/>
          <w:color w:val="000000"/>
          <w:vertAlign w:val="superscript"/>
        </w:rPr>
        <w:t>16-18</w:t>
      </w:r>
      <w:r w:rsidR="00A252E8">
        <w:rPr>
          <w:rFonts w:ascii="Calibri" w:hAnsi="Calibri" w:cs="Calibri"/>
          <w:color w:val="000000"/>
        </w:rPr>
        <w:t xml:space="preserve"> </w:t>
      </w:r>
      <w:r w:rsidR="002001CC">
        <w:rPr>
          <w:rFonts w:ascii="Calibri" w:hAnsi="Calibri" w:cs="Calibri"/>
          <w:color w:val="000000"/>
        </w:rPr>
        <w:t xml:space="preserve">While the desensitization rates in preschoolers are comparable with those seen in </w:t>
      </w:r>
      <w:r w:rsidR="00D268A9">
        <w:rPr>
          <w:rFonts w:ascii="Calibri" w:hAnsi="Calibri" w:cs="Calibri"/>
          <w:color w:val="000000"/>
        </w:rPr>
        <w:t xml:space="preserve">other </w:t>
      </w:r>
      <w:r w:rsidR="002001CC">
        <w:rPr>
          <w:rFonts w:ascii="Calibri" w:hAnsi="Calibri" w:cs="Calibri"/>
          <w:color w:val="000000"/>
        </w:rPr>
        <w:t>OIT studies involving older children and adolescents</w:t>
      </w:r>
      <w:r w:rsidR="00D268A9">
        <w:rPr>
          <w:rFonts w:ascii="Calibri" w:hAnsi="Calibri" w:cs="Calibri"/>
          <w:color w:val="000000"/>
        </w:rPr>
        <w:t xml:space="preserve"> (up to 75%</w:t>
      </w:r>
      <w:r w:rsidR="00665420">
        <w:rPr>
          <w:rFonts w:ascii="Calibri" w:hAnsi="Calibri" w:cs="Calibri"/>
          <w:color w:val="000000"/>
        </w:rPr>
        <w:t xml:space="preserve"> </w:t>
      </w:r>
      <w:r w:rsidR="00D268A9">
        <w:rPr>
          <w:rFonts w:ascii="Calibri" w:hAnsi="Calibri" w:cs="Calibri"/>
          <w:color w:val="000000"/>
        </w:rPr>
        <w:t>)</w:t>
      </w:r>
      <w:r w:rsidR="00C32AAF">
        <w:rPr>
          <w:rFonts w:ascii="Calibri" w:hAnsi="Calibri" w:cs="Calibri"/>
          <w:color w:val="000000"/>
        </w:rPr>
        <w:t xml:space="preserve"> </w:t>
      </w:r>
      <w:r w:rsidR="00665420" w:rsidRPr="00665420">
        <w:rPr>
          <w:rFonts w:ascii="Calibri" w:hAnsi="Calibri" w:cs="Calibri"/>
          <w:noProof/>
          <w:color w:val="000000"/>
          <w:vertAlign w:val="superscript"/>
        </w:rPr>
        <w:t>4, 9</w:t>
      </w:r>
      <w:r w:rsidR="00D268A9">
        <w:rPr>
          <w:rFonts w:ascii="Calibri" w:hAnsi="Calibri" w:cs="Calibri"/>
          <w:color w:val="000000"/>
        </w:rPr>
        <w:t>, there appea</w:t>
      </w:r>
      <w:r w:rsidR="002001CC">
        <w:rPr>
          <w:rFonts w:ascii="Calibri" w:hAnsi="Calibri" w:cs="Calibri"/>
          <w:color w:val="000000"/>
        </w:rPr>
        <w:t xml:space="preserve">rs to be a greater effect for remission </w:t>
      </w:r>
      <w:r w:rsidR="00D57B43">
        <w:rPr>
          <w:rFonts w:ascii="Calibri" w:hAnsi="Calibri" w:cs="Calibri"/>
          <w:color w:val="000000"/>
        </w:rPr>
        <w:t xml:space="preserve">rates </w:t>
      </w:r>
      <w:r w:rsidR="002001CC">
        <w:rPr>
          <w:rFonts w:ascii="Calibri" w:hAnsi="Calibri" w:cs="Calibri"/>
          <w:color w:val="000000"/>
        </w:rPr>
        <w:t xml:space="preserve">in the younger age group. </w:t>
      </w:r>
      <w:r>
        <w:rPr>
          <w:rFonts w:ascii="Calibri" w:hAnsi="Calibri" w:cs="Calibri"/>
          <w:color w:val="000000"/>
        </w:rPr>
        <w:t xml:space="preserve">Strengths of these RCTs include study entry challenges (either open or DBPCFC) to determine that the subject is allergic, and end-of-treatment DBPCFC to determine </w:t>
      </w:r>
      <w:r w:rsidR="0084626A">
        <w:rPr>
          <w:rFonts w:ascii="Calibri" w:hAnsi="Calibri" w:cs="Calibri"/>
          <w:color w:val="000000"/>
        </w:rPr>
        <w:t>desensitization</w:t>
      </w:r>
      <w:r>
        <w:rPr>
          <w:rFonts w:ascii="Calibri" w:hAnsi="Calibri" w:cs="Calibri"/>
          <w:color w:val="000000"/>
        </w:rPr>
        <w:t xml:space="preserve"> and remission, however there is much heterogeneity with regards to study entry criteria (e.g. challenge eliciting dose), up-dosing, maintenance dose regimen, treatment length and duration of remission measured (</w:t>
      </w:r>
      <w:r w:rsidR="00475A01">
        <w:rPr>
          <w:rFonts w:ascii="Calibri" w:hAnsi="Calibri" w:cs="Calibri"/>
          <w:color w:val="000000"/>
        </w:rPr>
        <w:t>ranging from</w:t>
      </w:r>
      <w:r>
        <w:rPr>
          <w:rFonts w:ascii="Calibri" w:hAnsi="Calibri" w:cs="Calibri"/>
          <w:color w:val="000000"/>
        </w:rPr>
        <w:t xml:space="preserve"> 4 to 26 weeks). For example, the differences in the rates of remission in IMPACT as compared to PPOIT-003 subgroup may be related to the eliciting dose for study entry</w:t>
      </w:r>
      <w:r w:rsidR="00DD38DD">
        <w:rPr>
          <w:rFonts w:ascii="Calibri" w:hAnsi="Calibri" w:cs="Calibri"/>
          <w:color w:val="000000"/>
        </w:rPr>
        <w:t xml:space="preserve"> or the amount of peanut protein required at OFC for treatment “success</w:t>
      </w:r>
      <w:r w:rsidR="00560223">
        <w:rPr>
          <w:rFonts w:ascii="Calibri" w:hAnsi="Calibri" w:cs="Calibri"/>
          <w:color w:val="000000"/>
        </w:rPr>
        <w:t>”</w:t>
      </w:r>
      <w:r w:rsidR="00DD38DD">
        <w:rPr>
          <w:rFonts w:ascii="Calibri" w:hAnsi="Calibri" w:cs="Calibri"/>
          <w:color w:val="000000"/>
        </w:rPr>
        <w:t xml:space="preserve">, </w:t>
      </w:r>
      <w:r>
        <w:rPr>
          <w:rFonts w:ascii="Calibri" w:hAnsi="Calibri" w:cs="Calibri"/>
          <w:color w:val="000000"/>
        </w:rPr>
        <w:t>and a longer time off treatment to measure remission</w:t>
      </w:r>
      <w:r w:rsidR="00A252E8">
        <w:rPr>
          <w:rFonts w:ascii="Calibri" w:hAnsi="Calibri" w:cs="Calibri"/>
          <w:color w:val="000000"/>
        </w:rPr>
        <w:t>.</w:t>
      </w:r>
      <w:r>
        <w:rPr>
          <w:rFonts w:ascii="Calibri" w:hAnsi="Calibri" w:cs="Calibri"/>
          <w:color w:val="000000"/>
        </w:rPr>
        <w:t xml:space="preserve"> </w:t>
      </w:r>
      <w:r w:rsidR="00661B10" w:rsidRPr="00661B10">
        <w:rPr>
          <w:rFonts w:ascii="Calibri" w:hAnsi="Calibri" w:cs="Calibri"/>
          <w:noProof/>
          <w:color w:val="000000"/>
          <w:vertAlign w:val="superscript"/>
        </w:rPr>
        <w:t>16, 18</w:t>
      </w:r>
      <w:r>
        <w:rPr>
          <w:rFonts w:ascii="Calibri" w:hAnsi="Calibri" w:cs="Calibri"/>
          <w:color w:val="000000"/>
        </w:rPr>
        <w:t xml:space="preserve"> </w:t>
      </w:r>
      <w:r w:rsidR="00A20B2F">
        <w:rPr>
          <w:rFonts w:ascii="Calibri" w:hAnsi="Calibri" w:cs="Calibri"/>
          <w:color w:val="000000"/>
        </w:rPr>
        <w:t xml:space="preserve">There is also no head-to-head data comparing younger preschool children vs older children in the IMPACT or DEVIL studies </w:t>
      </w:r>
      <w:r w:rsidR="00322AB8">
        <w:rPr>
          <w:rFonts w:ascii="Calibri" w:hAnsi="Calibri" w:cs="Calibri"/>
          <w:color w:val="000000"/>
        </w:rPr>
        <w:t xml:space="preserve">with </w:t>
      </w:r>
      <w:r w:rsidR="00A20B2F">
        <w:rPr>
          <w:rFonts w:ascii="Calibri" w:hAnsi="Calibri" w:cs="Calibri"/>
          <w:color w:val="000000"/>
        </w:rPr>
        <w:t>the PPOIT-003 subgroup data limited to efficacy</w:t>
      </w:r>
      <w:r w:rsidR="008C70ED">
        <w:rPr>
          <w:rFonts w:ascii="Calibri" w:hAnsi="Calibri" w:cs="Calibri"/>
          <w:color w:val="000000"/>
        </w:rPr>
        <w:t xml:space="preserve"> rates</w:t>
      </w:r>
      <w:r w:rsidR="00A20B2F">
        <w:rPr>
          <w:rFonts w:ascii="Calibri" w:hAnsi="Calibri" w:cs="Calibri"/>
          <w:color w:val="000000"/>
        </w:rPr>
        <w:t xml:space="preserve">. </w:t>
      </w:r>
      <w:r>
        <w:rPr>
          <w:rFonts w:ascii="Calibri" w:hAnsi="Calibri" w:cs="Calibri"/>
          <w:color w:val="000000"/>
        </w:rPr>
        <w:t xml:space="preserve">Nevertheless, these findings encouragingly suggest that early intervention with OIT </w:t>
      </w:r>
      <w:r w:rsidR="00475A01">
        <w:rPr>
          <w:rFonts w:ascii="Calibri" w:hAnsi="Calibri" w:cs="Calibri"/>
          <w:color w:val="000000"/>
        </w:rPr>
        <w:t>may substantially increase</w:t>
      </w:r>
      <w:r>
        <w:rPr>
          <w:rFonts w:ascii="Calibri" w:hAnsi="Calibri" w:cs="Calibri"/>
          <w:color w:val="000000"/>
        </w:rPr>
        <w:t xml:space="preserve"> </w:t>
      </w:r>
      <w:r w:rsidR="00A96A9F">
        <w:rPr>
          <w:rFonts w:ascii="Calibri" w:hAnsi="Calibri" w:cs="Calibri"/>
          <w:color w:val="000000"/>
        </w:rPr>
        <w:t xml:space="preserve">desensitization </w:t>
      </w:r>
      <w:r>
        <w:rPr>
          <w:rFonts w:ascii="Calibri" w:hAnsi="Calibri" w:cs="Calibri"/>
          <w:color w:val="000000"/>
        </w:rPr>
        <w:t>and remission as compared to placebo or standard allergen avoidance.</w:t>
      </w:r>
    </w:p>
    <w:p w14:paraId="72196379" w14:textId="77777777" w:rsidR="00A96A9F" w:rsidRDefault="00A96A9F" w:rsidP="00195D52">
      <w:pPr>
        <w:pStyle w:val="ListParagraph"/>
        <w:spacing w:line="480" w:lineRule="auto"/>
        <w:ind w:left="0"/>
        <w:jc w:val="both"/>
        <w:rPr>
          <w:rFonts w:ascii="Calibri" w:hAnsi="Calibri" w:cs="Calibri"/>
          <w:color w:val="000000"/>
        </w:rPr>
      </w:pPr>
    </w:p>
    <w:p w14:paraId="2BBD6E06" w14:textId="7B5B8902" w:rsidR="00874009" w:rsidRDefault="00A96A9F" w:rsidP="00195D52">
      <w:pPr>
        <w:pStyle w:val="ListParagraph"/>
        <w:spacing w:line="480" w:lineRule="auto"/>
        <w:ind w:left="0"/>
        <w:jc w:val="both"/>
        <w:rPr>
          <w:rFonts w:ascii="Calibri" w:hAnsi="Calibri" w:cs="Calibri"/>
          <w:color w:val="000000"/>
        </w:rPr>
      </w:pPr>
      <w:r w:rsidRPr="00274703">
        <w:rPr>
          <w:rFonts w:ascii="Calibri" w:hAnsi="Calibri" w:cs="Calibri"/>
          <w:color w:val="000000"/>
        </w:rPr>
        <w:t xml:space="preserve">Mechanistic studies </w:t>
      </w:r>
      <w:r>
        <w:rPr>
          <w:rFonts w:ascii="Calibri" w:hAnsi="Calibri" w:cs="Calibri"/>
          <w:color w:val="000000"/>
        </w:rPr>
        <w:t xml:space="preserve">in the IMPACT trial </w:t>
      </w:r>
      <w:r w:rsidRPr="00274703">
        <w:rPr>
          <w:rFonts w:ascii="Calibri" w:hAnsi="Calibri" w:cs="Calibri"/>
          <w:color w:val="000000"/>
        </w:rPr>
        <w:t>showed early and sustained immune changes</w:t>
      </w:r>
      <w:r w:rsidR="00FE207B">
        <w:rPr>
          <w:rFonts w:ascii="Calibri" w:hAnsi="Calibri" w:cs="Calibri"/>
          <w:color w:val="000000"/>
        </w:rPr>
        <w:t xml:space="preserve"> in all active treatment groups</w:t>
      </w:r>
      <w:r w:rsidRPr="00274703">
        <w:rPr>
          <w:rFonts w:ascii="Calibri" w:hAnsi="Calibri" w:cs="Calibri"/>
          <w:color w:val="000000"/>
        </w:rPr>
        <w:t>, including decreased peanut- and Ara h2-specific IgE, basophil activation and skin prick tests and increased peanut- and Ara h2-specific IgG4</w:t>
      </w:r>
      <w:r>
        <w:rPr>
          <w:rFonts w:ascii="Calibri" w:hAnsi="Calibri" w:cs="Calibri"/>
          <w:color w:val="000000"/>
        </w:rPr>
        <w:t xml:space="preserve"> in the OIT group</w:t>
      </w:r>
      <w:r w:rsidRPr="00274703">
        <w:rPr>
          <w:rFonts w:ascii="Calibri" w:hAnsi="Calibri" w:cs="Calibri"/>
          <w:color w:val="000000"/>
        </w:rPr>
        <w:t xml:space="preserve">, which contrasted </w:t>
      </w:r>
      <w:r w:rsidR="00FE207B">
        <w:rPr>
          <w:rFonts w:ascii="Calibri" w:hAnsi="Calibri" w:cs="Calibri"/>
          <w:color w:val="000000"/>
        </w:rPr>
        <w:t xml:space="preserve">sharply </w:t>
      </w:r>
      <w:r w:rsidRPr="00274703">
        <w:rPr>
          <w:rFonts w:ascii="Calibri" w:hAnsi="Calibri" w:cs="Calibri"/>
          <w:color w:val="000000"/>
        </w:rPr>
        <w:t>to the early</w:t>
      </w:r>
      <w:r w:rsidR="0048325A">
        <w:rPr>
          <w:rFonts w:ascii="Calibri" w:hAnsi="Calibri" w:cs="Calibri"/>
          <w:color w:val="000000"/>
        </w:rPr>
        <w:t xml:space="preserve"> and progressive</w:t>
      </w:r>
      <w:r w:rsidRPr="00274703">
        <w:rPr>
          <w:rFonts w:ascii="Calibri" w:hAnsi="Calibri" w:cs="Calibri"/>
          <w:color w:val="000000"/>
        </w:rPr>
        <w:t xml:space="preserve"> increase in </w:t>
      </w:r>
      <w:r>
        <w:rPr>
          <w:rFonts w:ascii="Calibri" w:hAnsi="Calibri" w:cs="Calibri"/>
          <w:color w:val="000000"/>
        </w:rPr>
        <w:t>peanut</w:t>
      </w:r>
      <w:r w:rsidRPr="00274703">
        <w:rPr>
          <w:rFonts w:ascii="Calibri" w:hAnsi="Calibri" w:cs="Calibri"/>
          <w:color w:val="000000"/>
        </w:rPr>
        <w:t>-</w:t>
      </w:r>
      <w:r w:rsidR="0048325A">
        <w:rPr>
          <w:rFonts w:ascii="Calibri" w:hAnsi="Calibri" w:cs="Calibri"/>
          <w:color w:val="000000"/>
        </w:rPr>
        <w:t xml:space="preserve"> and AraH2-</w:t>
      </w:r>
      <w:r w:rsidRPr="00274703">
        <w:rPr>
          <w:rFonts w:ascii="Calibri" w:hAnsi="Calibri" w:cs="Calibri"/>
          <w:color w:val="000000"/>
        </w:rPr>
        <w:t>specific IgE for those on placebo</w:t>
      </w:r>
      <w:r w:rsidR="0048325A">
        <w:rPr>
          <w:rFonts w:ascii="Calibri" w:hAnsi="Calibri" w:cs="Calibri"/>
          <w:color w:val="000000"/>
        </w:rPr>
        <w:t xml:space="preserve"> that occurred throughout the 160 week study period</w:t>
      </w:r>
      <w:r w:rsidRPr="00274703">
        <w:rPr>
          <w:rFonts w:ascii="Calibri" w:hAnsi="Calibri" w:cs="Calibri"/>
          <w:color w:val="000000"/>
        </w:rPr>
        <w:t xml:space="preserve">. </w:t>
      </w:r>
      <w:r w:rsidRPr="00661B10">
        <w:rPr>
          <w:rFonts w:ascii="Calibri" w:hAnsi="Calibri" w:cs="Calibri"/>
          <w:noProof/>
          <w:color w:val="000000"/>
          <w:vertAlign w:val="superscript"/>
        </w:rPr>
        <w:t>18</w:t>
      </w:r>
      <w:r>
        <w:rPr>
          <w:rFonts w:ascii="Calibri" w:hAnsi="Calibri" w:cs="Calibri"/>
          <w:color w:val="000000"/>
        </w:rPr>
        <w:t xml:space="preserve"> </w:t>
      </w:r>
      <w:r w:rsidRPr="00274703">
        <w:rPr>
          <w:rFonts w:ascii="Calibri" w:hAnsi="Calibri" w:cs="Calibri"/>
          <w:color w:val="000000"/>
        </w:rPr>
        <w:t>Peanut</w:t>
      </w:r>
      <w:r>
        <w:rPr>
          <w:rFonts w:ascii="Calibri" w:hAnsi="Calibri" w:cs="Calibri"/>
          <w:color w:val="000000"/>
        </w:rPr>
        <w:t xml:space="preserve"> </w:t>
      </w:r>
      <w:r w:rsidRPr="00274703">
        <w:rPr>
          <w:rFonts w:ascii="Calibri" w:hAnsi="Calibri" w:cs="Calibri"/>
          <w:color w:val="000000"/>
        </w:rPr>
        <w:t xml:space="preserve">IgE and </w:t>
      </w:r>
      <w:r>
        <w:rPr>
          <w:rFonts w:ascii="Calibri" w:hAnsi="Calibri" w:cs="Calibri"/>
          <w:color w:val="000000"/>
        </w:rPr>
        <w:t xml:space="preserve">screening </w:t>
      </w:r>
      <w:r w:rsidRPr="00274703">
        <w:rPr>
          <w:rFonts w:ascii="Calibri" w:hAnsi="Calibri" w:cs="Calibri"/>
          <w:color w:val="000000"/>
        </w:rPr>
        <w:t xml:space="preserve">age were predictive of </w:t>
      </w:r>
      <w:r w:rsidRPr="00274703">
        <w:rPr>
          <w:rFonts w:ascii="Calibri" w:hAnsi="Calibri" w:cs="Calibri"/>
          <w:color w:val="000000"/>
        </w:rPr>
        <w:lastRenderedPageBreak/>
        <w:t xml:space="preserve">remission in </w:t>
      </w:r>
      <w:r>
        <w:rPr>
          <w:rFonts w:ascii="Calibri" w:hAnsi="Calibri" w:cs="Calibri"/>
          <w:color w:val="000000"/>
        </w:rPr>
        <w:t xml:space="preserve">peanut </w:t>
      </w:r>
      <w:r w:rsidRPr="00274703">
        <w:rPr>
          <w:rFonts w:ascii="Calibri" w:hAnsi="Calibri" w:cs="Calibri"/>
          <w:color w:val="000000"/>
        </w:rPr>
        <w:t>OIT treated children</w:t>
      </w:r>
      <w:r>
        <w:rPr>
          <w:rFonts w:ascii="Calibri" w:hAnsi="Calibri" w:cs="Calibri"/>
          <w:color w:val="000000"/>
        </w:rPr>
        <w:t xml:space="preserve"> where the odds of remission decreases by 88% (95% CI, 54-97%) for every 10-fold increase in baseline peanut sIgE and by 7% (95%CI, 1-12%) for each increase in month at screening age. In contrast, older </w:t>
      </w:r>
      <w:r w:rsidRPr="00D81778">
        <w:rPr>
          <w:rFonts w:ascii="Calibri" w:hAnsi="Calibri" w:cs="Calibri"/>
          <w:bCs/>
          <w:color w:val="000000"/>
        </w:rPr>
        <w:t xml:space="preserve">participants in the IMPACT trial already had high titer IgEs at baseline, suggesting that they more closely resemble older patients with persistent allergy </w:t>
      </w:r>
      <w:r w:rsidRPr="00661B10">
        <w:rPr>
          <w:rFonts w:ascii="Calibri" w:hAnsi="Calibri" w:cs="Calibri"/>
          <w:bCs/>
          <w:noProof/>
          <w:color w:val="000000"/>
          <w:vertAlign w:val="superscript"/>
        </w:rPr>
        <w:t>18</w:t>
      </w:r>
      <w:r w:rsidRPr="00727B7A">
        <w:rPr>
          <w:rFonts w:ascii="Calibri" w:hAnsi="Calibri" w:cs="Calibri"/>
          <w:bCs/>
          <w:color w:val="000000"/>
        </w:rPr>
        <w:t>.</w:t>
      </w:r>
      <w:r>
        <w:rPr>
          <w:rFonts w:ascii="Calibri" w:hAnsi="Calibri" w:cs="Calibri"/>
          <w:bCs/>
          <w:color w:val="000000"/>
        </w:rPr>
        <w:t xml:space="preserve"> Similarly, in the </w:t>
      </w:r>
      <w:r>
        <w:rPr>
          <w:rFonts w:ascii="Calibri" w:hAnsi="Calibri" w:cs="Calibri"/>
          <w:color w:val="000000"/>
        </w:rPr>
        <w:t>DEVIL</w:t>
      </w:r>
      <w:r w:rsidRPr="00274703">
        <w:rPr>
          <w:rFonts w:ascii="Calibri" w:hAnsi="Calibri" w:cs="Calibri"/>
          <w:color w:val="000000"/>
        </w:rPr>
        <w:t xml:space="preserve"> </w:t>
      </w:r>
      <w:r>
        <w:rPr>
          <w:rFonts w:ascii="Calibri" w:hAnsi="Calibri" w:cs="Calibri"/>
          <w:color w:val="000000"/>
        </w:rPr>
        <w:t xml:space="preserve">trial, a lower baseline peanut sIgE and peanut sIgE/total IgE ratio </w:t>
      </w:r>
      <w:r w:rsidR="0048325A">
        <w:rPr>
          <w:rFonts w:ascii="Calibri" w:hAnsi="Calibri" w:cs="Calibri"/>
          <w:color w:val="000000"/>
        </w:rPr>
        <w:t>was</w:t>
      </w:r>
      <w:r>
        <w:rPr>
          <w:rFonts w:ascii="Calibri" w:hAnsi="Calibri" w:cs="Calibri"/>
          <w:color w:val="000000"/>
        </w:rPr>
        <w:t xml:space="preserve"> associated with achieving remission. </w:t>
      </w:r>
      <w:r w:rsidRPr="00274703">
        <w:rPr>
          <w:rFonts w:ascii="Calibri" w:hAnsi="Calibri" w:cs="Calibri"/>
          <w:color w:val="000000"/>
        </w:rPr>
        <w:t>Overall, treatment of young children with peanut OIT appears to have added efficacy benefits with evidence of ongoing immune modulation</w:t>
      </w:r>
      <w:r w:rsidR="0048325A">
        <w:rPr>
          <w:rFonts w:ascii="Calibri" w:hAnsi="Calibri" w:cs="Calibri"/>
          <w:color w:val="000000"/>
        </w:rPr>
        <w:t>, again highlighting the window of opportunity for early intervention</w:t>
      </w:r>
      <w:r w:rsidR="007B4EE4">
        <w:rPr>
          <w:rFonts w:ascii="Calibri" w:hAnsi="Calibri" w:cs="Calibri"/>
          <w:color w:val="000000"/>
        </w:rPr>
        <w:t xml:space="preserve"> immunotherapy</w:t>
      </w:r>
      <w:r>
        <w:rPr>
          <w:rFonts w:ascii="Calibri" w:hAnsi="Calibri" w:cs="Calibri"/>
          <w:color w:val="000000"/>
        </w:rPr>
        <w:t>.</w:t>
      </w:r>
    </w:p>
    <w:p w14:paraId="585D2316" w14:textId="77777777" w:rsidR="00A96A9F" w:rsidRDefault="00A96A9F" w:rsidP="00195D52">
      <w:pPr>
        <w:spacing w:line="480" w:lineRule="auto"/>
        <w:rPr>
          <w:rFonts w:ascii="Calibri" w:hAnsi="Calibri" w:cs="Calibri"/>
          <w:b/>
          <w:color w:val="000000"/>
        </w:rPr>
      </w:pPr>
    </w:p>
    <w:p w14:paraId="7C3E86AA" w14:textId="4038A6A0" w:rsidR="00EE3005" w:rsidRPr="00A319B1" w:rsidRDefault="006A577E" w:rsidP="00195D52">
      <w:pPr>
        <w:spacing w:line="480" w:lineRule="auto"/>
        <w:rPr>
          <w:rFonts w:ascii="Calibri" w:hAnsi="Calibri" w:cs="Calibri"/>
          <w:b/>
          <w:color w:val="000000"/>
        </w:rPr>
      </w:pPr>
      <w:r w:rsidRPr="00A319B1">
        <w:rPr>
          <w:rFonts w:ascii="Calibri" w:hAnsi="Calibri" w:cs="Calibri"/>
          <w:b/>
          <w:color w:val="000000"/>
        </w:rPr>
        <w:t>Pro</w:t>
      </w:r>
      <w:r w:rsidR="001947C6">
        <w:rPr>
          <w:rFonts w:ascii="Calibri" w:hAnsi="Calibri" w:cs="Calibri"/>
          <w:b/>
          <w:color w:val="000000"/>
        </w:rPr>
        <w:t xml:space="preserve"> for </w:t>
      </w:r>
      <w:r w:rsidR="00E64BE6">
        <w:rPr>
          <w:rFonts w:ascii="Calibri" w:hAnsi="Calibri" w:cs="Calibri"/>
          <w:b/>
          <w:color w:val="000000"/>
        </w:rPr>
        <w:t>f</w:t>
      </w:r>
      <w:r w:rsidR="00E64BE6" w:rsidRPr="00E64BE6">
        <w:rPr>
          <w:rFonts w:ascii="Calibri" w:hAnsi="Calibri" w:cs="Calibri"/>
          <w:b/>
          <w:color w:val="000000"/>
        </w:rPr>
        <w:t>ood allerg</w:t>
      </w:r>
      <w:r w:rsidR="00955444">
        <w:rPr>
          <w:rFonts w:ascii="Calibri" w:hAnsi="Calibri" w:cs="Calibri"/>
          <w:b/>
          <w:color w:val="000000"/>
        </w:rPr>
        <w:t>en</w:t>
      </w:r>
      <w:r w:rsidR="00E64BE6" w:rsidRPr="00E64BE6">
        <w:rPr>
          <w:rFonts w:ascii="Calibri" w:hAnsi="Calibri" w:cs="Calibri"/>
          <w:b/>
          <w:color w:val="000000"/>
        </w:rPr>
        <w:t xml:space="preserve"> immunotherapy </w:t>
      </w:r>
      <w:r w:rsidR="001947C6">
        <w:rPr>
          <w:rFonts w:ascii="Calibri" w:hAnsi="Calibri" w:cs="Calibri"/>
          <w:b/>
          <w:color w:val="000000"/>
        </w:rPr>
        <w:t xml:space="preserve">in </w:t>
      </w:r>
      <w:r w:rsidR="00B6093C">
        <w:rPr>
          <w:rFonts w:ascii="Calibri" w:hAnsi="Calibri" w:cs="Calibri"/>
          <w:b/>
          <w:color w:val="000000"/>
        </w:rPr>
        <w:t>preschoolers</w:t>
      </w:r>
    </w:p>
    <w:p w14:paraId="31D83D95" w14:textId="626DB37C" w:rsidR="00634804" w:rsidRDefault="00274703" w:rsidP="00634804">
      <w:pPr>
        <w:pStyle w:val="ListParagraph"/>
        <w:spacing w:line="480" w:lineRule="auto"/>
        <w:ind w:left="0"/>
        <w:jc w:val="both"/>
        <w:rPr>
          <w:rFonts w:ascii="Calibri" w:hAnsi="Calibri" w:cs="Calibri"/>
          <w:color w:val="000000"/>
        </w:rPr>
      </w:pPr>
      <w:r w:rsidRPr="00274703">
        <w:rPr>
          <w:rFonts w:ascii="Calibri" w:hAnsi="Calibri" w:cs="Calibri"/>
          <w:color w:val="000000"/>
        </w:rPr>
        <w:t>OIT studies over the last two decades have focused primarily on school-aged children with limited inclusion of children &lt;4 years, with EPIT and SLIT studies following a similar pattern</w:t>
      </w:r>
      <w:r w:rsidR="009043B0">
        <w:rPr>
          <w:rFonts w:ascii="Calibri" w:hAnsi="Calibri" w:cs="Calibri"/>
          <w:color w:val="000000"/>
        </w:rPr>
        <w:t xml:space="preserve"> </w:t>
      </w:r>
      <w:r w:rsidR="00661B10" w:rsidRPr="00661B10">
        <w:rPr>
          <w:rFonts w:ascii="Calibri" w:hAnsi="Calibri" w:cs="Calibri"/>
          <w:noProof/>
          <w:color w:val="000000"/>
          <w:vertAlign w:val="superscript"/>
        </w:rPr>
        <w:t>4</w:t>
      </w:r>
      <w:r w:rsidRPr="00274703">
        <w:rPr>
          <w:rFonts w:ascii="Calibri" w:hAnsi="Calibri" w:cs="Calibri"/>
          <w:color w:val="000000"/>
        </w:rPr>
        <w:t xml:space="preserve">. </w:t>
      </w:r>
      <w:r w:rsidR="00F36424">
        <w:rPr>
          <w:rFonts w:ascii="Calibri" w:hAnsi="Calibri" w:cs="Calibri"/>
          <w:color w:val="000000"/>
        </w:rPr>
        <w:t xml:space="preserve"> </w:t>
      </w:r>
      <w:r w:rsidRPr="00274703">
        <w:rPr>
          <w:rFonts w:ascii="Calibri" w:hAnsi="Calibri" w:cs="Calibri"/>
          <w:color w:val="000000"/>
        </w:rPr>
        <w:t xml:space="preserve">Researchers were initially cautious about extending studies into preschool ages </w:t>
      </w:r>
      <w:r w:rsidR="00DD38DD">
        <w:rPr>
          <w:rFonts w:ascii="Calibri" w:hAnsi="Calibri" w:cs="Calibri"/>
          <w:color w:val="000000"/>
        </w:rPr>
        <w:t xml:space="preserve">with </w:t>
      </w:r>
      <w:r w:rsidRPr="00274703">
        <w:rPr>
          <w:rFonts w:ascii="Calibri" w:hAnsi="Calibri" w:cs="Calibri"/>
          <w:color w:val="000000"/>
        </w:rPr>
        <w:t xml:space="preserve">concerns for </w:t>
      </w:r>
      <w:r w:rsidR="00DD38DD">
        <w:rPr>
          <w:rFonts w:ascii="Calibri" w:hAnsi="Calibri" w:cs="Calibri"/>
          <w:color w:val="000000"/>
        </w:rPr>
        <w:t xml:space="preserve">potentially </w:t>
      </w:r>
      <w:r w:rsidRPr="00274703">
        <w:rPr>
          <w:rFonts w:ascii="Calibri" w:hAnsi="Calibri" w:cs="Calibri"/>
          <w:color w:val="000000"/>
        </w:rPr>
        <w:t>higher adverse event</w:t>
      </w:r>
      <w:r w:rsidR="00DD38DD">
        <w:rPr>
          <w:rFonts w:ascii="Calibri" w:hAnsi="Calibri" w:cs="Calibri"/>
          <w:color w:val="000000"/>
        </w:rPr>
        <w:t xml:space="preserve"> rates</w:t>
      </w:r>
      <w:r w:rsidRPr="00274703">
        <w:rPr>
          <w:rFonts w:ascii="Calibri" w:hAnsi="Calibri" w:cs="Calibri"/>
          <w:color w:val="000000"/>
        </w:rPr>
        <w:t xml:space="preserve"> and unwarranted anaphylaxis</w:t>
      </w:r>
      <w:r w:rsidR="00801849">
        <w:rPr>
          <w:rFonts w:ascii="Calibri" w:hAnsi="Calibri" w:cs="Calibri"/>
          <w:color w:val="000000"/>
        </w:rPr>
        <w:t xml:space="preserve"> </w:t>
      </w:r>
      <w:r w:rsidR="00DD38DD">
        <w:rPr>
          <w:rFonts w:ascii="Calibri" w:hAnsi="Calibri" w:cs="Calibri"/>
          <w:color w:val="000000"/>
        </w:rPr>
        <w:t xml:space="preserve">in </w:t>
      </w:r>
      <w:r w:rsidR="00801849">
        <w:rPr>
          <w:rFonts w:ascii="Calibri" w:hAnsi="Calibri" w:cs="Calibri"/>
          <w:color w:val="000000"/>
        </w:rPr>
        <w:t>t</w:t>
      </w:r>
      <w:r w:rsidRPr="00274703">
        <w:rPr>
          <w:rFonts w:ascii="Calibri" w:hAnsi="Calibri" w:cs="Calibri"/>
          <w:color w:val="000000"/>
        </w:rPr>
        <w:t xml:space="preserve">his age group of peanut-allergic children </w:t>
      </w:r>
      <w:r w:rsidR="00C020F8">
        <w:rPr>
          <w:rFonts w:ascii="Calibri" w:hAnsi="Calibri" w:cs="Calibri"/>
          <w:color w:val="000000"/>
        </w:rPr>
        <w:t xml:space="preserve">where there </w:t>
      </w:r>
      <w:r w:rsidR="001A7874">
        <w:rPr>
          <w:rFonts w:ascii="Calibri" w:hAnsi="Calibri" w:cs="Calibri"/>
          <w:color w:val="000000"/>
        </w:rPr>
        <w:t xml:space="preserve">may be </w:t>
      </w:r>
      <w:r w:rsidR="00C020F8">
        <w:rPr>
          <w:rFonts w:ascii="Calibri" w:hAnsi="Calibri" w:cs="Calibri"/>
          <w:color w:val="000000"/>
        </w:rPr>
        <w:t xml:space="preserve">higher </w:t>
      </w:r>
      <w:r w:rsidRPr="00274703">
        <w:rPr>
          <w:rFonts w:ascii="Calibri" w:hAnsi="Calibri" w:cs="Calibri"/>
          <w:color w:val="000000"/>
        </w:rPr>
        <w:t xml:space="preserve">risks of accidental ingestion and </w:t>
      </w:r>
      <w:r w:rsidR="00DD38DD">
        <w:rPr>
          <w:rFonts w:ascii="Calibri" w:hAnsi="Calibri" w:cs="Calibri"/>
          <w:color w:val="000000"/>
        </w:rPr>
        <w:t>potential for</w:t>
      </w:r>
      <w:r w:rsidRPr="00274703">
        <w:rPr>
          <w:rFonts w:ascii="Calibri" w:hAnsi="Calibri" w:cs="Calibri"/>
          <w:color w:val="000000"/>
        </w:rPr>
        <w:t xml:space="preserve"> poor reporting capacity </w:t>
      </w:r>
      <w:r w:rsidR="00475A01">
        <w:rPr>
          <w:rFonts w:ascii="Calibri" w:hAnsi="Calibri" w:cs="Calibri"/>
          <w:color w:val="000000"/>
        </w:rPr>
        <w:t>of</w:t>
      </w:r>
      <w:r w:rsidR="00475A01" w:rsidRPr="00274703">
        <w:rPr>
          <w:rFonts w:ascii="Calibri" w:hAnsi="Calibri" w:cs="Calibri"/>
          <w:color w:val="000000"/>
        </w:rPr>
        <w:t xml:space="preserve"> </w:t>
      </w:r>
      <w:r w:rsidRPr="00274703">
        <w:rPr>
          <w:rFonts w:ascii="Calibri" w:hAnsi="Calibri" w:cs="Calibri"/>
          <w:color w:val="000000"/>
        </w:rPr>
        <w:t>exposures and/or symptom progression</w:t>
      </w:r>
      <w:r w:rsidR="00C020F8">
        <w:rPr>
          <w:rFonts w:ascii="Calibri" w:hAnsi="Calibri" w:cs="Calibri"/>
          <w:color w:val="000000"/>
        </w:rPr>
        <w:t>.</w:t>
      </w:r>
      <w:r w:rsidRPr="00274703">
        <w:rPr>
          <w:rFonts w:ascii="Calibri" w:hAnsi="Calibri" w:cs="Calibri"/>
          <w:color w:val="000000"/>
        </w:rPr>
        <w:t xml:space="preserve"> </w:t>
      </w:r>
    </w:p>
    <w:p w14:paraId="5550F662" w14:textId="77777777" w:rsidR="00271EE4" w:rsidRDefault="00271EE4" w:rsidP="00195D52">
      <w:pPr>
        <w:pStyle w:val="ListParagraph"/>
        <w:spacing w:line="480" w:lineRule="auto"/>
        <w:ind w:left="0"/>
        <w:jc w:val="both"/>
        <w:rPr>
          <w:rFonts w:ascii="Calibri" w:hAnsi="Calibri" w:cs="Calibri"/>
          <w:color w:val="000000"/>
        </w:rPr>
      </w:pPr>
    </w:p>
    <w:p w14:paraId="074F0F99" w14:textId="3E739AEE" w:rsidR="00DD72A6" w:rsidRDefault="006723C5" w:rsidP="00195D52">
      <w:pPr>
        <w:pStyle w:val="ListParagraph"/>
        <w:spacing w:line="480" w:lineRule="auto"/>
        <w:ind w:left="0"/>
        <w:jc w:val="both"/>
        <w:rPr>
          <w:rFonts w:ascii="Calibri" w:hAnsi="Calibri" w:cs="Calibri"/>
          <w:color w:val="000000"/>
        </w:rPr>
      </w:pPr>
      <w:r>
        <w:rPr>
          <w:rFonts w:ascii="Calibri" w:hAnsi="Calibri" w:cs="Calibri"/>
          <w:color w:val="000000"/>
        </w:rPr>
        <w:t xml:space="preserve">It is encouraging that </w:t>
      </w:r>
      <w:r w:rsidR="009416E7">
        <w:rPr>
          <w:rFonts w:ascii="Calibri" w:hAnsi="Calibri" w:cs="Calibri"/>
          <w:color w:val="000000"/>
        </w:rPr>
        <w:t xml:space="preserve">increasing remission rates are demonstrated with decreasing </w:t>
      </w:r>
      <w:r w:rsidR="00475A01">
        <w:rPr>
          <w:rFonts w:ascii="Calibri" w:hAnsi="Calibri" w:cs="Calibri"/>
          <w:color w:val="000000"/>
        </w:rPr>
        <w:t>age</w:t>
      </w:r>
      <w:r w:rsidR="009416E7">
        <w:rPr>
          <w:rFonts w:ascii="Calibri" w:hAnsi="Calibri" w:cs="Calibri"/>
          <w:color w:val="000000"/>
        </w:rPr>
        <w:t xml:space="preserve">, in particular those less than 24 months of age. </w:t>
      </w:r>
      <w:r w:rsidR="00BE31F8">
        <w:rPr>
          <w:rFonts w:ascii="Calibri" w:hAnsi="Calibri" w:cs="Calibri"/>
          <w:color w:val="000000"/>
        </w:rPr>
        <w:t>While the evidence remains limited</w:t>
      </w:r>
      <w:r w:rsidR="00E84D57">
        <w:rPr>
          <w:rFonts w:ascii="Calibri" w:hAnsi="Calibri" w:cs="Calibri"/>
          <w:color w:val="000000"/>
        </w:rPr>
        <w:t xml:space="preserve"> and </w:t>
      </w:r>
      <w:r w:rsidR="00616389">
        <w:rPr>
          <w:rFonts w:ascii="Calibri" w:hAnsi="Calibri" w:cs="Calibri"/>
          <w:color w:val="000000"/>
        </w:rPr>
        <w:t xml:space="preserve">remission rates vary between studies, </w:t>
      </w:r>
      <w:r w:rsidR="00E84D57">
        <w:rPr>
          <w:rFonts w:ascii="Calibri" w:hAnsi="Calibri" w:cs="Calibri"/>
          <w:color w:val="000000"/>
        </w:rPr>
        <w:t>the 2 larger RCT</w:t>
      </w:r>
      <w:r w:rsidR="00475A01">
        <w:rPr>
          <w:rFonts w:ascii="Calibri" w:hAnsi="Calibri" w:cs="Calibri"/>
          <w:color w:val="000000"/>
        </w:rPr>
        <w:t>s</w:t>
      </w:r>
      <w:r w:rsidR="00E84D57">
        <w:rPr>
          <w:rFonts w:ascii="Calibri" w:hAnsi="Calibri" w:cs="Calibri"/>
          <w:color w:val="000000"/>
        </w:rPr>
        <w:t xml:space="preserve"> </w:t>
      </w:r>
      <w:r w:rsidR="00852980">
        <w:rPr>
          <w:rFonts w:ascii="Calibri" w:hAnsi="Calibri" w:cs="Calibri"/>
          <w:color w:val="000000"/>
        </w:rPr>
        <w:t xml:space="preserve">IMPACT and PPOIT-003 point towards </w:t>
      </w:r>
      <w:r w:rsidR="00BE31F8">
        <w:rPr>
          <w:rFonts w:ascii="Calibri" w:hAnsi="Calibri" w:cs="Calibri"/>
          <w:color w:val="000000"/>
        </w:rPr>
        <w:t xml:space="preserve">higher rates of </w:t>
      </w:r>
      <w:r w:rsidR="0084626A">
        <w:rPr>
          <w:rFonts w:ascii="Calibri" w:hAnsi="Calibri" w:cs="Calibri"/>
          <w:color w:val="000000"/>
        </w:rPr>
        <w:t>desensitization</w:t>
      </w:r>
      <w:r w:rsidR="00BE31F8" w:rsidRPr="008F374B">
        <w:rPr>
          <w:rFonts w:ascii="Calibri" w:hAnsi="Calibri" w:cs="Calibri"/>
          <w:color w:val="000000"/>
        </w:rPr>
        <w:t xml:space="preserve"> and </w:t>
      </w:r>
      <w:r w:rsidR="001E6271">
        <w:rPr>
          <w:rFonts w:ascii="Calibri" w:hAnsi="Calibri" w:cs="Calibri"/>
          <w:color w:val="000000"/>
        </w:rPr>
        <w:t>remission</w:t>
      </w:r>
      <w:r w:rsidR="00BE31F8">
        <w:rPr>
          <w:rFonts w:ascii="Calibri" w:hAnsi="Calibri" w:cs="Calibri"/>
          <w:color w:val="000000"/>
        </w:rPr>
        <w:t xml:space="preserve"> in a </w:t>
      </w:r>
      <w:r w:rsidR="00852980">
        <w:rPr>
          <w:rFonts w:ascii="Calibri" w:hAnsi="Calibri" w:cs="Calibri"/>
          <w:color w:val="000000"/>
        </w:rPr>
        <w:t>pre</w:t>
      </w:r>
      <w:r w:rsidR="00BE31F8">
        <w:rPr>
          <w:rFonts w:ascii="Calibri" w:hAnsi="Calibri" w:cs="Calibri"/>
          <w:color w:val="000000"/>
        </w:rPr>
        <w:t>school age group versus an older age group.</w:t>
      </w:r>
      <w:r w:rsidR="007C6E4B">
        <w:rPr>
          <w:rFonts w:ascii="Calibri" w:hAnsi="Calibri" w:cs="Calibri"/>
          <w:color w:val="000000"/>
        </w:rPr>
        <w:t xml:space="preserve"> Furthermore, </w:t>
      </w:r>
      <w:r w:rsidR="00274703" w:rsidRPr="00410DDC">
        <w:rPr>
          <w:rFonts w:ascii="Calibri" w:hAnsi="Calibri" w:cs="Calibri"/>
          <w:color w:val="000000"/>
        </w:rPr>
        <w:t xml:space="preserve">57% of </w:t>
      </w:r>
      <w:r w:rsidR="007C6E4B" w:rsidRPr="00D81778">
        <w:rPr>
          <w:rFonts w:ascii="Calibri" w:hAnsi="Calibri" w:cs="Calibri"/>
          <w:color w:val="000000"/>
        </w:rPr>
        <w:t>peanut</w:t>
      </w:r>
      <w:r w:rsidR="00274703" w:rsidRPr="00C74689">
        <w:rPr>
          <w:rFonts w:ascii="Calibri" w:hAnsi="Calibri" w:cs="Calibri"/>
          <w:color w:val="000000"/>
        </w:rPr>
        <w:t xml:space="preserve">-treated children </w:t>
      </w:r>
      <w:r w:rsidR="007C6E4B" w:rsidRPr="00D81778">
        <w:rPr>
          <w:rFonts w:ascii="Calibri" w:hAnsi="Calibri" w:cs="Calibri"/>
          <w:color w:val="000000"/>
        </w:rPr>
        <w:t xml:space="preserve">in the IMPACT study </w:t>
      </w:r>
      <w:r w:rsidR="00274703" w:rsidRPr="00C74689">
        <w:rPr>
          <w:rFonts w:ascii="Calibri" w:hAnsi="Calibri" w:cs="Calibri"/>
          <w:color w:val="000000"/>
        </w:rPr>
        <w:t xml:space="preserve">versus only 1 on placebo, could safely consume 1750 mg of peanut, </w:t>
      </w:r>
      <w:r w:rsidR="007C6E4B" w:rsidRPr="00D81778">
        <w:rPr>
          <w:rFonts w:ascii="Calibri" w:hAnsi="Calibri" w:cs="Calibri"/>
          <w:color w:val="000000"/>
        </w:rPr>
        <w:t xml:space="preserve">which is </w:t>
      </w:r>
      <w:r w:rsidR="00274703" w:rsidRPr="00C74689">
        <w:rPr>
          <w:rFonts w:ascii="Calibri" w:hAnsi="Calibri" w:cs="Calibri"/>
          <w:color w:val="000000"/>
        </w:rPr>
        <w:t xml:space="preserve">a child-size serving portion. </w:t>
      </w:r>
      <w:r w:rsidR="00661B10" w:rsidRPr="00661B10">
        <w:rPr>
          <w:rFonts w:ascii="Calibri" w:hAnsi="Calibri" w:cs="Calibri"/>
          <w:noProof/>
          <w:color w:val="000000"/>
          <w:vertAlign w:val="superscript"/>
        </w:rPr>
        <w:t>18</w:t>
      </w:r>
      <w:r w:rsidR="008874B3">
        <w:rPr>
          <w:rFonts w:ascii="Calibri" w:hAnsi="Calibri" w:cs="Calibri"/>
          <w:color w:val="000000"/>
        </w:rPr>
        <w:t xml:space="preserve"> </w:t>
      </w:r>
      <w:r w:rsidR="007C6E4B" w:rsidRPr="00C74689">
        <w:rPr>
          <w:rFonts w:ascii="Calibri" w:hAnsi="Calibri" w:cs="Calibri"/>
          <w:color w:val="000000"/>
        </w:rPr>
        <w:t xml:space="preserve">Similarly, the earlier </w:t>
      </w:r>
      <w:r w:rsidR="007C6E4B" w:rsidRPr="00D81778">
        <w:rPr>
          <w:rFonts w:ascii="Calibri" w:hAnsi="Calibri" w:cs="Calibri"/>
          <w:color w:val="000000"/>
        </w:rPr>
        <w:t>DEVIL study</w:t>
      </w:r>
      <w:r w:rsidR="00616389">
        <w:rPr>
          <w:rFonts w:ascii="Calibri" w:hAnsi="Calibri" w:cs="Calibri"/>
          <w:color w:val="000000"/>
        </w:rPr>
        <w:t xml:space="preserve"> </w:t>
      </w:r>
      <w:r w:rsidR="007C6E4B" w:rsidRPr="00D81778">
        <w:rPr>
          <w:rFonts w:ascii="Calibri" w:hAnsi="Calibri" w:cs="Calibri"/>
          <w:color w:val="000000"/>
        </w:rPr>
        <w:t>also demonstrated that children treated with peanut OIT had a 19-fold increased ability to incorporate peanut in the diet</w:t>
      </w:r>
      <w:r w:rsidR="00616389">
        <w:rPr>
          <w:rFonts w:ascii="Calibri" w:hAnsi="Calibri" w:cs="Calibri"/>
          <w:color w:val="000000"/>
        </w:rPr>
        <w:t xml:space="preserve"> compared to standard care controls</w:t>
      </w:r>
      <w:r w:rsidR="008874B3">
        <w:rPr>
          <w:rFonts w:ascii="Calibri" w:hAnsi="Calibri" w:cs="Calibri"/>
          <w:color w:val="000000"/>
        </w:rPr>
        <w:t xml:space="preserve"> </w:t>
      </w:r>
      <w:r w:rsidR="00661B10" w:rsidRPr="00661B10">
        <w:rPr>
          <w:rFonts w:ascii="Calibri" w:hAnsi="Calibri" w:cs="Calibri"/>
          <w:noProof/>
          <w:color w:val="000000"/>
          <w:vertAlign w:val="superscript"/>
        </w:rPr>
        <w:t>17</w:t>
      </w:r>
      <w:r w:rsidR="007C6E4B" w:rsidRPr="00C74689">
        <w:rPr>
          <w:rFonts w:ascii="Calibri" w:hAnsi="Calibri" w:cs="Calibri"/>
          <w:color w:val="000000"/>
        </w:rPr>
        <w:t>.</w:t>
      </w:r>
      <w:r w:rsidR="00064FA1">
        <w:rPr>
          <w:rFonts w:ascii="Calibri" w:hAnsi="Calibri" w:cs="Calibri"/>
          <w:color w:val="000000"/>
        </w:rPr>
        <w:t xml:space="preserve"> One caveat is that a</w:t>
      </w:r>
      <w:r w:rsidR="00616389">
        <w:rPr>
          <w:rFonts w:ascii="Calibri" w:hAnsi="Calibri" w:cs="Calibri"/>
          <w:color w:val="000000"/>
        </w:rPr>
        <w:t xml:space="preserve"> simple</w:t>
      </w:r>
      <w:r w:rsidR="00064FA1">
        <w:rPr>
          <w:rFonts w:ascii="Calibri" w:hAnsi="Calibri" w:cs="Calibri"/>
          <w:color w:val="000000"/>
        </w:rPr>
        <w:t xml:space="preserve"> comparison of </w:t>
      </w:r>
      <w:r w:rsidR="00064FA1">
        <w:rPr>
          <w:rFonts w:ascii="Calibri" w:hAnsi="Calibri" w:cs="Calibri"/>
          <w:color w:val="000000"/>
        </w:rPr>
        <w:lastRenderedPageBreak/>
        <w:t xml:space="preserve">OIT outcomes in younger verses older children does not control for a higher rate of natural resolution in the younger </w:t>
      </w:r>
      <w:r w:rsidR="00616389">
        <w:rPr>
          <w:rFonts w:ascii="Calibri" w:hAnsi="Calibri" w:cs="Calibri"/>
          <w:color w:val="000000"/>
        </w:rPr>
        <w:t xml:space="preserve">age groups, thus </w:t>
      </w:r>
      <w:r w:rsidR="00064FA1">
        <w:rPr>
          <w:rFonts w:ascii="Calibri" w:hAnsi="Calibri" w:cs="Calibri"/>
          <w:color w:val="000000"/>
        </w:rPr>
        <w:t xml:space="preserve">we do not know how much of the improved outcomes are due to </w:t>
      </w:r>
      <w:r w:rsidR="00616389">
        <w:rPr>
          <w:rFonts w:ascii="Calibri" w:hAnsi="Calibri" w:cs="Calibri"/>
          <w:color w:val="000000"/>
        </w:rPr>
        <w:t xml:space="preserve">differences in </w:t>
      </w:r>
      <w:r w:rsidR="00064FA1">
        <w:rPr>
          <w:rFonts w:ascii="Calibri" w:hAnsi="Calibri" w:cs="Calibri"/>
          <w:color w:val="000000"/>
        </w:rPr>
        <w:t>natural resolution</w:t>
      </w:r>
      <w:r w:rsidR="00DD72A6">
        <w:rPr>
          <w:rFonts w:ascii="Calibri" w:hAnsi="Calibri" w:cs="Calibri"/>
          <w:color w:val="000000"/>
        </w:rPr>
        <w:t>, yet the RCT presented do not support natural tolerance as a viable explanation for the beneficial efficacy outcomes documented</w:t>
      </w:r>
      <w:r w:rsidR="00064FA1">
        <w:rPr>
          <w:rFonts w:ascii="Calibri" w:hAnsi="Calibri" w:cs="Calibri"/>
          <w:color w:val="000000"/>
        </w:rPr>
        <w:t>.</w:t>
      </w:r>
      <w:r w:rsidR="00A96A9F" w:rsidRPr="00A96A9F">
        <w:rPr>
          <w:rFonts w:ascii="Calibri" w:hAnsi="Calibri" w:cs="Calibri"/>
          <w:color w:val="000000"/>
        </w:rPr>
        <w:t xml:space="preserve"> </w:t>
      </w:r>
    </w:p>
    <w:p w14:paraId="1CF36712" w14:textId="77777777" w:rsidR="00DD72A6" w:rsidRDefault="00DD72A6" w:rsidP="00195D52">
      <w:pPr>
        <w:pStyle w:val="ListParagraph"/>
        <w:spacing w:line="480" w:lineRule="auto"/>
        <w:ind w:left="0"/>
        <w:jc w:val="both"/>
        <w:rPr>
          <w:rFonts w:ascii="Calibri" w:hAnsi="Calibri" w:cs="Calibri"/>
          <w:color w:val="000000"/>
        </w:rPr>
      </w:pPr>
    </w:p>
    <w:p w14:paraId="60C7B2B3" w14:textId="15F64586" w:rsidR="004035DC" w:rsidRDefault="00A96A9F" w:rsidP="0017485D">
      <w:pPr>
        <w:spacing w:after="0" w:line="480" w:lineRule="auto"/>
        <w:jc w:val="both"/>
        <w:rPr>
          <w:rFonts w:ascii="Calibri" w:hAnsi="Calibri" w:cs="Calibri"/>
          <w:color w:val="000000"/>
        </w:rPr>
      </w:pPr>
      <w:r>
        <w:rPr>
          <w:rFonts w:ascii="Calibri" w:hAnsi="Calibri" w:cs="Calibri"/>
          <w:color w:val="000000"/>
        </w:rPr>
        <w:t xml:space="preserve">Furthermore, mechanistic </w:t>
      </w:r>
      <w:r w:rsidRPr="00274703">
        <w:rPr>
          <w:rFonts w:ascii="Calibri" w:hAnsi="Calibri" w:cs="Calibri"/>
          <w:color w:val="000000"/>
        </w:rPr>
        <w:t xml:space="preserve">findings </w:t>
      </w:r>
      <w:r>
        <w:rPr>
          <w:rFonts w:ascii="Calibri" w:hAnsi="Calibri" w:cs="Calibri"/>
          <w:color w:val="000000"/>
        </w:rPr>
        <w:t>describe</w:t>
      </w:r>
      <w:r w:rsidR="007034F7">
        <w:rPr>
          <w:rFonts w:ascii="Calibri" w:hAnsi="Calibri" w:cs="Calibri"/>
          <w:color w:val="000000"/>
        </w:rPr>
        <w:t>d</w:t>
      </w:r>
      <w:r>
        <w:rPr>
          <w:rFonts w:ascii="Calibri" w:hAnsi="Calibri" w:cs="Calibri"/>
          <w:color w:val="000000"/>
        </w:rPr>
        <w:t xml:space="preserve"> above </w:t>
      </w:r>
      <w:r w:rsidRPr="00274703">
        <w:rPr>
          <w:rFonts w:ascii="Calibri" w:hAnsi="Calibri" w:cs="Calibri"/>
          <w:color w:val="000000"/>
        </w:rPr>
        <w:t>suggest</w:t>
      </w:r>
      <w:r w:rsidR="007034F7">
        <w:rPr>
          <w:rFonts w:ascii="Calibri" w:hAnsi="Calibri" w:cs="Calibri"/>
          <w:color w:val="000000"/>
        </w:rPr>
        <w:t xml:space="preserve"> and supports</w:t>
      </w:r>
      <w:r w:rsidRPr="00274703">
        <w:rPr>
          <w:rFonts w:ascii="Calibri" w:hAnsi="Calibri" w:cs="Calibri"/>
          <w:color w:val="000000"/>
        </w:rPr>
        <w:t xml:space="preserve"> the existence of an early window of opportunity, likely due to young age</w:t>
      </w:r>
      <w:r>
        <w:rPr>
          <w:rFonts w:ascii="Calibri" w:hAnsi="Calibri" w:cs="Calibri"/>
          <w:color w:val="000000"/>
        </w:rPr>
        <w:t>, lower IgE</w:t>
      </w:r>
      <w:r w:rsidRPr="00274703">
        <w:rPr>
          <w:rFonts w:ascii="Calibri" w:hAnsi="Calibri" w:cs="Calibri"/>
          <w:color w:val="000000"/>
        </w:rPr>
        <w:t xml:space="preserve"> and immune plasticity, that allows for a robust treatment response that may be prolonged.</w:t>
      </w:r>
    </w:p>
    <w:p w14:paraId="6BAF7D1E" w14:textId="57AD3C95" w:rsidR="002A5D34" w:rsidRDefault="002A5D34" w:rsidP="00195D52">
      <w:pPr>
        <w:pStyle w:val="ListParagraph"/>
        <w:spacing w:line="480" w:lineRule="auto"/>
        <w:ind w:left="0"/>
        <w:jc w:val="both"/>
        <w:rPr>
          <w:rFonts w:ascii="Calibri" w:hAnsi="Calibri" w:cs="Calibri"/>
          <w:color w:val="000000"/>
        </w:rPr>
      </w:pPr>
    </w:p>
    <w:p w14:paraId="445BA82B" w14:textId="77777777" w:rsidR="00274703" w:rsidRDefault="00274703" w:rsidP="00195D52">
      <w:pPr>
        <w:spacing w:line="480" w:lineRule="auto"/>
        <w:rPr>
          <w:rFonts w:ascii="Calibri" w:hAnsi="Calibri" w:cs="Calibri"/>
          <w:b/>
          <w:color w:val="000000"/>
        </w:rPr>
      </w:pPr>
    </w:p>
    <w:p w14:paraId="105DF006" w14:textId="220A2AF9" w:rsidR="00B76E6C" w:rsidRPr="00A319B1" w:rsidRDefault="00B76E6C" w:rsidP="00195D52">
      <w:pPr>
        <w:spacing w:line="480" w:lineRule="auto"/>
        <w:rPr>
          <w:rFonts w:ascii="Calibri" w:hAnsi="Calibri" w:cs="Calibri"/>
          <w:b/>
          <w:color w:val="000000"/>
        </w:rPr>
      </w:pPr>
      <w:r w:rsidRPr="00A319B1">
        <w:rPr>
          <w:rFonts w:ascii="Calibri" w:hAnsi="Calibri" w:cs="Calibri"/>
          <w:b/>
          <w:color w:val="000000"/>
        </w:rPr>
        <w:t>Con</w:t>
      </w:r>
      <w:r w:rsidRPr="001947C6">
        <w:rPr>
          <w:rFonts w:ascii="Calibri" w:hAnsi="Calibri" w:cs="Calibri"/>
          <w:b/>
          <w:color w:val="000000"/>
        </w:rPr>
        <w:t xml:space="preserve"> </w:t>
      </w:r>
      <w:r>
        <w:rPr>
          <w:rFonts w:ascii="Calibri" w:hAnsi="Calibri" w:cs="Calibri"/>
          <w:b/>
          <w:color w:val="000000"/>
        </w:rPr>
        <w:t xml:space="preserve">for </w:t>
      </w:r>
      <w:r w:rsidR="00E64BE6">
        <w:rPr>
          <w:rFonts w:ascii="Calibri" w:hAnsi="Calibri" w:cs="Calibri"/>
          <w:b/>
          <w:color w:val="000000"/>
        </w:rPr>
        <w:t>f</w:t>
      </w:r>
      <w:r w:rsidR="00E64BE6" w:rsidRPr="00E64BE6">
        <w:rPr>
          <w:rFonts w:ascii="Calibri" w:hAnsi="Calibri" w:cs="Calibri"/>
          <w:b/>
          <w:color w:val="000000"/>
        </w:rPr>
        <w:t>ood allerg</w:t>
      </w:r>
      <w:r w:rsidR="00955444">
        <w:rPr>
          <w:rFonts w:ascii="Calibri" w:hAnsi="Calibri" w:cs="Calibri"/>
          <w:b/>
          <w:color w:val="000000"/>
        </w:rPr>
        <w:t>en</w:t>
      </w:r>
      <w:r w:rsidR="00E64BE6" w:rsidRPr="00E64BE6">
        <w:rPr>
          <w:rFonts w:ascii="Calibri" w:hAnsi="Calibri" w:cs="Calibri"/>
          <w:b/>
          <w:color w:val="000000"/>
        </w:rPr>
        <w:t xml:space="preserve"> immunotherapy </w:t>
      </w:r>
      <w:r>
        <w:rPr>
          <w:rFonts w:ascii="Calibri" w:hAnsi="Calibri" w:cs="Calibri"/>
          <w:b/>
          <w:color w:val="000000"/>
        </w:rPr>
        <w:t>in preschoolers</w:t>
      </w:r>
    </w:p>
    <w:p w14:paraId="6DD5CB24" w14:textId="649BA5BF" w:rsidR="00773DA1" w:rsidRDefault="00B76E6C" w:rsidP="00195D52">
      <w:pPr>
        <w:spacing w:line="480" w:lineRule="auto"/>
        <w:jc w:val="both"/>
      </w:pPr>
      <w:r>
        <w:t xml:space="preserve">The natural course of egg and milk allergy without intervention is largely favourable, with </w:t>
      </w:r>
      <w:r w:rsidR="00AC21C0">
        <w:t xml:space="preserve">at least </w:t>
      </w:r>
      <w:r>
        <w:t xml:space="preserve">80% of egg and cow’s milk allergy expected to naturally resolve by school-age. </w:t>
      </w:r>
      <w:r w:rsidR="00665420" w:rsidRPr="00665420">
        <w:rPr>
          <w:noProof/>
          <w:vertAlign w:val="superscript"/>
        </w:rPr>
        <w:t>24, 43, 44</w:t>
      </w:r>
      <w:r w:rsidR="00773DA1">
        <w:t xml:space="preserve"> Although</w:t>
      </w:r>
      <w:r>
        <w:t xml:space="preserve"> </w:t>
      </w:r>
      <w:r w:rsidR="00AC21C0">
        <w:t xml:space="preserve">peanut and tree nut allergies are more often persistent, studies </w:t>
      </w:r>
      <w:r w:rsidR="00773DA1">
        <w:t>suggest</w:t>
      </w:r>
      <w:r w:rsidR="00AC21C0">
        <w:t xml:space="preserve"> that </w:t>
      </w:r>
      <w:r w:rsidR="00773DA1">
        <w:t>at least</w:t>
      </w:r>
      <w:r w:rsidR="00AC21C0">
        <w:t xml:space="preserve"> </w:t>
      </w:r>
      <w:r>
        <w:t>10%</w:t>
      </w:r>
      <w:r w:rsidR="00AC21C0">
        <w:t>-</w:t>
      </w:r>
      <w:r>
        <w:t>20% are expected to resolve</w:t>
      </w:r>
      <w:r w:rsidR="000E74B7">
        <w:t xml:space="preserve"> </w:t>
      </w:r>
      <w:r w:rsidR="00665420" w:rsidRPr="00665420">
        <w:rPr>
          <w:noProof/>
          <w:vertAlign w:val="superscript"/>
        </w:rPr>
        <w:t>10, 28, 45, 46</w:t>
      </w:r>
      <w:r>
        <w:t xml:space="preserve"> Recent evidence suggests that the prognosis may be </w:t>
      </w:r>
      <w:r w:rsidR="00773DA1">
        <w:t xml:space="preserve">even </w:t>
      </w:r>
      <w:r>
        <w:t>more favourable</w:t>
      </w:r>
      <w:r w:rsidR="00AC21C0">
        <w:t xml:space="preserve"> than previously thought</w:t>
      </w:r>
      <w:r>
        <w:t xml:space="preserve">, with 90% of raw egg and </w:t>
      </w:r>
      <w:r w:rsidR="00AC21C0">
        <w:t xml:space="preserve">30% of </w:t>
      </w:r>
      <w:r>
        <w:t>peanut allergy resolving by 6</w:t>
      </w:r>
      <w:r w:rsidR="00AC21C0">
        <w:t xml:space="preserve"> </w:t>
      </w:r>
      <w:r>
        <w:t>years</w:t>
      </w:r>
      <w:r w:rsidR="00AC21C0">
        <w:t xml:space="preserve"> </w:t>
      </w:r>
      <w:r>
        <w:t>of</w:t>
      </w:r>
      <w:r w:rsidR="00AC21C0">
        <w:t xml:space="preserve"> </w:t>
      </w:r>
      <w:r>
        <w:t>age in the Australian HealthNuts study.</w:t>
      </w:r>
      <w:r w:rsidR="00665420" w:rsidRPr="00665420">
        <w:rPr>
          <w:noProof/>
          <w:vertAlign w:val="superscript"/>
        </w:rPr>
        <w:t>47</w:t>
      </w:r>
      <w:r w:rsidR="00AC21C0">
        <w:t xml:space="preserve"> </w:t>
      </w:r>
      <w:r w:rsidR="00773DA1">
        <w:t xml:space="preserve">If food allergy is going to resolve, it is more likely to do so at a younger age, therefore there is an argument for reserving food allergy treatments for older children who have not naturally developed tolerance. </w:t>
      </w:r>
      <w:r w:rsidR="00661B10" w:rsidRPr="00661B10">
        <w:rPr>
          <w:noProof/>
          <w:vertAlign w:val="superscript"/>
        </w:rPr>
        <w:t>10</w:t>
      </w:r>
      <w:r w:rsidR="0020645B">
        <w:t xml:space="preserve"> </w:t>
      </w:r>
      <w:r w:rsidR="00616389">
        <w:t>Higher</w:t>
      </w:r>
      <w:r w:rsidR="00416E4C">
        <w:t xml:space="preserve"> efficacy rates for </w:t>
      </w:r>
      <w:r w:rsidR="00416E4C">
        <w:rPr>
          <w:rFonts w:ascii="Calibri" w:hAnsi="Calibri" w:cs="Calibri"/>
          <w:color w:val="000000"/>
        </w:rPr>
        <w:t xml:space="preserve">open-label </w:t>
      </w:r>
      <w:r w:rsidR="005C5125">
        <w:rPr>
          <w:rFonts w:ascii="Calibri" w:hAnsi="Calibri" w:cs="Calibri"/>
          <w:color w:val="000000"/>
        </w:rPr>
        <w:t xml:space="preserve">preschooler </w:t>
      </w:r>
      <w:r w:rsidR="00416E4C">
        <w:rPr>
          <w:rFonts w:ascii="Calibri" w:hAnsi="Calibri" w:cs="Calibri"/>
          <w:color w:val="000000"/>
        </w:rPr>
        <w:t xml:space="preserve">studies </w:t>
      </w:r>
      <w:r w:rsidR="005C5125">
        <w:rPr>
          <w:rFonts w:ascii="Calibri" w:hAnsi="Calibri" w:cs="Calibri"/>
          <w:color w:val="000000"/>
        </w:rPr>
        <w:t xml:space="preserve">in </w:t>
      </w:r>
      <w:r w:rsidR="00416E4C">
        <w:rPr>
          <w:rFonts w:ascii="Calibri" w:hAnsi="Calibri" w:cs="Calibri"/>
          <w:color w:val="000000"/>
        </w:rPr>
        <w:t xml:space="preserve">peanut OIT </w:t>
      </w:r>
      <w:r w:rsidR="00E45353" w:rsidRPr="00E45353">
        <w:rPr>
          <w:rFonts w:ascii="Calibri" w:hAnsi="Calibri" w:cs="Calibri"/>
          <w:noProof/>
          <w:color w:val="000000"/>
          <w:vertAlign w:val="superscript"/>
        </w:rPr>
        <w:t>39, 40</w:t>
      </w:r>
      <w:r w:rsidR="005C5125">
        <w:rPr>
          <w:rFonts w:ascii="Calibri" w:hAnsi="Calibri" w:cs="Calibri"/>
          <w:color w:val="000000"/>
        </w:rPr>
        <w:t xml:space="preserve"> </w:t>
      </w:r>
      <w:r w:rsidR="00416E4C">
        <w:rPr>
          <w:rFonts w:ascii="Calibri" w:hAnsi="Calibri" w:cs="Calibri"/>
          <w:color w:val="000000"/>
        </w:rPr>
        <w:t xml:space="preserve">need to be interpreted with caution as </w:t>
      </w:r>
      <w:r w:rsidR="00B6093C">
        <w:rPr>
          <w:rFonts w:ascii="Calibri" w:hAnsi="Calibri" w:cs="Calibri"/>
          <w:color w:val="000000"/>
        </w:rPr>
        <w:t xml:space="preserve">some </w:t>
      </w:r>
      <w:r w:rsidR="00EC6AFC">
        <w:rPr>
          <w:rFonts w:ascii="Calibri" w:hAnsi="Calibri" w:cs="Calibri"/>
          <w:color w:val="000000"/>
        </w:rPr>
        <w:t xml:space="preserve">preschoolers </w:t>
      </w:r>
      <w:r w:rsidR="00416E4C">
        <w:rPr>
          <w:rFonts w:ascii="Calibri" w:hAnsi="Calibri" w:cs="Calibri"/>
          <w:color w:val="000000"/>
        </w:rPr>
        <w:t>may</w:t>
      </w:r>
      <w:r w:rsidR="00616389">
        <w:rPr>
          <w:rFonts w:ascii="Calibri" w:hAnsi="Calibri" w:cs="Calibri"/>
          <w:color w:val="000000"/>
        </w:rPr>
        <w:t xml:space="preserve"> have</w:t>
      </w:r>
      <w:r w:rsidR="00416E4C">
        <w:rPr>
          <w:rFonts w:ascii="Calibri" w:hAnsi="Calibri" w:cs="Calibri"/>
          <w:color w:val="000000"/>
        </w:rPr>
        <w:t xml:space="preserve"> achieve</w:t>
      </w:r>
      <w:r w:rsidR="00616389">
        <w:rPr>
          <w:rFonts w:ascii="Calibri" w:hAnsi="Calibri" w:cs="Calibri"/>
          <w:color w:val="000000"/>
        </w:rPr>
        <w:t>d</w:t>
      </w:r>
      <w:r w:rsidR="00416E4C">
        <w:rPr>
          <w:rFonts w:ascii="Calibri" w:hAnsi="Calibri" w:cs="Calibri"/>
          <w:color w:val="000000"/>
        </w:rPr>
        <w:t xml:space="preserve"> natural resolution without intervention.</w:t>
      </w:r>
      <w:r w:rsidR="009E4031" w:rsidRPr="009E4031">
        <w:t xml:space="preserve"> </w:t>
      </w:r>
      <w:r w:rsidR="009E4031" w:rsidRPr="009E4031">
        <w:rPr>
          <w:rFonts w:ascii="Calibri" w:hAnsi="Calibri" w:cs="Calibri"/>
          <w:color w:val="000000"/>
        </w:rPr>
        <w:t>Hence the importance of having a contemporaneous placebo-</w:t>
      </w:r>
      <w:r w:rsidR="00CE2E3E">
        <w:rPr>
          <w:rFonts w:ascii="Calibri" w:hAnsi="Calibri" w:cs="Calibri"/>
          <w:color w:val="000000"/>
        </w:rPr>
        <w:t xml:space="preserve"> </w:t>
      </w:r>
      <w:r w:rsidR="009E4031" w:rsidRPr="009E4031">
        <w:rPr>
          <w:rFonts w:ascii="Calibri" w:hAnsi="Calibri" w:cs="Calibri"/>
          <w:color w:val="000000"/>
        </w:rPr>
        <w:t xml:space="preserve">control group </w:t>
      </w:r>
      <w:bookmarkStart w:id="3" w:name="_Hlk122426515"/>
      <w:r w:rsidR="0017485D">
        <w:rPr>
          <w:rFonts w:ascii="Calibri" w:hAnsi="Calibri" w:cs="Calibri"/>
          <w:color w:val="000000"/>
        </w:rPr>
        <w:t xml:space="preserve">to assess for natural resolution </w:t>
      </w:r>
      <w:bookmarkEnd w:id="3"/>
      <w:r w:rsidR="009E4031" w:rsidRPr="009E4031">
        <w:rPr>
          <w:rFonts w:ascii="Calibri" w:hAnsi="Calibri" w:cs="Calibri"/>
          <w:color w:val="000000"/>
        </w:rPr>
        <w:t>in OIT studies cannot be overstated, as the estimate of effectiveness should be compared to a comparable untreated group</w:t>
      </w:r>
      <w:r w:rsidR="009E4031">
        <w:rPr>
          <w:rFonts w:ascii="Calibri" w:hAnsi="Calibri" w:cs="Calibri"/>
          <w:color w:val="000000"/>
        </w:rPr>
        <w:t xml:space="preserve">. </w:t>
      </w:r>
      <w:r w:rsidR="00DB12BB">
        <w:rPr>
          <w:rFonts w:ascii="Calibri" w:hAnsi="Calibri" w:cs="Calibri"/>
          <w:color w:val="000000"/>
        </w:rPr>
        <w:t xml:space="preserve"> </w:t>
      </w:r>
    </w:p>
    <w:p w14:paraId="16C1D5A9" w14:textId="77777777" w:rsidR="00661B10" w:rsidRDefault="00661B10" w:rsidP="00195D52">
      <w:pPr>
        <w:spacing w:line="480" w:lineRule="auto"/>
        <w:jc w:val="both"/>
      </w:pPr>
    </w:p>
    <w:p w14:paraId="730BD221" w14:textId="1A02C3EC" w:rsidR="00371CEB" w:rsidRPr="00D81778" w:rsidRDefault="00773DA1" w:rsidP="00195D52">
      <w:pPr>
        <w:spacing w:line="480" w:lineRule="auto"/>
        <w:jc w:val="both"/>
        <w:rPr>
          <w:rFonts w:ascii="Calibri" w:hAnsi="Calibri" w:cs="Calibri"/>
          <w:color w:val="FF0000"/>
        </w:rPr>
      </w:pPr>
      <w:r>
        <w:lastRenderedPageBreak/>
        <w:t>Immunomodulatory treatments for food allergy usually involve burdensome regimes and are associated with a number of risks, including adverse events</w:t>
      </w:r>
      <w:r w:rsidR="00627368">
        <w:t xml:space="preserve"> (AE)</w:t>
      </w:r>
      <w:r>
        <w:t xml:space="preserve">. </w:t>
      </w:r>
      <w:r w:rsidR="00B76E6C">
        <w:t xml:space="preserve">A meta-analysis of peanut OIT reported a three-fold increased risk of anaphylaxis, a two-fold increase in </w:t>
      </w:r>
      <w:r w:rsidR="00627368">
        <w:t xml:space="preserve">epinephrine </w:t>
      </w:r>
      <w:r w:rsidR="00B76E6C">
        <w:t>use, and an increased risk of non-a</w:t>
      </w:r>
      <w:r w:rsidR="005E3163">
        <w:t>na</w:t>
      </w:r>
      <w:r w:rsidR="00B76E6C">
        <w:t xml:space="preserve">phylactic reactions compared to placebo or standard care. </w:t>
      </w:r>
      <w:r w:rsidR="00E45353" w:rsidRPr="00E45353">
        <w:rPr>
          <w:noProof/>
          <w:vertAlign w:val="superscript"/>
        </w:rPr>
        <w:t>37</w:t>
      </w:r>
      <w:r w:rsidR="004909B3">
        <w:t xml:space="preserve"> </w:t>
      </w:r>
      <w:r w:rsidR="00B76E6C">
        <w:t xml:space="preserve">There was also little improvement in </w:t>
      </w:r>
      <w:r w:rsidR="00B57F61">
        <w:t xml:space="preserve">QoL </w:t>
      </w:r>
      <w:r w:rsidR="00B76E6C">
        <w:t>observed in those who underwent treatment compared to the standard care group</w:t>
      </w:r>
      <w:r w:rsidR="00A4401E">
        <w:t>, although this was measured in older children</w:t>
      </w:r>
      <w:r w:rsidR="00B76E6C">
        <w:t xml:space="preserve">. </w:t>
      </w:r>
      <w:r w:rsidR="00E45353" w:rsidRPr="00E45353">
        <w:rPr>
          <w:noProof/>
          <w:vertAlign w:val="superscript"/>
        </w:rPr>
        <w:t>37</w:t>
      </w:r>
      <w:r w:rsidR="003A0DDE">
        <w:t xml:space="preserve"> </w:t>
      </w:r>
      <w:r w:rsidR="00435C19">
        <w:rPr>
          <w:rFonts w:ascii="Calibri" w:hAnsi="Calibri" w:cs="Calibri"/>
        </w:rPr>
        <w:t>T</w:t>
      </w:r>
      <w:r w:rsidR="00151279" w:rsidRPr="00D81778">
        <w:rPr>
          <w:rFonts w:ascii="Calibri" w:hAnsi="Calibri" w:cs="Calibri"/>
        </w:rPr>
        <w:t xml:space="preserve">reatment-related AEs were higher among </w:t>
      </w:r>
      <w:r w:rsidR="00904E6D" w:rsidRPr="00D81778">
        <w:rPr>
          <w:rFonts w:ascii="Calibri" w:hAnsi="Calibri" w:cs="Calibri"/>
        </w:rPr>
        <w:t xml:space="preserve">peanut </w:t>
      </w:r>
      <w:r w:rsidR="00151279" w:rsidRPr="00D81778">
        <w:rPr>
          <w:rFonts w:ascii="Calibri" w:hAnsi="Calibri" w:cs="Calibri"/>
        </w:rPr>
        <w:t xml:space="preserve">OIT-treated children (98%) compared to placebo-treated (80%) </w:t>
      </w:r>
      <w:r w:rsidR="00435C19">
        <w:rPr>
          <w:rFonts w:ascii="Calibri" w:hAnsi="Calibri" w:cs="Calibri"/>
        </w:rPr>
        <w:t>i</w:t>
      </w:r>
      <w:r w:rsidR="00435C19" w:rsidRPr="00D81778">
        <w:rPr>
          <w:rFonts w:ascii="Calibri" w:hAnsi="Calibri" w:cs="Calibri"/>
        </w:rPr>
        <w:t xml:space="preserve">n the preschooler </w:t>
      </w:r>
      <w:r w:rsidR="00435C19">
        <w:rPr>
          <w:rFonts w:ascii="Calibri" w:hAnsi="Calibri" w:cs="Calibri"/>
        </w:rPr>
        <w:t>IMPACT study</w:t>
      </w:r>
      <w:r w:rsidR="00616389">
        <w:rPr>
          <w:rFonts w:ascii="Calibri" w:hAnsi="Calibri" w:cs="Calibri"/>
        </w:rPr>
        <w:t xml:space="preserve">, including </w:t>
      </w:r>
      <w:r w:rsidR="00DF6E27" w:rsidRPr="00D81778">
        <w:rPr>
          <w:rFonts w:ascii="Calibri" w:hAnsi="Calibri" w:cs="Calibri"/>
        </w:rPr>
        <w:t xml:space="preserve">21 peanut OIT-treated children </w:t>
      </w:r>
      <w:r w:rsidR="00DF6E27">
        <w:rPr>
          <w:rFonts w:ascii="Calibri" w:hAnsi="Calibri" w:cs="Calibri"/>
        </w:rPr>
        <w:t xml:space="preserve">who </w:t>
      </w:r>
      <w:r w:rsidR="00DF6E27" w:rsidRPr="00D81778">
        <w:rPr>
          <w:rFonts w:ascii="Calibri" w:hAnsi="Calibri" w:cs="Calibri"/>
        </w:rPr>
        <w:t>received epinephrine during 35 peanut OIT-associated episodes</w:t>
      </w:r>
      <w:r w:rsidR="00435C19">
        <w:rPr>
          <w:rFonts w:ascii="Calibri" w:hAnsi="Calibri" w:cs="Calibri"/>
        </w:rPr>
        <w:t xml:space="preserve">. </w:t>
      </w:r>
      <w:r w:rsidR="00661B10" w:rsidRPr="00661B10">
        <w:rPr>
          <w:rFonts w:ascii="Calibri" w:hAnsi="Calibri" w:cs="Calibri"/>
          <w:noProof/>
          <w:vertAlign w:val="superscript"/>
        </w:rPr>
        <w:t>18</w:t>
      </w:r>
      <w:r w:rsidR="004909B3">
        <w:rPr>
          <w:rFonts w:ascii="Calibri" w:hAnsi="Calibri" w:cs="Calibri"/>
        </w:rPr>
        <w:t xml:space="preserve"> </w:t>
      </w:r>
      <w:r w:rsidR="00DF6E27">
        <w:rPr>
          <w:rFonts w:ascii="Calibri" w:hAnsi="Calibri" w:cs="Calibri"/>
        </w:rPr>
        <w:t>O</w:t>
      </w:r>
      <w:r w:rsidR="00BC1EE6" w:rsidRPr="00D81778">
        <w:rPr>
          <w:rFonts w:ascii="Calibri" w:hAnsi="Calibri" w:cs="Calibri"/>
        </w:rPr>
        <w:t xml:space="preserve">pen label </w:t>
      </w:r>
      <w:r w:rsidR="00DF6E27">
        <w:rPr>
          <w:rFonts w:ascii="Calibri" w:hAnsi="Calibri" w:cs="Calibri"/>
        </w:rPr>
        <w:t xml:space="preserve">preschool </w:t>
      </w:r>
      <w:r w:rsidR="00C546D6">
        <w:rPr>
          <w:rFonts w:ascii="Calibri" w:hAnsi="Calibri" w:cs="Calibri"/>
        </w:rPr>
        <w:t xml:space="preserve">peanut OIT </w:t>
      </w:r>
      <w:r w:rsidR="00BC1EE6" w:rsidRPr="00D81778">
        <w:rPr>
          <w:rFonts w:ascii="Calibri" w:hAnsi="Calibri" w:cs="Calibri"/>
        </w:rPr>
        <w:t xml:space="preserve">studies </w:t>
      </w:r>
      <w:r w:rsidR="00616389">
        <w:rPr>
          <w:rFonts w:ascii="Calibri" w:hAnsi="Calibri" w:cs="Calibri"/>
        </w:rPr>
        <w:t>also showed high rates of treatment related reactions (</w:t>
      </w:r>
      <w:r w:rsidR="00371CEB" w:rsidRPr="00D81778">
        <w:rPr>
          <w:rFonts w:ascii="Calibri" w:hAnsi="Calibri" w:cs="Calibri"/>
        </w:rPr>
        <w:t>68%</w:t>
      </w:r>
      <w:r w:rsidR="00616389">
        <w:rPr>
          <w:rFonts w:ascii="Calibri" w:hAnsi="Calibri" w:cs="Calibri"/>
        </w:rPr>
        <w:t>)</w:t>
      </w:r>
      <w:r w:rsidR="00371CEB" w:rsidRPr="00D81778">
        <w:rPr>
          <w:rFonts w:ascii="Calibri" w:hAnsi="Calibri" w:cs="Calibri"/>
        </w:rPr>
        <w:t xml:space="preserve"> with ~4% receiving epinephrine</w:t>
      </w:r>
      <w:r w:rsidR="004B2E84">
        <w:rPr>
          <w:rFonts w:ascii="Calibri" w:hAnsi="Calibri" w:cs="Calibri"/>
          <w:color w:val="000000"/>
        </w:rPr>
        <w:t>.</w:t>
      </w:r>
      <w:r w:rsidR="00E45353" w:rsidRPr="00E45353">
        <w:rPr>
          <w:rFonts w:ascii="Calibri" w:hAnsi="Calibri" w:cs="Calibri"/>
          <w:noProof/>
          <w:color w:val="000000"/>
          <w:vertAlign w:val="superscript"/>
        </w:rPr>
        <w:t>39</w:t>
      </w:r>
      <w:r w:rsidR="004B2E84">
        <w:rPr>
          <w:rFonts w:ascii="Calibri" w:hAnsi="Calibri" w:cs="Calibri"/>
          <w:color w:val="000000"/>
        </w:rPr>
        <w:t xml:space="preserve"> </w:t>
      </w:r>
      <w:r w:rsidR="00616389">
        <w:rPr>
          <w:rFonts w:ascii="Calibri" w:hAnsi="Calibri" w:cs="Calibri"/>
          <w:color w:val="000000"/>
        </w:rPr>
        <w:t>Even</w:t>
      </w:r>
      <w:r w:rsidR="00616389" w:rsidRPr="00727B7A">
        <w:rPr>
          <w:rFonts w:ascii="Calibri" w:hAnsi="Calibri" w:cs="Calibri"/>
          <w:color w:val="000000"/>
        </w:rPr>
        <w:t xml:space="preserve"> </w:t>
      </w:r>
      <w:r w:rsidR="00371CEB" w:rsidRPr="00D81778">
        <w:rPr>
          <w:rFonts w:ascii="Calibri" w:hAnsi="Calibri" w:cs="Calibri"/>
          <w:color w:val="000000"/>
        </w:rPr>
        <w:t xml:space="preserve">the </w:t>
      </w:r>
      <w:r w:rsidR="00C405F2">
        <w:rPr>
          <w:rFonts w:ascii="Calibri" w:hAnsi="Calibri" w:cs="Calibri"/>
          <w:color w:val="000000"/>
        </w:rPr>
        <w:t xml:space="preserve">EPITOPE </w:t>
      </w:r>
      <w:r w:rsidR="00371CEB" w:rsidRPr="00D81778">
        <w:rPr>
          <w:rFonts w:ascii="Calibri" w:hAnsi="Calibri" w:cs="Calibri"/>
          <w:color w:val="000000"/>
        </w:rPr>
        <w:t>study</w:t>
      </w:r>
      <w:r w:rsidR="005A09BB" w:rsidRPr="00D81778">
        <w:rPr>
          <w:rFonts w:ascii="Calibri" w:hAnsi="Calibri" w:cs="Calibri"/>
          <w:color w:val="000000"/>
        </w:rPr>
        <w:t xml:space="preserve"> </w:t>
      </w:r>
      <w:r w:rsidR="0098000B" w:rsidRPr="00D81778">
        <w:rPr>
          <w:rFonts w:ascii="Calibri" w:hAnsi="Calibri" w:cs="Calibri"/>
          <w:color w:val="000000"/>
        </w:rPr>
        <w:t xml:space="preserve">was not devoid of AE, </w:t>
      </w:r>
      <w:r w:rsidR="00616389">
        <w:rPr>
          <w:rFonts w:ascii="Calibri" w:hAnsi="Calibri" w:cs="Calibri"/>
          <w:color w:val="000000"/>
        </w:rPr>
        <w:t>with</w:t>
      </w:r>
      <w:r w:rsidR="00371CEB" w:rsidRPr="00D81778">
        <w:rPr>
          <w:rFonts w:ascii="Calibri" w:hAnsi="Calibri" w:cs="Calibri"/>
          <w:color w:val="000000"/>
        </w:rPr>
        <w:t xml:space="preserve"> mild</w:t>
      </w:r>
      <w:r w:rsidR="00C405F2">
        <w:rPr>
          <w:rFonts w:ascii="Calibri" w:hAnsi="Calibri" w:cs="Calibri"/>
          <w:color w:val="000000"/>
        </w:rPr>
        <w:t xml:space="preserve"> to </w:t>
      </w:r>
      <w:r w:rsidR="00371CEB" w:rsidRPr="00D81778">
        <w:rPr>
          <w:rFonts w:ascii="Calibri" w:hAnsi="Calibri" w:cs="Calibri"/>
          <w:color w:val="000000"/>
        </w:rPr>
        <w:t xml:space="preserve">moderate skin reactions at the patch site (22.5% </w:t>
      </w:r>
      <w:r w:rsidR="005A09BB" w:rsidRPr="00D81778">
        <w:rPr>
          <w:rFonts w:ascii="Calibri" w:hAnsi="Calibri" w:cs="Calibri"/>
          <w:color w:val="000000"/>
        </w:rPr>
        <w:t xml:space="preserve">active </w:t>
      </w:r>
      <w:r w:rsidR="00371CEB" w:rsidRPr="00D81778">
        <w:rPr>
          <w:rFonts w:ascii="Calibri" w:hAnsi="Calibri" w:cs="Calibri"/>
          <w:color w:val="000000"/>
        </w:rPr>
        <w:t>versus</w:t>
      </w:r>
      <w:r w:rsidR="005A09BB" w:rsidRPr="00D81778">
        <w:rPr>
          <w:rFonts w:ascii="Calibri" w:hAnsi="Calibri" w:cs="Calibri"/>
          <w:color w:val="000000"/>
        </w:rPr>
        <w:t xml:space="preserve"> 8.5% placebo)</w:t>
      </w:r>
      <w:r w:rsidR="00C405F2">
        <w:rPr>
          <w:rFonts w:ascii="Calibri" w:hAnsi="Calibri" w:cs="Calibri"/>
          <w:color w:val="000000"/>
        </w:rPr>
        <w:t xml:space="preserve">, </w:t>
      </w:r>
      <w:r w:rsidR="00C405F2" w:rsidRPr="00D81778">
        <w:rPr>
          <w:rFonts w:ascii="Calibri" w:hAnsi="Calibri" w:cs="Calibri"/>
          <w:color w:val="000000"/>
        </w:rPr>
        <w:t xml:space="preserve">one treatment-related </w:t>
      </w:r>
      <w:r w:rsidR="00C405F2">
        <w:rPr>
          <w:rFonts w:ascii="Calibri" w:hAnsi="Calibri" w:cs="Calibri"/>
          <w:color w:val="000000"/>
        </w:rPr>
        <w:t xml:space="preserve">serious </w:t>
      </w:r>
      <w:r w:rsidR="00C405F2" w:rsidRPr="00D81778">
        <w:rPr>
          <w:rFonts w:ascii="Calibri" w:hAnsi="Calibri" w:cs="Calibri"/>
          <w:color w:val="000000"/>
        </w:rPr>
        <w:t>AE</w:t>
      </w:r>
      <w:r w:rsidR="00C405F2">
        <w:rPr>
          <w:rFonts w:ascii="Calibri" w:hAnsi="Calibri" w:cs="Calibri"/>
          <w:color w:val="000000"/>
        </w:rPr>
        <w:t xml:space="preserve"> </w:t>
      </w:r>
      <w:r w:rsidR="00C405F2" w:rsidRPr="00D81778">
        <w:rPr>
          <w:rFonts w:ascii="Calibri" w:hAnsi="Calibri" w:cs="Calibri"/>
          <w:color w:val="000000"/>
        </w:rPr>
        <w:t>and 4 anaphylaxis events</w:t>
      </w:r>
      <w:r w:rsidR="005A09BB" w:rsidRPr="00D81778">
        <w:rPr>
          <w:rFonts w:ascii="Calibri" w:hAnsi="Calibri" w:cs="Calibri"/>
          <w:color w:val="000000"/>
        </w:rPr>
        <w:t xml:space="preserve">. </w:t>
      </w:r>
      <w:r w:rsidR="00E45353" w:rsidRPr="00E45353">
        <w:rPr>
          <w:rFonts w:ascii="Calibri" w:hAnsi="Calibri" w:cs="Calibri"/>
          <w:noProof/>
          <w:color w:val="000000"/>
          <w:vertAlign w:val="superscript"/>
        </w:rPr>
        <w:t>41</w:t>
      </w:r>
      <w:r w:rsidR="004909B3">
        <w:rPr>
          <w:rFonts w:ascii="Calibri" w:hAnsi="Calibri" w:cs="Calibri"/>
          <w:color w:val="000000"/>
        </w:rPr>
        <w:t xml:space="preserve"> </w:t>
      </w:r>
    </w:p>
    <w:p w14:paraId="281469ED" w14:textId="77777777" w:rsidR="00FC4820" w:rsidRDefault="00FC4820" w:rsidP="00195D52">
      <w:pPr>
        <w:spacing w:line="480" w:lineRule="auto"/>
        <w:jc w:val="both"/>
      </w:pPr>
    </w:p>
    <w:p w14:paraId="230329D1" w14:textId="00E835EB" w:rsidR="00B76E6C" w:rsidRDefault="00B76E6C" w:rsidP="00195D52">
      <w:pPr>
        <w:spacing w:line="480" w:lineRule="auto"/>
        <w:jc w:val="both"/>
      </w:pPr>
      <w:r>
        <w:t xml:space="preserve">Several clinical factors are associated with prognosis of food allergy. History of severe reactions, lower eliciting doses and presence </w:t>
      </w:r>
      <w:r w:rsidR="00773DA1">
        <w:t xml:space="preserve">of </w:t>
      </w:r>
      <w:r>
        <w:t xml:space="preserve">co-morbid allergic disease are associated with the persistence of food allergy. </w:t>
      </w:r>
      <w:r w:rsidR="00665420" w:rsidRPr="00665420">
        <w:rPr>
          <w:noProof/>
          <w:vertAlign w:val="superscript"/>
        </w:rPr>
        <w:t>10, 45, 46, 48</w:t>
      </w:r>
      <w:r>
        <w:t xml:space="preserve"> However, caveats </w:t>
      </w:r>
      <w:r w:rsidR="000D1B79">
        <w:t>of these</w:t>
      </w:r>
      <w:r w:rsidR="008F1481">
        <w:t xml:space="preserve"> </w:t>
      </w:r>
      <w:r>
        <w:t>retrospective</w:t>
      </w:r>
      <w:r w:rsidR="008F1481">
        <w:t xml:space="preserve"> clinical</w:t>
      </w:r>
      <w:r>
        <w:t xml:space="preserve"> audits</w:t>
      </w:r>
      <w:r w:rsidR="008F1481">
        <w:t xml:space="preserve"> </w:t>
      </w:r>
      <w:r w:rsidR="00616389">
        <w:t xml:space="preserve">includes </w:t>
      </w:r>
      <w:r w:rsidR="00727B7A">
        <w:t xml:space="preserve">a </w:t>
      </w:r>
      <w:r>
        <w:t>bias towards persistent allergic disease.</w:t>
      </w:r>
      <w:r w:rsidR="000D1B79">
        <w:t xml:space="preserve"> </w:t>
      </w:r>
      <w:r w:rsidR="009B4F13">
        <w:t>Data from the prospective population-based HealthNuts study showed that</w:t>
      </w:r>
      <w:r w:rsidR="00727B7A">
        <w:t xml:space="preserve"> i</w:t>
      </w:r>
      <w:r>
        <w:t xml:space="preserve">nfants with early-onset eczema and multiple food sensitisations </w:t>
      </w:r>
      <w:r w:rsidR="008F1481">
        <w:t>had</w:t>
      </w:r>
      <w:r>
        <w:t xml:space="preserve"> an increased risk of persistent food allergy at </w:t>
      </w:r>
      <w:r w:rsidR="009B4F13">
        <w:t xml:space="preserve">age </w:t>
      </w:r>
      <w:r>
        <w:t xml:space="preserve">6 years. Among infants </w:t>
      </w:r>
      <w:r w:rsidR="009B4F13">
        <w:t>allergic to raw egg</w:t>
      </w:r>
      <w:r>
        <w:t>, baked egg allergy was the strongest predictor of persistent egg allergy, associated with 6-fold increased odds of persistent egg allergy.</w:t>
      </w:r>
      <w:r w:rsidR="00665420" w:rsidRPr="00665420">
        <w:rPr>
          <w:noProof/>
          <w:vertAlign w:val="superscript"/>
        </w:rPr>
        <w:t>47</w:t>
      </w:r>
      <w:r>
        <w:t xml:space="preserve"> </w:t>
      </w:r>
      <w:r w:rsidR="008F1481">
        <w:t xml:space="preserve">However, even among those with baked egg allergy, 60% were no longer allergic to raw egg by age 6, thus more precise predictors of persistence are needed before early interventions can be targeted appropriately. </w:t>
      </w:r>
    </w:p>
    <w:p w14:paraId="4C99E059" w14:textId="77777777" w:rsidR="00FC4820" w:rsidRDefault="00FC4820" w:rsidP="00195D52">
      <w:pPr>
        <w:spacing w:line="480" w:lineRule="auto"/>
        <w:jc w:val="both"/>
      </w:pPr>
    </w:p>
    <w:p w14:paraId="6F69C2A0" w14:textId="2FA2DFF0" w:rsidR="00B76E6C" w:rsidRDefault="00B76E6C" w:rsidP="00195D52">
      <w:pPr>
        <w:spacing w:line="480" w:lineRule="auto"/>
        <w:jc w:val="both"/>
      </w:pPr>
      <w:r>
        <w:lastRenderedPageBreak/>
        <w:t xml:space="preserve">OIT </w:t>
      </w:r>
      <w:r w:rsidR="00950E4D">
        <w:t>conduct requires specialized allergy services</w:t>
      </w:r>
      <w:r>
        <w:t xml:space="preserve">. Resources for allergy services </w:t>
      </w:r>
      <w:r w:rsidR="005B0AE7">
        <w:t xml:space="preserve">vary by </w:t>
      </w:r>
      <w:r>
        <w:t xml:space="preserve">region, with some countries reporting lengthy wait-times to access an allergy specialist for the diagnosis of food allergy. </w:t>
      </w:r>
      <w:r w:rsidR="00665420" w:rsidRPr="00665420">
        <w:rPr>
          <w:noProof/>
          <w:vertAlign w:val="superscript"/>
        </w:rPr>
        <w:t>49</w:t>
      </w:r>
      <w:r w:rsidR="00FC4820">
        <w:t xml:space="preserve"> </w:t>
      </w:r>
      <w:r>
        <w:t xml:space="preserve">Incorporating OIT into clinical practice would require substantial resources that some health settings </w:t>
      </w:r>
      <w:r w:rsidR="008227B7">
        <w:t>cannot</w:t>
      </w:r>
      <w:r>
        <w:t xml:space="preserve"> currently facilitate. </w:t>
      </w:r>
      <w:r w:rsidR="0041152A">
        <w:t>Hence, i</w:t>
      </w:r>
      <w:r>
        <w:t xml:space="preserve">nitiating a resource-intensive treatment in young children who may naturally acquire tolerance may not be the best use of resources in settings where healthcare funding and access is limited.   </w:t>
      </w:r>
    </w:p>
    <w:p w14:paraId="5678C583" w14:textId="77777777" w:rsidR="00FC4820" w:rsidRDefault="00FC4820" w:rsidP="00195D52">
      <w:pPr>
        <w:spacing w:line="480" w:lineRule="auto"/>
        <w:jc w:val="both"/>
      </w:pPr>
    </w:p>
    <w:p w14:paraId="3772E1E4" w14:textId="4B6D51AE" w:rsidR="005A5BFB" w:rsidRDefault="00B76E6C" w:rsidP="00195D52">
      <w:pPr>
        <w:spacing w:line="480" w:lineRule="auto"/>
        <w:jc w:val="both"/>
      </w:pPr>
      <w:r>
        <w:t>Until we can accurately predict who would benefit from immunotherapy in the preschool years</w:t>
      </w:r>
      <w:r w:rsidR="00B735BE">
        <w:t>, questions</w:t>
      </w:r>
      <w:r>
        <w:t xml:space="preserve"> remain as to whether it is in the best interests of the young child to subject them to intensive immunotherapy regimens. Th</w:t>
      </w:r>
      <w:r w:rsidR="003E6370">
        <w:t xml:space="preserve">is </w:t>
      </w:r>
      <w:r>
        <w:t>need to be balanced against the proposed benefits of intervening early when the immune system has greater plasticity</w:t>
      </w:r>
      <w:r w:rsidR="009B4F13">
        <w:t xml:space="preserve"> and </w:t>
      </w:r>
      <w:r>
        <w:t>early evidence suggesting that treatment may be safer and more effective when initiated early.</w:t>
      </w:r>
      <w:r w:rsidR="005B0AE7">
        <w:t xml:space="preserve"> </w:t>
      </w:r>
      <w:r w:rsidR="00661B10" w:rsidRPr="00661B10">
        <w:rPr>
          <w:noProof/>
          <w:vertAlign w:val="superscript"/>
        </w:rPr>
        <w:t>16-18</w:t>
      </w:r>
      <w:r w:rsidR="00B735BE">
        <w:t xml:space="preserve"> </w:t>
      </w:r>
      <w:r w:rsidR="005A5BFB">
        <w:t>Given the significant commitment</w:t>
      </w:r>
      <w:r w:rsidR="00FB16E7">
        <w:t xml:space="preserve">, </w:t>
      </w:r>
      <w:r w:rsidR="005A5BFB">
        <w:t xml:space="preserve">lifestyle impacts </w:t>
      </w:r>
      <w:r w:rsidR="00FB16E7">
        <w:t xml:space="preserve">and the risk of AEs </w:t>
      </w:r>
      <w:r w:rsidR="005A5BFB">
        <w:t xml:space="preserve">during </w:t>
      </w:r>
      <w:r w:rsidR="006551D8">
        <w:t xml:space="preserve">food immunotherapy </w:t>
      </w:r>
      <w:r w:rsidR="005A5BFB">
        <w:t>treatment</w:t>
      </w:r>
      <w:r w:rsidR="006551D8">
        <w:t>s</w:t>
      </w:r>
      <w:r w:rsidR="005A5BFB">
        <w:t xml:space="preserve">, </w:t>
      </w:r>
      <w:r w:rsidR="00A448AE">
        <w:t xml:space="preserve">it </w:t>
      </w:r>
      <w:r w:rsidR="005A5BFB">
        <w:t xml:space="preserve">may be more relevant for those who are unlikely to naturally outgrow their food allergies. </w:t>
      </w:r>
    </w:p>
    <w:p w14:paraId="410CEA82" w14:textId="5852BA66" w:rsidR="00B76E6C" w:rsidRDefault="00B76E6C" w:rsidP="00195D52">
      <w:pPr>
        <w:spacing w:line="480" w:lineRule="auto"/>
      </w:pPr>
    </w:p>
    <w:p w14:paraId="57E9B6A0" w14:textId="5B526037" w:rsidR="00DC6821" w:rsidRPr="00D14CCF" w:rsidRDefault="00DC6821" w:rsidP="00195D52">
      <w:pPr>
        <w:spacing w:line="480" w:lineRule="auto"/>
        <w:rPr>
          <w:rFonts w:ascii="Calibri" w:hAnsi="Calibri" w:cs="Calibri"/>
          <w:b/>
          <w:color w:val="000000"/>
        </w:rPr>
      </w:pPr>
      <w:r w:rsidRPr="00D14CCF">
        <w:rPr>
          <w:rFonts w:ascii="Calibri" w:hAnsi="Calibri" w:cs="Calibri"/>
          <w:b/>
          <w:color w:val="000000"/>
        </w:rPr>
        <w:t>Knowledge gaps</w:t>
      </w:r>
      <w:r w:rsidR="00FA5E26">
        <w:rPr>
          <w:rFonts w:ascii="Calibri" w:hAnsi="Calibri" w:cs="Calibri"/>
          <w:b/>
          <w:color w:val="000000"/>
        </w:rPr>
        <w:t xml:space="preserve"> </w:t>
      </w:r>
    </w:p>
    <w:p w14:paraId="3EF34DD4" w14:textId="674C840A" w:rsidR="00DA4CD0" w:rsidRDefault="00173E66" w:rsidP="00DA4CD0">
      <w:pPr>
        <w:spacing w:line="480" w:lineRule="auto"/>
        <w:jc w:val="both"/>
      </w:pPr>
      <w:r w:rsidRPr="00D81778">
        <w:rPr>
          <w:rFonts w:cstheme="minorHAnsi"/>
        </w:rPr>
        <w:t>T</w:t>
      </w:r>
      <w:r w:rsidR="00FA5E26" w:rsidRPr="00D81778">
        <w:rPr>
          <w:rFonts w:cstheme="minorHAnsi"/>
        </w:rPr>
        <w:t xml:space="preserve">here are limited </w:t>
      </w:r>
      <w:r w:rsidR="009B4F13">
        <w:rPr>
          <w:rFonts w:cstheme="minorHAnsi"/>
        </w:rPr>
        <w:t xml:space="preserve">studies of immunotherapy in preschoolers using </w:t>
      </w:r>
      <w:r w:rsidR="00FA5E26" w:rsidRPr="00D81778">
        <w:rPr>
          <w:rFonts w:cstheme="minorHAnsi"/>
        </w:rPr>
        <w:t xml:space="preserve">allergens </w:t>
      </w:r>
      <w:r w:rsidRPr="00D81778">
        <w:rPr>
          <w:rFonts w:cstheme="minorHAnsi"/>
        </w:rPr>
        <w:t>other than peanut</w:t>
      </w:r>
      <w:r w:rsidR="00FA5E26" w:rsidRPr="00D81778">
        <w:rPr>
          <w:rFonts w:cstheme="minorHAnsi"/>
        </w:rPr>
        <w:t xml:space="preserve">. </w:t>
      </w:r>
      <w:r w:rsidR="000E7697" w:rsidRPr="00D81778">
        <w:rPr>
          <w:rFonts w:cstheme="minorHAnsi"/>
        </w:rPr>
        <w:t>Currently</w:t>
      </w:r>
      <w:r w:rsidR="00B92C8E">
        <w:rPr>
          <w:rFonts w:cstheme="minorHAnsi"/>
        </w:rPr>
        <w:t xml:space="preserve"> </w:t>
      </w:r>
      <w:r w:rsidR="00293B97" w:rsidRPr="00D81778">
        <w:rPr>
          <w:rFonts w:cstheme="minorHAnsi"/>
          <w:bCs/>
        </w:rPr>
        <w:t xml:space="preserve">no </w:t>
      </w:r>
      <w:bookmarkStart w:id="4" w:name="_Hlk122426308"/>
      <w:r w:rsidR="007848A2" w:rsidRPr="007848A2">
        <w:rPr>
          <w:rFonts w:cstheme="minorHAnsi"/>
          <w:bCs/>
        </w:rPr>
        <w:t xml:space="preserve">evidence on the impact of immunotherapy on </w:t>
      </w:r>
      <w:bookmarkEnd w:id="4"/>
      <w:r w:rsidR="00293B97" w:rsidRPr="00D81778">
        <w:rPr>
          <w:rFonts w:cstheme="minorHAnsi"/>
          <w:bCs/>
        </w:rPr>
        <w:t xml:space="preserve">QoL </w:t>
      </w:r>
      <w:r w:rsidR="000913D0">
        <w:rPr>
          <w:rFonts w:cstheme="minorHAnsi"/>
          <w:bCs/>
        </w:rPr>
        <w:t xml:space="preserve">is </w:t>
      </w:r>
      <w:r w:rsidR="00293B97" w:rsidRPr="00D81778">
        <w:rPr>
          <w:rFonts w:cstheme="minorHAnsi"/>
          <w:bCs/>
        </w:rPr>
        <w:t xml:space="preserve">available for this </w:t>
      </w:r>
      <w:r w:rsidR="009A5719" w:rsidRPr="00D81778">
        <w:rPr>
          <w:rFonts w:cstheme="minorHAnsi"/>
          <w:bCs/>
        </w:rPr>
        <w:t xml:space="preserve">age group, </w:t>
      </w:r>
      <w:r w:rsidR="00C8286F" w:rsidRPr="00D81778">
        <w:rPr>
          <w:rFonts w:cstheme="minorHAnsi"/>
          <w:bCs/>
        </w:rPr>
        <w:t xml:space="preserve">and hence </w:t>
      </w:r>
      <w:r w:rsidR="000913D0">
        <w:rPr>
          <w:rFonts w:cstheme="minorHAnsi"/>
          <w:bCs/>
        </w:rPr>
        <w:t xml:space="preserve">it is unknown whether </w:t>
      </w:r>
      <w:r w:rsidR="009B4F13">
        <w:rPr>
          <w:rFonts w:cstheme="minorHAnsi"/>
          <w:bCs/>
        </w:rPr>
        <w:t>treatment is</w:t>
      </w:r>
      <w:r w:rsidR="00411505" w:rsidRPr="00D81778">
        <w:rPr>
          <w:rFonts w:cstheme="minorHAnsi"/>
          <w:bCs/>
        </w:rPr>
        <w:t xml:space="preserve"> associated with better QoL</w:t>
      </w:r>
      <w:r w:rsidR="00BD53D5">
        <w:rPr>
          <w:rFonts w:cstheme="minorHAnsi"/>
          <w:bCs/>
        </w:rPr>
        <w:t>. A recent paper suggested that preschool peanut OIT in the real world setting may be cost-effective in North America</w:t>
      </w:r>
      <w:r w:rsidR="00193396">
        <w:rPr>
          <w:rFonts w:cstheme="minorHAnsi"/>
          <w:bCs/>
        </w:rPr>
        <w:t xml:space="preserve"> </w:t>
      </w:r>
      <w:r w:rsidR="00193396" w:rsidRPr="00193396">
        <w:rPr>
          <w:rFonts w:cstheme="minorHAnsi"/>
          <w:bCs/>
          <w:noProof/>
          <w:vertAlign w:val="superscript"/>
        </w:rPr>
        <w:t>50</w:t>
      </w:r>
      <w:r w:rsidR="00BD53D5">
        <w:rPr>
          <w:rFonts w:cstheme="minorHAnsi"/>
          <w:bCs/>
        </w:rPr>
        <w:t xml:space="preserve">; however is still unknown </w:t>
      </w:r>
      <w:r w:rsidR="00073FF5">
        <w:rPr>
          <w:rFonts w:cstheme="minorHAnsi"/>
          <w:bCs/>
        </w:rPr>
        <w:t xml:space="preserve">if </w:t>
      </w:r>
      <w:r w:rsidR="000913D0">
        <w:rPr>
          <w:rFonts w:cstheme="minorHAnsi"/>
          <w:bCs/>
        </w:rPr>
        <w:t xml:space="preserve">it is </w:t>
      </w:r>
      <w:r w:rsidR="00EF5203" w:rsidRPr="00D81778">
        <w:rPr>
          <w:rFonts w:cstheme="minorHAnsi"/>
          <w:bCs/>
        </w:rPr>
        <w:t xml:space="preserve">cost-effective </w:t>
      </w:r>
      <w:r w:rsidR="00445BD7">
        <w:rPr>
          <w:rFonts w:cstheme="minorHAnsi"/>
          <w:bCs/>
        </w:rPr>
        <w:t xml:space="preserve">to implement </w:t>
      </w:r>
      <w:r w:rsidR="000913D0">
        <w:rPr>
          <w:rFonts w:cstheme="minorHAnsi"/>
          <w:bCs/>
        </w:rPr>
        <w:t>this therapy</w:t>
      </w:r>
      <w:r w:rsidR="00445BD7">
        <w:rPr>
          <w:rFonts w:cstheme="minorHAnsi"/>
          <w:bCs/>
        </w:rPr>
        <w:t xml:space="preserve"> across </w:t>
      </w:r>
      <w:r w:rsidR="00073FF5">
        <w:rPr>
          <w:rFonts w:cstheme="minorHAnsi"/>
          <w:bCs/>
        </w:rPr>
        <w:t xml:space="preserve">all </w:t>
      </w:r>
      <w:r w:rsidR="00445BD7">
        <w:rPr>
          <w:rFonts w:cstheme="minorHAnsi"/>
          <w:bCs/>
        </w:rPr>
        <w:t>health services</w:t>
      </w:r>
      <w:r w:rsidR="009A5719" w:rsidRPr="00D81778">
        <w:rPr>
          <w:rFonts w:cstheme="minorHAnsi"/>
          <w:bCs/>
        </w:rPr>
        <w:t xml:space="preserve">. </w:t>
      </w:r>
      <w:r w:rsidR="00416B93">
        <w:rPr>
          <w:rFonts w:cstheme="minorHAnsi"/>
          <w:bCs/>
        </w:rPr>
        <w:t>Thus it remains uncertain if personal and/or economic burdens of food allergy for families can be alleviated</w:t>
      </w:r>
      <w:r w:rsidR="007848A2" w:rsidRPr="007848A2">
        <w:rPr>
          <w:rFonts w:cstheme="minorHAnsi"/>
          <w:bCs/>
        </w:rPr>
        <w:t xml:space="preserve"> through OIT</w:t>
      </w:r>
      <w:r w:rsidR="00416B93">
        <w:rPr>
          <w:rFonts w:cstheme="minorHAnsi"/>
          <w:bCs/>
        </w:rPr>
        <w:t xml:space="preserve">. </w:t>
      </w:r>
      <w:r w:rsidR="00E32DB8">
        <w:rPr>
          <w:rFonts w:cstheme="minorHAnsi"/>
          <w:bCs/>
        </w:rPr>
        <w:t xml:space="preserve">Further understanding of risk assessment and mitigation is critical to widescale implementation in very young children. </w:t>
      </w:r>
      <w:r w:rsidR="00002295">
        <w:rPr>
          <w:rFonts w:cstheme="minorHAnsi"/>
          <w:bCs/>
        </w:rPr>
        <w:t xml:space="preserve">This includes better knowledge </w:t>
      </w:r>
      <w:r w:rsidR="00AA513C">
        <w:rPr>
          <w:rFonts w:cstheme="minorHAnsi"/>
          <w:bCs/>
        </w:rPr>
        <w:t>in the assessment of AE</w:t>
      </w:r>
      <w:r w:rsidR="00BB470F">
        <w:rPr>
          <w:rFonts w:cstheme="minorHAnsi"/>
          <w:bCs/>
        </w:rPr>
        <w:t>s in</w:t>
      </w:r>
      <w:r w:rsidR="00002295">
        <w:rPr>
          <w:rFonts w:cstheme="minorHAnsi"/>
          <w:bCs/>
        </w:rPr>
        <w:t xml:space="preserve"> </w:t>
      </w:r>
      <w:r w:rsidR="00BB470F">
        <w:rPr>
          <w:rFonts w:cstheme="minorHAnsi"/>
          <w:bCs/>
        </w:rPr>
        <w:t xml:space="preserve">pre-schoolers </w:t>
      </w:r>
      <w:r w:rsidR="00BB470F">
        <w:rPr>
          <w:rFonts w:cstheme="minorHAnsi"/>
          <w:bCs/>
        </w:rPr>
        <w:lastRenderedPageBreak/>
        <w:t xml:space="preserve">where </w:t>
      </w:r>
      <w:r w:rsidR="00002295">
        <w:rPr>
          <w:rFonts w:cstheme="minorHAnsi"/>
          <w:bCs/>
        </w:rPr>
        <w:t xml:space="preserve">the means of </w:t>
      </w:r>
      <w:r w:rsidR="00BB470F">
        <w:rPr>
          <w:rFonts w:cstheme="minorHAnsi"/>
          <w:bCs/>
        </w:rPr>
        <w:t xml:space="preserve">communicating allergic symptoms may be different from school-age children and ensuring child assent when they continue </w:t>
      </w:r>
      <w:r w:rsidR="00002295">
        <w:rPr>
          <w:rFonts w:cstheme="minorHAnsi"/>
          <w:bCs/>
        </w:rPr>
        <w:t xml:space="preserve">with therapy </w:t>
      </w:r>
      <w:r w:rsidR="00BB470F">
        <w:rPr>
          <w:rFonts w:cstheme="minorHAnsi"/>
          <w:bCs/>
        </w:rPr>
        <w:t xml:space="preserve">although the minimal age </w:t>
      </w:r>
      <w:r w:rsidR="00CA79B0">
        <w:rPr>
          <w:rFonts w:cstheme="minorHAnsi"/>
          <w:bCs/>
        </w:rPr>
        <w:t xml:space="preserve">of assent </w:t>
      </w:r>
      <w:r w:rsidR="00BB470F">
        <w:rPr>
          <w:rFonts w:cstheme="minorHAnsi"/>
          <w:bCs/>
        </w:rPr>
        <w:t>varies greatly from 5-13 years.</w:t>
      </w:r>
      <w:r w:rsidR="00193396" w:rsidRPr="00193396">
        <w:rPr>
          <w:rFonts w:cstheme="minorHAnsi"/>
          <w:bCs/>
          <w:noProof/>
          <w:vertAlign w:val="superscript"/>
        </w:rPr>
        <w:t>51</w:t>
      </w:r>
      <w:r w:rsidR="00BB470F">
        <w:rPr>
          <w:rFonts w:cstheme="minorHAnsi"/>
          <w:bCs/>
        </w:rPr>
        <w:t xml:space="preserve"> </w:t>
      </w:r>
      <w:r w:rsidR="00DA4CD0">
        <w:t>Identifying prognostic biomarkers that can accurately predict the prognosis of food allergy</w:t>
      </w:r>
      <w:r w:rsidR="002109BE">
        <w:t xml:space="preserve">, and </w:t>
      </w:r>
      <w:r w:rsidR="009B4F13">
        <w:t>which patients</w:t>
      </w:r>
      <w:r w:rsidR="002109BE">
        <w:t xml:space="preserve"> may benefit most from treatment,</w:t>
      </w:r>
      <w:r w:rsidR="00DA4CD0">
        <w:t xml:space="preserve"> require</w:t>
      </w:r>
      <w:r w:rsidR="002109BE">
        <w:t>s</w:t>
      </w:r>
      <w:r w:rsidR="00DA4CD0">
        <w:t xml:space="preserve"> further research. Numerous studies have found that higher SPT and sIgE at diagnosis are associated with an increased likelihood of persistent food allergy. </w:t>
      </w:r>
      <w:r w:rsidR="00193396" w:rsidRPr="00193396">
        <w:rPr>
          <w:noProof/>
          <w:vertAlign w:val="superscript"/>
        </w:rPr>
        <w:t>10, 21, 28, 43, 45-48, 52-54</w:t>
      </w:r>
      <w:r w:rsidR="00DA4CD0">
        <w:t xml:space="preserve"> However, </w:t>
      </w:r>
      <w:r w:rsidR="00CC1CDE">
        <w:t xml:space="preserve">predictive </w:t>
      </w:r>
      <w:r w:rsidR="00DA4CD0">
        <w:t xml:space="preserve">thresholds with high </w:t>
      </w:r>
      <w:r w:rsidR="00CC1CDE">
        <w:t xml:space="preserve">specificity for </w:t>
      </w:r>
      <w:r w:rsidR="00DA4CD0">
        <w:t>persistent food allergy vary widely in the literature, likely related to heterogeneity in study settings, participants and methods.</w:t>
      </w:r>
      <w:r w:rsidR="00193396" w:rsidRPr="00193396">
        <w:rPr>
          <w:noProof/>
          <w:vertAlign w:val="superscript"/>
        </w:rPr>
        <w:t>55</w:t>
      </w:r>
      <w:r w:rsidR="00DA4CD0">
        <w:t xml:space="preserve"> </w:t>
      </w:r>
    </w:p>
    <w:p w14:paraId="0B452030" w14:textId="77777777" w:rsidR="00D41281" w:rsidRDefault="00D41281" w:rsidP="00195D52">
      <w:pPr>
        <w:spacing w:line="480" w:lineRule="auto"/>
        <w:jc w:val="both"/>
        <w:rPr>
          <w:rFonts w:cstheme="minorHAnsi"/>
        </w:rPr>
      </w:pPr>
    </w:p>
    <w:p w14:paraId="63F30E15" w14:textId="4C6C74E0" w:rsidR="009267AE" w:rsidRPr="00D81778" w:rsidRDefault="00AF0095" w:rsidP="00195D52">
      <w:pPr>
        <w:spacing w:line="480" w:lineRule="auto"/>
        <w:jc w:val="both"/>
        <w:rPr>
          <w:rFonts w:cstheme="minorHAnsi"/>
          <w:b/>
        </w:rPr>
      </w:pPr>
      <w:r w:rsidRPr="00D81778">
        <w:rPr>
          <w:rFonts w:cstheme="minorHAnsi"/>
        </w:rPr>
        <w:t xml:space="preserve">Current debates also exist on </w:t>
      </w:r>
      <w:r w:rsidR="0028299E" w:rsidRPr="00D81778">
        <w:rPr>
          <w:rFonts w:cstheme="minorHAnsi"/>
        </w:rPr>
        <w:t>w</w:t>
      </w:r>
      <w:r w:rsidR="009267AE" w:rsidRPr="00D81778">
        <w:rPr>
          <w:rFonts w:cstheme="minorHAnsi"/>
        </w:rPr>
        <w:t>hether early treatment could accelerate the onset of tolerance</w:t>
      </w:r>
      <w:r w:rsidR="009B4F13">
        <w:rPr>
          <w:rFonts w:cstheme="minorHAnsi"/>
        </w:rPr>
        <w:t xml:space="preserve"> among children</w:t>
      </w:r>
      <w:r w:rsidR="009267AE" w:rsidRPr="00D81778">
        <w:rPr>
          <w:rFonts w:cstheme="minorHAnsi"/>
        </w:rPr>
        <w:t xml:space="preserve"> destined to outgrow </w:t>
      </w:r>
      <w:r w:rsidR="009B4F13">
        <w:rPr>
          <w:rFonts w:cstheme="minorHAnsi"/>
        </w:rPr>
        <w:t xml:space="preserve">their allergy </w:t>
      </w:r>
      <w:r w:rsidR="005F4596" w:rsidRPr="00D81778">
        <w:rPr>
          <w:rFonts w:cstheme="minorHAnsi"/>
        </w:rPr>
        <w:t>independent of intervention.</w:t>
      </w:r>
      <w:r w:rsidR="001E6271">
        <w:rPr>
          <w:rFonts w:cstheme="minorHAnsi"/>
        </w:rPr>
        <w:t xml:space="preserve"> </w:t>
      </w:r>
      <w:r w:rsidR="00F13C54" w:rsidRPr="00C45C31">
        <w:t>Furthermore, as the frequency and amount of consumption</w:t>
      </w:r>
      <w:r w:rsidR="00EB1E13" w:rsidRPr="00C45C31">
        <w:t xml:space="preserve"> required to maintain tolerance</w:t>
      </w:r>
      <w:r w:rsidR="00F13C54" w:rsidRPr="00C45C31">
        <w:t xml:space="preserve"> following natural resolution are not known, for example in peanut allergy where a risk of recurrence have been described</w:t>
      </w:r>
      <w:r w:rsidR="00C45C31">
        <w:t xml:space="preserve"> </w:t>
      </w:r>
      <w:r w:rsidR="00C45C31" w:rsidRPr="00C45C31">
        <w:rPr>
          <w:noProof/>
          <w:vertAlign w:val="superscript"/>
        </w:rPr>
        <w:t>45, 56</w:t>
      </w:r>
      <w:r w:rsidR="00F13C54" w:rsidRPr="00C45C31">
        <w:t>, more evidence regarding the need for maintaining ingestion following treatment induced or natural resolution is required</w:t>
      </w:r>
      <w:r w:rsidR="0047472E" w:rsidRPr="00C45C31">
        <w:t xml:space="preserve">. </w:t>
      </w:r>
      <w:r w:rsidR="001E6271">
        <w:rPr>
          <w:rFonts w:cstheme="minorHAnsi"/>
        </w:rPr>
        <w:t xml:space="preserve">Additionally, information is missing on identifying the “optimal” window of opportunity, whether based on age, IgE level or other factors that contribute to an enhanced response without sacrificing safety. </w:t>
      </w:r>
      <w:r w:rsidR="001706C4" w:rsidRPr="00D81778">
        <w:rPr>
          <w:rFonts w:cstheme="minorHAnsi"/>
        </w:rPr>
        <w:t>Increasing</w:t>
      </w:r>
      <w:r w:rsidR="005F4596" w:rsidRPr="00D81778">
        <w:rPr>
          <w:rFonts w:cstheme="minorHAnsi"/>
        </w:rPr>
        <w:t>ly</w:t>
      </w:r>
      <w:r w:rsidR="009D2769">
        <w:rPr>
          <w:rFonts w:cstheme="minorHAnsi"/>
        </w:rPr>
        <w:t>,</w:t>
      </w:r>
      <w:r w:rsidR="001706C4" w:rsidRPr="00D81778">
        <w:rPr>
          <w:rFonts w:cstheme="minorHAnsi"/>
        </w:rPr>
        <w:t xml:space="preserve"> some countries are using </w:t>
      </w:r>
      <w:r w:rsidR="009267AE" w:rsidRPr="00D81778">
        <w:rPr>
          <w:rFonts w:cstheme="minorHAnsi"/>
        </w:rPr>
        <w:t>milk and egg ladders</w:t>
      </w:r>
      <w:r w:rsidR="005F4596" w:rsidRPr="00D81778">
        <w:rPr>
          <w:rFonts w:cstheme="minorHAnsi"/>
        </w:rPr>
        <w:t xml:space="preserve"> for IgE-</w:t>
      </w:r>
      <w:r w:rsidR="001706C4" w:rsidRPr="00D81778">
        <w:rPr>
          <w:rFonts w:cstheme="minorHAnsi"/>
        </w:rPr>
        <w:t>mediated food allergies</w:t>
      </w:r>
      <w:r w:rsidR="009A5719" w:rsidRPr="00D81778">
        <w:rPr>
          <w:rFonts w:cstheme="minorHAnsi"/>
        </w:rPr>
        <w:t xml:space="preserve"> and it remains </w:t>
      </w:r>
      <w:r w:rsidR="009B4F13">
        <w:rPr>
          <w:rFonts w:cstheme="minorHAnsi"/>
        </w:rPr>
        <w:t xml:space="preserve">unclear </w:t>
      </w:r>
      <w:r w:rsidR="009A5719" w:rsidRPr="00D81778">
        <w:rPr>
          <w:rFonts w:cstheme="minorHAnsi"/>
        </w:rPr>
        <w:t>whethe</w:t>
      </w:r>
      <w:r w:rsidR="00CE37BA" w:rsidRPr="00D81778">
        <w:rPr>
          <w:rFonts w:cstheme="minorHAnsi"/>
        </w:rPr>
        <w:t xml:space="preserve">r this is a form of </w:t>
      </w:r>
      <w:r w:rsidR="009D2769">
        <w:rPr>
          <w:rFonts w:cstheme="minorHAnsi"/>
        </w:rPr>
        <w:t xml:space="preserve">tolerance </w:t>
      </w:r>
      <w:r w:rsidR="009D2769" w:rsidRPr="00B244D0">
        <w:rPr>
          <w:rFonts w:cstheme="minorHAnsi"/>
        </w:rPr>
        <w:t xml:space="preserve">acceleration </w:t>
      </w:r>
      <w:r w:rsidR="009A5719" w:rsidRPr="00D81778">
        <w:rPr>
          <w:rFonts w:cstheme="minorHAnsi"/>
        </w:rPr>
        <w:t xml:space="preserve">versus </w:t>
      </w:r>
      <w:r w:rsidR="00CE37BA" w:rsidRPr="00D81778">
        <w:rPr>
          <w:rFonts w:cstheme="minorHAnsi"/>
        </w:rPr>
        <w:t>pseudo-</w:t>
      </w:r>
      <w:r w:rsidR="009A5719" w:rsidRPr="00D81778">
        <w:rPr>
          <w:rFonts w:cstheme="minorHAnsi"/>
        </w:rPr>
        <w:t>OIT.</w:t>
      </w:r>
      <w:r w:rsidR="00C45C31" w:rsidRPr="00C45C31">
        <w:rPr>
          <w:rFonts w:cstheme="minorHAnsi"/>
          <w:noProof/>
          <w:vertAlign w:val="superscript"/>
        </w:rPr>
        <w:t>57, 58</w:t>
      </w:r>
      <w:r w:rsidR="009A5719" w:rsidRPr="00D81778">
        <w:rPr>
          <w:rFonts w:cstheme="minorHAnsi"/>
        </w:rPr>
        <w:t xml:space="preserve"> </w:t>
      </w:r>
      <w:r w:rsidR="00B92C8E" w:rsidRPr="00D11290">
        <w:rPr>
          <w:rFonts w:cstheme="minorHAnsi"/>
        </w:rPr>
        <w:t>Furthermore, ongoing studies in the US (CAFETERIA study)</w:t>
      </w:r>
      <w:r w:rsidR="000A6ABF">
        <w:rPr>
          <w:rFonts w:cstheme="minorHAnsi"/>
        </w:rPr>
        <w:t xml:space="preserve"> </w:t>
      </w:r>
      <w:r w:rsidR="00C45C31" w:rsidRPr="00C45C31">
        <w:rPr>
          <w:rFonts w:cstheme="minorHAnsi"/>
          <w:noProof/>
          <w:vertAlign w:val="superscript"/>
        </w:rPr>
        <w:t>59</w:t>
      </w:r>
      <w:r w:rsidR="00B92C8E" w:rsidRPr="00D11290">
        <w:rPr>
          <w:rFonts w:cstheme="minorHAnsi"/>
        </w:rPr>
        <w:t xml:space="preserve"> and Germany </w:t>
      </w:r>
      <w:r w:rsidR="00C45C31" w:rsidRPr="00C45C31">
        <w:rPr>
          <w:rFonts w:cstheme="minorHAnsi"/>
          <w:noProof/>
          <w:vertAlign w:val="superscript"/>
        </w:rPr>
        <w:t>60</w:t>
      </w:r>
      <w:r w:rsidR="00445D85">
        <w:rPr>
          <w:rFonts w:cstheme="minorHAnsi"/>
        </w:rPr>
        <w:t xml:space="preserve"> </w:t>
      </w:r>
      <w:r w:rsidR="00B92C8E" w:rsidRPr="00D11290">
        <w:rPr>
          <w:rFonts w:cstheme="minorHAnsi"/>
        </w:rPr>
        <w:t xml:space="preserve">which aim to investigate </w:t>
      </w:r>
      <w:r w:rsidR="009B4F13" w:rsidRPr="00D11290">
        <w:rPr>
          <w:rFonts w:cstheme="minorHAnsi"/>
        </w:rPr>
        <w:t xml:space="preserve">ingestion of sub-threshold amounts of allergen in </w:t>
      </w:r>
      <w:r w:rsidR="009B4F13">
        <w:rPr>
          <w:rFonts w:cstheme="minorHAnsi"/>
        </w:rPr>
        <w:t>the</w:t>
      </w:r>
      <w:r w:rsidR="009B4F13" w:rsidRPr="00D11290">
        <w:rPr>
          <w:rFonts w:cstheme="minorHAnsi"/>
        </w:rPr>
        <w:t xml:space="preserve"> diet </w:t>
      </w:r>
      <w:r w:rsidR="009B4F13">
        <w:rPr>
          <w:rFonts w:cstheme="minorHAnsi"/>
        </w:rPr>
        <w:t xml:space="preserve">of </w:t>
      </w:r>
      <w:r w:rsidR="00B92C8E" w:rsidRPr="00D11290">
        <w:rPr>
          <w:rFonts w:cstheme="minorHAnsi"/>
        </w:rPr>
        <w:t>children with peanut and/or tree nut allergy versus standard care of strict avoidance</w:t>
      </w:r>
      <w:r w:rsidR="009B4F13">
        <w:rPr>
          <w:rFonts w:cstheme="minorHAnsi"/>
        </w:rPr>
        <w:t xml:space="preserve"> to enhance tolerance</w:t>
      </w:r>
      <w:r w:rsidR="00B92C8E">
        <w:rPr>
          <w:rFonts w:cstheme="minorHAnsi"/>
        </w:rPr>
        <w:t xml:space="preserve"> </w:t>
      </w:r>
      <w:r w:rsidR="009B4F13">
        <w:rPr>
          <w:rFonts w:cstheme="minorHAnsi"/>
        </w:rPr>
        <w:t xml:space="preserve">may </w:t>
      </w:r>
      <w:r w:rsidR="00B92C8E">
        <w:rPr>
          <w:rFonts w:cstheme="minorHAnsi"/>
        </w:rPr>
        <w:t>assist in contributing to this knowledge gap</w:t>
      </w:r>
      <w:r w:rsidR="00B92C8E" w:rsidRPr="00D11290">
        <w:rPr>
          <w:rFonts w:cstheme="minorHAnsi"/>
        </w:rPr>
        <w:t>.</w:t>
      </w:r>
      <w:r w:rsidR="00B92C8E">
        <w:rPr>
          <w:rFonts w:cstheme="minorHAnsi"/>
        </w:rPr>
        <w:t xml:space="preserve"> </w:t>
      </w:r>
      <w:r w:rsidR="009B4F13">
        <w:rPr>
          <w:rFonts w:cstheme="minorHAnsi"/>
        </w:rPr>
        <w:t>Using t</w:t>
      </w:r>
      <w:r w:rsidR="009267AE" w:rsidRPr="00D81778">
        <w:rPr>
          <w:rFonts w:cstheme="minorHAnsi"/>
        </w:rPr>
        <w:t xml:space="preserve">hreshold information from food challenges to design tailored subthreshold feeding regimens that could be an easier, more family friendly, and less burdensome approach </w:t>
      </w:r>
      <w:r w:rsidR="009A5719" w:rsidRPr="00D81778">
        <w:rPr>
          <w:rFonts w:cstheme="minorHAnsi"/>
        </w:rPr>
        <w:t xml:space="preserve">as compared </w:t>
      </w:r>
      <w:r w:rsidR="009267AE" w:rsidRPr="00D81778">
        <w:rPr>
          <w:rFonts w:cstheme="minorHAnsi"/>
        </w:rPr>
        <w:t>to OIT, particularly in low resource settings</w:t>
      </w:r>
      <w:r w:rsidR="00FF2828" w:rsidRPr="00D81778">
        <w:rPr>
          <w:rFonts w:cstheme="minorHAnsi"/>
        </w:rPr>
        <w:t>,</w:t>
      </w:r>
      <w:r w:rsidR="009267AE" w:rsidRPr="00D81778">
        <w:rPr>
          <w:rFonts w:cstheme="minorHAnsi"/>
        </w:rPr>
        <w:t xml:space="preserve"> </w:t>
      </w:r>
      <w:r w:rsidR="009A5719" w:rsidRPr="00D81778">
        <w:rPr>
          <w:rFonts w:cstheme="minorHAnsi"/>
        </w:rPr>
        <w:t xml:space="preserve">is also being debated </w:t>
      </w:r>
      <w:r w:rsidR="00C45C31" w:rsidRPr="00C45C31">
        <w:rPr>
          <w:rFonts w:cstheme="minorHAnsi"/>
          <w:noProof/>
          <w:vertAlign w:val="superscript"/>
        </w:rPr>
        <w:t>61</w:t>
      </w:r>
      <w:r w:rsidR="00445D85">
        <w:rPr>
          <w:rFonts w:cstheme="minorHAnsi"/>
        </w:rPr>
        <w:t>.</w:t>
      </w:r>
    </w:p>
    <w:p w14:paraId="2A84295E" w14:textId="77777777" w:rsidR="00116F1E" w:rsidRDefault="00116F1E" w:rsidP="00195D52">
      <w:pPr>
        <w:spacing w:line="480" w:lineRule="auto"/>
        <w:rPr>
          <w:rFonts w:ascii="Calibri" w:hAnsi="Calibri" w:cs="Calibri"/>
          <w:b/>
          <w:color w:val="000000"/>
        </w:rPr>
      </w:pPr>
    </w:p>
    <w:p w14:paraId="6CF19397" w14:textId="0A8DB827" w:rsidR="00DC6821" w:rsidRPr="00D14CCF" w:rsidRDefault="00DC6821" w:rsidP="00195D52">
      <w:pPr>
        <w:spacing w:line="480" w:lineRule="auto"/>
        <w:rPr>
          <w:rFonts w:ascii="Calibri" w:hAnsi="Calibri" w:cs="Calibri"/>
          <w:b/>
          <w:color w:val="000000"/>
        </w:rPr>
      </w:pPr>
      <w:r w:rsidRPr="00D14CCF">
        <w:rPr>
          <w:rFonts w:ascii="Calibri" w:hAnsi="Calibri" w:cs="Calibri"/>
          <w:b/>
          <w:color w:val="000000"/>
        </w:rPr>
        <w:t>Conclusion</w:t>
      </w:r>
      <w:r w:rsidR="00116F1E">
        <w:rPr>
          <w:rFonts w:ascii="Calibri" w:hAnsi="Calibri" w:cs="Calibri"/>
          <w:b/>
          <w:color w:val="000000"/>
        </w:rPr>
        <w:t xml:space="preserve"> </w:t>
      </w:r>
    </w:p>
    <w:p w14:paraId="630999C5" w14:textId="62DBAAD6" w:rsidR="00466936" w:rsidRDefault="00466936" w:rsidP="00195D52">
      <w:pPr>
        <w:spacing w:line="480" w:lineRule="auto"/>
        <w:jc w:val="both"/>
      </w:pPr>
      <w:r>
        <w:rPr>
          <w:rFonts w:ascii="Calibri" w:hAnsi="Calibri" w:cs="Calibri"/>
        </w:rPr>
        <w:t>Emerging evidence suggest</w:t>
      </w:r>
      <w:r w:rsidR="00E76F7C">
        <w:rPr>
          <w:rFonts w:ascii="Calibri" w:hAnsi="Calibri" w:cs="Calibri"/>
        </w:rPr>
        <w:t>s</w:t>
      </w:r>
      <w:r w:rsidR="00E32DB8">
        <w:rPr>
          <w:rFonts w:ascii="Calibri" w:hAnsi="Calibri" w:cs="Calibri"/>
        </w:rPr>
        <w:t xml:space="preserve"> that food allergen immunotherapy-induced</w:t>
      </w:r>
      <w:r>
        <w:rPr>
          <w:rFonts w:ascii="Calibri" w:hAnsi="Calibri" w:cs="Calibri"/>
        </w:rPr>
        <w:t xml:space="preserve"> </w:t>
      </w:r>
      <w:r w:rsidR="009B4F13">
        <w:rPr>
          <w:rFonts w:ascii="Calibri" w:hAnsi="Calibri" w:cs="Calibri"/>
        </w:rPr>
        <w:t xml:space="preserve">desensitization </w:t>
      </w:r>
      <w:r>
        <w:rPr>
          <w:rFonts w:ascii="Calibri" w:hAnsi="Calibri" w:cs="Calibri"/>
        </w:rPr>
        <w:t xml:space="preserve">and </w:t>
      </w:r>
      <w:r w:rsidR="002804D0" w:rsidRPr="00965D3B">
        <w:rPr>
          <w:rFonts w:ascii="Calibri" w:hAnsi="Calibri" w:cs="Calibri"/>
        </w:rPr>
        <w:t>remission rates are higher in the preschool age group as compared to older children.</w:t>
      </w:r>
      <w:r w:rsidR="008B2B26">
        <w:rPr>
          <w:rFonts w:ascii="Calibri" w:hAnsi="Calibri" w:cs="Calibri"/>
        </w:rPr>
        <w:t xml:space="preserve"> </w:t>
      </w:r>
      <w:r w:rsidR="00E32DB8">
        <w:rPr>
          <w:rFonts w:ascii="Calibri" w:hAnsi="Calibri" w:cs="Calibri"/>
        </w:rPr>
        <w:t xml:space="preserve">These findings suggest </w:t>
      </w:r>
      <w:r w:rsidR="00403B0F">
        <w:rPr>
          <w:rFonts w:ascii="Calibri" w:hAnsi="Calibri" w:cs="Calibri"/>
        </w:rPr>
        <w:t>that early treatment in young children is feasible and has</w:t>
      </w:r>
      <w:r w:rsidR="00E32DB8">
        <w:rPr>
          <w:rFonts w:ascii="Calibri" w:hAnsi="Calibri" w:cs="Calibri"/>
        </w:rPr>
        <w:t xml:space="preserve"> potential </w:t>
      </w:r>
      <w:r w:rsidR="00403B0F">
        <w:rPr>
          <w:rFonts w:ascii="Calibri" w:hAnsi="Calibri" w:cs="Calibri"/>
        </w:rPr>
        <w:t>to be a</w:t>
      </w:r>
      <w:r w:rsidR="00E32DB8">
        <w:rPr>
          <w:rFonts w:ascii="Calibri" w:hAnsi="Calibri" w:cs="Calibri"/>
        </w:rPr>
        <w:t xml:space="preserve"> life-changing therapy for many young food-allergic children. </w:t>
      </w:r>
      <w:r>
        <w:rPr>
          <w:rFonts w:ascii="Calibri" w:hAnsi="Calibri" w:cs="Calibri"/>
        </w:rPr>
        <w:t>However</w:t>
      </w:r>
      <w:r w:rsidR="00E32DB8">
        <w:rPr>
          <w:rFonts w:ascii="Calibri" w:hAnsi="Calibri" w:cs="Calibri"/>
        </w:rPr>
        <w:t>,</w:t>
      </w:r>
      <w:r>
        <w:rPr>
          <w:rFonts w:ascii="Calibri" w:hAnsi="Calibri" w:cs="Calibri"/>
        </w:rPr>
        <w:t xml:space="preserve"> </w:t>
      </w:r>
      <w:r w:rsidR="00064FA1">
        <w:rPr>
          <w:rFonts w:ascii="Calibri" w:hAnsi="Calibri" w:cs="Calibri"/>
        </w:rPr>
        <w:t xml:space="preserve">it is not clear how much of this improvement is due to natural remission and </w:t>
      </w:r>
      <w:r>
        <w:rPr>
          <w:rFonts w:ascii="Calibri" w:hAnsi="Calibri" w:cs="Calibri"/>
        </w:rPr>
        <w:t xml:space="preserve">evidence is </w:t>
      </w:r>
      <w:r w:rsidR="00386788">
        <w:rPr>
          <w:rFonts w:ascii="Calibri" w:hAnsi="Calibri" w:cs="Calibri"/>
        </w:rPr>
        <w:t xml:space="preserve">insufficient </w:t>
      </w:r>
      <w:r>
        <w:rPr>
          <w:rFonts w:ascii="Calibri" w:hAnsi="Calibri" w:cs="Calibri"/>
        </w:rPr>
        <w:t>in patient</w:t>
      </w:r>
      <w:r w:rsidR="00403B0F">
        <w:rPr>
          <w:rFonts w:ascii="Calibri" w:hAnsi="Calibri" w:cs="Calibri"/>
        </w:rPr>
        <w:t>-important</w:t>
      </w:r>
      <w:r>
        <w:rPr>
          <w:rFonts w:ascii="Calibri" w:hAnsi="Calibri" w:cs="Calibri"/>
        </w:rPr>
        <w:t xml:space="preserve"> outcome measures, such as QoL</w:t>
      </w:r>
      <w:r w:rsidR="00E32DB8">
        <w:rPr>
          <w:rFonts w:ascii="Calibri" w:hAnsi="Calibri" w:cs="Calibri"/>
        </w:rPr>
        <w:t>, impact on diet patterns and nutrition,</w:t>
      </w:r>
      <w:r>
        <w:rPr>
          <w:rFonts w:ascii="Calibri" w:hAnsi="Calibri" w:cs="Calibri"/>
        </w:rPr>
        <w:t xml:space="preserve"> and</w:t>
      </w:r>
      <w:r w:rsidR="0060171E">
        <w:rPr>
          <w:rFonts w:ascii="Calibri" w:hAnsi="Calibri" w:cs="Calibri"/>
        </w:rPr>
        <w:t xml:space="preserve"> on</w:t>
      </w:r>
      <w:r>
        <w:rPr>
          <w:rFonts w:ascii="Calibri" w:hAnsi="Calibri" w:cs="Calibri"/>
        </w:rPr>
        <w:t xml:space="preserve"> cost-effectiveness</w:t>
      </w:r>
      <w:r w:rsidR="008B2B26">
        <w:rPr>
          <w:rFonts w:ascii="Calibri" w:hAnsi="Calibri" w:cs="Calibri"/>
        </w:rPr>
        <w:t xml:space="preserve"> which </w:t>
      </w:r>
      <w:r w:rsidR="00ED5F47">
        <w:rPr>
          <w:rFonts w:ascii="Calibri" w:hAnsi="Calibri" w:cs="Calibri"/>
        </w:rPr>
        <w:t xml:space="preserve">limits </w:t>
      </w:r>
      <w:r w:rsidR="00081E47">
        <w:rPr>
          <w:rFonts w:ascii="Calibri" w:hAnsi="Calibri" w:cs="Calibri"/>
        </w:rPr>
        <w:t>implementation</w:t>
      </w:r>
      <w:r w:rsidR="00ED5F47">
        <w:rPr>
          <w:rFonts w:ascii="Calibri" w:hAnsi="Calibri" w:cs="Calibri"/>
        </w:rPr>
        <w:t xml:space="preserve"> in health resource settings</w:t>
      </w:r>
      <w:r w:rsidR="008D22A9">
        <w:rPr>
          <w:rFonts w:ascii="Calibri" w:hAnsi="Calibri" w:cs="Calibri"/>
        </w:rPr>
        <w:t xml:space="preserve"> (see summary Figure </w:t>
      </w:r>
      <w:r w:rsidR="008A26A6">
        <w:rPr>
          <w:rFonts w:ascii="Calibri" w:hAnsi="Calibri" w:cs="Calibri"/>
        </w:rPr>
        <w:t>2</w:t>
      </w:r>
      <w:r w:rsidR="008D22A9">
        <w:rPr>
          <w:rFonts w:ascii="Calibri" w:hAnsi="Calibri" w:cs="Calibri"/>
        </w:rPr>
        <w:t>)</w:t>
      </w:r>
      <w:r>
        <w:rPr>
          <w:rFonts w:ascii="Calibri" w:hAnsi="Calibri" w:cs="Calibri"/>
        </w:rPr>
        <w:t xml:space="preserve">. </w:t>
      </w:r>
      <w:r w:rsidR="00E32DB8">
        <w:rPr>
          <w:rFonts w:ascii="Calibri" w:hAnsi="Calibri" w:cs="Calibri"/>
        </w:rPr>
        <w:t>Despite compelling evidence</w:t>
      </w:r>
      <w:r w:rsidR="00403B0F">
        <w:rPr>
          <w:rFonts w:ascii="Calibri" w:hAnsi="Calibri" w:cs="Calibri"/>
        </w:rPr>
        <w:t xml:space="preserve"> from several well-designed randomized trials</w:t>
      </w:r>
      <w:r w:rsidR="00E32DB8">
        <w:rPr>
          <w:rFonts w:ascii="Calibri" w:hAnsi="Calibri" w:cs="Calibri"/>
        </w:rPr>
        <w:t>, more work is need</w:t>
      </w:r>
      <w:r w:rsidR="00403B0F">
        <w:rPr>
          <w:rFonts w:ascii="Calibri" w:hAnsi="Calibri" w:cs="Calibri"/>
        </w:rPr>
        <w:t xml:space="preserve">ed </w:t>
      </w:r>
      <w:r w:rsidR="00E32DB8">
        <w:rPr>
          <w:rFonts w:ascii="Calibri" w:hAnsi="Calibri" w:cs="Calibri"/>
        </w:rPr>
        <w:t xml:space="preserve">to </w:t>
      </w:r>
      <w:r w:rsidR="00403B0F">
        <w:rPr>
          <w:rFonts w:ascii="Calibri" w:hAnsi="Calibri" w:cs="Calibri"/>
        </w:rPr>
        <w:t xml:space="preserve">definitively </w:t>
      </w:r>
      <w:r w:rsidR="00E32DB8">
        <w:rPr>
          <w:rFonts w:ascii="Calibri" w:hAnsi="Calibri" w:cs="Calibri"/>
        </w:rPr>
        <w:t xml:space="preserve">address the important knowledge gaps that </w:t>
      </w:r>
      <w:r w:rsidR="00403B0F">
        <w:rPr>
          <w:rFonts w:ascii="Calibri" w:hAnsi="Calibri" w:cs="Calibri"/>
        </w:rPr>
        <w:t>remain.</w:t>
      </w:r>
      <w:r w:rsidR="00E32DB8">
        <w:rPr>
          <w:rFonts w:ascii="Calibri" w:hAnsi="Calibri" w:cs="Calibri"/>
        </w:rPr>
        <w:t xml:space="preserve"> </w:t>
      </w:r>
      <w:r w:rsidR="007857D0">
        <w:rPr>
          <w:rFonts w:ascii="Calibri" w:hAnsi="Calibri" w:cs="Calibri"/>
        </w:rPr>
        <w:t xml:space="preserve">Several ongoing or recently completed Phase 3 trials in preschool children </w:t>
      </w:r>
      <w:r w:rsidR="00C45C31" w:rsidRPr="00C45C31">
        <w:rPr>
          <w:rFonts w:ascii="Calibri" w:hAnsi="Calibri" w:cs="Calibri"/>
          <w:noProof/>
          <w:vertAlign w:val="superscript"/>
        </w:rPr>
        <w:t>41, 62, 63</w:t>
      </w:r>
      <w:r w:rsidR="000466EE">
        <w:rPr>
          <w:rFonts w:ascii="Calibri" w:hAnsi="Calibri" w:cs="Calibri"/>
        </w:rPr>
        <w:t xml:space="preserve"> </w:t>
      </w:r>
      <w:r w:rsidR="007857D0">
        <w:rPr>
          <w:rFonts w:ascii="Calibri" w:hAnsi="Calibri" w:cs="Calibri"/>
        </w:rPr>
        <w:t xml:space="preserve">will deliver important new data that will inform </w:t>
      </w:r>
      <w:r w:rsidR="00C66D55">
        <w:rPr>
          <w:rFonts w:ascii="Calibri" w:hAnsi="Calibri" w:cs="Calibri"/>
        </w:rPr>
        <w:t>implementation</w:t>
      </w:r>
      <w:r w:rsidR="007857D0">
        <w:rPr>
          <w:rFonts w:ascii="Calibri" w:hAnsi="Calibri" w:cs="Calibri"/>
        </w:rPr>
        <w:t xml:space="preserve"> of scalable interventions</w:t>
      </w:r>
      <w:r w:rsidR="00E32DB8">
        <w:rPr>
          <w:rFonts w:ascii="Calibri" w:hAnsi="Calibri" w:cs="Calibri"/>
        </w:rPr>
        <w:t xml:space="preserve"> in this vulnerable population. </w:t>
      </w:r>
    </w:p>
    <w:p w14:paraId="278D4768" w14:textId="2AE1F26D" w:rsidR="00B76E6C" w:rsidRDefault="00B76E6C" w:rsidP="00195D52">
      <w:pPr>
        <w:spacing w:line="480" w:lineRule="auto"/>
      </w:pPr>
    </w:p>
    <w:p w14:paraId="391E0D4D" w14:textId="7F31276A" w:rsidR="00287026" w:rsidRDefault="00287026" w:rsidP="00195D52">
      <w:pPr>
        <w:spacing w:line="480" w:lineRule="auto"/>
      </w:pPr>
    </w:p>
    <w:p w14:paraId="1BC21BA6" w14:textId="00AB78D0" w:rsidR="00F65E1E" w:rsidRDefault="00F65E1E" w:rsidP="00195D52">
      <w:pPr>
        <w:spacing w:line="480" w:lineRule="auto"/>
      </w:pPr>
    </w:p>
    <w:p w14:paraId="4D467E4E" w14:textId="24685FC3" w:rsidR="00F65E1E" w:rsidRDefault="00F65E1E" w:rsidP="00195D52">
      <w:pPr>
        <w:spacing w:line="480" w:lineRule="auto"/>
      </w:pPr>
    </w:p>
    <w:p w14:paraId="532E9095" w14:textId="3C6D8EAD" w:rsidR="00F65E1E" w:rsidRDefault="00F65E1E" w:rsidP="00195D52">
      <w:pPr>
        <w:spacing w:line="480" w:lineRule="auto"/>
      </w:pPr>
    </w:p>
    <w:p w14:paraId="520767ED" w14:textId="012ACA37" w:rsidR="00F65E1E" w:rsidRDefault="00F65E1E" w:rsidP="00195D52">
      <w:pPr>
        <w:spacing w:line="480" w:lineRule="auto"/>
      </w:pPr>
    </w:p>
    <w:p w14:paraId="619C4EA9" w14:textId="44828974" w:rsidR="00F65E1E" w:rsidRDefault="00F65E1E" w:rsidP="00195D52">
      <w:pPr>
        <w:spacing w:line="480" w:lineRule="auto"/>
      </w:pPr>
    </w:p>
    <w:p w14:paraId="5EE00732" w14:textId="208B6085" w:rsidR="00F65E1E" w:rsidRDefault="00F65E1E" w:rsidP="00195D52">
      <w:pPr>
        <w:spacing w:line="480" w:lineRule="auto"/>
      </w:pPr>
    </w:p>
    <w:p w14:paraId="1E0299EC" w14:textId="5A94A2DC" w:rsidR="00124E4A" w:rsidRDefault="00124E4A" w:rsidP="00195D52">
      <w:pPr>
        <w:spacing w:line="480" w:lineRule="auto"/>
      </w:pPr>
    </w:p>
    <w:p w14:paraId="43BEC55F" w14:textId="0E4F38BC" w:rsidR="006F0603" w:rsidRDefault="006F0603" w:rsidP="00195D52">
      <w:pPr>
        <w:spacing w:line="480" w:lineRule="auto"/>
      </w:pPr>
    </w:p>
    <w:p w14:paraId="3DCC3D19" w14:textId="738BE2B2" w:rsidR="00DC6821" w:rsidRPr="00FC6788" w:rsidRDefault="00DC6821" w:rsidP="00195D52">
      <w:pPr>
        <w:spacing w:line="480" w:lineRule="auto"/>
        <w:rPr>
          <w:b/>
        </w:rPr>
      </w:pPr>
      <w:r w:rsidRPr="00FC6788">
        <w:rPr>
          <w:b/>
        </w:rPr>
        <w:t>References</w:t>
      </w:r>
    </w:p>
    <w:p w14:paraId="21075790" w14:textId="22FC7854" w:rsidR="003D0D0C" w:rsidRPr="003D0D0C" w:rsidRDefault="003D0D0C" w:rsidP="003D0D0C">
      <w:pPr>
        <w:pStyle w:val="EndNoteBibliography"/>
        <w:spacing w:after="0"/>
      </w:pPr>
      <w:r w:rsidRPr="003D0D0C">
        <w:t>1.</w:t>
      </w:r>
      <w:r w:rsidRPr="003D0D0C">
        <w:tab/>
        <w:t>Gupta R, Holdford D, Bilaver L, Dyer A, Holl JL, Meltzer D. The economic impact of childhood food allergy in the United States. JAMA Pediatr. 2013;167(11):1026-31.</w:t>
      </w:r>
    </w:p>
    <w:p w14:paraId="6924946D" w14:textId="77777777" w:rsidR="003D0D0C" w:rsidRPr="003D0D0C" w:rsidRDefault="003D0D0C" w:rsidP="003D0D0C">
      <w:pPr>
        <w:pStyle w:val="EndNoteBibliography"/>
        <w:spacing w:after="0"/>
      </w:pPr>
      <w:r w:rsidRPr="003D0D0C">
        <w:t>2.</w:t>
      </w:r>
      <w:r w:rsidRPr="003D0D0C">
        <w:tab/>
        <w:t>Sampath V, Abrams EM, Adlou B, Akdis C, Akdis M, Brough HA, et al. Food allergy across the globe. J Allergy Clin Immunol. 2021;148(6):1347-64.</w:t>
      </w:r>
    </w:p>
    <w:p w14:paraId="472C04A6" w14:textId="77777777" w:rsidR="003D0D0C" w:rsidRPr="003D0D0C" w:rsidRDefault="003D0D0C" w:rsidP="003D0D0C">
      <w:pPr>
        <w:pStyle w:val="EndNoteBibliography"/>
        <w:spacing w:after="0"/>
      </w:pPr>
      <w:r w:rsidRPr="003D0D0C">
        <w:t>3.</w:t>
      </w:r>
      <w:r w:rsidRPr="003D0D0C">
        <w:tab/>
        <w:t>Burks AW, Sampson HA, Plaut M, Lack G, Akdis CA. Treatment for food allergy. J Allergy Clin Immunol. 2018;141(1):1-9.</w:t>
      </w:r>
    </w:p>
    <w:p w14:paraId="3245E134" w14:textId="77777777" w:rsidR="003D0D0C" w:rsidRPr="003D0D0C" w:rsidRDefault="003D0D0C" w:rsidP="003D0D0C">
      <w:pPr>
        <w:pStyle w:val="EndNoteBibliography"/>
        <w:spacing w:after="0"/>
      </w:pPr>
      <w:r w:rsidRPr="003D0D0C">
        <w:t>4.</w:t>
      </w:r>
      <w:r w:rsidRPr="003D0D0C">
        <w:tab/>
        <w:t>de Silva D, Rodríguez Del Río P, de Jong NW, Khaleva E, Singh C, Nowak-Wegrzyn A, et al. Allergen immunotherapy and/or biologicals for IgE-mediated food allergy: A systematic review and meta-analysis. Allergy. 2022;77(6):1852-62.</w:t>
      </w:r>
    </w:p>
    <w:p w14:paraId="3A50B4D2" w14:textId="77777777" w:rsidR="003D0D0C" w:rsidRPr="003D0D0C" w:rsidRDefault="003D0D0C" w:rsidP="003D0D0C">
      <w:pPr>
        <w:pStyle w:val="EndNoteBibliography"/>
        <w:spacing w:after="0"/>
      </w:pPr>
      <w:r w:rsidRPr="003D0D0C">
        <w:t>5.</w:t>
      </w:r>
      <w:r w:rsidRPr="003D0D0C">
        <w:tab/>
        <w:t>Hong TS, Hu A, Fahim G, Hermes-DeSantis ER. Emerging Therapies for Peanut Allergy. J Pharm Pract. 2022;35(2):289-97.</w:t>
      </w:r>
    </w:p>
    <w:p w14:paraId="35E140F5" w14:textId="77777777" w:rsidR="003D0D0C" w:rsidRPr="003D0D0C" w:rsidRDefault="003D0D0C" w:rsidP="003D0D0C">
      <w:pPr>
        <w:pStyle w:val="EndNoteBibliography"/>
        <w:spacing w:after="0"/>
      </w:pPr>
      <w:r w:rsidRPr="003D0D0C">
        <w:t>6.</w:t>
      </w:r>
      <w:r w:rsidRPr="003D0D0C">
        <w:tab/>
        <w:t>Smith SS, Hilas O. Peanut (Arachis hypogaea) Allergen Powder-dnfp: The First FDA-approved Oral Immunotherapy for Desensitization of Peanut Allergy in Children. J Pediatr Pharmacol Ther. 2021;26(7):669-74.</w:t>
      </w:r>
    </w:p>
    <w:p w14:paraId="6609AF57" w14:textId="77777777" w:rsidR="003D0D0C" w:rsidRPr="003D0D0C" w:rsidRDefault="003D0D0C" w:rsidP="003D0D0C">
      <w:pPr>
        <w:pStyle w:val="EndNoteBibliography"/>
        <w:spacing w:after="0"/>
      </w:pPr>
      <w:r w:rsidRPr="003D0D0C">
        <w:t>7.</w:t>
      </w:r>
      <w:r w:rsidRPr="003D0D0C">
        <w:tab/>
        <w:t>National Institute for Health and Care Excellence. Palforzia for treating peanut allergy in children and young people Technology appraisal guidance [TA769]. 2022.</w:t>
      </w:r>
    </w:p>
    <w:p w14:paraId="7F3AD5B8" w14:textId="77777777" w:rsidR="003D0D0C" w:rsidRPr="003D0D0C" w:rsidRDefault="003D0D0C" w:rsidP="003D0D0C">
      <w:pPr>
        <w:pStyle w:val="EndNoteBibliography"/>
        <w:spacing w:after="0"/>
      </w:pPr>
      <w:r w:rsidRPr="003D0D0C">
        <w:t>8.</w:t>
      </w:r>
      <w:r w:rsidRPr="003D0D0C">
        <w:tab/>
        <w:t>Sampson HA, O'Mahony L, Burks AW, Plaut M, Lack G, Akdis CA. Mechanisms of food allergy. J Allergy Clin Immunol. 2018;141(1):11-9.</w:t>
      </w:r>
    </w:p>
    <w:p w14:paraId="3CDF8FD1" w14:textId="77777777" w:rsidR="003D0D0C" w:rsidRPr="003D0D0C" w:rsidRDefault="003D0D0C" w:rsidP="003D0D0C">
      <w:pPr>
        <w:pStyle w:val="EndNoteBibliography"/>
        <w:spacing w:after="0"/>
      </w:pPr>
      <w:r w:rsidRPr="003D0D0C">
        <w:t>9.</w:t>
      </w:r>
      <w:r w:rsidRPr="003D0D0C">
        <w:tab/>
        <w:t>Nurmatov U, Dhami S, Arasi S, Pajno GB, Fernandez-Rivas M, Muraro A, et al. Allergen immunotherapy for IgE-mediated food allergy: a systematic review and meta-analysis. Allergy. 2017;72(8):1133-47.</w:t>
      </w:r>
    </w:p>
    <w:p w14:paraId="2FB48396" w14:textId="77777777" w:rsidR="003D0D0C" w:rsidRPr="003D0D0C" w:rsidRDefault="003D0D0C" w:rsidP="003D0D0C">
      <w:pPr>
        <w:pStyle w:val="EndNoteBibliography"/>
        <w:spacing w:after="0"/>
      </w:pPr>
      <w:r w:rsidRPr="003D0D0C">
        <w:t>10.</w:t>
      </w:r>
      <w:r w:rsidRPr="003D0D0C">
        <w:tab/>
        <w:t>Savage J, Sicherer S, Wood R. The Natural History of Food Allergy. The journal of allergy and clinical immunology In practice. 2016;4(2):196-203; quiz 4.</w:t>
      </w:r>
    </w:p>
    <w:p w14:paraId="26F40CB3" w14:textId="77777777" w:rsidR="003D0D0C" w:rsidRPr="003D0D0C" w:rsidRDefault="003D0D0C" w:rsidP="003D0D0C">
      <w:pPr>
        <w:pStyle w:val="EndNoteBibliography"/>
        <w:spacing w:after="0"/>
      </w:pPr>
      <w:r w:rsidRPr="003D0D0C">
        <w:t>11.</w:t>
      </w:r>
      <w:r w:rsidRPr="003D0D0C">
        <w:tab/>
        <w:t>Muraro A, De Silva D, Halken S, Worm M, Khaleva E, Arasi S, et al. Managing food allergy: GA2LEN guideline 2022. World Allergy Organization Journal. 2022;15(9):100687.</w:t>
      </w:r>
    </w:p>
    <w:p w14:paraId="0D6BD9F1" w14:textId="77777777" w:rsidR="003D0D0C" w:rsidRPr="003D0D0C" w:rsidRDefault="003D0D0C" w:rsidP="003D0D0C">
      <w:pPr>
        <w:pStyle w:val="EndNoteBibliography"/>
        <w:spacing w:after="0"/>
      </w:pPr>
      <w:r w:rsidRPr="003D0D0C">
        <w:t>12.</w:t>
      </w:r>
      <w:r w:rsidRPr="003D0D0C">
        <w:tab/>
        <w:t>Flokstra-de Blok BMJ. Food Allergy Quality of Life Questionnaires (FAQLQ). In: Michalos AC, editor. Encyclopedia of Quality of Life and Well-Being Research. Dordrecht: Springer Netherlands; 2014. p. 2319-22.</w:t>
      </w:r>
    </w:p>
    <w:p w14:paraId="0C6772BA" w14:textId="77777777" w:rsidR="003D0D0C" w:rsidRPr="003D0D0C" w:rsidRDefault="003D0D0C" w:rsidP="003D0D0C">
      <w:pPr>
        <w:pStyle w:val="EndNoteBibliography"/>
        <w:spacing w:after="0"/>
      </w:pPr>
      <w:r w:rsidRPr="003D0D0C">
        <w:t>13.</w:t>
      </w:r>
      <w:r w:rsidRPr="003D0D0C">
        <w:tab/>
        <w:t>DunnGalvin A, Roberts G, Schnadt S, Astley S, Austin M, Blom WM, et al. Evidence-based approaches to the application of precautionary allergen labelling: Report from two iFAAM workshops. Clin Exp Allergy. 2019;49(9):1191-200.</w:t>
      </w:r>
    </w:p>
    <w:p w14:paraId="0251470D" w14:textId="77777777" w:rsidR="003D0D0C" w:rsidRPr="003D0D0C" w:rsidRDefault="003D0D0C" w:rsidP="003D0D0C">
      <w:pPr>
        <w:pStyle w:val="EndNoteBibliography"/>
        <w:spacing w:after="0"/>
      </w:pPr>
      <w:r w:rsidRPr="003D0D0C">
        <w:t>14.</w:t>
      </w:r>
      <w:r w:rsidRPr="003D0D0C">
        <w:tab/>
        <w:t>DunnGalvin A, Roberts G, Regent L, Austin M, Kenna F, Schnadt S, et al. Understanding how consumers with food allergies make decisions based on precautionary labelling. Clin Exp Allergy. 2019;49(11):1446-54.</w:t>
      </w:r>
    </w:p>
    <w:p w14:paraId="586BAD0F" w14:textId="77777777" w:rsidR="003D0D0C" w:rsidRPr="003D0D0C" w:rsidRDefault="003D0D0C" w:rsidP="003D0D0C">
      <w:pPr>
        <w:pStyle w:val="EndNoteBibliography"/>
        <w:spacing w:after="0"/>
      </w:pPr>
      <w:r w:rsidRPr="003D0D0C">
        <w:t>15.</w:t>
      </w:r>
      <w:r w:rsidRPr="003D0D0C">
        <w:tab/>
        <w:t>Lloyd M DA, Tang M. Measuring the Impact of Food Immunotherapy on Health-Related Quality of Life in Clinical Trials. Frontier Allergy. 2022;3:941020.</w:t>
      </w:r>
    </w:p>
    <w:p w14:paraId="1C409607" w14:textId="77777777" w:rsidR="003D0D0C" w:rsidRPr="003D0D0C" w:rsidRDefault="003D0D0C" w:rsidP="003D0D0C">
      <w:pPr>
        <w:pStyle w:val="EndNoteBibliography"/>
        <w:spacing w:after="0"/>
      </w:pPr>
      <w:r w:rsidRPr="003D0D0C">
        <w:t>16.</w:t>
      </w:r>
      <w:r w:rsidRPr="003D0D0C">
        <w:tab/>
        <w:t>Loke P, Orsini F, Lozinsky AC, Gold M, O'Sullivan MD, Quinn P, et al. Probiotic peanut oral immunotherapy versus oral immunotherapy and placebo in children with peanut allergy in Australia (PPOIT-003): a multicentre, randomised, phase 2b trial. Lancet Child Adolesc Health. 2022;6(3):171-84.</w:t>
      </w:r>
    </w:p>
    <w:p w14:paraId="1E11AA23" w14:textId="77777777" w:rsidR="003D0D0C" w:rsidRPr="003D0D0C" w:rsidRDefault="003D0D0C" w:rsidP="003D0D0C">
      <w:pPr>
        <w:pStyle w:val="EndNoteBibliography"/>
        <w:spacing w:after="0"/>
      </w:pPr>
      <w:r w:rsidRPr="003D0D0C">
        <w:t>17.</w:t>
      </w:r>
      <w:r w:rsidRPr="003D0D0C">
        <w:tab/>
        <w:t>Vickery BP, Berglund JP, Burk CM, Fine JP, Kim EH, Kim JI, et al. Early oral immunotherapy in peanut-allergic preschool children is safe and highly effective. J Allergy Clin Immunol. 2017;139(1):173-81.e8.</w:t>
      </w:r>
    </w:p>
    <w:p w14:paraId="534A71E9" w14:textId="77777777" w:rsidR="003D0D0C" w:rsidRPr="003D0D0C" w:rsidRDefault="003D0D0C" w:rsidP="003D0D0C">
      <w:pPr>
        <w:pStyle w:val="EndNoteBibliography"/>
        <w:spacing w:after="0"/>
      </w:pPr>
      <w:r w:rsidRPr="003D0D0C">
        <w:t>18.</w:t>
      </w:r>
      <w:r w:rsidRPr="003D0D0C">
        <w:tab/>
        <w:t xml:space="preserve">Jones SM, Kim EH, Nadeau KC, Nowak-Wegrzyn A, Wood RA, Sampson HA, et al. Efficacy and safety of oral immunotherapy in children aged 1-3 years with peanut allergy (the Immune Tolerance </w:t>
      </w:r>
      <w:r w:rsidRPr="003D0D0C">
        <w:lastRenderedPageBreak/>
        <w:t>Network IMPACT trial): a randomised placebo-controlled study. Lancet (London, England). 2022;399(10322):359-71.</w:t>
      </w:r>
    </w:p>
    <w:p w14:paraId="0DF289ED" w14:textId="77777777" w:rsidR="003D0D0C" w:rsidRPr="003D0D0C" w:rsidRDefault="003D0D0C" w:rsidP="003D0D0C">
      <w:pPr>
        <w:pStyle w:val="EndNoteBibliography"/>
        <w:spacing w:after="0"/>
      </w:pPr>
      <w:r w:rsidRPr="003D0D0C">
        <w:t>19.</w:t>
      </w:r>
      <w:r w:rsidRPr="003D0D0C">
        <w:tab/>
        <w:t>Green TD, LaBelle VS, Steele PH, Kim EH, Lee LA, Mankad VS, et al. Clinical characteristics of peanut-allergic children: recent changes. Pediatrics. 2007;120(6):1304-10.</w:t>
      </w:r>
    </w:p>
    <w:p w14:paraId="5D0817AD" w14:textId="77777777" w:rsidR="003D0D0C" w:rsidRPr="003D0D0C" w:rsidRDefault="003D0D0C" w:rsidP="003D0D0C">
      <w:pPr>
        <w:pStyle w:val="EndNoteBibliography"/>
        <w:spacing w:after="0"/>
      </w:pPr>
      <w:r w:rsidRPr="003D0D0C">
        <w:t>20.</w:t>
      </w:r>
      <w:r w:rsidRPr="003D0D0C">
        <w:tab/>
        <w:t>Sicherer SH, Wood RA, Stablein D, Burks AW, Liu AH, Jones SM, et al. Immunologic features of infants with milk or egg allergy enrolled in an observational study (Consortium of Food Allergy Research) of food allergy. J Allergy Clin Immunol. 2010;125(5):1077-83.e8.</w:t>
      </w:r>
    </w:p>
    <w:p w14:paraId="45C5E8FC" w14:textId="77777777" w:rsidR="003D0D0C" w:rsidRPr="003D0D0C" w:rsidRDefault="003D0D0C" w:rsidP="003D0D0C">
      <w:pPr>
        <w:pStyle w:val="EndNoteBibliography"/>
        <w:spacing w:after="0"/>
      </w:pPr>
      <w:r w:rsidRPr="003D0D0C">
        <w:t>21.</w:t>
      </w:r>
      <w:r w:rsidRPr="003D0D0C">
        <w:tab/>
        <w:t>Peters RL, Dharmage SC, Gurrin LC, Koplin JJ, Ponsonby AL, Lowe AJ, et al. The natural history and clinical predictors of egg allergy in the first 2 years of life: a prospective, population-based cohort study. The Journal of allergy and clinical immunology. 2014;133(2):485-91.</w:t>
      </w:r>
    </w:p>
    <w:p w14:paraId="2CEEC7F9" w14:textId="77777777" w:rsidR="003D0D0C" w:rsidRPr="003D0D0C" w:rsidRDefault="003D0D0C" w:rsidP="003D0D0C">
      <w:pPr>
        <w:pStyle w:val="EndNoteBibliography"/>
        <w:spacing w:after="0"/>
      </w:pPr>
      <w:r w:rsidRPr="003D0D0C">
        <w:t>22.</w:t>
      </w:r>
      <w:r w:rsidRPr="003D0D0C">
        <w:tab/>
        <w:t>Ho MH, Wong WH, Heine RG, Hosking CS, Hill DJ, Allen KJ. Early clinical predictors of remission of peanut allergy in children. J Allergy Clin Immunol. 2008;121(3):731-6.</w:t>
      </w:r>
    </w:p>
    <w:p w14:paraId="74B11BC8" w14:textId="77777777" w:rsidR="003D0D0C" w:rsidRPr="003D0D0C" w:rsidRDefault="003D0D0C" w:rsidP="003D0D0C">
      <w:pPr>
        <w:pStyle w:val="EndNoteBibliography"/>
        <w:spacing w:after="0"/>
      </w:pPr>
      <w:r w:rsidRPr="003D0D0C">
        <w:t>23.</w:t>
      </w:r>
      <w:r w:rsidRPr="003D0D0C">
        <w:tab/>
        <w:t>Sicherer SH, Wood RA, Vickery BP, Jones SM, Liu AH, Fleischer DM, et al. The natural history of egg allergy in an observational cohort. J Allergy Clin Immunol. 2014;133(2):492-9.</w:t>
      </w:r>
    </w:p>
    <w:p w14:paraId="45CE8C9B" w14:textId="77777777" w:rsidR="003D0D0C" w:rsidRPr="003D0D0C" w:rsidRDefault="003D0D0C" w:rsidP="003D0D0C">
      <w:pPr>
        <w:pStyle w:val="EndNoteBibliography"/>
        <w:spacing w:after="0"/>
      </w:pPr>
      <w:r w:rsidRPr="003D0D0C">
        <w:t>24.</w:t>
      </w:r>
      <w:r w:rsidRPr="003D0D0C">
        <w:tab/>
        <w:t>Wood RA, Sicherer SH, Vickery BP, Jones SM, Liu AH, Fleischer DM, et al. The natural history of milk allergy in an observational cohort. J Allergy Clin Immunol. 2013;131(3):805-12.</w:t>
      </w:r>
    </w:p>
    <w:p w14:paraId="4A0D344F" w14:textId="77777777" w:rsidR="003D0D0C" w:rsidRPr="003D0D0C" w:rsidRDefault="003D0D0C" w:rsidP="003D0D0C">
      <w:pPr>
        <w:pStyle w:val="EndNoteBibliography"/>
        <w:spacing w:after="0"/>
      </w:pPr>
      <w:r w:rsidRPr="003D0D0C">
        <w:t>25.</w:t>
      </w:r>
      <w:r w:rsidRPr="003D0D0C">
        <w:tab/>
        <w:t>Dang TD, Peters RL, Koplin JJ, Dharmage SC, Gurrin LC, Ponsonby AL, et al. Egg allergen specific IgE diversity predicts resolution of egg allergy in the population cohort HealthNuts. Allergy. 2019;74(2):318-26.</w:t>
      </w:r>
    </w:p>
    <w:p w14:paraId="1F39643A" w14:textId="77777777" w:rsidR="003D0D0C" w:rsidRPr="003D0D0C" w:rsidRDefault="003D0D0C" w:rsidP="003D0D0C">
      <w:pPr>
        <w:pStyle w:val="EndNoteBibliography"/>
        <w:spacing w:after="0"/>
      </w:pPr>
      <w:r w:rsidRPr="003D0D0C">
        <w:t>26.</w:t>
      </w:r>
      <w:r w:rsidRPr="003D0D0C">
        <w:tab/>
        <w:t>Caubet JC, Lin J, Ahrens B, Gimenez G, Bardina L, Niggemann B, et al. Natural tolerance development in cow's milk allergic children: IgE and IgG4 epitope binding. Allergy. 2017;72(11):1677-85.</w:t>
      </w:r>
    </w:p>
    <w:p w14:paraId="12A6D247" w14:textId="77777777" w:rsidR="003D0D0C" w:rsidRPr="003D0D0C" w:rsidRDefault="003D0D0C" w:rsidP="003D0D0C">
      <w:pPr>
        <w:pStyle w:val="EndNoteBibliography"/>
        <w:spacing w:after="0"/>
      </w:pPr>
      <w:r w:rsidRPr="003D0D0C">
        <w:t>27.</w:t>
      </w:r>
      <w:r w:rsidRPr="003D0D0C">
        <w:tab/>
        <w:t>Neuman-Sunshine DL, Eckman JA, Keet CA, Matsui EC, Peng RD, Lenehan PJ, et al. The natural history of persistent peanut allergy. Annals of allergy, asthma &amp; immunology : official publication of the American College of Allergy, Asthma, &amp; Immunology. 2012;108(5):326-31.e3.</w:t>
      </w:r>
    </w:p>
    <w:p w14:paraId="035230CB" w14:textId="77777777" w:rsidR="003D0D0C" w:rsidRPr="003D0D0C" w:rsidRDefault="003D0D0C" w:rsidP="003D0D0C">
      <w:pPr>
        <w:pStyle w:val="EndNoteBibliography"/>
        <w:spacing w:after="0"/>
      </w:pPr>
      <w:r w:rsidRPr="003D0D0C">
        <w:t>28.</w:t>
      </w:r>
      <w:r w:rsidRPr="003D0D0C">
        <w:tab/>
        <w:t>Peters RL, Allen KJ, Dharmage SC, Koplin JJ, Dang T, Tilbrook KP, et al. Natural history of peanut allergy and predictors of resolution in the first 4 years of life: A population-based assessment. J Allergy Clin Immunol. 2015;135(5):1257-66 e1-2.</w:t>
      </w:r>
    </w:p>
    <w:p w14:paraId="1D94AA43" w14:textId="77777777" w:rsidR="003D0D0C" w:rsidRPr="003D0D0C" w:rsidRDefault="003D0D0C" w:rsidP="003D0D0C">
      <w:pPr>
        <w:pStyle w:val="EndNoteBibliography"/>
        <w:spacing w:after="0"/>
      </w:pPr>
      <w:r w:rsidRPr="003D0D0C">
        <w:t>29.</w:t>
      </w:r>
      <w:r w:rsidRPr="003D0D0C">
        <w:tab/>
        <w:t>Asarnoj A, Hamsten C, Lupinek C, Melén E, Andersson N, Anto JM, et al. Prediction of peanut allergy in adolescence by early childhood storage protein-specific IgE signatures: The BAMSE population-based birth cohort. J Allergy Clin Immunol. 2017;140(2):587-90.e7.</w:t>
      </w:r>
    </w:p>
    <w:p w14:paraId="42455A5F" w14:textId="77777777" w:rsidR="003D0D0C" w:rsidRPr="003D0D0C" w:rsidRDefault="003D0D0C" w:rsidP="003D0D0C">
      <w:pPr>
        <w:pStyle w:val="EndNoteBibliography"/>
        <w:spacing w:after="0"/>
      </w:pPr>
      <w:r w:rsidRPr="003D0D0C">
        <w:t>30.</w:t>
      </w:r>
      <w:r w:rsidRPr="003D0D0C">
        <w:tab/>
        <w:t>Du Toit G, Roberts G, Sayre PH, Bahnson HT, Radulovic S, Santos AF, et al. Randomized trial of peanut consumption in infants at risk for peanut allergy. The New England journal of medicine. 2015;372(9):803-13.</w:t>
      </w:r>
    </w:p>
    <w:p w14:paraId="58C23165" w14:textId="77777777" w:rsidR="003D0D0C" w:rsidRPr="003D0D0C" w:rsidRDefault="003D0D0C" w:rsidP="003D0D0C">
      <w:pPr>
        <w:pStyle w:val="EndNoteBibliography"/>
        <w:spacing w:after="0"/>
      </w:pPr>
      <w:r w:rsidRPr="003D0D0C">
        <w:t>31.</w:t>
      </w:r>
      <w:r w:rsidRPr="003D0D0C">
        <w:tab/>
        <w:t>Addendum Guidelines for the Prevention of Peanut Allergy in the United States.</w:t>
      </w:r>
    </w:p>
    <w:p w14:paraId="3BE2DADA" w14:textId="77777777" w:rsidR="003D0D0C" w:rsidRPr="003D0D0C" w:rsidRDefault="003D0D0C" w:rsidP="003D0D0C">
      <w:pPr>
        <w:pStyle w:val="EndNoteBibliography"/>
        <w:spacing w:after="0"/>
      </w:pPr>
      <w:r w:rsidRPr="003D0D0C">
        <w:t>32.</w:t>
      </w:r>
      <w:r w:rsidRPr="003D0D0C">
        <w:tab/>
        <w:t>Koplin JJ, Soriano VX, Peters RL. Real-World LEAP Implementation. Curr Allergy Asthma Rep. 2021;22(6):61-6.</w:t>
      </w:r>
    </w:p>
    <w:p w14:paraId="0989B020" w14:textId="77777777" w:rsidR="003D0D0C" w:rsidRPr="003D0D0C" w:rsidRDefault="003D0D0C" w:rsidP="003D0D0C">
      <w:pPr>
        <w:pStyle w:val="EndNoteBibliography"/>
        <w:spacing w:after="0"/>
      </w:pPr>
      <w:r w:rsidRPr="003D0D0C">
        <w:t>33.</w:t>
      </w:r>
      <w:r w:rsidRPr="003D0D0C">
        <w:tab/>
        <w:t>Tordesillas L, Berin MC. Mechanisms of Oral Tolerance. Clin Rev Allergy Immunol. 2018;55(2):107-17.</w:t>
      </w:r>
    </w:p>
    <w:p w14:paraId="3A795630" w14:textId="77777777" w:rsidR="003D0D0C" w:rsidRPr="003D0D0C" w:rsidRDefault="003D0D0C" w:rsidP="003D0D0C">
      <w:pPr>
        <w:pStyle w:val="EndNoteBibliography"/>
        <w:spacing w:after="0"/>
      </w:pPr>
      <w:r w:rsidRPr="003D0D0C">
        <w:t>34.</w:t>
      </w:r>
      <w:r w:rsidRPr="003D0D0C">
        <w:tab/>
        <w:t>Chua GT, Greenhawt M, Shaker M, Soller L, Abrams EM, Cameron SB, et al. The Case for Prompt Salvage Infant Peanut Oral Immunotherapy Following Failed Primary Prevention. The journal of allergy and clinical immunology In practice. 2022.</w:t>
      </w:r>
    </w:p>
    <w:p w14:paraId="103A57B2" w14:textId="77777777" w:rsidR="003D0D0C" w:rsidRPr="003D0D0C" w:rsidRDefault="003D0D0C" w:rsidP="003D0D0C">
      <w:pPr>
        <w:pStyle w:val="EndNoteBibliography"/>
        <w:spacing w:after="0"/>
      </w:pPr>
      <w:r w:rsidRPr="003D0D0C">
        <w:t>35.</w:t>
      </w:r>
      <w:r w:rsidRPr="003D0D0C">
        <w:tab/>
        <w:t>De Amici M, Ciprandi G. The Age Impact on Serum Total and Allergen-Specific IgE. Allergy Asthma Immunol Res. 2013;5(3):170-4.</w:t>
      </w:r>
    </w:p>
    <w:p w14:paraId="58199145" w14:textId="77777777" w:rsidR="003D0D0C" w:rsidRPr="003D0D0C" w:rsidRDefault="003D0D0C" w:rsidP="003D0D0C">
      <w:pPr>
        <w:pStyle w:val="EndNoteBibliography"/>
        <w:spacing w:after="0"/>
      </w:pPr>
      <w:r w:rsidRPr="003D0D0C">
        <w:t>36.</w:t>
      </w:r>
      <w:r w:rsidRPr="003D0D0C">
        <w:tab/>
        <w:t>Voloshin S, Smoldovskaya O, Feyzkhanova G, Arefieva A, Pavlushkina L, Filatova T, et al. Patterns of sensitization to inhalant and food allergens among pediatric patients from the Moscow region (Russian Federation). PLoS One. 2018;13(3):e0194775.</w:t>
      </w:r>
    </w:p>
    <w:p w14:paraId="0D98709D" w14:textId="77777777" w:rsidR="003D0D0C" w:rsidRPr="003D0D0C" w:rsidRDefault="003D0D0C" w:rsidP="003D0D0C">
      <w:pPr>
        <w:pStyle w:val="EndNoteBibliography"/>
        <w:spacing w:after="0"/>
      </w:pPr>
      <w:r w:rsidRPr="003D0D0C">
        <w:t>37.</w:t>
      </w:r>
      <w:r w:rsidRPr="003D0D0C">
        <w:tab/>
        <w:t>Chu DK, Wood RA, French S, Fiocchi A, Jordana M, Waserman S, et al. Oral immunotherapy for peanut allergy (PACE): a systematic review and meta-analysis of efficacy and safety. Lancet (London, England). 2019;393(10187):2222-32.</w:t>
      </w:r>
    </w:p>
    <w:p w14:paraId="01EF2A93" w14:textId="77777777" w:rsidR="003D0D0C" w:rsidRPr="003D0D0C" w:rsidRDefault="003D0D0C" w:rsidP="003D0D0C">
      <w:pPr>
        <w:pStyle w:val="EndNoteBibliography"/>
        <w:spacing w:after="0"/>
      </w:pPr>
      <w:r w:rsidRPr="003D0D0C">
        <w:lastRenderedPageBreak/>
        <w:t>38.</w:t>
      </w:r>
      <w:r w:rsidRPr="003D0D0C">
        <w:tab/>
        <w:t>Martorell A, De la Hoz B, Ibáñez MD, Bone J, Terrados MS, Michavila A, et al. Oral desensitization as a useful treatment in 2-year-old children with cow's milk allergy. Clin Exp Allergy. 2011;41(9):1297-304.</w:t>
      </w:r>
    </w:p>
    <w:p w14:paraId="0BD7D5B5" w14:textId="77777777" w:rsidR="003D0D0C" w:rsidRPr="003D0D0C" w:rsidRDefault="003D0D0C" w:rsidP="003D0D0C">
      <w:pPr>
        <w:pStyle w:val="EndNoteBibliography"/>
        <w:spacing w:after="0"/>
      </w:pPr>
      <w:r w:rsidRPr="003D0D0C">
        <w:t>39.</w:t>
      </w:r>
      <w:r w:rsidRPr="003D0D0C">
        <w:tab/>
        <w:t>Soller L, Abrams EM, Carr S, Kapur S, Rex GA, Leo S, et al. First Real-World Effectiveness Analysis of Preschool Peanut Oral Immunotherapy. The journal of allergy and clinical immunology In practice. 2021;9(3):1349-56.e1.</w:t>
      </w:r>
    </w:p>
    <w:p w14:paraId="1F872D55" w14:textId="77777777" w:rsidR="003D0D0C" w:rsidRPr="003D0D0C" w:rsidRDefault="003D0D0C" w:rsidP="003D0D0C">
      <w:pPr>
        <w:pStyle w:val="EndNoteBibliography"/>
        <w:spacing w:after="0"/>
      </w:pPr>
      <w:r w:rsidRPr="003D0D0C">
        <w:t>40.</w:t>
      </w:r>
      <w:r w:rsidRPr="003D0D0C">
        <w:tab/>
        <w:t>Soller L, Carr S, Kapur S, Rex GA, McHenry M, Cook VE, et al. Real-world peanut OIT in infants may be safer than non-infant preschool OIT and equally effective. The journal of allergy and clinical immunology In practice. 2022;10(4):1113-6.e1.</w:t>
      </w:r>
    </w:p>
    <w:p w14:paraId="5E080F0D" w14:textId="77777777" w:rsidR="003D0D0C" w:rsidRPr="003D0D0C" w:rsidRDefault="003D0D0C" w:rsidP="003D0D0C">
      <w:pPr>
        <w:pStyle w:val="EndNoteBibliography"/>
        <w:spacing w:after="0"/>
      </w:pPr>
      <w:r w:rsidRPr="003D0D0C">
        <w:t>41.</w:t>
      </w:r>
      <w:r w:rsidRPr="003D0D0C">
        <w:tab/>
        <w:t>DBV Technologies Announces Positive Topline Results from Phase 3 EPITOPE Trial of Viaskin Peanut in Peanut</w:t>
      </w:r>
      <w:r w:rsidRPr="003D0D0C">
        <w:t>Allergic Toddlers.</w:t>
      </w:r>
    </w:p>
    <w:p w14:paraId="53B3EEE9" w14:textId="77777777" w:rsidR="003D0D0C" w:rsidRPr="003D0D0C" w:rsidRDefault="003D0D0C" w:rsidP="003D0D0C">
      <w:pPr>
        <w:pStyle w:val="EndNoteBibliography"/>
        <w:spacing w:after="0"/>
      </w:pPr>
      <w:r w:rsidRPr="003D0D0C">
        <w:t>42.</w:t>
      </w:r>
      <w:r w:rsidRPr="003D0D0C">
        <w:tab/>
        <w:t>Fleischer DM, Greenhawt M, Sussman G, Begin P, Nowak-Wegrzyn A, Petroni D, et al. Effect of Epicutaneous Immunotherapy vs Placebo on Reaction to Peanut Protein Ingestion Among Children With Peanut Allergy: The PEPITES Randomized Clinical Trial. JAMA. 2019;321(10):946-55.</w:t>
      </w:r>
    </w:p>
    <w:p w14:paraId="7CFB4FE6" w14:textId="77777777" w:rsidR="003D0D0C" w:rsidRPr="003D0D0C" w:rsidRDefault="003D0D0C" w:rsidP="003D0D0C">
      <w:pPr>
        <w:pStyle w:val="EndNoteBibliography"/>
        <w:spacing w:after="0"/>
      </w:pPr>
      <w:r w:rsidRPr="003D0D0C">
        <w:t>43.</w:t>
      </w:r>
      <w:r w:rsidRPr="003D0D0C">
        <w:tab/>
        <w:t>Boyano-Martinez T, Garcia-Ara C, Diaz-Pena JM, Martin-Esteban M. Prediction of tolerance on the basis of quantification of egg white-specific IgE antibodies in children with egg allergy. The Journal of allergy and clinical immunology. 2002;110(2):304-9.</w:t>
      </w:r>
    </w:p>
    <w:p w14:paraId="4F2E5E5E" w14:textId="77777777" w:rsidR="003D0D0C" w:rsidRPr="003D0D0C" w:rsidRDefault="003D0D0C" w:rsidP="003D0D0C">
      <w:pPr>
        <w:pStyle w:val="EndNoteBibliography"/>
        <w:spacing w:after="0"/>
      </w:pPr>
      <w:r w:rsidRPr="003D0D0C">
        <w:t>44.</w:t>
      </w:r>
      <w:r w:rsidRPr="003D0D0C">
        <w:tab/>
        <w:t>Xepapadaki P, Fiocchi A, Grabenhenrich L, Roberts G, Grimshaw KE, Fiandor A, et al. Incidence and natural history of hen's egg allergy in the first 2 years of life-the EuroPrevall birth cohort study. Allergy. 2016;71(3):350-7.</w:t>
      </w:r>
    </w:p>
    <w:p w14:paraId="3769CF0D" w14:textId="77777777" w:rsidR="003D0D0C" w:rsidRPr="003D0D0C" w:rsidRDefault="003D0D0C" w:rsidP="003D0D0C">
      <w:pPr>
        <w:pStyle w:val="EndNoteBibliography"/>
        <w:spacing w:after="0"/>
      </w:pPr>
      <w:r w:rsidRPr="003D0D0C">
        <w:t>45.</w:t>
      </w:r>
      <w:r w:rsidRPr="003D0D0C">
        <w:tab/>
        <w:t>Fleischer DM, Conover-Walker MK, Christie L, Burks AW, Wood RA. The natural progression of peanut allergy: Resolution and the possibility of recurrence. J Allergy Clin Immunol. 2003;112(1):183-9.</w:t>
      </w:r>
    </w:p>
    <w:p w14:paraId="4F15DD94" w14:textId="77777777" w:rsidR="003D0D0C" w:rsidRPr="003D0D0C" w:rsidRDefault="003D0D0C" w:rsidP="003D0D0C">
      <w:pPr>
        <w:pStyle w:val="EndNoteBibliography"/>
        <w:spacing w:after="0"/>
      </w:pPr>
      <w:r w:rsidRPr="003D0D0C">
        <w:t>46.</w:t>
      </w:r>
      <w:r w:rsidRPr="003D0D0C">
        <w:tab/>
        <w:t>Fleischer DM, Conover-Walker MK, Matsui EC, Wood RA. The natural history of tree nut allergy. The Journal of allergy and clinical immunology. 2005;116(5):1087-93.</w:t>
      </w:r>
    </w:p>
    <w:p w14:paraId="7BCC62AD" w14:textId="77777777" w:rsidR="003D0D0C" w:rsidRPr="003D0D0C" w:rsidRDefault="003D0D0C" w:rsidP="003D0D0C">
      <w:pPr>
        <w:pStyle w:val="EndNoteBibliography"/>
        <w:spacing w:after="0"/>
      </w:pPr>
      <w:r w:rsidRPr="003D0D0C">
        <w:t>47.</w:t>
      </w:r>
      <w:r w:rsidRPr="003D0D0C">
        <w:tab/>
        <w:t>Peters RL, Guarnieri I, Tang MLK, Lowe AJ, Dharmage SC, Perrett KP, et al. The natural history of peanut and egg allergy in children up to age 6 years in the HealthNuts population-based longitudinal study. The Journal of allergy and clinical immunology. 2022.</w:t>
      </w:r>
    </w:p>
    <w:p w14:paraId="758FCB54" w14:textId="77777777" w:rsidR="003D0D0C" w:rsidRPr="003D0D0C" w:rsidRDefault="003D0D0C" w:rsidP="003D0D0C">
      <w:pPr>
        <w:pStyle w:val="EndNoteBibliography"/>
        <w:spacing w:after="0"/>
      </w:pPr>
      <w:r w:rsidRPr="003D0D0C">
        <w:t>48.</w:t>
      </w:r>
      <w:r w:rsidRPr="003D0D0C">
        <w:tab/>
        <w:t>Skolnick HS, Conover-Walker MK, Koerner CB, Sampson HA, Burks W, Wood RA. The natural history of peanut allergy. J Allergy Clin Immunol. 2001;107(2):367-74.</w:t>
      </w:r>
    </w:p>
    <w:p w14:paraId="6A7B5115" w14:textId="77777777" w:rsidR="003D0D0C" w:rsidRPr="003D0D0C" w:rsidRDefault="003D0D0C" w:rsidP="003D0D0C">
      <w:pPr>
        <w:pStyle w:val="EndNoteBibliography"/>
        <w:spacing w:after="0"/>
      </w:pPr>
      <w:r w:rsidRPr="003D0D0C">
        <w:t>49.</w:t>
      </w:r>
      <w:r w:rsidRPr="003D0D0C">
        <w:tab/>
        <w:t>Morawetz DY, Hiscock H, Allen KJ, Davies S, Danchin MH. Management of food allergy: a survey of Australian paediatricians. J Paediatr Child Health. 2014;50(6):432-7.</w:t>
      </w:r>
    </w:p>
    <w:p w14:paraId="3F13BC71" w14:textId="77777777" w:rsidR="003D0D0C" w:rsidRPr="003D0D0C" w:rsidRDefault="003D0D0C" w:rsidP="003D0D0C">
      <w:pPr>
        <w:pStyle w:val="EndNoteBibliography"/>
        <w:spacing w:after="0"/>
      </w:pPr>
      <w:r w:rsidRPr="003D0D0C">
        <w:t>50.</w:t>
      </w:r>
      <w:r w:rsidRPr="003D0D0C">
        <w:tab/>
        <w:t>Shaker M, Chan ES, Protudjer JLP, Soller L, Abrams EM, Greenhawt M. The Cost-Effectiveness of Preschool Peanut Oral Immunotherapy in the Real-World Setting. The journal of allergy and clinical immunology In practice. 2021;9(7):2876-84.e4.</w:t>
      </w:r>
    </w:p>
    <w:p w14:paraId="58B985A3" w14:textId="77777777" w:rsidR="003D0D0C" w:rsidRPr="003D0D0C" w:rsidRDefault="003D0D0C" w:rsidP="003D0D0C">
      <w:pPr>
        <w:pStyle w:val="EndNoteBibliography"/>
        <w:spacing w:after="0"/>
      </w:pPr>
      <w:r w:rsidRPr="003D0D0C">
        <w:t>51.</w:t>
      </w:r>
      <w:r w:rsidRPr="003D0D0C">
        <w:tab/>
        <w:t>Cayouette F, O'Hearn K, Gertsman S, Menon K. Operationalization of assent for research participation in pre-adolescent children: a scoping review. BMC Med Ethics. 2022;23(1):106.</w:t>
      </w:r>
    </w:p>
    <w:p w14:paraId="009AD502" w14:textId="77777777" w:rsidR="003D0D0C" w:rsidRPr="003D0D0C" w:rsidRDefault="003D0D0C" w:rsidP="003D0D0C">
      <w:pPr>
        <w:pStyle w:val="EndNoteBibliography"/>
        <w:spacing w:after="0"/>
      </w:pPr>
      <w:r w:rsidRPr="003D0D0C">
        <w:t>52.</w:t>
      </w:r>
      <w:r w:rsidRPr="003D0D0C">
        <w:tab/>
        <w:t>Montesinos E, Martorell A, Felix R, Cerda JC. Egg white specific IgE levels in serum as clinical reactivity predictors in the course of egg allergy follow-up. Pediatr Allergy Immunol. 2010;21(4 Pt 1):634-9.</w:t>
      </w:r>
    </w:p>
    <w:p w14:paraId="6CF8C4D3" w14:textId="77777777" w:rsidR="003D0D0C" w:rsidRPr="003D0D0C" w:rsidRDefault="003D0D0C" w:rsidP="003D0D0C">
      <w:pPr>
        <w:pStyle w:val="EndNoteBibliography"/>
        <w:spacing w:after="0"/>
      </w:pPr>
      <w:r w:rsidRPr="003D0D0C">
        <w:t>53.</w:t>
      </w:r>
      <w:r w:rsidRPr="003D0D0C">
        <w:tab/>
        <w:t>Nolan RC, Richmond P, Prescott SL, Mallon DF, Gong G, Franzmann AM, et al. Skin prick testing predicts peanut challenge outcome in previously allergic or sensitized children with low serum peanut-specific IgE antibody concentration. Pediatr Allergy Immunol. 2007;18(3):224-30.</w:t>
      </w:r>
    </w:p>
    <w:p w14:paraId="4A6CD3A0" w14:textId="77777777" w:rsidR="003D0D0C" w:rsidRPr="003D0D0C" w:rsidRDefault="003D0D0C" w:rsidP="003D0D0C">
      <w:pPr>
        <w:pStyle w:val="EndNoteBibliography"/>
        <w:spacing w:after="0"/>
      </w:pPr>
      <w:r w:rsidRPr="003D0D0C">
        <w:t>54.</w:t>
      </w:r>
      <w:r w:rsidRPr="003D0D0C">
        <w:tab/>
        <w:t>Spergel JM, Beausoleil JL, Pawlowski NA. Resolution of childhood peanut allergy. Annals of allergy, asthma &amp; immunology : official publication of the American College of Allergy, Asthma, &amp; Immunology. 2000;85(6 Pt 1):473-6.</w:t>
      </w:r>
    </w:p>
    <w:p w14:paraId="1AD6F877" w14:textId="77777777" w:rsidR="003D0D0C" w:rsidRPr="003D0D0C" w:rsidRDefault="003D0D0C" w:rsidP="003D0D0C">
      <w:pPr>
        <w:pStyle w:val="EndNoteBibliography"/>
        <w:spacing w:after="0"/>
      </w:pPr>
      <w:r w:rsidRPr="003D0D0C">
        <w:t>55.</w:t>
      </w:r>
      <w:r w:rsidRPr="003D0D0C">
        <w:tab/>
        <w:t>Peters RL, Gurrin LC, Dharmage SC, Koplin JJ, Allen KJ. The natural history of IgE-mediated food allergy: can skin prick tests and serum-specific IgE predict the resolution of food allergy? International journal of environmental research and public health. 2013;10(10):5039-61.</w:t>
      </w:r>
    </w:p>
    <w:p w14:paraId="50FC0723" w14:textId="77777777" w:rsidR="003D0D0C" w:rsidRPr="003D0D0C" w:rsidRDefault="003D0D0C" w:rsidP="003D0D0C">
      <w:pPr>
        <w:pStyle w:val="EndNoteBibliography"/>
        <w:spacing w:after="0"/>
      </w:pPr>
      <w:r w:rsidRPr="003D0D0C">
        <w:t>56.</w:t>
      </w:r>
      <w:r w:rsidRPr="003D0D0C">
        <w:tab/>
        <w:t>Fleischer DM, Conover-Walker MK, Christie L, Burks AW, Wood RA. Peanut allergy: recurrence and its management. J Allergy Clin Immunol. 2004;114(5):1195-201.</w:t>
      </w:r>
    </w:p>
    <w:p w14:paraId="34F96F34" w14:textId="77777777" w:rsidR="003D0D0C" w:rsidRPr="003D0D0C" w:rsidRDefault="003D0D0C" w:rsidP="003D0D0C">
      <w:pPr>
        <w:pStyle w:val="EndNoteBibliography"/>
        <w:spacing w:after="0"/>
      </w:pPr>
      <w:r w:rsidRPr="003D0D0C">
        <w:lastRenderedPageBreak/>
        <w:t>57.</w:t>
      </w:r>
      <w:r w:rsidRPr="003D0D0C">
        <w:tab/>
        <w:t>Chomyn A, Chan ES, Yeung J, Vander Leek TK, Williams BA, Soller L, et al. Canadian food ladders for dietary advancement in children with IgE-mediated allergy to milk and/or egg. Allergy, Asthma &amp; Clinical Immunology. 2021;17(1):83.</w:t>
      </w:r>
    </w:p>
    <w:p w14:paraId="242BD334" w14:textId="77777777" w:rsidR="003D0D0C" w:rsidRPr="003D0D0C" w:rsidRDefault="003D0D0C" w:rsidP="003D0D0C">
      <w:pPr>
        <w:pStyle w:val="EndNoteBibliography"/>
        <w:spacing w:after="0"/>
      </w:pPr>
      <w:r w:rsidRPr="003D0D0C">
        <w:t>58.</w:t>
      </w:r>
      <w:r w:rsidRPr="003D0D0C">
        <w:tab/>
        <w:t>Leech SC, Ewan PW, Skypala IJ, Brathwaite N, Erlewyn-Lajeunesse M, Heath S, et al. BSACI 2021 guideline for the management of egg allergy. Clin Exp Allergy. 2021;51(10):1262-78.</w:t>
      </w:r>
    </w:p>
    <w:p w14:paraId="2E168ECA" w14:textId="77777777" w:rsidR="003D0D0C" w:rsidRPr="003D0D0C" w:rsidRDefault="003D0D0C" w:rsidP="003D0D0C">
      <w:pPr>
        <w:pStyle w:val="EndNoteBibliography"/>
        <w:spacing w:after="0"/>
      </w:pPr>
      <w:r w:rsidRPr="003D0D0C">
        <w:t>59.</w:t>
      </w:r>
      <w:r w:rsidRPr="003D0D0C">
        <w:tab/>
        <w:t>Immune and Clinical Implications of Threshold-based Phenotypes of Peanut Allergy (CAFETERIA).</w:t>
      </w:r>
    </w:p>
    <w:p w14:paraId="6A90859E" w14:textId="77777777" w:rsidR="003D0D0C" w:rsidRPr="003D0D0C" w:rsidRDefault="003D0D0C" w:rsidP="003D0D0C">
      <w:pPr>
        <w:pStyle w:val="EndNoteBibliography"/>
        <w:spacing w:after="0"/>
      </w:pPr>
      <w:r w:rsidRPr="003D0D0C">
        <w:t>60.</w:t>
      </w:r>
      <w:r w:rsidRPr="003D0D0C">
        <w:tab/>
        <w:t>Trendelenburg V, Dölle-Bierke S, Unterleider N, Alexiou A, Kalb B, Meixner L, et al. Tolerance induction through non-avoidance to prevent persistent food allergy (TINA) in children and adults with peanut or tree nut allergy: rationale, study design and methods of a randomized controlled trial and observational cohort study. Trials. 2022;23(1):236.</w:t>
      </w:r>
    </w:p>
    <w:p w14:paraId="7ED950D5" w14:textId="77777777" w:rsidR="003D0D0C" w:rsidRPr="003D0D0C" w:rsidRDefault="003D0D0C" w:rsidP="003D0D0C">
      <w:pPr>
        <w:pStyle w:val="EndNoteBibliography"/>
        <w:spacing w:after="0"/>
      </w:pPr>
      <w:r w:rsidRPr="003D0D0C">
        <w:t>61.</w:t>
      </w:r>
      <w:r w:rsidRPr="003D0D0C">
        <w:tab/>
        <w:t>Garvey AA, O'Sullivan D, Hourihane JO. Home-based induction of sustained unresponsiveness in children with mild reactions to high doses of peanut. The journal of allergy and clinical immunology In practice. 2017;5(6):1757-9.</w:t>
      </w:r>
    </w:p>
    <w:p w14:paraId="19E2486C" w14:textId="77777777" w:rsidR="003D0D0C" w:rsidRPr="003D0D0C" w:rsidRDefault="003D0D0C" w:rsidP="003D0D0C">
      <w:pPr>
        <w:pStyle w:val="EndNoteBibliography"/>
        <w:spacing w:after="0"/>
      </w:pPr>
      <w:r w:rsidRPr="003D0D0C">
        <w:t>62.</w:t>
      </w:r>
      <w:r w:rsidRPr="003D0D0C">
        <w:tab/>
        <w:t>Wood RA, Chinthrajah RS, Rudman Spergel AK, Babineau DC, Sicherer SH, Kim EH, et al. Protocol design and synopsis: Omalizumab as Monotherapy and as Adjunct Therapy to Multiallergen OIT in Children and Adults with Food Allergy (OUtMATCH). Journal of Allergy and Clinical Immunology: Global. 2022.</w:t>
      </w:r>
    </w:p>
    <w:p w14:paraId="5C126B1A" w14:textId="77777777" w:rsidR="003D0D0C" w:rsidRPr="003D0D0C" w:rsidRDefault="003D0D0C" w:rsidP="003D0D0C">
      <w:pPr>
        <w:pStyle w:val="EndNoteBibliography"/>
      </w:pPr>
      <w:r w:rsidRPr="003D0D0C">
        <w:t>63.</w:t>
      </w:r>
      <w:r w:rsidRPr="003D0D0C">
        <w:tab/>
        <w:t>Peanut Oral Immunotherapy Study of Early Intervention for Desensitization (POSEIDON).</w:t>
      </w:r>
    </w:p>
    <w:p w14:paraId="6B0AD466" w14:textId="717EA7E9" w:rsidR="00B76E6C" w:rsidRDefault="00B76E6C" w:rsidP="00195D52">
      <w:pPr>
        <w:spacing w:line="480" w:lineRule="auto"/>
      </w:pPr>
    </w:p>
    <w:p w14:paraId="66A3698B" w14:textId="77777777" w:rsidR="00F36D14" w:rsidRPr="007A5D7E" w:rsidRDefault="00F36D14" w:rsidP="00195D52">
      <w:pPr>
        <w:pStyle w:val="ListParagraph"/>
        <w:spacing w:line="480" w:lineRule="auto"/>
        <w:ind w:left="360"/>
        <w:jc w:val="both"/>
        <w:rPr>
          <w:rFonts w:ascii="Calibri" w:hAnsi="Calibri" w:cs="Calibri"/>
          <w:color w:val="000000"/>
        </w:rPr>
      </w:pPr>
    </w:p>
    <w:p w14:paraId="766AD8CC" w14:textId="1DCE5371" w:rsidR="00466019" w:rsidRDefault="00112C5A" w:rsidP="00195D52">
      <w:pPr>
        <w:spacing w:line="480" w:lineRule="auto"/>
        <w:rPr>
          <w:rFonts w:ascii="Calibri" w:hAnsi="Calibri" w:cs="Calibri"/>
          <w:color w:val="000000"/>
        </w:rPr>
      </w:pPr>
      <w:r w:rsidRPr="00112C5A">
        <w:rPr>
          <w:rFonts w:ascii="Calibri" w:hAnsi="Calibri" w:cs="Calibri"/>
          <w:color w:val="000000"/>
        </w:rPr>
        <w:t xml:space="preserve">Figure </w:t>
      </w:r>
      <w:r w:rsidR="00466019">
        <w:rPr>
          <w:rFonts w:ascii="Calibri" w:hAnsi="Calibri" w:cs="Calibri"/>
          <w:color w:val="000000"/>
        </w:rPr>
        <w:t xml:space="preserve">1. </w:t>
      </w:r>
      <w:r w:rsidR="003B251B">
        <w:rPr>
          <w:rFonts w:ascii="Calibri" w:hAnsi="Calibri" w:cs="Calibri"/>
          <w:color w:val="000000"/>
        </w:rPr>
        <w:t>I</w:t>
      </w:r>
      <w:r w:rsidR="00E87200" w:rsidRPr="00E87200">
        <w:rPr>
          <w:rFonts w:ascii="Calibri" w:hAnsi="Calibri" w:cs="Calibri"/>
          <w:color w:val="000000"/>
        </w:rPr>
        <w:t>mmune plasticity</w:t>
      </w:r>
      <w:r w:rsidR="000A3424">
        <w:rPr>
          <w:rFonts w:ascii="Calibri" w:hAnsi="Calibri" w:cs="Calibri"/>
          <w:color w:val="000000"/>
        </w:rPr>
        <w:t xml:space="preserve"> </w:t>
      </w:r>
      <w:r w:rsidR="00EB1E13" w:rsidRPr="00EB1E13">
        <w:rPr>
          <w:rFonts w:ascii="Calibri" w:hAnsi="Calibri" w:cs="Calibri"/>
          <w:color w:val="000000"/>
        </w:rPr>
        <w:t>related to age</w:t>
      </w:r>
      <w:r w:rsidR="000A3424">
        <w:rPr>
          <w:rFonts w:ascii="Calibri" w:hAnsi="Calibri" w:cs="Calibri"/>
          <w:color w:val="000000"/>
        </w:rPr>
        <w:t xml:space="preserve"> </w:t>
      </w:r>
      <w:r w:rsidR="00E87200" w:rsidRPr="00E87200">
        <w:rPr>
          <w:rFonts w:ascii="Calibri" w:hAnsi="Calibri" w:cs="Calibri"/>
          <w:color w:val="000000"/>
        </w:rPr>
        <w:t xml:space="preserve">may influence </w:t>
      </w:r>
      <w:r w:rsidR="003B251B">
        <w:rPr>
          <w:rFonts w:ascii="Calibri" w:hAnsi="Calibri" w:cs="Calibri"/>
          <w:color w:val="000000"/>
        </w:rPr>
        <w:t>outcome</w:t>
      </w:r>
      <w:r w:rsidR="000A3424">
        <w:rPr>
          <w:rFonts w:ascii="Calibri" w:hAnsi="Calibri" w:cs="Calibri"/>
          <w:color w:val="000000"/>
        </w:rPr>
        <w:t>s</w:t>
      </w:r>
      <w:r w:rsidR="003B251B">
        <w:rPr>
          <w:rFonts w:ascii="Calibri" w:hAnsi="Calibri" w:cs="Calibri"/>
          <w:color w:val="000000"/>
        </w:rPr>
        <w:t xml:space="preserve"> of </w:t>
      </w:r>
      <w:r w:rsidR="00E87200" w:rsidRPr="00E87200">
        <w:rPr>
          <w:rFonts w:ascii="Calibri" w:hAnsi="Calibri" w:cs="Calibri"/>
          <w:color w:val="000000"/>
        </w:rPr>
        <w:t>early food allergen immunotherapy</w:t>
      </w:r>
    </w:p>
    <w:p w14:paraId="5323FE94" w14:textId="140A38DF" w:rsidR="000412CA" w:rsidRDefault="00466019" w:rsidP="00195D52">
      <w:pPr>
        <w:spacing w:line="480" w:lineRule="auto"/>
        <w:rPr>
          <w:rFonts w:ascii="Calibri" w:hAnsi="Calibri" w:cs="Calibri"/>
          <w:color w:val="000000"/>
        </w:rPr>
      </w:pPr>
      <w:r>
        <w:rPr>
          <w:rFonts w:ascii="Calibri" w:hAnsi="Calibri" w:cs="Calibri"/>
          <w:color w:val="000000"/>
        </w:rPr>
        <w:t>Figure 2</w:t>
      </w:r>
      <w:r w:rsidR="00112C5A" w:rsidRPr="00112C5A">
        <w:rPr>
          <w:rFonts w:ascii="Calibri" w:hAnsi="Calibri" w:cs="Calibri"/>
          <w:color w:val="000000"/>
        </w:rPr>
        <w:t>. Balance risks and benefits of starting food allergen immunotherapy (AIT) early in life</w:t>
      </w:r>
    </w:p>
    <w:p w14:paraId="26EA5925" w14:textId="77777777" w:rsidR="000412CA" w:rsidRDefault="000412CA" w:rsidP="00195D52">
      <w:pPr>
        <w:spacing w:line="480" w:lineRule="auto"/>
        <w:rPr>
          <w:rFonts w:ascii="Calibri" w:hAnsi="Calibri" w:cs="Calibri"/>
          <w:color w:val="000000"/>
        </w:rPr>
      </w:pPr>
    </w:p>
    <w:p w14:paraId="076AB111" w14:textId="38C8F282" w:rsidR="00936F89" w:rsidRDefault="00936F89" w:rsidP="00195D52">
      <w:pPr>
        <w:spacing w:line="480" w:lineRule="auto"/>
        <w:rPr>
          <w:b/>
          <w:i/>
        </w:rPr>
      </w:pPr>
    </w:p>
    <w:p w14:paraId="100C4823" w14:textId="42381133" w:rsidR="00660A7E" w:rsidRDefault="00660A7E" w:rsidP="00195D52">
      <w:pPr>
        <w:spacing w:line="480" w:lineRule="auto"/>
        <w:rPr>
          <w:b/>
          <w:i/>
        </w:rPr>
      </w:pPr>
    </w:p>
    <w:p w14:paraId="7BF8AAFD" w14:textId="0DC4A778" w:rsidR="00660A7E" w:rsidRDefault="00660A7E" w:rsidP="00195D52">
      <w:pPr>
        <w:spacing w:line="480" w:lineRule="auto"/>
        <w:rPr>
          <w:b/>
          <w:i/>
        </w:rPr>
      </w:pPr>
    </w:p>
    <w:p w14:paraId="4C596E4D" w14:textId="1DE9534C" w:rsidR="00660A7E" w:rsidRDefault="00660A7E" w:rsidP="00195D52">
      <w:pPr>
        <w:spacing w:line="480" w:lineRule="auto"/>
        <w:rPr>
          <w:b/>
          <w:i/>
        </w:rPr>
      </w:pPr>
    </w:p>
    <w:p w14:paraId="1B2D3D7D" w14:textId="319CA4B3" w:rsidR="00660A7E" w:rsidRDefault="00660A7E" w:rsidP="00195D52">
      <w:pPr>
        <w:spacing w:line="480" w:lineRule="auto"/>
        <w:rPr>
          <w:b/>
          <w:i/>
        </w:rPr>
      </w:pPr>
    </w:p>
    <w:p w14:paraId="61673B05" w14:textId="50502068" w:rsidR="00660A7E" w:rsidRDefault="00660A7E" w:rsidP="00195D52">
      <w:pPr>
        <w:spacing w:line="480" w:lineRule="auto"/>
        <w:rPr>
          <w:b/>
          <w:i/>
        </w:rPr>
      </w:pPr>
    </w:p>
    <w:p w14:paraId="2CF81DB5" w14:textId="4598801F" w:rsidR="00660A7E" w:rsidRDefault="00660A7E" w:rsidP="00195D52">
      <w:pPr>
        <w:spacing w:line="480" w:lineRule="auto"/>
        <w:rPr>
          <w:b/>
          <w:i/>
        </w:rPr>
      </w:pPr>
    </w:p>
    <w:p w14:paraId="0677F72A" w14:textId="4351A7D3" w:rsidR="00660A7E" w:rsidRDefault="00660A7E" w:rsidP="00195D52">
      <w:pPr>
        <w:spacing w:line="480" w:lineRule="auto"/>
        <w:rPr>
          <w:b/>
          <w:i/>
        </w:rPr>
      </w:pPr>
    </w:p>
    <w:p w14:paraId="2EA031E1" w14:textId="52A6519D" w:rsidR="00660A7E" w:rsidRDefault="00660A7E" w:rsidP="00195D52">
      <w:pPr>
        <w:spacing w:line="480" w:lineRule="auto"/>
        <w:rPr>
          <w:b/>
          <w:i/>
        </w:rPr>
      </w:pPr>
    </w:p>
    <w:p w14:paraId="5195DBCF" w14:textId="7D1E83FD" w:rsidR="00660A7E" w:rsidRDefault="00660A7E" w:rsidP="00195D52">
      <w:pPr>
        <w:spacing w:line="480" w:lineRule="auto"/>
        <w:rPr>
          <w:b/>
          <w:i/>
        </w:rPr>
      </w:pPr>
    </w:p>
    <w:p w14:paraId="16BA816A" w14:textId="0C0386C5" w:rsidR="00660A7E" w:rsidRDefault="00660A7E" w:rsidP="00195D52">
      <w:pPr>
        <w:spacing w:line="480" w:lineRule="auto"/>
        <w:rPr>
          <w:b/>
          <w:i/>
        </w:rPr>
      </w:pPr>
    </w:p>
    <w:p w14:paraId="7E55DD13" w14:textId="3F0F13DE" w:rsidR="00660A7E" w:rsidRDefault="00660A7E" w:rsidP="00195D52">
      <w:pPr>
        <w:spacing w:line="480" w:lineRule="auto"/>
        <w:rPr>
          <w:b/>
          <w:i/>
        </w:rPr>
      </w:pPr>
    </w:p>
    <w:p w14:paraId="407A1021" w14:textId="25C98BB8" w:rsidR="00660A7E" w:rsidRDefault="00660A7E" w:rsidP="00195D52">
      <w:pPr>
        <w:spacing w:line="480" w:lineRule="auto"/>
        <w:rPr>
          <w:b/>
          <w:i/>
        </w:rPr>
      </w:pPr>
    </w:p>
    <w:p w14:paraId="4001E17E" w14:textId="23347BD6" w:rsidR="00660A7E" w:rsidRDefault="00660A7E" w:rsidP="00195D52">
      <w:pPr>
        <w:spacing w:line="480" w:lineRule="auto"/>
        <w:rPr>
          <w:b/>
          <w:i/>
        </w:rPr>
      </w:pPr>
    </w:p>
    <w:p w14:paraId="2F7F8B26" w14:textId="4B09F271" w:rsidR="00660A7E" w:rsidRDefault="00660A7E" w:rsidP="00195D52">
      <w:pPr>
        <w:spacing w:line="480" w:lineRule="auto"/>
        <w:rPr>
          <w:b/>
          <w:i/>
        </w:rPr>
      </w:pPr>
    </w:p>
    <w:p w14:paraId="61730D8E" w14:textId="15DBF806" w:rsidR="00660A7E" w:rsidRDefault="00660A7E" w:rsidP="00195D52">
      <w:pPr>
        <w:spacing w:line="480" w:lineRule="auto"/>
        <w:rPr>
          <w:b/>
          <w:i/>
        </w:rPr>
      </w:pPr>
    </w:p>
    <w:p w14:paraId="32701A70" w14:textId="77777777" w:rsidR="00BB1C1D" w:rsidRDefault="00BB1C1D" w:rsidP="00195D52">
      <w:pPr>
        <w:spacing w:line="480" w:lineRule="auto"/>
        <w:rPr>
          <w:b/>
          <w:i/>
        </w:rPr>
        <w:sectPr w:rsidR="00BB1C1D" w:rsidSect="00195D52">
          <w:pgSz w:w="11906" w:h="16838"/>
          <w:pgMar w:top="1440" w:right="1440" w:bottom="1440" w:left="1440" w:header="708" w:footer="708" w:gutter="0"/>
          <w:lnNumType w:countBy="1" w:restart="continuous"/>
          <w:cols w:space="708"/>
          <w:docGrid w:linePitch="360"/>
        </w:sectPr>
      </w:pPr>
    </w:p>
    <w:p w14:paraId="76A401CA" w14:textId="77777777" w:rsidR="00BB1C1D" w:rsidRDefault="00BB1C1D" w:rsidP="00CF4BFE">
      <w:pPr>
        <w:spacing w:after="0" w:line="240" w:lineRule="auto"/>
      </w:pPr>
      <w:r>
        <w:lastRenderedPageBreak/>
        <w:t>Table 1. RCT peanut OIT and EPIT in preschoolers</w:t>
      </w:r>
    </w:p>
    <w:tbl>
      <w:tblPr>
        <w:tblStyle w:val="TableGrid"/>
        <w:tblW w:w="16194" w:type="dxa"/>
        <w:tblInd w:w="-1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33"/>
        <w:gridCol w:w="2133"/>
        <w:gridCol w:w="2133"/>
        <w:gridCol w:w="2133"/>
        <w:gridCol w:w="2134"/>
        <w:gridCol w:w="2764"/>
        <w:gridCol w:w="2764"/>
      </w:tblGrid>
      <w:tr w:rsidR="00BB1C1D" w:rsidRPr="00304425" w14:paraId="727338CC" w14:textId="77777777" w:rsidTr="001B2748">
        <w:tc>
          <w:tcPr>
            <w:tcW w:w="2133" w:type="dxa"/>
            <w:tcBorders>
              <w:top w:val="single" w:sz="4" w:space="0" w:color="auto"/>
              <w:bottom w:val="single" w:sz="4" w:space="0" w:color="auto"/>
            </w:tcBorders>
          </w:tcPr>
          <w:p w14:paraId="0CE58EF5" w14:textId="77777777" w:rsidR="00BB1C1D" w:rsidRPr="000906D5" w:rsidRDefault="00BB1C1D" w:rsidP="00CF4BFE">
            <w:pPr>
              <w:pStyle w:val="NoSpacing"/>
              <w:jc w:val="center"/>
              <w:rPr>
                <w:b/>
              </w:rPr>
            </w:pPr>
            <w:r w:rsidRPr="000906D5">
              <w:rPr>
                <w:b/>
              </w:rPr>
              <w:t>Study</w:t>
            </w:r>
          </w:p>
          <w:p w14:paraId="5DAA081F" w14:textId="77777777" w:rsidR="00BB1C1D" w:rsidRPr="000906D5" w:rsidRDefault="00BB1C1D" w:rsidP="00CF4BFE">
            <w:pPr>
              <w:pStyle w:val="NoSpacing"/>
              <w:jc w:val="center"/>
            </w:pPr>
          </w:p>
        </w:tc>
        <w:tc>
          <w:tcPr>
            <w:tcW w:w="2133" w:type="dxa"/>
            <w:tcBorders>
              <w:top w:val="single" w:sz="4" w:space="0" w:color="auto"/>
              <w:bottom w:val="single" w:sz="4" w:space="0" w:color="auto"/>
            </w:tcBorders>
          </w:tcPr>
          <w:p w14:paraId="5F06732A" w14:textId="77777777" w:rsidR="00BB1C1D" w:rsidRPr="00304425" w:rsidRDefault="00BB1C1D" w:rsidP="00CF4BFE">
            <w:pPr>
              <w:pStyle w:val="NoSpacing"/>
              <w:jc w:val="center"/>
              <w:rPr>
                <w:b/>
              </w:rPr>
            </w:pPr>
            <w:r w:rsidRPr="00304425">
              <w:rPr>
                <w:b/>
              </w:rPr>
              <w:t>Design</w:t>
            </w:r>
          </w:p>
        </w:tc>
        <w:tc>
          <w:tcPr>
            <w:tcW w:w="2133" w:type="dxa"/>
            <w:tcBorders>
              <w:top w:val="single" w:sz="4" w:space="0" w:color="auto"/>
              <w:bottom w:val="single" w:sz="4" w:space="0" w:color="auto"/>
            </w:tcBorders>
          </w:tcPr>
          <w:p w14:paraId="157CED4C" w14:textId="77777777" w:rsidR="00BB1C1D" w:rsidRPr="00304425" w:rsidRDefault="00BB1C1D" w:rsidP="00CF4BFE">
            <w:pPr>
              <w:pStyle w:val="NoSpacing"/>
              <w:jc w:val="center"/>
              <w:rPr>
                <w:b/>
              </w:rPr>
            </w:pPr>
            <w:r>
              <w:rPr>
                <w:b/>
              </w:rPr>
              <w:t>Age and s</w:t>
            </w:r>
            <w:r w:rsidRPr="00304425">
              <w:rPr>
                <w:b/>
              </w:rPr>
              <w:t xml:space="preserve">ample </w:t>
            </w:r>
            <w:r>
              <w:rPr>
                <w:b/>
              </w:rPr>
              <w:t>size</w:t>
            </w:r>
          </w:p>
        </w:tc>
        <w:tc>
          <w:tcPr>
            <w:tcW w:w="2133" w:type="dxa"/>
            <w:tcBorders>
              <w:top w:val="single" w:sz="4" w:space="0" w:color="auto"/>
              <w:bottom w:val="single" w:sz="4" w:space="0" w:color="auto"/>
            </w:tcBorders>
          </w:tcPr>
          <w:p w14:paraId="74A84AAF" w14:textId="77777777" w:rsidR="00BB1C1D" w:rsidRPr="00304425" w:rsidRDefault="00BB1C1D" w:rsidP="00CF4BFE">
            <w:pPr>
              <w:pStyle w:val="NoSpacing"/>
              <w:jc w:val="center"/>
              <w:rPr>
                <w:b/>
              </w:rPr>
            </w:pPr>
            <w:r>
              <w:rPr>
                <w:b/>
              </w:rPr>
              <w:t>Updosing</w:t>
            </w:r>
          </w:p>
        </w:tc>
        <w:tc>
          <w:tcPr>
            <w:tcW w:w="2134" w:type="dxa"/>
            <w:tcBorders>
              <w:top w:val="single" w:sz="4" w:space="0" w:color="auto"/>
              <w:bottom w:val="single" w:sz="4" w:space="0" w:color="auto"/>
            </w:tcBorders>
          </w:tcPr>
          <w:p w14:paraId="7745FFC0" w14:textId="77777777" w:rsidR="00BB1C1D" w:rsidRPr="00304425" w:rsidRDefault="00BB1C1D" w:rsidP="00CF4BFE">
            <w:pPr>
              <w:pStyle w:val="NoSpacing"/>
              <w:jc w:val="center"/>
              <w:rPr>
                <w:b/>
              </w:rPr>
            </w:pPr>
            <w:r w:rsidRPr="00304425">
              <w:rPr>
                <w:b/>
              </w:rPr>
              <w:t>Maintenance Dose</w:t>
            </w:r>
            <w:r>
              <w:rPr>
                <w:b/>
              </w:rPr>
              <w:t xml:space="preserve"> and duration</w:t>
            </w:r>
          </w:p>
          <w:p w14:paraId="53716368" w14:textId="77777777" w:rsidR="00BB1C1D" w:rsidRPr="00304425" w:rsidRDefault="00BB1C1D" w:rsidP="00CF4BFE">
            <w:pPr>
              <w:pStyle w:val="NoSpacing"/>
              <w:jc w:val="center"/>
              <w:rPr>
                <w:b/>
              </w:rPr>
            </w:pPr>
            <w:r w:rsidRPr="00304425">
              <w:rPr>
                <w:b/>
              </w:rPr>
              <w:t>(mg peanut protein)</w:t>
            </w:r>
          </w:p>
        </w:tc>
        <w:tc>
          <w:tcPr>
            <w:tcW w:w="2764" w:type="dxa"/>
            <w:tcBorders>
              <w:top w:val="single" w:sz="4" w:space="0" w:color="auto"/>
              <w:bottom w:val="single" w:sz="4" w:space="0" w:color="auto"/>
            </w:tcBorders>
          </w:tcPr>
          <w:p w14:paraId="3FFF73F5" w14:textId="77777777" w:rsidR="00BB1C1D" w:rsidRPr="00304425" w:rsidRDefault="00BB1C1D" w:rsidP="00CF4BFE">
            <w:pPr>
              <w:pStyle w:val="NoSpacing"/>
              <w:jc w:val="center"/>
              <w:rPr>
                <w:b/>
              </w:rPr>
            </w:pPr>
            <w:r w:rsidRPr="00304425">
              <w:rPr>
                <w:b/>
              </w:rPr>
              <w:t>Desensitization</w:t>
            </w:r>
          </w:p>
          <w:p w14:paraId="46105C6A" w14:textId="77777777" w:rsidR="00BB1C1D" w:rsidRPr="00304425" w:rsidRDefault="00BB1C1D" w:rsidP="00CF4BFE">
            <w:pPr>
              <w:pStyle w:val="NoSpacing"/>
              <w:jc w:val="center"/>
              <w:rPr>
                <w:b/>
              </w:rPr>
            </w:pPr>
            <w:r w:rsidRPr="00304425">
              <w:rPr>
                <w:b/>
              </w:rPr>
              <w:t>(ITT analysis)</w:t>
            </w:r>
          </w:p>
        </w:tc>
        <w:tc>
          <w:tcPr>
            <w:tcW w:w="2764" w:type="dxa"/>
            <w:tcBorders>
              <w:top w:val="single" w:sz="4" w:space="0" w:color="auto"/>
              <w:bottom w:val="single" w:sz="4" w:space="0" w:color="auto"/>
            </w:tcBorders>
          </w:tcPr>
          <w:p w14:paraId="7CB62340" w14:textId="31A54002" w:rsidR="00BB1C1D" w:rsidRPr="00304425" w:rsidRDefault="00BB1C1D" w:rsidP="00CF4BFE">
            <w:pPr>
              <w:pStyle w:val="NoSpacing"/>
              <w:jc w:val="center"/>
              <w:rPr>
                <w:b/>
              </w:rPr>
            </w:pPr>
            <w:r w:rsidRPr="00304425">
              <w:rPr>
                <w:b/>
              </w:rPr>
              <w:t>Sustained Unresponsiveness</w:t>
            </w:r>
            <w:r w:rsidR="005E3163">
              <w:rPr>
                <w:b/>
              </w:rPr>
              <w:t>/Remission</w:t>
            </w:r>
            <w:r w:rsidRPr="00304425">
              <w:rPr>
                <w:b/>
              </w:rPr>
              <w:t xml:space="preserve"> (ITT analysis)</w:t>
            </w:r>
          </w:p>
        </w:tc>
      </w:tr>
      <w:tr w:rsidR="00BB1C1D" w:rsidRPr="00701081" w14:paraId="79089FB3" w14:textId="77777777" w:rsidTr="001B2748">
        <w:trPr>
          <w:trHeight w:val="83"/>
        </w:trPr>
        <w:tc>
          <w:tcPr>
            <w:tcW w:w="2133" w:type="dxa"/>
          </w:tcPr>
          <w:p w14:paraId="4956CF56" w14:textId="77777777" w:rsidR="00BB1C1D" w:rsidRPr="000906D5" w:rsidRDefault="00BB1C1D" w:rsidP="00CF4BFE">
            <w:pPr>
              <w:pStyle w:val="NoSpacing"/>
            </w:pPr>
            <w:r w:rsidRPr="000906D5">
              <w:t>Vickery et al., 201</w:t>
            </w:r>
            <w:r>
              <w:t>7</w:t>
            </w:r>
          </w:p>
        </w:tc>
        <w:tc>
          <w:tcPr>
            <w:tcW w:w="2133" w:type="dxa"/>
          </w:tcPr>
          <w:p w14:paraId="43367599" w14:textId="79DE5BC6" w:rsidR="00BB1C1D" w:rsidRDefault="005E3163" w:rsidP="00CF4BFE">
            <w:pPr>
              <w:pStyle w:val="NoSpacing"/>
            </w:pPr>
            <w:r>
              <w:t xml:space="preserve">Randomized trial </w:t>
            </w:r>
            <w:r w:rsidR="00BB1C1D">
              <w:t>with 2</w:t>
            </w:r>
            <w:r w:rsidR="00BB1C1D" w:rsidRPr="00701081">
              <w:t xml:space="preserve"> </w:t>
            </w:r>
            <w:r w:rsidR="00BB1C1D">
              <w:t>d</w:t>
            </w:r>
            <w:r w:rsidR="00BB1C1D" w:rsidRPr="00701081">
              <w:t>oses of OIT</w:t>
            </w:r>
          </w:p>
          <w:p w14:paraId="225CFF5E" w14:textId="3BB34811" w:rsidR="005E3163" w:rsidRPr="00701081" w:rsidRDefault="005E3163" w:rsidP="00CF4BFE">
            <w:pPr>
              <w:pStyle w:val="NoSpacing"/>
            </w:pPr>
            <w:r>
              <w:t>(no placebo control)</w:t>
            </w:r>
          </w:p>
        </w:tc>
        <w:tc>
          <w:tcPr>
            <w:tcW w:w="2133" w:type="dxa"/>
          </w:tcPr>
          <w:p w14:paraId="64BD8CEB" w14:textId="77777777" w:rsidR="00BB1C1D" w:rsidRDefault="00BB1C1D" w:rsidP="00CF4BFE">
            <w:pPr>
              <w:pStyle w:val="NoSpacing"/>
            </w:pPr>
            <w:r>
              <w:t xml:space="preserve">9-36 months, </w:t>
            </w:r>
            <w:r w:rsidRPr="00701081">
              <w:t>Low Dose n=20; High Dose n=17</w:t>
            </w:r>
          </w:p>
          <w:p w14:paraId="56D3F00E" w14:textId="77777777" w:rsidR="00BB1C1D" w:rsidRPr="00701081" w:rsidRDefault="00BB1C1D" w:rsidP="00CF4BFE">
            <w:pPr>
              <w:pStyle w:val="NoSpacing"/>
            </w:pPr>
          </w:p>
        </w:tc>
        <w:tc>
          <w:tcPr>
            <w:tcW w:w="2133" w:type="dxa"/>
          </w:tcPr>
          <w:p w14:paraId="1BAD3D61" w14:textId="77777777" w:rsidR="00BB1C1D" w:rsidRDefault="00BB1C1D" w:rsidP="00CF4BFE">
            <w:pPr>
              <w:pStyle w:val="NoSpacing"/>
            </w:pPr>
            <w:r>
              <w:t>42 weeks</w:t>
            </w:r>
          </w:p>
          <w:p w14:paraId="6018621E" w14:textId="77777777" w:rsidR="00BB1C1D" w:rsidRPr="00701081" w:rsidRDefault="00BB1C1D" w:rsidP="00CF4BFE">
            <w:pPr>
              <w:pStyle w:val="NoSpacing"/>
            </w:pPr>
            <w:r>
              <w:t xml:space="preserve"> </w:t>
            </w:r>
          </w:p>
        </w:tc>
        <w:tc>
          <w:tcPr>
            <w:tcW w:w="2134" w:type="dxa"/>
          </w:tcPr>
          <w:p w14:paraId="2278F55D" w14:textId="77777777" w:rsidR="00BB1C1D" w:rsidRPr="00701081" w:rsidRDefault="00BB1C1D" w:rsidP="00CF4BFE">
            <w:pPr>
              <w:pStyle w:val="NoSpacing"/>
            </w:pPr>
            <w:r w:rsidRPr="00701081">
              <w:t xml:space="preserve">300 </w:t>
            </w:r>
            <w:r>
              <w:t xml:space="preserve">mg </w:t>
            </w:r>
            <w:r w:rsidRPr="00701081">
              <w:t>(Low Dose);</w:t>
            </w:r>
          </w:p>
          <w:p w14:paraId="11A42672" w14:textId="6273B031" w:rsidR="00BB1C1D" w:rsidRPr="00701081" w:rsidRDefault="00BB1C1D" w:rsidP="00CF4BFE">
            <w:pPr>
              <w:pStyle w:val="NoSpacing"/>
            </w:pPr>
            <w:r w:rsidRPr="00701081">
              <w:t xml:space="preserve">3000 </w:t>
            </w:r>
            <w:r>
              <w:t xml:space="preserve">mg </w:t>
            </w:r>
            <w:r w:rsidRPr="00701081">
              <w:t>(High Dose)</w:t>
            </w:r>
            <w:r>
              <w:t>;</w:t>
            </w:r>
            <w:r w:rsidR="005E3163">
              <w:t xml:space="preserve"> up to </w:t>
            </w:r>
            <w:r>
              <w:t>3 years</w:t>
            </w:r>
          </w:p>
        </w:tc>
        <w:tc>
          <w:tcPr>
            <w:tcW w:w="2764" w:type="dxa"/>
          </w:tcPr>
          <w:p w14:paraId="61639863" w14:textId="77777777" w:rsidR="00BB1C1D" w:rsidRPr="00701081" w:rsidRDefault="00BB1C1D" w:rsidP="00CF4BFE">
            <w:pPr>
              <w:pStyle w:val="NoSpacing"/>
            </w:pPr>
            <w:r w:rsidRPr="00701081">
              <w:t xml:space="preserve">5g peanut protein DBPCFC: </w:t>
            </w:r>
            <w:r>
              <w:t xml:space="preserve">Overall 81% (30/37); </w:t>
            </w:r>
            <w:r w:rsidRPr="00701081">
              <w:t xml:space="preserve">Low Dose 85% (17/20) vs High Dose 76% (13/17) </w:t>
            </w:r>
          </w:p>
        </w:tc>
        <w:tc>
          <w:tcPr>
            <w:tcW w:w="2764" w:type="dxa"/>
          </w:tcPr>
          <w:p w14:paraId="44D9F7EA" w14:textId="77777777" w:rsidR="00BB1C1D" w:rsidRPr="00701081" w:rsidRDefault="00BB1C1D" w:rsidP="00CF4BFE">
            <w:pPr>
              <w:pStyle w:val="NoSpacing"/>
            </w:pPr>
            <w:r w:rsidRPr="00701081">
              <w:t xml:space="preserve">5g peanut protein DBPCFC after 4 weeks elimination: Low Dose 85% (17/20) vs High Dose 71% (12/17) </w:t>
            </w:r>
          </w:p>
        </w:tc>
      </w:tr>
      <w:tr w:rsidR="00BB1C1D" w:rsidRPr="00701081" w14:paraId="7A198E79" w14:textId="77777777" w:rsidTr="001B2748">
        <w:tc>
          <w:tcPr>
            <w:tcW w:w="2133" w:type="dxa"/>
          </w:tcPr>
          <w:p w14:paraId="5AE3921B" w14:textId="77777777" w:rsidR="00BB1C1D" w:rsidRDefault="00BB1C1D" w:rsidP="00CF4BFE">
            <w:pPr>
              <w:pStyle w:val="NoSpacing"/>
            </w:pPr>
            <w:r>
              <w:t>Loke et al., 2022</w:t>
            </w:r>
          </w:p>
        </w:tc>
        <w:tc>
          <w:tcPr>
            <w:tcW w:w="2133" w:type="dxa"/>
          </w:tcPr>
          <w:p w14:paraId="67690E37" w14:textId="77777777" w:rsidR="00BB1C1D" w:rsidRPr="00701081" w:rsidRDefault="00BB1C1D" w:rsidP="00CF4BFE">
            <w:pPr>
              <w:pStyle w:val="NoSpacing"/>
            </w:pPr>
            <w:r>
              <w:t>RCT</w:t>
            </w:r>
          </w:p>
        </w:tc>
        <w:tc>
          <w:tcPr>
            <w:tcW w:w="2133" w:type="dxa"/>
          </w:tcPr>
          <w:p w14:paraId="44535036" w14:textId="77777777" w:rsidR="00BB1C1D" w:rsidRDefault="00BB1C1D" w:rsidP="00CF4BFE">
            <w:pPr>
              <w:pStyle w:val="NoSpacing"/>
            </w:pPr>
            <w:r>
              <w:t>1-5 years, n=104</w:t>
            </w:r>
          </w:p>
        </w:tc>
        <w:tc>
          <w:tcPr>
            <w:tcW w:w="2133" w:type="dxa"/>
          </w:tcPr>
          <w:p w14:paraId="4B39079A" w14:textId="77777777" w:rsidR="00BB1C1D" w:rsidRDefault="00BB1C1D" w:rsidP="00CF4BFE">
            <w:pPr>
              <w:pStyle w:val="NoSpacing"/>
            </w:pPr>
            <w:r>
              <w:t>16 weeks</w:t>
            </w:r>
          </w:p>
        </w:tc>
        <w:tc>
          <w:tcPr>
            <w:tcW w:w="2134" w:type="dxa"/>
          </w:tcPr>
          <w:p w14:paraId="65E56C92" w14:textId="77777777" w:rsidR="00BB1C1D" w:rsidRDefault="00BB1C1D" w:rsidP="00CF4BFE">
            <w:pPr>
              <w:pStyle w:val="NoSpacing"/>
            </w:pPr>
            <w:r>
              <w:t>2000 mg, 18 months</w:t>
            </w:r>
          </w:p>
        </w:tc>
        <w:tc>
          <w:tcPr>
            <w:tcW w:w="2764" w:type="dxa"/>
          </w:tcPr>
          <w:p w14:paraId="2D82FDC6" w14:textId="77777777" w:rsidR="00BB1C1D" w:rsidRDefault="00BB1C1D" w:rsidP="00CF4BFE">
            <w:pPr>
              <w:pStyle w:val="NoSpacing"/>
            </w:pPr>
            <w:r w:rsidRPr="00701081">
              <w:t>5g peanut protein DBPCFC</w:t>
            </w:r>
            <w:r>
              <w:t xml:space="preserve">: Overall 83% (70/84); </w:t>
            </w:r>
            <w:r w:rsidRPr="003969AE">
              <w:t xml:space="preserve">PPOIT </w:t>
            </w:r>
            <w:r>
              <w:t>88% (</w:t>
            </w:r>
            <w:r w:rsidRPr="003969AE">
              <w:t>36/41</w:t>
            </w:r>
            <w:r>
              <w:t>)</w:t>
            </w:r>
            <w:r w:rsidRPr="003969AE">
              <w:t xml:space="preserve"> vs peanut OIT </w:t>
            </w:r>
            <w:r>
              <w:t>79% (</w:t>
            </w:r>
            <w:r w:rsidRPr="003969AE">
              <w:t>34/43</w:t>
            </w:r>
            <w:r>
              <w:t>)</w:t>
            </w:r>
            <w:r w:rsidRPr="003969AE">
              <w:t xml:space="preserve"> vs placebo </w:t>
            </w:r>
            <w:r>
              <w:t>10% (</w:t>
            </w:r>
            <w:r w:rsidRPr="003969AE">
              <w:t>2/20</w:t>
            </w:r>
            <w:r>
              <w:t>)</w:t>
            </w:r>
          </w:p>
        </w:tc>
        <w:tc>
          <w:tcPr>
            <w:tcW w:w="2764" w:type="dxa"/>
          </w:tcPr>
          <w:p w14:paraId="154E5B84" w14:textId="77777777" w:rsidR="00BB1C1D" w:rsidRPr="00701081" w:rsidRDefault="00BB1C1D" w:rsidP="00CF4BFE">
            <w:pPr>
              <w:pStyle w:val="NoSpacing"/>
            </w:pPr>
            <w:r w:rsidRPr="00701081">
              <w:t>5g peanut protein DBPCFC</w:t>
            </w:r>
            <w:r>
              <w:t xml:space="preserve"> after 8 weeks elimination: Overall 58% (49/84); </w:t>
            </w:r>
            <w:r w:rsidRPr="003969AE">
              <w:t xml:space="preserve">PPOIT </w:t>
            </w:r>
            <w:r>
              <w:t>61% (25</w:t>
            </w:r>
            <w:r w:rsidRPr="003969AE">
              <w:t>/41</w:t>
            </w:r>
            <w:r>
              <w:t>)</w:t>
            </w:r>
            <w:r w:rsidRPr="003969AE">
              <w:t xml:space="preserve"> vs peanut OIT </w:t>
            </w:r>
            <w:r>
              <w:t>56% (24</w:t>
            </w:r>
            <w:r w:rsidRPr="003969AE">
              <w:t>/43</w:t>
            </w:r>
            <w:r>
              <w:t>)</w:t>
            </w:r>
            <w:r w:rsidRPr="003969AE">
              <w:t xml:space="preserve"> vs placebo </w:t>
            </w:r>
            <w:r>
              <w:t>10% (</w:t>
            </w:r>
            <w:r w:rsidRPr="003969AE">
              <w:t>2/20</w:t>
            </w:r>
            <w:r>
              <w:t>)</w:t>
            </w:r>
          </w:p>
        </w:tc>
      </w:tr>
      <w:tr w:rsidR="00BB1C1D" w:rsidRPr="00701081" w14:paraId="5AC0FC8E" w14:textId="77777777" w:rsidTr="001B2748">
        <w:tc>
          <w:tcPr>
            <w:tcW w:w="2133" w:type="dxa"/>
          </w:tcPr>
          <w:p w14:paraId="417BA8A6" w14:textId="77777777" w:rsidR="00BB1C1D" w:rsidRDefault="00BB1C1D" w:rsidP="00CF4BFE">
            <w:pPr>
              <w:pStyle w:val="NoSpacing"/>
            </w:pPr>
            <w:r>
              <w:t>Jones et al., 2022</w:t>
            </w:r>
          </w:p>
        </w:tc>
        <w:tc>
          <w:tcPr>
            <w:tcW w:w="2133" w:type="dxa"/>
          </w:tcPr>
          <w:p w14:paraId="4001C956" w14:textId="77777777" w:rsidR="00BB1C1D" w:rsidRPr="00701081" w:rsidRDefault="00BB1C1D" w:rsidP="00CF4BFE">
            <w:pPr>
              <w:pStyle w:val="NoSpacing"/>
            </w:pPr>
            <w:r>
              <w:t>RCT</w:t>
            </w:r>
          </w:p>
        </w:tc>
        <w:tc>
          <w:tcPr>
            <w:tcW w:w="2133" w:type="dxa"/>
          </w:tcPr>
          <w:p w14:paraId="1F95CAB3" w14:textId="77777777" w:rsidR="00BB1C1D" w:rsidRPr="00701081" w:rsidRDefault="00BB1C1D" w:rsidP="00CF4BFE">
            <w:pPr>
              <w:pStyle w:val="NoSpacing"/>
            </w:pPr>
            <w:r>
              <w:t>1-4 years, n=146</w:t>
            </w:r>
          </w:p>
        </w:tc>
        <w:tc>
          <w:tcPr>
            <w:tcW w:w="2133" w:type="dxa"/>
          </w:tcPr>
          <w:p w14:paraId="508E026D" w14:textId="77777777" w:rsidR="00BB1C1D" w:rsidRPr="00701081" w:rsidRDefault="00BB1C1D" w:rsidP="00CF4BFE">
            <w:pPr>
              <w:pStyle w:val="NoSpacing"/>
            </w:pPr>
            <w:r>
              <w:t>30 weeks</w:t>
            </w:r>
          </w:p>
        </w:tc>
        <w:tc>
          <w:tcPr>
            <w:tcW w:w="2134" w:type="dxa"/>
          </w:tcPr>
          <w:p w14:paraId="730001C9" w14:textId="0B3B2BFC" w:rsidR="00BB1C1D" w:rsidRPr="00701081" w:rsidRDefault="00BB1C1D" w:rsidP="00CF4BFE">
            <w:pPr>
              <w:pStyle w:val="NoSpacing"/>
            </w:pPr>
            <w:r>
              <w:t xml:space="preserve">2000 mg, </w:t>
            </w:r>
            <w:r w:rsidR="000C0807">
              <w:t xml:space="preserve">134 weeks or </w:t>
            </w:r>
            <w:r w:rsidR="005E3163">
              <w:t>30</w:t>
            </w:r>
            <w:r>
              <w:t xml:space="preserve"> months</w:t>
            </w:r>
          </w:p>
        </w:tc>
        <w:tc>
          <w:tcPr>
            <w:tcW w:w="2764" w:type="dxa"/>
          </w:tcPr>
          <w:p w14:paraId="62517554" w14:textId="77777777" w:rsidR="00BB1C1D" w:rsidRPr="00701081" w:rsidRDefault="00BB1C1D" w:rsidP="00CF4BFE">
            <w:pPr>
              <w:pStyle w:val="NoSpacing"/>
            </w:pPr>
            <w:r w:rsidRPr="00701081">
              <w:t>5g peanut protein DBPCFC</w:t>
            </w:r>
            <w:r>
              <w:t>: P</w:t>
            </w:r>
            <w:r>
              <w:rPr>
                <w:rFonts w:ascii="Calibri" w:hAnsi="Calibri" w:cs="Calibri"/>
                <w:color w:val="000000"/>
              </w:rPr>
              <w:t>eanut OIT 71% (68/96) vs placebo 2% (1/50)</w:t>
            </w:r>
          </w:p>
        </w:tc>
        <w:tc>
          <w:tcPr>
            <w:tcW w:w="2764" w:type="dxa"/>
          </w:tcPr>
          <w:p w14:paraId="6A0EF459" w14:textId="0E691F8E" w:rsidR="00BB1C1D" w:rsidRPr="00701081" w:rsidRDefault="00BB1C1D" w:rsidP="00CF4BFE">
            <w:pPr>
              <w:pStyle w:val="NoSpacing"/>
            </w:pPr>
            <w:r w:rsidRPr="00701081">
              <w:t>5g peanut protein DBPCFC</w:t>
            </w:r>
            <w:r>
              <w:t xml:space="preserve"> after 26  weeks</w:t>
            </w:r>
            <w:r w:rsidR="005E3163">
              <w:t xml:space="preserve"> elimination</w:t>
            </w:r>
            <w:r>
              <w:t>: P</w:t>
            </w:r>
            <w:r>
              <w:rPr>
                <w:rFonts w:ascii="Calibri" w:hAnsi="Calibri" w:cs="Calibri"/>
                <w:color w:val="000000"/>
              </w:rPr>
              <w:t>eanut OIT 21% (20/96) vs placebo 2% (1/50)</w:t>
            </w:r>
          </w:p>
        </w:tc>
      </w:tr>
      <w:tr w:rsidR="00BB1C1D" w:rsidRPr="00701081" w14:paraId="057F9305" w14:textId="77777777" w:rsidTr="001B2748">
        <w:tc>
          <w:tcPr>
            <w:tcW w:w="2133" w:type="dxa"/>
            <w:tcBorders>
              <w:bottom w:val="single" w:sz="4" w:space="0" w:color="auto"/>
            </w:tcBorders>
          </w:tcPr>
          <w:p w14:paraId="38A5C7F3" w14:textId="77777777" w:rsidR="00BB1C1D" w:rsidRDefault="00BB1C1D" w:rsidP="00CF4BFE">
            <w:pPr>
              <w:pStyle w:val="NoSpacing"/>
            </w:pPr>
            <w:r>
              <w:t>EPITOPE (EPIT) 2022</w:t>
            </w:r>
          </w:p>
        </w:tc>
        <w:tc>
          <w:tcPr>
            <w:tcW w:w="2133" w:type="dxa"/>
            <w:tcBorders>
              <w:bottom w:val="single" w:sz="4" w:space="0" w:color="auto"/>
            </w:tcBorders>
          </w:tcPr>
          <w:p w14:paraId="4AF4927D" w14:textId="77777777" w:rsidR="00BB1C1D" w:rsidRPr="00701081" w:rsidRDefault="00BB1C1D" w:rsidP="00CF4BFE">
            <w:pPr>
              <w:pStyle w:val="NoSpacing"/>
            </w:pPr>
            <w:r>
              <w:t>RCT</w:t>
            </w:r>
          </w:p>
        </w:tc>
        <w:tc>
          <w:tcPr>
            <w:tcW w:w="2133" w:type="dxa"/>
            <w:tcBorders>
              <w:bottom w:val="single" w:sz="4" w:space="0" w:color="auto"/>
            </w:tcBorders>
          </w:tcPr>
          <w:p w14:paraId="23A49DC1" w14:textId="77777777" w:rsidR="00BB1C1D" w:rsidRPr="00701081" w:rsidRDefault="00BB1C1D" w:rsidP="00CF4BFE">
            <w:pPr>
              <w:pStyle w:val="NoSpacing"/>
            </w:pPr>
            <w:r>
              <w:t>1-3 years, n=362</w:t>
            </w:r>
          </w:p>
        </w:tc>
        <w:tc>
          <w:tcPr>
            <w:tcW w:w="2133" w:type="dxa"/>
            <w:tcBorders>
              <w:bottom w:val="single" w:sz="4" w:space="0" w:color="auto"/>
            </w:tcBorders>
          </w:tcPr>
          <w:p w14:paraId="7D44AE81" w14:textId="036285F8" w:rsidR="00BB1C1D" w:rsidRPr="00701081" w:rsidRDefault="005A0732" w:rsidP="00124E4A">
            <w:pPr>
              <w:pStyle w:val="NoSpacing"/>
            </w:pPr>
            <w:r>
              <w:t xml:space="preserve">Incremental increase in patch application time from 2 hrs to 24 hours </w:t>
            </w:r>
            <w:r w:rsidR="001208B7">
              <w:t xml:space="preserve">daily </w:t>
            </w:r>
            <w:r>
              <w:t>during a 5-week initial dosing period</w:t>
            </w:r>
          </w:p>
        </w:tc>
        <w:tc>
          <w:tcPr>
            <w:tcW w:w="2134" w:type="dxa"/>
            <w:tcBorders>
              <w:bottom w:val="single" w:sz="4" w:space="0" w:color="auto"/>
            </w:tcBorders>
          </w:tcPr>
          <w:p w14:paraId="4EE7904F" w14:textId="77777777" w:rsidR="00BB1C1D" w:rsidRPr="00701081" w:rsidRDefault="00BB1C1D" w:rsidP="00CF4BFE">
            <w:pPr>
              <w:pStyle w:val="NoSpacing"/>
            </w:pPr>
            <w:r>
              <w:t>12 months</w:t>
            </w:r>
          </w:p>
        </w:tc>
        <w:tc>
          <w:tcPr>
            <w:tcW w:w="2764" w:type="dxa"/>
            <w:tcBorders>
              <w:bottom w:val="single" w:sz="4" w:space="0" w:color="auto"/>
            </w:tcBorders>
          </w:tcPr>
          <w:p w14:paraId="249813DF" w14:textId="77777777" w:rsidR="00BB1C1D" w:rsidRPr="00701081" w:rsidRDefault="00BB1C1D" w:rsidP="00CF4BFE">
            <w:pPr>
              <w:pStyle w:val="NoSpacing"/>
            </w:pPr>
            <w:r>
              <w:t xml:space="preserve">Treatment responders: Viaskin peanut 250 mcg active group 67% vs placebo 33% </w:t>
            </w:r>
          </w:p>
        </w:tc>
        <w:tc>
          <w:tcPr>
            <w:tcW w:w="2764" w:type="dxa"/>
            <w:tcBorders>
              <w:bottom w:val="single" w:sz="4" w:space="0" w:color="auto"/>
            </w:tcBorders>
          </w:tcPr>
          <w:p w14:paraId="793F1E6F" w14:textId="77777777" w:rsidR="00BB1C1D" w:rsidRPr="00701081" w:rsidRDefault="00BB1C1D" w:rsidP="00CF4BFE">
            <w:pPr>
              <w:pStyle w:val="NoSpacing"/>
            </w:pPr>
            <w:r>
              <w:t>N/A</w:t>
            </w:r>
          </w:p>
        </w:tc>
      </w:tr>
    </w:tbl>
    <w:p w14:paraId="0A37E2B0" w14:textId="77777777" w:rsidR="00BB1C1D" w:rsidRDefault="00BB1C1D" w:rsidP="00CF4BFE">
      <w:pPr>
        <w:spacing w:after="0" w:line="240" w:lineRule="auto"/>
        <w:ind w:left="-1276"/>
      </w:pPr>
      <w:r>
        <w:t>OIT: oral immunotherapy; DBPCFC: double-blind placebo-controlled food challenge; EPIT: epicutaenous immunotherapy; N/A = not available</w:t>
      </w:r>
    </w:p>
    <w:p w14:paraId="32C6C630" w14:textId="5395BC92" w:rsidR="00660A7E" w:rsidRDefault="00660A7E" w:rsidP="00CF4BFE">
      <w:pPr>
        <w:spacing w:after="0" w:line="240" w:lineRule="auto"/>
        <w:rPr>
          <w:b/>
          <w:i/>
        </w:rPr>
      </w:pPr>
    </w:p>
    <w:p w14:paraId="672C73F5" w14:textId="1B4319CD" w:rsidR="00660A7E" w:rsidRPr="00107D75" w:rsidRDefault="00660A7E" w:rsidP="00CF4BFE">
      <w:pPr>
        <w:spacing w:after="0" w:line="240" w:lineRule="auto"/>
        <w:rPr>
          <w:b/>
          <w:i/>
        </w:rPr>
      </w:pPr>
    </w:p>
    <w:sectPr w:rsidR="00660A7E" w:rsidRPr="00107D75" w:rsidSect="00FC6788">
      <w:pgSz w:w="16838" w:h="11906" w:orient="landscape"/>
      <w:pgMar w:top="1440" w:right="1440" w:bottom="1440" w:left="1440"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C1311" w16cex:dateUtc="2022-12-20T00: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DF997B5" w16cid:durableId="272716AB"/>
  <w16cid:commentId w16cid:paraId="35CA265A" w16cid:durableId="272716AC"/>
  <w16cid:commentId w16cid:paraId="4B0F5AD9" w16cid:durableId="272716AD"/>
  <w16cid:commentId w16cid:paraId="7CA098B9" w16cid:durableId="272716AE"/>
  <w16cid:commentId w16cid:paraId="3E9CA229" w16cid:durableId="274C1240"/>
  <w16cid:commentId w16cid:paraId="42820A71" w16cid:durableId="274C1241"/>
  <w16cid:commentId w16cid:paraId="3D1912AF" w16cid:durableId="274C1242"/>
  <w16cid:commentId w16cid:paraId="47353ED2" w16cid:durableId="272716B0"/>
  <w16cid:commentId w16cid:paraId="23886544" w16cid:durableId="272716B1"/>
  <w16cid:commentId w16cid:paraId="10E16FF9" w16cid:durableId="274C1245"/>
  <w16cid:commentId w16cid:paraId="5EE1711C" w16cid:durableId="274C1246"/>
  <w16cid:commentId w16cid:paraId="4805EC72" w16cid:durableId="272716B2"/>
  <w16cid:commentId w16cid:paraId="011BFA70" w16cid:durableId="272716B3"/>
  <w16cid:commentId w16cid:paraId="2D37B2C5" w16cid:durableId="274C1249"/>
  <w16cid:commentId w16cid:paraId="06142C5F" w16cid:durableId="274C124A"/>
  <w16cid:commentId w16cid:paraId="4F2BFACE" w16cid:durableId="274C124B"/>
  <w16cid:commentId w16cid:paraId="694E6AF9" w16cid:durableId="274C124C"/>
  <w16cid:commentId w16cid:paraId="68C17B2D" w16cid:durableId="274C124D"/>
  <w16cid:commentId w16cid:paraId="2701A945" w16cid:durableId="274C124E"/>
  <w16cid:commentId w16cid:paraId="12E86AC7" w16cid:durableId="272716B5"/>
  <w16cid:commentId w16cid:paraId="2C698797" w16cid:durableId="274C1250"/>
  <w16cid:commentId w16cid:paraId="6BB19694" w16cid:durableId="274C1251"/>
  <w16cid:commentId w16cid:paraId="67692F1F" w16cid:durableId="274C1252"/>
  <w16cid:commentId w16cid:paraId="3149252C" w16cid:durableId="274C131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C51A06" w14:textId="77777777" w:rsidR="00103D1C" w:rsidRDefault="00103D1C" w:rsidP="00195D52">
      <w:pPr>
        <w:spacing w:after="0" w:line="240" w:lineRule="auto"/>
      </w:pPr>
      <w:r>
        <w:separator/>
      </w:r>
    </w:p>
  </w:endnote>
  <w:endnote w:type="continuationSeparator" w:id="0">
    <w:p w14:paraId="0A62A5C4" w14:textId="77777777" w:rsidR="00103D1C" w:rsidRDefault="00103D1C" w:rsidP="00195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9775B5" w14:textId="77777777" w:rsidR="00103D1C" w:rsidRDefault="00103D1C" w:rsidP="00195D52">
      <w:pPr>
        <w:spacing w:after="0" w:line="240" w:lineRule="auto"/>
      </w:pPr>
      <w:r>
        <w:separator/>
      </w:r>
    </w:p>
  </w:footnote>
  <w:footnote w:type="continuationSeparator" w:id="0">
    <w:p w14:paraId="04E5ADAF" w14:textId="77777777" w:rsidR="00103D1C" w:rsidRDefault="00103D1C" w:rsidP="00195D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54F06"/>
    <w:multiLevelType w:val="hybridMultilevel"/>
    <w:tmpl w:val="DC9E5C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E5C1262"/>
    <w:multiLevelType w:val="hybridMultilevel"/>
    <w:tmpl w:val="F954C30A"/>
    <w:lvl w:ilvl="0" w:tplc="9E5CBAC0">
      <w:start w:val="4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B6729F"/>
    <w:multiLevelType w:val="hybridMultilevel"/>
    <w:tmpl w:val="049C1E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09A0E11"/>
    <w:multiLevelType w:val="hybridMultilevel"/>
    <w:tmpl w:val="A684AA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B4D0CB8"/>
    <w:multiLevelType w:val="hybridMultilevel"/>
    <w:tmpl w:val="67825E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3B17C5"/>
    <w:multiLevelType w:val="hybridMultilevel"/>
    <w:tmpl w:val="51685C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494106F5"/>
    <w:multiLevelType w:val="hybridMultilevel"/>
    <w:tmpl w:val="9FD8B91E"/>
    <w:lvl w:ilvl="0" w:tplc="5606BC80">
      <w:start w:val="9"/>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FC4537D"/>
    <w:multiLevelType w:val="hybridMultilevel"/>
    <w:tmpl w:val="6678A19A"/>
    <w:lvl w:ilvl="0" w:tplc="0C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86A2918"/>
    <w:multiLevelType w:val="hybridMultilevel"/>
    <w:tmpl w:val="5FC2F3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50F4DA3"/>
    <w:multiLevelType w:val="hybridMultilevel"/>
    <w:tmpl w:val="55CC026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676A249C"/>
    <w:multiLevelType w:val="hybridMultilevel"/>
    <w:tmpl w:val="4A4213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90061E3"/>
    <w:multiLevelType w:val="hybridMultilevel"/>
    <w:tmpl w:val="306600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F5559FD"/>
    <w:multiLevelType w:val="hybridMultilevel"/>
    <w:tmpl w:val="12105A1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79E768F6"/>
    <w:multiLevelType w:val="hybridMultilevel"/>
    <w:tmpl w:val="0452313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E5C58C9"/>
    <w:multiLevelType w:val="hybridMultilevel"/>
    <w:tmpl w:val="A35813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EF25D07"/>
    <w:multiLevelType w:val="hybridMultilevel"/>
    <w:tmpl w:val="2958A1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3"/>
  </w:num>
  <w:num w:numId="2">
    <w:abstractNumId w:val="5"/>
  </w:num>
  <w:num w:numId="3">
    <w:abstractNumId w:val="9"/>
  </w:num>
  <w:num w:numId="4">
    <w:abstractNumId w:val="14"/>
  </w:num>
  <w:num w:numId="5">
    <w:abstractNumId w:val="15"/>
  </w:num>
  <w:num w:numId="6">
    <w:abstractNumId w:val="2"/>
  </w:num>
  <w:num w:numId="7">
    <w:abstractNumId w:val="11"/>
  </w:num>
  <w:num w:numId="8">
    <w:abstractNumId w:val="12"/>
  </w:num>
  <w:num w:numId="9">
    <w:abstractNumId w:val="1"/>
  </w:num>
  <w:num w:numId="10">
    <w:abstractNumId w:val="6"/>
  </w:num>
  <w:num w:numId="11">
    <w:abstractNumId w:val="0"/>
  </w:num>
  <w:num w:numId="12">
    <w:abstractNumId w:val="7"/>
  </w:num>
  <w:num w:numId="13">
    <w:abstractNumId w:val="8"/>
  </w:num>
  <w:num w:numId="14">
    <w:abstractNumId w:val="10"/>
  </w:num>
  <w:num w:numId="15">
    <w:abstractNumId w:val="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 Superscript&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2x9pdetrrtvdyewefr5dp9itdtrawxzdewe&quot;&gt;PL Research EndNote Library.Data&lt;record-ids&gt;&lt;item&gt;5&lt;/item&gt;&lt;item&gt;27&lt;/item&gt;&lt;item&gt;54&lt;/item&gt;&lt;item&gt;78&lt;/item&gt;&lt;item&gt;79&lt;/item&gt;&lt;item&gt;83&lt;/item&gt;&lt;item&gt;87&lt;/item&gt;&lt;item&gt;99&lt;/item&gt;&lt;item&gt;106&lt;/item&gt;&lt;item&gt;110&lt;/item&gt;&lt;item&gt;124&lt;/item&gt;&lt;item&gt;130&lt;/item&gt;&lt;item&gt;147&lt;/item&gt;&lt;item&gt;176&lt;/item&gt;&lt;item&gt;177&lt;/item&gt;&lt;item&gt;178&lt;/item&gt;&lt;item&gt;179&lt;/item&gt;&lt;item&gt;180&lt;/item&gt;&lt;item&gt;181&lt;/item&gt;&lt;item&gt;182&lt;/item&gt;&lt;item&gt;183&lt;/item&gt;&lt;item&gt;185&lt;/item&gt;&lt;item&gt;186&lt;/item&gt;&lt;item&gt;187&lt;/item&gt;&lt;item&gt;188&lt;/item&gt;&lt;item&gt;189&lt;/item&gt;&lt;item&gt;190&lt;/item&gt;&lt;item&gt;191&lt;/item&gt;&lt;item&gt;192&lt;/item&gt;&lt;item&gt;193&lt;/item&gt;&lt;item&gt;194&lt;/item&gt;&lt;item&gt;195&lt;/item&gt;&lt;item&gt;196&lt;/item&gt;&lt;item&gt;197&lt;/item&gt;&lt;item&gt;198&lt;/item&gt;&lt;item&gt;199&lt;/item&gt;&lt;item&gt;200&lt;/item&gt;&lt;item&gt;201&lt;/item&gt;&lt;item&gt;202&lt;/item&gt;&lt;item&gt;203&lt;/item&gt;&lt;item&gt;204&lt;/item&gt;&lt;item&gt;205&lt;/item&gt;&lt;item&gt;206&lt;/item&gt;&lt;item&gt;207&lt;/item&gt;&lt;item&gt;210&lt;/item&gt;&lt;item&gt;211&lt;/item&gt;&lt;item&gt;212&lt;/item&gt;&lt;item&gt;213&lt;/item&gt;&lt;item&gt;215&lt;/item&gt;&lt;item&gt;218&lt;/item&gt;&lt;item&gt;219&lt;/item&gt;&lt;/record-ids&gt;&lt;/item&gt;&lt;/Libraries&gt;"/>
  </w:docVars>
  <w:rsids>
    <w:rsidRoot w:val="00107D75"/>
    <w:rsid w:val="00002295"/>
    <w:rsid w:val="00003A00"/>
    <w:rsid w:val="0000413D"/>
    <w:rsid w:val="00006DB3"/>
    <w:rsid w:val="000113FE"/>
    <w:rsid w:val="00012506"/>
    <w:rsid w:val="00013CAB"/>
    <w:rsid w:val="00017DA2"/>
    <w:rsid w:val="00020C82"/>
    <w:rsid w:val="00021C89"/>
    <w:rsid w:val="00021E9F"/>
    <w:rsid w:val="00026D7F"/>
    <w:rsid w:val="000302A9"/>
    <w:rsid w:val="00031959"/>
    <w:rsid w:val="00036173"/>
    <w:rsid w:val="00040A6F"/>
    <w:rsid w:val="000412CA"/>
    <w:rsid w:val="00043365"/>
    <w:rsid w:val="00043656"/>
    <w:rsid w:val="00044A56"/>
    <w:rsid w:val="000466EE"/>
    <w:rsid w:val="000505C9"/>
    <w:rsid w:val="00050C36"/>
    <w:rsid w:val="00054C6E"/>
    <w:rsid w:val="00054D5A"/>
    <w:rsid w:val="00055D99"/>
    <w:rsid w:val="00060E02"/>
    <w:rsid w:val="00064FA1"/>
    <w:rsid w:val="00070043"/>
    <w:rsid w:val="00073FF5"/>
    <w:rsid w:val="00074540"/>
    <w:rsid w:val="0007645E"/>
    <w:rsid w:val="000812B1"/>
    <w:rsid w:val="00081E47"/>
    <w:rsid w:val="00082093"/>
    <w:rsid w:val="0008248D"/>
    <w:rsid w:val="000833DD"/>
    <w:rsid w:val="000860C1"/>
    <w:rsid w:val="000913D0"/>
    <w:rsid w:val="00091F13"/>
    <w:rsid w:val="00092CE2"/>
    <w:rsid w:val="00093185"/>
    <w:rsid w:val="00093217"/>
    <w:rsid w:val="00094185"/>
    <w:rsid w:val="00094FF0"/>
    <w:rsid w:val="00096E75"/>
    <w:rsid w:val="000A0800"/>
    <w:rsid w:val="000A19AE"/>
    <w:rsid w:val="000A1EDA"/>
    <w:rsid w:val="000A2034"/>
    <w:rsid w:val="000A3424"/>
    <w:rsid w:val="000A3BEB"/>
    <w:rsid w:val="000A3D36"/>
    <w:rsid w:val="000A5122"/>
    <w:rsid w:val="000A6ABF"/>
    <w:rsid w:val="000B1E42"/>
    <w:rsid w:val="000B7F18"/>
    <w:rsid w:val="000C00C3"/>
    <w:rsid w:val="000C0807"/>
    <w:rsid w:val="000C0E3E"/>
    <w:rsid w:val="000C2116"/>
    <w:rsid w:val="000C30FF"/>
    <w:rsid w:val="000C4B1E"/>
    <w:rsid w:val="000C4C20"/>
    <w:rsid w:val="000C6426"/>
    <w:rsid w:val="000D1B79"/>
    <w:rsid w:val="000D548D"/>
    <w:rsid w:val="000D6D3D"/>
    <w:rsid w:val="000D7BF5"/>
    <w:rsid w:val="000E0CF8"/>
    <w:rsid w:val="000E74B7"/>
    <w:rsid w:val="000E7697"/>
    <w:rsid w:val="000F1801"/>
    <w:rsid w:val="000F185D"/>
    <w:rsid w:val="000F68C7"/>
    <w:rsid w:val="00100A6E"/>
    <w:rsid w:val="0010111A"/>
    <w:rsid w:val="00103D1C"/>
    <w:rsid w:val="001040BB"/>
    <w:rsid w:val="001052D5"/>
    <w:rsid w:val="00107A1F"/>
    <w:rsid w:val="00107D75"/>
    <w:rsid w:val="0011016D"/>
    <w:rsid w:val="0011064C"/>
    <w:rsid w:val="00112C5A"/>
    <w:rsid w:val="001169CE"/>
    <w:rsid w:val="00116F1E"/>
    <w:rsid w:val="00117556"/>
    <w:rsid w:val="001178B6"/>
    <w:rsid w:val="001208B7"/>
    <w:rsid w:val="0012221F"/>
    <w:rsid w:val="00124E4A"/>
    <w:rsid w:val="001268CC"/>
    <w:rsid w:val="00127781"/>
    <w:rsid w:val="00127B60"/>
    <w:rsid w:val="00131A28"/>
    <w:rsid w:val="00146157"/>
    <w:rsid w:val="001461B8"/>
    <w:rsid w:val="0015042B"/>
    <w:rsid w:val="00151279"/>
    <w:rsid w:val="00151C59"/>
    <w:rsid w:val="00152462"/>
    <w:rsid w:val="00152580"/>
    <w:rsid w:val="00153C7F"/>
    <w:rsid w:val="00155071"/>
    <w:rsid w:val="00156608"/>
    <w:rsid w:val="00157510"/>
    <w:rsid w:val="00160A86"/>
    <w:rsid w:val="00160B66"/>
    <w:rsid w:val="001629A3"/>
    <w:rsid w:val="0016671B"/>
    <w:rsid w:val="0016735B"/>
    <w:rsid w:val="001704DB"/>
    <w:rsid w:val="001706C4"/>
    <w:rsid w:val="0017080A"/>
    <w:rsid w:val="0017229C"/>
    <w:rsid w:val="00172962"/>
    <w:rsid w:val="00173D66"/>
    <w:rsid w:val="00173E66"/>
    <w:rsid w:val="0017485D"/>
    <w:rsid w:val="00177775"/>
    <w:rsid w:val="00184EBE"/>
    <w:rsid w:val="001851DF"/>
    <w:rsid w:val="00193396"/>
    <w:rsid w:val="001947C6"/>
    <w:rsid w:val="00195D52"/>
    <w:rsid w:val="00196136"/>
    <w:rsid w:val="0019652F"/>
    <w:rsid w:val="001A0093"/>
    <w:rsid w:val="001A18DF"/>
    <w:rsid w:val="001A4876"/>
    <w:rsid w:val="001A7874"/>
    <w:rsid w:val="001B1BB2"/>
    <w:rsid w:val="001B26A4"/>
    <w:rsid w:val="001B2748"/>
    <w:rsid w:val="001B49A7"/>
    <w:rsid w:val="001B4B46"/>
    <w:rsid w:val="001C16DA"/>
    <w:rsid w:val="001C19EE"/>
    <w:rsid w:val="001C1D57"/>
    <w:rsid w:val="001C380F"/>
    <w:rsid w:val="001C5CC4"/>
    <w:rsid w:val="001D1743"/>
    <w:rsid w:val="001D2951"/>
    <w:rsid w:val="001D2A9B"/>
    <w:rsid w:val="001D4954"/>
    <w:rsid w:val="001D5424"/>
    <w:rsid w:val="001D72A2"/>
    <w:rsid w:val="001E1691"/>
    <w:rsid w:val="001E1717"/>
    <w:rsid w:val="001E1C1A"/>
    <w:rsid w:val="001E5707"/>
    <w:rsid w:val="001E5BB0"/>
    <w:rsid w:val="001E6271"/>
    <w:rsid w:val="001E648C"/>
    <w:rsid w:val="001F101F"/>
    <w:rsid w:val="001F6CCE"/>
    <w:rsid w:val="001F72B8"/>
    <w:rsid w:val="002001CC"/>
    <w:rsid w:val="0020145B"/>
    <w:rsid w:val="00201BB7"/>
    <w:rsid w:val="00201E13"/>
    <w:rsid w:val="0020295E"/>
    <w:rsid w:val="002036E9"/>
    <w:rsid w:val="0020487C"/>
    <w:rsid w:val="00204B57"/>
    <w:rsid w:val="0020515C"/>
    <w:rsid w:val="0020645B"/>
    <w:rsid w:val="00207D35"/>
    <w:rsid w:val="0021005B"/>
    <w:rsid w:val="00210561"/>
    <w:rsid w:val="002109BE"/>
    <w:rsid w:val="00215434"/>
    <w:rsid w:val="0021744E"/>
    <w:rsid w:val="002230B7"/>
    <w:rsid w:val="00226380"/>
    <w:rsid w:val="00227069"/>
    <w:rsid w:val="002305F9"/>
    <w:rsid w:val="00231909"/>
    <w:rsid w:val="0023441E"/>
    <w:rsid w:val="00237626"/>
    <w:rsid w:val="00240B80"/>
    <w:rsid w:val="00242A87"/>
    <w:rsid w:val="00245839"/>
    <w:rsid w:val="002461B9"/>
    <w:rsid w:val="002508DE"/>
    <w:rsid w:val="00250F27"/>
    <w:rsid w:val="0025284F"/>
    <w:rsid w:val="002532A5"/>
    <w:rsid w:val="00255288"/>
    <w:rsid w:val="00260335"/>
    <w:rsid w:val="00264EC0"/>
    <w:rsid w:val="00271EE4"/>
    <w:rsid w:val="00272110"/>
    <w:rsid w:val="00274703"/>
    <w:rsid w:val="00277641"/>
    <w:rsid w:val="002804D0"/>
    <w:rsid w:val="00281268"/>
    <w:rsid w:val="0028299E"/>
    <w:rsid w:val="00285FE0"/>
    <w:rsid w:val="00287026"/>
    <w:rsid w:val="00287D1A"/>
    <w:rsid w:val="0029047E"/>
    <w:rsid w:val="0029048C"/>
    <w:rsid w:val="002912BF"/>
    <w:rsid w:val="00293B97"/>
    <w:rsid w:val="0029471C"/>
    <w:rsid w:val="00295C0B"/>
    <w:rsid w:val="0029637F"/>
    <w:rsid w:val="0029787B"/>
    <w:rsid w:val="00297BC0"/>
    <w:rsid w:val="00297BE9"/>
    <w:rsid w:val="002A16F0"/>
    <w:rsid w:val="002A24CC"/>
    <w:rsid w:val="002A5153"/>
    <w:rsid w:val="002A5D34"/>
    <w:rsid w:val="002A78C7"/>
    <w:rsid w:val="002B4002"/>
    <w:rsid w:val="002B46F4"/>
    <w:rsid w:val="002B7578"/>
    <w:rsid w:val="002C0F80"/>
    <w:rsid w:val="002C2419"/>
    <w:rsid w:val="002C319D"/>
    <w:rsid w:val="002C42B7"/>
    <w:rsid w:val="002C4F9C"/>
    <w:rsid w:val="002C59EB"/>
    <w:rsid w:val="002C5C39"/>
    <w:rsid w:val="002C750C"/>
    <w:rsid w:val="002D1C69"/>
    <w:rsid w:val="002D259C"/>
    <w:rsid w:val="002D62D4"/>
    <w:rsid w:val="002E27F4"/>
    <w:rsid w:val="002E79BF"/>
    <w:rsid w:val="002F2334"/>
    <w:rsid w:val="002F238C"/>
    <w:rsid w:val="002F3946"/>
    <w:rsid w:val="002F3E79"/>
    <w:rsid w:val="00304A6C"/>
    <w:rsid w:val="00310780"/>
    <w:rsid w:val="00310A58"/>
    <w:rsid w:val="003149AF"/>
    <w:rsid w:val="003173B5"/>
    <w:rsid w:val="00320A4E"/>
    <w:rsid w:val="003214B5"/>
    <w:rsid w:val="003228E5"/>
    <w:rsid w:val="00322AB8"/>
    <w:rsid w:val="003238FD"/>
    <w:rsid w:val="00323D0A"/>
    <w:rsid w:val="00324C05"/>
    <w:rsid w:val="00326E78"/>
    <w:rsid w:val="00331983"/>
    <w:rsid w:val="0034089F"/>
    <w:rsid w:val="0034127D"/>
    <w:rsid w:val="00344E32"/>
    <w:rsid w:val="00346539"/>
    <w:rsid w:val="00352220"/>
    <w:rsid w:val="00352CD8"/>
    <w:rsid w:val="003556A8"/>
    <w:rsid w:val="00361634"/>
    <w:rsid w:val="0036185D"/>
    <w:rsid w:val="00362110"/>
    <w:rsid w:val="00362220"/>
    <w:rsid w:val="003628D7"/>
    <w:rsid w:val="00362E44"/>
    <w:rsid w:val="00364F34"/>
    <w:rsid w:val="003663E0"/>
    <w:rsid w:val="00366F4A"/>
    <w:rsid w:val="00371508"/>
    <w:rsid w:val="00371CEB"/>
    <w:rsid w:val="00373FC0"/>
    <w:rsid w:val="00374597"/>
    <w:rsid w:val="003866B3"/>
    <w:rsid w:val="00386788"/>
    <w:rsid w:val="003905C9"/>
    <w:rsid w:val="00391117"/>
    <w:rsid w:val="00394ADF"/>
    <w:rsid w:val="00394F02"/>
    <w:rsid w:val="003961D9"/>
    <w:rsid w:val="003A0DDE"/>
    <w:rsid w:val="003A4375"/>
    <w:rsid w:val="003B159F"/>
    <w:rsid w:val="003B251B"/>
    <w:rsid w:val="003B3611"/>
    <w:rsid w:val="003B58B2"/>
    <w:rsid w:val="003C1638"/>
    <w:rsid w:val="003C6F33"/>
    <w:rsid w:val="003D0D0C"/>
    <w:rsid w:val="003E0285"/>
    <w:rsid w:val="003E2200"/>
    <w:rsid w:val="003E4945"/>
    <w:rsid w:val="003E543C"/>
    <w:rsid w:val="003E6370"/>
    <w:rsid w:val="003F025C"/>
    <w:rsid w:val="003F0D5C"/>
    <w:rsid w:val="003F2831"/>
    <w:rsid w:val="003F39B3"/>
    <w:rsid w:val="003F54EE"/>
    <w:rsid w:val="003F6E7D"/>
    <w:rsid w:val="004035DC"/>
    <w:rsid w:val="00403B0F"/>
    <w:rsid w:val="0040519D"/>
    <w:rsid w:val="00407F13"/>
    <w:rsid w:val="00410303"/>
    <w:rsid w:val="00410BEF"/>
    <w:rsid w:val="00410DDC"/>
    <w:rsid w:val="00411505"/>
    <w:rsid w:val="0041152A"/>
    <w:rsid w:val="004140F3"/>
    <w:rsid w:val="00415661"/>
    <w:rsid w:val="00416377"/>
    <w:rsid w:val="00416B93"/>
    <w:rsid w:val="00416D1A"/>
    <w:rsid w:val="00416E4C"/>
    <w:rsid w:val="004178F2"/>
    <w:rsid w:val="004220FC"/>
    <w:rsid w:val="00423002"/>
    <w:rsid w:val="00423C56"/>
    <w:rsid w:val="004277D3"/>
    <w:rsid w:val="00430800"/>
    <w:rsid w:val="00431A2C"/>
    <w:rsid w:val="00432974"/>
    <w:rsid w:val="004346DC"/>
    <w:rsid w:val="00434797"/>
    <w:rsid w:val="004355C8"/>
    <w:rsid w:val="00435C19"/>
    <w:rsid w:val="00435FB9"/>
    <w:rsid w:val="004439B0"/>
    <w:rsid w:val="00443A37"/>
    <w:rsid w:val="00444FAF"/>
    <w:rsid w:val="00445BD7"/>
    <w:rsid w:val="00445D85"/>
    <w:rsid w:val="00447698"/>
    <w:rsid w:val="00450C34"/>
    <w:rsid w:val="004525E3"/>
    <w:rsid w:val="00452D18"/>
    <w:rsid w:val="00457DE0"/>
    <w:rsid w:val="00461500"/>
    <w:rsid w:val="0046276A"/>
    <w:rsid w:val="00463512"/>
    <w:rsid w:val="00465BAB"/>
    <w:rsid w:val="00466019"/>
    <w:rsid w:val="00466936"/>
    <w:rsid w:val="004721E0"/>
    <w:rsid w:val="004727BA"/>
    <w:rsid w:val="0047472E"/>
    <w:rsid w:val="00475A01"/>
    <w:rsid w:val="004816AB"/>
    <w:rsid w:val="00481D66"/>
    <w:rsid w:val="0048325A"/>
    <w:rsid w:val="004854A5"/>
    <w:rsid w:val="00486B3D"/>
    <w:rsid w:val="004876D6"/>
    <w:rsid w:val="00490929"/>
    <w:rsid w:val="004909B3"/>
    <w:rsid w:val="004A11AD"/>
    <w:rsid w:val="004A1E35"/>
    <w:rsid w:val="004A28CC"/>
    <w:rsid w:val="004A34FD"/>
    <w:rsid w:val="004A4329"/>
    <w:rsid w:val="004A5174"/>
    <w:rsid w:val="004A5FD1"/>
    <w:rsid w:val="004B1CE4"/>
    <w:rsid w:val="004B24E5"/>
    <w:rsid w:val="004B2E84"/>
    <w:rsid w:val="004B6E56"/>
    <w:rsid w:val="004C01A0"/>
    <w:rsid w:val="004C191B"/>
    <w:rsid w:val="004C3A66"/>
    <w:rsid w:val="004C525A"/>
    <w:rsid w:val="004D4C06"/>
    <w:rsid w:val="004D73F7"/>
    <w:rsid w:val="004E42DD"/>
    <w:rsid w:val="004E5282"/>
    <w:rsid w:val="004E561A"/>
    <w:rsid w:val="004E5C16"/>
    <w:rsid w:val="004E79BA"/>
    <w:rsid w:val="004F11F6"/>
    <w:rsid w:val="004F3D18"/>
    <w:rsid w:val="004F76EE"/>
    <w:rsid w:val="00500E0F"/>
    <w:rsid w:val="00501D1E"/>
    <w:rsid w:val="00502EBC"/>
    <w:rsid w:val="00503B8F"/>
    <w:rsid w:val="0050743F"/>
    <w:rsid w:val="0051125A"/>
    <w:rsid w:val="00511718"/>
    <w:rsid w:val="005128DA"/>
    <w:rsid w:val="0051579F"/>
    <w:rsid w:val="00520058"/>
    <w:rsid w:val="00521FC6"/>
    <w:rsid w:val="005228B5"/>
    <w:rsid w:val="00524132"/>
    <w:rsid w:val="00526EB5"/>
    <w:rsid w:val="00527E34"/>
    <w:rsid w:val="0053254D"/>
    <w:rsid w:val="00534081"/>
    <w:rsid w:val="005362AC"/>
    <w:rsid w:val="00537A13"/>
    <w:rsid w:val="005427CA"/>
    <w:rsid w:val="00542D27"/>
    <w:rsid w:val="00542E44"/>
    <w:rsid w:val="00547836"/>
    <w:rsid w:val="00550AE1"/>
    <w:rsid w:val="00551811"/>
    <w:rsid w:val="00554BC0"/>
    <w:rsid w:val="00555B11"/>
    <w:rsid w:val="00560223"/>
    <w:rsid w:val="00561A77"/>
    <w:rsid w:val="00563A82"/>
    <w:rsid w:val="00563FD0"/>
    <w:rsid w:val="005649CF"/>
    <w:rsid w:val="00567BE3"/>
    <w:rsid w:val="005768F6"/>
    <w:rsid w:val="0057701B"/>
    <w:rsid w:val="00577307"/>
    <w:rsid w:val="00577390"/>
    <w:rsid w:val="00577E83"/>
    <w:rsid w:val="00580C0A"/>
    <w:rsid w:val="005812F6"/>
    <w:rsid w:val="00582D94"/>
    <w:rsid w:val="00583382"/>
    <w:rsid w:val="0058570D"/>
    <w:rsid w:val="00585D7D"/>
    <w:rsid w:val="0058694F"/>
    <w:rsid w:val="00586AFD"/>
    <w:rsid w:val="00593B1E"/>
    <w:rsid w:val="00594F4F"/>
    <w:rsid w:val="00594FB2"/>
    <w:rsid w:val="00595C41"/>
    <w:rsid w:val="00597A04"/>
    <w:rsid w:val="005A00FA"/>
    <w:rsid w:val="005A0732"/>
    <w:rsid w:val="005A09BB"/>
    <w:rsid w:val="005A2BA2"/>
    <w:rsid w:val="005A4687"/>
    <w:rsid w:val="005A5BFB"/>
    <w:rsid w:val="005B0AE7"/>
    <w:rsid w:val="005B6587"/>
    <w:rsid w:val="005B78F1"/>
    <w:rsid w:val="005C0794"/>
    <w:rsid w:val="005C1EBE"/>
    <w:rsid w:val="005C5125"/>
    <w:rsid w:val="005C6802"/>
    <w:rsid w:val="005D03E0"/>
    <w:rsid w:val="005D17A4"/>
    <w:rsid w:val="005D3831"/>
    <w:rsid w:val="005D50C1"/>
    <w:rsid w:val="005D5E9A"/>
    <w:rsid w:val="005E3163"/>
    <w:rsid w:val="005E4454"/>
    <w:rsid w:val="005F4596"/>
    <w:rsid w:val="005F4F0F"/>
    <w:rsid w:val="005F501E"/>
    <w:rsid w:val="005F570B"/>
    <w:rsid w:val="0060162D"/>
    <w:rsid w:val="0060171E"/>
    <w:rsid w:val="00605FA2"/>
    <w:rsid w:val="00605FFB"/>
    <w:rsid w:val="00607D56"/>
    <w:rsid w:val="00610366"/>
    <w:rsid w:val="006105BC"/>
    <w:rsid w:val="00611FFC"/>
    <w:rsid w:val="006148EC"/>
    <w:rsid w:val="00616389"/>
    <w:rsid w:val="00622F38"/>
    <w:rsid w:val="00625013"/>
    <w:rsid w:val="00625917"/>
    <w:rsid w:val="00627368"/>
    <w:rsid w:val="00627976"/>
    <w:rsid w:val="00627BCC"/>
    <w:rsid w:val="00627C99"/>
    <w:rsid w:val="00630147"/>
    <w:rsid w:val="006325BC"/>
    <w:rsid w:val="00633485"/>
    <w:rsid w:val="00634804"/>
    <w:rsid w:val="00642B6B"/>
    <w:rsid w:val="0064300C"/>
    <w:rsid w:val="0064633E"/>
    <w:rsid w:val="006474B4"/>
    <w:rsid w:val="006551D8"/>
    <w:rsid w:val="00660A7E"/>
    <w:rsid w:val="00661B10"/>
    <w:rsid w:val="00662415"/>
    <w:rsid w:val="006627EF"/>
    <w:rsid w:val="00665420"/>
    <w:rsid w:val="00665874"/>
    <w:rsid w:val="00670797"/>
    <w:rsid w:val="006723C5"/>
    <w:rsid w:val="00673AE8"/>
    <w:rsid w:val="00676E97"/>
    <w:rsid w:val="006777DD"/>
    <w:rsid w:val="00680556"/>
    <w:rsid w:val="00680709"/>
    <w:rsid w:val="006830C6"/>
    <w:rsid w:val="00686C3D"/>
    <w:rsid w:val="006875EE"/>
    <w:rsid w:val="006924C3"/>
    <w:rsid w:val="00692902"/>
    <w:rsid w:val="006945CC"/>
    <w:rsid w:val="00697644"/>
    <w:rsid w:val="006979EF"/>
    <w:rsid w:val="006A126D"/>
    <w:rsid w:val="006A20BF"/>
    <w:rsid w:val="006A3050"/>
    <w:rsid w:val="006A351A"/>
    <w:rsid w:val="006A45C8"/>
    <w:rsid w:val="006A5682"/>
    <w:rsid w:val="006A577E"/>
    <w:rsid w:val="006A7344"/>
    <w:rsid w:val="006B43B0"/>
    <w:rsid w:val="006B5E3C"/>
    <w:rsid w:val="006B6E92"/>
    <w:rsid w:val="006C0AE3"/>
    <w:rsid w:val="006C15F2"/>
    <w:rsid w:val="006C3F27"/>
    <w:rsid w:val="006C6B3C"/>
    <w:rsid w:val="006D1459"/>
    <w:rsid w:val="006D18C5"/>
    <w:rsid w:val="006D35B4"/>
    <w:rsid w:val="006D65A7"/>
    <w:rsid w:val="006D6DE7"/>
    <w:rsid w:val="006E0679"/>
    <w:rsid w:val="006E1FE5"/>
    <w:rsid w:val="006E2524"/>
    <w:rsid w:val="006E3F8D"/>
    <w:rsid w:val="006E54B7"/>
    <w:rsid w:val="006F0603"/>
    <w:rsid w:val="006F3219"/>
    <w:rsid w:val="006F54C2"/>
    <w:rsid w:val="006F7E12"/>
    <w:rsid w:val="0070110B"/>
    <w:rsid w:val="00701FA3"/>
    <w:rsid w:val="00702DDF"/>
    <w:rsid w:val="007034F7"/>
    <w:rsid w:val="00703CD5"/>
    <w:rsid w:val="007075EF"/>
    <w:rsid w:val="007131B9"/>
    <w:rsid w:val="007137B2"/>
    <w:rsid w:val="007141FA"/>
    <w:rsid w:val="00717CFD"/>
    <w:rsid w:val="007205DA"/>
    <w:rsid w:val="00721120"/>
    <w:rsid w:val="00727B7A"/>
    <w:rsid w:val="007337A1"/>
    <w:rsid w:val="00734C4D"/>
    <w:rsid w:val="00741881"/>
    <w:rsid w:val="00741D41"/>
    <w:rsid w:val="00742434"/>
    <w:rsid w:val="00742A47"/>
    <w:rsid w:val="00743CC4"/>
    <w:rsid w:val="00750D56"/>
    <w:rsid w:val="00755FB4"/>
    <w:rsid w:val="00761689"/>
    <w:rsid w:val="0076390A"/>
    <w:rsid w:val="00764D97"/>
    <w:rsid w:val="007654A8"/>
    <w:rsid w:val="00770565"/>
    <w:rsid w:val="007717F5"/>
    <w:rsid w:val="0077221F"/>
    <w:rsid w:val="007724EB"/>
    <w:rsid w:val="00773DA1"/>
    <w:rsid w:val="00775FE8"/>
    <w:rsid w:val="00780186"/>
    <w:rsid w:val="00781628"/>
    <w:rsid w:val="00781CCF"/>
    <w:rsid w:val="007837EC"/>
    <w:rsid w:val="007848A2"/>
    <w:rsid w:val="00784BF7"/>
    <w:rsid w:val="0078561A"/>
    <w:rsid w:val="007857D0"/>
    <w:rsid w:val="00791113"/>
    <w:rsid w:val="00791940"/>
    <w:rsid w:val="00793ADD"/>
    <w:rsid w:val="00794F8F"/>
    <w:rsid w:val="0079619A"/>
    <w:rsid w:val="007A0178"/>
    <w:rsid w:val="007A5D7E"/>
    <w:rsid w:val="007A7276"/>
    <w:rsid w:val="007B36AF"/>
    <w:rsid w:val="007B44FC"/>
    <w:rsid w:val="007B4EE4"/>
    <w:rsid w:val="007B61DE"/>
    <w:rsid w:val="007B6451"/>
    <w:rsid w:val="007B7EBE"/>
    <w:rsid w:val="007C0818"/>
    <w:rsid w:val="007C1796"/>
    <w:rsid w:val="007C3555"/>
    <w:rsid w:val="007C633D"/>
    <w:rsid w:val="007C6E4B"/>
    <w:rsid w:val="007C705A"/>
    <w:rsid w:val="007D3FBE"/>
    <w:rsid w:val="007D4A1B"/>
    <w:rsid w:val="007D7D6F"/>
    <w:rsid w:val="007E03D6"/>
    <w:rsid w:val="007E1505"/>
    <w:rsid w:val="007E16E3"/>
    <w:rsid w:val="007E2B90"/>
    <w:rsid w:val="007E31A4"/>
    <w:rsid w:val="007F07C4"/>
    <w:rsid w:val="007F0F6D"/>
    <w:rsid w:val="007F18D2"/>
    <w:rsid w:val="007F55A4"/>
    <w:rsid w:val="007F57C0"/>
    <w:rsid w:val="00801849"/>
    <w:rsid w:val="0080207C"/>
    <w:rsid w:val="00803EEA"/>
    <w:rsid w:val="00807219"/>
    <w:rsid w:val="00810E1A"/>
    <w:rsid w:val="00817D60"/>
    <w:rsid w:val="00822157"/>
    <w:rsid w:val="008222EE"/>
    <w:rsid w:val="008227B7"/>
    <w:rsid w:val="00824D9D"/>
    <w:rsid w:val="00830783"/>
    <w:rsid w:val="00830E0D"/>
    <w:rsid w:val="00830FEA"/>
    <w:rsid w:val="00834126"/>
    <w:rsid w:val="00835008"/>
    <w:rsid w:val="00841CE4"/>
    <w:rsid w:val="00842807"/>
    <w:rsid w:val="00845698"/>
    <w:rsid w:val="00845E2F"/>
    <w:rsid w:val="0084626A"/>
    <w:rsid w:val="00846F37"/>
    <w:rsid w:val="00852980"/>
    <w:rsid w:val="00853489"/>
    <w:rsid w:val="008534CB"/>
    <w:rsid w:val="0085496F"/>
    <w:rsid w:val="00856A6E"/>
    <w:rsid w:val="00856F0A"/>
    <w:rsid w:val="00857F31"/>
    <w:rsid w:val="00860B59"/>
    <w:rsid w:val="008625CE"/>
    <w:rsid w:val="00862BD0"/>
    <w:rsid w:val="008660A1"/>
    <w:rsid w:val="00870980"/>
    <w:rsid w:val="00874009"/>
    <w:rsid w:val="0087561F"/>
    <w:rsid w:val="00880596"/>
    <w:rsid w:val="008874B3"/>
    <w:rsid w:val="00892706"/>
    <w:rsid w:val="00894942"/>
    <w:rsid w:val="00896B08"/>
    <w:rsid w:val="008A094E"/>
    <w:rsid w:val="008A0FB9"/>
    <w:rsid w:val="008A1B98"/>
    <w:rsid w:val="008A26A6"/>
    <w:rsid w:val="008A66EB"/>
    <w:rsid w:val="008B0465"/>
    <w:rsid w:val="008B19F2"/>
    <w:rsid w:val="008B1BAD"/>
    <w:rsid w:val="008B2B26"/>
    <w:rsid w:val="008B7C0B"/>
    <w:rsid w:val="008B7EEE"/>
    <w:rsid w:val="008C192F"/>
    <w:rsid w:val="008C2478"/>
    <w:rsid w:val="008C3AC1"/>
    <w:rsid w:val="008C4AB6"/>
    <w:rsid w:val="008C5DFB"/>
    <w:rsid w:val="008C6E21"/>
    <w:rsid w:val="008C70ED"/>
    <w:rsid w:val="008D22A9"/>
    <w:rsid w:val="008D5DAA"/>
    <w:rsid w:val="008D6C3D"/>
    <w:rsid w:val="008E288B"/>
    <w:rsid w:val="008F0544"/>
    <w:rsid w:val="008F1481"/>
    <w:rsid w:val="008F1E3B"/>
    <w:rsid w:val="008F374B"/>
    <w:rsid w:val="008F5B39"/>
    <w:rsid w:val="00900BDC"/>
    <w:rsid w:val="009027C0"/>
    <w:rsid w:val="00903ED5"/>
    <w:rsid w:val="009043B0"/>
    <w:rsid w:val="00904E6D"/>
    <w:rsid w:val="00907FA7"/>
    <w:rsid w:val="009105B8"/>
    <w:rsid w:val="00910AB8"/>
    <w:rsid w:val="00910F06"/>
    <w:rsid w:val="00913F8E"/>
    <w:rsid w:val="00914510"/>
    <w:rsid w:val="00914E2A"/>
    <w:rsid w:val="0091548B"/>
    <w:rsid w:val="00915519"/>
    <w:rsid w:val="00917AAD"/>
    <w:rsid w:val="00917B60"/>
    <w:rsid w:val="009207A6"/>
    <w:rsid w:val="00920979"/>
    <w:rsid w:val="00924C0D"/>
    <w:rsid w:val="00925B49"/>
    <w:rsid w:val="009267AE"/>
    <w:rsid w:val="00930EB9"/>
    <w:rsid w:val="00930EEE"/>
    <w:rsid w:val="00932E6F"/>
    <w:rsid w:val="00933783"/>
    <w:rsid w:val="00936597"/>
    <w:rsid w:val="00936F89"/>
    <w:rsid w:val="0094145C"/>
    <w:rsid w:val="009416E7"/>
    <w:rsid w:val="00943973"/>
    <w:rsid w:val="00950B96"/>
    <w:rsid w:val="00950E4D"/>
    <w:rsid w:val="00955444"/>
    <w:rsid w:val="009620F5"/>
    <w:rsid w:val="00963A2F"/>
    <w:rsid w:val="00964E25"/>
    <w:rsid w:val="00965D2D"/>
    <w:rsid w:val="00967485"/>
    <w:rsid w:val="0096751C"/>
    <w:rsid w:val="00967EEC"/>
    <w:rsid w:val="00970026"/>
    <w:rsid w:val="00973667"/>
    <w:rsid w:val="0098000B"/>
    <w:rsid w:val="00980AC3"/>
    <w:rsid w:val="00986011"/>
    <w:rsid w:val="00986AC1"/>
    <w:rsid w:val="009872CE"/>
    <w:rsid w:val="00987C21"/>
    <w:rsid w:val="009907D7"/>
    <w:rsid w:val="009912C7"/>
    <w:rsid w:val="009965FC"/>
    <w:rsid w:val="009A0D2F"/>
    <w:rsid w:val="009A4A40"/>
    <w:rsid w:val="009A5719"/>
    <w:rsid w:val="009A5E4F"/>
    <w:rsid w:val="009B11C0"/>
    <w:rsid w:val="009B1AE3"/>
    <w:rsid w:val="009B2A35"/>
    <w:rsid w:val="009B3B18"/>
    <w:rsid w:val="009B4F13"/>
    <w:rsid w:val="009B6839"/>
    <w:rsid w:val="009C2A89"/>
    <w:rsid w:val="009C4DD1"/>
    <w:rsid w:val="009C7D0E"/>
    <w:rsid w:val="009D2769"/>
    <w:rsid w:val="009D2AA4"/>
    <w:rsid w:val="009D4673"/>
    <w:rsid w:val="009D46DA"/>
    <w:rsid w:val="009D5358"/>
    <w:rsid w:val="009E0DBF"/>
    <w:rsid w:val="009E4031"/>
    <w:rsid w:val="009E5A45"/>
    <w:rsid w:val="009E7ECD"/>
    <w:rsid w:val="009F100C"/>
    <w:rsid w:val="009F1167"/>
    <w:rsid w:val="009F1548"/>
    <w:rsid w:val="009F1BE0"/>
    <w:rsid w:val="009F3258"/>
    <w:rsid w:val="009F4932"/>
    <w:rsid w:val="00A000B6"/>
    <w:rsid w:val="00A021F7"/>
    <w:rsid w:val="00A0235C"/>
    <w:rsid w:val="00A02CCF"/>
    <w:rsid w:val="00A03E7D"/>
    <w:rsid w:val="00A06DFB"/>
    <w:rsid w:val="00A10059"/>
    <w:rsid w:val="00A1123E"/>
    <w:rsid w:val="00A11763"/>
    <w:rsid w:val="00A14C9A"/>
    <w:rsid w:val="00A15217"/>
    <w:rsid w:val="00A1581C"/>
    <w:rsid w:val="00A2015C"/>
    <w:rsid w:val="00A20B2F"/>
    <w:rsid w:val="00A21127"/>
    <w:rsid w:val="00A252E8"/>
    <w:rsid w:val="00A25391"/>
    <w:rsid w:val="00A25FED"/>
    <w:rsid w:val="00A31038"/>
    <w:rsid w:val="00A31970"/>
    <w:rsid w:val="00A319B1"/>
    <w:rsid w:val="00A3451C"/>
    <w:rsid w:val="00A3458E"/>
    <w:rsid w:val="00A34C13"/>
    <w:rsid w:val="00A3553C"/>
    <w:rsid w:val="00A36CFC"/>
    <w:rsid w:val="00A41FF8"/>
    <w:rsid w:val="00A432B5"/>
    <w:rsid w:val="00A43ED4"/>
    <w:rsid w:val="00A4401E"/>
    <w:rsid w:val="00A448AE"/>
    <w:rsid w:val="00A460B6"/>
    <w:rsid w:val="00A46185"/>
    <w:rsid w:val="00A47099"/>
    <w:rsid w:val="00A50212"/>
    <w:rsid w:val="00A504E4"/>
    <w:rsid w:val="00A5408F"/>
    <w:rsid w:val="00A55F78"/>
    <w:rsid w:val="00A561D0"/>
    <w:rsid w:val="00A6122F"/>
    <w:rsid w:val="00A64591"/>
    <w:rsid w:val="00A64DCE"/>
    <w:rsid w:val="00A72C57"/>
    <w:rsid w:val="00A77BCE"/>
    <w:rsid w:val="00A82829"/>
    <w:rsid w:val="00A86F9E"/>
    <w:rsid w:val="00A87089"/>
    <w:rsid w:val="00A8750D"/>
    <w:rsid w:val="00A90A35"/>
    <w:rsid w:val="00A91E3D"/>
    <w:rsid w:val="00A92D13"/>
    <w:rsid w:val="00A95F5F"/>
    <w:rsid w:val="00A95F70"/>
    <w:rsid w:val="00A96A9F"/>
    <w:rsid w:val="00AA229C"/>
    <w:rsid w:val="00AA3A98"/>
    <w:rsid w:val="00AA513C"/>
    <w:rsid w:val="00AA56D1"/>
    <w:rsid w:val="00AA5F29"/>
    <w:rsid w:val="00AB172D"/>
    <w:rsid w:val="00AB659E"/>
    <w:rsid w:val="00AB76AD"/>
    <w:rsid w:val="00AC1455"/>
    <w:rsid w:val="00AC16BF"/>
    <w:rsid w:val="00AC21C0"/>
    <w:rsid w:val="00AC4951"/>
    <w:rsid w:val="00AC6D6C"/>
    <w:rsid w:val="00AD022A"/>
    <w:rsid w:val="00AD2704"/>
    <w:rsid w:val="00AD29AD"/>
    <w:rsid w:val="00AD5409"/>
    <w:rsid w:val="00AD577E"/>
    <w:rsid w:val="00AD5A3D"/>
    <w:rsid w:val="00AD6D54"/>
    <w:rsid w:val="00AF0095"/>
    <w:rsid w:val="00AF1E93"/>
    <w:rsid w:val="00AF27E4"/>
    <w:rsid w:val="00AF2B11"/>
    <w:rsid w:val="00AF65EB"/>
    <w:rsid w:val="00AF6C34"/>
    <w:rsid w:val="00B01ACB"/>
    <w:rsid w:val="00B0334F"/>
    <w:rsid w:val="00B051A1"/>
    <w:rsid w:val="00B056BB"/>
    <w:rsid w:val="00B10CFE"/>
    <w:rsid w:val="00B113C5"/>
    <w:rsid w:val="00B159F9"/>
    <w:rsid w:val="00B16DED"/>
    <w:rsid w:val="00B17201"/>
    <w:rsid w:val="00B22182"/>
    <w:rsid w:val="00B244D0"/>
    <w:rsid w:val="00B26153"/>
    <w:rsid w:val="00B26C7E"/>
    <w:rsid w:val="00B3086B"/>
    <w:rsid w:val="00B31C32"/>
    <w:rsid w:val="00B34E59"/>
    <w:rsid w:val="00B353D5"/>
    <w:rsid w:val="00B3606D"/>
    <w:rsid w:val="00B407B9"/>
    <w:rsid w:val="00B40B98"/>
    <w:rsid w:val="00B40DD0"/>
    <w:rsid w:val="00B41F3E"/>
    <w:rsid w:val="00B46E3F"/>
    <w:rsid w:val="00B5305B"/>
    <w:rsid w:val="00B57F61"/>
    <w:rsid w:val="00B6093C"/>
    <w:rsid w:val="00B61D63"/>
    <w:rsid w:val="00B624AC"/>
    <w:rsid w:val="00B70AA1"/>
    <w:rsid w:val="00B72ADC"/>
    <w:rsid w:val="00B735BE"/>
    <w:rsid w:val="00B76358"/>
    <w:rsid w:val="00B76E6C"/>
    <w:rsid w:val="00B76F64"/>
    <w:rsid w:val="00B7734A"/>
    <w:rsid w:val="00B81424"/>
    <w:rsid w:val="00B82198"/>
    <w:rsid w:val="00B84043"/>
    <w:rsid w:val="00B8443E"/>
    <w:rsid w:val="00B92C8E"/>
    <w:rsid w:val="00B940A6"/>
    <w:rsid w:val="00B9567E"/>
    <w:rsid w:val="00B956A2"/>
    <w:rsid w:val="00B96E9D"/>
    <w:rsid w:val="00B97FA7"/>
    <w:rsid w:val="00BA0364"/>
    <w:rsid w:val="00BA67B0"/>
    <w:rsid w:val="00BA77BB"/>
    <w:rsid w:val="00BB1C1D"/>
    <w:rsid w:val="00BB46EA"/>
    <w:rsid w:val="00BB470F"/>
    <w:rsid w:val="00BB4C0D"/>
    <w:rsid w:val="00BB64A3"/>
    <w:rsid w:val="00BC1EE6"/>
    <w:rsid w:val="00BC54A1"/>
    <w:rsid w:val="00BC69E5"/>
    <w:rsid w:val="00BC745D"/>
    <w:rsid w:val="00BD3795"/>
    <w:rsid w:val="00BD3817"/>
    <w:rsid w:val="00BD412F"/>
    <w:rsid w:val="00BD53D5"/>
    <w:rsid w:val="00BD5ADD"/>
    <w:rsid w:val="00BE0752"/>
    <w:rsid w:val="00BE08D5"/>
    <w:rsid w:val="00BE0926"/>
    <w:rsid w:val="00BE31F8"/>
    <w:rsid w:val="00BE4742"/>
    <w:rsid w:val="00C020F8"/>
    <w:rsid w:val="00C077B5"/>
    <w:rsid w:val="00C10478"/>
    <w:rsid w:val="00C110D5"/>
    <w:rsid w:val="00C1337B"/>
    <w:rsid w:val="00C14A96"/>
    <w:rsid w:val="00C1705E"/>
    <w:rsid w:val="00C205F8"/>
    <w:rsid w:val="00C22DE3"/>
    <w:rsid w:val="00C253E3"/>
    <w:rsid w:val="00C319F9"/>
    <w:rsid w:val="00C32AAF"/>
    <w:rsid w:val="00C34C5A"/>
    <w:rsid w:val="00C405F2"/>
    <w:rsid w:val="00C45C31"/>
    <w:rsid w:val="00C45E53"/>
    <w:rsid w:val="00C51265"/>
    <w:rsid w:val="00C51FD8"/>
    <w:rsid w:val="00C529C7"/>
    <w:rsid w:val="00C546D6"/>
    <w:rsid w:val="00C54BAC"/>
    <w:rsid w:val="00C557E5"/>
    <w:rsid w:val="00C61837"/>
    <w:rsid w:val="00C63108"/>
    <w:rsid w:val="00C63E6F"/>
    <w:rsid w:val="00C64A6E"/>
    <w:rsid w:val="00C655DA"/>
    <w:rsid w:val="00C65666"/>
    <w:rsid w:val="00C66173"/>
    <w:rsid w:val="00C666C6"/>
    <w:rsid w:val="00C66D55"/>
    <w:rsid w:val="00C66F96"/>
    <w:rsid w:val="00C7263D"/>
    <w:rsid w:val="00C74689"/>
    <w:rsid w:val="00C759AB"/>
    <w:rsid w:val="00C80828"/>
    <w:rsid w:val="00C825D1"/>
    <w:rsid w:val="00C8286F"/>
    <w:rsid w:val="00C82E80"/>
    <w:rsid w:val="00C845EF"/>
    <w:rsid w:val="00C84C22"/>
    <w:rsid w:val="00C85C27"/>
    <w:rsid w:val="00C8693F"/>
    <w:rsid w:val="00C86E3D"/>
    <w:rsid w:val="00C87109"/>
    <w:rsid w:val="00C90260"/>
    <w:rsid w:val="00C945DB"/>
    <w:rsid w:val="00C94E62"/>
    <w:rsid w:val="00C96C4B"/>
    <w:rsid w:val="00C97FF7"/>
    <w:rsid w:val="00CA09D6"/>
    <w:rsid w:val="00CA1A2D"/>
    <w:rsid w:val="00CA26F9"/>
    <w:rsid w:val="00CA700A"/>
    <w:rsid w:val="00CA79B0"/>
    <w:rsid w:val="00CA7E64"/>
    <w:rsid w:val="00CB0993"/>
    <w:rsid w:val="00CB5872"/>
    <w:rsid w:val="00CB7C45"/>
    <w:rsid w:val="00CC1CDE"/>
    <w:rsid w:val="00CC45B4"/>
    <w:rsid w:val="00CD388C"/>
    <w:rsid w:val="00CD3ECF"/>
    <w:rsid w:val="00CD7CD3"/>
    <w:rsid w:val="00CE01BA"/>
    <w:rsid w:val="00CE1C45"/>
    <w:rsid w:val="00CE2E3E"/>
    <w:rsid w:val="00CE37BA"/>
    <w:rsid w:val="00CE3997"/>
    <w:rsid w:val="00CE3A27"/>
    <w:rsid w:val="00CE3F51"/>
    <w:rsid w:val="00CE5F34"/>
    <w:rsid w:val="00CF0396"/>
    <w:rsid w:val="00CF2192"/>
    <w:rsid w:val="00CF4BFE"/>
    <w:rsid w:val="00CF7052"/>
    <w:rsid w:val="00D0375A"/>
    <w:rsid w:val="00D079F1"/>
    <w:rsid w:val="00D118C0"/>
    <w:rsid w:val="00D14CCF"/>
    <w:rsid w:val="00D17F03"/>
    <w:rsid w:val="00D21AD0"/>
    <w:rsid w:val="00D24227"/>
    <w:rsid w:val="00D2504E"/>
    <w:rsid w:val="00D268A9"/>
    <w:rsid w:val="00D3086E"/>
    <w:rsid w:val="00D30DA5"/>
    <w:rsid w:val="00D33F91"/>
    <w:rsid w:val="00D40C7A"/>
    <w:rsid w:val="00D40FE6"/>
    <w:rsid w:val="00D41281"/>
    <w:rsid w:val="00D419C7"/>
    <w:rsid w:val="00D41CD7"/>
    <w:rsid w:val="00D4210E"/>
    <w:rsid w:val="00D459AF"/>
    <w:rsid w:val="00D45D93"/>
    <w:rsid w:val="00D512B4"/>
    <w:rsid w:val="00D51C48"/>
    <w:rsid w:val="00D5361E"/>
    <w:rsid w:val="00D550AA"/>
    <w:rsid w:val="00D5712A"/>
    <w:rsid w:val="00D57B43"/>
    <w:rsid w:val="00D57CBD"/>
    <w:rsid w:val="00D60EED"/>
    <w:rsid w:val="00D64F67"/>
    <w:rsid w:val="00D70952"/>
    <w:rsid w:val="00D70D1F"/>
    <w:rsid w:val="00D750BD"/>
    <w:rsid w:val="00D76B08"/>
    <w:rsid w:val="00D81778"/>
    <w:rsid w:val="00D83EC6"/>
    <w:rsid w:val="00D83FFB"/>
    <w:rsid w:val="00D86CC1"/>
    <w:rsid w:val="00D91329"/>
    <w:rsid w:val="00D91D4B"/>
    <w:rsid w:val="00D942A6"/>
    <w:rsid w:val="00D955C8"/>
    <w:rsid w:val="00D96545"/>
    <w:rsid w:val="00D96D2E"/>
    <w:rsid w:val="00D97A6C"/>
    <w:rsid w:val="00DA104A"/>
    <w:rsid w:val="00DA17CC"/>
    <w:rsid w:val="00DA4CD0"/>
    <w:rsid w:val="00DA650D"/>
    <w:rsid w:val="00DB0893"/>
    <w:rsid w:val="00DB12BB"/>
    <w:rsid w:val="00DB12D0"/>
    <w:rsid w:val="00DB2E3D"/>
    <w:rsid w:val="00DB3417"/>
    <w:rsid w:val="00DB674A"/>
    <w:rsid w:val="00DC012D"/>
    <w:rsid w:val="00DC2B7C"/>
    <w:rsid w:val="00DC2BED"/>
    <w:rsid w:val="00DC42B5"/>
    <w:rsid w:val="00DC6821"/>
    <w:rsid w:val="00DD0968"/>
    <w:rsid w:val="00DD120B"/>
    <w:rsid w:val="00DD1A7F"/>
    <w:rsid w:val="00DD1E53"/>
    <w:rsid w:val="00DD28CD"/>
    <w:rsid w:val="00DD38DD"/>
    <w:rsid w:val="00DD40E6"/>
    <w:rsid w:val="00DD5885"/>
    <w:rsid w:val="00DD72A6"/>
    <w:rsid w:val="00DE099F"/>
    <w:rsid w:val="00DE33A0"/>
    <w:rsid w:val="00DF0C52"/>
    <w:rsid w:val="00DF0FA1"/>
    <w:rsid w:val="00DF161A"/>
    <w:rsid w:val="00DF31E2"/>
    <w:rsid w:val="00DF651A"/>
    <w:rsid w:val="00DF6E27"/>
    <w:rsid w:val="00E01E73"/>
    <w:rsid w:val="00E07065"/>
    <w:rsid w:val="00E073F6"/>
    <w:rsid w:val="00E21C95"/>
    <w:rsid w:val="00E220E3"/>
    <w:rsid w:val="00E22291"/>
    <w:rsid w:val="00E24760"/>
    <w:rsid w:val="00E30DBE"/>
    <w:rsid w:val="00E32DB8"/>
    <w:rsid w:val="00E34E19"/>
    <w:rsid w:val="00E35E6E"/>
    <w:rsid w:val="00E36547"/>
    <w:rsid w:val="00E37961"/>
    <w:rsid w:val="00E43D6E"/>
    <w:rsid w:val="00E45353"/>
    <w:rsid w:val="00E469A9"/>
    <w:rsid w:val="00E46EEB"/>
    <w:rsid w:val="00E51443"/>
    <w:rsid w:val="00E5283E"/>
    <w:rsid w:val="00E5489F"/>
    <w:rsid w:val="00E625A6"/>
    <w:rsid w:val="00E64A87"/>
    <w:rsid w:val="00E64BE6"/>
    <w:rsid w:val="00E6541A"/>
    <w:rsid w:val="00E6585D"/>
    <w:rsid w:val="00E662AB"/>
    <w:rsid w:val="00E72DFC"/>
    <w:rsid w:val="00E76F7C"/>
    <w:rsid w:val="00E7748C"/>
    <w:rsid w:val="00E77CD5"/>
    <w:rsid w:val="00E80E85"/>
    <w:rsid w:val="00E81112"/>
    <w:rsid w:val="00E83CEF"/>
    <w:rsid w:val="00E83F01"/>
    <w:rsid w:val="00E84D57"/>
    <w:rsid w:val="00E8605D"/>
    <w:rsid w:val="00E87200"/>
    <w:rsid w:val="00E87B1E"/>
    <w:rsid w:val="00E9268B"/>
    <w:rsid w:val="00E94D51"/>
    <w:rsid w:val="00EA0B53"/>
    <w:rsid w:val="00EA28A2"/>
    <w:rsid w:val="00EA565F"/>
    <w:rsid w:val="00EB1E13"/>
    <w:rsid w:val="00EC48D7"/>
    <w:rsid w:val="00EC59F9"/>
    <w:rsid w:val="00EC69EC"/>
    <w:rsid w:val="00EC6AFC"/>
    <w:rsid w:val="00EC6CE7"/>
    <w:rsid w:val="00ED0160"/>
    <w:rsid w:val="00ED10E4"/>
    <w:rsid w:val="00ED2C76"/>
    <w:rsid w:val="00ED5AF3"/>
    <w:rsid w:val="00ED5F47"/>
    <w:rsid w:val="00ED6BD5"/>
    <w:rsid w:val="00EE12D8"/>
    <w:rsid w:val="00EE12EC"/>
    <w:rsid w:val="00EE27FA"/>
    <w:rsid w:val="00EE2D9C"/>
    <w:rsid w:val="00EE3005"/>
    <w:rsid w:val="00EE4256"/>
    <w:rsid w:val="00EE5302"/>
    <w:rsid w:val="00EF0C33"/>
    <w:rsid w:val="00EF5203"/>
    <w:rsid w:val="00EF646B"/>
    <w:rsid w:val="00EF6BD7"/>
    <w:rsid w:val="00F01C98"/>
    <w:rsid w:val="00F052E5"/>
    <w:rsid w:val="00F13230"/>
    <w:rsid w:val="00F13C54"/>
    <w:rsid w:val="00F13CE4"/>
    <w:rsid w:val="00F157A9"/>
    <w:rsid w:val="00F16716"/>
    <w:rsid w:val="00F17500"/>
    <w:rsid w:val="00F227AD"/>
    <w:rsid w:val="00F27B72"/>
    <w:rsid w:val="00F27C55"/>
    <w:rsid w:val="00F30395"/>
    <w:rsid w:val="00F31EEA"/>
    <w:rsid w:val="00F32CF8"/>
    <w:rsid w:val="00F36424"/>
    <w:rsid w:val="00F36D14"/>
    <w:rsid w:val="00F43B6D"/>
    <w:rsid w:val="00F45BC9"/>
    <w:rsid w:val="00F52E88"/>
    <w:rsid w:val="00F53622"/>
    <w:rsid w:val="00F56AA4"/>
    <w:rsid w:val="00F60243"/>
    <w:rsid w:val="00F60A39"/>
    <w:rsid w:val="00F65E1E"/>
    <w:rsid w:val="00F65F61"/>
    <w:rsid w:val="00F707E6"/>
    <w:rsid w:val="00F800AF"/>
    <w:rsid w:val="00F83231"/>
    <w:rsid w:val="00F85786"/>
    <w:rsid w:val="00F858F5"/>
    <w:rsid w:val="00F90301"/>
    <w:rsid w:val="00F90C9F"/>
    <w:rsid w:val="00F91640"/>
    <w:rsid w:val="00F95B7F"/>
    <w:rsid w:val="00FA17F0"/>
    <w:rsid w:val="00FA3369"/>
    <w:rsid w:val="00FA5BA3"/>
    <w:rsid w:val="00FA5E26"/>
    <w:rsid w:val="00FA6853"/>
    <w:rsid w:val="00FB0348"/>
    <w:rsid w:val="00FB16E7"/>
    <w:rsid w:val="00FB21B8"/>
    <w:rsid w:val="00FC0517"/>
    <w:rsid w:val="00FC2F76"/>
    <w:rsid w:val="00FC46A6"/>
    <w:rsid w:val="00FC4820"/>
    <w:rsid w:val="00FC6788"/>
    <w:rsid w:val="00FD2D7D"/>
    <w:rsid w:val="00FD362F"/>
    <w:rsid w:val="00FD4AF4"/>
    <w:rsid w:val="00FD5694"/>
    <w:rsid w:val="00FD56DF"/>
    <w:rsid w:val="00FD5B0A"/>
    <w:rsid w:val="00FD66CC"/>
    <w:rsid w:val="00FE207B"/>
    <w:rsid w:val="00FE2E19"/>
    <w:rsid w:val="00FE485E"/>
    <w:rsid w:val="00FE77FA"/>
    <w:rsid w:val="00FF0F6D"/>
    <w:rsid w:val="00FF12F3"/>
    <w:rsid w:val="00FF2828"/>
    <w:rsid w:val="00FF571F"/>
    <w:rsid w:val="00FF6E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0B16DA"/>
  <w15:chartTrackingRefBased/>
  <w15:docId w15:val="{D093E28C-00FD-4698-B8D4-60B018950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07D7"/>
    <w:pPr>
      <w:ind w:left="720"/>
      <w:contextualSpacing/>
    </w:pPr>
  </w:style>
  <w:style w:type="paragraph" w:styleId="Revision">
    <w:name w:val="Revision"/>
    <w:hidden/>
    <w:uiPriority w:val="99"/>
    <w:semiHidden/>
    <w:rsid w:val="00FD2D7D"/>
    <w:pPr>
      <w:spacing w:after="0" w:line="240" w:lineRule="auto"/>
    </w:pPr>
  </w:style>
  <w:style w:type="paragraph" w:styleId="BalloonText">
    <w:name w:val="Balloon Text"/>
    <w:basedOn w:val="Normal"/>
    <w:link w:val="BalloonTextChar"/>
    <w:uiPriority w:val="99"/>
    <w:semiHidden/>
    <w:unhideWhenUsed/>
    <w:rsid w:val="004D73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3F7"/>
    <w:rPr>
      <w:rFonts w:ascii="Segoe UI" w:hAnsi="Segoe UI" w:cs="Segoe UI"/>
      <w:sz w:val="18"/>
      <w:szCs w:val="18"/>
    </w:rPr>
  </w:style>
  <w:style w:type="character" w:styleId="CommentReference">
    <w:name w:val="annotation reference"/>
    <w:basedOn w:val="DefaultParagraphFont"/>
    <w:uiPriority w:val="99"/>
    <w:semiHidden/>
    <w:unhideWhenUsed/>
    <w:rsid w:val="00156608"/>
    <w:rPr>
      <w:sz w:val="16"/>
      <w:szCs w:val="16"/>
    </w:rPr>
  </w:style>
  <w:style w:type="paragraph" w:styleId="CommentText">
    <w:name w:val="annotation text"/>
    <w:basedOn w:val="Normal"/>
    <w:link w:val="CommentTextChar"/>
    <w:uiPriority w:val="99"/>
    <w:unhideWhenUsed/>
    <w:rsid w:val="00156608"/>
    <w:pPr>
      <w:spacing w:line="240" w:lineRule="auto"/>
    </w:pPr>
    <w:rPr>
      <w:sz w:val="20"/>
      <w:szCs w:val="20"/>
    </w:rPr>
  </w:style>
  <w:style w:type="character" w:customStyle="1" w:styleId="CommentTextChar">
    <w:name w:val="Comment Text Char"/>
    <w:basedOn w:val="DefaultParagraphFont"/>
    <w:link w:val="CommentText"/>
    <w:uiPriority w:val="99"/>
    <w:rsid w:val="00156608"/>
    <w:rPr>
      <w:sz w:val="20"/>
      <w:szCs w:val="20"/>
    </w:rPr>
  </w:style>
  <w:style w:type="paragraph" w:styleId="CommentSubject">
    <w:name w:val="annotation subject"/>
    <w:basedOn w:val="CommentText"/>
    <w:next w:val="CommentText"/>
    <w:link w:val="CommentSubjectChar"/>
    <w:uiPriority w:val="99"/>
    <w:semiHidden/>
    <w:unhideWhenUsed/>
    <w:rsid w:val="00156608"/>
    <w:rPr>
      <w:b/>
      <w:bCs/>
    </w:rPr>
  </w:style>
  <w:style w:type="character" w:customStyle="1" w:styleId="CommentSubjectChar">
    <w:name w:val="Comment Subject Char"/>
    <w:basedOn w:val="CommentTextChar"/>
    <w:link w:val="CommentSubject"/>
    <w:uiPriority w:val="99"/>
    <w:semiHidden/>
    <w:rsid w:val="00156608"/>
    <w:rPr>
      <w:b/>
      <w:bCs/>
      <w:sz w:val="20"/>
      <w:szCs w:val="20"/>
    </w:rPr>
  </w:style>
  <w:style w:type="paragraph" w:customStyle="1" w:styleId="EndNoteBibliography">
    <w:name w:val="EndNote Bibliography"/>
    <w:basedOn w:val="Normal"/>
    <w:link w:val="EndNoteBibliographyChar"/>
    <w:rsid w:val="00B76E6C"/>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B76E6C"/>
    <w:rPr>
      <w:rFonts w:ascii="Calibri" w:hAnsi="Calibri" w:cs="Calibri"/>
      <w:noProof/>
      <w:lang w:val="en-US"/>
    </w:rPr>
  </w:style>
  <w:style w:type="paragraph" w:styleId="NoSpacing">
    <w:name w:val="No Spacing"/>
    <w:uiPriority w:val="1"/>
    <w:qFormat/>
    <w:rsid w:val="00BB1C1D"/>
    <w:pPr>
      <w:spacing w:after="0" w:line="240" w:lineRule="auto"/>
    </w:pPr>
    <w:rPr>
      <w:lang w:val="en-SG"/>
    </w:rPr>
  </w:style>
  <w:style w:type="table" w:styleId="TableGrid">
    <w:name w:val="Table Grid"/>
    <w:basedOn w:val="TableNormal"/>
    <w:uiPriority w:val="39"/>
    <w:rsid w:val="00BB1C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20A4E"/>
    <w:rPr>
      <w:color w:val="0563C1" w:themeColor="hyperlink"/>
      <w:u w:val="single"/>
    </w:rPr>
  </w:style>
  <w:style w:type="character" w:styleId="FollowedHyperlink">
    <w:name w:val="FollowedHyperlink"/>
    <w:basedOn w:val="DefaultParagraphFont"/>
    <w:uiPriority w:val="99"/>
    <w:semiHidden/>
    <w:unhideWhenUsed/>
    <w:rsid w:val="005F4F0F"/>
    <w:rPr>
      <w:color w:val="954F72" w:themeColor="followedHyperlink"/>
      <w:u w:val="single"/>
    </w:rPr>
  </w:style>
  <w:style w:type="paragraph" w:customStyle="1" w:styleId="EndNoteBibliographyTitle">
    <w:name w:val="EndNote Bibliography Title"/>
    <w:basedOn w:val="Normal"/>
    <w:link w:val="EndNoteBibliographyTitleChar"/>
    <w:rsid w:val="00853489"/>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853489"/>
    <w:rPr>
      <w:rFonts w:ascii="Calibri" w:hAnsi="Calibri" w:cs="Calibri"/>
      <w:noProof/>
      <w:lang w:val="en-US"/>
    </w:rPr>
  </w:style>
  <w:style w:type="paragraph" w:styleId="Header">
    <w:name w:val="header"/>
    <w:basedOn w:val="Normal"/>
    <w:link w:val="HeaderChar"/>
    <w:uiPriority w:val="99"/>
    <w:unhideWhenUsed/>
    <w:rsid w:val="00195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5D52"/>
  </w:style>
  <w:style w:type="paragraph" w:styleId="Footer">
    <w:name w:val="footer"/>
    <w:basedOn w:val="Normal"/>
    <w:link w:val="FooterChar"/>
    <w:uiPriority w:val="99"/>
    <w:unhideWhenUsed/>
    <w:rsid w:val="00195D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5D52"/>
  </w:style>
  <w:style w:type="character" w:styleId="LineNumber">
    <w:name w:val="line number"/>
    <w:basedOn w:val="DefaultParagraphFont"/>
    <w:uiPriority w:val="99"/>
    <w:semiHidden/>
    <w:unhideWhenUsed/>
    <w:rsid w:val="00195D52"/>
  </w:style>
  <w:style w:type="character" w:customStyle="1" w:styleId="UnresolvedMention1">
    <w:name w:val="Unresolved Mention1"/>
    <w:basedOn w:val="DefaultParagraphFont"/>
    <w:uiPriority w:val="99"/>
    <w:semiHidden/>
    <w:unhideWhenUsed/>
    <w:rsid w:val="004A5FD1"/>
    <w:rPr>
      <w:color w:val="605E5C"/>
      <w:shd w:val="clear" w:color="auto" w:fill="E1DFDD"/>
    </w:rPr>
  </w:style>
  <w:style w:type="character" w:customStyle="1" w:styleId="UnresolvedMention2">
    <w:name w:val="Unresolved Mention2"/>
    <w:basedOn w:val="DefaultParagraphFont"/>
    <w:uiPriority w:val="99"/>
    <w:semiHidden/>
    <w:unhideWhenUsed/>
    <w:rsid w:val="006B43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554036">
      <w:bodyDiv w:val="1"/>
      <w:marLeft w:val="0"/>
      <w:marRight w:val="0"/>
      <w:marTop w:val="0"/>
      <w:marBottom w:val="0"/>
      <w:divBdr>
        <w:top w:val="none" w:sz="0" w:space="0" w:color="auto"/>
        <w:left w:val="none" w:sz="0" w:space="0" w:color="auto"/>
        <w:bottom w:val="none" w:sz="0" w:space="0" w:color="auto"/>
        <w:right w:val="none" w:sz="0" w:space="0" w:color="auto"/>
      </w:divBdr>
    </w:div>
    <w:div w:id="745111093">
      <w:bodyDiv w:val="1"/>
      <w:marLeft w:val="0"/>
      <w:marRight w:val="0"/>
      <w:marTop w:val="0"/>
      <w:marBottom w:val="0"/>
      <w:divBdr>
        <w:top w:val="none" w:sz="0" w:space="0" w:color="auto"/>
        <w:left w:val="none" w:sz="0" w:space="0" w:color="auto"/>
        <w:bottom w:val="none" w:sz="0" w:space="0" w:color="auto"/>
        <w:right w:val="none" w:sz="0" w:space="0" w:color="auto"/>
      </w:divBdr>
    </w:div>
    <w:div w:id="1000619939">
      <w:bodyDiv w:val="1"/>
      <w:marLeft w:val="0"/>
      <w:marRight w:val="0"/>
      <w:marTop w:val="0"/>
      <w:marBottom w:val="0"/>
      <w:divBdr>
        <w:top w:val="none" w:sz="0" w:space="0" w:color="auto"/>
        <w:left w:val="none" w:sz="0" w:space="0" w:color="auto"/>
        <w:bottom w:val="none" w:sz="0" w:space="0" w:color="auto"/>
        <w:right w:val="none" w:sz="0" w:space="0" w:color="auto"/>
      </w:divBdr>
    </w:div>
    <w:div w:id="1537156298">
      <w:bodyDiv w:val="1"/>
      <w:marLeft w:val="0"/>
      <w:marRight w:val="0"/>
      <w:marTop w:val="0"/>
      <w:marBottom w:val="0"/>
      <w:divBdr>
        <w:top w:val="none" w:sz="0" w:space="0" w:color="auto"/>
        <w:left w:val="none" w:sz="0" w:space="0" w:color="auto"/>
        <w:bottom w:val="none" w:sz="0" w:space="0" w:color="auto"/>
        <w:right w:val="none" w:sz="0" w:space="0" w:color="auto"/>
      </w:divBdr>
      <w:divsChild>
        <w:div w:id="2139104574">
          <w:marLeft w:val="0"/>
          <w:marRight w:val="0"/>
          <w:marTop w:val="0"/>
          <w:marBottom w:val="0"/>
          <w:divBdr>
            <w:top w:val="none" w:sz="0" w:space="0" w:color="auto"/>
            <w:left w:val="none" w:sz="0" w:space="0" w:color="auto"/>
            <w:bottom w:val="none" w:sz="0" w:space="0" w:color="auto"/>
            <w:right w:val="none" w:sz="0" w:space="0" w:color="auto"/>
          </w:divBdr>
        </w:div>
      </w:divsChild>
    </w:div>
    <w:div w:id="1589537319">
      <w:bodyDiv w:val="1"/>
      <w:marLeft w:val="0"/>
      <w:marRight w:val="0"/>
      <w:marTop w:val="0"/>
      <w:marBottom w:val="0"/>
      <w:divBdr>
        <w:top w:val="none" w:sz="0" w:space="0" w:color="auto"/>
        <w:left w:val="none" w:sz="0" w:space="0" w:color="auto"/>
        <w:bottom w:val="none" w:sz="0" w:space="0" w:color="auto"/>
        <w:right w:val="none" w:sz="0" w:space="0" w:color="auto"/>
      </w:divBdr>
    </w:div>
    <w:div w:id="1646272353">
      <w:bodyDiv w:val="1"/>
      <w:marLeft w:val="0"/>
      <w:marRight w:val="0"/>
      <w:marTop w:val="0"/>
      <w:marBottom w:val="0"/>
      <w:divBdr>
        <w:top w:val="none" w:sz="0" w:space="0" w:color="auto"/>
        <w:left w:val="none" w:sz="0" w:space="0" w:color="auto"/>
        <w:bottom w:val="none" w:sz="0" w:space="0" w:color="auto"/>
        <w:right w:val="none" w:sz="0" w:space="0" w:color="auto"/>
      </w:divBdr>
    </w:div>
    <w:div w:id="1923903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4" Type="http://schemas.openxmlformats.org/officeDocument/2006/relationships/settings" Target="settings.xml"/><Relationship Id="rId9" Type="http://schemas.openxmlformats.org/officeDocument/2006/relationships/theme" Target="theme/theme1.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0C46C-CE94-4A18-B260-4B31FDBC4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7167</Words>
  <Characters>40855</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Paxton Loke</dc:creator>
  <cp:keywords/>
  <dc:description/>
  <cp:lastModifiedBy>Paxton Loke</cp:lastModifiedBy>
  <cp:revision>4</cp:revision>
  <dcterms:created xsi:type="dcterms:W3CDTF">2022-12-23T05:31:00Z</dcterms:created>
  <dcterms:modified xsi:type="dcterms:W3CDTF">2022-12-23T05:34:00Z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2022-12-20T00:51:17Z</vt:lpwstr>
  </property>
  <property fmtid="{D5CDD505-2E9C-101B-9397-08002B2CF9AE}" pid="4" name="MSIP_Label_0f488380-630a-4f55-a077-a19445e3f360_Method">
    <vt:lpwstr>Standard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965ea127-4a05-40a4-afd9-bc7031f04f25</vt:lpwstr>
  </property>
  <property fmtid="{D5CDD505-2E9C-101B-9397-08002B2CF9AE}" pid="8" name="MSIP_Label_0f488380-630a-4f55-a077-a19445e3f360_ContentBits">
    <vt:lpwstr>0</vt:lpwstr>
  </property>
</Properties>
</file>