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B050" w14:textId="664BA643" w:rsidR="00FE4FF0" w:rsidRPr="008C1BD7" w:rsidRDefault="00FE7B32" w:rsidP="001811E9">
      <w:pPr>
        <w:autoSpaceDE w:val="0"/>
        <w:autoSpaceDN w:val="0"/>
        <w:adjustRightInd w:val="0"/>
        <w:spacing w:after="0" w:line="276" w:lineRule="auto"/>
        <w:jc w:val="right"/>
        <w:rPr>
          <w:rFonts w:ascii="Calibri" w:hAnsi="Calibri" w:cs="Calibri"/>
          <w:i/>
          <w:iCs/>
          <w:sz w:val="20"/>
          <w:szCs w:val="20"/>
        </w:rPr>
      </w:pPr>
      <w:proofErr w:type="spellStart"/>
      <w:r w:rsidRPr="008C1BD7">
        <w:rPr>
          <w:rFonts w:ascii="Calibri" w:hAnsi="Calibri" w:cs="Calibri"/>
          <w:i/>
          <w:iCs/>
          <w:sz w:val="20"/>
          <w:szCs w:val="20"/>
        </w:rPr>
        <w:t>Basede</w:t>
      </w:r>
      <w:proofErr w:type="spellEnd"/>
      <w:r w:rsidR="00EE2F5F" w:rsidRPr="008C1BD7">
        <w:rPr>
          <w:rFonts w:ascii="Calibri" w:hAnsi="Calibri" w:cs="Calibri"/>
          <w:i/>
          <w:iCs/>
          <w:sz w:val="20"/>
          <w:szCs w:val="20"/>
        </w:rPr>
        <w:t xml:space="preserve"> cohort</w:t>
      </w:r>
      <w:r w:rsidR="001811E9" w:rsidRPr="008C1BD7">
        <w:rPr>
          <w:rFonts w:ascii="Calibri" w:hAnsi="Calibri" w:cs="Calibri"/>
          <w:i/>
          <w:iCs/>
          <w:sz w:val="20"/>
          <w:szCs w:val="20"/>
        </w:rPr>
        <w:t xml:space="preserve"> </w:t>
      </w:r>
      <w:proofErr w:type="spellStart"/>
      <w:r w:rsidR="00387CAF" w:rsidRPr="008C1BD7">
        <w:rPr>
          <w:rFonts w:ascii="Calibri" w:hAnsi="Calibri" w:cs="Calibri"/>
          <w:i/>
          <w:iCs/>
          <w:sz w:val="20"/>
          <w:szCs w:val="20"/>
        </w:rPr>
        <w:t>v</w:t>
      </w:r>
      <w:r w:rsidR="00811987">
        <w:rPr>
          <w:rFonts w:ascii="Calibri" w:hAnsi="Calibri" w:cs="Calibri"/>
          <w:i/>
          <w:iCs/>
          <w:sz w:val="20"/>
          <w:szCs w:val="20"/>
        </w:rPr>
        <w:t>OSIN</w:t>
      </w:r>
      <w:proofErr w:type="spellEnd"/>
      <w:r w:rsidR="00303751">
        <w:rPr>
          <w:rFonts w:ascii="Calibri" w:hAnsi="Calibri" w:cs="Calibri"/>
          <w:i/>
          <w:iCs/>
          <w:sz w:val="20"/>
          <w:szCs w:val="20"/>
        </w:rPr>
        <w:t>/R1</w:t>
      </w:r>
    </w:p>
    <w:p w14:paraId="7B53E8A8" w14:textId="77777777" w:rsidR="00FE4FF0" w:rsidRPr="008C1BD7" w:rsidRDefault="00FE4FF0" w:rsidP="00875A63">
      <w:pPr>
        <w:autoSpaceDE w:val="0"/>
        <w:autoSpaceDN w:val="0"/>
        <w:adjustRightInd w:val="0"/>
        <w:spacing w:after="0" w:line="276" w:lineRule="auto"/>
        <w:jc w:val="center"/>
        <w:rPr>
          <w:rFonts w:ascii="Calibri" w:hAnsi="Calibri" w:cs="Calibri"/>
          <w:b/>
          <w:bCs/>
          <w:sz w:val="28"/>
          <w:szCs w:val="28"/>
        </w:rPr>
      </w:pPr>
    </w:p>
    <w:p w14:paraId="4B1B483B" w14:textId="67451B41" w:rsidR="008F26B6" w:rsidRPr="008C1BD7" w:rsidRDefault="008331AE" w:rsidP="005C59D5">
      <w:pPr>
        <w:autoSpaceDE w:val="0"/>
        <w:autoSpaceDN w:val="0"/>
        <w:adjustRightInd w:val="0"/>
        <w:spacing w:after="0" w:line="276" w:lineRule="auto"/>
        <w:ind w:left="567"/>
        <w:jc w:val="center"/>
        <w:rPr>
          <w:rFonts w:ascii="Calibri" w:hAnsi="Calibri" w:cs="Calibri"/>
          <w:b/>
          <w:bCs/>
          <w:sz w:val="28"/>
          <w:szCs w:val="28"/>
        </w:rPr>
      </w:pPr>
      <w:r w:rsidRPr="008C1BD7">
        <w:rPr>
          <w:rFonts w:ascii="Calibri" w:hAnsi="Calibri" w:cs="Calibri"/>
          <w:b/>
          <w:bCs/>
          <w:sz w:val="28"/>
          <w:szCs w:val="28"/>
        </w:rPr>
        <w:t>An assessment of intervention thresholds</w:t>
      </w:r>
      <w:r w:rsidR="0054484E" w:rsidRPr="008C1BD7">
        <w:rPr>
          <w:rFonts w:ascii="Calibri" w:hAnsi="Calibri" w:cs="Calibri"/>
          <w:b/>
          <w:bCs/>
          <w:sz w:val="28"/>
          <w:szCs w:val="28"/>
        </w:rPr>
        <w:t xml:space="preserve"> for high </w:t>
      </w:r>
      <w:r w:rsidR="00EC1678" w:rsidRPr="008C1BD7">
        <w:rPr>
          <w:rFonts w:ascii="Calibri" w:hAnsi="Calibri" w:cs="Calibri"/>
          <w:b/>
          <w:bCs/>
          <w:sz w:val="28"/>
          <w:szCs w:val="28"/>
        </w:rPr>
        <w:t xml:space="preserve">fracture </w:t>
      </w:r>
      <w:r w:rsidR="0054484E" w:rsidRPr="008C1BD7">
        <w:rPr>
          <w:rFonts w:ascii="Calibri" w:hAnsi="Calibri" w:cs="Calibri"/>
          <w:b/>
          <w:bCs/>
          <w:sz w:val="28"/>
          <w:szCs w:val="28"/>
        </w:rPr>
        <w:t>risk</w:t>
      </w:r>
      <w:r w:rsidR="00875A63" w:rsidRPr="008C1BD7">
        <w:rPr>
          <w:rFonts w:ascii="Calibri" w:hAnsi="Calibri" w:cs="Calibri"/>
          <w:b/>
          <w:bCs/>
          <w:sz w:val="28"/>
          <w:szCs w:val="28"/>
        </w:rPr>
        <w:t xml:space="preserve"> </w:t>
      </w:r>
      <w:r w:rsidR="00E324F7" w:rsidRPr="008C1BD7">
        <w:rPr>
          <w:rFonts w:ascii="Calibri" w:hAnsi="Calibri" w:cs="Calibri"/>
          <w:b/>
          <w:bCs/>
          <w:sz w:val="28"/>
          <w:szCs w:val="28"/>
        </w:rPr>
        <w:t xml:space="preserve">in </w:t>
      </w:r>
      <w:r w:rsidR="00B23373">
        <w:rPr>
          <w:rFonts w:ascii="Calibri" w:hAnsi="Calibri" w:cs="Calibri"/>
          <w:b/>
          <w:bCs/>
          <w:sz w:val="28"/>
          <w:szCs w:val="28"/>
        </w:rPr>
        <w:t>Chil</w:t>
      </w:r>
      <w:r w:rsidR="00390523">
        <w:rPr>
          <w:rFonts w:ascii="Calibri" w:hAnsi="Calibri" w:cs="Calibri"/>
          <w:b/>
          <w:bCs/>
          <w:sz w:val="28"/>
          <w:szCs w:val="28"/>
        </w:rPr>
        <w:t>e</w:t>
      </w:r>
    </w:p>
    <w:p w14:paraId="413BFF02" w14:textId="77777777" w:rsidR="007B7885" w:rsidRPr="008C1BD7" w:rsidRDefault="007B7885" w:rsidP="00923A66">
      <w:pPr>
        <w:autoSpaceDE w:val="0"/>
        <w:autoSpaceDN w:val="0"/>
        <w:adjustRightInd w:val="0"/>
        <w:spacing w:after="0" w:line="276" w:lineRule="auto"/>
        <w:ind w:left="567"/>
        <w:rPr>
          <w:rFonts w:ascii="Calibri" w:hAnsi="Calibri" w:cs="Calibri"/>
          <w:b/>
          <w:bCs/>
          <w:sz w:val="20"/>
          <w:szCs w:val="20"/>
        </w:rPr>
      </w:pPr>
    </w:p>
    <w:p w14:paraId="5F62549C" w14:textId="77777777" w:rsidR="007B7885" w:rsidRPr="008C1BD7" w:rsidRDefault="007B7885" w:rsidP="00923A66">
      <w:pPr>
        <w:autoSpaceDE w:val="0"/>
        <w:autoSpaceDN w:val="0"/>
        <w:adjustRightInd w:val="0"/>
        <w:spacing w:after="0" w:line="276" w:lineRule="auto"/>
        <w:ind w:left="567"/>
        <w:rPr>
          <w:rFonts w:ascii="Calibri" w:hAnsi="Calibri" w:cs="Calibri"/>
          <w:b/>
          <w:bCs/>
          <w:sz w:val="20"/>
          <w:szCs w:val="20"/>
        </w:rPr>
      </w:pPr>
    </w:p>
    <w:p w14:paraId="20B7325F" w14:textId="0FE39F63" w:rsidR="0041550C" w:rsidRPr="008C1BD7" w:rsidRDefault="00184019" w:rsidP="00923A66">
      <w:pPr>
        <w:spacing w:after="200" w:line="276" w:lineRule="auto"/>
        <w:ind w:left="567"/>
        <w:rPr>
          <w:rFonts w:ascii="Calibri" w:eastAsia="Calibri" w:hAnsi="Calibri" w:cs="Calibri"/>
          <w:b/>
          <w:sz w:val="24"/>
          <w:szCs w:val="24"/>
        </w:rPr>
      </w:pPr>
      <w:r w:rsidRPr="008C1BD7">
        <w:rPr>
          <w:rFonts w:ascii="Calibri" w:eastAsia="Calibri" w:hAnsi="Calibri" w:cs="Times New Roman"/>
        </w:rPr>
        <w:br/>
      </w:r>
      <w:r w:rsidR="00811987" w:rsidRPr="00811987">
        <w:rPr>
          <w:rFonts w:ascii="Calibri" w:eastAsia="MS Mincho" w:hAnsi="Calibri" w:cs="Times New Roman"/>
          <w:sz w:val="24"/>
          <w:szCs w:val="24"/>
          <w:lang w:eastAsia="ja-JP"/>
        </w:rPr>
        <w:t>Enrique Lopez Gavilanez</w:t>
      </w:r>
      <w:bookmarkStart w:id="0" w:name="_Hlk64033250"/>
      <w:bookmarkStart w:id="1" w:name="_Hlk116473964"/>
      <w:r w:rsidR="007A04A0" w:rsidRPr="006F21A5">
        <w:rPr>
          <w:rFonts w:ascii="Calibri" w:eastAsia="MS Mincho" w:hAnsi="Calibri" w:cs="Times New Roman"/>
          <w:sz w:val="24"/>
          <w:szCs w:val="24"/>
          <w:vertAlign w:val="superscript"/>
          <w:lang w:eastAsia="ja-JP"/>
        </w:rPr>
        <w:t>1,2</w:t>
      </w:r>
      <w:r w:rsidR="003F4567">
        <w:rPr>
          <w:rFonts w:ascii="Calibri" w:eastAsia="MS Mincho" w:hAnsi="Calibri" w:cs="Times New Roman"/>
          <w:sz w:val="24"/>
          <w:szCs w:val="24"/>
          <w:lang w:eastAsia="ja-JP"/>
        </w:rPr>
        <w:t xml:space="preserve"> </w:t>
      </w:r>
      <w:r w:rsidR="00DC5B5A" w:rsidRPr="008C1BD7">
        <w:rPr>
          <w:rFonts w:ascii="Calibri" w:eastAsia="MS Mincho" w:hAnsi="Calibri" w:cs="Times New Roman"/>
          <w:sz w:val="24"/>
          <w:szCs w:val="24"/>
          <w:lang w:eastAsia="ja-JP"/>
        </w:rPr>
        <w:t>∙</w:t>
      </w:r>
      <w:bookmarkEnd w:id="0"/>
      <w:r w:rsidR="003F4567">
        <w:rPr>
          <w:rFonts w:ascii="Calibri" w:eastAsia="MS Mincho" w:hAnsi="Calibri" w:cs="Times New Roman"/>
          <w:sz w:val="24"/>
          <w:szCs w:val="24"/>
          <w:lang w:eastAsia="ja-JP"/>
        </w:rPr>
        <w:t xml:space="preserve"> </w:t>
      </w:r>
      <w:bookmarkEnd w:id="1"/>
      <w:proofErr w:type="spellStart"/>
      <w:r w:rsidR="003F4567" w:rsidRPr="003F4567">
        <w:rPr>
          <w:rFonts w:ascii="Calibri" w:eastAsia="MS Mincho" w:hAnsi="Calibri" w:cs="Times New Roman"/>
          <w:sz w:val="24"/>
          <w:szCs w:val="24"/>
          <w:lang w:eastAsia="ja-JP"/>
        </w:rPr>
        <w:t>Imaicela</w:t>
      </w:r>
      <w:proofErr w:type="spellEnd"/>
      <w:r w:rsidR="003F4567" w:rsidRPr="003F4567">
        <w:rPr>
          <w:rFonts w:ascii="Calibri" w:eastAsia="MS Mincho" w:hAnsi="Calibri" w:cs="Times New Roman"/>
          <w:sz w:val="24"/>
          <w:szCs w:val="24"/>
          <w:lang w:eastAsia="ja-JP"/>
        </w:rPr>
        <w:t xml:space="preserve"> N Luis</w:t>
      </w:r>
      <w:r w:rsidR="00E40D58" w:rsidRPr="006F21A5">
        <w:rPr>
          <w:rFonts w:ascii="Calibri" w:eastAsia="MS Mincho" w:hAnsi="Calibri" w:cs="Times New Roman"/>
          <w:sz w:val="24"/>
          <w:szCs w:val="24"/>
          <w:vertAlign w:val="superscript"/>
          <w:lang w:eastAsia="ja-JP"/>
        </w:rPr>
        <w:t>1</w:t>
      </w:r>
      <w:r w:rsidR="00EC3FDD" w:rsidRPr="00EC3FDD">
        <w:rPr>
          <w:rFonts w:ascii="Calibri" w:eastAsia="MS Mincho" w:hAnsi="Calibri" w:cs="Times New Roman"/>
          <w:sz w:val="24"/>
          <w:szCs w:val="24"/>
          <w:lang w:eastAsia="ja-JP"/>
        </w:rPr>
        <w:t xml:space="preserve"> ∙ </w:t>
      </w:r>
      <w:r w:rsidR="003F4567" w:rsidRPr="003F4567">
        <w:rPr>
          <w:rFonts w:ascii="Calibri" w:eastAsia="MS Mincho" w:hAnsi="Calibri" w:cs="Times New Roman"/>
          <w:sz w:val="24"/>
          <w:szCs w:val="24"/>
          <w:lang w:eastAsia="ja-JP"/>
        </w:rPr>
        <w:t>Navarro G Mario</w:t>
      </w:r>
      <w:r w:rsidR="00E40D58" w:rsidRPr="006F21A5">
        <w:rPr>
          <w:rFonts w:ascii="Calibri" w:eastAsia="MS Mincho" w:hAnsi="Calibri" w:cs="Times New Roman"/>
          <w:sz w:val="24"/>
          <w:szCs w:val="24"/>
          <w:vertAlign w:val="superscript"/>
          <w:lang w:eastAsia="ja-JP"/>
        </w:rPr>
        <w:t>1</w:t>
      </w:r>
      <w:r w:rsidR="00EC3FDD" w:rsidRPr="00EC3FDD">
        <w:rPr>
          <w:rFonts w:ascii="Calibri" w:eastAsia="MS Mincho" w:hAnsi="Calibri" w:cs="Times New Roman"/>
          <w:sz w:val="24"/>
          <w:szCs w:val="24"/>
          <w:lang w:eastAsia="ja-JP"/>
        </w:rPr>
        <w:t xml:space="preserve"> ∙ </w:t>
      </w:r>
      <w:r w:rsidR="0041550C" w:rsidRPr="008C1BD7">
        <w:rPr>
          <w:rFonts w:ascii="Calibri" w:eastAsia="MS Mincho" w:hAnsi="Calibri" w:cs="Times New Roman"/>
          <w:sz w:val="24"/>
          <w:szCs w:val="24"/>
          <w:lang w:eastAsia="ja-JP"/>
        </w:rPr>
        <w:t>Helena Johansson</w:t>
      </w:r>
      <w:r w:rsidR="009C3D76">
        <w:rPr>
          <w:rFonts w:ascii="Calibri" w:eastAsia="MS Mincho" w:hAnsi="Calibri" w:cs="Times New Roman"/>
          <w:sz w:val="24"/>
          <w:szCs w:val="24"/>
          <w:vertAlign w:val="superscript"/>
          <w:lang w:eastAsia="ja-JP"/>
        </w:rPr>
        <w:t>3,4,5</w:t>
      </w:r>
      <w:r w:rsidR="00DC5B5A" w:rsidRPr="008C1BD7">
        <w:rPr>
          <w:rFonts w:ascii="Calibri" w:eastAsia="MS Mincho" w:hAnsi="Calibri" w:cs="Times New Roman"/>
          <w:sz w:val="24"/>
          <w:szCs w:val="24"/>
          <w:vertAlign w:val="superscript"/>
          <w:lang w:eastAsia="ja-JP"/>
        </w:rPr>
        <w:t xml:space="preserve"> </w:t>
      </w:r>
      <w:r w:rsidR="00DC5B5A" w:rsidRPr="008C1BD7">
        <w:rPr>
          <w:rFonts w:ascii="Calibri" w:eastAsia="MS Mincho" w:hAnsi="Calibri" w:cs="Times New Roman"/>
          <w:sz w:val="24"/>
          <w:szCs w:val="24"/>
          <w:lang w:eastAsia="ja-JP"/>
        </w:rPr>
        <w:t xml:space="preserve">∙ </w:t>
      </w:r>
      <w:r w:rsidR="0041550C" w:rsidRPr="008C1BD7">
        <w:rPr>
          <w:rFonts w:ascii="Calibri" w:eastAsia="MS Mincho" w:hAnsi="Calibri" w:cs="Times New Roman"/>
          <w:sz w:val="24"/>
          <w:szCs w:val="24"/>
          <w:lang w:eastAsia="ja-JP"/>
        </w:rPr>
        <w:t>Nicholas C Harvey</w:t>
      </w:r>
      <w:r w:rsidR="005F4CBA">
        <w:rPr>
          <w:rFonts w:ascii="Calibri" w:eastAsia="MS Mincho" w:hAnsi="Calibri" w:cs="Times New Roman"/>
          <w:sz w:val="24"/>
          <w:szCs w:val="24"/>
          <w:vertAlign w:val="superscript"/>
          <w:lang w:eastAsia="ja-JP"/>
        </w:rPr>
        <w:t>6</w:t>
      </w:r>
      <w:r w:rsidR="0041550C" w:rsidRPr="008C1BD7">
        <w:rPr>
          <w:rFonts w:ascii="Calibri" w:eastAsia="MS Mincho" w:hAnsi="Calibri" w:cs="Times New Roman"/>
          <w:sz w:val="24"/>
          <w:szCs w:val="24"/>
          <w:vertAlign w:val="superscript"/>
          <w:lang w:eastAsia="ja-JP"/>
        </w:rPr>
        <w:t>,</w:t>
      </w:r>
      <w:r w:rsidR="005F4CBA">
        <w:rPr>
          <w:rFonts w:ascii="Calibri" w:eastAsia="MS Mincho" w:hAnsi="Calibri" w:cs="Times New Roman"/>
          <w:sz w:val="24"/>
          <w:szCs w:val="24"/>
          <w:vertAlign w:val="superscript"/>
          <w:lang w:eastAsia="ja-JP"/>
        </w:rPr>
        <w:t>7</w:t>
      </w:r>
      <w:r w:rsidR="00DC5B5A" w:rsidRPr="008C1BD7">
        <w:rPr>
          <w:rFonts w:ascii="Calibri" w:eastAsia="MS Mincho" w:hAnsi="Calibri" w:cs="Times New Roman"/>
          <w:sz w:val="24"/>
          <w:szCs w:val="24"/>
          <w:lang w:eastAsia="ja-JP"/>
        </w:rPr>
        <w:t xml:space="preserve"> ∙ </w:t>
      </w:r>
      <w:r w:rsidR="0041550C" w:rsidRPr="008C1BD7">
        <w:rPr>
          <w:rFonts w:ascii="Calibri" w:eastAsia="MS Mincho" w:hAnsi="Calibri" w:cs="Times New Roman"/>
          <w:sz w:val="24"/>
          <w:szCs w:val="24"/>
          <w:lang w:eastAsia="ja-JP"/>
        </w:rPr>
        <w:t>Mattias Lorentzon</w:t>
      </w:r>
      <w:r w:rsidR="005F4CBA">
        <w:rPr>
          <w:rFonts w:ascii="Calibri" w:eastAsia="MS Mincho" w:hAnsi="Calibri" w:cs="Times New Roman"/>
          <w:sz w:val="24"/>
          <w:szCs w:val="24"/>
          <w:vertAlign w:val="superscript"/>
          <w:lang w:eastAsia="ja-JP"/>
        </w:rPr>
        <w:t>3</w:t>
      </w:r>
      <w:r w:rsidR="0041550C" w:rsidRPr="008C1BD7">
        <w:rPr>
          <w:rFonts w:ascii="Calibri" w:eastAsia="MS Mincho" w:hAnsi="Calibri" w:cs="Times New Roman"/>
          <w:sz w:val="24"/>
          <w:szCs w:val="24"/>
          <w:vertAlign w:val="superscript"/>
          <w:lang w:eastAsia="ja-JP"/>
        </w:rPr>
        <w:t>,</w:t>
      </w:r>
      <w:r w:rsidR="00873C52">
        <w:rPr>
          <w:rFonts w:ascii="Calibri" w:eastAsia="MS Mincho" w:hAnsi="Calibri" w:cs="Times New Roman"/>
          <w:sz w:val="24"/>
          <w:szCs w:val="24"/>
          <w:vertAlign w:val="superscript"/>
          <w:lang w:eastAsia="ja-JP"/>
        </w:rPr>
        <w:t>5</w:t>
      </w:r>
      <w:r w:rsidR="00DC5B5A" w:rsidRPr="008C1BD7">
        <w:rPr>
          <w:rFonts w:ascii="Calibri" w:eastAsia="MS Mincho" w:hAnsi="Calibri" w:cs="Times New Roman"/>
          <w:sz w:val="24"/>
          <w:szCs w:val="24"/>
          <w:vertAlign w:val="superscript"/>
          <w:lang w:eastAsia="ja-JP"/>
        </w:rPr>
        <w:t xml:space="preserve"> </w:t>
      </w:r>
      <w:r w:rsidR="00DC5B5A" w:rsidRPr="008C1BD7">
        <w:rPr>
          <w:rFonts w:ascii="Calibri" w:eastAsia="MS Mincho" w:hAnsi="Calibri" w:cs="Times New Roman"/>
          <w:sz w:val="24"/>
          <w:szCs w:val="24"/>
          <w:lang w:eastAsia="ja-JP"/>
        </w:rPr>
        <w:t xml:space="preserve">∙ </w:t>
      </w:r>
      <w:r w:rsidR="0041550C" w:rsidRPr="008C1BD7">
        <w:rPr>
          <w:rFonts w:ascii="Calibri" w:eastAsia="Calibri" w:hAnsi="Calibri" w:cs="Times New Roman"/>
          <w:sz w:val="24"/>
          <w:szCs w:val="24"/>
        </w:rPr>
        <w:t>Enwu Liu</w:t>
      </w:r>
      <w:r w:rsidR="00873C52">
        <w:rPr>
          <w:rFonts w:ascii="Calibri" w:eastAsia="Calibri" w:hAnsi="Calibri" w:cs="Times New Roman"/>
          <w:sz w:val="24"/>
          <w:szCs w:val="24"/>
          <w:vertAlign w:val="superscript"/>
        </w:rPr>
        <w:t>3</w:t>
      </w:r>
      <w:r w:rsidR="0041550C" w:rsidRPr="008C1BD7">
        <w:rPr>
          <w:rFonts w:ascii="Calibri" w:eastAsia="Calibri" w:hAnsi="Calibri" w:cs="Times New Roman"/>
          <w:sz w:val="24"/>
          <w:szCs w:val="24"/>
        </w:rPr>
        <w:t xml:space="preserve"> </w:t>
      </w:r>
      <w:bookmarkStart w:id="2" w:name="_Hlk22287265"/>
      <w:r w:rsidR="0041550C" w:rsidRPr="008C1BD7">
        <w:rPr>
          <w:rFonts w:ascii="Calibri" w:eastAsia="Calibri" w:hAnsi="Calibri" w:cs="Times New Roman"/>
          <w:sz w:val="24"/>
          <w:szCs w:val="24"/>
        </w:rPr>
        <w:t xml:space="preserve">∙ </w:t>
      </w:r>
      <w:bookmarkEnd w:id="2"/>
      <w:r w:rsidR="0041550C" w:rsidRPr="008C1BD7">
        <w:rPr>
          <w:rFonts w:ascii="Calibri" w:eastAsia="Calibri" w:hAnsi="Calibri" w:cs="Times New Roman"/>
          <w:sz w:val="24"/>
          <w:szCs w:val="24"/>
        </w:rPr>
        <w:t>Liesbeth Vandenput</w:t>
      </w:r>
      <w:r w:rsidR="00873C52">
        <w:rPr>
          <w:rFonts w:ascii="Calibri" w:eastAsia="Calibri" w:hAnsi="Calibri" w:cs="Times New Roman"/>
          <w:sz w:val="24"/>
          <w:szCs w:val="24"/>
          <w:vertAlign w:val="superscript"/>
        </w:rPr>
        <w:t>3</w:t>
      </w:r>
      <w:r w:rsidR="0041550C" w:rsidRPr="008C1BD7">
        <w:rPr>
          <w:rFonts w:ascii="Calibri" w:eastAsia="Calibri" w:hAnsi="Calibri" w:cs="Times New Roman"/>
          <w:sz w:val="24"/>
          <w:szCs w:val="24"/>
          <w:vertAlign w:val="superscript"/>
        </w:rPr>
        <w:t>,</w:t>
      </w:r>
      <w:r w:rsidR="002B4F1A">
        <w:rPr>
          <w:rFonts w:ascii="Calibri" w:eastAsia="Calibri" w:hAnsi="Calibri" w:cs="Times New Roman"/>
          <w:sz w:val="24"/>
          <w:szCs w:val="24"/>
          <w:vertAlign w:val="superscript"/>
        </w:rPr>
        <w:t>5</w:t>
      </w:r>
      <w:r w:rsidR="0041550C" w:rsidRPr="008C1BD7">
        <w:rPr>
          <w:rFonts w:ascii="Calibri" w:eastAsia="Calibri" w:hAnsi="Calibri" w:cs="Times New Roman"/>
          <w:sz w:val="24"/>
          <w:szCs w:val="24"/>
        </w:rPr>
        <w:t xml:space="preserve"> </w:t>
      </w:r>
      <w:r w:rsidR="00DC2EA6" w:rsidRPr="008C1BD7">
        <w:rPr>
          <w:rFonts w:ascii="Calibri" w:eastAsia="Calibri" w:hAnsi="Calibri" w:cs="Times New Roman"/>
          <w:sz w:val="24"/>
          <w:szCs w:val="24"/>
        </w:rPr>
        <w:t>∙ Eugene</w:t>
      </w:r>
      <w:r w:rsidR="0041550C" w:rsidRPr="008C1BD7">
        <w:rPr>
          <w:rFonts w:ascii="Calibri" w:eastAsia="MS Mincho" w:hAnsi="Calibri" w:cs="Times New Roman"/>
          <w:sz w:val="24"/>
          <w:szCs w:val="24"/>
          <w:lang w:eastAsia="ja-JP"/>
        </w:rPr>
        <w:t xml:space="preserve"> V McCloskey</w:t>
      </w:r>
      <w:r w:rsidR="002B4F1A">
        <w:rPr>
          <w:rFonts w:ascii="Calibri" w:eastAsia="MS Mincho" w:hAnsi="Calibri" w:cs="Times New Roman"/>
          <w:sz w:val="24"/>
          <w:szCs w:val="24"/>
          <w:vertAlign w:val="superscript"/>
          <w:lang w:eastAsia="ja-JP"/>
        </w:rPr>
        <w:t>4</w:t>
      </w:r>
      <w:r w:rsidR="0041550C" w:rsidRPr="008C1BD7">
        <w:rPr>
          <w:rFonts w:ascii="Calibri" w:eastAsia="MS Mincho" w:hAnsi="Calibri" w:cs="Times New Roman"/>
          <w:sz w:val="24"/>
          <w:szCs w:val="24"/>
          <w:vertAlign w:val="superscript"/>
          <w:lang w:eastAsia="ja-JP"/>
        </w:rPr>
        <w:t xml:space="preserve">, </w:t>
      </w:r>
      <w:r w:rsidR="00B228AB">
        <w:rPr>
          <w:rFonts w:ascii="Calibri" w:eastAsia="MS Mincho" w:hAnsi="Calibri" w:cs="Times New Roman"/>
          <w:sz w:val="24"/>
          <w:szCs w:val="24"/>
          <w:vertAlign w:val="superscript"/>
          <w:lang w:eastAsia="ja-JP"/>
        </w:rPr>
        <w:t>8</w:t>
      </w:r>
      <w:r w:rsidR="00B228AB" w:rsidRPr="00C91AA7">
        <w:rPr>
          <w:rFonts w:ascii="Calibri" w:eastAsia="MS Mincho" w:hAnsi="Calibri" w:cs="Times New Roman"/>
          <w:sz w:val="24"/>
          <w:szCs w:val="24"/>
          <w:lang w:eastAsia="ja-JP"/>
        </w:rPr>
        <w:t xml:space="preserve"> </w:t>
      </w:r>
      <w:r w:rsidR="00B228AB" w:rsidRPr="00EC3FDD">
        <w:rPr>
          <w:rFonts w:ascii="Calibri" w:eastAsia="MS Mincho" w:hAnsi="Calibri" w:cs="Times New Roman"/>
          <w:sz w:val="24"/>
          <w:szCs w:val="24"/>
          <w:lang w:eastAsia="ja-JP"/>
        </w:rPr>
        <w:t>∙</w:t>
      </w:r>
      <w:r w:rsidR="00EC3FDD" w:rsidRPr="00EC3FDD">
        <w:rPr>
          <w:rFonts w:ascii="Calibri" w:eastAsia="MS Mincho" w:hAnsi="Calibri" w:cs="Times New Roman"/>
          <w:sz w:val="24"/>
          <w:szCs w:val="24"/>
          <w:lang w:eastAsia="ja-JP"/>
        </w:rPr>
        <w:t xml:space="preserve"> </w:t>
      </w:r>
      <w:r w:rsidR="00C91AA7" w:rsidRPr="008C1BD7">
        <w:rPr>
          <w:rFonts w:ascii="Calibri" w:eastAsia="MS Mincho" w:hAnsi="Calibri" w:cs="Times New Roman"/>
          <w:sz w:val="24"/>
          <w:szCs w:val="24"/>
          <w:lang w:eastAsia="ja-JP"/>
        </w:rPr>
        <w:t>John A Kanis</w:t>
      </w:r>
      <w:r w:rsidR="006F21A5">
        <w:rPr>
          <w:rFonts w:ascii="Calibri" w:eastAsia="MS Mincho" w:hAnsi="Calibri" w:cs="Times New Roman"/>
          <w:sz w:val="24"/>
          <w:szCs w:val="24"/>
          <w:vertAlign w:val="superscript"/>
          <w:lang w:eastAsia="ja-JP"/>
        </w:rPr>
        <w:t>3</w:t>
      </w:r>
      <w:r w:rsidR="00C91AA7" w:rsidRPr="008C1BD7">
        <w:rPr>
          <w:rFonts w:ascii="Calibri" w:eastAsia="MS Mincho" w:hAnsi="Calibri" w:cs="Times New Roman"/>
          <w:sz w:val="24"/>
          <w:szCs w:val="24"/>
          <w:vertAlign w:val="superscript"/>
          <w:lang w:eastAsia="ja-JP"/>
        </w:rPr>
        <w:t>,</w:t>
      </w:r>
      <w:r w:rsidR="006F21A5">
        <w:rPr>
          <w:rFonts w:ascii="Calibri" w:eastAsia="MS Mincho" w:hAnsi="Calibri" w:cs="Times New Roman"/>
          <w:sz w:val="24"/>
          <w:szCs w:val="24"/>
          <w:vertAlign w:val="superscript"/>
          <w:lang w:eastAsia="ja-JP"/>
        </w:rPr>
        <w:t>4</w:t>
      </w:r>
    </w:p>
    <w:p w14:paraId="54669D5D" w14:textId="77777777" w:rsidR="009518A3" w:rsidRDefault="009518A3" w:rsidP="002617C6">
      <w:pPr>
        <w:spacing w:after="200" w:line="276" w:lineRule="auto"/>
        <w:ind w:left="709" w:hanging="142"/>
        <w:outlineLvl w:val="0"/>
        <w:rPr>
          <w:rFonts w:ascii="Calibri" w:eastAsia="Calibri" w:hAnsi="Calibri" w:cs="Calibri"/>
          <w:sz w:val="24"/>
          <w:szCs w:val="24"/>
          <w:vertAlign w:val="superscript"/>
        </w:rPr>
      </w:pPr>
    </w:p>
    <w:p w14:paraId="50784B6B" w14:textId="4FFDBDC9" w:rsidR="003F4567" w:rsidRPr="009A7A36" w:rsidRDefault="002943ED" w:rsidP="002617C6">
      <w:pPr>
        <w:spacing w:after="200" w:line="276" w:lineRule="auto"/>
        <w:ind w:left="709" w:hanging="142"/>
        <w:outlineLvl w:val="0"/>
        <w:rPr>
          <w:rFonts w:ascii="Calibri" w:eastAsia="Calibri" w:hAnsi="Calibri" w:cs="Calibri"/>
          <w:sz w:val="24"/>
          <w:szCs w:val="24"/>
          <w:lang w:val="fr-FR"/>
        </w:rPr>
      </w:pPr>
      <w:r w:rsidRPr="00B228AB">
        <w:rPr>
          <w:rFonts w:ascii="Calibri" w:eastAsia="Calibri" w:hAnsi="Calibri" w:cs="Calibri"/>
          <w:sz w:val="24"/>
          <w:szCs w:val="24"/>
          <w:vertAlign w:val="superscript"/>
        </w:rPr>
        <w:t>1</w:t>
      </w:r>
      <w:r w:rsidR="00B228AB">
        <w:rPr>
          <w:rFonts w:ascii="Calibri" w:eastAsia="Calibri" w:hAnsi="Calibri" w:cs="Calibri"/>
          <w:sz w:val="24"/>
          <w:szCs w:val="24"/>
          <w:vertAlign w:val="superscript"/>
        </w:rPr>
        <w:t xml:space="preserve"> </w:t>
      </w:r>
      <w:r w:rsidR="003F4567" w:rsidRPr="003F4567">
        <w:rPr>
          <w:rFonts w:ascii="Calibri" w:eastAsia="Calibri" w:hAnsi="Calibri" w:cs="Calibri"/>
          <w:sz w:val="24"/>
          <w:szCs w:val="24"/>
        </w:rPr>
        <w:t>AECE Research Group</w:t>
      </w:r>
      <w:proofErr w:type="gramStart"/>
      <w:r w:rsidR="003F4567" w:rsidRPr="003F4567">
        <w:rPr>
          <w:rFonts w:ascii="Calibri" w:eastAsia="Calibri" w:hAnsi="Calibri" w:cs="Calibri"/>
          <w:sz w:val="24"/>
          <w:szCs w:val="24"/>
        </w:rPr>
        <w:t xml:space="preserve">. </w:t>
      </w:r>
      <w:proofErr w:type="gramEnd"/>
      <w:r w:rsidR="003F4567" w:rsidRPr="003F4567">
        <w:rPr>
          <w:rFonts w:ascii="Calibri" w:eastAsia="Calibri" w:hAnsi="Calibri" w:cs="Calibri"/>
          <w:sz w:val="24"/>
          <w:szCs w:val="24"/>
        </w:rPr>
        <w:t>The Association of Clinical Endocrinologists of Ecuador</w:t>
      </w:r>
      <w:proofErr w:type="gramStart"/>
      <w:r w:rsidR="003F4567" w:rsidRPr="003F4567">
        <w:rPr>
          <w:rFonts w:ascii="Calibri" w:eastAsia="Calibri" w:hAnsi="Calibri" w:cs="Calibri"/>
          <w:sz w:val="24"/>
          <w:szCs w:val="24"/>
        </w:rPr>
        <w:t xml:space="preserve">. </w:t>
      </w:r>
      <w:proofErr w:type="gramEnd"/>
      <w:r w:rsidR="003F4567" w:rsidRPr="009A7A36">
        <w:rPr>
          <w:rFonts w:ascii="Calibri" w:eastAsia="Calibri" w:hAnsi="Calibri" w:cs="Calibri"/>
          <w:sz w:val="24"/>
          <w:szCs w:val="24"/>
          <w:lang w:val="fr-FR"/>
        </w:rPr>
        <w:t xml:space="preserve">Guayaquil, </w:t>
      </w:r>
      <w:proofErr w:type="spellStart"/>
      <w:r w:rsidR="003F4567" w:rsidRPr="009A7A36">
        <w:rPr>
          <w:rFonts w:ascii="Calibri" w:eastAsia="Calibri" w:hAnsi="Calibri" w:cs="Calibri"/>
          <w:sz w:val="24"/>
          <w:szCs w:val="24"/>
          <w:lang w:val="fr-FR"/>
        </w:rPr>
        <w:t>Ecuador</w:t>
      </w:r>
      <w:proofErr w:type="spellEnd"/>
      <w:r w:rsidR="003F4567" w:rsidRPr="009A7A36">
        <w:rPr>
          <w:rFonts w:ascii="Calibri" w:eastAsia="Calibri" w:hAnsi="Calibri" w:cs="Calibri"/>
          <w:sz w:val="24"/>
          <w:szCs w:val="24"/>
          <w:lang w:val="fr-FR"/>
        </w:rPr>
        <w:t xml:space="preserve">. </w:t>
      </w:r>
    </w:p>
    <w:p w14:paraId="34F62E9C" w14:textId="30646A2C" w:rsidR="00E7546A" w:rsidRPr="00E40D58" w:rsidRDefault="00E40D58" w:rsidP="002617C6">
      <w:pPr>
        <w:spacing w:after="200" w:line="276" w:lineRule="auto"/>
        <w:ind w:left="709" w:hanging="142"/>
        <w:outlineLvl w:val="0"/>
        <w:rPr>
          <w:rFonts w:ascii="Calibri" w:eastAsia="Calibri" w:hAnsi="Calibri" w:cs="Calibri"/>
          <w:sz w:val="24"/>
          <w:szCs w:val="24"/>
          <w:lang w:val="fr-FR"/>
        </w:rPr>
      </w:pPr>
      <w:r w:rsidRPr="00B228AB">
        <w:rPr>
          <w:rFonts w:ascii="Calibri" w:eastAsia="Calibri" w:hAnsi="Calibri" w:cs="Calibri"/>
          <w:sz w:val="24"/>
          <w:szCs w:val="24"/>
          <w:vertAlign w:val="superscript"/>
          <w:lang w:val="fr-FR"/>
        </w:rPr>
        <w:t>2</w:t>
      </w:r>
      <w:r w:rsidR="00B228AB">
        <w:rPr>
          <w:rFonts w:ascii="Calibri" w:eastAsia="Calibri" w:hAnsi="Calibri" w:cs="Calibri"/>
          <w:sz w:val="24"/>
          <w:szCs w:val="24"/>
          <w:lang w:val="fr-FR"/>
        </w:rPr>
        <w:t xml:space="preserve"> </w:t>
      </w:r>
      <w:r w:rsidR="00E7546A" w:rsidRPr="00E7546A">
        <w:rPr>
          <w:rFonts w:ascii="Calibri" w:eastAsia="Calibri" w:hAnsi="Calibri" w:cs="Calibri"/>
          <w:sz w:val="24"/>
          <w:szCs w:val="24"/>
          <w:lang w:val="fr-FR"/>
        </w:rPr>
        <w:t xml:space="preserve">Hospital </w:t>
      </w:r>
      <w:proofErr w:type="spellStart"/>
      <w:r w:rsidR="00E7546A" w:rsidRPr="00E7546A">
        <w:rPr>
          <w:rFonts w:ascii="Calibri" w:eastAsia="Calibri" w:hAnsi="Calibri" w:cs="Calibri"/>
          <w:sz w:val="24"/>
          <w:szCs w:val="24"/>
          <w:lang w:val="fr-FR"/>
        </w:rPr>
        <w:t>Docente</w:t>
      </w:r>
      <w:proofErr w:type="spellEnd"/>
      <w:r w:rsidR="00E7546A" w:rsidRPr="00E7546A">
        <w:rPr>
          <w:rFonts w:ascii="Calibri" w:eastAsia="Calibri" w:hAnsi="Calibri" w:cs="Calibri"/>
          <w:sz w:val="24"/>
          <w:szCs w:val="24"/>
          <w:lang w:val="fr-FR"/>
        </w:rPr>
        <w:t xml:space="preserve"> de la </w:t>
      </w:r>
      <w:proofErr w:type="spellStart"/>
      <w:r w:rsidR="00E7546A" w:rsidRPr="00E7546A">
        <w:rPr>
          <w:rFonts w:ascii="Calibri" w:eastAsia="Calibri" w:hAnsi="Calibri" w:cs="Calibri"/>
          <w:sz w:val="24"/>
          <w:szCs w:val="24"/>
          <w:lang w:val="fr-FR"/>
        </w:rPr>
        <w:t>Policía</w:t>
      </w:r>
      <w:proofErr w:type="spellEnd"/>
      <w:r w:rsidR="00E7546A" w:rsidRPr="00E7546A">
        <w:rPr>
          <w:rFonts w:ascii="Calibri" w:eastAsia="Calibri" w:hAnsi="Calibri" w:cs="Calibri"/>
          <w:sz w:val="24"/>
          <w:szCs w:val="24"/>
          <w:lang w:val="fr-FR"/>
        </w:rPr>
        <w:t xml:space="preserve"> </w:t>
      </w:r>
      <w:proofErr w:type="spellStart"/>
      <w:r w:rsidR="00E7546A" w:rsidRPr="00E7546A">
        <w:rPr>
          <w:rFonts w:ascii="Calibri" w:eastAsia="Calibri" w:hAnsi="Calibri" w:cs="Calibri"/>
          <w:sz w:val="24"/>
          <w:szCs w:val="24"/>
          <w:lang w:val="fr-FR"/>
        </w:rPr>
        <w:t>Nacional</w:t>
      </w:r>
      <w:proofErr w:type="spellEnd"/>
      <w:r w:rsidR="00E7546A" w:rsidRPr="00E7546A">
        <w:rPr>
          <w:rFonts w:ascii="Calibri" w:eastAsia="Calibri" w:hAnsi="Calibri" w:cs="Calibri"/>
          <w:sz w:val="24"/>
          <w:szCs w:val="24"/>
          <w:lang w:val="fr-FR"/>
        </w:rPr>
        <w:t xml:space="preserve"> Guayaquil #2. </w:t>
      </w:r>
      <w:r w:rsidR="00E7546A" w:rsidRPr="00E40D58">
        <w:rPr>
          <w:rFonts w:ascii="Calibri" w:eastAsia="Calibri" w:hAnsi="Calibri" w:cs="Calibri"/>
          <w:sz w:val="24"/>
          <w:szCs w:val="24"/>
          <w:lang w:val="fr-FR"/>
        </w:rPr>
        <w:t xml:space="preserve">Guayaquil, </w:t>
      </w:r>
      <w:proofErr w:type="spellStart"/>
      <w:r w:rsidR="00E7546A" w:rsidRPr="00E40D58">
        <w:rPr>
          <w:rFonts w:ascii="Calibri" w:eastAsia="Calibri" w:hAnsi="Calibri" w:cs="Calibri"/>
          <w:sz w:val="24"/>
          <w:szCs w:val="24"/>
          <w:lang w:val="fr-FR"/>
        </w:rPr>
        <w:t>Ecuador</w:t>
      </w:r>
      <w:proofErr w:type="spellEnd"/>
    </w:p>
    <w:p w14:paraId="32AE5FA4" w14:textId="1EC317B2" w:rsidR="0041550C" w:rsidRPr="008C1BD7" w:rsidRDefault="005511E2" w:rsidP="002617C6">
      <w:pPr>
        <w:spacing w:after="240" w:line="240" w:lineRule="auto"/>
        <w:ind w:left="709" w:hanging="142"/>
        <w:rPr>
          <w:rFonts w:ascii="Calibri" w:eastAsia="Calibri" w:hAnsi="Calibri" w:cs="Times New Roman"/>
          <w:sz w:val="24"/>
          <w:szCs w:val="24"/>
          <w:lang w:val="en-AU"/>
        </w:rPr>
      </w:pPr>
      <w:r>
        <w:rPr>
          <w:rFonts w:ascii="Calibri" w:eastAsia="Times New Roman" w:hAnsi="Calibri" w:cs="Times New Roman"/>
          <w:sz w:val="24"/>
          <w:szCs w:val="20"/>
          <w:vertAlign w:val="superscript"/>
          <w:lang w:eastAsia="fr-FR"/>
        </w:rPr>
        <w:t>3</w:t>
      </w:r>
      <w:r w:rsidR="0041550C" w:rsidRPr="008C1BD7">
        <w:rPr>
          <w:rFonts w:ascii="Calibri" w:eastAsia="Times New Roman" w:hAnsi="Calibri" w:cs="Times New Roman"/>
          <w:sz w:val="24"/>
          <w:szCs w:val="20"/>
          <w:vertAlign w:val="superscript"/>
          <w:lang w:eastAsia="fr-FR"/>
        </w:rPr>
        <w:t xml:space="preserve"> </w:t>
      </w:r>
      <w:r w:rsidR="0041550C" w:rsidRPr="008C1BD7">
        <w:rPr>
          <w:rFonts w:ascii="Calibri" w:eastAsia="Calibri" w:hAnsi="Calibri" w:cs="Times New Roman"/>
          <w:sz w:val="24"/>
          <w:szCs w:val="24"/>
          <w:lang w:val="en-AU"/>
        </w:rPr>
        <w:t>Mary McKillop Institute for Health Research, Australian Catholic University, Melbourne, Australia</w:t>
      </w:r>
    </w:p>
    <w:p w14:paraId="6697ED31" w14:textId="2A889194" w:rsidR="0041550C" w:rsidRPr="008C1BD7" w:rsidRDefault="005511E2" w:rsidP="002617C6">
      <w:pPr>
        <w:spacing w:after="240" w:line="240" w:lineRule="auto"/>
        <w:ind w:left="709" w:hanging="142"/>
        <w:rPr>
          <w:rFonts w:ascii="Calibri" w:eastAsia="MS Mincho" w:hAnsi="Calibri" w:cs="Times New Roman"/>
          <w:sz w:val="24"/>
          <w:szCs w:val="24"/>
          <w:lang w:eastAsia="ja-JP"/>
        </w:rPr>
      </w:pPr>
      <w:r>
        <w:rPr>
          <w:rFonts w:ascii="Calibri" w:eastAsia="MS Mincho" w:hAnsi="Calibri" w:cs="Times New Roman"/>
          <w:sz w:val="24"/>
          <w:szCs w:val="24"/>
          <w:vertAlign w:val="superscript"/>
          <w:lang w:eastAsia="ja-JP"/>
        </w:rPr>
        <w:t>4</w:t>
      </w:r>
      <w:r w:rsidR="0041550C" w:rsidRPr="008C1BD7">
        <w:rPr>
          <w:rFonts w:ascii="Calibri" w:eastAsia="MS Mincho" w:hAnsi="Calibri" w:cs="Times New Roman"/>
          <w:sz w:val="24"/>
          <w:szCs w:val="24"/>
          <w:lang w:eastAsia="ja-JP"/>
        </w:rPr>
        <w:t xml:space="preserve"> Centre for Metabolic Bone Diseases, University of Sheffield, Sheffield, UK</w:t>
      </w:r>
    </w:p>
    <w:p w14:paraId="20F2F55B" w14:textId="16B1B2FC" w:rsidR="00BA451F" w:rsidRPr="008C1BD7" w:rsidRDefault="009C3D76" w:rsidP="002617C6">
      <w:pPr>
        <w:spacing w:after="240" w:line="240" w:lineRule="auto"/>
        <w:ind w:left="709" w:hanging="142"/>
        <w:rPr>
          <w:rFonts w:ascii="Calibri" w:eastAsia="MS Mincho" w:hAnsi="Calibri" w:cs="Times New Roman"/>
          <w:sz w:val="24"/>
          <w:szCs w:val="24"/>
          <w:lang w:val="en-US" w:eastAsia="ja-JP"/>
        </w:rPr>
      </w:pPr>
      <w:r>
        <w:rPr>
          <w:rFonts w:ascii="Calibri" w:eastAsia="MS Mincho" w:hAnsi="Calibri" w:cs="Times New Roman"/>
          <w:sz w:val="24"/>
          <w:szCs w:val="24"/>
          <w:vertAlign w:val="superscript"/>
          <w:lang w:val="en-US" w:eastAsia="ja-JP"/>
        </w:rPr>
        <w:t>5</w:t>
      </w:r>
      <w:r w:rsidR="00BA451F" w:rsidRPr="008C1BD7">
        <w:rPr>
          <w:rFonts w:ascii="Calibri" w:eastAsia="MS Mincho" w:hAnsi="Calibri" w:cs="Times New Roman"/>
          <w:sz w:val="24"/>
          <w:szCs w:val="24"/>
          <w:vertAlign w:val="superscript"/>
          <w:lang w:val="en-US" w:eastAsia="ja-JP"/>
        </w:rPr>
        <w:t xml:space="preserve"> </w:t>
      </w:r>
      <w:proofErr w:type="spellStart"/>
      <w:r w:rsidR="00BA451F" w:rsidRPr="008C1BD7">
        <w:rPr>
          <w:rFonts w:ascii="Calibri" w:eastAsia="MS Mincho" w:hAnsi="Calibri" w:cs="Times New Roman"/>
          <w:sz w:val="24"/>
          <w:szCs w:val="24"/>
          <w:lang w:val="en-US" w:eastAsia="ja-JP"/>
        </w:rPr>
        <w:t>Sahlgrenska</w:t>
      </w:r>
      <w:proofErr w:type="spellEnd"/>
      <w:r w:rsidR="00BA451F" w:rsidRPr="008C1BD7">
        <w:rPr>
          <w:rFonts w:ascii="Calibri" w:eastAsia="MS Mincho" w:hAnsi="Calibri" w:cs="Times New Roman"/>
          <w:sz w:val="24"/>
          <w:szCs w:val="24"/>
          <w:lang w:val="en-US" w:eastAsia="ja-JP"/>
        </w:rPr>
        <w:t xml:space="preserve"> Osteoporosis Centre, Institute of Medicine, University of Gothenburg, </w:t>
      </w:r>
      <w:r w:rsidR="005E2193">
        <w:rPr>
          <w:rFonts w:ascii="Calibri" w:eastAsia="MS Mincho" w:hAnsi="Calibri" w:cs="Times New Roman"/>
          <w:sz w:val="24"/>
          <w:szCs w:val="24"/>
          <w:lang w:val="en-US" w:eastAsia="ja-JP"/>
        </w:rPr>
        <w:t xml:space="preserve">Gothenburg, </w:t>
      </w:r>
      <w:r w:rsidR="00BA451F" w:rsidRPr="008C1BD7">
        <w:rPr>
          <w:rFonts w:ascii="Calibri" w:eastAsia="MS Mincho" w:hAnsi="Calibri" w:cs="Times New Roman"/>
          <w:sz w:val="24"/>
          <w:szCs w:val="24"/>
          <w:lang w:val="en-US" w:eastAsia="ja-JP"/>
        </w:rPr>
        <w:t>Sweden</w:t>
      </w:r>
    </w:p>
    <w:p w14:paraId="6D73701A" w14:textId="03365252" w:rsidR="0041550C" w:rsidRPr="008C1BD7" w:rsidRDefault="009C3D76" w:rsidP="002617C6">
      <w:pPr>
        <w:spacing w:after="240" w:line="240" w:lineRule="auto"/>
        <w:ind w:left="709" w:hanging="142"/>
        <w:rPr>
          <w:rFonts w:ascii="Calibri" w:eastAsia="MS Mincho" w:hAnsi="Calibri" w:cs="Times New Roman"/>
          <w:sz w:val="24"/>
          <w:szCs w:val="24"/>
          <w:lang w:eastAsia="ja-JP"/>
        </w:rPr>
      </w:pPr>
      <w:r>
        <w:rPr>
          <w:rFonts w:ascii="Calibri" w:eastAsia="MS Mincho" w:hAnsi="Calibri" w:cs="Times New Roman"/>
          <w:sz w:val="24"/>
          <w:szCs w:val="24"/>
          <w:vertAlign w:val="superscript"/>
          <w:lang w:eastAsia="ja-JP"/>
        </w:rPr>
        <w:t>6</w:t>
      </w:r>
      <w:r w:rsidR="0041550C" w:rsidRPr="008C1BD7">
        <w:rPr>
          <w:rFonts w:ascii="Calibri" w:eastAsia="MS Mincho" w:hAnsi="Calibri" w:cs="Times New Roman"/>
          <w:sz w:val="24"/>
          <w:szCs w:val="24"/>
          <w:vertAlign w:val="superscript"/>
          <w:lang w:eastAsia="ja-JP"/>
        </w:rPr>
        <w:t xml:space="preserve"> </w:t>
      </w:r>
      <w:r w:rsidR="0041550C" w:rsidRPr="008C1BD7">
        <w:rPr>
          <w:rFonts w:ascii="Calibri" w:eastAsia="MS Mincho" w:hAnsi="Calibri" w:cs="Times New Roman"/>
          <w:sz w:val="24"/>
          <w:szCs w:val="24"/>
          <w:lang w:eastAsia="ja-JP"/>
        </w:rPr>
        <w:t xml:space="preserve">MRC </w:t>
      </w:r>
      <w:proofErr w:type="spellStart"/>
      <w:r w:rsidR="0041550C" w:rsidRPr="008C1BD7">
        <w:rPr>
          <w:rFonts w:ascii="Calibri" w:eastAsia="MS Mincho" w:hAnsi="Calibri" w:cs="Times New Roman"/>
          <w:sz w:val="24"/>
          <w:szCs w:val="24"/>
          <w:lang w:eastAsia="ja-JP"/>
        </w:rPr>
        <w:t>Lifecourse</w:t>
      </w:r>
      <w:proofErr w:type="spellEnd"/>
      <w:r w:rsidR="0041550C" w:rsidRPr="008C1BD7">
        <w:rPr>
          <w:rFonts w:ascii="Calibri" w:eastAsia="MS Mincho" w:hAnsi="Calibri" w:cs="Times New Roman"/>
          <w:sz w:val="24"/>
          <w:szCs w:val="24"/>
          <w:lang w:eastAsia="ja-JP"/>
        </w:rPr>
        <w:t xml:space="preserve"> Epidemiology</w:t>
      </w:r>
      <w:r w:rsidR="00942EB5">
        <w:rPr>
          <w:rFonts w:ascii="Calibri" w:eastAsia="MS Mincho" w:hAnsi="Calibri" w:cs="Times New Roman"/>
          <w:sz w:val="24"/>
          <w:szCs w:val="24"/>
          <w:lang w:eastAsia="ja-JP"/>
        </w:rPr>
        <w:t xml:space="preserve"> Centre</w:t>
      </w:r>
      <w:r w:rsidR="0041550C" w:rsidRPr="008C1BD7">
        <w:rPr>
          <w:rFonts w:ascii="Calibri" w:eastAsia="MS Mincho" w:hAnsi="Calibri" w:cs="Times New Roman"/>
          <w:sz w:val="24"/>
          <w:szCs w:val="24"/>
          <w:lang w:eastAsia="ja-JP"/>
        </w:rPr>
        <w:t xml:space="preserve">, University of Southampton, Southampton, UK </w:t>
      </w:r>
    </w:p>
    <w:p w14:paraId="00A08697" w14:textId="37EF07B7" w:rsidR="0041550C" w:rsidRPr="008C1BD7" w:rsidRDefault="005F4CBA" w:rsidP="002617C6">
      <w:pPr>
        <w:spacing w:after="240" w:line="240" w:lineRule="auto"/>
        <w:ind w:left="709" w:hanging="142"/>
        <w:rPr>
          <w:rFonts w:ascii="Calibri" w:eastAsia="MS Mincho" w:hAnsi="Calibri" w:cs="Times New Roman"/>
          <w:sz w:val="24"/>
          <w:szCs w:val="24"/>
          <w:lang w:eastAsia="ja-JP"/>
        </w:rPr>
      </w:pPr>
      <w:r>
        <w:rPr>
          <w:rFonts w:ascii="Calibri" w:eastAsia="MS Mincho" w:hAnsi="Calibri" w:cs="Times New Roman"/>
          <w:sz w:val="24"/>
          <w:szCs w:val="24"/>
          <w:vertAlign w:val="superscript"/>
          <w:lang w:eastAsia="ja-JP"/>
        </w:rPr>
        <w:t>7</w:t>
      </w:r>
      <w:r w:rsidR="0041550C" w:rsidRPr="008C1BD7">
        <w:rPr>
          <w:rFonts w:ascii="Calibri" w:eastAsia="MS Mincho" w:hAnsi="Calibri" w:cs="Times New Roman"/>
          <w:sz w:val="24"/>
          <w:szCs w:val="24"/>
          <w:vertAlign w:val="superscript"/>
          <w:lang w:eastAsia="ja-JP"/>
        </w:rPr>
        <w:t xml:space="preserve"> </w:t>
      </w:r>
      <w:r w:rsidR="0041550C" w:rsidRPr="008C1BD7">
        <w:rPr>
          <w:rFonts w:ascii="Calibri" w:eastAsia="MS Mincho" w:hAnsi="Calibri" w:cs="Times New Roman"/>
          <w:sz w:val="24"/>
          <w:szCs w:val="24"/>
          <w:lang w:eastAsia="ja-JP"/>
        </w:rPr>
        <w:t>NIHR Southampton Biomedical Research Centre, University of Southampton and University Hospital Southampton NHS Foundation Trust, Southampton, UK</w:t>
      </w:r>
    </w:p>
    <w:p w14:paraId="641A4359" w14:textId="2843D9D0" w:rsidR="0041550C" w:rsidRPr="008C1BD7" w:rsidRDefault="0049038C" w:rsidP="002617C6">
      <w:pPr>
        <w:spacing w:after="240" w:line="240" w:lineRule="auto"/>
        <w:ind w:left="709" w:hanging="142"/>
        <w:rPr>
          <w:rFonts w:ascii="Calibri" w:eastAsia="MS Mincho" w:hAnsi="Calibri" w:cs="Times New Roman"/>
          <w:bCs/>
          <w:sz w:val="24"/>
          <w:szCs w:val="24"/>
          <w:lang w:val="en-US" w:eastAsia="ja-JP"/>
        </w:rPr>
      </w:pPr>
      <w:r>
        <w:rPr>
          <w:rFonts w:ascii="Calibri" w:eastAsia="MS Mincho" w:hAnsi="Calibri" w:cs="Times New Roman"/>
          <w:bCs/>
          <w:sz w:val="24"/>
          <w:szCs w:val="24"/>
          <w:vertAlign w:val="superscript"/>
          <w:lang w:val="en-US" w:eastAsia="ja-JP"/>
        </w:rPr>
        <w:t>8</w:t>
      </w:r>
      <w:r w:rsidR="0041550C" w:rsidRPr="008C1BD7">
        <w:rPr>
          <w:rFonts w:ascii="Calibri" w:eastAsia="MS Mincho" w:hAnsi="Calibri" w:cs="Times New Roman"/>
          <w:bCs/>
          <w:sz w:val="24"/>
          <w:szCs w:val="24"/>
          <w:vertAlign w:val="superscript"/>
          <w:lang w:val="en-US" w:eastAsia="ja-JP"/>
        </w:rPr>
        <w:t xml:space="preserve"> </w:t>
      </w:r>
      <w:proofErr w:type="spellStart"/>
      <w:r w:rsidR="0041550C" w:rsidRPr="008C1BD7">
        <w:rPr>
          <w:rFonts w:ascii="Calibri" w:eastAsia="MS Mincho" w:hAnsi="Calibri" w:cs="Times New Roman"/>
          <w:bCs/>
          <w:sz w:val="24"/>
          <w:szCs w:val="24"/>
          <w:lang w:val="en-US" w:eastAsia="ja-JP"/>
        </w:rPr>
        <w:t>Mellanby</w:t>
      </w:r>
      <w:proofErr w:type="spellEnd"/>
      <w:r w:rsidR="0041550C" w:rsidRPr="008C1BD7">
        <w:rPr>
          <w:rFonts w:ascii="Calibri" w:eastAsia="MS Mincho" w:hAnsi="Calibri" w:cs="Times New Roman"/>
          <w:bCs/>
          <w:sz w:val="24"/>
          <w:szCs w:val="24"/>
          <w:lang w:val="en-US" w:eastAsia="ja-JP"/>
        </w:rPr>
        <w:t xml:space="preserve"> Centre for </w:t>
      </w:r>
      <w:r w:rsidR="00BD4886">
        <w:rPr>
          <w:rFonts w:ascii="Calibri" w:eastAsia="MS Mincho" w:hAnsi="Calibri" w:cs="Times New Roman"/>
          <w:bCs/>
          <w:sz w:val="24"/>
          <w:szCs w:val="24"/>
          <w:lang w:val="en-US" w:eastAsia="ja-JP"/>
        </w:rPr>
        <w:t>Musculoskeletal R</w:t>
      </w:r>
      <w:r w:rsidR="0041550C" w:rsidRPr="008C1BD7">
        <w:rPr>
          <w:rFonts w:ascii="Calibri" w:eastAsia="MS Mincho" w:hAnsi="Calibri" w:cs="Times New Roman"/>
          <w:bCs/>
          <w:sz w:val="24"/>
          <w:szCs w:val="24"/>
          <w:lang w:val="en-US" w:eastAsia="ja-JP"/>
        </w:rPr>
        <w:t>esearch, Department of Oncology and Metabolism, University of Sheffield, Sheffield, UK</w:t>
      </w:r>
    </w:p>
    <w:p w14:paraId="598AF7B4" w14:textId="77777777" w:rsidR="00184019" w:rsidRPr="008C1BD7" w:rsidRDefault="00184019" w:rsidP="00923A66">
      <w:pPr>
        <w:spacing w:after="240" w:line="240" w:lineRule="auto"/>
        <w:ind w:left="567" w:hanging="142"/>
        <w:rPr>
          <w:rFonts w:ascii="Calibri" w:eastAsia="MS Mincho" w:hAnsi="Calibri" w:cs="Times New Roman"/>
          <w:sz w:val="24"/>
          <w:szCs w:val="24"/>
          <w:lang w:val="en-US" w:eastAsia="ja-JP"/>
        </w:rPr>
      </w:pPr>
    </w:p>
    <w:p w14:paraId="469DC03E" w14:textId="77777777" w:rsidR="00583C06" w:rsidRPr="008C1BD7" w:rsidRDefault="00583C06" w:rsidP="00923A66">
      <w:pPr>
        <w:spacing w:after="0" w:line="240" w:lineRule="auto"/>
        <w:ind w:left="567"/>
        <w:rPr>
          <w:rFonts w:ascii="Calibri" w:eastAsia="MS Mincho" w:hAnsi="Calibri" w:cs="Times New Roman"/>
          <w:sz w:val="24"/>
          <w:szCs w:val="24"/>
          <w:lang w:eastAsia="ja-JP"/>
        </w:rPr>
      </w:pPr>
    </w:p>
    <w:p w14:paraId="2CE4F812" w14:textId="54D44AE7" w:rsidR="00583C06" w:rsidRPr="008C1BD7" w:rsidRDefault="00583C06" w:rsidP="00923A66">
      <w:pPr>
        <w:ind w:left="567"/>
        <w:rPr>
          <w:rFonts w:ascii="Calibri" w:eastAsia="Calibri" w:hAnsi="Calibri" w:cs="Times New Roman"/>
          <w:sz w:val="24"/>
          <w:szCs w:val="24"/>
          <w:u w:val="single"/>
        </w:rPr>
      </w:pPr>
      <w:r w:rsidRPr="008C1BD7">
        <w:rPr>
          <w:rFonts w:ascii="Calibri" w:eastAsia="Calibri" w:hAnsi="Calibri" w:cs="Times New Roman"/>
          <w:sz w:val="24"/>
          <w:szCs w:val="24"/>
        </w:rPr>
        <w:t xml:space="preserve">Correspondence to: Prof John A Kanis, Centre for Metabolic Bone Diseases, University of Sheffield Medical School, Beech Hill Road, Sheffield S10 2RX, UK; Tel: +44 114 285 1109; Fax: +44 114 285 1813; </w:t>
      </w:r>
      <w:hyperlink r:id="rId8" w:history="1">
        <w:r w:rsidRPr="008C1BD7">
          <w:rPr>
            <w:rFonts w:ascii="Calibri" w:eastAsia="Calibri" w:hAnsi="Calibri" w:cs="Times New Roman"/>
            <w:sz w:val="24"/>
            <w:szCs w:val="24"/>
            <w:u w:val="single"/>
          </w:rPr>
          <w:t>w.j.pontefract@shef.ac.uk</w:t>
        </w:r>
      </w:hyperlink>
    </w:p>
    <w:p w14:paraId="6F4A6BE3" w14:textId="1519D9DB" w:rsidR="00263E0A" w:rsidRPr="008C1BD7" w:rsidRDefault="00263E0A" w:rsidP="00923A66">
      <w:pPr>
        <w:ind w:left="567"/>
        <w:rPr>
          <w:rFonts w:ascii="Calibri" w:eastAsia="Calibri" w:hAnsi="Calibri" w:cs="Times New Roman"/>
          <w:sz w:val="24"/>
          <w:szCs w:val="24"/>
          <w:u w:val="single"/>
        </w:rPr>
      </w:pPr>
    </w:p>
    <w:p w14:paraId="1BC759BD" w14:textId="49CA5D75" w:rsidR="00263E0A" w:rsidRPr="008C1BD7" w:rsidRDefault="00263E0A" w:rsidP="00923A66">
      <w:pPr>
        <w:ind w:left="567"/>
        <w:rPr>
          <w:rFonts w:ascii="Calibri" w:eastAsia="Calibri" w:hAnsi="Calibri" w:cs="Times New Roman"/>
          <w:sz w:val="24"/>
          <w:szCs w:val="24"/>
        </w:rPr>
      </w:pPr>
      <w:r w:rsidRPr="008C1BD7">
        <w:rPr>
          <w:rFonts w:ascii="Calibri" w:eastAsia="Calibri" w:hAnsi="Calibri" w:cs="Times New Roman"/>
          <w:sz w:val="24"/>
          <w:szCs w:val="24"/>
        </w:rPr>
        <w:br w:type="page"/>
      </w:r>
    </w:p>
    <w:p w14:paraId="73703B60" w14:textId="77777777" w:rsidR="00263E0A" w:rsidRPr="00FE7B32" w:rsidRDefault="00263E0A" w:rsidP="00101D5A">
      <w:pPr>
        <w:rPr>
          <w:rFonts w:ascii="Calibri" w:eastAsia="Calibri" w:hAnsi="Calibri" w:cs="Times New Roman"/>
          <w:color w:val="FF0000"/>
          <w:sz w:val="24"/>
          <w:szCs w:val="24"/>
        </w:rPr>
      </w:pPr>
    </w:p>
    <w:p w14:paraId="736CF9DE" w14:textId="260B0671" w:rsidR="00ED7D53" w:rsidRPr="0054729E" w:rsidRDefault="00ED7D53" w:rsidP="00ED7D53">
      <w:pPr>
        <w:spacing w:after="0" w:line="240" w:lineRule="auto"/>
        <w:ind w:left="567"/>
        <w:rPr>
          <w:rFonts w:ascii="Calibri" w:eastAsia="Calibri" w:hAnsi="Calibri" w:cs="Times New Roman"/>
          <w:b/>
          <w:bCs/>
          <w:sz w:val="24"/>
          <w:szCs w:val="24"/>
        </w:rPr>
      </w:pPr>
      <w:r w:rsidRPr="0054729E">
        <w:rPr>
          <w:rFonts w:ascii="Calibri" w:eastAsia="Calibri" w:hAnsi="Calibri" w:cs="Times New Roman"/>
          <w:b/>
          <w:bCs/>
          <w:sz w:val="24"/>
          <w:szCs w:val="24"/>
        </w:rPr>
        <w:t>Summary</w:t>
      </w:r>
    </w:p>
    <w:p w14:paraId="36BAA52C" w14:textId="46025751" w:rsidR="00ED7D53" w:rsidRPr="0054729E" w:rsidRDefault="00ED7D53" w:rsidP="00ED7D53">
      <w:pPr>
        <w:spacing w:after="200" w:line="276" w:lineRule="auto"/>
        <w:ind w:left="567"/>
        <w:rPr>
          <w:rFonts w:ascii="Calibri" w:eastAsia="Calibri" w:hAnsi="Calibri" w:cs="Times New Roman"/>
          <w:sz w:val="24"/>
          <w:szCs w:val="24"/>
        </w:rPr>
      </w:pPr>
      <w:r w:rsidRPr="0054729E">
        <w:rPr>
          <w:rFonts w:ascii="Calibri" w:eastAsia="Calibri" w:hAnsi="Calibri" w:cs="Times New Roman"/>
          <w:sz w:val="24"/>
          <w:szCs w:val="24"/>
        </w:rPr>
        <w:t xml:space="preserve">Assessment and treatment pathways </w:t>
      </w:r>
      <w:r w:rsidR="00875A3E">
        <w:rPr>
          <w:rFonts w:ascii="Calibri" w:eastAsia="Calibri" w:hAnsi="Calibri" w:cs="Times New Roman"/>
          <w:sz w:val="24"/>
          <w:szCs w:val="24"/>
        </w:rPr>
        <w:t>using FRAX</w:t>
      </w:r>
      <w:r w:rsidR="00CE3187">
        <w:rPr>
          <w:rFonts w:ascii="Calibri" w:eastAsia="Calibri" w:hAnsi="Calibri" w:cs="Times New Roman"/>
          <w:sz w:val="24"/>
          <w:szCs w:val="24"/>
        </w:rPr>
        <w:t>-based</w:t>
      </w:r>
      <w:r w:rsidRPr="0054729E">
        <w:rPr>
          <w:rFonts w:ascii="Calibri" w:eastAsia="Calibri" w:hAnsi="Calibri" w:cs="Times New Roman"/>
          <w:sz w:val="24"/>
          <w:szCs w:val="24"/>
        </w:rPr>
        <w:t xml:space="preserve"> intervention thresholds in </w:t>
      </w:r>
      <w:r w:rsidR="00CE3187">
        <w:rPr>
          <w:rFonts w:ascii="Calibri" w:eastAsia="Calibri" w:hAnsi="Calibri" w:cs="Times New Roman"/>
          <w:sz w:val="24"/>
          <w:szCs w:val="24"/>
        </w:rPr>
        <w:t>Chile</w:t>
      </w:r>
      <w:r w:rsidRPr="0054729E">
        <w:rPr>
          <w:rFonts w:ascii="Calibri" w:eastAsia="Calibri" w:hAnsi="Calibri" w:cs="Times New Roman"/>
          <w:sz w:val="24"/>
          <w:szCs w:val="24"/>
        </w:rPr>
        <w:t xml:space="preserve"> can be used to identify patients at high risk of fracture and avoid unnecessary treatment in those at low fracture risk</w:t>
      </w:r>
      <w:r>
        <w:rPr>
          <w:rFonts w:ascii="Calibri" w:eastAsia="Calibri" w:hAnsi="Calibri" w:cs="Times New Roman"/>
          <w:sz w:val="24"/>
          <w:szCs w:val="24"/>
        </w:rPr>
        <w:t>.</w:t>
      </w:r>
    </w:p>
    <w:p w14:paraId="315F55A3" w14:textId="77777777" w:rsidR="00ED7D53" w:rsidRPr="0054729E" w:rsidRDefault="00ED7D53" w:rsidP="00ED7D53">
      <w:pPr>
        <w:spacing w:after="200" w:line="276" w:lineRule="auto"/>
        <w:ind w:left="567"/>
        <w:rPr>
          <w:rFonts w:ascii="Calibri" w:eastAsia="Calibri" w:hAnsi="Calibri" w:cs="Times New Roman"/>
          <w:b/>
          <w:bCs/>
          <w:sz w:val="24"/>
          <w:szCs w:val="24"/>
        </w:rPr>
      </w:pPr>
      <w:r w:rsidRPr="0054729E">
        <w:rPr>
          <w:rFonts w:ascii="Calibri" w:eastAsia="Calibri" w:hAnsi="Calibri" w:cs="Times New Roman"/>
          <w:b/>
          <w:bCs/>
          <w:sz w:val="24"/>
          <w:szCs w:val="24"/>
        </w:rPr>
        <w:t>Abstract</w:t>
      </w:r>
    </w:p>
    <w:p w14:paraId="0FB31ECA" w14:textId="709F6502" w:rsidR="00ED7D53" w:rsidRPr="0054729E" w:rsidRDefault="00ED7D53" w:rsidP="00ED7D53">
      <w:pPr>
        <w:spacing w:after="200" w:line="276" w:lineRule="auto"/>
        <w:ind w:left="567"/>
        <w:rPr>
          <w:rFonts w:ascii="Calibri" w:eastAsia="Calibri" w:hAnsi="Calibri" w:cs="Times New Roman"/>
          <w:sz w:val="24"/>
          <w:szCs w:val="24"/>
        </w:rPr>
      </w:pPr>
      <w:r w:rsidRPr="0054729E">
        <w:rPr>
          <w:rFonts w:ascii="Calibri" w:eastAsia="Calibri" w:hAnsi="Calibri" w:cs="Times New Roman"/>
          <w:sz w:val="24"/>
          <w:szCs w:val="24"/>
        </w:rPr>
        <w:t>Purpose</w:t>
      </w:r>
      <w:r w:rsidR="004A11A2">
        <w:rPr>
          <w:rFonts w:ascii="Calibri" w:eastAsia="Calibri" w:hAnsi="Calibri" w:cs="Times New Roman"/>
          <w:sz w:val="24"/>
          <w:szCs w:val="24"/>
        </w:rPr>
        <w:br/>
      </w:r>
      <w:r w:rsidRPr="0054729E">
        <w:rPr>
          <w:rFonts w:ascii="Calibri" w:eastAsia="Calibri" w:hAnsi="Calibri" w:cs="Times New Roman"/>
          <w:sz w:val="24"/>
          <w:szCs w:val="24"/>
        </w:rPr>
        <w:t xml:space="preserve">The aim of the present study was to explore treatment paths and characteristics of women eligible for treatment in </w:t>
      </w:r>
      <w:r w:rsidR="00C9559D">
        <w:rPr>
          <w:rFonts w:ascii="Calibri" w:eastAsia="Calibri" w:hAnsi="Calibri" w:cs="Times New Roman"/>
          <w:sz w:val="24"/>
          <w:szCs w:val="24"/>
        </w:rPr>
        <w:t>Chile</w:t>
      </w:r>
      <w:r w:rsidRPr="0054729E">
        <w:rPr>
          <w:rFonts w:ascii="Calibri" w:eastAsia="Calibri" w:hAnsi="Calibri" w:cs="Times New Roman"/>
          <w:sz w:val="24"/>
          <w:szCs w:val="24"/>
        </w:rPr>
        <w:t xml:space="preserve"> based on </w:t>
      </w:r>
      <w:r w:rsidR="00E721D1">
        <w:rPr>
          <w:rFonts w:ascii="Calibri" w:eastAsia="Calibri" w:hAnsi="Calibri" w:cs="Times New Roman"/>
          <w:sz w:val="24"/>
          <w:szCs w:val="24"/>
        </w:rPr>
        <w:t xml:space="preserve">major </w:t>
      </w:r>
      <w:r w:rsidR="00230045">
        <w:rPr>
          <w:rFonts w:ascii="Calibri" w:eastAsia="Calibri" w:hAnsi="Calibri" w:cs="Times New Roman"/>
          <w:sz w:val="24"/>
          <w:szCs w:val="24"/>
        </w:rPr>
        <w:t xml:space="preserve">osteoporotic </w:t>
      </w:r>
      <w:r w:rsidRPr="0054729E">
        <w:rPr>
          <w:rFonts w:ascii="Calibri" w:eastAsia="Calibri" w:hAnsi="Calibri" w:cs="Times New Roman"/>
          <w:sz w:val="24"/>
          <w:szCs w:val="24"/>
        </w:rPr>
        <w:t xml:space="preserve">fracture </w:t>
      </w:r>
      <w:r w:rsidR="004F2A5B">
        <w:rPr>
          <w:rFonts w:ascii="Calibri" w:eastAsia="Calibri" w:hAnsi="Calibri" w:cs="Times New Roman"/>
          <w:sz w:val="24"/>
          <w:szCs w:val="24"/>
        </w:rPr>
        <w:t xml:space="preserve">(MOF) </w:t>
      </w:r>
      <w:r w:rsidRPr="0054729E">
        <w:rPr>
          <w:rFonts w:ascii="Calibri" w:eastAsia="Calibri" w:hAnsi="Calibri" w:cs="Times New Roman"/>
          <w:sz w:val="24"/>
          <w:szCs w:val="24"/>
        </w:rPr>
        <w:t>probabilities derived from FRAX</w:t>
      </w:r>
      <w:r w:rsidRPr="009E31D1">
        <w:rPr>
          <w:rFonts w:ascii="Calibri" w:eastAsia="Calibri" w:hAnsi="Calibri" w:cs="Times New Roman"/>
          <w:sz w:val="24"/>
          <w:szCs w:val="24"/>
        </w:rPr>
        <w:t>®</w:t>
      </w:r>
      <w:r w:rsidRPr="0054729E">
        <w:rPr>
          <w:rFonts w:ascii="Calibri" w:eastAsia="Calibri" w:hAnsi="Calibri" w:cs="Times New Roman"/>
          <w:sz w:val="24"/>
          <w:szCs w:val="24"/>
        </w:rPr>
        <w:t>.</w:t>
      </w:r>
    </w:p>
    <w:p w14:paraId="4D42D104" w14:textId="1AD997E1" w:rsidR="00ED7D53" w:rsidRPr="0054729E" w:rsidRDefault="00ED7D53" w:rsidP="00ED7D53">
      <w:pPr>
        <w:spacing w:after="200" w:line="276" w:lineRule="auto"/>
        <w:ind w:left="567"/>
        <w:rPr>
          <w:rFonts w:ascii="Calibri" w:eastAsia="Calibri" w:hAnsi="Calibri" w:cs="Times New Roman"/>
          <w:sz w:val="24"/>
          <w:szCs w:val="24"/>
        </w:rPr>
      </w:pPr>
      <w:r w:rsidRPr="0054729E">
        <w:rPr>
          <w:rFonts w:ascii="Calibri" w:eastAsia="Calibri" w:hAnsi="Calibri" w:cs="Times New Roman"/>
          <w:sz w:val="24"/>
          <w:szCs w:val="24"/>
        </w:rPr>
        <w:t>Methods</w:t>
      </w:r>
      <w:r w:rsidR="004A11A2">
        <w:rPr>
          <w:rFonts w:ascii="Calibri" w:eastAsia="Calibri" w:hAnsi="Calibri" w:cs="Times New Roman"/>
          <w:sz w:val="24"/>
          <w:szCs w:val="24"/>
        </w:rPr>
        <w:br/>
      </w:r>
      <w:r w:rsidR="008B032B">
        <w:rPr>
          <w:rFonts w:ascii="Calibri" w:eastAsia="Calibri" w:hAnsi="Calibri" w:cs="Times New Roman"/>
          <w:sz w:val="24"/>
          <w:szCs w:val="24"/>
        </w:rPr>
        <w:t>I</w:t>
      </w:r>
      <w:r w:rsidRPr="0054729E">
        <w:rPr>
          <w:rFonts w:ascii="Calibri" w:eastAsia="Calibri" w:hAnsi="Calibri" w:cs="Times New Roman"/>
          <w:sz w:val="24"/>
          <w:szCs w:val="24"/>
        </w:rPr>
        <w:t>ntervention and assessment thresholds</w:t>
      </w:r>
      <w:r w:rsidR="00942EB5">
        <w:rPr>
          <w:rFonts w:ascii="Calibri" w:eastAsia="Calibri" w:hAnsi="Calibri" w:cs="Times New Roman"/>
          <w:sz w:val="24"/>
          <w:szCs w:val="24"/>
        </w:rPr>
        <w:t xml:space="preserve"> were derived using methods </w:t>
      </w:r>
      <w:r w:rsidRPr="0054729E">
        <w:rPr>
          <w:rFonts w:ascii="Calibri" w:eastAsia="Calibri" w:hAnsi="Calibri" w:cs="Times New Roman"/>
          <w:sz w:val="24"/>
          <w:szCs w:val="24"/>
        </w:rPr>
        <w:t xml:space="preserve">adopted by the National Osteoporosis Guideline Group for FRAX-based guidelines in the </w:t>
      </w:r>
      <w:r w:rsidR="00387CAF" w:rsidRPr="0054729E">
        <w:rPr>
          <w:rFonts w:ascii="Calibri" w:eastAsia="Calibri" w:hAnsi="Calibri" w:cs="Times New Roman"/>
          <w:sz w:val="24"/>
          <w:szCs w:val="24"/>
        </w:rPr>
        <w:t>UK</w:t>
      </w:r>
      <w:r w:rsidR="00387CAF">
        <w:rPr>
          <w:rFonts w:ascii="Calibri" w:eastAsia="Calibri" w:hAnsi="Calibri" w:cs="Times New Roman"/>
          <w:sz w:val="24"/>
          <w:szCs w:val="24"/>
        </w:rPr>
        <w:t xml:space="preserve"> but</w:t>
      </w:r>
      <w:r w:rsidRPr="0054729E">
        <w:rPr>
          <w:rFonts w:ascii="Calibri" w:eastAsia="Calibri" w:hAnsi="Calibri" w:cs="Times New Roman"/>
          <w:sz w:val="24"/>
          <w:szCs w:val="24"/>
        </w:rPr>
        <w:t xml:space="preserve"> based on the epidemiology of fracture and death in </w:t>
      </w:r>
      <w:r w:rsidR="007C4EF4">
        <w:rPr>
          <w:rFonts w:ascii="Calibri" w:eastAsia="Calibri" w:hAnsi="Calibri" w:cs="Times New Roman"/>
          <w:sz w:val="24"/>
          <w:szCs w:val="24"/>
        </w:rPr>
        <w:t>Chile</w:t>
      </w:r>
      <w:r w:rsidRPr="0054729E">
        <w:rPr>
          <w:rFonts w:ascii="Calibri" w:eastAsia="Calibri" w:hAnsi="Calibri" w:cs="Times New Roman"/>
          <w:sz w:val="24"/>
          <w:szCs w:val="24"/>
        </w:rPr>
        <w:t xml:space="preserve">.  </w:t>
      </w:r>
      <w:r w:rsidR="00B83D20">
        <w:rPr>
          <w:rFonts w:ascii="Calibri" w:eastAsia="Calibri" w:hAnsi="Calibri" w:cs="Times New Roman"/>
          <w:sz w:val="24"/>
          <w:szCs w:val="24"/>
        </w:rPr>
        <w:t xml:space="preserve">Age-dependent and hybrid </w:t>
      </w:r>
      <w:r w:rsidR="000B6160">
        <w:rPr>
          <w:rFonts w:ascii="Calibri" w:eastAsia="Calibri" w:hAnsi="Calibri" w:cs="Times New Roman"/>
          <w:sz w:val="24"/>
          <w:szCs w:val="24"/>
        </w:rPr>
        <w:t>assessment an</w:t>
      </w:r>
      <w:r w:rsidR="00DA16AE">
        <w:rPr>
          <w:rFonts w:ascii="Calibri" w:eastAsia="Calibri" w:hAnsi="Calibri" w:cs="Times New Roman"/>
          <w:sz w:val="24"/>
          <w:szCs w:val="24"/>
        </w:rPr>
        <w:t>d</w:t>
      </w:r>
      <w:r w:rsidR="000B6160">
        <w:rPr>
          <w:rFonts w:ascii="Calibri" w:eastAsia="Calibri" w:hAnsi="Calibri" w:cs="Times New Roman"/>
          <w:sz w:val="24"/>
          <w:szCs w:val="24"/>
        </w:rPr>
        <w:t xml:space="preserve"> intervention thresholds</w:t>
      </w:r>
      <w:r w:rsidRPr="0054729E">
        <w:rPr>
          <w:rFonts w:ascii="Calibri" w:eastAsia="Calibri" w:hAnsi="Calibri" w:cs="Times New Roman"/>
          <w:sz w:val="24"/>
          <w:szCs w:val="24"/>
        </w:rPr>
        <w:t xml:space="preserve"> w</w:t>
      </w:r>
      <w:r w:rsidR="00DA16AE">
        <w:rPr>
          <w:rFonts w:ascii="Calibri" w:eastAsia="Calibri" w:hAnsi="Calibri" w:cs="Times New Roman"/>
          <w:sz w:val="24"/>
          <w:szCs w:val="24"/>
        </w:rPr>
        <w:t>ere</w:t>
      </w:r>
      <w:r w:rsidRPr="0054729E">
        <w:rPr>
          <w:rFonts w:ascii="Calibri" w:eastAsia="Calibri" w:hAnsi="Calibri" w:cs="Times New Roman"/>
          <w:sz w:val="24"/>
          <w:szCs w:val="24"/>
        </w:rPr>
        <w:t xml:space="preserve"> applied to </w:t>
      </w:r>
      <w:r w:rsidR="00A02495" w:rsidRPr="00A02495">
        <w:rPr>
          <w:rFonts w:ascii="Calibri" w:eastAsia="Calibri" w:hAnsi="Calibri" w:cs="Times New Roman"/>
          <w:sz w:val="24"/>
          <w:szCs w:val="24"/>
        </w:rPr>
        <w:t xml:space="preserve">1998 women and 1122 men </w:t>
      </w:r>
      <w:proofErr w:type="gramStart"/>
      <w:r w:rsidRPr="0054729E">
        <w:rPr>
          <w:rFonts w:ascii="Calibri" w:eastAsia="Calibri" w:hAnsi="Calibri" w:cs="Times New Roman"/>
          <w:sz w:val="24"/>
          <w:szCs w:val="24"/>
        </w:rPr>
        <w:t>age</w:t>
      </w:r>
      <w:proofErr w:type="gramEnd"/>
      <w:r w:rsidRPr="0054729E">
        <w:rPr>
          <w:rFonts w:ascii="Calibri" w:eastAsia="Calibri" w:hAnsi="Calibri" w:cs="Times New Roman"/>
          <w:sz w:val="24"/>
          <w:szCs w:val="24"/>
        </w:rPr>
        <w:t xml:space="preserve"> </w:t>
      </w:r>
      <w:r w:rsidR="007C4EF4">
        <w:rPr>
          <w:rFonts w:ascii="Calibri" w:eastAsia="Calibri" w:hAnsi="Calibri" w:cs="Times New Roman"/>
          <w:sz w:val="24"/>
          <w:szCs w:val="24"/>
        </w:rPr>
        <w:t>5</w:t>
      </w:r>
      <w:r w:rsidRPr="0054729E">
        <w:rPr>
          <w:rFonts w:ascii="Calibri" w:eastAsia="Calibri" w:hAnsi="Calibri" w:cs="Times New Roman"/>
          <w:sz w:val="24"/>
          <w:szCs w:val="24"/>
        </w:rPr>
        <w:t xml:space="preserve">0 years or more drawn </w:t>
      </w:r>
      <w:bookmarkStart w:id="3" w:name="_Hlk72948017"/>
      <w:r w:rsidRPr="006C44CE">
        <w:rPr>
          <w:rFonts w:ascii="Calibri" w:eastAsia="Calibri" w:hAnsi="Calibri" w:cs="Times New Roman"/>
          <w:sz w:val="24"/>
          <w:szCs w:val="24"/>
        </w:rPr>
        <w:t xml:space="preserve">from </w:t>
      </w:r>
      <w:r w:rsidR="002B6675" w:rsidRPr="002B6675">
        <w:rPr>
          <w:rFonts w:ascii="Calibri" w:eastAsia="Calibri" w:hAnsi="Calibri" w:cs="Times New Roman"/>
          <w:sz w:val="24"/>
          <w:szCs w:val="24"/>
        </w:rPr>
        <w:t>participants in the National Health Survey 2016 - 2017</w:t>
      </w:r>
      <w:r w:rsidRPr="006C44CE">
        <w:rPr>
          <w:rFonts w:ascii="Calibri" w:eastAsia="Calibri" w:hAnsi="Calibri" w:cs="Times New Roman"/>
          <w:sz w:val="24"/>
          <w:szCs w:val="24"/>
        </w:rPr>
        <w:t>.</w:t>
      </w:r>
      <w:bookmarkEnd w:id="3"/>
      <w:r w:rsidRPr="006C44CE">
        <w:rPr>
          <w:rFonts w:ascii="Calibri" w:eastAsia="Calibri" w:hAnsi="Calibri" w:cs="Times New Roman"/>
          <w:sz w:val="24"/>
          <w:szCs w:val="24"/>
        </w:rPr>
        <w:t xml:space="preserve"> </w:t>
      </w:r>
    </w:p>
    <w:p w14:paraId="219BDEB9" w14:textId="0EF30F62" w:rsidR="008E0A4A" w:rsidRDefault="00ED7D53" w:rsidP="00ED7D53">
      <w:pPr>
        <w:spacing w:after="200" w:line="276" w:lineRule="auto"/>
        <w:ind w:left="567"/>
        <w:rPr>
          <w:rFonts w:ascii="Calibri" w:eastAsia="Calibri" w:hAnsi="Calibri" w:cs="Times New Roman"/>
          <w:sz w:val="24"/>
          <w:szCs w:val="24"/>
        </w:rPr>
      </w:pPr>
      <w:r w:rsidRPr="0054729E">
        <w:rPr>
          <w:rFonts w:ascii="Calibri" w:eastAsia="Calibri" w:hAnsi="Calibri" w:cs="Times New Roman"/>
          <w:sz w:val="24"/>
          <w:szCs w:val="24"/>
        </w:rPr>
        <w:t>Results</w:t>
      </w:r>
      <w:r w:rsidR="004A11A2">
        <w:rPr>
          <w:rFonts w:ascii="Calibri" w:eastAsia="Calibri" w:hAnsi="Calibri" w:cs="Times New Roman"/>
          <w:sz w:val="24"/>
          <w:szCs w:val="24"/>
        </w:rPr>
        <w:br/>
      </w:r>
      <w:r w:rsidR="00B11410" w:rsidRPr="00BD768F">
        <w:rPr>
          <w:rFonts w:ascii="Calibri" w:eastAsia="Calibri" w:hAnsi="Calibri" w:cs="Times New Roman"/>
          <w:sz w:val="24"/>
          <w:szCs w:val="24"/>
        </w:rPr>
        <w:t>Approximately 12</w:t>
      </w:r>
      <w:r w:rsidR="00BD768F" w:rsidRPr="00BD768F">
        <w:rPr>
          <w:rFonts w:ascii="Calibri" w:eastAsia="Calibri" w:hAnsi="Calibri" w:cs="Times New Roman"/>
          <w:sz w:val="24"/>
          <w:szCs w:val="24"/>
        </w:rPr>
        <w:t xml:space="preserve">% </w:t>
      </w:r>
      <w:r w:rsidR="00BD768F" w:rsidRPr="00394EEE">
        <w:rPr>
          <w:rFonts w:ascii="Calibri" w:eastAsia="Calibri" w:hAnsi="Calibri" w:cs="Times New Roman"/>
          <w:sz w:val="24"/>
          <w:szCs w:val="24"/>
        </w:rPr>
        <w:t>of men and women</w:t>
      </w:r>
      <w:r w:rsidRPr="00394EEE">
        <w:rPr>
          <w:rFonts w:ascii="Calibri" w:eastAsia="Calibri" w:hAnsi="Calibri" w:cs="Times New Roman"/>
          <w:sz w:val="24"/>
          <w:szCs w:val="24"/>
        </w:rPr>
        <w:t xml:space="preserve"> had a prior fragility fracture and would be eligible for treatment for this reason.  </w:t>
      </w:r>
      <w:r w:rsidR="002A3083" w:rsidRPr="00394EEE">
        <w:rPr>
          <w:rFonts w:ascii="Calibri" w:eastAsia="Calibri" w:hAnsi="Calibri" w:cs="Times New Roman"/>
          <w:sz w:val="24"/>
          <w:szCs w:val="24"/>
        </w:rPr>
        <w:t>Using</w:t>
      </w:r>
      <w:r w:rsidR="002A3083">
        <w:rPr>
          <w:rFonts w:ascii="Calibri" w:eastAsia="Calibri" w:hAnsi="Calibri" w:cs="Times New Roman"/>
          <w:sz w:val="24"/>
          <w:szCs w:val="24"/>
        </w:rPr>
        <w:t xml:space="preserve"> age-dependent thresholds, a</w:t>
      </w:r>
      <w:r w:rsidRPr="0054729E">
        <w:rPr>
          <w:rFonts w:ascii="Calibri" w:eastAsia="Calibri" w:hAnsi="Calibri" w:cs="Times New Roman"/>
          <w:sz w:val="24"/>
          <w:szCs w:val="24"/>
        </w:rPr>
        <w:t xml:space="preserve">n additional </w:t>
      </w:r>
      <w:r w:rsidR="00614D8E" w:rsidRPr="002A3083">
        <w:rPr>
          <w:rFonts w:ascii="Calibri" w:eastAsia="Calibri" w:hAnsi="Calibri" w:cs="Times New Roman"/>
          <w:sz w:val="24"/>
          <w:szCs w:val="24"/>
        </w:rPr>
        <w:t>2.6</w:t>
      </w:r>
      <w:r w:rsidR="0019412B" w:rsidRPr="002A3083">
        <w:rPr>
          <w:rFonts w:ascii="Calibri" w:eastAsia="Calibri" w:hAnsi="Calibri" w:cs="Times New Roman"/>
          <w:sz w:val="24"/>
          <w:szCs w:val="24"/>
        </w:rPr>
        <w:t>% of</w:t>
      </w:r>
      <w:r w:rsidRPr="002A3083">
        <w:rPr>
          <w:rFonts w:ascii="Calibri" w:eastAsia="Calibri" w:hAnsi="Calibri" w:cs="Times New Roman"/>
          <w:sz w:val="24"/>
          <w:szCs w:val="24"/>
        </w:rPr>
        <w:t xml:space="preserve"> women</w:t>
      </w:r>
      <w:r w:rsidR="0019412B" w:rsidRPr="002A3083">
        <w:rPr>
          <w:rFonts w:ascii="Calibri" w:eastAsia="Calibri" w:hAnsi="Calibri" w:cs="Times New Roman"/>
          <w:sz w:val="24"/>
          <w:szCs w:val="24"/>
        </w:rPr>
        <w:t xml:space="preserve"> (0.3% of men)</w:t>
      </w:r>
      <w:r w:rsidRPr="0054729E">
        <w:rPr>
          <w:rFonts w:ascii="Calibri" w:eastAsia="Calibri" w:hAnsi="Calibri" w:cs="Times New Roman"/>
          <w:sz w:val="24"/>
          <w:szCs w:val="24"/>
        </w:rPr>
        <w:t xml:space="preserve"> were eligible for treatment in that MOF probabilities lay above the upper assessment threshold</w:t>
      </w:r>
      <w:r w:rsidRPr="00D277BA">
        <w:rPr>
          <w:rFonts w:ascii="Calibri" w:eastAsia="Calibri" w:hAnsi="Calibri" w:cs="Times New Roman"/>
          <w:sz w:val="24"/>
          <w:szCs w:val="24"/>
        </w:rPr>
        <w:t xml:space="preserve">.  A BMD test would be recommended </w:t>
      </w:r>
      <w:r w:rsidR="008A50FF" w:rsidRPr="00D277BA">
        <w:rPr>
          <w:rFonts w:ascii="Calibri" w:eastAsia="Calibri" w:hAnsi="Calibri" w:cs="Times New Roman"/>
          <w:sz w:val="24"/>
          <w:szCs w:val="24"/>
        </w:rPr>
        <w:t>in 5</w:t>
      </w:r>
      <w:r w:rsidR="00EF2395" w:rsidRPr="00D277BA">
        <w:rPr>
          <w:rFonts w:ascii="Calibri" w:eastAsia="Calibri" w:hAnsi="Calibri" w:cs="Times New Roman"/>
          <w:sz w:val="24"/>
          <w:szCs w:val="24"/>
        </w:rPr>
        <w:t xml:space="preserve">% of men </w:t>
      </w:r>
      <w:r w:rsidR="008C020D" w:rsidRPr="00D277BA">
        <w:rPr>
          <w:rFonts w:ascii="Calibri" w:eastAsia="Calibri" w:hAnsi="Calibri" w:cs="Times New Roman"/>
          <w:sz w:val="24"/>
          <w:szCs w:val="24"/>
        </w:rPr>
        <w:t>and 38</w:t>
      </w:r>
      <w:r w:rsidR="00230C7E" w:rsidRPr="00D277BA">
        <w:rPr>
          <w:rFonts w:ascii="Calibri" w:eastAsia="Calibri" w:hAnsi="Calibri" w:cs="Times New Roman"/>
          <w:sz w:val="24"/>
          <w:szCs w:val="24"/>
        </w:rPr>
        <w:t xml:space="preserve">% of </w:t>
      </w:r>
      <w:r w:rsidRPr="00D277BA">
        <w:rPr>
          <w:rFonts w:ascii="Calibri" w:eastAsia="Calibri" w:hAnsi="Calibri" w:cs="Times New Roman"/>
          <w:sz w:val="24"/>
          <w:szCs w:val="24"/>
        </w:rPr>
        <w:t>women</w:t>
      </w:r>
      <w:r w:rsidR="00230C7E" w:rsidRPr="00D277BA">
        <w:rPr>
          <w:rFonts w:ascii="Calibri" w:eastAsia="Calibri" w:hAnsi="Calibri" w:cs="Times New Roman"/>
          <w:sz w:val="24"/>
          <w:szCs w:val="24"/>
        </w:rPr>
        <w:t xml:space="preserve">. </w:t>
      </w:r>
      <w:r w:rsidR="008C020D" w:rsidRPr="00D277BA">
        <w:rPr>
          <w:rFonts w:ascii="Calibri" w:eastAsia="Calibri" w:hAnsi="Calibri" w:cs="Times New Roman"/>
          <w:sz w:val="24"/>
          <w:szCs w:val="24"/>
        </w:rPr>
        <w:t xml:space="preserve"> With </w:t>
      </w:r>
      <w:r w:rsidR="00D277BA" w:rsidRPr="00D277BA">
        <w:rPr>
          <w:rFonts w:ascii="Calibri" w:eastAsia="Calibri" w:hAnsi="Calibri" w:cs="Times New Roman"/>
          <w:sz w:val="24"/>
          <w:szCs w:val="24"/>
        </w:rPr>
        <w:t>hybrid thresholds</w:t>
      </w:r>
      <w:r w:rsidR="00527BA8">
        <w:rPr>
          <w:rFonts w:ascii="Calibri" w:eastAsia="Calibri" w:hAnsi="Calibri" w:cs="Times New Roman"/>
          <w:sz w:val="24"/>
          <w:szCs w:val="24"/>
        </w:rPr>
        <w:t>,</w:t>
      </w:r>
      <w:r w:rsidRPr="00D277BA">
        <w:rPr>
          <w:rFonts w:ascii="Calibri" w:eastAsia="Calibri" w:hAnsi="Calibri" w:cs="Times New Roman"/>
          <w:sz w:val="24"/>
          <w:szCs w:val="24"/>
        </w:rPr>
        <w:t xml:space="preserve"> </w:t>
      </w:r>
      <w:r w:rsidR="000931EB" w:rsidRPr="000931EB">
        <w:rPr>
          <w:rFonts w:ascii="Calibri" w:eastAsia="Calibri" w:hAnsi="Calibri" w:cs="Times New Roman"/>
          <w:sz w:val="24"/>
          <w:szCs w:val="24"/>
        </w:rPr>
        <w:t xml:space="preserve">an additional </w:t>
      </w:r>
      <w:r w:rsidR="00E362ED">
        <w:rPr>
          <w:rFonts w:ascii="Calibri" w:eastAsia="Calibri" w:hAnsi="Calibri" w:cs="Times New Roman"/>
          <w:sz w:val="24"/>
          <w:szCs w:val="24"/>
        </w:rPr>
        <w:t>13</w:t>
      </w:r>
      <w:r w:rsidR="000931EB" w:rsidRPr="000931EB">
        <w:rPr>
          <w:rFonts w:ascii="Calibri" w:eastAsia="Calibri" w:hAnsi="Calibri" w:cs="Times New Roman"/>
          <w:sz w:val="24"/>
          <w:szCs w:val="24"/>
        </w:rPr>
        <w:t>% of women (</w:t>
      </w:r>
      <w:r w:rsidR="00E362ED">
        <w:rPr>
          <w:rFonts w:ascii="Calibri" w:eastAsia="Calibri" w:hAnsi="Calibri" w:cs="Times New Roman"/>
          <w:sz w:val="24"/>
          <w:szCs w:val="24"/>
        </w:rPr>
        <w:t>3.6</w:t>
      </w:r>
      <w:r w:rsidR="000931EB" w:rsidRPr="000931EB">
        <w:rPr>
          <w:rFonts w:ascii="Calibri" w:eastAsia="Calibri" w:hAnsi="Calibri" w:cs="Times New Roman"/>
          <w:sz w:val="24"/>
          <w:szCs w:val="24"/>
        </w:rPr>
        <w:t>% of men) were eligible for treatment</w:t>
      </w:r>
      <w:r w:rsidR="00BF47B9">
        <w:rPr>
          <w:rFonts w:ascii="Calibri" w:eastAsia="Calibri" w:hAnsi="Calibri" w:cs="Times New Roman"/>
          <w:sz w:val="24"/>
          <w:szCs w:val="24"/>
        </w:rPr>
        <w:t xml:space="preserve"> </w:t>
      </w:r>
      <w:r w:rsidR="005746FD">
        <w:rPr>
          <w:rFonts w:ascii="Calibri" w:eastAsia="Calibri" w:hAnsi="Calibri" w:cs="Times New Roman"/>
          <w:sz w:val="24"/>
          <w:szCs w:val="24"/>
        </w:rPr>
        <w:t>and BMD</w:t>
      </w:r>
      <w:r w:rsidR="00BF47B9" w:rsidRPr="00BF47B9">
        <w:rPr>
          <w:rFonts w:ascii="Calibri" w:eastAsia="Calibri" w:hAnsi="Calibri" w:cs="Times New Roman"/>
          <w:sz w:val="24"/>
          <w:szCs w:val="24"/>
        </w:rPr>
        <w:t xml:space="preserve"> recommended in </w:t>
      </w:r>
      <w:r w:rsidR="00076437">
        <w:rPr>
          <w:rFonts w:ascii="Calibri" w:eastAsia="Calibri" w:hAnsi="Calibri" w:cs="Times New Roman"/>
          <w:sz w:val="24"/>
          <w:szCs w:val="24"/>
        </w:rPr>
        <w:t>11</w:t>
      </w:r>
      <w:r w:rsidR="00BF47B9" w:rsidRPr="00BF47B9">
        <w:rPr>
          <w:rFonts w:ascii="Calibri" w:eastAsia="Calibri" w:hAnsi="Calibri" w:cs="Times New Roman"/>
          <w:sz w:val="24"/>
          <w:szCs w:val="24"/>
        </w:rPr>
        <w:t xml:space="preserve">% of men and </w:t>
      </w:r>
      <w:r w:rsidR="00076437">
        <w:rPr>
          <w:rFonts w:ascii="Calibri" w:eastAsia="Calibri" w:hAnsi="Calibri" w:cs="Times New Roman"/>
          <w:sz w:val="24"/>
          <w:szCs w:val="24"/>
        </w:rPr>
        <w:t>42</w:t>
      </w:r>
      <w:r w:rsidR="00BF47B9" w:rsidRPr="00BF47B9">
        <w:rPr>
          <w:rFonts w:ascii="Calibri" w:eastAsia="Calibri" w:hAnsi="Calibri" w:cs="Times New Roman"/>
          <w:sz w:val="24"/>
          <w:szCs w:val="24"/>
        </w:rPr>
        <w:t>% of women</w:t>
      </w:r>
      <w:r w:rsidR="00180FD6">
        <w:rPr>
          <w:rFonts w:ascii="Calibri" w:eastAsia="Calibri" w:hAnsi="Calibri" w:cs="Times New Roman"/>
          <w:sz w:val="24"/>
          <w:szCs w:val="24"/>
        </w:rPr>
        <w:t xml:space="preserve">.  </w:t>
      </w:r>
    </w:p>
    <w:p w14:paraId="1EE6F6B5" w14:textId="6848EDD2" w:rsidR="00ED7D53" w:rsidRPr="00B63307" w:rsidRDefault="00ED7D53" w:rsidP="00ED7D53">
      <w:pPr>
        <w:spacing w:after="200" w:line="276" w:lineRule="auto"/>
        <w:ind w:left="567"/>
        <w:rPr>
          <w:rFonts w:ascii="Calibri" w:eastAsia="Calibri" w:hAnsi="Calibri" w:cs="Times New Roman"/>
          <w:sz w:val="24"/>
          <w:szCs w:val="24"/>
        </w:rPr>
      </w:pPr>
      <w:r w:rsidRPr="00B63307">
        <w:rPr>
          <w:rFonts w:ascii="Calibri" w:eastAsia="Calibri" w:hAnsi="Calibri" w:cs="Times New Roman"/>
          <w:sz w:val="24"/>
          <w:szCs w:val="24"/>
        </w:rPr>
        <w:t>Conclusion</w:t>
      </w:r>
      <w:r w:rsidR="004A11A2">
        <w:rPr>
          <w:rFonts w:ascii="Calibri" w:eastAsia="Calibri" w:hAnsi="Calibri" w:cs="Times New Roman"/>
          <w:sz w:val="24"/>
          <w:szCs w:val="24"/>
        </w:rPr>
        <w:br/>
      </w:r>
      <w:r w:rsidR="009B4C19">
        <w:rPr>
          <w:rFonts w:ascii="Calibri" w:eastAsia="Calibri" w:hAnsi="Calibri" w:cs="Times New Roman"/>
          <w:sz w:val="24"/>
          <w:szCs w:val="24"/>
        </w:rPr>
        <w:t xml:space="preserve">The application of hybrid intervention thresholds </w:t>
      </w:r>
      <w:r w:rsidR="007F63EB">
        <w:rPr>
          <w:rFonts w:ascii="Calibri" w:eastAsia="Calibri" w:hAnsi="Calibri" w:cs="Times New Roman"/>
          <w:sz w:val="24"/>
          <w:szCs w:val="24"/>
        </w:rPr>
        <w:t>ameliorates the disparity in fracture probabilities seen with age-dependent thresholds</w:t>
      </w:r>
      <w:r w:rsidR="00FF2C88">
        <w:rPr>
          <w:rFonts w:ascii="Calibri" w:eastAsia="Calibri" w:hAnsi="Calibri" w:cs="Times New Roman"/>
          <w:sz w:val="24"/>
          <w:szCs w:val="24"/>
        </w:rPr>
        <w:t xml:space="preserve">.  </w:t>
      </w:r>
      <w:r w:rsidRPr="00B63307">
        <w:rPr>
          <w:rFonts w:ascii="Calibri" w:eastAsia="Calibri" w:hAnsi="Calibri" w:cs="Times New Roman"/>
          <w:sz w:val="24"/>
          <w:szCs w:val="24"/>
        </w:rPr>
        <w:t>Probability based assessment of fracture risk</w:t>
      </w:r>
      <w:r w:rsidR="00D42FDA">
        <w:rPr>
          <w:rFonts w:ascii="Calibri" w:eastAsia="Calibri" w:hAnsi="Calibri" w:cs="Times New Roman"/>
          <w:sz w:val="24"/>
          <w:szCs w:val="24"/>
        </w:rPr>
        <w:t xml:space="preserve">, </w:t>
      </w:r>
      <w:r w:rsidR="00C079E0">
        <w:rPr>
          <w:rFonts w:ascii="Calibri" w:eastAsia="Calibri" w:hAnsi="Calibri" w:cs="Times New Roman"/>
          <w:sz w:val="24"/>
          <w:szCs w:val="24"/>
        </w:rPr>
        <w:t>including the</w:t>
      </w:r>
      <w:r w:rsidRPr="00B63307">
        <w:rPr>
          <w:rFonts w:ascii="Calibri" w:eastAsia="Calibri" w:hAnsi="Calibri" w:cs="Times New Roman"/>
          <w:sz w:val="24"/>
          <w:szCs w:val="24"/>
        </w:rPr>
        <w:t xml:space="preserve"> </w:t>
      </w:r>
      <w:r w:rsidR="00C079E0" w:rsidRPr="00B63307">
        <w:rPr>
          <w:rFonts w:ascii="Calibri" w:eastAsia="Calibri" w:hAnsi="Calibri" w:cs="Times New Roman"/>
          <w:sz w:val="24"/>
          <w:szCs w:val="24"/>
        </w:rPr>
        <w:t>us</w:t>
      </w:r>
      <w:r w:rsidR="00C079E0">
        <w:rPr>
          <w:rFonts w:ascii="Calibri" w:eastAsia="Calibri" w:hAnsi="Calibri" w:cs="Times New Roman"/>
          <w:sz w:val="24"/>
          <w:szCs w:val="24"/>
        </w:rPr>
        <w:t>e of</w:t>
      </w:r>
      <w:r w:rsidR="00C079E0" w:rsidRPr="00B63307">
        <w:rPr>
          <w:rFonts w:ascii="Calibri" w:eastAsia="Calibri" w:hAnsi="Calibri" w:cs="Times New Roman"/>
          <w:sz w:val="24"/>
          <w:szCs w:val="24"/>
        </w:rPr>
        <w:t xml:space="preserve"> </w:t>
      </w:r>
      <w:r w:rsidR="00674B8B">
        <w:rPr>
          <w:rFonts w:ascii="Calibri" w:eastAsia="Calibri" w:hAnsi="Calibri" w:cs="Times New Roman"/>
          <w:sz w:val="24"/>
          <w:szCs w:val="24"/>
        </w:rPr>
        <w:t>the hybrid</w:t>
      </w:r>
      <w:r w:rsidRPr="00B63307">
        <w:rPr>
          <w:rFonts w:ascii="Calibri" w:eastAsia="Calibri" w:hAnsi="Calibri" w:cs="Times New Roman"/>
          <w:sz w:val="24"/>
          <w:szCs w:val="24"/>
        </w:rPr>
        <w:t xml:space="preserve"> intervention thresholds for </w:t>
      </w:r>
      <w:r w:rsidR="00233924">
        <w:rPr>
          <w:rFonts w:ascii="Calibri" w:eastAsia="Calibri" w:hAnsi="Calibri" w:cs="Times New Roman"/>
          <w:sz w:val="24"/>
          <w:szCs w:val="24"/>
        </w:rPr>
        <w:t>Chile</w:t>
      </w:r>
      <w:r w:rsidRPr="00B63307">
        <w:rPr>
          <w:rFonts w:ascii="Calibri" w:eastAsia="Calibri" w:hAnsi="Calibri" w:cs="Times New Roman"/>
          <w:sz w:val="24"/>
          <w:szCs w:val="24"/>
        </w:rPr>
        <w:t xml:space="preserve"> </w:t>
      </w:r>
      <w:r w:rsidR="00F10AF1">
        <w:rPr>
          <w:rFonts w:ascii="Calibri" w:eastAsia="Calibri" w:hAnsi="Calibri" w:cs="Times New Roman"/>
          <w:sz w:val="24"/>
          <w:szCs w:val="24"/>
        </w:rPr>
        <w:t xml:space="preserve">are expected </w:t>
      </w:r>
      <w:r w:rsidRPr="00B63307">
        <w:rPr>
          <w:rFonts w:ascii="Calibri" w:eastAsia="Calibri" w:hAnsi="Calibri" w:cs="Times New Roman"/>
          <w:sz w:val="24"/>
          <w:szCs w:val="24"/>
        </w:rPr>
        <w:t xml:space="preserve">to </w:t>
      </w:r>
      <w:r w:rsidRPr="00B63307">
        <w:rPr>
          <w:rFonts w:ascii="Calibri" w:eastAsia="Calibri" w:hAnsi="Calibri" w:cs="Calibri"/>
          <w:sz w:val="24"/>
          <w:szCs w:val="24"/>
        </w:rPr>
        <w:t>help guide decisions about treatment.</w:t>
      </w:r>
      <w:r w:rsidR="00233924">
        <w:rPr>
          <w:rFonts w:ascii="Calibri" w:eastAsia="Calibri" w:hAnsi="Calibri" w:cs="Calibri"/>
          <w:sz w:val="24"/>
          <w:szCs w:val="24"/>
        </w:rPr>
        <w:t xml:space="preserve">  </w:t>
      </w:r>
    </w:p>
    <w:p w14:paraId="3AAC5998" w14:textId="1D934A1C" w:rsidR="00ED7D53" w:rsidRDefault="00ED7D53" w:rsidP="00ED7D53">
      <w:pPr>
        <w:spacing w:line="276" w:lineRule="auto"/>
        <w:ind w:left="567"/>
        <w:rPr>
          <w:rFonts w:ascii="Calibri" w:eastAsia="Calibri" w:hAnsi="Calibri" w:cs="Times New Roman"/>
          <w:sz w:val="24"/>
          <w:szCs w:val="24"/>
        </w:rPr>
      </w:pPr>
      <w:r w:rsidRPr="00B63307">
        <w:rPr>
          <w:rFonts w:ascii="Calibri" w:eastAsia="Calibri" w:hAnsi="Calibri" w:cs="Times New Roman"/>
          <w:sz w:val="24"/>
          <w:szCs w:val="24"/>
        </w:rPr>
        <w:t>Keywords: osteoporosis; fracture risk assessment; FRAX; intervention threshold</w:t>
      </w:r>
    </w:p>
    <w:p w14:paraId="5F7140B5" w14:textId="278EA6EA" w:rsidR="004A11A2" w:rsidRDefault="004A11A2">
      <w:pPr>
        <w:rPr>
          <w:rFonts w:ascii="Calibri" w:eastAsia="Calibri" w:hAnsi="Calibri" w:cs="Times New Roman"/>
          <w:b/>
          <w:bCs/>
          <w:sz w:val="28"/>
          <w:szCs w:val="28"/>
        </w:rPr>
      </w:pPr>
      <w:r>
        <w:rPr>
          <w:rFonts w:ascii="Calibri" w:eastAsia="Calibri" w:hAnsi="Calibri" w:cs="Times New Roman"/>
          <w:b/>
          <w:bCs/>
          <w:sz w:val="28"/>
          <w:szCs w:val="28"/>
        </w:rPr>
        <w:br w:type="page"/>
      </w:r>
    </w:p>
    <w:p w14:paraId="340B56FA" w14:textId="712BBBDD" w:rsidR="00E0088F" w:rsidRPr="00881974" w:rsidRDefault="00E0088F" w:rsidP="00923A66">
      <w:pPr>
        <w:autoSpaceDE w:val="0"/>
        <w:autoSpaceDN w:val="0"/>
        <w:adjustRightInd w:val="0"/>
        <w:spacing w:after="0" w:line="276" w:lineRule="auto"/>
        <w:ind w:left="567"/>
        <w:rPr>
          <w:rFonts w:ascii="Calibri" w:hAnsi="Calibri" w:cs="Calibri"/>
          <w:b/>
          <w:bCs/>
          <w:sz w:val="24"/>
          <w:szCs w:val="24"/>
        </w:rPr>
      </w:pPr>
      <w:r w:rsidRPr="00881974">
        <w:rPr>
          <w:rFonts w:ascii="Calibri" w:hAnsi="Calibri" w:cs="Calibri"/>
          <w:b/>
          <w:bCs/>
          <w:sz w:val="24"/>
          <w:szCs w:val="24"/>
        </w:rPr>
        <w:lastRenderedPageBreak/>
        <w:t>Introduction</w:t>
      </w:r>
    </w:p>
    <w:p w14:paraId="65C907AD" w14:textId="6C386577" w:rsidR="00095C6A" w:rsidRPr="00881974" w:rsidRDefault="00095C6A" w:rsidP="00923A66">
      <w:pPr>
        <w:autoSpaceDE w:val="0"/>
        <w:autoSpaceDN w:val="0"/>
        <w:adjustRightInd w:val="0"/>
        <w:spacing w:after="0" w:line="276" w:lineRule="auto"/>
        <w:ind w:left="567"/>
        <w:rPr>
          <w:rFonts w:ascii="Calibri" w:hAnsi="Calibri" w:cs="Calibri"/>
          <w:sz w:val="24"/>
          <w:szCs w:val="24"/>
        </w:rPr>
      </w:pPr>
    </w:p>
    <w:p w14:paraId="190647E8" w14:textId="5D33F1CB" w:rsidR="00DD0267" w:rsidRPr="00AD1549" w:rsidRDefault="00DD0267" w:rsidP="00DD0267">
      <w:pPr>
        <w:ind w:left="567"/>
        <w:rPr>
          <w:rFonts w:ascii="Calibri" w:eastAsia="Calibri" w:hAnsi="Calibri" w:cs="Times New Roman"/>
          <w:bCs/>
          <w:sz w:val="24"/>
          <w:szCs w:val="24"/>
        </w:rPr>
      </w:pPr>
      <w:r w:rsidRPr="00DD0267">
        <w:rPr>
          <w:rFonts w:ascii="Calibri" w:eastAsia="Calibri" w:hAnsi="Calibri" w:cs="Times New Roman"/>
          <w:bCs/>
          <w:sz w:val="24"/>
          <w:szCs w:val="24"/>
        </w:rPr>
        <w:t>The primary goal of osteoporosis treatment is to prevent the occurrence of fractures</w:t>
      </w:r>
      <w:proofErr w:type="gramStart"/>
      <w:r w:rsidR="00263EFF">
        <w:rPr>
          <w:rFonts w:ascii="Calibri" w:eastAsia="Calibri" w:hAnsi="Calibri" w:cs="Times New Roman"/>
          <w:bCs/>
          <w:sz w:val="24"/>
          <w:szCs w:val="24"/>
        </w:rPr>
        <w:t>.</w:t>
      </w:r>
      <w:r w:rsidRPr="00DD0267">
        <w:rPr>
          <w:rFonts w:ascii="Calibri" w:eastAsia="Calibri" w:hAnsi="Calibri" w:cs="Times New Roman"/>
          <w:bCs/>
          <w:sz w:val="24"/>
          <w:szCs w:val="24"/>
        </w:rPr>
        <w:t xml:space="preserve"> </w:t>
      </w:r>
      <w:proofErr w:type="gramEnd"/>
      <w:r w:rsidR="002541E9">
        <w:rPr>
          <w:rFonts w:ascii="Calibri" w:eastAsia="Calibri" w:hAnsi="Calibri" w:cs="Times New Roman"/>
          <w:bCs/>
          <w:sz w:val="24"/>
          <w:szCs w:val="24"/>
        </w:rPr>
        <w:t>For this reason</w:t>
      </w:r>
      <w:r w:rsidRPr="00DD0267">
        <w:rPr>
          <w:rFonts w:ascii="Calibri" w:eastAsia="Calibri" w:hAnsi="Calibri" w:cs="Times New Roman"/>
          <w:bCs/>
          <w:sz w:val="24"/>
          <w:szCs w:val="24"/>
        </w:rPr>
        <w:t xml:space="preserve">, </w:t>
      </w:r>
      <w:r w:rsidR="00164BE0">
        <w:rPr>
          <w:rFonts w:ascii="Calibri" w:eastAsia="Calibri" w:hAnsi="Calibri" w:cs="Times New Roman"/>
          <w:bCs/>
          <w:sz w:val="24"/>
          <w:szCs w:val="24"/>
        </w:rPr>
        <w:t xml:space="preserve">the </w:t>
      </w:r>
      <w:r w:rsidR="00D231BA">
        <w:rPr>
          <w:rFonts w:ascii="Calibri" w:eastAsia="Calibri" w:hAnsi="Calibri" w:cs="Times New Roman"/>
          <w:bCs/>
          <w:sz w:val="24"/>
          <w:szCs w:val="24"/>
        </w:rPr>
        <w:t>management</w:t>
      </w:r>
      <w:r w:rsidR="00D231BA" w:rsidRPr="00D231BA">
        <w:rPr>
          <w:rFonts w:ascii="Calibri" w:eastAsia="Calibri" w:hAnsi="Calibri" w:cs="Times New Roman"/>
          <w:bCs/>
          <w:sz w:val="24"/>
          <w:szCs w:val="24"/>
        </w:rPr>
        <w:t xml:space="preserve"> </w:t>
      </w:r>
      <w:r w:rsidR="00164BE0">
        <w:rPr>
          <w:rFonts w:ascii="Calibri" w:eastAsia="Calibri" w:hAnsi="Calibri" w:cs="Times New Roman"/>
          <w:bCs/>
          <w:sz w:val="24"/>
          <w:szCs w:val="24"/>
        </w:rPr>
        <w:t xml:space="preserve">of the disorder </w:t>
      </w:r>
      <w:r w:rsidR="00D231BA" w:rsidRPr="00D231BA">
        <w:rPr>
          <w:rFonts w:ascii="Calibri" w:eastAsia="Calibri" w:hAnsi="Calibri" w:cs="Times New Roman"/>
          <w:bCs/>
          <w:sz w:val="24"/>
          <w:szCs w:val="24"/>
        </w:rPr>
        <w:t xml:space="preserve">by health care practitioners is assisted by instruments that assess patients’ fracture risk to optimise clinical decisions about prevention and </w:t>
      </w:r>
      <w:r w:rsidR="00D231BA" w:rsidRPr="00AD1549">
        <w:rPr>
          <w:rFonts w:ascii="Calibri" w:eastAsia="Calibri" w:hAnsi="Calibri" w:cs="Times New Roman"/>
          <w:bCs/>
          <w:sz w:val="24"/>
          <w:szCs w:val="24"/>
        </w:rPr>
        <w:t>treatment</w:t>
      </w:r>
      <w:proofErr w:type="gramStart"/>
      <w:r w:rsidR="00D231BA" w:rsidRPr="00AD1549">
        <w:rPr>
          <w:rFonts w:ascii="Calibri" w:eastAsia="Calibri" w:hAnsi="Calibri" w:cs="Times New Roman"/>
          <w:bCs/>
          <w:sz w:val="24"/>
          <w:szCs w:val="24"/>
        </w:rPr>
        <w:t>.</w:t>
      </w:r>
      <w:r w:rsidR="004166A7" w:rsidRPr="00AD1549">
        <w:rPr>
          <w:rFonts w:ascii="Calibri" w:eastAsia="Calibri" w:hAnsi="Calibri" w:cs="Times New Roman"/>
          <w:bCs/>
          <w:sz w:val="24"/>
          <w:szCs w:val="24"/>
        </w:rPr>
        <w:t xml:space="preserve"> </w:t>
      </w:r>
      <w:proofErr w:type="gramEnd"/>
      <w:r w:rsidR="003E4013" w:rsidRPr="00AD1549">
        <w:rPr>
          <w:rFonts w:ascii="Calibri" w:eastAsia="Calibri" w:hAnsi="Calibri" w:cs="Times New Roman"/>
          <w:bCs/>
          <w:sz w:val="24"/>
          <w:szCs w:val="24"/>
        </w:rPr>
        <w:t>Available online risk engines include the Garvan fracture risk calculator [</w:t>
      </w:r>
      <w:r w:rsidR="001B2633" w:rsidRPr="00AD1549">
        <w:rPr>
          <w:rFonts w:ascii="Calibri" w:eastAsia="Calibri" w:hAnsi="Calibri" w:cs="Times New Roman"/>
          <w:bCs/>
          <w:sz w:val="24"/>
          <w:szCs w:val="24"/>
        </w:rPr>
        <w:t>1]</w:t>
      </w:r>
      <w:r w:rsidR="003E4013" w:rsidRPr="00AD1549">
        <w:rPr>
          <w:rFonts w:ascii="Calibri" w:eastAsia="Calibri" w:hAnsi="Calibri" w:cs="Times New Roman"/>
          <w:bCs/>
          <w:sz w:val="24"/>
          <w:szCs w:val="24"/>
        </w:rPr>
        <w:t>, QFracture® [</w:t>
      </w:r>
      <w:r w:rsidR="001B2633" w:rsidRPr="00AD1549">
        <w:rPr>
          <w:rFonts w:ascii="Calibri" w:eastAsia="Calibri" w:hAnsi="Calibri" w:cs="Times New Roman"/>
          <w:bCs/>
          <w:sz w:val="24"/>
          <w:szCs w:val="24"/>
        </w:rPr>
        <w:t xml:space="preserve">2] </w:t>
      </w:r>
      <w:r w:rsidR="003E4013" w:rsidRPr="00AD1549">
        <w:rPr>
          <w:rFonts w:ascii="Calibri" w:eastAsia="Calibri" w:hAnsi="Calibri" w:cs="Times New Roman"/>
          <w:bCs/>
          <w:sz w:val="24"/>
          <w:szCs w:val="24"/>
        </w:rPr>
        <w:t>and FRAX</w:t>
      </w:r>
      <w:r w:rsidR="0086493E" w:rsidRPr="00AD1549">
        <w:rPr>
          <w:rFonts w:ascii="Calibri" w:eastAsia="Calibri" w:hAnsi="Calibri" w:cs="Calibri"/>
          <w:bCs/>
          <w:sz w:val="24"/>
          <w:szCs w:val="24"/>
        </w:rPr>
        <w:t>®</w:t>
      </w:r>
      <w:r w:rsidR="009D3A10" w:rsidRPr="00AD1549">
        <w:rPr>
          <w:rFonts w:ascii="Calibri" w:eastAsia="Calibri" w:hAnsi="Calibri" w:cs="Times New Roman"/>
          <w:bCs/>
          <w:sz w:val="24"/>
          <w:szCs w:val="24"/>
        </w:rPr>
        <w:t xml:space="preserve"> [</w:t>
      </w:r>
      <w:r w:rsidR="00BA4555" w:rsidRPr="00AD1549">
        <w:rPr>
          <w:rFonts w:ascii="Calibri" w:eastAsia="Calibri" w:hAnsi="Calibri" w:cs="Times New Roman"/>
          <w:bCs/>
          <w:sz w:val="24"/>
          <w:szCs w:val="24"/>
        </w:rPr>
        <w:t>3, 4, 5]</w:t>
      </w:r>
      <w:r w:rsidR="003E4013" w:rsidRPr="00AD1549">
        <w:rPr>
          <w:rFonts w:ascii="Calibri" w:eastAsia="Calibri" w:hAnsi="Calibri" w:cs="Times New Roman"/>
          <w:bCs/>
          <w:sz w:val="24"/>
          <w:szCs w:val="24"/>
        </w:rPr>
        <w:t>.   A</w:t>
      </w:r>
      <w:r w:rsidR="003C5CDB" w:rsidRPr="00AD1549">
        <w:rPr>
          <w:rFonts w:ascii="Calibri" w:eastAsia="Calibri" w:hAnsi="Calibri" w:cs="Times New Roman"/>
          <w:bCs/>
          <w:sz w:val="24"/>
          <w:szCs w:val="24"/>
        </w:rPr>
        <w:t>n</w:t>
      </w:r>
      <w:r w:rsidR="003E4013" w:rsidRPr="00AD1549">
        <w:rPr>
          <w:rFonts w:ascii="Calibri" w:eastAsia="Calibri" w:hAnsi="Calibri" w:cs="Times New Roman"/>
          <w:bCs/>
          <w:sz w:val="24"/>
          <w:szCs w:val="24"/>
        </w:rPr>
        <w:t xml:space="preserve"> </w:t>
      </w:r>
      <w:r w:rsidR="003C5CDB" w:rsidRPr="00AD1549">
        <w:rPr>
          <w:rFonts w:ascii="Calibri" w:eastAsia="Calibri" w:hAnsi="Calibri" w:cs="Times New Roman"/>
          <w:bCs/>
          <w:sz w:val="24"/>
          <w:szCs w:val="24"/>
        </w:rPr>
        <w:t xml:space="preserve">important </w:t>
      </w:r>
      <w:r w:rsidR="003E4013" w:rsidRPr="00AD1549">
        <w:rPr>
          <w:rFonts w:ascii="Calibri" w:eastAsia="Calibri" w:hAnsi="Calibri" w:cs="Times New Roman"/>
          <w:bCs/>
          <w:sz w:val="24"/>
          <w:szCs w:val="24"/>
        </w:rPr>
        <w:t xml:space="preserve">difference between FRAX and other risk models is that the parameters of risk differ (incidence </w:t>
      </w:r>
      <w:r w:rsidR="0086493E" w:rsidRPr="00AD1549">
        <w:rPr>
          <w:rFonts w:ascii="Calibri" w:eastAsia="Calibri" w:hAnsi="Calibri" w:cs="Times New Roman"/>
          <w:bCs/>
          <w:sz w:val="24"/>
          <w:szCs w:val="24"/>
        </w:rPr>
        <w:t xml:space="preserve">for Garvan and QFracture </w:t>
      </w:r>
      <w:r w:rsidR="003E4013" w:rsidRPr="00AD1549">
        <w:rPr>
          <w:rFonts w:ascii="Calibri" w:eastAsia="Calibri" w:hAnsi="Calibri" w:cs="Times New Roman"/>
          <w:bCs/>
          <w:sz w:val="24"/>
          <w:szCs w:val="24"/>
        </w:rPr>
        <w:t>vs. probabilities for FRAX) so that comparative data are not readily interpreted [</w:t>
      </w:r>
      <w:r w:rsidR="003503E5" w:rsidRPr="00AD1549">
        <w:rPr>
          <w:rFonts w:ascii="Calibri" w:eastAsia="Calibri" w:hAnsi="Calibri" w:cs="Times New Roman"/>
          <w:bCs/>
          <w:sz w:val="24"/>
          <w:szCs w:val="24"/>
        </w:rPr>
        <w:t>6]</w:t>
      </w:r>
      <w:r w:rsidR="003E4013" w:rsidRPr="00AD1549">
        <w:rPr>
          <w:rFonts w:ascii="Calibri" w:eastAsia="Calibri" w:hAnsi="Calibri" w:cs="Times New Roman"/>
          <w:bCs/>
          <w:sz w:val="24"/>
          <w:szCs w:val="24"/>
        </w:rPr>
        <w:t>.</w:t>
      </w:r>
      <w:r w:rsidR="00265ACB" w:rsidRPr="00AD1549">
        <w:rPr>
          <w:rFonts w:ascii="Calibri" w:eastAsia="Calibri" w:hAnsi="Calibri" w:cs="Times New Roman"/>
          <w:bCs/>
          <w:sz w:val="24"/>
          <w:szCs w:val="24"/>
        </w:rPr>
        <w:t xml:space="preserve"> </w:t>
      </w:r>
      <w:r w:rsidR="00265ACB" w:rsidRPr="00AD1549">
        <w:t xml:space="preserve"> </w:t>
      </w:r>
      <w:r w:rsidR="00265ACB" w:rsidRPr="00AD1549">
        <w:rPr>
          <w:rFonts w:ascii="Calibri" w:eastAsia="Calibri" w:hAnsi="Calibri" w:cs="Times New Roman"/>
          <w:bCs/>
          <w:sz w:val="24"/>
          <w:szCs w:val="24"/>
        </w:rPr>
        <w:t xml:space="preserve">FRAX is the most widely used </w:t>
      </w:r>
      <w:r w:rsidR="0086493E" w:rsidRPr="00AD1549">
        <w:rPr>
          <w:rFonts w:ascii="Calibri" w:eastAsia="Calibri" w:hAnsi="Calibri" w:cs="Times New Roman"/>
          <w:bCs/>
          <w:sz w:val="24"/>
          <w:szCs w:val="24"/>
        </w:rPr>
        <w:t xml:space="preserve">globally </w:t>
      </w:r>
      <w:r w:rsidR="00265ACB" w:rsidRPr="00AD1549">
        <w:rPr>
          <w:rFonts w:ascii="Calibri" w:eastAsia="Calibri" w:hAnsi="Calibri" w:cs="Times New Roman"/>
          <w:bCs/>
          <w:sz w:val="24"/>
          <w:szCs w:val="24"/>
        </w:rPr>
        <w:t>[</w:t>
      </w:r>
      <w:r w:rsidR="00213F27" w:rsidRPr="00AD1549">
        <w:rPr>
          <w:rFonts w:ascii="Calibri" w:eastAsia="Calibri" w:hAnsi="Calibri" w:cs="Times New Roman"/>
          <w:bCs/>
          <w:sz w:val="24"/>
          <w:szCs w:val="24"/>
        </w:rPr>
        <w:t xml:space="preserve">7] </w:t>
      </w:r>
      <w:r w:rsidR="006D31E3" w:rsidRPr="00AD1549">
        <w:rPr>
          <w:rFonts w:ascii="Calibri" w:eastAsia="Calibri" w:hAnsi="Calibri" w:cs="Times New Roman"/>
          <w:bCs/>
          <w:sz w:val="24"/>
          <w:szCs w:val="24"/>
        </w:rPr>
        <w:t>and computes the 10-year probability of fragility fractures based on several common clinical risk factors and, optionally, a bone densitometry result obtained from dual</w:t>
      </w:r>
      <w:r w:rsidR="0086493E" w:rsidRPr="00AD1549">
        <w:rPr>
          <w:rFonts w:ascii="Calibri" w:eastAsia="Calibri" w:hAnsi="Calibri" w:cs="Times New Roman"/>
          <w:bCs/>
          <w:sz w:val="24"/>
          <w:szCs w:val="24"/>
        </w:rPr>
        <w:t>-</w:t>
      </w:r>
      <w:r w:rsidR="006D31E3" w:rsidRPr="00AD1549">
        <w:rPr>
          <w:rFonts w:ascii="Calibri" w:eastAsia="Calibri" w:hAnsi="Calibri" w:cs="Times New Roman"/>
          <w:bCs/>
          <w:sz w:val="24"/>
          <w:szCs w:val="24"/>
        </w:rPr>
        <w:t>energy x-ray absorptiometry (DXA) [</w:t>
      </w:r>
      <w:r w:rsidR="00CB0818" w:rsidRPr="00AD1549">
        <w:rPr>
          <w:rFonts w:ascii="Calibri" w:eastAsia="Calibri" w:hAnsi="Calibri" w:cs="Times New Roman"/>
          <w:bCs/>
          <w:sz w:val="24"/>
          <w:szCs w:val="24"/>
        </w:rPr>
        <w:t>8</w:t>
      </w:r>
      <w:r w:rsidR="00DD5B30" w:rsidRPr="00AD1549">
        <w:rPr>
          <w:rFonts w:ascii="Calibri" w:eastAsia="Calibri" w:hAnsi="Calibri" w:cs="Times New Roman"/>
          <w:bCs/>
          <w:sz w:val="24"/>
          <w:szCs w:val="24"/>
        </w:rPr>
        <w:t>, 9</w:t>
      </w:r>
      <w:r w:rsidR="00CB0818" w:rsidRPr="00AD1549">
        <w:rPr>
          <w:rFonts w:ascii="Calibri" w:eastAsia="Calibri" w:hAnsi="Calibri" w:cs="Times New Roman"/>
          <w:bCs/>
          <w:sz w:val="24"/>
          <w:szCs w:val="24"/>
        </w:rPr>
        <w:t>]</w:t>
      </w:r>
      <w:r w:rsidR="006D31E3" w:rsidRPr="00AD1549">
        <w:rPr>
          <w:rFonts w:ascii="Calibri" w:eastAsia="Calibri" w:hAnsi="Calibri" w:cs="Times New Roman"/>
          <w:bCs/>
          <w:sz w:val="24"/>
          <w:szCs w:val="24"/>
        </w:rPr>
        <w:t xml:space="preserve">.  FRAX models are available for </w:t>
      </w:r>
      <w:r w:rsidR="003D7C13" w:rsidRPr="00AD1549">
        <w:rPr>
          <w:rFonts w:ascii="Calibri" w:eastAsia="Calibri" w:hAnsi="Calibri" w:cs="Times New Roman"/>
          <w:bCs/>
          <w:sz w:val="24"/>
          <w:szCs w:val="24"/>
        </w:rPr>
        <w:t>80</w:t>
      </w:r>
      <w:r w:rsidR="006D31E3" w:rsidRPr="00AD1549">
        <w:rPr>
          <w:rFonts w:ascii="Calibri" w:eastAsia="Calibri" w:hAnsi="Calibri" w:cs="Times New Roman"/>
          <w:bCs/>
          <w:sz w:val="24"/>
          <w:szCs w:val="24"/>
        </w:rPr>
        <w:t xml:space="preserve"> countries covering more than 80% of the world population at risk [</w:t>
      </w:r>
      <w:r w:rsidR="00691885" w:rsidRPr="00AD1549">
        <w:rPr>
          <w:rFonts w:ascii="Calibri" w:eastAsia="Calibri" w:hAnsi="Calibri" w:cs="Times New Roman"/>
          <w:bCs/>
          <w:sz w:val="24"/>
          <w:szCs w:val="24"/>
        </w:rPr>
        <w:t xml:space="preserve">10] </w:t>
      </w:r>
      <w:r w:rsidR="006D31E3" w:rsidRPr="00AD1549">
        <w:rPr>
          <w:rFonts w:ascii="Calibri" w:eastAsia="Calibri" w:hAnsi="Calibri" w:cs="Times New Roman"/>
          <w:bCs/>
          <w:sz w:val="24"/>
          <w:szCs w:val="24"/>
        </w:rPr>
        <w:t>and have been incorporated into more than 100 guidelines worldwide [</w:t>
      </w:r>
      <w:r w:rsidR="00FF15A5" w:rsidRPr="00AD1549">
        <w:rPr>
          <w:rFonts w:ascii="Calibri" w:eastAsia="Calibri" w:hAnsi="Calibri" w:cs="Times New Roman"/>
          <w:bCs/>
          <w:sz w:val="24"/>
          <w:szCs w:val="24"/>
        </w:rPr>
        <w:t xml:space="preserve">7] </w:t>
      </w:r>
      <w:r w:rsidR="006455E8" w:rsidRPr="00AD1549">
        <w:rPr>
          <w:sz w:val="24"/>
          <w:szCs w:val="24"/>
        </w:rPr>
        <w:t xml:space="preserve">including those from </w:t>
      </w:r>
      <w:r w:rsidR="006455E8" w:rsidRPr="00AD1549">
        <w:rPr>
          <w:rFonts w:ascii="Calibri" w:eastAsia="Calibri" w:hAnsi="Calibri" w:cs="Times New Roman"/>
          <w:bCs/>
          <w:sz w:val="24"/>
          <w:szCs w:val="24"/>
        </w:rPr>
        <w:t>Latin America</w:t>
      </w:r>
      <w:r w:rsidR="00083FA3" w:rsidRPr="00AD1549">
        <w:t xml:space="preserve"> </w:t>
      </w:r>
      <w:r w:rsidR="008D4652" w:rsidRPr="00AD1549">
        <w:t>[</w:t>
      </w:r>
      <w:r w:rsidR="00484454" w:rsidRPr="00AD1549">
        <w:t xml:space="preserve">11, 12, </w:t>
      </w:r>
      <w:r w:rsidR="00484454" w:rsidRPr="00AD1549">
        <w:rPr>
          <w:rFonts w:ascii="Calibri" w:eastAsia="Calibri" w:hAnsi="Calibri" w:cs="Times New Roman"/>
          <w:bCs/>
          <w:sz w:val="24"/>
          <w:szCs w:val="24"/>
        </w:rPr>
        <w:t>13,</w:t>
      </w:r>
      <w:r w:rsidR="00876ED1" w:rsidRPr="00AD1549">
        <w:rPr>
          <w:rFonts w:ascii="Calibri" w:eastAsia="Calibri" w:hAnsi="Calibri" w:cs="Times New Roman"/>
          <w:bCs/>
          <w:sz w:val="24"/>
          <w:szCs w:val="24"/>
        </w:rPr>
        <w:t xml:space="preserve"> 14, 15</w:t>
      </w:r>
      <w:r w:rsidR="009940CB" w:rsidRPr="00AD1549">
        <w:rPr>
          <w:rFonts w:ascii="Calibri" w:eastAsia="Calibri" w:hAnsi="Calibri" w:cs="Times New Roman"/>
          <w:bCs/>
          <w:sz w:val="24"/>
          <w:szCs w:val="24"/>
        </w:rPr>
        <w:t xml:space="preserve">, </w:t>
      </w:r>
      <w:r w:rsidR="00B63767" w:rsidRPr="00AD1549">
        <w:rPr>
          <w:rFonts w:ascii="Calibri" w:eastAsia="Calibri" w:hAnsi="Calibri" w:cs="Times New Roman"/>
          <w:bCs/>
          <w:sz w:val="24"/>
          <w:szCs w:val="24"/>
        </w:rPr>
        <w:t>16</w:t>
      </w:r>
      <w:r w:rsidR="000E1894" w:rsidRPr="00AD1549">
        <w:rPr>
          <w:rFonts w:ascii="Calibri" w:eastAsia="Calibri" w:hAnsi="Calibri" w:cs="Times New Roman"/>
          <w:bCs/>
          <w:sz w:val="24"/>
          <w:szCs w:val="24"/>
        </w:rPr>
        <w:t>].</w:t>
      </w:r>
      <w:r w:rsidRPr="00AD1549">
        <w:rPr>
          <w:rFonts w:ascii="Calibri" w:eastAsia="Calibri" w:hAnsi="Calibri" w:cs="Times New Roman"/>
          <w:bCs/>
          <w:sz w:val="24"/>
          <w:szCs w:val="24"/>
        </w:rPr>
        <w:t xml:space="preserve"> </w:t>
      </w:r>
    </w:p>
    <w:p w14:paraId="2D25CC00" w14:textId="4A55FD6D" w:rsidR="00C8301A" w:rsidRPr="00C8301A" w:rsidRDefault="00C41A32" w:rsidP="00C8301A">
      <w:pPr>
        <w:ind w:left="567"/>
        <w:rPr>
          <w:rFonts w:ascii="Calibri" w:eastAsia="Calibri" w:hAnsi="Calibri" w:cs="Times New Roman"/>
          <w:bCs/>
          <w:sz w:val="24"/>
          <w:szCs w:val="24"/>
        </w:rPr>
      </w:pPr>
      <w:r w:rsidRPr="00AD1549">
        <w:rPr>
          <w:rFonts w:ascii="Calibri" w:eastAsia="Calibri" w:hAnsi="Calibri" w:cs="Times New Roman"/>
          <w:bCs/>
          <w:sz w:val="24"/>
          <w:szCs w:val="24"/>
        </w:rPr>
        <w:t>The use of FRAX demands a consideration</w:t>
      </w:r>
      <w:r>
        <w:rPr>
          <w:rFonts w:ascii="Calibri" w:eastAsia="Calibri" w:hAnsi="Calibri" w:cs="Times New Roman"/>
          <w:bCs/>
          <w:sz w:val="24"/>
          <w:szCs w:val="24"/>
        </w:rPr>
        <w:t xml:space="preserve"> of intervention thresholds</w:t>
      </w:r>
      <w:r w:rsidR="00724D43">
        <w:rPr>
          <w:rFonts w:ascii="Calibri" w:eastAsia="Calibri" w:hAnsi="Calibri" w:cs="Times New Roman"/>
          <w:bCs/>
          <w:sz w:val="24"/>
          <w:szCs w:val="24"/>
        </w:rPr>
        <w:t>, namely the fracture probability at which treatment is recommended</w:t>
      </w:r>
      <w:r w:rsidR="00175B70">
        <w:rPr>
          <w:rFonts w:ascii="Calibri" w:eastAsia="Calibri" w:hAnsi="Calibri" w:cs="Times New Roman"/>
          <w:bCs/>
          <w:sz w:val="24"/>
          <w:szCs w:val="24"/>
        </w:rPr>
        <w:t xml:space="preserve">.  </w:t>
      </w:r>
      <w:r w:rsidR="00A92DAD">
        <w:rPr>
          <w:rFonts w:ascii="Calibri" w:eastAsia="Calibri" w:hAnsi="Calibri" w:cs="Times New Roman"/>
          <w:bCs/>
          <w:sz w:val="24"/>
          <w:szCs w:val="24"/>
        </w:rPr>
        <w:t xml:space="preserve">Several </w:t>
      </w:r>
      <w:r w:rsidR="000A1AD2">
        <w:rPr>
          <w:rFonts w:ascii="Calibri" w:eastAsia="Calibri" w:hAnsi="Calibri" w:cs="Times New Roman"/>
          <w:bCs/>
          <w:sz w:val="24"/>
          <w:szCs w:val="24"/>
        </w:rPr>
        <w:t xml:space="preserve">approaches </w:t>
      </w:r>
      <w:r w:rsidR="00000C28">
        <w:rPr>
          <w:rFonts w:ascii="Calibri" w:eastAsia="Calibri" w:hAnsi="Calibri" w:cs="Times New Roman"/>
          <w:bCs/>
          <w:sz w:val="24"/>
          <w:szCs w:val="24"/>
        </w:rPr>
        <w:t xml:space="preserve">have been adopted </w:t>
      </w:r>
      <w:r w:rsidR="00DD3D6E">
        <w:rPr>
          <w:rFonts w:ascii="Calibri" w:eastAsia="Calibri" w:hAnsi="Calibri" w:cs="Times New Roman"/>
          <w:bCs/>
          <w:sz w:val="24"/>
          <w:szCs w:val="24"/>
        </w:rPr>
        <w:t>including a fixed probability threshol</w:t>
      </w:r>
      <w:r w:rsidR="00CB665C">
        <w:rPr>
          <w:rFonts w:ascii="Calibri" w:eastAsia="Calibri" w:hAnsi="Calibri" w:cs="Times New Roman"/>
          <w:bCs/>
          <w:sz w:val="24"/>
          <w:szCs w:val="24"/>
        </w:rPr>
        <w:t>d</w:t>
      </w:r>
      <w:r w:rsidR="006A39D1">
        <w:rPr>
          <w:rFonts w:ascii="Calibri" w:eastAsia="Calibri" w:hAnsi="Calibri" w:cs="Times New Roman"/>
          <w:bCs/>
          <w:sz w:val="24"/>
          <w:szCs w:val="24"/>
        </w:rPr>
        <w:t>s, age-</w:t>
      </w:r>
      <w:r w:rsidR="00B77597">
        <w:rPr>
          <w:rFonts w:ascii="Calibri" w:eastAsia="Calibri" w:hAnsi="Calibri" w:cs="Times New Roman"/>
          <w:bCs/>
          <w:sz w:val="24"/>
          <w:szCs w:val="24"/>
        </w:rPr>
        <w:t xml:space="preserve">dependent </w:t>
      </w:r>
      <w:proofErr w:type="gramStart"/>
      <w:r w:rsidR="00B77597">
        <w:rPr>
          <w:rFonts w:ascii="Calibri" w:eastAsia="Calibri" w:hAnsi="Calibri" w:cs="Times New Roman"/>
          <w:bCs/>
          <w:sz w:val="24"/>
          <w:szCs w:val="24"/>
        </w:rPr>
        <w:t>thresholds</w:t>
      </w:r>
      <w:proofErr w:type="gramEnd"/>
      <w:r w:rsidR="00B77597">
        <w:rPr>
          <w:rFonts w:ascii="Calibri" w:eastAsia="Calibri" w:hAnsi="Calibri" w:cs="Times New Roman"/>
          <w:bCs/>
          <w:sz w:val="24"/>
          <w:szCs w:val="24"/>
        </w:rPr>
        <w:t xml:space="preserve"> and hybrid approaches</w:t>
      </w:r>
      <w:r w:rsidR="00D62B26">
        <w:rPr>
          <w:rFonts w:ascii="Calibri" w:eastAsia="Calibri" w:hAnsi="Calibri" w:cs="Times New Roman"/>
          <w:bCs/>
          <w:sz w:val="24"/>
          <w:szCs w:val="24"/>
        </w:rPr>
        <w:t xml:space="preserve"> [</w:t>
      </w:r>
      <w:r w:rsidR="00B63767">
        <w:rPr>
          <w:rFonts w:ascii="Calibri" w:eastAsia="Calibri" w:hAnsi="Calibri" w:cs="Times New Roman"/>
          <w:bCs/>
          <w:sz w:val="24"/>
          <w:szCs w:val="24"/>
        </w:rPr>
        <w:t>7]</w:t>
      </w:r>
      <w:r w:rsidR="00B77597">
        <w:rPr>
          <w:rFonts w:ascii="Calibri" w:eastAsia="Calibri" w:hAnsi="Calibri" w:cs="Times New Roman"/>
          <w:bCs/>
          <w:sz w:val="24"/>
          <w:szCs w:val="24"/>
        </w:rPr>
        <w:t xml:space="preserve">.  </w:t>
      </w:r>
      <w:r w:rsidR="00271296" w:rsidRPr="00271296">
        <w:rPr>
          <w:rFonts w:ascii="Calibri" w:eastAsia="Calibri" w:hAnsi="Calibri" w:cs="Times New Roman"/>
          <w:bCs/>
          <w:sz w:val="24"/>
          <w:szCs w:val="24"/>
        </w:rPr>
        <w:t xml:space="preserve">The aim of the present study was to explore a potential assessment pathway for </w:t>
      </w:r>
      <w:r w:rsidR="00B71AD5">
        <w:rPr>
          <w:rFonts w:ascii="Calibri" w:eastAsia="Calibri" w:hAnsi="Calibri" w:cs="Times New Roman"/>
          <w:bCs/>
          <w:sz w:val="24"/>
          <w:szCs w:val="24"/>
        </w:rPr>
        <w:t>fracture ri</w:t>
      </w:r>
      <w:r w:rsidR="003077E5">
        <w:rPr>
          <w:rFonts w:ascii="Calibri" w:eastAsia="Calibri" w:hAnsi="Calibri" w:cs="Times New Roman"/>
          <w:bCs/>
          <w:sz w:val="24"/>
          <w:szCs w:val="24"/>
        </w:rPr>
        <w:t>sk in</w:t>
      </w:r>
      <w:r w:rsidR="00271296" w:rsidRPr="00271296">
        <w:rPr>
          <w:rFonts w:ascii="Calibri" w:eastAsia="Calibri" w:hAnsi="Calibri" w:cs="Times New Roman"/>
          <w:bCs/>
          <w:sz w:val="24"/>
          <w:szCs w:val="24"/>
        </w:rPr>
        <w:t xml:space="preserve"> </w:t>
      </w:r>
      <w:r w:rsidR="00522A04">
        <w:rPr>
          <w:rFonts w:ascii="Calibri" w:eastAsia="Calibri" w:hAnsi="Calibri" w:cs="Times New Roman"/>
          <w:bCs/>
          <w:sz w:val="24"/>
          <w:szCs w:val="24"/>
        </w:rPr>
        <w:t xml:space="preserve">men and </w:t>
      </w:r>
      <w:r w:rsidR="00271296" w:rsidRPr="00271296">
        <w:rPr>
          <w:rFonts w:ascii="Calibri" w:eastAsia="Calibri" w:hAnsi="Calibri" w:cs="Times New Roman"/>
          <w:bCs/>
          <w:sz w:val="24"/>
          <w:szCs w:val="24"/>
        </w:rPr>
        <w:t xml:space="preserve">women </w:t>
      </w:r>
      <w:r w:rsidR="003077E5">
        <w:rPr>
          <w:rFonts w:ascii="Calibri" w:eastAsia="Calibri" w:hAnsi="Calibri" w:cs="Times New Roman"/>
          <w:bCs/>
          <w:sz w:val="24"/>
          <w:szCs w:val="24"/>
        </w:rPr>
        <w:t>from</w:t>
      </w:r>
      <w:r w:rsidR="00271296" w:rsidRPr="00271296">
        <w:rPr>
          <w:rFonts w:ascii="Calibri" w:eastAsia="Calibri" w:hAnsi="Calibri" w:cs="Times New Roman"/>
          <w:bCs/>
          <w:sz w:val="24"/>
          <w:szCs w:val="24"/>
        </w:rPr>
        <w:t xml:space="preserve"> </w:t>
      </w:r>
      <w:r w:rsidR="00B02F52">
        <w:rPr>
          <w:rFonts w:ascii="Calibri" w:eastAsia="Calibri" w:hAnsi="Calibri" w:cs="Times New Roman"/>
          <w:bCs/>
          <w:sz w:val="24"/>
          <w:szCs w:val="24"/>
        </w:rPr>
        <w:t>Chile</w:t>
      </w:r>
      <w:r w:rsidR="00271296" w:rsidRPr="00271296">
        <w:rPr>
          <w:rFonts w:ascii="Calibri" w:eastAsia="Calibri" w:hAnsi="Calibri" w:cs="Times New Roman"/>
          <w:bCs/>
          <w:sz w:val="24"/>
          <w:szCs w:val="24"/>
        </w:rPr>
        <w:t xml:space="preserve"> based on </w:t>
      </w:r>
      <w:r w:rsidR="00B02F52">
        <w:rPr>
          <w:rFonts w:ascii="Calibri" w:eastAsia="Calibri" w:hAnsi="Calibri" w:cs="Times New Roman"/>
          <w:bCs/>
          <w:sz w:val="24"/>
          <w:szCs w:val="24"/>
        </w:rPr>
        <w:t xml:space="preserve">two different </w:t>
      </w:r>
      <w:r w:rsidR="00722A6F">
        <w:rPr>
          <w:rFonts w:ascii="Calibri" w:eastAsia="Calibri" w:hAnsi="Calibri" w:cs="Times New Roman"/>
          <w:bCs/>
          <w:sz w:val="24"/>
          <w:szCs w:val="24"/>
        </w:rPr>
        <w:t xml:space="preserve">FRAX probability derived </w:t>
      </w:r>
      <w:r w:rsidR="00B02F52">
        <w:rPr>
          <w:rFonts w:ascii="Calibri" w:eastAsia="Calibri" w:hAnsi="Calibri" w:cs="Times New Roman"/>
          <w:bCs/>
          <w:sz w:val="24"/>
          <w:szCs w:val="24"/>
        </w:rPr>
        <w:t>intervention thresholds</w:t>
      </w:r>
      <w:r w:rsidR="00271296" w:rsidRPr="00271296">
        <w:rPr>
          <w:rFonts w:ascii="Calibri" w:eastAsia="Calibri" w:hAnsi="Calibri" w:cs="Times New Roman"/>
          <w:bCs/>
          <w:sz w:val="24"/>
          <w:szCs w:val="24"/>
        </w:rPr>
        <w:t>.</w:t>
      </w:r>
    </w:p>
    <w:p w14:paraId="28EAFCE7" w14:textId="77777777" w:rsidR="00E0088F" w:rsidRPr="00FE7B32" w:rsidRDefault="00E0088F" w:rsidP="00923A66">
      <w:pPr>
        <w:autoSpaceDE w:val="0"/>
        <w:autoSpaceDN w:val="0"/>
        <w:adjustRightInd w:val="0"/>
        <w:spacing w:after="0" w:line="276" w:lineRule="auto"/>
        <w:ind w:left="567"/>
        <w:rPr>
          <w:rFonts w:ascii="Calibri" w:hAnsi="Calibri" w:cs="Calibri"/>
          <w:b/>
          <w:bCs/>
          <w:color w:val="FF0000"/>
          <w:sz w:val="20"/>
          <w:szCs w:val="20"/>
        </w:rPr>
      </w:pPr>
    </w:p>
    <w:p w14:paraId="07676AA8" w14:textId="395BD554" w:rsidR="00E0088F" w:rsidRPr="00F3236F" w:rsidRDefault="00E0088F" w:rsidP="00923A66">
      <w:pPr>
        <w:autoSpaceDE w:val="0"/>
        <w:autoSpaceDN w:val="0"/>
        <w:adjustRightInd w:val="0"/>
        <w:spacing w:after="0" w:line="276" w:lineRule="auto"/>
        <w:ind w:left="567"/>
        <w:rPr>
          <w:rFonts w:ascii="Calibri" w:hAnsi="Calibri" w:cs="Calibri"/>
          <w:b/>
          <w:bCs/>
          <w:sz w:val="24"/>
          <w:szCs w:val="24"/>
        </w:rPr>
      </w:pPr>
      <w:r w:rsidRPr="00F3236F">
        <w:rPr>
          <w:rFonts w:ascii="Calibri" w:hAnsi="Calibri" w:cs="Calibri"/>
          <w:b/>
          <w:bCs/>
          <w:sz w:val="24"/>
          <w:szCs w:val="24"/>
        </w:rPr>
        <w:t>Methods</w:t>
      </w:r>
    </w:p>
    <w:p w14:paraId="1313C046" w14:textId="77777777" w:rsidR="00BB0AF5" w:rsidRPr="00F3236F" w:rsidRDefault="00BB0AF5" w:rsidP="00923A66">
      <w:pPr>
        <w:autoSpaceDE w:val="0"/>
        <w:autoSpaceDN w:val="0"/>
        <w:adjustRightInd w:val="0"/>
        <w:spacing w:after="0" w:line="276" w:lineRule="auto"/>
        <w:ind w:left="567"/>
        <w:rPr>
          <w:rFonts w:ascii="Calibri" w:hAnsi="Calibri" w:cs="Calibri"/>
          <w:b/>
          <w:bCs/>
          <w:sz w:val="24"/>
          <w:szCs w:val="24"/>
        </w:rPr>
      </w:pPr>
    </w:p>
    <w:p w14:paraId="754F56C6" w14:textId="5A70E5E9" w:rsidR="00B12111" w:rsidRPr="00F3236F" w:rsidRDefault="00B12111" w:rsidP="00923A66">
      <w:pPr>
        <w:autoSpaceDE w:val="0"/>
        <w:autoSpaceDN w:val="0"/>
        <w:adjustRightInd w:val="0"/>
        <w:spacing w:after="0" w:line="276" w:lineRule="auto"/>
        <w:ind w:left="567"/>
        <w:rPr>
          <w:rFonts w:ascii="Calibri" w:hAnsi="Calibri" w:cs="Calibri"/>
          <w:i/>
          <w:iCs/>
          <w:sz w:val="24"/>
          <w:szCs w:val="24"/>
        </w:rPr>
      </w:pPr>
      <w:r w:rsidRPr="00F3236F">
        <w:rPr>
          <w:rFonts w:ascii="Calibri" w:hAnsi="Calibri" w:cs="Calibri"/>
          <w:i/>
          <w:iCs/>
          <w:sz w:val="24"/>
          <w:szCs w:val="24"/>
        </w:rPr>
        <w:t>Populatio</w:t>
      </w:r>
      <w:r w:rsidR="00BB0AF5" w:rsidRPr="00F3236F">
        <w:rPr>
          <w:rFonts w:ascii="Calibri" w:hAnsi="Calibri" w:cs="Calibri"/>
          <w:i/>
          <w:iCs/>
          <w:sz w:val="24"/>
          <w:szCs w:val="24"/>
        </w:rPr>
        <w:t>n studied</w:t>
      </w:r>
    </w:p>
    <w:p w14:paraId="3ED6CB68" w14:textId="1B9ED35D" w:rsidR="009C3DEB" w:rsidRPr="00AD1549" w:rsidRDefault="009C3DEB" w:rsidP="009C3DEB">
      <w:pPr>
        <w:autoSpaceDE w:val="0"/>
        <w:autoSpaceDN w:val="0"/>
        <w:adjustRightInd w:val="0"/>
        <w:spacing w:after="0" w:line="276" w:lineRule="auto"/>
        <w:ind w:left="567"/>
        <w:rPr>
          <w:rFonts w:ascii="Calibri" w:hAnsi="Calibri" w:cs="Calibri"/>
          <w:sz w:val="24"/>
          <w:szCs w:val="24"/>
        </w:rPr>
      </w:pPr>
      <w:r w:rsidRPr="00EC588C">
        <w:rPr>
          <w:sz w:val="24"/>
          <w:szCs w:val="24"/>
        </w:rPr>
        <w:t xml:space="preserve">The present study </w:t>
      </w:r>
      <w:r w:rsidR="002352FA" w:rsidRPr="00EC588C">
        <w:rPr>
          <w:sz w:val="24"/>
          <w:szCs w:val="24"/>
        </w:rPr>
        <w:t>comprised</w:t>
      </w:r>
      <w:r w:rsidRPr="00EC588C">
        <w:rPr>
          <w:sz w:val="24"/>
          <w:szCs w:val="24"/>
        </w:rPr>
        <w:t xml:space="preserve"> data</w:t>
      </w:r>
      <w:r w:rsidR="003B5996">
        <w:rPr>
          <w:sz w:val="24"/>
          <w:szCs w:val="24"/>
        </w:rPr>
        <w:t xml:space="preserve"> from </w:t>
      </w:r>
      <w:r w:rsidRPr="00EC588C">
        <w:rPr>
          <w:sz w:val="24"/>
          <w:szCs w:val="24"/>
        </w:rPr>
        <w:t>participants in the National Health Survey 2016 - 2017, third version</w:t>
      </w:r>
      <w:proofErr w:type="gramStart"/>
      <w:r w:rsidRPr="00EC588C">
        <w:rPr>
          <w:sz w:val="24"/>
          <w:szCs w:val="24"/>
        </w:rPr>
        <w:t xml:space="preserve">. </w:t>
      </w:r>
      <w:proofErr w:type="gramEnd"/>
      <w:r w:rsidR="002016C3" w:rsidRPr="00EC588C">
        <w:rPr>
          <w:sz w:val="24"/>
          <w:szCs w:val="24"/>
        </w:rPr>
        <w:t xml:space="preserve">The </w:t>
      </w:r>
      <w:r w:rsidRPr="00EC588C">
        <w:rPr>
          <w:sz w:val="24"/>
          <w:szCs w:val="24"/>
        </w:rPr>
        <w:t xml:space="preserve">survey </w:t>
      </w:r>
      <w:r w:rsidR="002016C3" w:rsidRPr="00EC588C">
        <w:rPr>
          <w:sz w:val="24"/>
          <w:szCs w:val="24"/>
        </w:rPr>
        <w:t xml:space="preserve">was </w:t>
      </w:r>
      <w:r w:rsidRPr="00EC588C">
        <w:rPr>
          <w:sz w:val="24"/>
          <w:szCs w:val="24"/>
        </w:rPr>
        <w:t xml:space="preserve">a national cross-sectional study that collected information between August 2016 and January 2017 from 6027 </w:t>
      </w:r>
      <w:r w:rsidR="00C04CB3" w:rsidRPr="00EC588C">
        <w:rPr>
          <w:sz w:val="24"/>
          <w:szCs w:val="24"/>
        </w:rPr>
        <w:t xml:space="preserve">men and women </w:t>
      </w:r>
      <w:proofErr w:type="gramStart"/>
      <w:r w:rsidRPr="00EC588C">
        <w:rPr>
          <w:sz w:val="24"/>
          <w:szCs w:val="24"/>
        </w:rPr>
        <w:t>age</w:t>
      </w:r>
      <w:proofErr w:type="gramEnd"/>
      <w:r w:rsidRPr="00EC588C">
        <w:rPr>
          <w:sz w:val="24"/>
          <w:szCs w:val="24"/>
        </w:rPr>
        <w:t xml:space="preserve"> 15 years and over</w:t>
      </w:r>
      <w:r w:rsidR="0063084D" w:rsidRPr="00EC588C">
        <w:rPr>
          <w:sz w:val="24"/>
          <w:szCs w:val="24"/>
        </w:rPr>
        <w:t xml:space="preserve"> </w:t>
      </w:r>
      <w:r w:rsidRPr="00EC588C">
        <w:rPr>
          <w:sz w:val="24"/>
          <w:szCs w:val="24"/>
        </w:rPr>
        <w:t>from urban and rural areas of the 15 regions of Chile. The population sample was probabilistic and geographically stratified</w:t>
      </w:r>
      <w:proofErr w:type="gramStart"/>
      <w:r w:rsidRPr="00EC588C">
        <w:rPr>
          <w:sz w:val="24"/>
          <w:szCs w:val="24"/>
        </w:rPr>
        <w:t xml:space="preserve">. </w:t>
      </w:r>
      <w:proofErr w:type="gramEnd"/>
      <w:r w:rsidRPr="00EC588C">
        <w:rPr>
          <w:sz w:val="24"/>
          <w:szCs w:val="24"/>
        </w:rPr>
        <w:t xml:space="preserve">The full sample design and methodological details have been described </w:t>
      </w:r>
      <w:r w:rsidRPr="00461B45">
        <w:rPr>
          <w:sz w:val="24"/>
          <w:szCs w:val="24"/>
        </w:rPr>
        <w:t>elsewhere [</w:t>
      </w:r>
      <w:r w:rsidR="005B08AE">
        <w:rPr>
          <w:sz w:val="24"/>
          <w:szCs w:val="24"/>
        </w:rPr>
        <w:t>17</w:t>
      </w:r>
      <w:r w:rsidRPr="00461B45">
        <w:rPr>
          <w:sz w:val="24"/>
          <w:szCs w:val="24"/>
        </w:rPr>
        <w:t>]</w:t>
      </w:r>
      <w:proofErr w:type="gramStart"/>
      <w:r w:rsidRPr="00461B45">
        <w:rPr>
          <w:sz w:val="24"/>
          <w:szCs w:val="24"/>
        </w:rPr>
        <w:t xml:space="preserve">. </w:t>
      </w:r>
      <w:proofErr w:type="gramEnd"/>
      <w:r w:rsidRPr="00461B45">
        <w:rPr>
          <w:sz w:val="24"/>
          <w:szCs w:val="24"/>
        </w:rPr>
        <w:t xml:space="preserve">The </w:t>
      </w:r>
      <w:r w:rsidR="00887F82" w:rsidRPr="00461B45">
        <w:rPr>
          <w:sz w:val="24"/>
          <w:szCs w:val="24"/>
        </w:rPr>
        <w:t xml:space="preserve">survey </w:t>
      </w:r>
      <w:r w:rsidRPr="00461B45">
        <w:rPr>
          <w:sz w:val="24"/>
          <w:szCs w:val="24"/>
        </w:rPr>
        <w:t>mostly used internationally validated instruments and was designed to estimate the prevalence of priority health problems and associated risk factors</w:t>
      </w:r>
      <w:proofErr w:type="gramStart"/>
      <w:r w:rsidRPr="00461B45">
        <w:rPr>
          <w:sz w:val="24"/>
          <w:szCs w:val="24"/>
        </w:rPr>
        <w:t xml:space="preserve">. </w:t>
      </w:r>
      <w:proofErr w:type="gramEnd"/>
      <w:r w:rsidRPr="00461B45">
        <w:rPr>
          <w:sz w:val="24"/>
          <w:szCs w:val="24"/>
        </w:rPr>
        <w:t>The forms, database, manuals</w:t>
      </w:r>
      <w:r w:rsidRPr="00AD1549">
        <w:rPr>
          <w:sz w:val="24"/>
          <w:szCs w:val="24"/>
        </w:rPr>
        <w:t>, and codebooks are publicly available and can be downloaded from the web [</w:t>
      </w:r>
      <w:r w:rsidR="005B08AE" w:rsidRPr="00AD1549">
        <w:rPr>
          <w:sz w:val="24"/>
          <w:szCs w:val="24"/>
        </w:rPr>
        <w:t>18]</w:t>
      </w:r>
      <w:proofErr w:type="gramStart"/>
      <w:r w:rsidRPr="00AD1549">
        <w:rPr>
          <w:sz w:val="24"/>
          <w:szCs w:val="24"/>
        </w:rPr>
        <w:t xml:space="preserve">. </w:t>
      </w:r>
      <w:proofErr w:type="gramEnd"/>
      <w:r w:rsidR="00050F85" w:rsidRPr="00AD1549">
        <w:rPr>
          <w:sz w:val="24"/>
          <w:szCs w:val="24"/>
        </w:rPr>
        <w:t>For the purposes of this report</w:t>
      </w:r>
      <w:r w:rsidR="0072696D" w:rsidRPr="00AD1549">
        <w:rPr>
          <w:sz w:val="24"/>
          <w:szCs w:val="24"/>
        </w:rPr>
        <w:t xml:space="preserve">, all men and </w:t>
      </w:r>
      <w:r w:rsidRPr="00AD1549">
        <w:rPr>
          <w:sz w:val="24"/>
          <w:szCs w:val="24"/>
        </w:rPr>
        <w:t>women age</w:t>
      </w:r>
      <w:r w:rsidR="003B5996" w:rsidRPr="00AD1549">
        <w:rPr>
          <w:sz w:val="24"/>
          <w:szCs w:val="24"/>
        </w:rPr>
        <w:t>d</w:t>
      </w:r>
      <w:r w:rsidRPr="00AD1549">
        <w:rPr>
          <w:sz w:val="24"/>
          <w:szCs w:val="24"/>
        </w:rPr>
        <w:t xml:space="preserve"> 50 years </w:t>
      </w:r>
      <w:r w:rsidR="003B5996" w:rsidRPr="00AD1549">
        <w:rPr>
          <w:sz w:val="24"/>
          <w:szCs w:val="24"/>
        </w:rPr>
        <w:t xml:space="preserve">or </w:t>
      </w:r>
      <w:r w:rsidRPr="00AD1549">
        <w:rPr>
          <w:sz w:val="24"/>
          <w:szCs w:val="24"/>
        </w:rPr>
        <w:t>older were selected</w:t>
      </w:r>
      <w:r w:rsidR="00DC1109" w:rsidRPr="00AD1549">
        <w:rPr>
          <w:sz w:val="24"/>
          <w:szCs w:val="24"/>
        </w:rPr>
        <w:t xml:space="preserve"> (n=</w:t>
      </w:r>
      <w:r w:rsidR="00DB7E50" w:rsidRPr="00AD1549">
        <w:rPr>
          <w:sz w:val="24"/>
          <w:szCs w:val="24"/>
        </w:rPr>
        <w:t>1122</w:t>
      </w:r>
      <w:r w:rsidR="00DC1109" w:rsidRPr="00AD1549">
        <w:rPr>
          <w:sz w:val="24"/>
          <w:szCs w:val="24"/>
        </w:rPr>
        <w:t xml:space="preserve"> and n=</w:t>
      </w:r>
      <w:r w:rsidR="00E62724" w:rsidRPr="00AD1549">
        <w:rPr>
          <w:rFonts w:ascii="Calibri" w:eastAsia="Calibri" w:hAnsi="Calibri" w:cs="Times New Roman"/>
          <w:sz w:val="24"/>
          <w:szCs w:val="24"/>
        </w:rPr>
        <w:t>1998</w:t>
      </w:r>
      <w:r w:rsidR="00DC1109" w:rsidRPr="00AD1549">
        <w:rPr>
          <w:sz w:val="24"/>
          <w:szCs w:val="24"/>
        </w:rPr>
        <w:t xml:space="preserve"> for men and women, respectively)</w:t>
      </w:r>
      <w:r w:rsidR="001D2826" w:rsidRPr="00AD1549">
        <w:rPr>
          <w:sz w:val="24"/>
          <w:szCs w:val="24"/>
        </w:rPr>
        <w:t>.</w:t>
      </w:r>
      <w:r w:rsidRPr="00AD1549">
        <w:rPr>
          <w:sz w:val="24"/>
          <w:szCs w:val="24"/>
        </w:rPr>
        <w:t xml:space="preserve"> </w:t>
      </w:r>
      <w:r w:rsidR="001D2826" w:rsidRPr="00AD1549">
        <w:rPr>
          <w:sz w:val="24"/>
          <w:szCs w:val="24"/>
        </w:rPr>
        <w:t xml:space="preserve"> </w:t>
      </w:r>
      <w:r w:rsidRPr="00AD1549">
        <w:rPr>
          <w:sz w:val="24"/>
          <w:szCs w:val="24"/>
        </w:rPr>
        <w:t xml:space="preserve">The study was approved by the ethics committee of the Hospital </w:t>
      </w:r>
      <w:proofErr w:type="spellStart"/>
      <w:r w:rsidRPr="00AD1549">
        <w:rPr>
          <w:sz w:val="24"/>
          <w:szCs w:val="24"/>
        </w:rPr>
        <w:t>Docente</w:t>
      </w:r>
      <w:proofErr w:type="spellEnd"/>
      <w:r w:rsidRPr="00AD1549">
        <w:rPr>
          <w:sz w:val="24"/>
          <w:szCs w:val="24"/>
        </w:rPr>
        <w:t xml:space="preserve"> Policía Nacional Guayaquil No.2, Ecuador. </w:t>
      </w:r>
    </w:p>
    <w:p w14:paraId="7B992634" w14:textId="77777777" w:rsidR="001D2826" w:rsidRPr="00AD1549" w:rsidRDefault="001D2826" w:rsidP="009C3DEB">
      <w:pPr>
        <w:autoSpaceDE w:val="0"/>
        <w:autoSpaceDN w:val="0"/>
        <w:adjustRightInd w:val="0"/>
        <w:spacing w:after="0" w:line="276" w:lineRule="auto"/>
        <w:ind w:left="567"/>
        <w:rPr>
          <w:sz w:val="24"/>
          <w:szCs w:val="24"/>
        </w:rPr>
      </w:pPr>
    </w:p>
    <w:p w14:paraId="6B7D5013" w14:textId="77777777" w:rsidR="000F597A" w:rsidRPr="00AD1549" w:rsidRDefault="000F597A" w:rsidP="009C3DEB">
      <w:pPr>
        <w:autoSpaceDE w:val="0"/>
        <w:autoSpaceDN w:val="0"/>
        <w:adjustRightInd w:val="0"/>
        <w:spacing w:after="0" w:line="276" w:lineRule="auto"/>
        <w:ind w:left="567"/>
        <w:rPr>
          <w:sz w:val="24"/>
          <w:szCs w:val="24"/>
        </w:rPr>
      </w:pPr>
    </w:p>
    <w:p w14:paraId="4B250005" w14:textId="6A481C94" w:rsidR="001D2826" w:rsidRPr="00AD1549" w:rsidRDefault="00EC39CE" w:rsidP="009C3DEB">
      <w:pPr>
        <w:autoSpaceDE w:val="0"/>
        <w:autoSpaceDN w:val="0"/>
        <w:adjustRightInd w:val="0"/>
        <w:spacing w:after="0" w:line="276" w:lineRule="auto"/>
        <w:ind w:left="567"/>
        <w:rPr>
          <w:i/>
          <w:iCs/>
          <w:sz w:val="24"/>
          <w:szCs w:val="24"/>
        </w:rPr>
      </w:pPr>
      <w:r w:rsidRPr="00AD1549">
        <w:rPr>
          <w:i/>
          <w:iCs/>
          <w:sz w:val="24"/>
          <w:szCs w:val="24"/>
        </w:rPr>
        <w:t>FRAX</w:t>
      </w:r>
      <w:r w:rsidR="009758AA" w:rsidRPr="00AD1549">
        <w:rPr>
          <w:i/>
          <w:iCs/>
          <w:sz w:val="24"/>
          <w:szCs w:val="24"/>
        </w:rPr>
        <w:t xml:space="preserve"> va</w:t>
      </w:r>
      <w:r w:rsidR="000F597A" w:rsidRPr="00AD1549">
        <w:rPr>
          <w:i/>
          <w:iCs/>
          <w:sz w:val="24"/>
          <w:szCs w:val="24"/>
        </w:rPr>
        <w:t>r</w:t>
      </w:r>
      <w:r w:rsidR="009758AA" w:rsidRPr="00AD1549">
        <w:rPr>
          <w:i/>
          <w:iCs/>
          <w:sz w:val="24"/>
          <w:szCs w:val="24"/>
        </w:rPr>
        <w:t>i</w:t>
      </w:r>
      <w:r w:rsidR="000F597A" w:rsidRPr="00AD1549">
        <w:rPr>
          <w:i/>
          <w:iCs/>
          <w:sz w:val="24"/>
          <w:szCs w:val="24"/>
        </w:rPr>
        <w:t>ables</w:t>
      </w:r>
    </w:p>
    <w:p w14:paraId="14F50825" w14:textId="015E6B34" w:rsidR="004F4C2D" w:rsidRPr="00AD1549" w:rsidRDefault="00983ACB" w:rsidP="009C3DEB">
      <w:pPr>
        <w:autoSpaceDE w:val="0"/>
        <w:autoSpaceDN w:val="0"/>
        <w:adjustRightInd w:val="0"/>
        <w:spacing w:after="0" w:line="276" w:lineRule="auto"/>
        <w:ind w:left="567"/>
        <w:rPr>
          <w:sz w:val="24"/>
          <w:szCs w:val="24"/>
        </w:rPr>
      </w:pPr>
      <w:r w:rsidRPr="00AD1549">
        <w:rPr>
          <w:sz w:val="24"/>
          <w:szCs w:val="24"/>
        </w:rPr>
        <w:lastRenderedPageBreak/>
        <w:t>A structured questionnaire was used to collect information from all participants</w:t>
      </w:r>
      <w:r w:rsidR="002A3F01" w:rsidRPr="00AD1549">
        <w:rPr>
          <w:sz w:val="24"/>
          <w:szCs w:val="24"/>
        </w:rPr>
        <w:t xml:space="preserve">. </w:t>
      </w:r>
      <w:r w:rsidRPr="00AD1549">
        <w:rPr>
          <w:sz w:val="24"/>
          <w:szCs w:val="24"/>
        </w:rPr>
        <w:t xml:space="preserve"> </w:t>
      </w:r>
      <w:r w:rsidR="009B796B" w:rsidRPr="00AD1549">
        <w:rPr>
          <w:sz w:val="24"/>
          <w:szCs w:val="24"/>
        </w:rPr>
        <w:t xml:space="preserve">No data on bone mineral density </w:t>
      </w:r>
      <w:r w:rsidR="005E2193" w:rsidRPr="00AD1549">
        <w:rPr>
          <w:sz w:val="24"/>
          <w:szCs w:val="24"/>
        </w:rPr>
        <w:t xml:space="preserve">(BMD) </w:t>
      </w:r>
      <w:r w:rsidR="009B796B" w:rsidRPr="00AD1549">
        <w:rPr>
          <w:sz w:val="24"/>
          <w:szCs w:val="24"/>
        </w:rPr>
        <w:t xml:space="preserve">were available.  </w:t>
      </w:r>
      <w:r w:rsidR="009C3DEB" w:rsidRPr="00AD1549">
        <w:rPr>
          <w:sz w:val="24"/>
          <w:szCs w:val="24"/>
        </w:rPr>
        <w:t>Age and sex were self-reported</w:t>
      </w:r>
      <w:r w:rsidR="00E91B68" w:rsidRPr="00AD1549">
        <w:rPr>
          <w:sz w:val="24"/>
          <w:szCs w:val="24"/>
        </w:rPr>
        <w:t>.  H</w:t>
      </w:r>
      <w:r w:rsidR="009C3DEB" w:rsidRPr="00AD1549">
        <w:rPr>
          <w:sz w:val="24"/>
          <w:szCs w:val="24"/>
        </w:rPr>
        <w:t xml:space="preserve">eight was measured in </w:t>
      </w:r>
      <w:r w:rsidR="00193375" w:rsidRPr="00AD1549">
        <w:rPr>
          <w:sz w:val="24"/>
          <w:szCs w:val="24"/>
        </w:rPr>
        <w:t>centimetres</w:t>
      </w:r>
      <w:r w:rsidR="009C3DEB" w:rsidRPr="00AD1549">
        <w:rPr>
          <w:sz w:val="24"/>
          <w:szCs w:val="24"/>
        </w:rPr>
        <w:t xml:space="preserve"> and weight in kilograms, and body mass index (</w:t>
      </w:r>
      <w:r w:rsidR="00C05AC9" w:rsidRPr="00AD1549">
        <w:rPr>
          <w:sz w:val="24"/>
          <w:szCs w:val="24"/>
        </w:rPr>
        <w:t>BMI</w:t>
      </w:r>
      <w:r w:rsidR="009C3DEB" w:rsidRPr="00AD1549">
        <w:rPr>
          <w:sz w:val="24"/>
          <w:szCs w:val="24"/>
        </w:rPr>
        <w:t>) was calculated</w:t>
      </w:r>
      <w:r w:rsidR="006B1149" w:rsidRPr="00AD1549">
        <w:rPr>
          <w:sz w:val="24"/>
          <w:szCs w:val="24"/>
        </w:rPr>
        <w:t xml:space="preserve"> as</w:t>
      </w:r>
      <w:r w:rsidR="00802B5D" w:rsidRPr="00AD1549">
        <w:rPr>
          <w:sz w:val="24"/>
          <w:szCs w:val="24"/>
        </w:rPr>
        <w:t xml:space="preserve"> weight in kilograms divided by height in meters </w:t>
      </w:r>
      <w:r w:rsidR="004618D5" w:rsidRPr="00AD1549">
        <w:rPr>
          <w:sz w:val="24"/>
          <w:szCs w:val="24"/>
        </w:rPr>
        <w:t>squared.</w:t>
      </w:r>
      <w:r w:rsidR="009C3DEB" w:rsidRPr="00AD1549">
        <w:rPr>
          <w:sz w:val="24"/>
          <w:szCs w:val="24"/>
        </w:rPr>
        <w:t xml:space="preserve"> </w:t>
      </w:r>
      <w:r w:rsidR="00EC0A54" w:rsidRPr="00AD1549">
        <w:rPr>
          <w:sz w:val="24"/>
          <w:szCs w:val="24"/>
        </w:rPr>
        <w:t xml:space="preserve"> </w:t>
      </w:r>
      <w:r w:rsidR="00FF2788" w:rsidRPr="00AD1549">
        <w:rPr>
          <w:sz w:val="24"/>
          <w:szCs w:val="24"/>
        </w:rPr>
        <w:t xml:space="preserve">Data on BMI were </w:t>
      </w:r>
      <w:r w:rsidR="00475897" w:rsidRPr="00AD1549">
        <w:rPr>
          <w:sz w:val="24"/>
          <w:szCs w:val="24"/>
        </w:rPr>
        <w:t>available in 8</w:t>
      </w:r>
      <w:r w:rsidR="00927322" w:rsidRPr="00AD1549">
        <w:rPr>
          <w:sz w:val="24"/>
          <w:szCs w:val="24"/>
        </w:rPr>
        <w:t>9</w:t>
      </w:r>
      <w:r w:rsidR="00475897" w:rsidRPr="00AD1549">
        <w:rPr>
          <w:sz w:val="24"/>
          <w:szCs w:val="24"/>
        </w:rPr>
        <w:t xml:space="preserve">% of men and 90% in </w:t>
      </w:r>
      <w:r w:rsidR="00B94C56" w:rsidRPr="00AD1549">
        <w:rPr>
          <w:sz w:val="24"/>
          <w:szCs w:val="24"/>
        </w:rPr>
        <w:t>w</w:t>
      </w:r>
      <w:r w:rsidR="00475897" w:rsidRPr="00AD1549">
        <w:rPr>
          <w:sz w:val="24"/>
          <w:szCs w:val="24"/>
        </w:rPr>
        <w:t>omen</w:t>
      </w:r>
      <w:r w:rsidR="00203C49" w:rsidRPr="00AD1549">
        <w:rPr>
          <w:sz w:val="24"/>
          <w:szCs w:val="24"/>
        </w:rPr>
        <w:t xml:space="preserve"> (n=129 and </w:t>
      </w:r>
      <w:r w:rsidR="00B94C56" w:rsidRPr="00AD1549">
        <w:rPr>
          <w:sz w:val="24"/>
          <w:szCs w:val="24"/>
        </w:rPr>
        <w:t>2</w:t>
      </w:r>
      <w:r w:rsidR="00203C49" w:rsidRPr="00AD1549">
        <w:rPr>
          <w:sz w:val="24"/>
          <w:szCs w:val="24"/>
        </w:rPr>
        <w:t>08</w:t>
      </w:r>
      <w:r w:rsidR="00DB7E50" w:rsidRPr="00AD1549">
        <w:rPr>
          <w:sz w:val="24"/>
          <w:szCs w:val="24"/>
        </w:rPr>
        <w:t xml:space="preserve"> missing</w:t>
      </w:r>
      <w:r w:rsidR="00203C49" w:rsidRPr="00AD1549">
        <w:rPr>
          <w:sz w:val="24"/>
          <w:szCs w:val="24"/>
        </w:rPr>
        <w:t>, respectively)</w:t>
      </w:r>
      <w:r w:rsidR="00B94C56" w:rsidRPr="00AD1549">
        <w:rPr>
          <w:sz w:val="24"/>
          <w:szCs w:val="24"/>
        </w:rPr>
        <w:t xml:space="preserve">. </w:t>
      </w:r>
      <w:r w:rsidR="00A9119D" w:rsidRPr="00AD1549">
        <w:rPr>
          <w:sz w:val="24"/>
          <w:szCs w:val="24"/>
        </w:rPr>
        <w:t xml:space="preserve"> </w:t>
      </w:r>
      <w:proofErr w:type="gramStart"/>
      <w:r w:rsidR="00B24A72" w:rsidRPr="00AD1549">
        <w:rPr>
          <w:sz w:val="24"/>
          <w:szCs w:val="24"/>
        </w:rPr>
        <w:t>With regard to</w:t>
      </w:r>
      <w:proofErr w:type="gramEnd"/>
      <w:r w:rsidR="00B24A72" w:rsidRPr="00AD1549">
        <w:rPr>
          <w:sz w:val="24"/>
          <w:szCs w:val="24"/>
        </w:rPr>
        <w:t xml:space="preserve"> the dichotomous FRAX variables, </w:t>
      </w:r>
      <w:r w:rsidR="003B5996" w:rsidRPr="00AD1549">
        <w:rPr>
          <w:sz w:val="24"/>
          <w:szCs w:val="24"/>
        </w:rPr>
        <w:t xml:space="preserve">information on </w:t>
      </w:r>
      <w:r w:rsidR="002A7197" w:rsidRPr="00AD1549">
        <w:rPr>
          <w:rFonts w:ascii="Calibri" w:hAnsi="Calibri" w:cs="Calibri"/>
          <w:sz w:val="24"/>
          <w:szCs w:val="24"/>
        </w:rPr>
        <w:t>current smoking was available in all men and women</w:t>
      </w:r>
      <w:r w:rsidR="003B5996" w:rsidRPr="00AD1549">
        <w:rPr>
          <w:rFonts w:ascii="Calibri" w:hAnsi="Calibri" w:cs="Calibri"/>
          <w:sz w:val="24"/>
          <w:szCs w:val="24"/>
        </w:rPr>
        <w:t xml:space="preserve">, and for </w:t>
      </w:r>
      <w:r w:rsidR="0054142A" w:rsidRPr="00AD1549">
        <w:rPr>
          <w:rFonts w:ascii="Calibri" w:hAnsi="Calibri" w:cs="Calibri"/>
          <w:sz w:val="24"/>
          <w:szCs w:val="24"/>
        </w:rPr>
        <w:t xml:space="preserve">causes of </w:t>
      </w:r>
      <w:r w:rsidR="00DC1109" w:rsidRPr="00AD1549">
        <w:rPr>
          <w:rFonts w:ascii="Calibri" w:hAnsi="Calibri" w:cs="Calibri"/>
          <w:sz w:val="24"/>
          <w:szCs w:val="24"/>
        </w:rPr>
        <w:t xml:space="preserve">secondary </w:t>
      </w:r>
      <w:r w:rsidR="0054142A" w:rsidRPr="00AD1549">
        <w:rPr>
          <w:rFonts w:ascii="Calibri" w:hAnsi="Calibri" w:cs="Calibri"/>
          <w:sz w:val="24"/>
          <w:szCs w:val="24"/>
        </w:rPr>
        <w:t>osteoporosis was available in all</w:t>
      </w:r>
      <w:r w:rsidR="00AE4DE1" w:rsidRPr="00AD1549">
        <w:rPr>
          <w:rFonts w:ascii="Calibri" w:hAnsi="Calibri" w:cs="Calibri"/>
          <w:sz w:val="24"/>
          <w:szCs w:val="24"/>
        </w:rPr>
        <w:t xml:space="preserve"> except fo</w:t>
      </w:r>
      <w:r w:rsidR="00613633" w:rsidRPr="00AD1549">
        <w:rPr>
          <w:rFonts w:ascii="Calibri" w:hAnsi="Calibri" w:cs="Calibri"/>
          <w:sz w:val="24"/>
          <w:szCs w:val="24"/>
        </w:rPr>
        <w:t>r</w:t>
      </w:r>
      <w:r w:rsidR="00AE4DE1" w:rsidRPr="00AD1549">
        <w:rPr>
          <w:rFonts w:ascii="Calibri" w:hAnsi="Calibri" w:cs="Calibri"/>
          <w:sz w:val="24"/>
          <w:szCs w:val="24"/>
        </w:rPr>
        <w:t xml:space="preserve"> one </w:t>
      </w:r>
      <w:r w:rsidR="00613633" w:rsidRPr="00AD1549">
        <w:rPr>
          <w:rFonts w:ascii="Calibri" w:hAnsi="Calibri" w:cs="Calibri"/>
          <w:sz w:val="24"/>
          <w:szCs w:val="24"/>
        </w:rPr>
        <w:t>man</w:t>
      </w:r>
      <w:r w:rsidR="00AE4DE1" w:rsidRPr="00AD1549">
        <w:rPr>
          <w:rFonts w:ascii="Calibri" w:hAnsi="Calibri" w:cs="Calibri"/>
          <w:sz w:val="24"/>
          <w:szCs w:val="24"/>
        </w:rPr>
        <w:t>.</w:t>
      </w:r>
      <w:r w:rsidR="002A7197" w:rsidRPr="00AD1549">
        <w:rPr>
          <w:sz w:val="24"/>
          <w:szCs w:val="24"/>
        </w:rPr>
        <w:t xml:space="preserve"> </w:t>
      </w:r>
      <w:r w:rsidR="002A68D5" w:rsidRPr="00AD1549">
        <w:rPr>
          <w:sz w:val="24"/>
          <w:szCs w:val="24"/>
        </w:rPr>
        <w:t xml:space="preserve"> </w:t>
      </w:r>
      <w:r w:rsidR="00927322" w:rsidRPr="00AD1549">
        <w:rPr>
          <w:sz w:val="24"/>
          <w:szCs w:val="24"/>
        </w:rPr>
        <w:t>I</w:t>
      </w:r>
      <w:r w:rsidR="00B24A72" w:rsidRPr="00AD1549">
        <w:rPr>
          <w:sz w:val="24"/>
          <w:szCs w:val="24"/>
        </w:rPr>
        <w:t xml:space="preserve">nformation was available for prior fragility fracture in </w:t>
      </w:r>
      <w:r w:rsidR="001F2CD2" w:rsidRPr="00AD1549">
        <w:rPr>
          <w:sz w:val="24"/>
          <w:szCs w:val="24"/>
        </w:rPr>
        <w:t>a</w:t>
      </w:r>
      <w:r w:rsidR="004F545A" w:rsidRPr="00AD1549">
        <w:rPr>
          <w:sz w:val="24"/>
          <w:szCs w:val="24"/>
        </w:rPr>
        <w:t>ll except 3 men and 13 wom</w:t>
      </w:r>
      <w:r w:rsidR="003C6D3D" w:rsidRPr="00AD1549">
        <w:rPr>
          <w:sz w:val="24"/>
          <w:szCs w:val="24"/>
        </w:rPr>
        <w:t>e</w:t>
      </w:r>
      <w:r w:rsidR="004F545A" w:rsidRPr="00AD1549">
        <w:rPr>
          <w:sz w:val="24"/>
          <w:szCs w:val="24"/>
        </w:rPr>
        <w:t>n</w:t>
      </w:r>
      <w:r w:rsidR="00FA7E62" w:rsidRPr="00AD1549">
        <w:rPr>
          <w:sz w:val="24"/>
          <w:szCs w:val="24"/>
        </w:rPr>
        <w:t>.</w:t>
      </w:r>
      <w:r w:rsidR="003C6D3D" w:rsidRPr="00AD1549">
        <w:rPr>
          <w:sz w:val="24"/>
          <w:szCs w:val="24"/>
        </w:rPr>
        <w:t xml:space="preserve">  </w:t>
      </w:r>
      <w:r w:rsidR="003B5996" w:rsidRPr="00AD1549">
        <w:rPr>
          <w:sz w:val="24"/>
          <w:szCs w:val="24"/>
        </w:rPr>
        <w:t>P</w:t>
      </w:r>
      <w:r w:rsidR="006A4256" w:rsidRPr="00AD1549">
        <w:rPr>
          <w:sz w:val="24"/>
          <w:szCs w:val="24"/>
        </w:rPr>
        <w:t>arental history</w:t>
      </w:r>
      <w:r w:rsidR="009C283E" w:rsidRPr="00AD1549">
        <w:rPr>
          <w:sz w:val="24"/>
          <w:szCs w:val="24"/>
        </w:rPr>
        <w:t xml:space="preserve"> </w:t>
      </w:r>
      <w:r w:rsidR="003B5996" w:rsidRPr="00AD1549">
        <w:rPr>
          <w:sz w:val="24"/>
          <w:szCs w:val="24"/>
        </w:rPr>
        <w:t xml:space="preserve">of hip fracture </w:t>
      </w:r>
      <w:r w:rsidR="00070A9A" w:rsidRPr="00AD1549">
        <w:rPr>
          <w:sz w:val="24"/>
          <w:szCs w:val="24"/>
        </w:rPr>
        <w:t xml:space="preserve">information </w:t>
      </w:r>
      <w:r w:rsidR="009C283E" w:rsidRPr="00AD1549">
        <w:rPr>
          <w:sz w:val="24"/>
          <w:szCs w:val="24"/>
        </w:rPr>
        <w:t>was</w:t>
      </w:r>
      <w:r w:rsidR="003B5996" w:rsidRPr="00AD1549">
        <w:rPr>
          <w:sz w:val="24"/>
          <w:szCs w:val="24"/>
        </w:rPr>
        <w:t xml:space="preserve"> present </w:t>
      </w:r>
      <w:r w:rsidR="009C283E" w:rsidRPr="00AD1549">
        <w:rPr>
          <w:sz w:val="24"/>
          <w:szCs w:val="24"/>
        </w:rPr>
        <w:t xml:space="preserve">in 94% of men and </w:t>
      </w:r>
      <w:r w:rsidR="00705022" w:rsidRPr="00AD1549">
        <w:rPr>
          <w:sz w:val="24"/>
          <w:szCs w:val="24"/>
        </w:rPr>
        <w:t>96% of women (n=</w:t>
      </w:r>
      <w:r w:rsidR="002F0608" w:rsidRPr="00AD1549">
        <w:rPr>
          <w:sz w:val="24"/>
          <w:szCs w:val="24"/>
        </w:rPr>
        <w:t>71</w:t>
      </w:r>
      <w:r w:rsidR="00705022" w:rsidRPr="00AD1549">
        <w:rPr>
          <w:sz w:val="24"/>
          <w:szCs w:val="24"/>
        </w:rPr>
        <w:t xml:space="preserve"> and </w:t>
      </w:r>
      <w:r w:rsidR="002F0608" w:rsidRPr="00AD1549">
        <w:rPr>
          <w:sz w:val="24"/>
          <w:szCs w:val="24"/>
        </w:rPr>
        <w:t>86</w:t>
      </w:r>
      <w:r w:rsidR="00DB7E50" w:rsidRPr="00AD1549">
        <w:rPr>
          <w:sz w:val="24"/>
          <w:szCs w:val="24"/>
        </w:rPr>
        <w:t xml:space="preserve"> missing</w:t>
      </w:r>
      <w:r w:rsidR="00705022" w:rsidRPr="00AD1549">
        <w:rPr>
          <w:sz w:val="24"/>
          <w:szCs w:val="24"/>
        </w:rPr>
        <w:t>, respectively</w:t>
      </w:r>
      <w:r w:rsidR="00E92336" w:rsidRPr="00AD1549">
        <w:rPr>
          <w:sz w:val="24"/>
          <w:szCs w:val="24"/>
        </w:rPr>
        <w:t xml:space="preserve">); </w:t>
      </w:r>
      <w:r w:rsidR="00070A9A" w:rsidRPr="00AD1549">
        <w:rPr>
          <w:sz w:val="24"/>
          <w:szCs w:val="24"/>
        </w:rPr>
        <w:t>information on</w:t>
      </w:r>
      <w:r w:rsidR="00C460C8" w:rsidRPr="00AD1549">
        <w:rPr>
          <w:sz w:val="24"/>
          <w:szCs w:val="24"/>
        </w:rPr>
        <w:t xml:space="preserve"> alcohol </w:t>
      </w:r>
      <w:r w:rsidR="00734C06" w:rsidRPr="00AD1549">
        <w:rPr>
          <w:sz w:val="24"/>
          <w:szCs w:val="24"/>
        </w:rPr>
        <w:t>intake was</w:t>
      </w:r>
      <w:r w:rsidR="00C460C8" w:rsidRPr="00AD1549">
        <w:rPr>
          <w:sz w:val="24"/>
          <w:szCs w:val="24"/>
        </w:rPr>
        <w:t xml:space="preserve"> available in </w:t>
      </w:r>
      <w:r w:rsidR="00771AF4" w:rsidRPr="00AD1549">
        <w:rPr>
          <w:sz w:val="24"/>
          <w:szCs w:val="24"/>
        </w:rPr>
        <w:t>89</w:t>
      </w:r>
      <w:r w:rsidR="00C460C8" w:rsidRPr="00AD1549">
        <w:rPr>
          <w:sz w:val="24"/>
          <w:szCs w:val="24"/>
        </w:rPr>
        <w:t>% of men and 9</w:t>
      </w:r>
      <w:r w:rsidR="00771AF4" w:rsidRPr="00AD1549">
        <w:rPr>
          <w:sz w:val="24"/>
          <w:szCs w:val="24"/>
        </w:rPr>
        <w:t>1</w:t>
      </w:r>
      <w:r w:rsidR="00C460C8" w:rsidRPr="00AD1549">
        <w:rPr>
          <w:sz w:val="24"/>
          <w:szCs w:val="24"/>
        </w:rPr>
        <w:t>% of women (n=</w:t>
      </w:r>
      <w:r w:rsidR="00771AF4" w:rsidRPr="00AD1549">
        <w:rPr>
          <w:sz w:val="24"/>
          <w:szCs w:val="24"/>
        </w:rPr>
        <w:t>121</w:t>
      </w:r>
      <w:r w:rsidR="00C460C8" w:rsidRPr="00AD1549">
        <w:rPr>
          <w:sz w:val="24"/>
          <w:szCs w:val="24"/>
        </w:rPr>
        <w:t xml:space="preserve"> and </w:t>
      </w:r>
      <w:r w:rsidR="00771AF4" w:rsidRPr="00AD1549">
        <w:rPr>
          <w:sz w:val="24"/>
          <w:szCs w:val="24"/>
        </w:rPr>
        <w:t>188</w:t>
      </w:r>
      <w:r w:rsidR="00DB7E50" w:rsidRPr="00AD1549">
        <w:rPr>
          <w:sz w:val="24"/>
          <w:szCs w:val="24"/>
        </w:rPr>
        <w:t xml:space="preserve"> missing</w:t>
      </w:r>
      <w:r w:rsidR="00C460C8" w:rsidRPr="00AD1549">
        <w:rPr>
          <w:sz w:val="24"/>
          <w:szCs w:val="24"/>
        </w:rPr>
        <w:t>, respectively)</w:t>
      </w:r>
      <w:r w:rsidR="00B24A72" w:rsidRPr="00AD1549">
        <w:rPr>
          <w:sz w:val="24"/>
          <w:szCs w:val="24"/>
        </w:rPr>
        <w:t xml:space="preserve">.  </w:t>
      </w:r>
      <w:r w:rsidR="00017D50" w:rsidRPr="00AD1549">
        <w:rPr>
          <w:sz w:val="24"/>
          <w:szCs w:val="24"/>
        </w:rPr>
        <w:t>We did not use the questions and answers related to arthritis because the survey indicate</w:t>
      </w:r>
      <w:r w:rsidR="0041676A" w:rsidRPr="00AD1549">
        <w:rPr>
          <w:sz w:val="24"/>
          <w:szCs w:val="24"/>
        </w:rPr>
        <w:t>d</w:t>
      </w:r>
      <w:r w:rsidR="00017D50" w:rsidRPr="00AD1549">
        <w:rPr>
          <w:sz w:val="24"/>
          <w:szCs w:val="24"/>
        </w:rPr>
        <w:t xml:space="preserve"> that they have not been validated, nor those related to glucocorticoids</w:t>
      </w:r>
      <w:r w:rsidR="003B5996" w:rsidRPr="00AD1549">
        <w:rPr>
          <w:sz w:val="24"/>
          <w:szCs w:val="24"/>
        </w:rPr>
        <w:t>,</w:t>
      </w:r>
      <w:r w:rsidR="00D420A8" w:rsidRPr="00AD1549">
        <w:rPr>
          <w:sz w:val="24"/>
          <w:szCs w:val="24"/>
        </w:rPr>
        <w:t xml:space="preserve"> which </w:t>
      </w:r>
      <w:r w:rsidR="003B5996" w:rsidRPr="00AD1549">
        <w:rPr>
          <w:sz w:val="24"/>
          <w:szCs w:val="24"/>
        </w:rPr>
        <w:t xml:space="preserve">also </w:t>
      </w:r>
      <w:r w:rsidR="00D420A8" w:rsidRPr="00AD1549">
        <w:rPr>
          <w:sz w:val="24"/>
          <w:szCs w:val="24"/>
        </w:rPr>
        <w:t>lacked sufficient detail</w:t>
      </w:r>
      <w:r w:rsidR="00017D50" w:rsidRPr="00AD1549">
        <w:rPr>
          <w:sz w:val="24"/>
          <w:szCs w:val="24"/>
        </w:rPr>
        <w:t xml:space="preserve">.  </w:t>
      </w:r>
      <w:r w:rsidR="004F4C2D" w:rsidRPr="00AD1549">
        <w:rPr>
          <w:sz w:val="24"/>
          <w:szCs w:val="24"/>
        </w:rPr>
        <w:t>For the purposes of this analysis, rheumatoid arthritis</w:t>
      </w:r>
      <w:r w:rsidR="005C1638" w:rsidRPr="00AD1549">
        <w:rPr>
          <w:sz w:val="24"/>
          <w:szCs w:val="24"/>
        </w:rPr>
        <w:t>, exposure to glucocorticoids</w:t>
      </w:r>
      <w:r w:rsidR="004F4C2D" w:rsidRPr="00AD1549">
        <w:rPr>
          <w:sz w:val="24"/>
          <w:szCs w:val="24"/>
        </w:rPr>
        <w:t xml:space="preserve"> and other missing variables were simulated.</w:t>
      </w:r>
    </w:p>
    <w:p w14:paraId="3D9D1712" w14:textId="2BC5D6A6" w:rsidR="00B24A72" w:rsidRPr="00AD1549" w:rsidRDefault="00B24A72" w:rsidP="009C3DEB">
      <w:pPr>
        <w:autoSpaceDE w:val="0"/>
        <w:autoSpaceDN w:val="0"/>
        <w:adjustRightInd w:val="0"/>
        <w:spacing w:after="0" w:line="276" w:lineRule="auto"/>
        <w:ind w:left="567"/>
        <w:rPr>
          <w:sz w:val="24"/>
          <w:szCs w:val="24"/>
        </w:rPr>
      </w:pPr>
    </w:p>
    <w:p w14:paraId="4932AAB3" w14:textId="7B1BCEFE" w:rsidR="00C23EC3" w:rsidRDefault="005C380E" w:rsidP="00C23EC3">
      <w:pPr>
        <w:spacing w:line="276" w:lineRule="auto"/>
        <w:ind w:left="567"/>
        <w:rPr>
          <w:rFonts w:ascii="Calibri" w:eastAsia="Calibri" w:hAnsi="Calibri" w:cs="Calibri"/>
          <w:sz w:val="24"/>
          <w:szCs w:val="24"/>
        </w:rPr>
      </w:pPr>
      <w:r w:rsidRPr="00AD1549">
        <w:rPr>
          <w:rFonts w:ascii="Calibri" w:eastAsia="Calibri" w:hAnsi="Calibri" w:cs="Calibri"/>
          <w:i/>
          <w:iCs/>
          <w:sz w:val="24"/>
          <w:szCs w:val="24"/>
        </w:rPr>
        <w:t>Simulation of risk variables</w:t>
      </w:r>
      <w:r w:rsidR="000650D3" w:rsidRPr="00AD1549">
        <w:rPr>
          <w:rFonts w:ascii="Calibri" w:eastAsia="Calibri" w:hAnsi="Calibri" w:cs="Calibri"/>
          <w:i/>
          <w:iCs/>
          <w:sz w:val="24"/>
          <w:szCs w:val="24"/>
        </w:rPr>
        <w:br/>
      </w:r>
      <w:r w:rsidR="00A95360" w:rsidRPr="00AD1549">
        <w:rPr>
          <w:rFonts w:ascii="Calibri" w:eastAsia="Calibri" w:hAnsi="Calibri" w:cs="Calibri"/>
          <w:sz w:val="24"/>
          <w:szCs w:val="24"/>
        </w:rPr>
        <w:t xml:space="preserve">Data from the cohort itself were used to simulate missing values, except for </w:t>
      </w:r>
      <w:r w:rsidR="00D80E2B" w:rsidRPr="00AD1549">
        <w:rPr>
          <w:rFonts w:ascii="Calibri" w:eastAsia="Calibri" w:hAnsi="Calibri" w:cs="Calibri"/>
          <w:sz w:val="24"/>
          <w:szCs w:val="24"/>
        </w:rPr>
        <w:t>e</w:t>
      </w:r>
      <w:r w:rsidR="00A95360" w:rsidRPr="00AD1549">
        <w:rPr>
          <w:rFonts w:ascii="Calibri" w:eastAsia="Calibri" w:hAnsi="Calibri" w:cs="Calibri"/>
          <w:sz w:val="24"/>
          <w:szCs w:val="24"/>
        </w:rPr>
        <w:t>xposure to glucocorticoids and rheumatoid arthritis</w:t>
      </w:r>
      <w:proofErr w:type="gramStart"/>
      <w:r w:rsidR="00D80E2B" w:rsidRPr="00AD1549">
        <w:rPr>
          <w:rFonts w:ascii="Calibri" w:eastAsia="Calibri" w:hAnsi="Calibri" w:cs="Calibri"/>
          <w:sz w:val="24"/>
          <w:szCs w:val="24"/>
        </w:rPr>
        <w:t>.</w:t>
      </w:r>
      <w:r w:rsidR="00A95360" w:rsidRPr="00AD1549">
        <w:rPr>
          <w:rFonts w:ascii="Calibri" w:eastAsia="Calibri" w:hAnsi="Calibri" w:cs="Calibri"/>
          <w:sz w:val="24"/>
          <w:szCs w:val="24"/>
        </w:rPr>
        <w:t xml:space="preserve"> </w:t>
      </w:r>
      <w:proofErr w:type="gramEnd"/>
      <w:r w:rsidR="00044234" w:rsidRPr="00AD1549">
        <w:rPr>
          <w:rFonts w:ascii="Calibri" w:eastAsia="Calibri" w:hAnsi="Calibri" w:cs="Calibri"/>
          <w:sz w:val="24"/>
          <w:szCs w:val="24"/>
        </w:rPr>
        <w:t>Appropriate logistic regression equations were identified to generate data for the dichotomous FRAX variables as described previously [</w:t>
      </w:r>
      <w:r w:rsidR="000E08C5" w:rsidRPr="00AD1549">
        <w:rPr>
          <w:rFonts w:ascii="Calibri" w:eastAsia="Calibri" w:hAnsi="Calibri" w:cs="Calibri"/>
          <w:sz w:val="24"/>
          <w:szCs w:val="24"/>
        </w:rPr>
        <w:t xml:space="preserve">19, </w:t>
      </w:r>
      <w:r w:rsidR="00E15C41" w:rsidRPr="00AD1549">
        <w:rPr>
          <w:rFonts w:ascii="Calibri" w:eastAsia="Calibri" w:hAnsi="Calibri" w:cs="Calibri"/>
          <w:sz w:val="24"/>
          <w:szCs w:val="24"/>
        </w:rPr>
        <w:t>20, 21</w:t>
      </w:r>
      <w:r w:rsidR="00173F8E" w:rsidRPr="00AD1549">
        <w:rPr>
          <w:rFonts w:ascii="Calibri" w:eastAsia="Calibri" w:hAnsi="Calibri" w:cs="Calibri"/>
          <w:sz w:val="24"/>
          <w:szCs w:val="24"/>
        </w:rPr>
        <w:t>]</w:t>
      </w:r>
      <w:r w:rsidR="00044234" w:rsidRPr="00AD1549">
        <w:rPr>
          <w:rFonts w:ascii="Calibri" w:eastAsia="Calibri" w:hAnsi="Calibri" w:cs="Calibri"/>
          <w:sz w:val="24"/>
          <w:szCs w:val="24"/>
        </w:rPr>
        <w:t xml:space="preserve">.  The equations were applied to the data in the cohort to predict the probability of having a positive value for the missing risk factor for </w:t>
      </w:r>
      <w:proofErr w:type="gramStart"/>
      <w:r w:rsidR="00044234" w:rsidRPr="00AD1549">
        <w:rPr>
          <w:rFonts w:ascii="Calibri" w:eastAsia="Calibri" w:hAnsi="Calibri" w:cs="Calibri"/>
          <w:sz w:val="24"/>
          <w:szCs w:val="24"/>
        </w:rPr>
        <w:t>each individual</w:t>
      </w:r>
      <w:proofErr w:type="gramEnd"/>
      <w:r w:rsidR="00044234" w:rsidRPr="00AD1549">
        <w:rPr>
          <w:rFonts w:ascii="Calibri" w:eastAsia="Calibri" w:hAnsi="Calibri" w:cs="Calibri"/>
          <w:sz w:val="24"/>
          <w:szCs w:val="24"/>
        </w:rPr>
        <w:t xml:space="preserve">. </w:t>
      </w:r>
      <w:r w:rsidR="008C7771" w:rsidRPr="00AD1549">
        <w:rPr>
          <w:rFonts w:ascii="Calibri" w:eastAsia="Calibri" w:hAnsi="Calibri" w:cs="Calibri"/>
          <w:sz w:val="24"/>
          <w:szCs w:val="24"/>
        </w:rPr>
        <w:t xml:space="preserve"> </w:t>
      </w:r>
      <w:r w:rsidR="00044234" w:rsidRPr="00AD1549">
        <w:rPr>
          <w:rFonts w:ascii="Calibri" w:eastAsia="Calibri" w:hAnsi="Calibri" w:cs="Calibri"/>
          <w:sz w:val="24"/>
          <w:szCs w:val="24"/>
        </w:rPr>
        <w:t xml:space="preserve">Next, a random number </w:t>
      </w:r>
      <w:r w:rsidR="006748C8">
        <w:rPr>
          <w:rFonts w:ascii="Calibri" w:eastAsia="Calibri" w:hAnsi="Calibri" w:cs="Calibri"/>
          <w:sz w:val="24"/>
          <w:szCs w:val="24"/>
        </w:rPr>
        <w:t xml:space="preserve">between 0 and 1 </w:t>
      </w:r>
      <w:r w:rsidR="00044234" w:rsidRPr="00AD1549">
        <w:rPr>
          <w:rFonts w:ascii="Calibri" w:eastAsia="Calibri" w:hAnsi="Calibri" w:cs="Calibri"/>
          <w:sz w:val="24"/>
          <w:szCs w:val="24"/>
        </w:rPr>
        <w:t>was generated using a computer program, which was then compared with the predicted probability for that variable for that individual</w:t>
      </w:r>
      <w:proofErr w:type="gramStart"/>
      <w:r w:rsidR="00044234" w:rsidRPr="00AD1549">
        <w:rPr>
          <w:rFonts w:ascii="Calibri" w:eastAsia="Calibri" w:hAnsi="Calibri" w:cs="Calibri"/>
          <w:sz w:val="24"/>
          <w:szCs w:val="24"/>
        </w:rPr>
        <w:t xml:space="preserve">. </w:t>
      </w:r>
      <w:proofErr w:type="gramEnd"/>
      <w:r w:rsidR="00044234" w:rsidRPr="00AD1549">
        <w:rPr>
          <w:rFonts w:ascii="Calibri" w:eastAsia="Calibri" w:hAnsi="Calibri" w:cs="Calibri"/>
          <w:sz w:val="24"/>
          <w:szCs w:val="24"/>
        </w:rPr>
        <w:t>If the random number was less than or equal to the predicted probability, the individual was assigned a positive response for the risk factor</w:t>
      </w:r>
      <w:proofErr w:type="gramStart"/>
      <w:r w:rsidR="00044234" w:rsidRPr="00AD1549">
        <w:rPr>
          <w:rFonts w:ascii="Calibri" w:eastAsia="Calibri" w:hAnsi="Calibri" w:cs="Calibri"/>
          <w:sz w:val="24"/>
          <w:szCs w:val="24"/>
        </w:rPr>
        <w:t xml:space="preserve">. </w:t>
      </w:r>
      <w:proofErr w:type="gramEnd"/>
      <w:r w:rsidR="00044234" w:rsidRPr="00AD1549">
        <w:rPr>
          <w:rFonts w:ascii="Calibri" w:eastAsia="Calibri" w:hAnsi="Calibri" w:cs="Calibri"/>
          <w:sz w:val="24"/>
          <w:szCs w:val="24"/>
        </w:rPr>
        <w:t>If the random number was larger than the predicted probability, the person was assigned a negative response for the risk factor</w:t>
      </w:r>
      <w:proofErr w:type="gramStart"/>
      <w:r w:rsidR="00044234" w:rsidRPr="00AD1549">
        <w:rPr>
          <w:rFonts w:ascii="Calibri" w:eastAsia="Calibri" w:hAnsi="Calibri" w:cs="Calibri"/>
          <w:sz w:val="24"/>
          <w:szCs w:val="24"/>
        </w:rPr>
        <w:t>.</w:t>
      </w:r>
      <w:r w:rsidR="00C23EC3" w:rsidRPr="00AD1549">
        <w:t xml:space="preserve"> </w:t>
      </w:r>
      <w:proofErr w:type="gramEnd"/>
      <w:r w:rsidR="00EE6337" w:rsidRPr="00AD1549">
        <w:rPr>
          <w:sz w:val="24"/>
          <w:szCs w:val="24"/>
        </w:rPr>
        <w:t xml:space="preserve">Missing </w:t>
      </w:r>
      <w:r w:rsidR="00C23EC3" w:rsidRPr="00AD1549">
        <w:rPr>
          <w:rFonts w:ascii="Calibri" w:eastAsia="Calibri" w:hAnsi="Calibri" w:cs="Calibri"/>
          <w:sz w:val="24"/>
          <w:szCs w:val="24"/>
        </w:rPr>
        <w:t xml:space="preserve">BMI was simulated using linear regression and </w:t>
      </w:r>
      <w:r w:rsidR="008C0FF6" w:rsidRPr="00AD1549">
        <w:rPr>
          <w:rFonts w:ascii="Calibri" w:eastAsia="Calibri" w:hAnsi="Calibri" w:cs="Calibri"/>
          <w:sz w:val="24"/>
          <w:szCs w:val="24"/>
        </w:rPr>
        <w:t xml:space="preserve">the </w:t>
      </w:r>
      <w:r w:rsidR="00C23EC3" w:rsidRPr="00AD1549">
        <w:rPr>
          <w:rFonts w:ascii="Calibri" w:eastAsia="Calibri" w:hAnsi="Calibri" w:cs="Calibri"/>
          <w:sz w:val="24"/>
          <w:szCs w:val="24"/>
        </w:rPr>
        <w:t>SD, from the cohort itself</w:t>
      </w:r>
      <w:proofErr w:type="gramStart"/>
      <w:r w:rsidR="00C23EC3" w:rsidRPr="00AD1549">
        <w:rPr>
          <w:rFonts w:ascii="Calibri" w:eastAsia="Calibri" w:hAnsi="Calibri" w:cs="Calibri"/>
          <w:sz w:val="24"/>
          <w:szCs w:val="24"/>
        </w:rPr>
        <w:t xml:space="preserve">. </w:t>
      </w:r>
      <w:proofErr w:type="gramEnd"/>
      <w:r w:rsidR="00C23EC3" w:rsidRPr="00AD1549">
        <w:rPr>
          <w:rFonts w:ascii="Calibri" w:eastAsia="Calibri" w:hAnsi="Calibri" w:cs="Calibri"/>
          <w:sz w:val="24"/>
          <w:szCs w:val="24"/>
        </w:rPr>
        <w:t>An expected value was calculated from the model for each individual</w:t>
      </w:r>
      <w:proofErr w:type="gramStart"/>
      <w:r w:rsidR="00C23EC3" w:rsidRPr="00AD1549">
        <w:rPr>
          <w:rFonts w:ascii="Calibri" w:eastAsia="Calibri" w:hAnsi="Calibri" w:cs="Calibri"/>
          <w:sz w:val="24"/>
          <w:szCs w:val="24"/>
        </w:rPr>
        <w:t xml:space="preserve">. </w:t>
      </w:r>
      <w:proofErr w:type="gramEnd"/>
      <w:r w:rsidR="00C23EC3" w:rsidRPr="00AD1549">
        <w:rPr>
          <w:rFonts w:ascii="Calibri" w:eastAsia="Calibri" w:hAnsi="Calibri" w:cs="Calibri"/>
          <w:sz w:val="24"/>
          <w:szCs w:val="24"/>
        </w:rPr>
        <w:t xml:space="preserve">The expected value and SD were used together with a random number </w:t>
      </w:r>
      <w:r w:rsidR="00AD5351">
        <w:rPr>
          <w:rFonts w:ascii="Calibri" w:eastAsia="Calibri" w:hAnsi="Calibri" w:cs="Calibri"/>
          <w:sz w:val="24"/>
          <w:szCs w:val="24"/>
        </w:rPr>
        <w:t>(0</w:t>
      </w:r>
      <w:r w:rsidR="00372FC8">
        <w:rPr>
          <w:rFonts w:ascii="Calibri" w:eastAsia="Calibri" w:hAnsi="Calibri" w:cs="Calibri"/>
          <w:sz w:val="24"/>
          <w:szCs w:val="24"/>
        </w:rPr>
        <w:t xml:space="preserve">-1) </w:t>
      </w:r>
      <w:r w:rsidR="00C23EC3" w:rsidRPr="00AD1549">
        <w:rPr>
          <w:rFonts w:ascii="Calibri" w:eastAsia="Calibri" w:hAnsi="Calibri" w:cs="Calibri"/>
          <w:sz w:val="24"/>
          <w:szCs w:val="24"/>
        </w:rPr>
        <w:t>to simulate the missing value.</w:t>
      </w:r>
    </w:p>
    <w:p w14:paraId="2AD0EC0C" w14:textId="19C6CFAE" w:rsidR="00EE70FC" w:rsidRPr="00AD1549" w:rsidRDefault="00EE70FC" w:rsidP="00EE70FC">
      <w:pPr>
        <w:spacing w:line="276" w:lineRule="auto"/>
        <w:ind w:left="567"/>
        <w:rPr>
          <w:rFonts w:ascii="Calibri" w:eastAsia="Calibri" w:hAnsi="Calibri" w:cs="Calibri"/>
          <w:sz w:val="24"/>
          <w:szCs w:val="24"/>
        </w:rPr>
      </w:pPr>
      <w:r w:rsidRPr="00EE70FC">
        <w:rPr>
          <w:rFonts w:ascii="Calibri" w:eastAsia="Calibri" w:hAnsi="Calibri" w:cs="Calibri"/>
          <w:sz w:val="24"/>
          <w:szCs w:val="24"/>
        </w:rPr>
        <w:t xml:space="preserve">Measured data on </w:t>
      </w:r>
      <w:r w:rsidR="004C7DD9" w:rsidRPr="004C7DD9">
        <w:rPr>
          <w:rFonts w:ascii="Calibri" w:eastAsia="Calibri" w:hAnsi="Calibri" w:cs="Calibri"/>
          <w:sz w:val="24"/>
          <w:szCs w:val="24"/>
        </w:rPr>
        <w:t xml:space="preserve">exposure to glucocorticoids and rheumatoid arthritis </w:t>
      </w:r>
      <w:r w:rsidRPr="00EE70FC">
        <w:rPr>
          <w:rFonts w:ascii="Calibri" w:eastAsia="Calibri" w:hAnsi="Calibri" w:cs="Calibri"/>
          <w:sz w:val="24"/>
          <w:szCs w:val="24"/>
        </w:rPr>
        <w:t>were missing from</w:t>
      </w:r>
      <w:r w:rsidR="007C6FCB">
        <w:rPr>
          <w:rFonts w:ascii="Calibri" w:eastAsia="Calibri" w:hAnsi="Calibri" w:cs="Calibri"/>
          <w:sz w:val="24"/>
          <w:szCs w:val="24"/>
        </w:rPr>
        <w:t xml:space="preserve"> the data set.</w:t>
      </w:r>
      <w:r w:rsidR="0081618C">
        <w:rPr>
          <w:rFonts w:ascii="Calibri" w:eastAsia="Calibri" w:hAnsi="Calibri" w:cs="Calibri"/>
          <w:sz w:val="24"/>
          <w:szCs w:val="24"/>
        </w:rPr>
        <w:t xml:space="preserve">  For these variables</w:t>
      </w:r>
      <w:r w:rsidR="005F53E0">
        <w:rPr>
          <w:rFonts w:ascii="Calibri" w:eastAsia="Calibri" w:hAnsi="Calibri" w:cs="Calibri"/>
          <w:sz w:val="24"/>
          <w:szCs w:val="24"/>
        </w:rPr>
        <w:t xml:space="preserve">, data </w:t>
      </w:r>
      <w:r w:rsidRPr="00EE70FC">
        <w:rPr>
          <w:rFonts w:ascii="Calibri" w:eastAsia="Calibri" w:hAnsi="Calibri" w:cs="Calibri"/>
          <w:sz w:val="24"/>
          <w:szCs w:val="24"/>
        </w:rPr>
        <w:t>were available in the WHO cohorts from</w:t>
      </w:r>
      <w:r w:rsidR="005F53E0">
        <w:rPr>
          <w:rFonts w:ascii="Calibri" w:eastAsia="Calibri" w:hAnsi="Calibri" w:cs="Calibri"/>
          <w:sz w:val="24"/>
          <w:szCs w:val="24"/>
        </w:rPr>
        <w:t xml:space="preserve"> </w:t>
      </w:r>
      <w:r w:rsidRPr="00EE70FC">
        <w:rPr>
          <w:rFonts w:ascii="Calibri" w:eastAsia="Calibri" w:hAnsi="Calibri" w:cs="Calibri"/>
          <w:sz w:val="24"/>
          <w:szCs w:val="24"/>
        </w:rPr>
        <w:t>North America and Europe used to develop the FRAX</w:t>
      </w:r>
      <w:r w:rsidR="005F53E0">
        <w:rPr>
          <w:rFonts w:ascii="Calibri" w:eastAsia="Calibri" w:hAnsi="Calibri" w:cs="Calibri"/>
          <w:sz w:val="24"/>
          <w:szCs w:val="24"/>
        </w:rPr>
        <w:t xml:space="preserve"> </w:t>
      </w:r>
      <w:r w:rsidRPr="00EE70FC">
        <w:rPr>
          <w:rFonts w:ascii="Calibri" w:eastAsia="Calibri" w:hAnsi="Calibri" w:cs="Calibri"/>
          <w:sz w:val="24"/>
          <w:szCs w:val="24"/>
        </w:rPr>
        <w:t>model</w:t>
      </w:r>
      <w:r w:rsidR="0092622D">
        <w:rPr>
          <w:rFonts w:ascii="Calibri" w:eastAsia="Calibri" w:hAnsi="Calibri" w:cs="Calibri"/>
          <w:sz w:val="24"/>
          <w:szCs w:val="24"/>
        </w:rPr>
        <w:t xml:space="preserve">. </w:t>
      </w:r>
      <w:r w:rsidR="003D1006">
        <w:rPr>
          <w:rFonts w:ascii="Calibri" w:eastAsia="Calibri" w:hAnsi="Calibri" w:cs="Calibri"/>
          <w:sz w:val="24"/>
          <w:szCs w:val="24"/>
        </w:rPr>
        <w:t xml:space="preserve"> </w:t>
      </w:r>
      <w:r w:rsidRPr="00EE70FC">
        <w:rPr>
          <w:rFonts w:ascii="Calibri" w:eastAsia="Calibri" w:hAnsi="Calibri" w:cs="Calibri"/>
          <w:sz w:val="24"/>
          <w:szCs w:val="24"/>
        </w:rPr>
        <w:t>Thus, data from the WHO cohorts were used to</w:t>
      </w:r>
      <w:r w:rsidR="0092622D">
        <w:rPr>
          <w:rFonts w:ascii="Calibri" w:eastAsia="Calibri" w:hAnsi="Calibri" w:cs="Calibri"/>
          <w:sz w:val="24"/>
          <w:szCs w:val="24"/>
        </w:rPr>
        <w:t xml:space="preserve"> </w:t>
      </w:r>
      <w:r w:rsidRPr="00EE70FC">
        <w:rPr>
          <w:rFonts w:ascii="Calibri" w:eastAsia="Calibri" w:hAnsi="Calibri" w:cs="Calibri"/>
          <w:sz w:val="24"/>
          <w:szCs w:val="24"/>
        </w:rPr>
        <w:t xml:space="preserve">identify appropriate </w:t>
      </w:r>
      <w:r w:rsidR="003B5E68">
        <w:rPr>
          <w:rFonts w:ascii="Calibri" w:eastAsia="Calibri" w:hAnsi="Calibri" w:cs="Calibri"/>
          <w:sz w:val="24"/>
          <w:szCs w:val="24"/>
        </w:rPr>
        <w:t xml:space="preserve">logistic </w:t>
      </w:r>
      <w:r w:rsidRPr="00EE70FC">
        <w:rPr>
          <w:rFonts w:ascii="Calibri" w:eastAsia="Calibri" w:hAnsi="Calibri" w:cs="Calibri"/>
          <w:sz w:val="24"/>
          <w:szCs w:val="24"/>
        </w:rPr>
        <w:t>regression equations needed to generate</w:t>
      </w:r>
      <w:r w:rsidR="003B5E68">
        <w:rPr>
          <w:rFonts w:ascii="Calibri" w:eastAsia="Calibri" w:hAnsi="Calibri" w:cs="Calibri"/>
          <w:sz w:val="24"/>
          <w:szCs w:val="24"/>
        </w:rPr>
        <w:t xml:space="preserve"> </w:t>
      </w:r>
      <w:r w:rsidRPr="00EE70FC">
        <w:rPr>
          <w:rFonts w:ascii="Calibri" w:eastAsia="Calibri" w:hAnsi="Calibri" w:cs="Calibri"/>
          <w:sz w:val="24"/>
          <w:szCs w:val="24"/>
        </w:rPr>
        <w:t xml:space="preserve">data for </w:t>
      </w:r>
      <w:r w:rsidR="003B5E68">
        <w:rPr>
          <w:rFonts w:ascii="Calibri" w:eastAsia="Calibri" w:hAnsi="Calibri" w:cs="Calibri"/>
          <w:sz w:val="24"/>
          <w:szCs w:val="24"/>
        </w:rPr>
        <w:t xml:space="preserve">the </w:t>
      </w:r>
      <w:r w:rsidRPr="00EE70FC">
        <w:rPr>
          <w:rFonts w:ascii="Calibri" w:eastAsia="Calibri" w:hAnsi="Calibri" w:cs="Calibri"/>
          <w:sz w:val="24"/>
          <w:szCs w:val="24"/>
        </w:rPr>
        <w:t>missing risk factors.</w:t>
      </w:r>
    </w:p>
    <w:p w14:paraId="089281FD" w14:textId="77777777" w:rsidR="00D26E30" w:rsidRDefault="00D26E30" w:rsidP="00C23EC3">
      <w:pPr>
        <w:spacing w:line="276" w:lineRule="auto"/>
        <w:ind w:left="567"/>
        <w:rPr>
          <w:rFonts w:ascii="Calibri" w:eastAsia="Calibri" w:hAnsi="Calibri" w:cs="Calibri"/>
          <w:i/>
          <w:iCs/>
          <w:sz w:val="24"/>
          <w:szCs w:val="24"/>
        </w:rPr>
      </w:pPr>
    </w:p>
    <w:p w14:paraId="334BE099" w14:textId="0F609DCD" w:rsidR="009531DD" w:rsidRPr="00AD1549" w:rsidRDefault="00C23EC3" w:rsidP="00C23EC3">
      <w:pPr>
        <w:spacing w:line="276" w:lineRule="auto"/>
        <w:ind w:left="567"/>
        <w:rPr>
          <w:rFonts w:ascii="Calibri" w:eastAsia="Calibri" w:hAnsi="Calibri" w:cs="Calibri"/>
          <w:sz w:val="24"/>
          <w:szCs w:val="24"/>
        </w:rPr>
      </w:pPr>
      <w:r w:rsidRPr="00AD1549">
        <w:rPr>
          <w:rFonts w:ascii="Calibri" w:eastAsia="Calibri" w:hAnsi="Calibri" w:cs="Calibri"/>
          <w:i/>
          <w:iCs/>
          <w:sz w:val="24"/>
          <w:szCs w:val="24"/>
        </w:rPr>
        <w:t>Fracture probabilities</w:t>
      </w:r>
      <w:r w:rsidR="0093300E" w:rsidRPr="00AD1549">
        <w:rPr>
          <w:rFonts w:ascii="Calibri" w:eastAsia="Calibri" w:hAnsi="Calibri" w:cs="Calibri"/>
          <w:i/>
          <w:iCs/>
          <w:sz w:val="24"/>
          <w:szCs w:val="24"/>
        </w:rPr>
        <w:br/>
      </w:r>
      <w:r w:rsidRPr="00AD1549">
        <w:rPr>
          <w:rFonts w:ascii="Calibri" w:eastAsia="Calibri" w:hAnsi="Calibri" w:cs="Calibri"/>
          <w:sz w:val="24"/>
          <w:szCs w:val="24"/>
        </w:rPr>
        <w:t xml:space="preserve">The 10-year probabilities of hip fracture and a major osteoporotic fracture (clinical </w:t>
      </w:r>
      <w:r w:rsidRPr="00AD1549">
        <w:rPr>
          <w:rFonts w:ascii="Calibri" w:eastAsia="Calibri" w:hAnsi="Calibri" w:cs="Calibri"/>
          <w:sz w:val="24"/>
          <w:szCs w:val="24"/>
        </w:rPr>
        <w:lastRenderedPageBreak/>
        <w:t xml:space="preserve">spine, hip, humerus or distal forearm fracture) were calculated using the FRAX model for </w:t>
      </w:r>
      <w:r w:rsidR="0093300E" w:rsidRPr="00AD1549">
        <w:rPr>
          <w:rFonts w:ascii="Calibri" w:eastAsia="Calibri" w:hAnsi="Calibri" w:cs="Calibri"/>
          <w:sz w:val="24"/>
          <w:szCs w:val="24"/>
        </w:rPr>
        <w:t>Chile</w:t>
      </w:r>
      <w:r w:rsidR="00581BBB" w:rsidRPr="00AD1549">
        <w:rPr>
          <w:rFonts w:ascii="Calibri" w:eastAsia="Calibri" w:hAnsi="Calibri" w:cs="Calibri"/>
          <w:sz w:val="24"/>
          <w:szCs w:val="24"/>
        </w:rPr>
        <w:t xml:space="preserve"> </w:t>
      </w:r>
      <w:r w:rsidR="005819E3" w:rsidRPr="00AD1549">
        <w:rPr>
          <w:rFonts w:ascii="Calibri" w:eastAsia="Calibri" w:hAnsi="Calibri" w:cs="Calibri"/>
          <w:sz w:val="24"/>
          <w:szCs w:val="24"/>
        </w:rPr>
        <w:t>(</w:t>
      </w:r>
      <w:hyperlink r:id="rId9" w:history="1">
        <w:r w:rsidR="005819E3" w:rsidRPr="00AD1549">
          <w:rPr>
            <w:rStyle w:val="Hyperlink"/>
            <w:rFonts w:ascii="Calibri" w:eastAsia="Calibri" w:hAnsi="Calibri" w:cs="Calibri"/>
            <w:sz w:val="24"/>
            <w:szCs w:val="24"/>
          </w:rPr>
          <w:t>https://www.sheffield.ac.uk/FRAX/tool.aspx?country=50</w:t>
        </w:r>
      </w:hyperlink>
      <w:r w:rsidR="005819E3" w:rsidRPr="00AD1549">
        <w:rPr>
          <w:rFonts w:ascii="Calibri" w:eastAsia="Calibri" w:hAnsi="Calibri" w:cs="Calibri"/>
          <w:sz w:val="24"/>
          <w:szCs w:val="24"/>
        </w:rPr>
        <w:t xml:space="preserve">) </w:t>
      </w:r>
      <w:r w:rsidRPr="00AD1549">
        <w:rPr>
          <w:rFonts w:ascii="Calibri" w:eastAsia="Calibri" w:hAnsi="Calibri" w:cs="Calibri"/>
          <w:sz w:val="24"/>
          <w:szCs w:val="24"/>
        </w:rPr>
        <w:t xml:space="preserve"> [</w:t>
      </w:r>
      <w:r w:rsidR="001A4B6A" w:rsidRPr="00AD1549">
        <w:rPr>
          <w:rFonts w:ascii="Calibri" w:eastAsia="Calibri" w:hAnsi="Calibri" w:cs="Calibri"/>
          <w:sz w:val="24"/>
          <w:szCs w:val="24"/>
        </w:rPr>
        <w:t>22</w:t>
      </w:r>
      <w:r w:rsidR="003379AA" w:rsidRPr="00AD1549">
        <w:rPr>
          <w:rFonts w:ascii="Calibri" w:eastAsia="Calibri" w:hAnsi="Calibri" w:cs="Calibri"/>
          <w:sz w:val="24"/>
          <w:szCs w:val="24"/>
        </w:rPr>
        <w:t>, 23</w:t>
      </w:r>
      <w:r w:rsidRPr="00AD1549">
        <w:rPr>
          <w:rFonts w:ascii="Calibri" w:eastAsia="Calibri" w:hAnsi="Calibri" w:cs="Calibri"/>
          <w:sz w:val="24"/>
          <w:szCs w:val="24"/>
        </w:rPr>
        <w:t>.  Calculations were undertaken without the inclusion of femoral neck BMD.</w:t>
      </w:r>
      <w:r w:rsidR="009B0DEC" w:rsidRPr="00AD1549">
        <w:rPr>
          <w:rFonts w:ascii="Calibri" w:eastAsia="Calibri" w:hAnsi="Calibri" w:cs="Calibri"/>
          <w:sz w:val="24"/>
          <w:szCs w:val="24"/>
        </w:rPr>
        <w:t xml:space="preserve"> </w:t>
      </w:r>
      <w:r w:rsidR="00707471" w:rsidRPr="00AD1549">
        <w:rPr>
          <w:rFonts w:ascii="Calibri" w:eastAsia="Calibri" w:hAnsi="Calibri" w:cs="Calibri"/>
          <w:sz w:val="24"/>
          <w:szCs w:val="24"/>
        </w:rPr>
        <w:t xml:space="preserve">The upper age for the calculation of FRAX is 90 years.  In </w:t>
      </w:r>
      <w:r w:rsidR="009B0DEC" w:rsidRPr="00AD1549">
        <w:rPr>
          <w:rFonts w:ascii="Calibri" w:eastAsia="Calibri" w:hAnsi="Calibri" w:cs="Calibri"/>
          <w:sz w:val="24"/>
          <w:szCs w:val="24"/>
        </w:rPr>
        <w:t xml:space="preserve">33 individuals with </w:t>
      </w:r>
      <w:r w:rsidR="00707471" w:rsidRPr="00AD1549">
        <w:rPr>
          <w:rFonts w:ascii="Calibri" w:eastAsia="Calibri" w:hAnsi="Calibri" w:cs="Calibri"/>
          <w:sz w:val="24"/>
          <w:szCs w:val="24"/>
        </w:rPr>
        <w:t xml:space="preserve">an </w:t>
      </w:r>
      <w:r w:rsidR="009B0DEC" w:rsidRPr="00AD1549">
        <w:rPr>
          <w:rFonts w:ascii="Calibri" w:eastAsia="Calibri" w:hAnsi="Calibri" w:cs="Calibri"/>
          <w:sz w:val="24"/>
          <w:szCs w:val="24"/>
        </w:rPr>
        <w:t>age &gt;90</w:t>
      </w:r>
      <w:r w:rsidR="00707471" w:rsidRPr="00AD1549">
        <w:rPr>
          <w:rFonts w:ascii="Calibri" w:eastAsia="Calibri" w:hAnsi="Calibri" w:cs="Calibri"/>
          <w:sz w:val="24"/>
          <w:szCs w:val="24"/>
        </w:rPr>
        <w:t xml:space="preserve"> years</w:t>
      </w:r>
      <w:r w:rsidR="00313337" w:rsidRPr="00AD1549">
        <w:rPr>
          <w:rFonts w:ascii="Calibri" w:eastAsia="Calibri" w:hAnsi="Calibri" w:cs="Calibri"/>
          <w:sz w:val="24"/>
          <w:szCs w:val="24"/>
        </w:rPr>
        <w:t>, the age for computation was set at 90 years.</w:t>
      </w:r>
      <w:r w:rsidR="009B0DEC" w:rsidRPr="00AD1549">
        <w:rPr>
          <w:rFonts w:ascii="Calibri" w:eastAsia="Calibri" w:hAnsi="Calibri" w:cs="Calibri"/>
          <w:sz w:val="24"/>
          <w:szCs w:val="24"/>
        </w:rPr>
        <w:t xml:space="preserve"> </w:t>
      </w:r>
      <w:r w:rsidR="00BD4B6F" w:rsidRPr="00AD1549">
        <w:rPr>
          <w:rFonts w:ascii="Calibri" w:eastAsia="Calibri" w:hAnsi="Calibri" w:cs="Calibri"/>
          <w:sz w:val="24"/>
          <w:szCs w:val="24"/>
        </w:rPr>
        <w:t xml:space="preserve"> A small proportion of the co</w:t>
      </w:r>
      <w:r w:rsidR="008562DB" w:rsidRPr="00AD1549">
        <w:rPr>
          <w:rFonts w:ascii="Calibri" w:eastAsia="Calibri" w:hAnsi="Calibri" w:cs="Calibri"/>
          <w:sz w:val="24"/>
          <w:szCs w:val="24"/>
        </w:rPr>
        <w:t>hort</w:t>
      </w:r>
      <w:r w:rsidR="00BD4B6F" w:rsidRPr="00AD1549">
        <w:rPr>
          <w:rFonts w:ascii="Calibri" w:eastAsia="Calibri" w:hAnsi="Calibri" w:cs="Calibri"/>
          <w:sz w:val="24"/>
          <w:szCs w:val="24"/>
        </w:rPr>
        <w:t xml:space="preserve"> </w:t>
      </w:r>
      <w:r w:rsidR="008562DB" w:rsidRPr="00AD1549">
        <w:rPr>
          <w:rFonts w:ascii="Calibri" w:eastAsia="Calibri" w:hAnsi="Calibri" w:cs="Calibri"/>
          <w:sz w:val="24"/>
          <w:szCs w:val="24"/>
        </w:rPr>
        <w:t xml:space="preserve">had information on osteoporosis treatment </w:t>
      </w:r>
      <w:r w:rsidR="00BD4B6F" w:rsidRPr="00AD1549">
        <w:rPr>
          <w:rFonts w:ascii="Calibri" w:eastAsia="Calibri" w:hAnsi="Calibri" w:cs="Calibri"/>
          <w:sz w:val="24"/>
          <w:szCs w:val="24"/>
        </w:rPr>
        <w:t>(n=233</w:t>
      </w:r>
      <w:r w:rsidR="007F528E" w:rsidRPr="00AD1549">
        <w:rPr>
          <w:rFonts w:ascii="Calibri" w:eastAsia="Calibri" w:hAnsi="Calibri" w:cs="Calibri"/>
          <w:sz w:val="24"/>
          <w:szCs w:val="24"/>
        </w:rPr>
        <w:t>:</w:t>
      </w:r>
      <w:r w:rsidR="00BD4B6F" w:rsidRPr="00AD1549">
        <w:rPr>
          <w:rFonts w:ascii="Calibri" w:eastAsia="Calibri" w:hAnsi="Calibri" w:cs="Calibri"/>
          <w:sz w:val="24"/>
          <w:szCs w:val="24"/>
        </w:rPr>
        <w:t xml:space="preserve"> 16 men and 217 women) </w:t>
      </w:r>
      <w:r w:rsidR="00BC62E7" w:rsidRPr="00AD1549">
        <w:rPr>
          <w:rFonts w:ascii="Calibri" w:eastAsia="Calibri" w:hAnsi="Calibri" w:cs="Calibri"/>
          <w:sz w:val="24"/>
          <w:szCs w:val="24"/>
        </w:rPr>
        <w:t xml:space="preserve">of </w:t>
      </w:r>
      <w:r w:rsidR="00DF5AB3" w:rsidRPr="00AD1549">
        <w:rPr>
          <w:rFonts w:ascii="Calibri" w:eastAsia="Calibri" w:hAnsi="Calibri" w:cs="Calibri"/>
          <w:sz w:val="24"/>
          <w:szCs w:val="24"/>
        </w:rPr>
        <w:t>whom 63</w:t>
      </w:r>
      <w:r w:rsidR="00BD4B6F" w:rsidRPr="00AD1549">
        <w:rPr>
          <w:rFonts w:ascii="Calibri" w:eastAsia="Calibri" w:hAnsi="Calibri" w:cs="Calibri"/>
          <w:sz w:val="24"/>
          <w:szCs w:val="24"/>
        </w:rPr>
        <w:t>% (146</w:t>
      </w:r>
      <w:r w:rsidR="007F528E" w:rsidRPr="00AD1549">
        <w:rPr>
          <w:rFonts w:ascii="Calibri" w:eastAsia="Calibri" w:hAnsi="Calibri" w:cs="Calibri"/>
          <w:sz w:val="24"/>
          <w:szCs w:val="24"/>
        </w:rPr>
        <w:t>:</w:t>
      </w:r>
      <w:r w:rsidR="00BD4B6F" w:rsidRPr="00AD1549">
        <w:rPr>
          <w:rFonts w:ascii="Calibri" w:eastAsia="Calibri" w:hAnsi="Calibri" w:cs="Calibri"/>
          <w:sz w:val="24"/>
          <w:szCs w:val="24"/>
        </w:rPr>
        <w:t xml:space="preserve"> 6 men and 140 women) </w:t>
      </w:r>
      <w:r w:rsidR="00794C3F" w:rsidRPr="00AD1549">
        <w:rPr>
          <w:rFonts w:ascii="Calibri" w:eastAsia="Calibri" w:hAnsi="Calibri" w:cs="Calibri"/>
          <w:sz w:val="24"/>
          <w:szCs w:val="24"/>
        </w:rPr>
        <w:t>were taking</w:t>
      </w:r>
      <w:r w:rsidR="00BD4B6F" w:rsidRPr="00AD1549">
        <w:rPr>
          <w:rFonts w:ascii="Calibri" w:eastAsia="Calibri" w:hAnsi="Calibri" w:cs="Calibri"/>
          <w:sz w:val="24"/>
          <w:szCs w:val="24"/>
        </w:rPr>
        <w:t xml:space="preserve"> osteoporosis treatment</w:t>
      </w:r>
      <w:proofErr w:type="gramStart"/>
      <w:r w:rsidR="00BD4B6F" w:rsidRPr="00AD1549">
        <w:rPr>
          <w:rFonts w:ascii="Calibri" w:eastAsia="Calibri" w:hAnsi="Calibri" w:cs="Calibri"/>
          <w:sz w:val="24"/>
          <w:szCs w:val="24"/>
        </w:rPr>
        <w:t xml:space="preserve">. </w:t>
      </w:r>
      <w:proofErr w:type="gramEnd"/>
      <w:r w:rsidR="0091000D" w:rsidRPr="00AD1549">
        <w:rPr>
          <w:rFonts w:ascii="Calibri" w:eastAsia="Calibri" w:hAnsi="Calibri" w:cs="Calibri"/>
          <w:sz w:val="24"/>
          <w:szCs w:val="24"/>
        </w:rPr>
        <w:t xml:space="preserve">Fracture probabilities </w:t>
      </w:r>
      <w:r w:rsidR="007F528E" w:rsidRPr="00AD1549">
        <w:rPr>
          <w:rFonts w:ascii="Calibri" w:eastAsia="Calibri" w:hAnsi="Calibri" w:cs="Calibri"/>
          <w:sz w:val="24"/>
          <w:szCs w:val="24"/>
        </w:rPr>
        <w:t xml:space="preserve">in this </w:t>
      </w:r>
      <w:r w:rsidR="003379AA" w:rsidRPr="00AD1549">
        <w:rPr>
          <w:rFonts w:ascii="Calibri" w:eastAsia="Calibri" w:hAnsi="Calibri" w:cs="Calibri"/>
          <w:sz w:val="24"/>
          <w:szCs w:val="24"/>
        </w:rPr>
        <w:t>subset were</w:t>
      </w:r>
      <w:r w:rsidR="0091000D" w:rsidRPr="00AD1549">
        <w:rPr>
          <w:rFonts w:ascii="Calibri" w:eastAsia="Calibri" w:hAnsi="Calibri" w:cs="Calibri"/>
          <w:sz w:val="24"/>
          <w:szCs w:val="24"/>
        </w:rPr>
        <w:t xml:space="preserve"> </w:t>
      </w:r>
      <w:r w:rsidR="00804418" w:rsidRPr="00AD1549">
        <w:rPr>
          <w:rFonts w:ascii="Calibri" w:eastAsia="Calibri" w:hAnsi="Calibri" w:cs="Calibri"/>
          <w:sz w:val="24"/>
          <w:szCs w:val="24"/>
        </w:rPr>
        <w:t>compared with those of the whole cohort.</w:t>
      </w:r>
    </w:p>
    <w:p w14:paraId="717B10A1" w14:textId="77777777" w:rsidR="00044234" w:rsidRPr="00AD1549" w:rsidRDefault="00044234" w:rsidP="00923A66">
      <w:pPr>
        <w:spacing w:line="276" w:lineRule="auto"/>
        <w:ind w:left="567"/>
        <w:rPr>
          <w:rFonts w:ascii="Calibri" w:eastAsia="Calibri" w:hAnsi="Calibri" w:cs="Calibri"/>
          <w:sz w:val="24"/>
          <w:szCs w:val="24"/>
        </w:rPr>
      </w:pPr>
    </w:p>
    <w:p w14:paraId="3A19B44F" w14:textId="33F8579A" w:rsidR="003D0DEC" w:rsidRPr="00AD1549" w:rsidRDefault="00B14B26" w:rsidP="00923A66">
      <w:pPr>
        <w:spacing w:line="276" w:lineRule="auto"/>
        <w:ind w:left="567"/>
        <w:rPr>
          <w:rFonts w:ascii="Calibri" w:eastAsia="Calibri" w:hAnsi="Calibri" w:cs="Calibri"/>
          <w:sz w:val="24"/>
          <w:szCs w:val="24"/>
          <w:lang w:eastAsia="en-GB"/>
        </w:rPr>
      </w:pPr>
      <w:r w:rsidRPr="00AD1549">
        <w:rPr>
          <w:rFonts w:ascii="Calibri" w:eastAsia="Calibri" w:hAnsi="Calibri" w:cs="Calibri"/>
          <w:i/>
          <w:iCs/>
          <w:sz w:val="24"/>
          <w:szCs w:val="24"/>
          <w:lang w:eastAsia="en-GB"/>
        </w:rPr>
        <w:t xml:space="preserve">Intervention </w:t>
      </w:r>
      <w:r w:rsidR="000E32A9" w:rsidRPr="00AD1549">
        <w:rPr>
          <w:rFonts w:ascii="Calibri" w:eastAsia="Calibri" w:hAnsi="Calibri" w:cs="Calibri"/>
          <w:i/>
          <w:iCs/>
          <w:sz w:val="24"/>
          <w:szCs w:val="24"/>
          <w:lang w:eastAsia="en-GB"/>
        </w:rPr>
        <w:t>t</w:t>
      </w:r>
      <w:r w:rsidRPr="00AD1549">
        <w:rPr>
          <w:rFonts w:ascii="Calibri" w:eastAsia="Calibri" w:hAnsi="Calibri" w:cs="Calibri"/>
          <w:i/>
          <w:iCs/>
          <w:sz w:val="24"/>
          <w:szCs w:val="24"/>
          <w:lang w:eastAsia="en-GB"/>
        </w:rPr>
        <w:t xml:space="preserve">hresholds </w:t>
      </w:r>
      <w:r w:rsidR="000E32A9" w:rsidRPr="00AD1549">
        <w:rPr>
          <w:rFonts w:ascii="Calibri" w:eastAsia="Calibri" w:hAnsi="Calibri" w:cs="Calibri"/>
          <w:i/>
          <w:iCs/>
          <w:sz w:val="24"/>
          <w:szCs w:val="24"/>
          <w:lang w:eastAsia="en-GB"/>
        </w:rPr>
        <w:t>b</w:t>
      </w:r>
      <w:r w:rsidRPr="00AD1549">
        <w:rPr>
          <w:rFonts w:ascii="Calibri" w:eastAsia="Calibri" w:hAnsi="Calibri" w:cs="Calibri"/>
          <w:i/>
          <w:iCs/>
          <w:sz w:val="24"/>
          <w:szCs w:val="24"/>
          <w:lang w:eastAsia="en-GB"/>
        </w:rPr>
        <w:t>ased on FRAX</w:t>
      </w:r>
      <w:r w:rsidR="009F4321" w:rsidRPr="00AD1549">
        <w:rPr>
          <w:rFonts w:ascii="Calibri" w:eastAsia="Calibri" w:hAnsi="Calibri" w:cs="Calibri"/>
          <w:i/>
          <w:iCs/>
          <w:sz w:val="24"/>
          <w:szCs w:val="24"/>
          <w:lang w:eastAsia="en-GB"/>
        </w:rPr>
        <w:br/>
      </w:r>
      <w:r w:rsidR="00EF51A6" w:rsidRPr="00AD1549">
        <w:rPr>
          <w:rFonts w:ascii="Calibri" w:eastAsia="Calibri" w:hAnsi="Calibri" w:cs="Calibri"/>
          <w:sz w:val="24"/>
          <w:szCs w:val="24"/>
          <w:lang w:eastAsia="en-GB"/>
        </w:rPr>
        <w:t>The approach to the setting of intervention</w:t>
      </w:r>
      <w:r w:rsidR="00F9105C" w:rsidRPr="00AD1549">
        <w:rPr>
          <w:rFonts w:ascii="Calibri" w:eastAsia="Calibri" w:hAnsi="Calibri" w:cs="Calibri"/>
          <w:sz w:val="24"/>
          <w:szCs w:val="24"/>
          <w:lang w:eastAsia="en-GB"/>
        </w:rPr>
        <w:t xml:space="preserve"> </w:t>
      </w:r>
      <w:r w:rsidR="00EF51A6" w:rsidRPr="00AD1549">
        <w:rPr>
          <w:rFonts w:ascii="Calibri" w:eastAsia="Calibri" w:hAnsi="Calibri" w:cs="Calibri"/>
          <w:sz w:val="24"/>
          <w:szCs w:val="24"/>
          <w:lang w:eastAsia="en-GB"/>
        </w:rPr>
        <w:t>and assessment thresholds used the methodolog</w:t>
      </w:r>
      <w:r w:rsidR="00BF671F" w:rsidRPr="00AD1549">
        <w:rPr>
          <w:rFonts w:ascii="Calibri" w:eastAsia="Calibri" w:hAnsi="Calibri" w:cs="Calibri"/>
          <w:sz w:val="24"/>
          <w:szCs w:val="24"/>
          <w:lang w:eastAsia="en-GB"/>
        </w:rPr>
        <w:t>ies</w:t>
      </w:r>
      <w:r w:rsidR="00EF51A6" w:rsidRPr="00AD1549">
        <w:rPr>
          <w:rFonts w:ascii="Calibri" w:eastAsia="Calibri" w:hAnsi="Calibri" w:cs="Calibri"/>
          <w:sz w:val="24"/>
          <w:szCs w:val="24"/>
          <w:lang w:eastAsia="en-GB"/>
        </w:rPr>
        <w:t xml:space="preserve"> adopted by</w:t>
      </w:r>
      <w:r w:rsidR="00F9105C" w:rsidRPr="00AD1549">
        <w:rPr>
          <w:rFonts w:ascii="Calibri" w:eastAsia="Calibri" w:hAnsi="Calibri" w:cs="Calibri"/>
          <w:sz w:val="24"/>
          <w:szCs w:val="24"/>
          <w:lang w:eastAsia="en-GB"/>
        </w:rPr>
        <w:t xml:space="preserve"> </w:t>
      </w:r>
      <w:r w:rsidR="00EF51A6" w:rsidRPr="00AD1549">
        <w:rPr>
          <w:rFonts w:ascii="Calibri" w:eastAsia="Calibri" w:hAnsi="Calibri" w:cs="Calibri"/>
          <w:sz w:val="24"/>
          <w:szCs w:val="24"/>
          <w:lang w:eastAsia="en-GB"/>
        </w:rPr>
        <w:t>the National Osteoporosis Guideline Group for FRAX-based</w:t>
      </w:r>
      <w:r w:rsidR="00F9105C" w:rsidRPr="00AD1549">
        <w:rPr>
          <w:rFonts w:ascii="Calibri" w:eastAsia="Calibri" w:hAnsi="Calibri" w:cs="Calibri"/>
          <w:sz w:val="24"/>
          <w:szCs w:val="24"/>
          <w:lang w:eastAsia="en-GB"/>
        </w:rPr>
        <w:t xml:space="preserve"> </w:t>
      </w:r>
      <w:r w:rsidR="00EF51A6" w:rsidRPr="00AD1549">
        <w:rPr>
          <w:rFonts w:ascii="Calibri" w:eastAsia="Calibri" w:hAnsi="Calibri" w:cs="Calibri"/>
          <w:sz w:val="24"/>
          <w:szCs w:val="24"/>
          <w:lang w:eastAsia="en-GB"/>
        </w:rPr>
        <w:t>guidelines in the UK</w:t>
      </w:r>
      <w:r w:rsidR="00DE73EA" w:rsidRPr="00AD1549">
        <w:rPr>
          <w:rFonts w:ascii="Calibri" w:eastAsia="Calibri" w:hAnsi="Calibri" w:cs="Calibri"/>
          <w:sz w:val="24"/>
          <w:szCs w:val="24"/>
          <w:lang w:eastAsia="en-GB"/>
        </w:rPr>
        <w:t xml:space="preserve"> </w:t>
      </w:r>
      <w:r w:rsidR="002041E2" w:rsidRPr="00AD1549">
        <w:rPr>
          <w:rFonts w:ascii="Calibri" w:eastAsia="Calibri" w:hAnsi="Calibri" w:cs="Calibri"/>
          <w:sz w:val="24"/>
          <w:szCs w:val="24"/>
          <w:lang w:eastAsia="en-GB"/>
        </w:rPr>
        <w:t>[</w:t>
      </w:r>
      <w:bookmarkStart w:id="4" w:name="_Hlk66884928"/>
      <w:r w:rsidR="004D6953" w:rsidRPr="00AD1549">
        <w:rPr>
          <w:rFonts w:ascii="Calibri" w:eastAsia="Calibri" w:hAnsi="Calibri" w:cs="Calibri"/>
          <w:sz w:val="24"/>
          <w:szCs w:val="24"/>
          <w:lang w:eastAsia="en-GB"/>
        </w:rPr>
        <w:t xml:space="preserve">24, </w:t>
      </w:r>
      <w:r w:rsidR="00876EEE" w:rsidRPr="00AD1549">
        <w:rPr>
          <w:rFonts w:ascii="Calibri" w:eastAsia="Calibri" w:hAnsi="Calibri" w:cs="Calibri"/>
          <w:sz w:val="24"/>
          <w:szCs w:val="24"/>
          <w:lang w:eastAsia="en-GB"/>
        </w:rPr>
        <w:t xml:space="preserve">25, </w:t>
      </w:r>
      <w:r w:rsidR="0072646E" w:rsidRPr="00AD1549">
        <w:rPr>
          <w:rFonts w:ascii="Calibri" w:eastAsia="Calibri" w:hAnsi="Calibri" w:cs="Calibri"/>
          <w:sz w:val="24"/>
          <w:szCs w:val="24"/>
          <w:lang w:eastAsia="en-GB"/>
        </w:rPr>
        <w:t>26]</w:t>
      </w:r>
      <w:bookmarkEnd w:id="4"/>
      <w:r w:rsidR="009068E9" w:rsidRPr="00AD1549">
        <w:rPr>
          <w:rFonts w:ascii="Calibri" w:eastAsia="Calibri" w:hAnsi="Calibri" w:cs="Calibri"/>
          <w:sz w:val="24"/>
          <w:szCs w:val="24"/>
          <w:lang w:eastAsia="en-GB"/>
        </w:rPr>
        <w:t>.</w:t>
      </w:r>
      <w:r w:rsidR="007A39EA" w:rsidRPr="00AD1549">
        <w:rPr>
          <w:rFonts w:ascii="Calibri" w:eastAsia="Calibri" w:hAnsi="Calibri" w:cs="Calibri"/>
          <w:sz w:val="24"/>
          <w:szCs w:val="24"/>
          <w:lang w:eastAsia="en-GB"/>
        </w:rPr>
        <w:t xml:space="preserve"> </w:t>
      </w:r>
      <w:r w:rsidR="007E76DB" w:rsidRPr="00AD1549">
        <w:rPr>
          <w:rFonts w:ascii="Calibri" w:eastAsia="Calibri" w:hAnsi="Calibri" w:cs="Calibri"/>
          <w:sz w:val="24"/>
          <w:szCs w:val="24"/>
          <w:lang w:eastAsia="en-GB"/>
        </w:rPr>
        <w:t xml:space="preserve"> </w:t>
      </w:r>
      <w:r w:rsidR="00BF671F" w:rsidRPr="00AD1549">
        <w:rPr>
          <w:rFonts w:ascii="Calibri" w:eastAsia="Calibri" w:hAnsi="Calibri" w:cs="Calibri"/>
          <w:sz w:val="24"/>
          <w:szCs w:val="24"/>
          <w:lang w:eastAsia="en-GB"/>
        </w:rPr>
        <w:t>In the first approach</w:t>
      </w:r>
      <w:r w:rsidR="009068E9" w:rsidRPr="00AD1549">
        <w:rPr>
          <w:rFonts w:ascii="Calibri" w:eastAsia="Calibri" w:hAnsi="Calibri" w:cs="Calibri"/>
          <w:sz w:val="24"/>
          <w:szCs w:val="24"/>
          <w:lang w:eastAsia="en-GB"/>
        </w:rPr>
        <w:t xml:space="preserve">, the intervention threshold </w:t>
      </w:r>
      <w:r w:rsidR="00BF671F" w:rsidRPr="00AD1549">
        <w:rPr>
          <w:rFonts w:ascii="Calibri" w:eastAsia="Calibri" w:hAnsi="Calibri" w:cs="Calibri"/>
          <w:sz w:val="24"/>
          <w:szCs w:val="24"/>
          <w:lang w:eastAsia="en-GB"/>
        </w:rPr>
        <w:t xml:space="preserve">for men and women </w:t>
      </w:r>
      <w:r w:rsidR="009068E9" w:rsidRPr="00AD1549">
        <w:rPr>
          <w:rFonts w:ascii="Calibri" w:eastAsia="Calibri" w:hAnsi="Calibri" w:cs="Calibri"/>
          <w:sz w:val="24"/>
          <w:szCs w:val="24"/>
          <w:lang w:eastAsia="en-GB"/>
        </w:rPr>
        <w:t xml:space="preserve">is set at a </w:t>
      </w:r>
      <w:r w:rsidR="00B102F5" w:rsidRPr="00AD1549">
        <w:rPr>
          <w:rFonts w:ascii="Calibri" w:eastAsia="Calibri" w:hAnsi="Calibri" w:cs="Calibri"/>
          <w:sz w:val="24"/>
          <w:szCs w:val="24"/>
          <w:lang w:eastAsia="en-GB"/>
        </w:rPr>
        <w:t xml:space="preserve">10-year </w:t>
      </w:r>
      <w:r w:rsidR="00476066" w:rsidRPr="00AD1549">
        <w:rPr>
          <w:rFonts w:ascii="Calibri" w:eastAsia="Calibri" w:hAnsi="Calibri" w:cs="Calibri"/>
          <w:sz w:val="24"/>
          <w:szCs w:val="24"/>
          <w:lang w:eastAsia="en-GB"/>
        </w:rPr>
        <w:t xml:space="preserve">probability </w:t>
      </w:r>
      <w:r w:rsidR="00067C5A" w:rsidRPr="00AD1549">
        <w:rPr>
          <w:rFonts w:ascii="Calibri" w:eastAsia="Calibri" w:hAnsi="Calibri" w:cs="Calibri"/>
          <w:sz w:val="24"/>
          <w:szCs w:val="24"/>
          <w:lang w:eastAsia="en-GB"/>
        </w:rPr>
        <w:t>of a</w:t>
      </w:r>
      <w:r w:rsidR="00476066" w:rsidRPr="00AD1549">
        <w:rPr>
          <w:rFonts w:ascii="Calibri" w:eastAsia="Calibri" w:hAnsi="Calibri" w:cs="Calibri"/>
          <w:sz w:val="24"/>
          <w:szCs w:val="24"/>
          <w:lang w:eastAsia="en-GB"/>
        </w:rPr>
        <w:t xml:space="preserve"> m</w:t>
      </w:r>
      <w:r w:rsidR="00B102F5" w:rsidRPr="00AD1549">
        <w:rPr>
          <w:rFonts w:ascii="Calibri" w:eastAsia="Calibri" w:hAnsi="Calibri" w:cs="Calibri"/>
          <w:sz w:val="24"/>
          <w:szCs w:val="24"/>
          <w:lang w:eastAsia="en-GB"/>
        </w:rPr>
        <w:t>ajor osteoporotic fracture</w:t>
      </w:r>
      <w:r w:rsidR="00CF7390" w:rsidRPr="00AD1549">
        <w:rPr>
          <w:rFonts w:ascii="Calibri" w:eastAsia="Calibri" w:hAnsi="Calibri" w:cs="Calibri"/>
          <w:sz w:val="24"/>
          <w:szCs w:val="24"/>
          <w:lang w:eastAsia="en-GB"/>
        </w:rPr>
        <w:t xml:space="preserve"> (MOF)</w:t>
      </w:r>
      <w:r w:rsidR="009068E9" w:rsidRPr="00AD1549">
        <w:rPr>
          <w:rFonts w:ascii="Calibri" w:eastAsia="Calibri" w:hAnsi="Calibri" w:cs="Calibri"/>
          <w:sz w:val="24"/>
          <w:szCs w:val="24"/>
          <w:lang w:eastAsia="en-GB"/>
        </w:rPr>
        <w:t xml:space="preserve"> equivalent to that of a woman of the same age with a prior fracture</w:t>
      </w:r>
      <w:r w:rsidR="007B4C58" w:rsidRPr="00AD1549">
        <w:rPr>
          <w:rFonts w:ascii="Calibri" w:eastAsia="Calibri" w:hAnsi="Calibri" w:cs="Calibri"/>
          <w:sz w:val="24"/>
          <w:szCs w:val="24"/>
          <w:lang w:eastAsia="en-GB"/>
        </w:rPr>
        <w:t xml:space="preserve"> </w:t>
      </w:r>
      <w:r w:rsidR="009068E9" w:rsidRPr="00AD1549">
        <w:rPr>
          <w:rFonts w:ascii="Calibri" w:eastAsia="Calibri" w:hAnsi="Calibri" w:cs="Calibri"/>
          <w:sz w:val="24"/>
          <w:szCs w:val="24"/>
          <w:lang w:eastAsia="en-GB"/>
        </w:rPr>
        <w:t xml:space="preserve">and therefore rises </w:t>
      </w:r>
      <w:r w:rsidR="002D096F" w:rsidRPr="00AD1549">
        <w:rPr>
          <w:rFonts w:ascii="Calibri" w:eastAsia="Calibri" w:hAnsi="Calibri" w:cs="Calibri"/>
          <w:sz w:val="24"/>
          <w:szCs w:val="24"/>
          <w:lang w:eastAsia="en-GB"/>
        </w:rPr>
        <w:t xml:space="preserve">progressively </w:t>
      </w:r>
      <w:r w:rsidR="009068E9" w:rsidRPr="00AD1549">
        <w:rPr>
          <w:rFonts w:ascii="Calibri" w:eastAsia="Calibri" w:hAnsi="Calibri" w:cs="Calibri"/>
          <w:sz w:val="24"/>
          <w:szCs w:val="24"/>
          <w:lang w:eastAsia="en-GB"/>
        </w:rPr>
        <w:t>with age</w:t>
      </w:r>
      <w:r w:rsidR="002D096F" w:rsidRPr="00AD1549">
        <w:rPr>
          <w:rFonts w:ascii="Calibri" w:eastAsia="Calibri" w:hAnsi="Calibri" w:cs="Calibri"/>
          <w:sz w:val="24"/>
          <w:szCs w:val="24"/>
          <w:lang w:eastAsia="en-GB"/>
        </w:rPr>
        <w:t xml:space="preserve"> up to the age of 85 years.  Thereafter</w:t>
      </w:r>
      <w:r w:rsidR="00476066" w:rsidRPr="00AD1549">
        <w:rPr>
          <w:rFonts w:ascii="Calibri" w:eastAsia="Calibri" w:hAnsi="Calibri" w:cs="Calibri"/>
          <w:sz w:val="24"/>
          <w:szCs w:val="24"/>
          <w:lang w:eastAsia="en-GB"/>
        </w:rPr>
        <w:t>,</w:t>
      </w:r>
      <w:r w:rsidR="006A6F73" w:rsidRPr="00AD1549">
        <w:rPr>
          <w:rFonts w:ascii="Calibri" w:eastAsia="Calibri" w:hAnsi="Calibri" w:cs="Calibri"/>
          <w:sz w:val="24"/>
          <w:szCs w:val="24"/>
          <w:lang w:eastAsia="en-GB"/>
        </w:rPr>
        <w:t xml:space="preserve"> </w:t>
      </w:r>
      <w:r w:rsidR="00CF7390" w:rsidRPr="00AD1549">
        <w:rPr>
          <w:rFonts w:ascii="Calibri" w:eastAsia="Calibri" w:hAnsi="Calibri" w:cs="Calibri"/>
          <w:sz w:val="24"/>
          <w:szCs w:val="24"/>
          <w:lang w:eastAsia="en-GB"/>
        </w:rPr>
        <w:t xml:space="preserve">fracture probability </w:t>
      </w:r>
      <w:r w:rsidR="0045648F" w:rsidRPr="00AD1549">
        <w:rPr>
          <w:rFonts w:ascii="Calibri" w:eastAsia="Calibri" w:hAnsi="Calibri" w:cs="Calibri"/>
          <w:sz w:val="24"/>
          <w:szCs w:val="24"/>
          <w:lang w:eastAsia="en-GB"/>
        </w:rPr>
        <w:t>decreases slightly due to the competing effect of mortality</w:t>
      </w:r>
      <w:r w:rsidR="00067C5A" w:rsidRPr="00AD1549">
        <w:rPr>
          <w:rFonts w:ascii="Calibri" w:eastAsia="Calibri" w:hAnsi="Calibri" w:cs="Calibri"/>
          <w:sz w:val="24"/>
          <w:szCs w:val="24"/>
          <w:lang w:eastAsia="en-GB"/>
        </w:rPr>
        <w:t xml:space="preserve"> </w:t>
      </w:r>
      <w:r w:rsidR="006A6F73" w:rsidRPr="00AD1549">
        <w:rPr>
          <w:rFonts w:ascii="Calibri" w:eastAsia="Calibri" w:hAnsi="Calibri" w:cs="Calibri"/>
          <w:sz w:val="24"/>
          <w:szCs w:val="24"/>
          <w:lang w:eastAsia="en-GB"/>
        </w:rPr>
        <w:t>(Figure 1)</w:t>
      </w:r>
      <w:r w:rsidR="009068E9" w:rsidRPr="00AD1549">
        <w:rPr>
          <w:rFonts w:ascii="Calibri" w:eastAsia="Calibri" w:hAnsi="Calibri" w:cs="Calibri"/>
          <w:sz w:val="24"/>
          <w:szCs w:val="24"/>
          <w:lang w:eastAsia="en-GB"/>
        </w:rPr>
        <w:t xml:space="preserve">. </w:t>
      </w:r>
      <w:r w:rsidR="0029058B" w:rsidRPr="00AD1549">
        <w:rPr>
          <w:rFonts w:ascii="Calibri" w:eastAsia="Calibri" w:hAnsi="Calibri" w:cs="Calibri"/>
          <w:sz w:val="24"/>
          <w:szCs w:val="24"/>
          <w:lang w:eastAsia="en-GB"/>
        </w:rPr>
        <w:t xml:space="preserve"> </w:t>
      </w:r>
      <w:proofErr w:type="gramStart"/>
      <w:r w:rsidR="0029058B" w:rsidRPr="00AD1549">
        <w:rPr>
          <w:rFonts w:ascii="Calibri" w:eastAsia="Calibri" w:hAnsi="Calibri" w:cs="Calibri"/>
          <w:sz w:val="24"/>
          <w:szCs w:val="24"/>
          <w:lang w:eastAsia="en-GB"/>
        </w:rPr>
        <w:t>For the purpose of</w:t>
      </w:r>
      <w:proofErr w:type="gramEnd"/>
      <w:r w:rsidR="0029058B" w:rsidRPr="00AD1549">
        <w:rPr>
          <w:rFonts w:ascii="Calibri" w:eastAsia="Calibri" w:hAnsi="Calibri" w:cs="Calibri"/>
          <w:sz w:val="24"/>
          <w:szCs w:val="24"/>
          <w:lang w:eastAsia="en-GB"/>
        </w:rPr>
        <w:t xml:space="preserve"> this report the </w:t>
      </w:r>
      <w:r w:rsidR="00425B6F" w:rsidRPr="00AD1549">
        <w:rPr>
          <w:rFonts w:ascii="Calibri" w:eastAsia="Calibri" w:hAnsi="Calibri" w:cs="Calibri"/>
          <w:sz w:val="24"/>
          <w:szCs w:val="24"/>
          <w:lang w:eastAsia="en-GB"/>
        </w:rPr>
        <w:t xml:space="preserve">threshold is termed age-dependent.  </w:t>
      </w:r>
    </w:p>
    <w:p w14:paraId="78D6C23A" w14:textId="761A4753" w:rsidR="006329C4" w:rsidRDefault="003D0DEC" w:rsidP="00923A66">
      <w:pPr>
        <w:spacing w:line="276" w:lineRule="auto"/>
        <w:ind w:left="567"/>
        <w:rPr>
          <w:rFonts w:ascii="Calibri" w:eastAsia="Calibri" w:hAnsi="Calibri" w:cs="Calibri"/>
          <w:sz w:val="24"/>
          <w:szCs w:val="24"/>
          <w:lang w:eastAsia="en-GB"/>
        </w:rPr>
      </w:pPr>
      <w:r w:rsidRPr="00AD1549">
        <w:rPr>
          <w:rFonts w:ascii="Calibri" w:eastAsia="Calibri" w:hAnsi="Calibri" w:cs="Calibri"/>
          <w:sz w:val="24"/>
          <w:szCs w:val="24"/>
          <w:lang w:eastAsia="en-GB"/>
        </w:rPr>
        <w:t xml:space="preserve">More </w:t>
      </w:r>
      <w:r w:rsidR="003C34A8" w:rsidRPr="00AD1549">
        <w:rPr>
          <w:rFonts w:ascii="Calibri" w:eastAsia="Calibri" w:hAnsi="Calibri" w:cs="Calibri"/>
          <w:sz w:val="24"/>
          <w:szCs w:val="24"/>
          <w:lang w:eastAsia="en-GB"/>
        </w:rPr>
        <w:t>recently, NOGG</w:t>
      </w:r>
      <w:r w:rsidR="00EC1E6B" w:rsidRPr="00AD1549">
        <w:rPr>
          <w:rFonts w:ascii="Calibri" w:eastAsia="Calibri" w:hAnsi="Calibri" w:cs="Calibri"/>
          <w:sz w:val="24"/>
          <w:szCs w:val="24"/>
          <w:lang w:eastAsia="en-GB"/>
        </w:rPr>
        <w:t xml:space="preserve"> modified the threshold</w:t>
      </w:r>
      <w:r w:rsidR="007E00DB"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 xml:space="preserve"> </w:t>
      </w:r>
      <w:r w:rsidR="007E00DB" w:rsidRPr="00AD1549">
        <w:rPr>
          <w:rFonts w:ascii="Calibri" w:eastAsia="Calibri" w:hAnsi="Calibri" w:cs="Calibri"/>
          <w:sz w:val="24"/>
          <w:szCs w:val="24"/>
          <w:lang w:eastAsia="en-GB"/>
        </w:rPr>
        <w:t xml:space="preserve">The intervention threshold </w:t>
      </w:r>
      <w:r w:rsidR="003C34A8" w:rsidRPr="00AD1549">
        <w:rPr>
          <w:rFonts w:ascii="Calibri" w:eastAsia="Calibri" w:hAnsi="Calibri" w:cs="Calibri"/>
          <w:sz w:val="24"/>
          <w:szCs w:val="24"/>
          <w:lang w:eastAsia="en-GB"/>
        </w:rPr>
        <w:t>up to the age of 70 years</w:t>
      </w:r>
      <w:r w:rsidR="007E00DB" w:rsidRPr="00AD1549">
        <w:rPr>
          <w:rFonts w:ascii="Calibri" w:eastAsia="Calibri" w:hAnsi="Calibri" w:cs="Calibri"/>
          <w:sz w:val="24"/>
          <w:szCs w:val="24"/>
          <w:lang w:eastAsia="en-GB"/>
        </w:rPr>
        <w:t xml:space="preserve"> </w:t>
      </w:r>
      <w:r w:rsidR="00087AB2" w:rsidRPr="00AD1549">
        <w:rPr>
          <w:rFonts w:ascii="Calibri" w:eastAsia="Calibri" w:hAnsi="Calibri" w:cs="Calibri"/>
          <w:sz w:val="24"/>
          <w:szCs w:val="24"/>
          <w:lang w:eastAsia="en-GB"/>
        </w:rPr>
        <w:t xml:space="preserve">was </w:t>
      </w:r>
      <w:r w:rsidR="007E00DB" w:rsidRPr="00AD1549">
        <w:rPr>
          <w:rFonts w:ascii="Calibri" w:eastAsia="Calibri" w:hAnsi="Calibri" w:cs="Calibri"/>
          <w:sz w:val="24"/>
          <w:szCs w:val="24"/>
          <w:lang w:eastAsia="en-GB"/>
        </w:rPr>
        <w:t>set at a 10-year probability of a major osteoporotic fracture (MOF) equivalent to that of a woman of the same age with a prior fracture</w:t>
      </w:r>
      <w:r w:rsidR="00087AB2" w:rsidRPr="00AD1549">
        <w:rPr>
          <w:rFonts w:ascii="Calibri" w:eastAsia="Calibri" w:hAnsi="Calibri" w:cs="Calibri"/>
          <w:sz w:val="24"/>
          <w:szCs w:val="24"/>
          <w:lang w:eastAsia="en-GB"/>
        </w:rPr>
        <w:t xml:space="preserve">. </w:t>
      </w:r>
      <w:r w:rsidR="007E00DB" w:rsidRPr="00AD1549">
        <w:rPr>
          <w:rFonts w:ascii="Calibri" w:eastAsia="Calibri" w:hAnsi="Calibri" w:cs="Calibri"/>
          <w:i/>
          <w:iCs/>
          <w:sz w:val="24"/>
          <w:szCs w:val="24"/>
          <w:lang w:eastAsia="en-GB"/>
        </w:rPr>
        <w:t xml:space="preserve"> </w:t>
      </w:r>
      <w:r w:rsidR="009068E9" w:rsidRPr="00AD1549">
        <w:rPr>
          <w:rFonts w:ascii="Calibri" w:eastAsia="Calibri" w:hAnsi="Calibri" w:cs="Calibri"/>
          <w:sz w:val="24"/>
          <w:szCs w:val="24"/>
          <w:lang w:eastAsia="en-GB"/>
        </w:rPr>
        <w:t xml:space="preserve">At age 70 years and above, </w:t>
      </w:r>
      <w:r w:rsidR="00087AB2" w:rsidRPr="00AD1549">
        <w:rPr>
          <w:rFonts w:ascii="Calibri" w:eastAsia="Calibri" w:hAnsi="Calibri" w:cs="Calibri"/>
          <w:sz w:val="24"/>
          <w:szCs w:val="24"/>
          <w:lang w:eastAsia="en-GB"/>
        </w:rPr>
        <w:t xml:space="preserve">a </w:t>
      </w:r>
      <w:r w:rsidR="009068E9" w:rsidRPr="00AD1549">
        <w:rPr>
          <w:rFonts w:ascii="Calibri" w:eastAsia="Calibri" w:hAnsi="Calibri" w:cs="Calibri"/>
          <w:sz w:val="24"/>
          <w:szCs w:val="24"/>
          <w:lang w:eastAsia="en-GB"/>
        </w:rPr>
        <w:t xml:space="preserve">fixed threshold </w:t>
      </w:r>
      <w:r w:rsidR="00087AB2" w:rsidRPr="00AD1549">
        <w:rPr>
          <w:rFonts w:ascii="Calibri" w:eastAsia="Calibri" w:hAnsi="Calibri" w:cs="Calibri"/>
          <w:sz w:val="24"/>
          <w:szCs w:val="24"/>
          <w:lang w:eastAsia="en-GB"/>
        </w:rPr>
        <w:t>was</w:t>
      </w:r>
      <w:r w:rsidR="009068E9" w:rsidRPr="00AD1549">
        <w:rPr>
          <w:rFonts w:ascii="Calibri" w:eastAsia="Calibri" w:hAnsi="Calibri" w:cs="Calibri"/>
          <w:sz w:val="24"/>
          <w:szCs w:val="24"/>
          <w:lang w:eastAsia="en-GB"/>
        </w:rPr>
        <w:t xml:space="preserve"> applied</w:t>
      </w:r>
      <w:r w:rsidR="002A38AB" w:rsidRPr="00AD1549">
        <w:rPr>
          <w:rFonts w:ascii="Calibri" w:eastAsia="Calibri" w:hAnsi="Calibri" w:cs="Calibri"/>
          <w:sz w:val="24"/>
          <w:szCs w:val="24"/>
          <w:lang w:eastAsia="en-GB"/>
        </w:rPr>
        <w:t xml:space="preserve"> that equalled the probability at the age of 70 years</w:t>
      </w:r>
      <w:r w:rsidR="00932CC0" w:rsidRPr="00AD1549">
        <w:rPr>
          <w:rFonts w:ascii="Calibri" w:eastAsia="Calibri" w:hAnsi="Calibri" w:cs="Calibri"/>
          <w:sz w:val="24"/>
          <w:szCs w:val="24"/>
          <w:lang w:eastAsia="en-GB"/>
        </w:rPr>
        <w:t xml:space="preserve"> [</w:t>
      </w:r>
      <w:r w:rsidR="00DB5A52" w:rsidRPr="00AD1549">
        <w:rPr>
          <w:rFonts w:ascii="Calibri" w:eastAsia="Calibri" w:hAnsi="Calibri" w:cs="Calibri"/>
          <w:sz w:val="24"/>
          <w:szCs w:val="24"/>
          <w:u w:val="single"/>
          <w:lang w:eastAsia="en-GB"/>
        </w:rPr>
        <w:t>27]</w:t>
      </w:r>
      <w:r w:rsidR="006329C4" w:rsidRPr="00AD1549">
        <w:rPr>
          <w:rFonts w:ascii="Calibri" w:eastAsia="Calibri" w:hAnsi="Calibri" w:cs="Calibri"/>
          <w:sz w:val="24"/>
          <w:szCs w:val="24"/>
          <w:lang w:eastAsia="en-GB"/>
        </w:rPr>
        <w:t xml:space="preserve">. </w:t>
      </w:r>
      <w:r w:rsidR="00AD1549">
        <w:rPr>
          <w:rFonts w:ascii="Calibri" w:eastAsia="Calibri" w:hAnsi="Calibri" w:cs="Calibri"/>
          <w:sz w:val="24"/>
          <w:szCs w:val="24"/>
          <w:lang w:eastAsia="en-GB"/>
        </w:rPr>
        <w:t xml:space="preserve"> </w:t>
      </w:r>
      <w:r w:rsidR="006329C4" w:rsidRPr="00AD1549">
        <w:rPr>
          <w:rFonts w:ascii="Calibri" w:eastAsia="Calibri" w:hAnsi="Calibri" w:cs="Calibri"/>
          <w:sz w:val="24"/>
          <w:szCs w:val="24"/>
          <w:lang w:eastAsia="en-GB"/>
        </w:rPr>
        <w:t xml:space="preserve">The second option is </w:t>
      </w:r>
      <w:r w:rsidR="00050BF3" w:rsidRPr="00AD1549">
        <w:rPr>
          <w:rFonts w:ascii="Calibri" w:eastAsia="Calibri" w:hAnsi="Calibri" w:cs="Calibri"/>
          <w:sz w:val="24"/>
          <w:szCs w:val="24"/>
          <w:lang w:eastAsia="en-GB"/>
        </w:rPr>
        <w:t xml:space="preserve">termed a hybrid </w:t>
      </w:r>
      <w:r w:rsidR="006329C4" w:rsidRPr="00AD1549">
        <w:rPr>
          <w:rFonts w:ascii="Calibri" w:eastAsia="Calibri" w:hAnsi="Calibri" w:cs="Calibri"/>
          <w:sz w:val="24"/>
          <w:szCs w:val="24"/>
          <w:lang w:eastAsia="en-GB"/>
        </w:rPr>
        <w:t>threshold (</w:t>
      </w:r>
      <w:r w:rsidR="00050BF3" w:rsidRPr="00AD1549">
        <w:rPr>
          <w:rFonts w:ascii="Calibri" w:eastAsia="Calibri" w:hAnsi="Calibri" w:cs="Calibri"/>
          <w:sz w:val="24"/>
          <w:szCs w:val="24"/>
          <w:lang w:eastAsia="en-GB"/>
        </w:rPr>
        <w:t xml:space="preserve">see </w:t>
      </w:r>
      <w:r w:rsidR="006329C4" w:rsidRPr="00AD1549">
        <w:rPr>
          <w:rFonts w:ascii="Calibri" w:eastAsia="Calibri" w:hAnsi="Calibri" w:cs="Calibri"/>
          <w:sz w:val="24"/>
          <w:szCs w:val="24"/>
          <w:lang w:eastAsia="en-GB"/>
        </w:rPr>
        <w:t>Figure 1).</w:t>
      </w:r>
    </w:p>
    <w:p w14:paraId="45C41825" w14:textId="67D1D015" w:rsidR="00D26CE5" w:rsidRDefault="00D26CE5" w:rsidP="00923A66">
      <w:pPr>
        <w:spacing w:line="276" w:lineRule="auto"/>
        <w:ind w:left="567"/>
        <w:rPr>
          <w:rFonts w:ascii="Calibri" w:eastAsia="Calibri" w:hAnsi="Calibri" w:cs="Calibri"/>
          <w:sz w:val="24"/>
          <w:szCs w:val="24"/>
          <w:lang w:eastAsia="en-GB"/>
        </w:rPr>
      </w:pPr>
      <w:r>
        <w:rPr>
          <w:noProof/>
        </w:rPr>
        <w:drawing>
          <wp:anchor distT="0" distB="0" distL="114300" distR="114300" simplePos="0" relativeHeight="251658240" behindDoc="0" locked="0" layoutInCell="1" allowOverlap="1" wp14:anchorId="49C07E74" wp14:editId="62016A91">
            <wp:simplePos x="0" y="0"/>
            <wp:positionH relativeFrom="column">
              <wp:posOffset>361950</wp:posOffset>
            </wp:positionH>
            <wp:positionV relativeFrom="paragraph">
              <wp:posOffset>310515</wp:posOffset>
            </wp:positionV>
            <wp:extent cx="5731510" cy="2628900"/>
            <wp:effectExtent l="0" t="0" r="2540" b="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t="9602" b="8845"/>
                    <a:stretch/>
                  </pic:blipFill>
                  <pic:spPr bwMode="auto">
                    <a:xfrm>
                      <a:off x="0" y="0"/>
                      <a:ext cx="5731510" cy="2628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5CF0CF3" w14:textId="7408DEA3" w:rsidR="00AB0E82" w:rsidRPr="00B07A12" w:rsidRDefault="00AB0E82" w:rsidP="00F018FA">
      <w:pPr>
        <w:widowControl w:val="0"/>
        <w:autoSpaceDE w:val="0"/>
        <w:autoSpaceDN w:val="0"/>
        <w:spacing w:before="177" w:after="0" w:line="276" w:lineRule="auto"/>
        <w:ind w:left="567" w:right="521"/>
        <w:rPr>
          <w:rFonts w:ascii="Calibri" w:eastAsia="Tahoma" w:hAnsi="Calibri" w:cs="Calibri"/>
          <w:sz w:val="20"/>
          <w:szCs w:val="20"/>
          <w:lang w:eastAsia="en-GB" w:bidi="en-GB"/>
        </w:rPr>
      </w:pPr>
      <w:r w:rsidRPr="00A66AC8">
        <w:rPr>
          <w:rFonts w:ascii="Calibri" w:eastAsia="Tahoma" w:hAnsi="Calibri" w:cs="Calibri"/>
          <w:b/>
          <w:bCs/>
          <w:sz w:val="20"/>
          <w:szCs w:val="20"/>
          <w:lang w:eastAsia="en-GB" w:bidi="en-GB"/>
        </w:rPr>
        <w:t>Figure 1:</w:t>
      </w:r>
      <w:r w:rsidRPr="00A66AC8">
        <w:rPr>
          <w:rFonts w:ascii="Calibri" w:eastAsia="Tahoma" w:hAnsi="Calibri" w:cs="Calibri"/>
          <w:sz w:val="20"/>
          <w:szCs w:val="20"/>
          <w:lang w:eastAsia="en-GB" w:bidi="en-GB"/>
        </w:rPr>
        <w:t xml:space="preserve"> </w:t>
      </w:r>
      <w:r w:rsidR="00971484" w:rsidRPr="00A66AC8">
        <w:rPr>
          <w:rFonts w:ascii="Calibri" w:eastAsia="Tahoma" w:hAnsi="Calibri" w:cs="Calibri"/>
          <w:sz w:val="20"/>
          <w:szCs w:val="20"/>
          <w:lang w:eastAsia="en-GB" w:bidi="en-GB"/>
        </w:rPr>
        <w:t>A</w:t>
      </w:r>
      <w:r w:rsidRPr="00A66AC8">
        <w:rPr>
          <w:rFonts w:ascii="Calibri" w:eastAsia="Tahoma" w:hAnsi="Calibri" w:cs="Calibri"/>
          <w:sz w:val="20"/>
          <w:szCs w:val="20"/>
          <w:lang w:eastAsia="en-GB" w:bidi="en-GB"/>
        </w:rPr>
        <w:t>ssessment</w:t>
      </w:r>
      <w:r w:rsidR="001706DE">
        <w:rPr>
          <w:rFonts w:ascii="Calibri" w:eastAsia="Tahoma" w:hAnsi="Calibri" w:cs="Calibri"/>
          <w:sz w:val="20"/>
          <w:szCs w:val="20"/>
          <w:lang w:eastAsia="en-GB" w:bidi="en-GB"/>
        </w:rPr>
        <w:t xml:space="preserve"> and </w:t>
      </w:r>
      <w:r w:rsidRPr="00A66AC8">
        <w:rPr>
          <w:rFonts w:ascii="Calibri" w:eastAsia="Tahoma" w:hAnsi="Calibri" w:cs="Calibri"/>
          <w:sz w:val="20"/>
          <w:szCs w:val="20"/>
          <w:lang w:eastAsia="en-GB" w:bidi="en-GB"/>
        </w:rPr>
        <w:t xml:space="preserve">intervention thresholds for major osteoporotic fracture probability (MOF) in </w:t>
      </w:r>
      <w:r w:rsidR="00B1564B" w:rsidRPr="00A66AC8">
        <w:rPr>
          <w:rFonts w:ascii="Calibri" w:eastAsia="Tahoma" w:hAnsi="Calibri" w:cs="Calibri"/>
          <w:sz w:val="20"/>
          <w:szCs w:val="20"/>
          <w:lang w:eastAsia="en-GB" w:bidi="en-GB"/>
        </w:rPr>
        <w:t>Chile</w:t>
      </w:r>
      <w:r w:rsidRPr="00A66AC8">
        <w:rPr>
          <w:rFonts w:ascii="Calibri" w:eastAsia="Tahoma" w:hAnsi="Calibri" w:cs="Calibri"/>
          <w:sz w:val="20"/>
          <w:szCs w:val="20"/>
          <w:lang w:eastAsia="en-GB" w:bidi="en-GB"/>
        </w:rPr>
        <w:t xml:space="preserve"> with the use of FRAX</w:t>
      </w:r>
      <w:proofErr w:type="gramStart"/>
      <w:r w:rsidRPr="00A66AC8">
        <w:rPr>
          <w:rFonts w:ascii="Calibri" w:eastAsia="Tahoma" w:hAnsi="Calibri" w:cs="Calibri"/>
          <w:sz w:val="20"/>
          <w:szCs w:val="20"/>
          <w:lang w:eastAsia="en-GB" w:bidi="en-GB"/>
        </w:rPr>
        <w:t xml:space="preserve">. </w:t>
      </w:r>
      <w:proofErr w:type="gramEnd"/>
      <w:r w:rsidRPr="00A66AC8">
        <w:rPr>
          <w:rFonts w:ascii="Calibri" w:eastAsia="Tahoma" w:hAnsi="Calibri" w:cs="Calibri"/>
          <w:sz w:val="20"/>
          <w:szCs w:val="20"/>
          <w:lang w:eastAsia="en-GB" w:bidi="en-GB"/>
        </w:rPr>
        <w:t>Individuals with probabilities below the lower assessment threshold (LAT) are considered for lifestyle advice</w:t>
      </w:r>
      <w:proofErr w:type="gramStart"/>
      <w:r w:rsidRPr="00A66AC8">
        <w:rPr>
          <w:rFonts w:ascii="Calibri" w:eastAsia="Tahoma" w:hAnsi="Calibri" w:cs="Calibri"/>
          <w:sz w:val="20"/>
          <w:szCs w:val="20"/>
          <w:lang w:eastAsia="en-GB" w:bidi="en-GB"/>
        </w:rPr>
        <w:t xml:space="preserve">. </w:t>
      </w:r>
      <w:proofErr w:type="gramEnd"/>
      <w:r w:rsidRPr="00A66AC8">
        <w:rPr>
          <w:rFonts w:ascii="Calibri" w:eastAsia="Tahoma" w:hAnsi="Calibri" w:cs="Calibri"/>
          <w:sz w:val="20"/>
          <w:szCs w:val="20"/>
          <w:lang w:eastAsia="en-GB" w:bidi="en-GB"/>
        </w:rPr>
        <w:t xml:space="preserve">Those at intermediate risk (probabilities </w:t>
      </w:r>
      <w:r w:rsidRPr="00A66AC8">
        <w:rPr>
          <w:rFonts w:ascii="Calibri" w:eastAsia="Tahoma" w:hAnsi="Calibri" w:cs="Calibri"/>
          <w:sz w:val="20"/>
          <w:szCs w:val="20"/>
          <w:lang w:eastAsia="en-GB" w:bidi="en-GB"/>
        </w:rPr>
        <w:lastRenderedPageBreak/>
        <w:t xml:space="preserve">between the upper assessment threshold (UAT) and lower assessment threshold (LAT) are further assessed with BMD measurement.  Where probabilities calculated using BMD lie above or below the intervention threshold (IT), treatment or lifestyle advice, respectively, is recommended.  Patients with probabilities above the upper assessment threshold </w:t>
      </w:r>
      <w:r w:rsidRPr="00B07A12">
        <w:rPr>
          <w:rFonts w:ascii="Calibri" w:eastAsia="Tahoma" w:hAnsi="Calibri" w:cs="Calibri"/>
          <w:sz w:val="20"/>
          <w:szCs w:val="20"/>
          <w:lang w:eastAsia="en-GB" w:bidi="en-GB"/>
        </w:rPr>
        <w:t>(UAT) are considered for treatment</w:t>
      </w:r>
      <w:proofErr w:type="gramStart"/>
      <w:r w:rsidRPr="00B07A12">
        <w:rPr>
          <w:rFonts w:ascii="Calibri" w:eastAsia="Tahoma" w:hAnsi="Calibri" w:cs="Calibri"/>
          <w:sz w:val="20"/>
          <w:szCs w:val="20"/>
          <w:lang w:eastAsia="en-GB" w:bidi="en-GB"/>
        </w:rPr>
        <w:t xml:space="preserve">. </w:t>
      </w:r>
      <w:proofErr w:type="gramEnd"/>
      <w:r w:rsidRPr="00B07A12">
        <w:rPr>
          <w:rFonts w:ascii="Calibri" w:eastAsia="Tahoma" w:hAnsi="Calibri" w:cs="Calibri"/>
          <w:sz w:val="20"/>
          <w:szCs w:val="20"/>
          <w:lang w:eastAsia="en-GB" w:bidi="en-GB"/>
        </w:rPr>
        <w:t>Where BMD measurement is not practical, patients with probabilities above the IT are considered for treatment.</w:t>
      </w:r>
    </w:p>
    <w:p w14:paraId="6397A4E3" w14:textId="77777777" w:rsidR="005E4B99" w:rsidRPr="008F4C03" w:rsidRDefault="005E4B99" w:rsidP="00B30226">
      <w:pPr>
        <w:spacing w:line="276" w:lineRule="auto"/>
        <w:ind w:left="567"/>
        <w:rPr>
          <w:rFonts w:ascii="Calibri" w:eastAsia="Calibri" w:hAnsi="Calibri" w:cs="Calibri"/>
          <w:i/>
          <w:iCs/>
          <w:sz w:val="24"/>
          <w:szCs w:val="24"/>
          <w:lang w:eastAsia="en-GB"/>
        </w:rPr>
      </w:pPr>
    </w:p>
    <w:p w14:paraId="5DA4577B" w14:textId="49BF2829" w:rsidR="007F59B2" w:rsidRPr="008F4C03" w:rsidRDefault="00E515A9" w:rsidP="00F37FD3">
      <w:pPr>
        <w:spacing w:line="276" w:lineRule="auto"/>
        <w:ind w:left="567"/>
        <w:rPr>
          <w:rFonts w:ascii="Calibri" w:eastAsia="Calibri" w:hAnsi="Calibri" w:cs="Calibri"/>
          <w:sz w:val="24"/>
          <w:szCs w:val="24"/>
          <w:lang w:eastAsia="en-GB"/>
        </w:rPr>
      </w:pPr>
      <w:r w:rsidRPr="008F4C03">
        <w:rPr>
          <w:rFonts w:ascii="Calibri" w:eastAsia="Calibri" w:hAnsi="Calibri" w:cs="Calibri"/>
          <w:i/>
          <w:iCs/>
          <w:sz w:val="24"/>
          <w:szCs w:val="24"/>
          <w:lang w:eastAsia="en-GB"/>
        </w:rPr>
        <w:t>Assessment thresholds for BMD testing</w:t>
      </w:r>
      <w:r w:rsidR="0076116F" w:rsidRPr="008F4C03">
        <w:rPr>
          <w:rFonts w:ascii="Calibri" w:eastAsia="Calibri" w:hAnsi="Calibri" w:cs="Calibri"/>
          <w:i/>
          <w:iCs/>
          <w:sz w:val="24"/>
          <w:szCs w:val="24"/>
          <w:lang w:eastAsia="en-GB"/>
        </w:rPr>
        <w:br/>
      </w:r>
      <w:r w:rsidR="007F59B2" w:rsidRPr="008F4C03">
        <w:rPr>
          <w:rFonts w:ascii="Calibri" w:eastAsia="Calibri" w:hAnsi="Calibri" w:cs="Calibri"/>
          <w:sz w:val="24"/>
          <w:szCs w:val="24"/>
          <w:lang w:eastAsia="en-GB"/>
        </w:rPr>
        <w:t>Two assessment thresholds for making recommendations for</w:t>
      </w:r>
      <w:r w:rsidR="0076116F" w:rsidRPr="008F4C03">
        <w:rPr>
          <w:rFonts w:ascii="Calibri" w:eastAsia="Calibri" w:hAnsi="Calibri" w:cs="Calibri"/>
          <w:sz w:val="24"/>
          <w:szCs w:val="24"/>
          <w:lang w:eastAsia="en-GB"/>
        </w:rPr>
        <w:t xml:space="preserve"> </w:t>
      </w:r>
      <w:r w:rsidR="007F59B2" w:rsidRPr="008F4C03">
        <w:rPr>
          <w:rFonts w:ascii="Calibri" w:eastAsia="Calibri" w:hAnsi="Calibri" w:cs="Calibri"/>
          <w:sz w:val="24"/>
          <w:szCs w:val="24"/>
          <w:lang w:eastAsia="en-GB"/>
        </w:rPr>
        <w:t>the measurement of BMD were considered [</w:t>
      </w:r>
      <w:r w:rsidR="003A41CB">
        <w:rPr>
          <w:rFonts w:ascii="Calibri" w:eastAsia="Calibri" w:hAnsi="Calibri" w:cs="Calibri"/>
          <w:sz w:val="24"/>
          <w:szCs w:val="24"/>
          <w:lang w:eastAsia="en-GB"/>
        </w:rPr>
        <w:t>9, 24, 25]</w:t>
      </w:r>
      <w:r w:rsidR="007F59B2" w:rsidRPr="008F4C03">
        <w:rPr>
          <w:rFonts w:ascii="Calibri" w:eastAsia="Calibri" w:hAnsi="Calibri" w:cs="Calibri"/>
          <w:sz w:val="24"/>
          <w:szCs w:val="24"/>
          <w:lang w:eastAsia="en-GB"/>
        </w:rPr>
        <w:t>:</w:t>
      </w:r>
    </w:p>
    <w:p w14:paraId="0BC8843E" w14:textId="19CF8139" w:rsidR="007F59B2" w:rsidRPr="008F4C03" w:rsidRDefault="007F59B2" w:rsidP="00534B9F">
      <w:pPr>
        <w:spacing w:line="276" w:lineRule="auto"/>
        <w:ind w:left="1134"/>
        <w:rPr>
          <w:rFonts w:ascii="Calibri" w:eastAsia="Calibri" w:hAnsi="Calibri" w:cs="Calibri"/>
          <w:sz w:val="24"/>
          <w:szCs w:val="24"/>
          <w:lang w:eastAsia="en-GB"/>
        </w:rPr>
      </w:pPr>
      <w:r w:rsidRPr="008F4C03">
        <w:rPr>
          <w:rFonts w:ascii="Calibri" w:eastAsia="Calibri" w:hAnsi="Calibri" w:cs="Calibri"/>
          <w:sz w:val="24"/>
          <w:szCs w:val="24"/>
          <w:lang w:eastAsia="en-GB"/>
        </w:rPr>
        <w:t>A threshold probability below which neither treatment</w:t>
      </w:r>
      <w:r w:rsidR="00D42736" w:rsidRPr="008F4C03">
        <w:rPr>
          <w:rFonts w:ascii="Calibri" w:eastAsia="Calibri" w:hAnsi="Calibri" w:cs="Calibri"/>
          <w:sz w:val="24"/>
          <w:szCs w:val="24"/>
          <w:lang w:eastAsia="en-GB"/>
        </w:rPr>
        <w:t xml:space="preserve"> </w:t>
      </w:r>
      <w:r w:rsidRPr="008F4C03">
        <w:rPr>
          <w:rFonts w:ascii="Calibri" w:eastAsia="Calibri" w:hAnsi="Calibri" w:cs="Calibri"/>
          <w:sz w:val="24"/>
          <w:szCs w:val="24"/>
          <w:lang w:eastAsia="en-GB"/>
        </w:rPr>
        <w:t>nor a BMD test should be considered (lower assessment</w:t>
      </w:r>
      <w:r w:rsidR="00D42736" w:rsidRPr="008F4C03">
        <w:rPr>
          <w:rFonts w:ascii="Calibri" w:eastAsia="Calibri" w:hAnsi="Calibri" w:cs="Calibri"/>
          <w:sz w:val="24"/>
          <w:szCs w:val="24"/>
          <w:lang w:eastAsia="en-GB"/>
        </w:rPr>
        <w:t xml:space="preserve"> </w:t>
      </w:r>
      <w:r w:rsidRPr="008F4C03">
        <w:rPr>
          <w:rFonts w:ascii="Calibri" w:eastAsia="Calibri" w:hAnsi="Calibri" w:cs="Calibri"/>
          <w:sz w:val="24"/>
          <w:szCs w:val="24"/>
          <w:lang w:eastAsia="en-GB"/>
        </w:rPr>
        <w:t>threshold).</w:t>
      </w:r>
    </w:p>
    <w:p w14:paraId="71031387" w14:textId="76D6A808" w:rsidR="007F59B2" w:rsidRPr="008F4C03" w:rsidRDefault="007F59B2" w:rsidP="00534B9F">
      <w:pPr>
        <w:spacing w:line="276" w:lineRule="auto"/>
        <w:ind w:left="1134"/>
        <w:rPr>
          <w:rFonts w:ascii="Calibri" w:eastAsia="Calibri" w:hAnsi="Calibri" w:cs="Calibri"/>
          <w:sz w:val="24"/>
          <w:szCs w:val="24"/>
          <w:lang w:eastAsia="en-GB"/>
        </w:rPr>
      </w:pPr>
      <w:r w:rsidRPr="008F4C03">
        <w:rPr>
          <w:rFonts w:ascii="Calibri" w:eastAsia="Calibri" w:hAnsi="Calibri" w:cs="Calibri"/>
          <w:sz w:val="24"/>
          <w:szCs w:val="24"/>
          <w:lang w:eastAsia="en-GB"/>
        </w:rPr>
        <w:t>A threshold probability above which treatment may be</w:t>
      </w:r>
      <w:r w:rsidR="00D42736" w:rsidRPr="008F4C03">
        <w:rPr>
          <w:rFonts w:ascii="Calibri" w:eastAsia="Calibri" w:hAnsi="Calibri" w:cs="Calibri"/>
          <w:sz w:val="24"/>
          <w:szCs w:val="24"/>
          <w:lang w:eastAsia="en-GB"/>
        </w:rPr>
        <w:t xml:space="preserve"> </w:t>
      </w:r>
      <w:r w:rsidRPr="008F4C03">
        <w:rPr>
          <w:rFonts w:ascii="Calibri" w:eastAsia="Calibri" w:hAnsi="Calibri" w:cs="Calibri"/>
          <w:sz w:val="24"/>
          <w:szCs w:val="24"/>
          <w:lang w:eastAsia="en-GB"/>
        </w:rPr>
        <w:t>recommended irrespective of BMD (upper assessment</w:t>
      </w:r>
      <w:r w:rsidR="00D42736" w:rsidRPr="008F4C03">
        <w:rPr>
          <w:rFonts w:ascii="Calibri" w:eastAsia="Calibri" w:hAnsi="Calibri" w:cs="Calibri"/>
          <w:sz w:val="24"/>
          <w:szCs w:val="24"/>
          <w:lang w:eastAsia="en-GB"/>
        </w:rPr>
        <w:t xml:space="preserve"> </w:t>
      </w:r>
      <w:r w:rsidRPr="008F4C03">
        <w:rPr>
          <w:rFonts w:ascii="Calibri" w:eastAsia="Calibri" w:hAnsi="Calibri" w:cs="Calibri"/>
          <w:sz w:val="24"/>
          <w:szCs w:val="24"/>
          <w:lang w:eastAsia="en-GB"/>
        </w:rPr>
        <w:t>threshold).</w:t>
      </w:r>
    </w:p>
    <w:p w14:paraId="3FB7A406" w14:textId="561CABCF" w:rsidR="00AB0E82" w:rsidRPr="008F4C03" w:rsidRDefault="007F59B2" w:rsidP="00F37FD3">
      <w:pPr>
        <w:spacing w:line="276" w:lineRule="auto"/>
        <w:ind w:left="567"/>
        <w:rPr>
          <w:rFonts w:ascii="Calibri" w:eastAsia="Calibri" w:hAnsi="Calibri" w:cs="Calibri"/>
          <w:sz w:val="24"/>
          <w:szCs w:val="24"/>
          <w:lang w:eastAsia="en-GB"/>
        </w:rPr>
      </w:pPr>
      <w:r w:rsidRPr="008F4C03">
        <w:rPr>
          <w:rFonts w:ascii="Calibri" w:eastAsia="Calibri" w:hAnsi="Calibri" w:cs="Calibri"/>
          <w:sz w:val="24"/>
          <w:szCs w:val="24"/>
          <w:lang w:eastAsia="en-GB"/>
        </w:rPr>
        <w:t xml:space="preserve">The lower </w:t>
      </w:r>
      <w:r w:rsidRPr="00AD1549">
        <w:rPr>
          <w:rFonts w:ascii="Calibri" w:eastAsia="Calibri" w:hAnsi="Calibri" w:cs="Calibri"/>
          <w:sz w:val="24"/>
          <w:szCs w:val="24"/>
          <w:lang w:eastAsia="en-GB"/>
        </w:rPr>
        <w:t>assessment threshold was set to exclude a requirement</w:t>
      </w:r>
      <w:r w:rsidR="008C7315"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 xml:space="preserve">for BMD testing in </w:t>
      </w:r>
      <w:r w:rsidR="008C7315" w:rsidRPr="00AD1549">
        <w:rPr>
          <w:rFonts w:ascii="Calibri" w:eastAsia="Calibri" w:hAnsi="Calibri" w:cs="Calibri"/>
          <w:sz w:val="24"/>
          <w:szCs w:val="24"/>
          <w:lang w:eastAsia="en-GB"/>
        </w:rPr>
        <w:t xml:space="preserve">men and </w:t>
      </w:r>
      <w:r w:rsidRPr="00AD1549">
        <w:rPr>
          <w:rFonts w:ascii="Calibri" w:eastAsia="Calibri" w:hAnsi="Calibri" w:cs="Calibri"/>
          <w:sz w:val="24"/>
          <w:szCs w:val="24"/>
          <w:lang w:eastAsia="en-GB"/>
        </w:rPr>
        <w:t>women without clinical risk</w:t>
      </w:r>
      <w:r w:rsidR="008C7315"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factors, as given in current European guidelines</w:t>
      </w:r>
      <w:r w:rsidR="00B65FEF" w:rsidRPr="00AD1549">
        <w:rPr>
          <w:rFonts w:ascii="Calibri" w:eastAsia="Calibri" w:hAnsi="Calibri" w:cs="Calibri"/>
          <w:sz w:val="24"/>
          <w:szCs w:val="24"/>
          <w:lang w:eastAsia="en-GB"/>
        </w:rPr>
        <w:t xml:space="preserve"> [</w:t>
      </w:r>
      <w:r w:rsidR="000358D6" w:rsidRPr="00AD1549">
        <w:rPr>
          <w:rFonts w:ascii="Calibri" w:eastAsia="Calibri" w:hAnsi="Calibri" w:cs="Calibri"/>
          <w:sz w:val="24"/>
          <w:szCs w:val="24"/>
          <w:lang w:eastAsia="en-GB"/>
        </w:rPr>
        <w:t>26</w:t>
      </w:r>
      <w:r w:rsidR="00B91B40" w:rsidRPr="00AD1549">
        <w:rPr>
          <w:rFonts w:ascii="Calibri" w:eastAsia="Calibri" w:hAnsi="Calibri" w:cs="Calibri"/>
          <w:sz w:val="24"/>
          <w:szCs w:val="24"/>
          <w:lang w:eastAsia="en-GB"/>
        </w:rPr>
        <w:t xml:space="preserve">, </w:t>
      </w:r>
      <w:r w:rsidR="00D73EEB" w:rsidRPr="00AD1549">
        <w:rPr>
          <w:rFonts w:ascii="Calibri" w:eastAsia="Calibri" w:hAnsi="Calibri" w:cs="Calibri"/>
          <w:sz w:val="24"/>
          <w:szCs w:val="24"/>
          <w:lang w:eastAsia="en-GB"/>
        </w:rPr>
        <w:t>28</w:t>
      </w:r>
      <w:r w:rsidR="000358D6" w:rsidRPr="00AD1549">
        <w:rPr>
          <w:rFonts w:ascii="Calibri" w:eastAsia="Calibri" w:hAnsi="Calibri" w:cs="Calibri"/>
          <w:sz w:val="24"/>
          <w:szCs w:val="24"/>
          <w:lang w:eastAsia="en-GB"/>
        </w:rPr>
        <w:t>, 29]</w:t>
      </w:r>
      <w:r w:rsidRPr="00AD1549">
        <w:rPr>
          <w:rFonts w:ascii="Calibri" w:eastAsia="Calibri" w:hAnsi="Calibri" w:cs="Calibri"/>
          <w:sz w:val="24"/>
          <w:szCs w:val="24"/>
          <w:lang w:eastAsia="en-GB"/>
        </w:rPr>
        <w:t>.</w:t>
      </w:r>
      <w:r w:rsidR="00975EF4"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It was therefore set to the age-specific 10-year probability of a</w:t>
      </w:r>
      <w:r w:rsidR="00975EF4"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major fracture equivalent to women with no clinical risk factors</w:t>
      </w:r>
      <w:proofErr w:type="gramStart"/>
      <w:r w:rsidRPr="00AD1549">
        <w:rPr>
          <w:rFonts w:ascii="Calibri" w:eastAsia="Calibri" w:hAnsi="Calibri" w:cs="Calibri"/>
          <w:sz w:val="24"/>
          <w:szCs w:val="24"/>
          <w:lang w:eastAsia="en-GB"/>
        </w:rPr>
        <w:t>.</w:t>
      </w:r>
      <w:r w:rsidR="00975EF4" w:rsidRPr="00AD1549">
        <w:rPr>
          <w:rFonts w:ascii="Calibri" w:eastAsia="Calibri" w:hAnsi="Calibri" w:cs="Calibri"/>
          <w:sz w:val="24"/>
          <w:szCs w:val="24"/>
          <w:lang w:eastAsia="en-GB"/>
        </w:rPr>
        <w:t xml:space="preserve"> </w:t>
      </w:r>
      <w:proofErr w:type="gramEnd"/>
      <w:r w:rsidR="00975EF4" w:rsidRPr="00AD1549">
        <w:rPr>
          <w:rFonts w:ascii="Calibri" w:eastAsia="Calibri" w:hAnsi="Calibri" w:cs="Calibri"/>
          <w:sz w:val="24"/>
          <w:szCs w:val="24"/>
          <w:lang w:eastAsia="en-GB"/>
        </w:rPr>
        <w:t>The</w:t>
      </w:r>
      <w:r w:rsidRPr="00AD1549">
        <w:rPr>
          <w:rFonts w:ascii="Calibri" w:eastAsia="Calibri" w:hAnsi="Calibri" w:cs="Calibri"/>
          <w:sz w:val="24"/>
          <w:szCs w:val="24"/>
          <w:lang w:eastAsia="en-GB"/>
        </w:rPr>
        <w:t xml:space="preserve"> upper threshold was chosen to minimize the probability</w:t>
      </w:r>
      <w:r w:rsidR="007B0DB7"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that a patient,</w:t>
      </w:r>
      <w:r w:rsidR="009C25DE" w:rsidRPr="00AD1549">
        <w:rPr>
          <w:rFonts w:ascii="Calibri" w:eastAsia="Calibri" w:hAnsi="Calibri" w:cs="Calibri"/>
          <w:sz w:val="24"/>
          <w:szCs w:val="24"/>
          <w:lang w:eastAsia="en-GB"/>
        </w:rPr>
        <w:t xml:space="preserve"> classified as being </w:t>
      </w:r>
      <w:r w:rsidRPr="00AD1549">
        <w:rPr>
          <w:rFonts w:ascii="Calibri" w:eastAsia="Calibri" w:hAnsi="Calibri" w:cs="Calibri"/>
          <w:sz w:val="24"/>
          <w:szCs w:val="24"/>
          <w:lang w:eastAsia="en-GB"/>
        </w:rPr>
        <w:t>at high risk using</w:t>
      </w:r>
      <w:r w:rsidR="007B0DB7"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clinical risk factors alone, would be reclassified to be at low</w:t>
      </w:r>
      <w:r w:rsidR="007B0DB7"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risk with additional information on BMD and vice versa</w:t>
      </w:r>
      <w:r w:rsidR="00833050" w:rsidRPr="00AD1549">
        <w:rPr>
          <w:rFonts w:ascii="Calibri" w:eastAsia="Calibri" w:hAnsi="Calibri" w:cs="Calibri"/>
          <w:sz w:val="24"/>
          <w:szCs w:val="24"/>
          <w:lang w:eastAsia="en-GB"/>
        </w:rPr>
        <w:t xml:space="preserve"> [</w:t>
      </w:r>
      <w:r w:rsidR="00B91B40" w:rsidRPr="00AD1549">
        <w:rPr>
          <w:rFonts w:ascii="Calibri" w:eastAsia="Calibri" w:hAnsi="Calibri" w:cs="Calibri"/>
          <w:sz w:val="24"/>
          <w:szCs w:val="24"/>
          <w:lang w:eastAsia="en-GB"/>
        </w:rPr>
        <w:t>30]</w:t>
      </w:r>
      <w:r w:rsidR="00833050" w:rsidRPr="00AD1549">
        <w:rPr>
          <w:rFonts w:ascii="Calibri" w:eastAsia="Calibri" w:hAnsi="Calibri" w:cs="Calibri"/>
          <w:sz w:val="24"/>
          <w:szCs w:val="24"/>
          <w:lang w:eastAsia="en-GB"/>
        </w:rPr>
        <w:t>.</w:t>
      </w:r>
      <w:r w:rsidRPr="00AD1549">
        <w:rPr>
          <w:rFonts w:ascii="Calibri" w:eastAsia="Calibri" w:hAnsi="Calibri" w:cs="Calibri"/>
          <w:sz w:val="24"/>
          <w:szCs w:val="24"/>
          <w:lang w:eastAsia="en-GB"/>
        </w:rPr>
        <w:t xml:space="preserve"> </w:t>
      </w:r>
      <w:r w:rsidR="00833050"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The upper assessment threshold was set at 1.2 times the intervention</w:t>
      </w:r>
      <w:r w:rsidR="007B0DB7" w:rsidRPr="00AD1549">
        <w:rPr>
          <w:rFonts w:ascii="Calibri" w:eastAsia="Calibri" w:hAnsi="Calibri" w:cs="Calibri"/>
          <w:sz w:val="24"/>
          <w:szCs w:val="24"/>
          <w:lang w:eastAsia="en-GB"/>
        </w:rPr>
        <w:t xml:space="preserve"> </w:t>
      </w:r>
      <w:r w:rsidRPr="00AD1549">
        <w:rPr>
          <w:rFonts w:ascii="Calibri" w:eastAsia="Calibri" w:hAnsi="Calibri" w:cs="Calibri"/>
          <w:sz w:val="24"/>
          <w:szCs w:val="24"/>
          <w:lang w:eastAsia="en-GB"/>
        </w:rPr>
        <w:t>threshold</w:t>
      </w:r>
      <w:r w:rsidRPr="008F4C03">
        <w:rPr>
          <w:rFonts w:ascii="Calibri" w:eastAsia="Calibri" w:hAnsi="Calibri" w:cs="Calibri"/>
          <w:sz w:val="24"/>
          <w:szCs w:val="24"/>
          <w:lang w:eastAsia="en-GB"/>
        </w:rPr>
        <w:t xml:space="preserve"> as used in the UK [</w:t>
      </w:r>
      <w:r w:rsidR="000D379C">
        <w:rPr>
          <w:rFonts w:ascii="Calibri" w:eastAsia="Calibri" w:hAnsi="Calibri" w:cs="Calibri"/>
          <w:sz w:val="24"/>
          <w:szCs w:val="24"/>
          <w:lang w:eastAsia="en-GB"/>
        </w:rPr>
        <w:t>25</w:t>
      </w:r>
      <w:r w:rsidRPr="008F4C03">
        <w:rPr>
          <w:rFonts w:ascii="Calibri" w:eastAsia="Calibri" w:hAnsi="Calibri" w:cs="Calibri"/>
          <w:sz w:val="24"/>
          <w:szCs w:val="24"/>
          <w:lang w:eastAsia="en-GB"/>
        </w:rPr>
        <w:t>].</w:t>
      </w:r>
      <w:r w:rsidR="00AB3D0A">
        <w:rPr>
          <w:rFonts w:ascii="Calibri" w:eastAsia="Calibri" w:hAnsi="Calibri" w:cs="Calibri"/>
          <w:sz w:val="24"/>
          <w:szCs w:val="24"/>
          <w:lang w:eastAsia="en-GB"/>
        </w:rPr>
        <w:t xml:space="preserve">  Thei</w:t>
      </w:r>
      <w:r w:rsidR="00184117">
        <w:rPr>
          <w:rFonts w:ascii="Calibri" w:eastAsia="Calibri" w:hAnsi="Calibri" w:cs="Calibri"/>
          <w:sz w:val="24"/>
          <w:szCs w:val="24"/>
          <w:lang w:eastAsia="en-GB"/>
        </w:rPr>
        <w:t>r</w:t>
      </w:r>
      <w:r w:rsidR="00AB3D0A">
        <w:rPr>
          <w:rFonts w:ascii="Calibri" w:eastAsia="Calibri" w:hAnsi="Calibri" w:cs="Calibri"/>
          <w:sz w:val="24"/>
          <w:szCs w:val="24"/>
          <w:lang w:eastAsia="en-GB"/>
        </w:rPr>
        <w:t xml:space="preserve"> application to </w:t>
      </w:r>
      <w:r w:rsidR="00C9535C">
        <w:rPr>
          <w:rFonts w:ascii="Calibri" w:eastAsia="Calibri" w:hAnsi="Calibri" w:cs="Calibri"/>
          <w:sz w:val="24"/>
          <w:szCs w:val="24"/>
          <w:lang w:eastAsia="en-GB"/>
        </w:rPr>
        <w:t>the two intervention thresholds</w:t>
      </w:r>
      <w:r w:rsidR="00C36CB2">
        <w:rPr>
          <w:rFonts w:ascii="Calibri" w:eastAsia="Calibri" w:hAnsi="Calibri" w:cs="Calibri"/>
          <w:sz w:val="24"/>
          <w:szCs w:val="24"/>
          <w:lang w:eastAsia="en-GB"/>
        </w:rPr>
        <w:t xml:space="preserve"> is </w:t>
      </w:r>
      <w:r w:rsidR="00C9535C">
        <w:rPr>
          <w:rFonts w:ascii="Calibri" w:eastAsia="Calibri" w:hAnsi="Calibri" w:cs="Calibri"/>
          <w:sz w:val="24"/>
          <w:szCs w:val="24"/>
          <w:lang w:eastAsia="en-GB"/>
        </w:rPr>
        <w:t>given in Figure 1</w:t>
      </w:r>
      <w:r w:rsidR="00073C81">
        <w:rPr>
          <w:rFonts w:ascii="Calibri" w:eastAsia="Calibri" w:hAnsi="Calibri" w:cs="Calibri"/>
          <w:sz w:val="24"/>
          <w:szCs w:val="24"/>
          <w:lang w:eastAsia="en-GB"/>
        </w:rPr>
        <w:t xml:space="preserve"> an</w:t>
      </w:r>
      <w:r w:rsidR="00AE293F">
        <w:rPr>
          <w:rFonts w:ascii="Calibri" w:eastAsia="Calibri" w:hAnsi="Calibri" w:cs="Calibri"/>
          <w:sz w:val="24"/>
          <w:szCs w:val="24"/>
          <w:lang w:eastAsia="en-GB"/>
        </w:rPr>
        <w:t xml:space="preserve">d numerical </w:t>
      </w:r>
      <w:r w:rsidR="00AE293F" w:rsidRPr="00AE293F">
        <w:rPr>
          <w:rFonts w:ascii="Calibri" w:eastAsia="Calibri" w:hAnsi="Calibri" w:cs="Calibri"/>
          <w:sz w:val="24"/>
          <w:szCs w:val="24"/>
          <w:lang w:eastAsia="en-GB"/>
        </w:rPr>
        <w:t>values in Table 1</w:t>
      </w:r>
    </w:p>
    <w:p w14:paraId="2E0CCC7C" w14:textId="02D8CCFE" w:rsidR="00635D70" w:rsidRPr="00FF7694" w:rsidRDefault="00635D70" w:rsidP="00635D70">
      <w:pPr>
        <w:ind w:left="567" w:right="95"/>
        <w:rPr>
          <w:sz w:val="20"/>
          <w:szCs w:val="20"/>
        </w:rPr>
      </w:pPr>
      <w:r w:rsidRPr="00F2728B">
        <w:rPr>
          <w:b/>
          <w:bCs/>
          <w:sz w:val="20"/>
          <w:szCs w:val="20"/>
        </w:rPr>
        <w:t>Table 1</w:t>
      </w:r>
      <w:r w:rsidRPr="00F2728B">
        <w:rPr>
          <w:sz w:val="20"/>
          <w:szCs w:val="20"/>
        </w:rPr>
        <w:t xml:space="preserve"> Numerical values for thresholds for </w:t>
      </w:r>
      <w:r w:rsidRPr="00F2728B">
        <w:rPr>
          <w:rFonts w:cstheme="minorHAnsi"/>
          <w:sz w:val="20"/>
          <w:szCs w:val="20"/>
        </w:rPr>
        <w:t xml:space="preserve">major osteoporotic fracture probabilities </w:t>
      </w:r>
      <w:r w:rsidR="009C1EF3">
        <w:rPr>
          <w:rFonts w:cstheme="minorHAnsi"/>
          <w:sz w:val="20"/>
          <w:szCs w:val="20"/>
        </w:rPr>
        <w:t xml:space="preserve">for age-dependent </w:t>
      </w:r>
      <w:r w:rsidR="0088666C">
        <w:rPr>
          <w:rFonts w:cstheme="minorHAnsi"/>
          <w:sz w:val="20"/>
          <w:szCs w:val="20"/>
        </w:rPr>
        <w:t xml:space="preserve">and hybrid models </w:t>
      </w:r>
      <w:r w:rsidRPr="00F2728B">
        <w:rPr>
          <w:rFonts w:cstheme="minorHAnsi"/>
          <w:sz w:val="20"/>
          <w:szCs w:val="20"/>
        </w:rPr>
        <w:t>based on the Chilean version of FRAX</w:t>
      </w:r>
      <w:r w:rsidRPr="00F2728B">
        <w:rPr>
          <w:sz w:val="20"/>
          <w:szCs w:val="20"/>
        </w:rPr>
        <w:t>.  LAT and UAT refer to the lower and upper assessment thresholds, respectively, between which a BMD is indicated.  The intervention threshold (IT) denote</w:t>
      </w:r>
      <w:r w:rsidR="00CD5C8C">
        <w:rPr>
          <w:sz w:val="20"/>
          <w:szCs w:val="20"/>
        </w:rPr>
        <w:t>s</w:t>
      </w:r>
      <w:r w:rsidRPr="00F2728B">
        <w:rPr>
          <w:sz w:val="20"/>
          <w:szCs w:val="20"/>
        </w:rPr>
        <w:t xml:space="preserve"> the thresholds </w:t>
      </w:r>
      <w:r w:rsidRPr="00FF7694">
        <w:rPr>
          <w:sz w:val="20"/>
          <w:szCs w:val="20"/>
        </w:rPr>
        <w:t>for high risk.</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006"/>
        <w:gridCol w:w="1006"/>
        <w:gridCol w:w="1006"/>
        <w:gridCol w:w="384"/>
        <w:gridCol w:w="1043"/>
        <w:gridCol w:w="1043"/>
        <w:gridCol w:w="1044"/>
      </w:tblGrid>
      <w:tr w:rsidR="0088666C" w:rsidRPr="00FF7694" w14:paraId="6FBB982F" w14:textId="77777777" w:rsidTr="00CD18E3">
        <w:trPr>
          <w:trHeight w:val="293"/>
        </w:trPr>
        <w:tc>
          <w:tcPr>
            <w:tcW w:w="1413" w:type="dxa"/>
            <w:shd w:val="clear" w:color="auto" w:fill="auto"/>
            <w:vAlign w:val="center"/>
          </w:tcPr>
          <w:p w14:paraId="44838741" w14:textId="77777777" w:rsidR="0088666C" w:rsidRPr="00FF7694" w:rsidRDefault="0088666C" w:rsidP="00D52618">
            <w:pPr>
              <w:spacing w:after="0" w:line="240" w:lineRule="auto"/>
              <w:jc w:val="center"/>
              <w:rPr>
                <w:rFonts w:eastAsia="Times New Roman" w:cstheme="minorHAnsi"/>
                <w:lang w:eastAsia="en-GB"/>
              </w:rPr>
            </w:pPr>
          </w:p>
        </w:tc>
        <w:tc>
          <w:tcPr>
            <w:tcW w:w="3018" w:type="dxa"/>
            <w:gridSpan w:val="3"/>
            <w:shd w:val="clear" w:color="auto" w:fill="auto"/>
            <w:vAlign w:val="center"/>
          </w:tcPr>
          <w:p w14:paraId="6EEAA45B" w14:textId="20A8F82F" w:rsidR="0088666C" w:rsidRPr="00FF7694" w:rsidRDefault="0088666C" w:rsidP="00D52618">
            <w:pPr>
              <w:spacing w:after="0" w:line="240" w:lineRule="auto"/>
              <w:jc w:val="center"/>
              <w:rPr>
                <w:rFonts w:eastAsia="Times New Roman" w:cstheme="minorHAnsi"/>
                <w:lang w:eastAsia="en-GB"/>
              </w:rPr>
            </w:pPr>
            <w:r w:rsidRPr="0088666C">
              <w:rPr>
                <w:rFonts w:eastAsia="Times New Roman" w:cstheme="minorHAnsi"/>
                <w:lang w:eastAsia="en-GB"/>
              </w:rPr>
              <w:t>Age-dependent</w:t>
            </w:r>
            <w:r w:rsidR="00131B72">
              <w:rPr>
                <w:rFonts w:eastAsia="Times New Roman" w:cstheme="minorHAnsi"/>
                <w:lang w:eastAsia="en-GB"/>
              </w:rPr>
              <w:t xml:space="preserve"> thresholds</w:t>
            </w:r>
          </w:p>
        </w:tc>
        <w:tc>
          <w:tcPr>
            <w:tcW w:w="384" w:type="dxa"/>
          </w:tcPr>
          <w:p w14:paraId="3AB0237B" w14:textId="77777777" w:rsidR="0088666C" w:rsidRPr="00FF7694" w:rsidRDefault="0088666C" w:rsidP="00D52618">
            <w:pPr>
              <w:spacing w:after="0" w:line="240" w:lineRule="auto"/>
              <w:jc w:val="center"/>
              <w:rPr>
                <w:rFonts w:eastAsia="Times New Roman" w:cstheme="minorHAnsi"/>
                <w:lang w:eastAsia="en-GB"/>
              </w:rPr>
            </w:pPr>
          </w:p>
        </w:tc>
        <w:tc>
          <w:tcPr>
            <w:tcW w:w="3130" w:type="dxa"/>
            <w:gridSpan w:val="3"/>
            <w:shd w:val="clear" w:color="auto" w:fill="auto"/>
            <w:vAlign w:val="center"/>
          </w:tcPr>
          <w:p w14:paraId="5E975C44" w14:textId="68A936F3" w:rsidR="0088666C" w:rsidRPr="00FF7694" w:rsidRDefault="006D6DE2" w:rsidP="00D52618">
            <w:pPr>
              <w:spacing w:after="0" w:line="240" w:lineRule="auto"/>
              <w:jc w:val="center"/>
              <w:rPr>
                <w:rFonts w:eastAsia="Times New Roman" w:cstheme="minorHAnsi"/>
                <w:lang w:eastAsia="en-GB"/>
              </w:rPr>
            </w:pPr>
            <w:r>
              <w:rPr>
                <w:rFonts w:eastAsia="Times New Roman" w:cstheme="minorHAnsi"/>
                <w:lang w:eastAsia="en-GB"/>
              </w:rPr>
              <w:t xml:space="preserve">Hybrid </w:t>
            </w:r>
            <w:r>
              <w:t>thresholds</w:t>
            </w:r>
          </w:p>
        </w:tc>
      </w:tr>
      <w:tr w:rsidR="001B786E" w:rsidRPr="00FF7694" w14:paraId="6C1ECD8C" w14:textId="77777777" w:rsidTr="006D01A6">
        <w:trPr>
          <w:trHeight w:val="293"/>
        </w:trPr>
        <w:tc>
          <w:tcPr>
            <w:tcW w:w="1413" w:type="dxa"/>
            <w:shd w:val="clear" w:color="auto" w:fill="auto"/>
            <w:vAlign w:val="center"/>
          </w:tcPr>
          <w:p w14:paraId="299B2B56" w14:textId="7BE7CCC8" w:rsidR="00635D70" w:rsidRPr="00FF7694" w:rsidRDefault="00635D70" w:rsidP="00D52618">
            <w:pPr>
              <w:spacing w:after="0" w:line="240" w:lineRule="auto"/>
              <w:jc w:val="center"/>
              <w:rPr>
                <w:rFonts w:eastAsia="Times New Roman" w:cstheme="minorHAnsi"/>
                <w:lang w:eastAsia="en-GB"/>
              </w:rPr>
            </w:pPr>
            <w:r w:rsidRPr="00FF7694">
              <w:rPr>
                <w:rFonts w:eastAsia="Times New Roman" w:cstheme="minorHAnsi"/>
                <w:lang w:eastAsia="en-GB"/>
              </w:rPr>
              <w:t>Age</w:t>
            </w:r>
            <w:r w:rsidR="001D7927">
              <w:rPr>
                <w:rFonts w:eastAsia="Times New Roman" w:cstheme="minorHAnsi"/>
                <w:lang w:eastAsia="en-GB"/>
              </w:rPr>
              <w:t xml:space="preserve"> (years)</w:t>
            </w:r>
          </w:p>
        </w:tc>
        <w:tc>
          <w:tcPr>
            <w:tcW w:w="1006" w:type="dxa"/>
            <w:shd w:val="clear" w:color="auto" w:fill="auto"/>
            <w:vAlign w:val="center"/>
          </w:tcPr>
          <w:p w14:paraId="40DA4142"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LAT</w:t>
            </w:r>
          </w:p>
        </w:tc>
        <w:tc>
          <w:tcPr>
            <w:tcW w:w="1006" w:type="dxa"/>
            <w:shd w:val="clear" w:color="auto" w:fill="auto"/>
            <w:vAlign w:val="center"/>
          </w:tcPr>
          <w:p w14:paraId="1006519A"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UAT</w:t>
            </w:r>
          </w:p>
        </w:tc>
        <w:tc>
          <w:tcPr>
            <w:tcW w:w="1006" w:type="dxa"/>
            <w:vAlign w:val="center"/>
          </w:tcPr>
          <w:p w14:paraId="5D754581"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IT</w:t>
            </w:r>
          </w:p>
        </w:tc>
        <w:tc>
          <w:tcPr>
            <w:tcW w:w="384" w:type="dxa"/>
          </w:tcPr>
          <w:p w14:paraId="76F8476B"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2DD8C0BE"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LAT</w:t>
            </w:r>
          </w:p>
        </w:tc>
        <w:tc>
          <w:tcPr>
            <w:tcW w:w="1043" w:type="dxa"/>
            <w:shd w:val="clear" w:color="auto" w:fill="auto"/>
            <w:vAlign w:val="center"/>
          </w:tcPr>
          <w:p w14:paraId="6F671003"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UAT</w:t>
            </w:r>
          </w:p>
        </w:tc>
        <w:tc>
          <w:tcPr>
            <w:tcW w:w="1044" w:type="dxa"/>
            <w:vAlign w:val="center"/>
          </w:tcPr>
          <w:p w14:paraId="5FDE3EDF"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IT</w:t>
            </w:r>
          </w:p>
        </w:tc>
      </w:tr>
      <w:tr w:rsidR="001B786E" w:rsidRPr="00FF7694" w14:paraId="4293AC3D" w14:textId="77777777" w:rsidTr="006D01A6">
        <w:trPr>
          <w:trHeight w:val="293"/>
        </w:trPr>
        <w:tc>
          <w:tcPr>
            <w:tcW w:w="1413" w:type="dxa"/>
            <w:shd w:val="clear" w:color="auto" w:fill="auto"/>
            <w:vAlign w:val="center"/>
            <w:hideMark/>
          </w:tcPr>
          <w:p w14:paraId="74C05A35"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40</w:t>
            </w:r>
          </w:p>
        </w:tc>
        <w:tc>
          <w:tcPr>
            <w:tcW w:w="1006" w:type="dxa"/>
            <w:shd w:val="clear" w:color="auto" w:fill="auto"/>
            <w:vAlign w:val="center"/>
          </w:tcPr>
          <w:p w14:paraId="1251A841"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0.7</w:t>
            </w:r>
          </w:p>
        </w:tc>
        <w:tc>
          <w:tcPr>
            <w:tcW w:w="1006" w:type="dxa"/>
            <w:shd w:val="clear" w:color="auto" w:fill="auto"/>
            <w:vAlign w:val="center"/>
          </w:tcPr>
          <w:p w14:paraId="61B088F9"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1.9</w:t>
            </w:r>
          </w:p>
        </w:tc>
        <w:tc>
          <w:tcPr>
            <w:tcW w:w="1006" w:type="dxa"/>
            <w:vAlign w:val="center"/>
          </w:tcPr>
          <w:p w14:paraId="4C839D9C"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1.6</w:t>
            </w:r>
          </w:p>
        </w:tc>
        <w:tc>
          <w:tcPr>
            <w:tcW w:w="384" w:type="dxa"/>
          </w:tcPr>
          <w:p w14:paraId="70424BC0"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3A60FC09"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0.7</w:t>
            </w:r>
          </w:p>
        </w:tc>
        <w:tc>
          <w:tcPr>
            <w:tcW w:w="1043" w:type="dxa"/>
            <w:shd w:val="clear" w:color="auto" w:fill="auto"/>
            <w:vAlign w:val="center"/>
          </w:tcPr>
          <w:p w14:paraId="35B1C5B4"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1.9</w:t>
            </w:r>
          </w:p>
        </w:tc>
        <w:tc>
          <w:tcPr>
            <w:tcW w:w="1044" w:type="dxa"/>
            <w:vAlign w:val="center"/>
          </w:tcPr>
          <w:p w14:paraId="7FFA5B76"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1.6</w:t>
            </w:r>
          </w:p>
        </w:tc>
      </w:tr>
      <w:tr w:rsidR="001B786E" w:rsidRPr="00FF7694" w14:paraId="4F3622A2" w14:textId="77777777" w:rsidTr="006D01A6">
        <w:trPr>
          <w:trHeight w:val="293"/>
        </w:trPr>
        <w:tc>
          <w:tcPr>
            <w:tcW w:w="1413" w:type="dxa"/>
            <w:shd w:val="clear" w:color="auto" w:fill="auto"/>
            <w:vAlign w:val="center"/>
          </w:tcPr>
          <w:p w14:paraId="36436911"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45</w:t>
            </w:r>
          </w:p>
        </w:tc>
        <w:tc>
          <w:tcPr>
            <w:tcW w:w="1006" w:type="dxa"/>
            <w:shd w:val="clear" w:color="auto" w:fill="auto"/>
            <w:vAlign w:val="center"/>
          </w:tcPr>
          <w:p w14:paraId="532280E6"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0.9</w:t>
            </w:r>
          </w:p>
        </w:tc>
        <w:tc>
          <w:tcPr>
            <w:tcW w:w="1006" w:type="dxa"/>
            <w:shd w:val="clear" w:color="auto" w:fill="auto"/>
            <w:vAlign w:val="center"/>
          </w:tcPr>
          <w:p w14:paraId="6DB7DB95"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2.4</w:t>
            </w:r>
          </w:p>
        </w:tc>
        <w:tc>
          <w:tcPr>
            <w:tcW w:w="1006" w:type="dxa"/>
            <w:vAlign w:val="center"/>
          </w:tcPr>
          <w:p w14:paraId="416FCFC6" w14:textId="77777777" w:rsidR="00635D70" w:rsidRPr="00FF7694" w:rsidRDefault="00635D70" w:rsidP="006D6DE2">
            <w:pPr>
              <w:spacing w:after="0" w:line="240" w:lineRule="auto"/>
              <w:jc w:val="center"/>
              <w:rPr>
                <w:rFonts w:cstheme="minorHAnsi"/>
              </w:rPr>
            </w:pPr>
            <w:r w:rsidRPr="00FF7694">
              <w:rPr>
                <w:rFonts w:cstheme="minorHAnsi"/>
              </w:rPr>
              <w:t>2.0</w:t>
            </w:r>
          </w:p>
        </w:tc>
        <w:tc>
          <w:tcPr>
            <w:tcW w:w="384" w:type="dxa"/>
          </w:tcPr>
          <w:p w14:paraId="7982C774"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292A95E4"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0.9</w:t>
            </w:r>
          </w:p>
        </w:tc>
        <w:tc>
          <w:tcPr>
            <w:tcW w:w="1043" w:type="dxa"/>
            <w:shd w:val="clear" w:color="auto" w:fill="auto"/>
            <w:vAlign w:val="center"/>
          </w:tcPr>
          <w:p w14:paraId="61C52345"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2.4</w:t>
            </w:r>
          </w:p>
        </w:tc>
        <w:tc>
          <w:tcPr>
            <w:tcW w:w="1044" w:type="dxa"/>
            <w:vAlign w:val="center"/>
          </w:tcPr>
          <w:p w14:paraId="62E6E6EE" w14:textId="77777777" w:rsidR="00635D70" w:rsidRPr="00FF7694" w:rsidRDefault="00635D70" w:rsidP="006D6DE2">
            <w:pPr>
              <w:spacing w:after="0" w:line="240" w:lineRule="auto"/>
              <w:jc w:val="center"/>
              <w:rPr>
                <w:rFonts w:cstheme="minorHAnsi"/>
              </w:rPr>
            </w:pPr>
            <w:r w:rsidRPr="00FF7694">
              <w:rPr>
                <w:rFonts w:cstheme="minorHAnsi"/>
              </w:rPr>
              <w:t>2.0</w:t>
            </w:r>
          </w:p>
        </w:tc>
      </w:tr>
      <w:tr w:rsidR="001B786E" w:rsidRPr="00FF7694" w14:paraId="03DB8C3E" w14:textId="77777777" w:rsidTr="006D01A6">
        <w:trPr>
          <w:trHeight w:val="293"/>
        </w:trPr>
        <w:tc>
          <w:tcPr>
            <w:tcW w:w="1413" w:type="dxa"/>
            <w:shd w:val="clear" w:color="auto" w:fill="auto"/>
            <w:vAlign w:val="center"/>
          </w:tcPr>
          <w:p w14:paraId="6ADB8973"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50</w:t>
            </w:r>
          </w:p>
        </w:tc>
        <w:tc>
          <w:tcPr>
            <w:tcW w:w="1006" w:type="dxa"/>
            <w:shd w:val="clear" w:color="auto" w:fill="auto"/>
            <w:vAlign w:val="center"/>
          </w:tcPr>
          <w:p w14:paraId="0334F080"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1.1</w:t>
            </w:r>
          </w:p>
        </w:tc>
        <w:tc>
          <w:tcPr>
            <w:tcW w:w="1006" w:type="dxa"/>
            <w:shd w:val="clear" w:color="auto" w:fill="auto"/>
            <w:vAlign w:val="center"/>
          </w:tcPr>
          <w:p w14:paraId="20FB0B62"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3.0</w:t>
            </w:r>
          </w:p>
        </w:tc>
        <w:tc>
          <w:tcPr>
            <w:tcW w:w="1006" w:type="dxa"/>
            <w:vAlign w:val="center"/>
          </w:tcPr>
          <w:p w14:paraId="59F080E0" w14:textId="77777777" w:rsidR="00635D70" w:rsidRPr="00FF7694" w:rsidRDefault="00635D70" w:rsidP="006D6DE2">
            <w:pPr>
              <w:spacing w:after="0" w:line="240" w:lineRule="auto"/>
              <w:jc w:val="center"/>
              <w:rPr>
                <w:rFonts w:cstheme="minorHAnsi"/>
              </w:rPr>
            </w:pPr>
            <w:r w:rsidRPr="00FF7694">
              <w:rPr>
                <w:rFonts w:cstheme="minorHAnsi"/>
              </w:rPr>
              <w:t>2.5</w:t>
            </w:r>
          </w:p>
        </w:tc>
        <w:tc>
          <w:tcPr>
            <w:tcW w:w="384" w:type="dxa"/>
          </w:tcPr>
          <w:p w14:paraId="7A8CECC9"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0B64CBF1"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3" w:type="dxa"/>
            <w:shd w:val="clear" w:color="auto" w:fill="auto"/>
            <w:vAlign w:val="center"/>
          </w:tcPr>
          <w:p w14:paraId="34F085D6"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3.0</w:t>
            </w:r>
          </w:p>
        </w:tc>
        <w:tc>
          <w:tcPr>
            <w:tcW w:w="1044" w:type="dxa"/>
            <w:vAlign w:val="center"/>
          </w:tcPr>
          <w:p w14:paraId="0A4B3FCF" w14:textId="77777777" w:rsidR="00635D70" w:rsidRPr="00FF7694" w:rsidRDefault="00635D70" w:rsidP="006D6DE2">
            <w:pPr>
              <w:spacing w:after="0" w:line="240" w:lineRule="auto"/>
              <w:jc w:val="center"/>
              <w:rPr>
                <w:rFonts w:cstheme="minorHAnsi"/>
              </w:rPr>
            </w:pPr>
            <w:r w:rsidRPr="00FF7694">
              <w:rPr>
                <w:rFonts w:cstheme="minorHAnsi"/>
              </w:rPr>
              <w:t>2.5</w:t>
            </w:r>
          </w:p>
        </w:tc>
      </w:tr>
      <w:tr w:rsidR="001B786E" w:rsidRPr="00FF7694" w14:paraId="11188638" w14:textId="77777777" w:rsidTr="006D01A6">
        <w:trPr>
          <w:trHeight w:val="293"/>
        </w:trPr>
        <w:tc>
          <w:tcPr>
            <w:tcW w:w="1413" w:type="dxa"/>
            <w:shd w:val="clear" w:color="auto" w:fill="auto"/>
            <w:vAlign w:val="center"/>
          </w:tcPr>
          <w:p w14:paraId="189FE82A"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55</w:t>
            </w:r>
          </w:p>
        </w:tc>
        <w:tc>
          <w:tcPr>
            <w:tcW w:w="1006" w:type="dxa"/>
            <w:shd w:val="clear" w:color="auto" w:fill="auto"/>
            <w:vAlign w:val="center"/>
          </w:tcPr>
          <w:p w14:paraId="499A4B3B"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1.5</w:t>
            </w:r>
          </w:p>
        </w:tc>
        <w:tc>
          <w:tcPr>
            <w:tcW w:w="1006" w:type="dxa"/>
            <w:shd w:val="clear" w:color="auto" w:fill="auto"/>
            <w:vAlign w:val="center"/>
          </w:tcPr>
          <w:p w14:paraId="3F44E436"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3.9</w:t>
            </w:r>
          </w:p>
        </w:tc>
        <w:tc>
          <w:tcPr>
            <w:tcW w:w="1006" w:type="dxa"/>
            <w:vAlign w:val="center"/>
          </w:tcPr>
          <w:p w14:paraId="50F3B3EC" w14:textId="77777777" w:rsidR="00635D70" w:rsidRPr="00FF7694" w:rsidRDefault="00635D70" w:rsidP="006D6DE2">
            <w:pPr>
              <w:spacing w:after="0" w:line="240" w:lineRule="auto"/>
              <w:jc w:val="center"/>
              <w:rPr>
                <w:rFonts w:cstheme="minorHAnsi"/>
              </w:rPr>
            </w:pPr>
            <w:r w:rsidRPr="00FF7694">
              <w:rPr>
                <w:rFonts w:cstheme="minorHAnsi"/>
              </w:rPr>
              <w:t>3.2</w:t>
            </w:r>
          </w:p>
        </w:tc>
        <w:tc>
          <w:tcPr>
            <w:tcW w:w="384" w:type="dxa"/>
          </w:tcPr>
          <w:p w14:paraId="304A4970"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2CF02C53"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1.5</w:t>
            </w:r>
          </w:p>
        </w:tc>
        <w:tc>
          <w:tcPr>
            <w:tcW w:w="1043" w:type="dxa"/>
            <w:shd w:val="clear" w:color="auto" w:fill="auto"/>
            <w:vAlign w:val="center"/>
          </w:tcPr>
          <w:p w14:paraId="14E12F71"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3.9</w:t>
            </w:r>
          </w:p>
        </w:tc>
        <w:tc>
          <w:tcPr>
            <w:tcW w:w="1044" w:type="dxa"/>
            <w:vAlign w:val="center"/>
          </w:tcPr>
          <w:p w14:paraId="1DE5B9E0" w14:textId="77777777" w:rsidR="00635D70" w:rsidRPr="00FF7694" w:rsidRDefault="00635D70" w:rsidP="006D6DE2">
            <w:pPr>
              <w:spacing w:after="0" w:line="240" w:lineRule="auto"/>
              <w:jc w:val="center"/>
              <w:rPr>
                <w:rFonts w:cstheme="minorHAnsi"/>
              </w:rPr>
            </w:pPr>
            <w:r w:rsidRPr="00FF7694">
              <w:rPr>
                <w:rFonts w:cstheme="minorHAnsi"/>
              </w:rPr>
              <w:t>3.2</w:t>
            </w:r>
          </w:p>
        </w:tc>
      </w:tr>
      <w:tr w:rsidR="001B786E" w:rsidRPr="00FF7694" w14:paraId="4C1D8EDF" w14:textId="77777777" w:rsidTr="006D01A6">
        <w:trPr>
          <w:trHeight w:val="293"/>
        </w:trPr>
        <w:tc>
          <w:tcPr>
            <w:tcW w:w="1413" w:type="dxa"/>
            <w:shd w:val="clear" w:color="auto" w:fill="auto"/>
            <w:vAlign w:val="center"/>
          </w:tcPr>
          <w:p w14:paraId="74E1BC87"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60</w:t>
            </w:r>
          </w:p>
        </w:tc>
        <w:tc>
          <w:tcPr>
            <w:tcW w:w="1006" w:type="dxa"/>
            <w:shd w:val="clear" w:color="auto" w:fill="auto"/>
            <w:vAlign w:val="center"/>
          </w:tcPr>
          <w:p w14:paraId="130A6B00"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2.2</w:t>
            </w:r>
          </w:p>
        </w:tc>
        <w:tc>
          <w:tcPr>
            <w:tcW w:w="1006" w:type="dxa"/>
            <w:shd w:val="clear" w:color="auto" w:fill="auto"/>
            <w:vAlign w:val="center"/>
          </w:tcPr>
          <w:p w14:paraId="11B79E78"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5.5</w:t>
            </w:r>
          </w:p>
        </w:tc>
        <w:tc>
          <w:tcPr>
            <w:tcW w:w="1006" w:type="dxa"/>
            <w:vAlign w:val="center"/>
          </w:tcPr>
          <w:p w14:paraId="4C470F4D" w14:textId="77777777" w:rsidR="00635D70" w:rsidRPr="00FF7694" w:rsidRDefault="00635D70" w:rsidP="006D6DE2">
            <w:pPr>
              <w:spacing w:after="0" w:line="240" w:lineRule="auto"/>
              <w:jc w:val="center"/>
              <w:rPr>
                <w:rFonts w:cstheme="minorHAnsi"/>
              </w:rPr>
            </w:pPr>
            <w:r w:rsidRPr="00FF7694">
              <w:rPr>
                <w:rFonts w:cstheme="minorHAnsi"/>
              </w:rPr>
              <w:t>4.5</w:t>
            </w:r>
          </w:p>
        </w:tc>
        <w:tc>
          <w:tcPr>
            <w:tcW w:w="384" w:type="dxa"/>
          </w:tcPr>
          <w:p w14:paraId="5D22CF2B"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1B72886E"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2.2</w:t>
            </w:r>
          </w:p>
        </w:tc>
        <w:tc>
          <w:tcPr>
            <w:tcW w:w="1043" w:type="dxa"/>
            <w:shd w:val="clear" w:color="auto" w:fill="auto"/>
            <w:vAlign w:val="center"/>
          </w:tcPr>
          <w:p w14:paraId="13E89557"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5.5</w:t>
            </w:r>
          </w:p>
        </w:tc>
        <w:tc>
          <w:tcPr>
            <w:tcW w:w="1044" w:type="dxa"/>
            <w:vAlign w:val="center"/>
          </w:tcPr>
          <w:p w14:paraId="5CB5F8FB" w14:textId="77777777" w:rsidR="00635D70" w:rsidRPr="00FF7694" w:rsidRDefault="00635D70" w:rsidP="006D6DE2">
            <w:pPr>
              <w:spacing w:after="0" w:line="240" w:lineRule="auto"/>
              <w:jc w:val="center"/>
              <w:rPr>
                <w:rFonts w:cstheme="minorHAnsi"/>
              </w:rPr>
            </w:pPr>
            <w:r w:rsidRPr="00FF7694">
              <w:rPr>
                <w:rFonts w:cstheme="minorHAnsi"/>
              </w:rPr>
              <w:t>4.5</w:t>
            </w:r>
          </w:p>
        </w:tc>
      </w:tr>
      <w:tr w:rsidR="001B786E" w:rsidRPr="00FF7694" w14:paraId="5D8321A7" w14:textId="77777777" w:rsidTr="006D01A6">
        <w:trPr>
          <w:trHeight w:val="293"/>
        </w:trPr>
        <w:tc>
          <w:tcPr>
            <w:tcW w:w="1413" w:type="dxa"/>
            <w:shd w:val="clear" w:color="auto" w:fill="auto"/>
            <w:vAlign w:val="center"/>
          </w:tcPr>
          <w:p w14:paraId="24FEEB1D"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65</w:t>
            </w:r>
          </w:p>
        </w:tc>
        <w:tc>
          <w:tcPr>
            <w:tcW w:w="1006" w:type="dxa"/>
            <w:shd w:val="clear" w:color="auto" w:fill="auto"/>
            <w:vAlign w:val="center"/>
          </w:tcPr>
          <w:p w14:paraId="628E72CD"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3.2</w:t>
            </w:r>
          </w:p>
        </w:tc>
        <w:tc>
          <w:tcPr>
            <w:tcW w:w="1006" w:type="dxa"/>
            <w:shd w:val="clear" w:color="auto" w:fill="auto"/>
            <w:vAlign w:val="center"/>
          </w:tcPr>
          <w:p w14:paraId="0DD71651"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7.8</w:t>
            </w:r>
          </w:p>
        </w:tc>
        <w:tc>
          <w:tcPr>
            <w:tcW w:w="1006" w:type="dxa"/>
            <w:vAlign w:val="center"/>
          </w:tcPr>
          <w:p w14:paraId="0F7FCDDD" w14:textId="77777777" w:rsidR="00635D70" w:rsidRPr="00FF7694" w:rsidRDefault="00635D70" w:rsidP="006D6DE2">
            <w:pPr>
              <w:spacing w:after="0" w:line="240" w:lineRule="auto"/>
              <w:jc w:val="center"/>
              <w:rPr>
                <w:rFonts w:cstheme="minorHAnsi"/>
              </w:rPr>
            </w:pPr>
            <w:r w:rsidRPr="00FF7694">
              <w:rPr>
                <w:rFonts w:cstheme="minorHAnsi"/>
              </w:rPr>
              <w:t>6.5</w:t>
            </w:r>
          </w:p>
        </w:tc>
        <w:tc>
          <w:tcPr>
            <w:tcW w:w="384" w:type="dxa"/>
          </w:tcPr>
          <w:p w14:paraId="35093FBF"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3EDF5F86"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3.2</w:t>
            </w:r>
          </w:p>
        </w:tc>
        <w:tc>
          <w:tcPr>
            <w:tcW w:w="1043" w:type="dxa"/>
            <w:shd w:val="clear" w:color="auto" w:fill="auto"/>
            <w:vAlign w:val="center"/>
          </w:tcPr>
          <w:p w14:paraId="1A60690E"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7.8</w:t>
            </w:r>
          </w:p>
        </w:tc>
        <w:tc>
          <w:tcPr>
            <w:tcW w:w="1044" w:type="dxa"/>
            <w:vAlign w:val="center"/>
          </w:tcPr>
          <w:p w14:paraId="7FAAFB99" w14:textId="77777777" w:rsidR="00635D70" w:rsidRPr="00FF7694" w:rsidRDefault="00635D70" w:rsidP="006D6DE2">
            <w:pPr>
              <w:spacing w:after="0" w:line="240" w:lineRule="auto"/>
              <w:jc w:val="center"/>
              <w:rPr>
                <w:rFonts w:cstheme="minorHAnsi"/>
              </w:rPr>
            </w:pPr>
            <w:r w:rsidRPr="00FF7694">
              <w:rPr>
                <w:rFonts w:cstheme="minorHAnsi"/>
              </w:rPr>
              <w:t>6.5</w:t>
            </w:r>
          </w:p>
        </w:tc>
      </w:tr>
      <w:tr w:rsidR="001B786E" w:rsidRPr="00FF7694" w14:paraId="27D2E8A1" w14:textId="77777777" w:rsidTr="006D01A6">
        <w:trPr>
          <w:trHeight w:val="293"/>
        </w:trPr>
        <w:tc>
          <w:tcPr>
            <w:tcW w:w="1413" w:type="dxa"/>
            <w:shd w:val="clear" w:color="auto" w:fill="auto"/>
            <w:vAlign w:val="center"/>
          </w:tcPr>
          <w:p w14:paraId="0AAEF44A" w14:textId="77777777" w:rsidR="00635D70" w:rsidRPr="00FF7694" w:rsidRDefault="00635D70" w:rsidP="006D6DE2">
            <w:pPr>
              <w:spacing w:after="0" w:line="240" w:lineRule="auto"/>
              <w:jc w:val="center"/>
              <w:rPr>
                <w:rFonts w:eastAsia="Times New Roman" w:cstheme="minorHAnsi"/>
                <w:lang w:eastAsia="en-GB"/>
              </w:rPr>
            </w:pPr>
            <w:r w:rsidRPr="00FF7694">
              <w:rPr>
                <w:rFonts w:cstheme="minorHAnsi"/>
              </w:rPr>
              <w:t>70</w:t>
            </w:r>
          </w:p>
        </w:tc>
        <w:tc>
          <w:tcPr>
            <w:tcW w:w="1006" w:type="dxa"/>
            <w:shd w:val="clear" w:color="auto" w:fill="auto"/>
            <w:vAlign w:val="center"/>
          </w:tcPr>
          <w:p w14:paraId="74DE6E95"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4.8</w:t>
            </w:r>
          </w:p>
        </w:tc>
        <w:tc>
          <w:tcPr>
            <w:tcW w:w="1006" w:type="dxa"/>
            <w:shd w:val="clear" w:color="auto" w:fill="auto"/>
            <w:vAlign w:val="center"/>
          </w:tcPr>
          <w:p w14:paraId="144530B5"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11</w:t>
            </w:r>
          </w:p>
        </w:tc>
        <w:tc>
          <w:tcPr>
            <w:tcW w:w="1006" w:type="dxa"/>
            <w:vAlign w:val="center"/>
          </w:tcPr>
          <w:p w14:paraId="3D6A5CDB" w14:textId="77777777" w:rsidR="00635D70" w:rsidRPr="00FF7694" w:rsidRDefault="00635D70" w:rsidP="006D6DE2">
            <w:pPr>
              <w:spacing w:after="0" w:line="240" w:lineRule="auto"/>
              <w:jc w:val="center"/>
              <w:rPr>
                <w:rFonts w:cstheme="minorHAnsi"/>
              </w:rPr>
            </w:pPr>
            <w:r w:rsidRPr="00FF7694">
              <w:rPr>
                <w:rFonts w:cstheme="minorHAnsi"/>
              </w:rPr>
              <w:t>9.2</w:t>
            </w:r>
          </w:p>
        </w:tc>
        <w:tc>
          <w:tcPr>
            <w:tcW w:w="384" w:type="dxa"/>
          </w:tcPr>
          <w:p w14:paraId="347913E1"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23FC5BCF"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4.8</w:t>
            </w:r>
          </w:p>
        </w:tc>
        <w:tc>
          <w:tcPr>
            <w:tcW w:w="1043" w:type="dxa"/>
            <w:shd w:val="clear" w:color="auto" w:fill="auto"/>
            <w:vAlign w:val="center"/>
          </w:tcPr>
          <w:p w14:paraId="235AC91A"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4" w:type="dxa"/>
            <w:vAlign w:val="center"/>
          </w:tcPr>
          <w:p w14:paraId="6CE1A70F" w14:textId="77777777" w:rsidR="00635D70" w:rsidRPr="00FF7694" w:rsidRDefault="00635D70" w:rsidP="006D6DE2">
            <w:pPr>
              <w:spacing w:after="0" w:line="240" w:lineRule="auto"/>
              <w:jc w:val="center"/>
              <w:rPr>
                <w:rFonts w:cstheme="minorHAnsi"/>
              </w:rPr>
            </w:pPr>
            <w:r w:rsidRPr="00FF7694">
              <w:rPr>
                <w:rFonts w:cstheme="minorHAnsi"/>
              </w:rPr>
              <w:t>9.2</w:t>
            </w:r>
          </w:p>
        </w:tc>
      </w:tr>
      <w:tr w:rsidR="001B786E" w:rsidRPr="00FF7694" w14:paraId="54AF5F41" w14:textId="77777777" w:rsidTr="006D01A6">
        <w:trPr>
          <w:trHeight w:val="293"/>
        </w:trPr>
        <w:tc>
          <w:tcPr>
            <w:tcW w:w="1413" w:type="dxa"/>
            <w:shd w:val="clear" w:color="auto" w:fill="auto"/>
            <w:vAlign w:val="center"/>
          </w:tcPr>
          <w:p w14:paraId="61333DD4" w14:textId="77777777" w:rsidR="00635D70" w:rsidRPr="00FF7694" w:rsidRDefault="00635D70" w:rsidP="006D6DE2">
            <w:pPr>
              <w:spacing w:after="0" w:line="240" w:lineRule="auto"/>
              <w:jc w:val="center"/>
              <w:rPr>
                <w:rFonts w:cstheme="minorHAnsi"/>
              </w:rPr>
            </w:pPr>
            <w:r w:rsidRPr="00FF7694">
              <w:rPr>
                <w:rFonts w:cstheme="minorHAnsi"/>
              </w:rPr>
              <w:t>75</w:t>
            </w:r>
          </w:p>
        </w:tc>
        <w:tc>
          <w:tcPr>
            <w:tcW w:w="1006" w:type="dxa"/>
            <w:shd w:val="clear" w:color="auto" w:fill="auto"/>
            <w:vAlign w:val="center"/>
          </w:tcPr>
          <w:p w14:paraId="05D7E9F3"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7.3</w:t>
            </w:r>
          </w:p>
        </w:tc>
        <w:tc>
          <w:tcPr>
            <w:tcW w:w="1006" w:type="dxa"/>
            <w:shd w:val="clear" w:color="auto" w:fill="auto"/>
            <w:vAlign w:val="center"/>
          </w:tcPr>
          <w:p w14:paraId="4736D363"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16</w:t>
            </w:r>
          </w:p>
        </w:tc>
        <w:tc>
          <w:tcPr>
            <w:tcW w:w="1006" w:type="dxa"/>
            <w:vAlign w:val="center"/>
          </w:tcPr>
          <w:p w14:paraId="1D585B14" w14:textId="77777777" w:rsidR="00635D70" w:rsidRPr="00FF7694" w:rsidRDefault="00635D70" w:rsidP="006D6DE2">
            <w:pPr>
              <w:spacing w:after="0" w:line="240" w:lineRule="auto"/>
              <w:jc w:val="center"/>
              <w:rPr>
                <w:rFonts w:cstheme="minorHAnsi"/>
              </w:rPr>
            </w:pPr>
            <w:r w:rsidRPr="00FF7694">
              <w:rPr>
                <w:rFonts w:cstheme="minorHAnsi"/>
              </w:rPr>
              <w:t>13</w:t>
            </w:r>
          </w:p>
        </w:tc>
        <w:tc>
          <w:tcPr>
            <w:tcW w:w="384" w:type="dxa"/>
          </w:tcPr>
          <w:p w14:paraId="61AAC722"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6FA65E62"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4.8</w:t>
            </w:r>
          </w:p>
        </w:tc>
        <w:tc>
          <w:tcPr>
            <w:tcW w:w="1043" w:type="dxa"/>
            <w:shd w:val="clear" w:color="auto" w:fill="auto"/>
            <w:vAlign w:val="center"/>
          </w:tcPr>
          <w:p w14:paraId="5C7FB92E"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4" w:type="dxa"/>
            <w:vAlign w:val="center"/>
          </w:tcPr>
          <w:p w14:paraId="2AF002FD" w14:textId="77777777" w:rsidR="00635D70" w:rsidRPr="00FF7694" w:rsidRDefault="00635D70" w:rsidP="006D6DE2">
            <w:pPr>
              <w:spacing w:after="0" w:line="240" w:lineRule="auto"/>
              <w:jc w:val="center"/>
              <w:rPr>
                <w:rFonts w:cstheme="minorHAnsi"/>
              </w:rPr>
            </w:pPr>
            <w:r w:rsidRPr="00FF7694">
              <w:rPr>
                <w:rFonts w:cstheme="minorHAnsi"/>
              </w:rPr>
              <w:t>9.2</w:t>
            </w:r>
          </w:p>
        </w:tc>
      </w:tr>
      <w:tr w:rsidR="001B786E" w:rsidRPr="00FF7694" w14:paraId="3292F623" w14:textId="77777777" w:rsidTr="006D01A6">
        <w:trPr>
          <w:trHeight w:val="293"/>
        </w:trPr>
        <w:tc>
          <w:tcPr>
            <w:tcW w:w="1413" w:type="dxa"/>
            <w:shd w:val="clear" w:color="auto" w:fill="auto"/>
            <w:vAlign w:val="center"/>
          </w:tcPr>
          <w:p w14:paraId="66E6150E" w14:textId="77777777" w:rsidR="00635D70" w:rsidRPr="00FF7694" w:rsidRDefault="00635D70" w:rsidP="006D6DE2">
            <w:pPr>
              <w:spacing w:after="0" w:line="240" w:lineRule="auto"/>
              <w:jc w:val="center"/>
              <w:rPr>
                <w:rFonts w:cstheme="minorHAnsi"/>
              </w:rPr>
            </w:pPr>
            <w:r w:rsidRPr="00FF7694">
              <w:rPr>
                <w:rFonts w:cstheme="minorHAnsi"/>
              </w:rPr>
              <w:t>80</w:t>
            </w:r>
          </w:p>
        </w:tc>
        <w:tc>
          <w:tcPr>
            <w:tcW w:w="1006" w:type="dxa"/>
            <w:shd w:val="clear" w:color="auto" w:fill="auto"/>
            <w:vAlign w:val="center"/>
          </w:tcPr>
          <w:p w14:paraId="23C2AF20"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11</w:t>
            </w:r>
          </w:p>
        </w:tc>
        <w:tc>
          <w:tcPr>
            <w:tcW w:w="1006" w:type="dxa"/>
            <w:shd w:val="clear" w:color="auto" w:fill="auto"/>
            <w:vAlign w:val="center"/>
          </w:tcPr>
          <w:p w14:paraId="7EC52DD2"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21</w:t>
            </w:r>
          </w:p>
        </w:tc>
        <w:tc>
          <w:tcPr>
            <w:tcW w:w="1006" w:type="dxa"/>
            <w:vAlign w:val="center"/>
          </w:tcPr>
          <w:p w14:paraId="6D7BD144" w14:textId="77777777" w:rsidR="00635D70" w:rsidRPr="00FF7694" w:rsidRDefault="00635D70" w:rsidP="006D6DE2">
            <w:pPr>
              <w:spacing w:after="0" w:line="240" w:lineRule="auto"/>
              <w:jc w:val="center"/>
              <w:rPr>
                <w:rFonts w:cstheme="minorHAnsi"/>
              </w:rPr>
            </w:pPr>
            <w:r w:rsidRPr="00FF7694">
              <w:rPr>
                <w:rFonts w:cstheme="minorHAnsi"/>
              </w:rPr>
              <w:t>17</w:t>
            </w:r>
          </w:p>
        </w:tc>
        <w:tc>
          <w:tcPr>
            <w:tcW w:w="384" w:type="dxa"/>
          </w:tcPr>
          <w:p w14:paraId="421800D5"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2DE4D135"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4.8</w:t>
            </w:r>
          </w:p>
        </w:tc>
        <w:tc>
          <w:tcPr>
            <w:tcW w:w="1043" w:type="dxa"/>
            <w:shd w:val="clear" w:color="auto" w:fill="auto"/>
            <w:vAlign w:val="center"/>
          </w:tcPr>
          <w:p w14:paraId="3E3AB253"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4" w:type="dxa"/>
            <w:vAlign w:val="center"/>
          </w:tcPr>
          <w:p w14:paraId="6CD7EC59" w14:textId="77777777" w:rsidR="00635D70" w:rsidRPr="00FF7694" w:rsidRDefault="00635D70" w:rsidP="006D6DE2">
            <w:pPr>
              <w:spacing w:after="0" w:line="240" w:lineRule="auto"/>
              <w:jc w:val="center"/>
              <w:rPr>
                <w:rFonts w:cstheme="minorHAnsi"/>
              </w:rPr>
            </w:pPr>
            <w:r w:rsidRPr="00FF7694">
              <w:rPr>
                <w:rFonts w:cstheme="minorHAnsi"/>
              </w:rPr>
              <w:t>9.2</w:t>
            </w:r>
          </w:p>
        </w:tc>
      </w:tr>
      <w:tr w:rsidR="001B786E" w:rsidRPr="00FF7694" w14:paraId="502B0164" w14:textId="77777777" w:rsidTr="006D01A6">
        <w:trPr>
          <w:trHeight w:val="293"/>
        </w:trPr>
        <w:tc>
          <w:tcPr>
            <w:tcW w:w="1413" w:type="dxa"/>
            <w:shd w:val="clear" w:color="auto" w:fill="auto"/>
            <w:vAlign w:val="center"/>
          </w:tcPr>
          <w:p w14:paraId="4AF97475" w14:textId="77777777" w:rsidR="00635D70" w:rsidRPr="00FF7694" w:rsidRDefault="00635D70" w:rsidP="006D6DE2">
            <w:pPr>
              <w:spacing w:after="0" w:line="240" w:lineRule="auto"/>
              <w:jc w:val="center"/>
              <w:rPr>
                <w:rFonts w:cstheme="minorHAnsi"/>
              </w:rPr>
            </w:pPr>
            <w:r w:rsidRPr="00FF7694">
              <w:rPr>
                <w:rFonts w:cstheme="minorHAnsi"/>
              </w:rPr>
              <w:t>85</w:t>
            </w:r>
          </w:p>
        </w:tc>
        <w:tc>
          <w:tcPr>
            <w:tcW w:w="1006" w:type="dxa"/>
            <w:shd w:val="clear" w:color="auto" w:fill="auto"/>
            <w:vAlign w:val="center"/>
          </w:tcPr>
          <w:p w14:paraId="5EF57AE1"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13</w:t>
            </w:r>
          </w:p>
        </w:tc>
        <w:tc>
          <w:tcPr>
            <w:tcW w:w="1006" w:type="dxa"/>
            <w:shd w:val="clear" w:color="auto" w:fill="auto"/>
            <w:vAlign w:val="center"/>
          </w:tcPr>
          <w:p w14:paraId="0A77E36E"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26</w:t>
            </w:r>
          </w:p>
        </w:tc>
        <w:tc>
          <w:tcPr>
            <w:tcW w:w="1006" w:type="dxa"/>
            <w:vAlign w:val="center"/>
          </w:tcPr>
          <w:p w14:paraId="345CB6B2" w14:textId="77777777" w:rsidR="00635D70" w:rsidRPr="00FF7694" w:rsidRDefault="00635D70" w:rsidP="006D6DE2">
            <w:pPr>
              <w:spacing w:after="0" w:line="240" w:lineRule="auto"/>
              <w:jc w:val="center"/>
              <w:rPr>
                <w:rFonts w:cstheme="minorHAnsi"/>
              </w:rPr>
            </w:pPr>
            <w:r w:rsidRPr="00FF7694">
              <w:rPr>
                <w:rFonts w:cstheme="minorHAnsi"/>
              </w:rPr>
              <w:t>21</w:t>
            </w:r>
          </w:p>
        </w:tc>
        <w:tc>
          <w:tcPr>
            <w:tcW w:w="384" w:type="dxa"/>
          </w:tcPr>
          <w:p w14:paraId="63D9AC4B"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30B3AD16"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4.8</w:t>
            </w:r>
          </w:p>
        </w:tc>
        <w:tc>
          <w:tcPr>
            <w:tcW w:w="1043" w:type="dxa"/>
            <w:shd w:val="clear" w:color="auto" w:fill="auto"/>
            <w:vAlign w:val="center"/>
          </w:tcPr>
          <w:p w14:paraId="7803F7C9"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4" w:type="dxa"/>
            <w:vAlign w:val="center"/>
          </w:tcPr>
          <w:p w14:paraId="4B45CF35" w14:textId="77777777" w:rsidR="00635D70" w:rsidRPr="00FF7694" w:rsidRDefault="00635D70" w:rsidP="006D6DE2">
            <w:pPr>
              <w:spacing w:after="0" w:line="240" w:lineRule="auto"/>
              <w:jc w:val="center"/>
              <w:rPr>
                <w:rFonts w:cstheme="minorHAnsi"/>
              </w:rPr>
            </w:pPr>
            <w:r w:rsidRPr="00FF7694">
              <w:rPr>
                <w:rFonts w:cstheme="minorHAnsi"/>
              </w:rPr>
              <w:t>9.2</w:t>
            </w:r>
          </w:p>
        </w:tc>
      </w:tr>
      <w:tr w:rsidR="001B786E" w:rsidRPr="00FF7694" w14:paraId="58C9CB63" w14:textId="77777777" w:rsidTr="006D01A6">
        <w:trPr>
          <w:trHeight w:val="293"/>
        </w:trPr>
        <w:tc>
          <w:tcPr>
            <w:tcW w:w="1413" w:type="dxa"/>
            <w:shd w:val="clear" w:color="auto" w:fill="auto"/>
            <w:vAlign w:val="center"/>
          </w:tcPr>
          <w:p w14:paraId="1CE12AB4" w14:textId="77777777" w:rsidR="00635D70" w:rsidRPr="00FF7694" w:rsidRDefault="00635D70" w:rsidP="006D6DE2">
            <w:pPr>
              <w:spacing w:after="0" w:line="240" w:lineRule="auto"/>
              <w:jc w:val="center"/>
              <w:rPr>
                <w:rFonts w:cstheme="minorHAnsi"/>
              </w:rPr>
            </w:pPr>
            <w:r w:rsidRPr="00FF7694">
              <w:rPr>
                <w:rFonts w:cstheme="minorHAnsi"/>
              </w:rPr>
              <w:t>90</w:t>
            </w:r>
          </w:p>
        </w:tc>
        <w:tc>
          <w:tcPr>
            <w:tcW w:w="1006" w:type="dxa"/>
            <w:shd w:val="clear" w:color="auto" w:fill="auto"/>
            <w:vAlign w:val="center"/>
          </w:tcPr>
          <w:p w14:paraId="052FF8E9"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12</w:t>
            </w:r>
          </w:p>
        </w:tc>
        <w:tc>
          <w:tcPr>
            <w:tcW w:w="1006" w:type="dxa"/>
            <w:shd w:val="clear" w:color="auto" w:fill="auto"/>
            <w:vAlign w:val="center"/>
          </w:tcPr>
          <w:p w14:paraId="1C6CBAFE" w14:textId="77777777" w:rsidR="00635D70" w:rsidRPr="00FF7694" w:rsidRDefault="00635D70" w:rsidP="006D6DE2">
            <w:pPr>
              <w:spacing w:after="0" w:line="240" w:lineRule="auto"/>
              <w:jc w:val="center"/>
              <w:rPr>
                <w:rFonts w:eastAsia="Times New Roman" w:cstheme="minorHAnsi"/>
                <w:lang w:eastAsia="en-GB"/>
              </w:rPr>
            </w:pPr>
            <w:r w:rsidRPr="00FF7694">
              <w:rPr>
                <w:rFonts w:eastAsia="Times New Roman" w:cstheme="minorHAnsi"/>
                <w:lang w:eastAsia="en-GB"/>
              </w:rPr>
              <w:t>2</w:t>
            </w:r>
            <w:r>
              <w:rPr>
                <w:rFonts w:eastAsia="Times New Roman" w:cstheme="minorHAnsi"/>
                <w:lang w:eastAsia="en-GB"/>
              </w:rPr>
              <w:t>5</w:t>
            </w:r>
          </w:p>
        </w:tc>
        <w:tc>
          <w:tcPr>
            <w:tcW w:w="1006" w:type="dxa"/>
            <w:vAlign w:val="center"/>
          </w:tcPr>
          <w:p w14:paraId="124E6C88" w14:textId="77777777" w:rsidR="00635D70" w:rsidRPr="00FF7694" w:rsidRDefault="00635D70" w:rsidP="006D6DE2">
            <w:pPr>
              <w:spacing w:after="0" w:line="240" w:lineRule="auto"/>
              <w:jc w:val="center"/>
              <w:rPr>
                <w:rFonts w:cstheme="minorHAnsi"/>
              </w:rPr>
            </w:pPr>
            <w:r w:rsidRPr="00FF7694">
              <w:rPr>
                <w:rFonts w:cstheme="minorHAnsi"/>
              </w:rPr>
              <w:t>20</w:t>
            </w:r>
          </w:p>
        </w:tc>
        <w:tc>
          <w:tcPr>
            <w:tcW w:w="384" w:type="dxa"/>
          </w:tcPr>
          <w:p w14:paraId="65A6511B" w14:textId="77777777" w:rsidR="00635D70" w:rsidRPr="00FF7694" w:rsidRDefault="00635D70" w:rsidP="006D6DE2">
            <w:pPr>
              <w:spacing w:after="0" w:line="240" w:lineRule="auto"/>
              <w:jc w:val="center"/>
              <w:rPr>
                <w:rFonts w:eastAsia="Times New Roman" w:cstheme="minorHAnsi"/>
                <w:lang w:eastAsia="en-GB"/>
              </w:rPr>
            </w:pPr>
          </w:p>
        </w:tc>
        <w:tc>
          <w:tcPr>
            <w:tcW w:w="1043" w:type="dxa"/>
            <w:shd w:val="clear" w:color="auto" w:fill="auto"/>
            <w:vAlign w:val="center"/>
          </w:tcPr>
          <w:p w14:paraId="38825F63"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4.8</w:t>
            </w:r>
          </w:p>
        </w:tc>
        <w:tc>
          <w:tcPr>
            <w:tcW w:w="1043" w:type="dxa"/>
            <w:shd w:val="clear" w:color="auto" w:fill="auto"/>
            <w:vAlign w:val="center"/>
          </w:tcPr>
          <w:p w14:paraId="7C9225FD" w14:textId="77777777" w:rsidR="00635D70" w:rsidRPr="00FF7694" w:rsidRDefault="00635D70" w:rsidP="006D6DE2">
            <w:pPr>
              <w:spacing w:after="0" w:line="240" w:lineRule="auto"/>
              <w:jc w:val="center"/>
              <w:rPr>
                <w:rFonts w:cstheme="minorHAnsi"/>
              </w:rPr>
            </w:pPr>
            <w:r w:rsidRPr="00FF7694">
              <w:rPr>
                <w:rFonts w:eastAsia="Times New Roman" w:cstheme="minorHAnsi"/>
                <w:lang w:eastAsia="en-GB"/>
              </w:rPr>
              <w:t>11</w:t>
            </w:r>
          </w:p>
        </w:tc>
        <w:tc>
          <w:tcPr>
            <w:tcW w:w="1044" w:type="dxa"/>
            <w:vAlign w:val="center"/>
          </w:tcPr>
          <w:p w14:paraId="0DC850A0" w14:textId="77777777" w:rsidR="00635D70" w:rsidRPr="00FF7694" w:rsidRDefault="00635D70" w:rsidP="006D6DE2">
            <w:pPr>
              <w:spacing w:after="0" w:line="240" w:lineRule="auto"/>
              <w:jc w:val="center"/>
              <w:rPr>
                <w:rFonts w:cstheme="minorHAnsi"/>
              </w:rPr>
            </w:pPr>
            <w:r w:rsidRPr="00FF7694">
              <w:rPr>
                <w:rFonts w:cstheme="minorHAnsi"/>
              </w:rPr>
              <w:t>9.2</w:t>
            </w:r>
          </w:p>
        </w:tc>
      </w:tr>
    </w:tbl>
    <w:p w14:paraId="508C76D2" w14:textId="77777777" w:rsidR="00635D70" w:rsidRPr="00FF7694" w:rsidRDefault="00635D70" w:rsidP="00635D70">
      <w:pPr>
        <w:autoSpaceDE w:val="0"/>
        <w:autoSpaceDN w:val="0"/>
        <w:adjustRightInd w:val="0"/>
        <w:spacing w:after="0" w:line="276" w:lineRule="auto"/>
        <w:ind w:left="567"/>
        <w:jc w:val="center"/>
        <w:rPr>
          <w:rFonts w:cstheme="minorHAnsi"/>
        </w:rPr>
      </w:pPr>
      <w:r w:rsidRPr="00FF7694">
        <w:rPr>
          <w:rFonts w:cstheme="minorHAnsi"/>
          <w:noProof/>
        </w:rPr>
        <w:t xml:space="preserve"> </w:t>
      </w:r>
    </w:p>
    <w:p w14:paraId="37B738AC" w14:textId="77777777" w:rsidR="00635D70" w:rsidRPr="00FF7694" w:rsidRDefault="00635D70" w:rsidP="00635D70">
      <w:pPr>
        <w:autoSpaceDE w:val="0"/>
        <w:autoSpaceDN w:val="0"/>
        <w:adjustRightInd w:val="0"/>
        <w:spacing w:after="0" w:line="276" w:lineRule="auto"/>
        <w:ind w:left="567"/>
        <w:rPr>
          <w:rFonts w:ascii="Calibri" w:hAnsi="Calibri" w:cs="Calibri"/>
          <w:b/>
          <w:bCs/>
          <w:sz w:val="20"/>
          <w:szCs w:val="20"/>
        </w:rPr>
      </w:pPr>
    </w:p>
    <w:p w14:paraId="0B05E4EC" w14:textId="77777777" w:rsidR="00635D70" w:rsidRPr="00FF7694" w:rsidRDefault="00635D70" w:rsidP="00635D70">
      <w:pPr>
        <w:autoSpaceDE w:val="0"/>
        <w:autoSpaceDN w:val="0"/>
        <w:adjustRightInd w:val="0"/>
        <w:spacing w:after="0" w:line="276" w:lineRule="auto"/>
        <w:ind w:left="567"/>
        <w:jc w:val="center"/>
        <w:rPr>
          <w:rFonts w:ascii="Calibri" w:hAnsi="Calibri" w:cs="Calibri"/>
          <w:b/>
          <w:bCs/>
          <w:sz w:val="20"/>
          <w:szCs w:val="20"/>
        </w:rPr>
      </w:pPr>
    </w:p>
    <w:p w14:paraId="7C2BDB51"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3989AB5C"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717FC8DA"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4E494AA1"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6CC0F101"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40EAB07E"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0681B8CE"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399B60F2"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18E300E7"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57A6615A"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24F1A5D2" w14:textId="77777777" w:rsidR="00635D70" w:rsidRPr="00FF7694" w:rsidRDefault="00635D70" w:rsidP="00635D70">
      <w:pPr>
        <w:autoSpaceDE w:val="0"/>
        <w:autoSpaceDN w:val="0"/>
        <w:adjustRightInd w:val="0"/>
        <w:spacing w:after="0" w:line="276" w:lineRule="auto"/>
        <w:ind w:left="567"/>
        <w:rPr>
          <w:rFonts w:ascii="Calibri" w:hAnsi="Calibri" w:cs="Calibri"/>
          <w:b/>
          <w:bCs/>
          <w:sz w:val="24"/>
          <w:szCs w:val="24"/>
        </w:rPr>
      </w:pPr>
    </w:p>
    <w:p w14:paraId="2209B734" w14:textId="69C60E45" w:rsidR="006148AA" w:rsidRPr="008F4C03" w:rsidRDefault="006148AA" w:rsidP="00F37FD3">
      <w:pPr>
        <w:autoSpaceDE w:val="0"/>
        <w:autoSpaceDN w:val="0"/>
        <w:adjustRightInd w:val="0"/>
        <w:spacing w:after="0" w:line="276" w:lineRule="auto"/>
        <w:ind w:left="567"/>
        <w:rPr>
          <w:rFonts w:ascii="Calibri" w:hAnsi="Calibri" w:cs="Calibri"/>
          <w:sz w:val="24"/>
          <w:szCs w:val="24"/>
        </w:rPr>
      </w:pPr>
    </w:p>
    <w:p w14:paraId="7264216A" w14:textId="105766C8" w:rsidR="00F92540" w:rsidRPr="008F4C03" w:rsidRDefault="003F1AB3" w:rsidP="00F37FD3">
      <w:pPr>
        <w:autoSpaceDE w:val="0"/>
        <w:autoSpaceDN w:val="0"/>
        <w:adjustRightInd w:val="0"/>
        <w:spacing w:after="0" w:line="276" w:lineRule="auto"/>
        <w:ind w:left="567"/>
        <w:rPr>
          <w:rFonts w:ascii="Calibri" w:hAnsi="Calibri" w:cs="Calibri"/>
          <w:i/>
          <w:iCs/>
          <w:sz w:val="24"/>
          <w:szCs w:val="24"/>
        </w:rPr>
      </w:pPr>
      <w:r w:rsidRPr="008F4C03">
        <w:rPr>
          <w:rFonts w:ascii="Calibri" w:hAnsi="Calibri" w:cs="Calibri"/>
          <w:i/>
          <w:iCs/>
          <w:sz w:val="24"/>
          <w:szCs w:val="24"/>
        </w:rPr>
        <w:t>Management pathway</w:t>
      </w:r>
    </w:p>
    <w:p w14:paraId="6E3150DA" w14:textId="2B163E73" w:rsidR="006B7870" w:rsidRPr="00F2728B" w:rsidRDefault="00F26542" w:rsidP="00F37FD3">
      <w:pPr>
        <w:autoSpaceDE w:val="0"/>
        <w:autoSpaceDN w:val="0"/>
        <w:adjustRightInd w:val="0"/>
        <w:spacing w:after="0" w:line="276" w:lineRule="auto"/>
        <w:ind w:left="567"/>
        <w:rPr>
          <w:rFonts w:ascii="Calibri" w:hAnsi="Calibri" w:cs="Calibri"/>
          <w:sz w:val="24"/>
          <w:szCs w:val="24"/>
        </w:rPr>
      </w:pPr>
      <w:r>
        <w:rPr>
          <w:rFonts w:ascii="Calibri" w:hAnsi="Calibri" w:cs="Calibri"/>
          <w:sz w:val="24"/>
          <w:szCs w:val="24"/>
        </w:rPr>
        <w:t>T</w:t>
      </w:r>
      <w:r w:rsidR="006148AA" w:rsidRPr="008F4C03">
        <w:rPr>
          <w:rFonts w:ascii="Calibri" w:hAnsi="Calibri" w:cs="Calibri"/>
          <w:sz w:val="24"/>
          <w:szCs w:val="24"/>
        </w:rPr>
        <w:t xml:space="preserve">he risk of fracture is </w:t>
      </w:r>
      <w:r w:rsidR="00CC5EC5" w:rsidRPr="008F4C03">
        <w:rPr>
          <w:rFonts w:ascii="Calibri" w:hAnsi="Calibri" w:cs="Calibri"/>
          <w:sz w:val="24"/>
          <w:szCs w:val="24"/>
        </w:rPr>
        <w:t xml:space="preserve">first </w:t>
      </w:r>
      <w:r w:rsidR="006148AA" w:rsidRPr="008F4C03">
        <w:rPr>
          <w:rFonts w:ascii="Calibri" w:hAnsi="Calibri" w:cs="Calibri"/>
          <w:sz w:val="24"/>
          <w:szCs w:val="24"/>
        </w:rPr>
        <w:t xml:space="preserve">assessed on clinical risk factors alone which in turn provides guidance whether a </w:t>
      </w:r>
      <w:r w:rsidR="009639A2" w:rsidRPr="008F4C03">
        <w:rPr>
          <w:rFonts w:ascii="Calibri" w:hAnsi="Calibri" w:cs="Calibri"/>
          <w:sz w:val="24"/>
          <w:szCs w:val="24"/>
        </w:rPr>
        <w:t xml:space="preserve">femoral neck </w:t>
      </w:r>
      <w:r w:rsidR="006148AA" w:rsidRPr="008F4C03">
        <w:rPr>
          <w:rFonts w:ascii="Calibri" w:hAnsi="Calibri" w:cs="Calibri"/>
          <w:sz w:val="24"/>
          <w:szCs w:val="24"/>
        </w:rPr>
        <w:t xml:space="preserve">BMD measurement or treatment is indicated, an approach that has been endorsed by </w:t>
      </w:r>
      <w:r w:rsidR="00A559DB" w:rsidRPr="008F4C03">
        <w:rPr>
          <w:rFonts w:ascii="Calibri" w:hAnsi="Calibri" w:cs="Calibri"/>
          <w:sz w:val="24"/>
          <w:szCs w:val="24"/>
        </w:rPr>
        <w:t xml:space="preserve">the UK </w:t>
      </w:r>
      <w:r w:rsidR="00677989" w:rsidRPr="008F4C03">
        <w:rPr>
          <w:rFonts w:ascii="Calibri" w:hAnsi="Calibri" w:cs="Calibri"/>
          <w:sz w:val="24"/>
          <w:szCs w:val="24"/>
        </w:rPr>
        <w:t xml:space="preserve">National Institute for Health and Care </w:t>
      </w:r>
      <w:r w:rsidR="00677989" w:rsidRPr="00AD1549">
        <w:rPr>
          <w:rFonts w:ascii="Calibri" w:hAnsi="Calibri" w:cs="Calibri"/>
          <w:sz w:val="24"/>
          <w:szCs w:val="24"/>
        </w:rPr>
        <w:t>Excellence [</w:t>
      </w:r>
      <w:r w:rsidR="00E96DA2" w:rsidRPr="00AD1549">
        <w:rPr>
          <w:rFonts w:ascii="Calibri" w:hAnsi="Calibri" w:cs="Calibri"/>
          <w:sz w:val="24"/>
          <w:szCs w:val="24"/>
        </w:rPr>
        <w:t>31</w:t>
      </w:r>
      <w:r w:rsidR="0029497F" w:rsidRPr="00AD1549">
        <w:rPr>
          <w:rFonts w:ascii="Calibri" w:hAnsi="Calibri" w:cs="Calibri"/>
          <w:sz w:val="24"/>
          <w:szCs w:val="24"/>
        </w:rPr>
        <w:t>]</w:t>
      </w:r>
      <w:r w:rsidR="006148AA" w:rsidRPr="00AD1549">
        <w:rPr>
          <w:rFonts w:ascii="Calibri" w:hAnsi="Calibri" w:cs="Calibri"/>
          <w:sz w:val="24"/>
          <w:szCs w:val="24"/>
        </w:rPr>
        <w:t xml:space="preserve">. </w:t>
      </w:r>
      <w:r w:rsidR="008014EF" w:rsidRPr="00AD1549">
        <w:rPr>
          <w:rFonts w:ascii="Calibri" w:hAnsi="Calibri" w:cs="Calibri"/>
          <w:sz w:val="24"/>
          <w:szCs w:val="24"/>
        </w:rPr>
        <w:t xml:space="preserve"> </w:t>
      </w:r>
      <w:r w:rsidR="000C76D9" w:rsidRPr="00AD1549">
        <w:rPr>
          <w:rFonts w:ascii="Calibri" w:hAnsi="Calibri" w:cs="Calibri"/>
          <w:sz w:val="24"/>
          <w:szCs w:val="24"/>
        </w:rPr>
        <w:t>An exception</w:t>
      </w:r>
      <w:r w:rsidR="00270F86" w:rsidRPr="00AD1549">
        <w:rPr>
          <w:rFonts w:ascii="Calibri" w:hAnsi="Calibri" w:cs="Calibri"/>
          <w:sz w:val="24"/>
          <w:szCs w:val="24"/>
        </w:rPr>
        <w:t xml:space="preserve"> is in </w:t>
      </w:r>
      <w:r w:rsidR="006148AA" w:rsidRPr="00AD1549">
        <w:rPr>
          <w:rFonts w:ascii="Calibri" w:hAnsi="Calibri" w:cs="Calibri"/>
          <w:sz w:val="24"/>
          <w:szCs w:val="24"/>
        </w:rPr>
        <w:t>the presence of a prior fragility fracture</w:t>
      </w:r>
      <w:r w:rsidR="005A323B" w:rsidRPr="00AD1549">
        <w:rPr>
          <w:rFonts w:ascii="Calibri" w:hAnsi="Calibri" w:cs="Calibri"/>
          <w:sz w:val="24"/>
          <w:szCs w:val="24"/>
        </w:rPr>
        <w:t>,</w:t>
      </w:r>
      <w:r w:rsidR="006148AA" w:rsidRPr="00AD1549">
        <w:rPr>
          <w:rFonts w:ascii="Calibri" w:hAnsi="Calibri" w:cs="Calibri"/>
          <w:sz w:val="24"/>
          <w:szCs w:val="24"/>
        </w:rPr>
        <w:t xml:space="preserve"> </w:t>
      </w:r>
      <w:r w:rsidR="00A11DE2" w:rsidRPr="00AD1549">
        <w:rPr>
          <w:rFonts w:ascii="Calibri" w:hAnsi="Calibri" w:cs="Calibri"/>
          <w:sz w:val="24"/>
          <w:szCs w:val="24"/>
        </w:rPr>
        <w:t xml:space="preserve">in which case </w:t>
      </w:r>
      <w:r w:rsidR="00270F86" w:rsidRPr="00AD1549">
        <w:rPr>
          <w:rFonts w:ascii="Calibri" w:hAnsi="Calibri" w:cs="Calibri"/>
          <w:sz w:val="24"/>
          <w:szCs w:val="24"/>
        </w:rPr>
        <w:t>treatment is</w:t>
      </w:r>
      <w:r w:rsidR="006148AA" w:rsidRPr="00AD1549">
        <w:rPr>
          <w:rFonts w:ascii="Calibri" w:hAnsi="Calibri" w:cs="Calibri"/>
          <w:sz w:val="24"/>
          <w:szCs w:val="24"/>
        </w:rPr>
        <w:t xml:space="preserve"> to be considered in such patients without necessarily undertaking a BMD measurement. </w:t>
      </w:r>
      <w:r w:rsidR="00677989" w:rsidRPr="00AD1549">
        <w:rPr>
          <w:rFonts w:ascii="Calibri" w:hAnsi="Calibri" w:cs="Calibri"/>
          <w:sz w:val="24"/>
          <w:szCs w:val="24"/>
        </w:rPr>
        <w:t xml:space="preserve"> For</w:t>
      </w:r>
      <w:r w:rsidR="006148AA" w:rsidRPr="00AD1549">
        <w:rPr>
          <w:rFonts w:ascii="Calibri" w:hAnsi="Calibri" w:cs="Calibri"/>
          <w:sz w:val="24"/>
          <w:szCs w:val="24"/>
        </w:rPr>
        <w:t xml:space="preserve"> the present report, we assumed that treatment would be considered in all </w:t>
      </w:r>
      <w:r w:rsidR="00F721A1" w:rsidRPr="00AD1549">
        <w:rPr>
          <w:rFonts w:ascii="Calibri" w:hAnsi="Calibri" w:cs="Calibri"/>
          <w:sz w:val="24"/>
          <w:szCs w:val="24"/>
        </w:rPr>
        <w:t xml:space="preserve">men and </w:t>
      </w:r>
      <w:r w:rsidR="006148AA" w:rsidRPr="00AD1549">
        <w:rPr>
          <w:rFonts w:ascii="Calibri" w:hAnsi="Calibri" w:cs="Calibri"/>
          <w:sz w:val="24"/>
          <w:szCs w:val="24"/>
        </w:rPr>
        <w:t>women with prior</w:t>
      </w:r>
      <w:r w:rsidR="006148AA" w:rsidRPr="008F4C03">
        <w:rPr>
          <w:rFonts w:ascii="Calibri" w:hAnsi="Calibri" w:cs="Calibri"/>
          <w:sz w:val="24"/>
          <w:szCs w:val="24"/>
        </w:rPr>
        <w:t xml:space="preserve"> fracture.</w:t>
      </w:r>
      <w:r w:rsidR="00677989" w:rsidRPr="008F4C03">
        <w:rPr>
          <w:rFonts w:ascii="Calibri" w:hAnsi="Calibri" w:cs="Calibri"/>
          <w:sz w:val="24"/>
          <w:szCs w:val="24"/>
        </w:rPr>
        <w:t xml:space="preserve">  </w:t>
      </w:r>
      <w:r w:rsidR="0089537C" w:rsidRPr="008F4C03">
        <w:rPr>
          <w:rFonts w:ascii="Calibri" w:hAnsi="Calibri" w:cs="Calibri"/>
          <w:sz w:val="24"/>
          <w:szCs w:val="24"/>
        </w:rPr>
        <w:t xml:space="preserve">In </w:t>
      </w:r>
      <w:r w:rsidR="00716B44" w:rsidRPr="008F4C03">
        <w:rPr>
          <w:rFonts w:ascii="Calibri" w:hAnsi="Calibri" w:cs="Calibri"/>
          <w:sz w:val="24"/>
          <w:szCs w:val="24"/>
        </w:rPr>
        <w:t>other patients</w:t>
      </w:r>
      <w:r w:rsidR="00D7445B" w:rsidRPr="008F4C03">
        <w:rPr>
          <w:rFonts w:ascii="Calibri" w:hAnsi="Calibri" w:cs="Calibri"/>
          <w:sz w:val="24"/>
          <w:szCs w:val="24"/>
        </w:rPr>
        <w:t xml:space="preserve"> </w:t>
      </w:r>
      <w:r w:rsidR="00C104C4" w:rsidRPr="008F4C03">
        <w:rPr>
          <w:rFonts w:ascii="Calibri" w:hAnsi="Calibri" w:cs="Calibri"/>
          <w:sz w:val="24"/>
          <w:szCs w:val="24"/>
        </w:rPr>
        <w:t>with</w:t>
      </w:r>
      <w:r w:rsidR="00AA22DB" w:rsidRPr="008F4C03">
        <w:rPr>
          <w:rFonts w:ascii="Calibri" w:hAnsi="Calibri" w:cs="Calibri"/>
          <w:sz w:val="24"/>
          <w:szCs w:val="24"/>
        </w:rPr>
        <w:t xml:space="preserve"> no</w:t>
      </w:r>
      <w:r w:rsidR="00D7445B" w:rsidRPr="008F4C03">
        <w:rPr>
          <w:rFonts w:ascii="Calibri" w:hAnsi="Calibri" w:cs="Calibri"/>
          <w:sz w:val="24"/>
          <w:szCs w:val="24"/>
        </w:rPr>
        <w:t xml:space="preserve"> prior fracture</w:t>
      </w:r>
      <w:r w:rsidR="006148AA" w:rsidRPr="008F4C03">
        <w:rPr>
          <w:rFonts w:ascii="Calibri" w:hAnsi="Calibri" w:cs="Calibri"/>
          <w:sz w:val="24"/>
          <w:szCs w:val="24"/>
        </w:rPr>
        <w:t>, the decision is based on the 10-year probability of major osteoporotic fracture with some individuals</w:t>
      </w:r>
      <w:r w:rsidR="00677989" w:rsidRPr="008F4C03">
        <w:rPr>
          <w:rFonts w:ascii="Calibri" w:hAnsi="Calibri" w:cs="Calibri"/>
          <w:sz w:val="24"/>
          <w:szCs w:val="24"/>
        </w:rPr>
        <w:t xml:space="preserve"> </w:t>
      </w:r>
      <w:r w:rsidR="006148AA" w:rsidRPr="008F4C03">
        <w:rPr>
          <w:rFonts w:ascii="Calibri" w:hAnsi="Calibri" w:cs="Calibri"/>
          <w:sz w:val="24"/>
          <w:szCs w:val="24"/>
        </w:rPr>
        <w:t>deemed at high risk (treatment without BMD), some</w:t>
      </w:r>
      <w:r w:rsidR="00677989" w:rsidRPr="008F4C03">
        <w:rPr>
          <w:rFonts w:ascii="Calibri" w:hAnsi="Calibri" w:cs="Calibri"/>
          <w:sz w:val="24"/>
          <w:szCs w:val="24"/>
        </w:rPr>
        <w:t xml:space="preserve"> </w:t>
      </w:r>
      <w:r w:rsidR="006148AA" w:rsidRPr="008F4C03">
        <w:rPr>
          <w:rFonts w:ascii="Calibri" w:hAnsi="Calibri" w:cs="Calibri"/>
          <w:sz w:val="24"/>
          <w:szCs w:val="24"/>
        </w:rPr>
        <w:t>at or near the intervention threshold (</w:t>
      </w:r>
      <w:r w:rsidR="00573191" w:rsidRPr="008F4C03">
        <w:rPr>
          <w:rFonts w:ascii="Calibri" w:hAnsi="Calibri" w:cs="Calibri"/>
          <w:sz w:val="24"/>
          <w:szCs w:val="24"/>
        </w:rPr>
        <w:t>interme</w:t>
      </w:r>
      <w:r w:rsidR="00C23065" w:rsidRPr="008F4C03">
        <w:rPr>
          <w:rFonts w:ascii="Calibri" w:hAnsi="Calibri" w:cs="Calibri"/>
          <w:sz w:val="24"/>
          <w:szCs w:val="24"/>
        </w:rPr>
        <w:t xml:space="preserve">diate risk; </w:t>
      </w:r>
      <w:r w:rsidR="006148AA" w:rsidRPr="008F4C03">
        <w:rPr>
          <w:rFonts w:ascii="Calibri" w:hAnsi="Calibri" w:cs="Calibri"/>
          <w:sz w:val="24"/>
          <w:szCs w:val="24"/>
        </w:rPr>
        <w:t>BMD indicated to finalise</w:t>
      </w:r>
      <w:r w:rsidR="00677989" w:rsidRPr="008F4C03">
        <w:rPr>
          <w:rFonts w:ascii="Calibri" w:hAnsi="Calibri" w:cs="Calibri"/>
          <w:sz w:val="24"/>
          <w:szCs w:val="24"/>
        </w:rPr>
        <w:t xml:space="preserve"> </w:t>
      </w:r>
      <w:r w:rsidR="006148AA" w:rsidRPr="008F4C03">
        <w:rPr>
          <w:rFonts w:ascii="Calibri" w:hAnsi="Calibri" w:cs="Calibri"/>
          <w:sz w:val="24"/>
          <w:szCs w:val="24"/>
        </w:rPr>
        <w:t>risk evaluation and stratification) and some at low risk</w:t>
      </w:r>
      <w:r w:rsidR="00677989" w:rsidRPr="008F4C03">
        <w:rPr>
          <w:rFonts w:ascii="Calibri" w:hAnsi="Calibri" w:cs="Calibri"/>
          <w:sz w:val="24"/>
          <w:szCs w:val="24"/>
        </w:rPr>
        <w:t xml:space="preserve"> </w:t>
      </w:r>
      <w:r w:rsidR="006148AA" w:rsidRPr="008F4C03">
        <w:rPr>
          <w:rFonts w:ascii="Calibri" w:hAnsi="Calibri" w:cs="Calibri"/>
          <w:sz w:val="24"/>
          <w:szCs w:val="24"/>
        </w:rPr>
        <w:t xml:space="preserve">(lifestyle advice, </w:t>
      </w:r>
      <w:proofErr w:type="gramStart"/>
      <w:r w:rsidR="006148AA" w:rsidRPr="008F4C03">
        <w:rPr>
          <w:rFonts w:ascii="Calibri" w:hAnsi="Calibri" w:cs="Calibri"/>
          <w:sz w:val="24"/>
          <w:szCs w:val="24"/>
        </w:rPr>
        <w:t>reassurance</w:t>
      </w:r>
      <w:proofErr w:type="gramEnd"/>
      <w:r w:rsidR="006148AA" w:rsidRPr="008F4C03">
        <w:rPr>
          <w:rFonts w:ascii="Calibri" w:hAnsi="Calibri" w:cs="Calibri"/>
          <w:sz w:val="24"/>
          <w:szCs w:val="24"/>
        </w:rPr>
        <w:t xml:space="preserve"> and re-evaluation in the future).</w:t>
      </w:r>
      <w:r w:rsidR="00677989" w:rsidRPr="008F4C03">
        <w:rPr>
          <w:rFonts w:ascii="Calibri" w:hAnsi="Calibri" w:cs="Calibri"/>
          <w:sz w:val="24"/>
          <w:szCs w:val="24"/>
        </w:rPr>
        <w:t xml:space="preserve"> </w:t>
      </w:r>
      <w:r w:rsidR="008F4C03" w:rsidRPr="008F4C03">
        <w:rPr>
          <w:rFonts w:ascii="Calibri" w:hAnsi="Calibri" w:cs="Calibri"/>
          <w:sz w:val="24"/>
          <w:szCs w:val="24"/>
        </w:rPr>
        <w:t>Since BMD is not collected in the cohort</w:t>
      </w:r>
      <w:r w:rsidR="006148AA" w:rsidRPr="008F4C03">
        <w:rPr>
          <w:rFonts w:ascii="Calibri" w:hAnsi="Calibri" w:cs="Calibri"/>
          <w:sz w:val="24"/>
          <w:szCs w:val="24"/>
        </w:rPr>
        <w:t>, the decision to treat</w:t>
      </w:r>
      <w:r w:rsidR="00677989" w:rsidRPr="008F4C03">
        <w:rPr>
          <w:sz w:val="24"/>
          <w:szCs w:val="24"/>
        </w:rPr>
        <w:t xml:space="preserve"> </w:t>
      </w:r>
      <w:r w:rsidR="00677989" w:rsidRPr="008F4C03">
        <w:rPr>
          <w:rFonts w:ascii="Calibri" w:hAnsi="Calibri" w:cs="Calibri"/>
          <w:sz w:val="24"/>
          <w:szCs w:val="24"/>
        </w:rPr>
        <w:t xml:space="preserve">or not is based on a comparison to age-specific thresholds for major osteoporotic </w:t>
      </w:r>
      <w:r w:rsidR="001229B1">
        <w:rPr>
          <w:rFonts w:ascii="Calibri" w:hAnsi="Calibri" w:cs="Calibri"/>
          <w:sz w:val="24"/>
          <w:szCs w:val="24"/>
        </w:rPr>
        <w:t xml:space="preserve">fracture </w:t>
      </w:r>
      <w:r w:rsidR="00565585">
        <w:rPr>
          <w:rFonts w:ascii="Calibri" w:hAnsi="Calibri" w:cs="Calibri"/>
          <w:sz w:val="24"/>
          <w:szCs w:val="24"/>
        </w:rPr>
        <w:t xml:space="preserve">only when </w:t>
      </w:r>
      <w:r w:rsidR="008F4C03" w:rsidRPr="008F4C03">
        <w:rPr>
          <w:rFonts w:ascii="Calibri" w:hAnsi="Calibri" w:cs="Calibri"/>
          <w:sz w:val="24"/>
          <w:szCs w:val="24"/>
        </w:rPr>
        <w:t xml:space="preserve">BMD is not </w:t>
      </w:r>
      <w:r w:rsidR="008F4C03" w:rsidRPr="00F2728B">
        <w:rPr>
          <w:rFonts w:ascii="Calibri" w:hAnsi="Calibri" w:cs="Calibri"/>
          <w:sz w:val="24"/>
          <w:szCs w:val="24"/>
        </w:rPr>
        <w:t xml:space="preserve">entered in the </w:t>
      </w:r>
      <w:r w:rsidR="00565585" w:rsidRPr="00F2728B">
        <w:rPr>
          <w:rFonts w:ascii="Calibri" w:hAnsi="Calibri" w:cs="Calibri"/>
          <w:sz w:val="24"/>
          <w:szCs w:val="24"/>
        </w:rPr>
        <w:t xml:space="preserve">probability </w:t>
      </w:r>
      <w:r w:rsidR="008F4C03" w:rsidRPr="00F2728B">
        <w:rPr>
          <w:rFonts w:ascii="Calibri" w:hAnsi="Calibri" w:cs="Calibri"/>
          <w:sz w:val="24"/>
          <w:szCs w:val="24"/>
        </w:rPr>
        <w:t>calc</w:t>
      </w:r>
      <w:r w:rsidR="00565585" w:rsidRPr="00F2728B">
        <w:rPr>
          <w:rFonts w:ascii="Calibri" w:hAnsi="Calibri" w:cs="Calibri"/>
          <w:sz w:val="24"/>
          <w:szCs w:val="24"/>
        </w:rPr>
        <w:t>ul</w:t>
      </w:r>
      <w:r w:rsidR="008F4C03" w:rsidRPr="00F2728B">
        <w:rPr>
          <w:rFonts w:ascii="Calibri" w:hAnsi="Calibri" w:cs="Calibri"/>
          <w:sz w:val="24"/>
          <w:szCs w:val="24"/>
        </w:rPr>
        <w:t>ation</w:t>
      </w:r>
      <w:r w:rsidR="00677989" w:rsidRPr="00F2728B">
        <w:rPr>
          <w:rFonts w:ascii="Calibri" w:hAnsi="Calibri" w:cs="Calibri"/>
          <w:sz w:val="24"/>
          <w:szCs w:val="24"/>
        </w:rPr>
        <w:t>; a</w:t>
      </w:r>
      <w:r w:rsidR="009023BD" w:rsidRPr="00F2728B">
        <w:rPr>
          <w:rFonts w:ascii="Calibri" w:hAnsi="Calibri" w:cs="Calibri"/>
          <w:sz w:val="24"/>
          <w:szCs w:val="24"/>
        </w:rPr>
        <w:t xml:space="preserve"> </w:t>
      </w:r>
      <w:r w:rsidR="00677989" w:rsidRPr="00F2728B">
        <w:rPr>
          <w:rFonts w:ascii="Calibri" w:hAnsi="Calibri" w:cs="Calibri"/>
          <w:sz w:val="24"/>
          <w:szCs w:val="24"/>
        </w:rPr>
        <w:t xml:space="preserve">probability at or above </w:t>
      </w:r>
      <w:r w:rsidR="008F4C03" w:rsidRPr="00F2728B">
        <w:rPr>
          <w:rFonts w:ascii="Calibri" w:hAnsi="Calibri" w:cs="Calibri"/>
          <w:sz w:val="24"/>
          <w:szCs w:val="24"/>
        </w:rPr>
        <w:t>the</w:t>
      </w:r>
      <w:r w:rsidR="00677989" w:rsidRPr="00F2728B">
        <w:rPr>
          <w:rFonts w:ascii="Calibri" w:hAnsi="Calibri" w:cs="Calibri"/>
          <w:sz w:val="24"/>
          <w:szCs w:val="24"/>
        </w:rPr>
        <w:t xml:space="preserve"> threshold indicates eligibility for treatment.</w:t>
      </w:r>
      <w:r w:rsidR="008F4C03" w:rsidRPr="00F2728B">
        <w:rPr>
          <w:rFonts w:ascii="Calibri" w:hAnsi="Calibri" w:cs="Calibri"/>
          <w:sz w:val="24"/>
          <w:szCs w:val="24"/>
        </w:rPr>
        <w:t xml:space="preserve"> </w:t>
      </w:r>
    </w:p>
    <w:p w14:paraId="438B539F" w14:textId="77777777" w:rsidR="00CF0C59" w:rsidRPr="00F2728B" w:rsidRDefault="00CF0C59" w:rsidP="00F37FD3">
      <w:pPr>
        <w:autoSpaceDE w:val="0"/>
        <w:autoSpaceDN w:val="0"/>
        <w:adjustRightInd w:val="0"/>
        <w:spacing w:after="0" w:line="276" w:lineRule="auto"/>
        <w:ind w:left="567"/>
        <w:rPr>
          <w:rFonts w:ascii="Calibri" w:hAnsi="Calibri" w:cs="Calibri"/>
          <w:sz w:val="24"/>
          <w:szCs w:val="24"/>
        </w:rPr>
      </w:pPr>
    </w:p>
    <w:p w14:paraId="66C0A20D" w14:textId="77777777" w:rsidR="00DE2B25" w:rsidRPr="00FF7694" w:rsidRDefault="00DE2B25" w:rsidP="00F37FD3">
      <w:pPr>
        <w:autoSpaceDE w:val="0"/>
        <w:autoSpaceDN w:val="0"/>
        <w:adjustRightInd w:val="0"/>
        <w:spacing w:after="0" w:line="276" w:lineRule="auto"/>
        <w:ind w:left="567"/>
        <w:rPr>
          <w:rFonts w:ascii="Calibri" w:hAnsi="Calibri" w:cs="Calibri"/>
          <w:b/>
          <w:bCs/>
          <w:sz w:val="24"/>
          <w:szCs w:val="24"/>
        </w:rPr>
      </w:pPr>
    </w:p>
    <w:p w14:paraId="10CAF4C7" w14:textId="72F97313" w:rsidR="00F92540" w:rsidRPr="00F4696A" w:rsidRDefault="00730503" w:rsidP="00F37FD3">
      <w:pPr>
        <w:autoSpaceDE w:val="0"/>
        <w:autoSpaceDN w:val="0"/>
        <w:adjustRightInd w:val="0"/>
        <w:spacing w:after="0" w:line="276" w:lineRule="auto"/>
        <w:ind w:left="567"/>
        <w:rPr>
          <w:rFonts w:ascii="Calibri" w:hAnsi="Calibri" w:cs="Calibri"/>
          <w:b/>
          <w:bCs/>
          <w:sz w:val="24"/>
          <w:szCs w:val="24"/>
        </w:rPr>
      </w:pPr>
      <w:r w:rsidRPr="00F4696A">
        <w:rPr>
          <w:rFonts w:ascii="Calibri" w:hAnsi="Calibri" w:cs="Calibri"/>
          <w:b/>
          <w:bCs/>
          <w:sz w:val="24"/>
          <w:szCs w:val="24"/>
        </w:rPr>
        <w:t>Results</w:t>
      </w:r>
    </w:p>
    <w:p w14:paraId="6DBE2C62" w14:textId="164B50BD" w:rsidR="00F83F0E" w:rsidRPr="00F4696A" w:rsidRDefault="007614AE" w:rsidP="007614AE">
      <w:pPr>
        <w:autoSpaceDE w:val="0"/>
        <w:autoSpaceDN w:val="0"/>
        <w:adjustRightInd w:val="0"/>
        <w:spacing w:after="0" w:line="276" w:lineRule="auto"/>
        <w:ind w:left="567"/>
        <w:rPr>
          <w:rFonts w:ascii="Calibri" w:hAnsi="Calibri" w:cs="Calibri"/>
          <w:sz w:val="24"/>
          <w:szCs w:val="24"/>
        </w:rPr>
      </w:pPr>
      <w:r w:rsidRPr="00F4696A">
        <w:rPr>
          <w:rFonts w:ascii="Calibri" w:hAnsi="Calibri" w:cs="Calibri"/>
          <w:sz w:val="24"/>
          <w:szCs w:val="24"/>
        </w:rPr>
        <w:t xml:space="preserve">The baseline characteristics </w:t>
      </w:r>
      <w:r w:rsidR="004B5405">
        <w:rPr>
          <w:rFonts w:ascii="Calibri" w:hAnsi="Calibri" w:cs="Calibri"/>
          <w:sz w:val="24"/>
          <w:szCs w:val="24"/>
        </w:rPr>
        <w:t xml:space="preserve">of the cohort </w:t>
      </w:r>
      <w:r w:rsidRPr="00F4696A">
        <w:rPr>
          <w:rFonts w:ascii="Calibri" w:hAnsi="Calibri" w:cs="Calibri"/>
          <w:sz w:val="24"/>
          <w:szCs w:val="24"/>
        </w:rPr>
        <w:t>are given in Table 2</w:t>
      </w:r>
      <w:proofErr w:type="gramStart"/>
      <w:r w:rsidRPr="00F4696A">
        <w:rPr>
          <w:rFonts w:ascii="Calibri" w:hAnsi="Calibri" w:cs="Calibri"/>
          <w:sz w:val="24"/>
          <w:szCs w:val="24"/>
        </w:rPr>
        <w:t xml:space="preserve">. </w:t>
      </w:r>
      <w:proofErr w:type="gramEnd"/>
      <w:r w:rsidR="00E8033E" w:rsidRPr="00F4696A">
        <w:rPr>
          <w:rFonts w:ascii="Calibri" w:hAnsi="Calibri" w:cs="Calibri"/>
          <w:sz w:val="24"/>
          <w:szCs w:val="24"/>
        </w:rPr>
        <w:t xml:space="preserve">Prevalence and mean of clinical risk factors </w:t>
      </w:r>
      <w:r w:rsidR="007F58CD" w:rsidRPr="00F4696A">
        <w:rPr>
          <w:rFonts w:ascii="Calibri" w:hAnsi="Calibri" w:cs="Calibri"/>
          <w:sz w:val="24"/>
          <w:szCs w:val="24"/>
        </w:rPr>
        <w:t xml:space="preserve">in the cohort with simulation did not differ from the subset that had all variables </w:t>
      </w:r>
      <w:r w:rsidR="00470458" w:rsidRPr="00F4696A">
        <w:rPr>
          <w:rFonts w:ascii="Calibri" w:hAnsi="Calibri" w:cs="Calibri"/>
          <w:sz w:val="24"/>
          <w:szCs w:val="24"/>
        </w:rPr>
        <w:t>(see Appendix).</w:t>
      </w:r>
      <w:r w:rsidR="007F58CD" w:rsidRPr="00F4696A">
        <w:rPr>
          <w:rFonts w:ascii="Calibri" w:hAnsi="Calibri" w:cs="Calibri"/>
          <w:sz w:val="24"/>
          <w:szCs w:val="24"/>
        </w:rPr>
        <w:t xml:space="preserve"> </w:t>
      </w:r>
      <w:r w:rsidR="00AD7888">
        <w:rPr>
          <w:rFonts w:ascii="Calibri" w:hAnsi="Calibri" w:cs="Calibri"/>
          <w:sz w:val="24"/>
          <w:szCs w:val="24"/>
        </w:rPr>
        <w:t xml:space="preserve"> </w:t>
      </w:r>
      <w:r w:rsidR="00AC2E10">
        <w:rPr>
          <w:rFonts w:ascii="Calibri" w:hAnsi="Calibri" w:cs="Calibri"/>
          <w:sz w:val="24"/>
          <w:szCs w:val="24"/>
        </w:rPr>
        <w:t>Appro</w:t>
      </w:r>
      <w:r w:rsidR="00DF4B6F">
        <w:rPr>
          <w:rFonts w:ascii="Calibri" w:hAnsi="Calibri" w:cs="Calibri"/>
          <w:sz w:val="24"/>
          <w:szCs w:val="24"/>
        </w:rPr>
        <w:t>ximately 12% of me</w:t>
      </w:r>
      <w:r w:rsidR="00622A46">
        <w:rPr>
          <w:rFonts w:ascii="Calibri" w:hAnsi="Calibri" w:cs="Calibri"/>
          <w:sz w:val="24"/>
          <w:szCs w:val="24"/>
        </w:rPr>
        <w:t>n</w:t>
      </w:r>
      <w:r w:rsidR="00DF4B6F">
        <w:rPr>
          <w:rFonts w:ascii="Calibri" w:hAnsi="Calibri" w:cs="Calibri"/>
          <w:sz w:val="24"/>
          <w:szCs w:val="24"/>
        </w:rPr>
        <w:t xml:space="preserve"> and women had a prior fracture</w:t>
      </w:r>
      <w:proofErr w:type="gramStart"/>
      <w:r w:rsidR="00622A46">
        <w:rPr>
          <w:rFonts w:ascii="Calibri" w:hAnsi="Calibri" w:cs="Calibri"/>
          <w:sz w:val="24"/>
          <w:szCs w:val="24"/>
        </w:rPr>
        <w:t>.</w:t>
      </w:r>
      <w:r w:rsidR="00AD7888">
        <w:rPr>
          <w:rFonts w:ascii="Calibri" w:hAnsi="Calibri" w:cs="Calibri"/>
          <w:sz w:val="24"/>
          <w:szCs w:val="24"/>
        </w:rPr>
        <w:t xml:space="preserve"> </w:t>
      </w:r>
      <w:proofErr w:type="gramEnd"/>
      <w:r w:rsidR="00270613" w:rsidRPr="00270613">
        <w:rPr>
          <w:rFonts w:ascii="Calibri" w:hAnsi="Calibri" w:cs="Calibri"/>
          <w:sz w:val="24"/>
          <w:szCs w:val="24"/>
        </w:rPr>
        <w:t>MOF probabilities were higher in women than in men</w:t>
      </w:r>
      <w:proofErr w:type="gramStart"/>
      <w:r w:rsidR="00270613" w:rsidRPr="00270613">
        <w:rPr>
          <w:rFonts w:ascii="Calibri" w:hAnsi="Calibri" w:cs="Calibri"/>
          <w:sz w:val="24"/>
          <w:szCs w:val="24"/>
        </w:rPr>
        <w:t>.</w:t>
      </w:r>
      <w:r w:rsidR="00622A46">
        <w:rPr>
          <w:rFonts w:ascii="Calibri" w:hAnsi="Calibri" w:cs="Calibri"/>
          <w:sz w:val="24"/>
          <w:szCs w:val="24"/>
        </w:rPr>
        <w:t xml:space="preserve"> </w:t>
      </w:r>
      <w:proofErr w:type="gramEnd"/>
      <w:r w:rsidR="00622A46">
        <w:rPr>
          <w:rFonts w:ascii="Calibri" w:hAnsi="Calibri" w:cs="Calibri"/>
          <w:sz w:val="24"/>
          <w:szCs w:val="24"/>
        </w:rPr>
        <w:t xml:space="preserve">Fracture probabilities </w:t>
      </w:r>
      <w:r w:rsidR="007538E9">
        <w:rPr>
          <w:rFonts w:ascii="Calibri" w:hAnsi="Calibri" w:cs="Calibri"/>
          <w:sz w:val="24"/>
          <w:szCs w:val="24"/>
        </w:rPr>
        <w:t>for</w:t>
      </w:r>
      <w:r w:rsidR="00693C7E">
        <w:rPr>
          <w:rFonts w:ascii="Calibri" w:hAnsi="Calibri" w:cs="Calibri"/>
          <w:sz w:val="24"/>
          <w:szCs w:val="24"/>
        </w:rPr>
        <w:t xml:space="preserve"> both hip fracture and MOF</w:t>
      </w:r>
      <w:r w:rsidR="007D77FF">
        <w:rPr>
          <w:rFonts w:ascii="Calibri" w:hAnsi="Calibri" w:cs="Calibri"/>
          <w:sz w:val="24"/>
          <w:szCs w:val="24"/>
        </w:rPr>
        <w:t xml:space="preserve"> </w:t>
      </w:r>
      <w:r w:rsidR="00622A46">
        <w:rPr>
          <w:rFonts w:ascii="Calibri" w:hAnsi="Calibri" w:cs="Calibri"/>
          <w:sz w:val="24"/>
          <w:szCs w:val="24"/>
        </w:rPr>
        <w:t>were s</w:t>
      </w:r>
      <w:r w:rsidR="00693C7E">
        <w:rPr>
          <w:rFonts w:ascii="Calibri" w:hAnsi="Calibri" w:cs="Calibri"/>
          <w:sz w:val="24"/>
          <w:szCs w:val="24"/>
        </w:rPr>
        <w:t xml:space="preserve">kewed to the </w:t>
      </w:r>
      <w:r w:rsidR="007538E9">
        <w:rPr>
          <w:rFonts w:ascii="Calibri" w:hAnsi="Calibri" w:cs="Calibri"/>
          <w:sz w:val="24"/>
          <w:szCs w:val="24"/>
        </w:rPr>
        <w:t>left</w:t>
      </w:r>
      <w:r w:rsidR="007D77FF">
        <w:rPr>
          <w:rFonts w:ascii="Calibri" w:hAnsi="Calibri" w:cs="Calibri"/>
          <w:sz w:val="24"/>
          <w:szCs w:val="24"/>
        </w:rPr>
        <w:t xml:space="preserve"> as shown for MOF in women (Figure 2)</w:t>
      </w:r>
      <w:r w:rsidR="00DB0844">
        <w:rPr>
          <w:rFonts w:ascii="Calibri" w:hAnsi="Calibri" w:cs="Calibri"/>
          <w:sz w:val="24"/>
          <w:szCs w:val="24"/>
        </w:rPr>
        <w:t>.</w:t>
      </w:r>
      <w:r w:rsidR="004E66A6">
        <w:rPr>
          <w:rFonts w:ascii="Calibri" w:hAnsi="Calibri" w:cs="Calibri"/>
          <w:sz w:val="24"/>
          <w:szCs w:val="24"/>
        </w:rPr>
        <w:t xml:space="preserve">  As would be expected</w:t>
      </w:r>
      <w:r w:rsidR="001229B1">
        <w:rPr>
          <w:rFonts w:ascii="Calibri" w:hAnsi="Calibri" w:cs="Calibri"/>
          <w:sz w:val="24"/>
          <w:szCs w:val="24"/>
        </w:rPr>
        <w:t>,</w:t>
      </w:r>
      <w:r w:rsidR="004E66A6">
        <w:rPr>
          <w:rFonts w:ascii="Calibri" w:hAnsi="Calibri" w:cs="Calibri"/>
          <w:sz w:val="24"/>
          <w:szCs w:val="24"/>
        </w:rPr>
        <w:t xml:space="preserve"> MOF probabilities were </w:t>
      </w:r>
      <w:r w:rsidR="0080383D">
        <w:rPr>
          <w:rFonts w:ascii="Calibri" w:hAnsi="Calibri" w:cs="Calibri"/>
          <w:sz w:val="24"/>
          <w:szCs w:val="24"/>
        </w:rPr>
        <w:t>higher in individuals with a prior fracture than in those</w:t>
      </w:r>
      <w:r w:rsidR="00283A20">
        <w:rPr>
          <w:rFonts w:ascii="Calibri" w:hAnsi="Calibri" w:cs="Calibri"/>
          <w:sz w:val="24"/>
          <w:szCs w:val="24"/>
        </w:rPr>
        <w:t xml:space="preserve"> with a negative </w:t>
      </w:r>
      <w:r w:rsidR="001229B1">
        <w:rPr>
          <w:rFonts w:ascii="Calibri" w:hAnsi="Calibri" w:cs="Calibri"/>
          <w:sz w:val="24"/>
          <w:szCs w:val="24"/>
        </w:rPr>
        <w:t xml:space="preserve">fracture </w:t>
      </w:r>
      <w:r w:rsidR="00283A20">
        <w:rPr>
          <w:rFonts w:ascii="Calibri" w:hAnsi="Calibri" w:cs="Calibri"/>
          <w:sz w:val="24"/>
          <w:szCs w:val="24"/>
        </w:rPr>
        <w:t>history.</w:t>
      </w:r>
      <w:r w:rsidR="006B5D89" w:rsidRPr="006B5D89">
        <w:t xml:space="preserve"> </w:t>
      </w:r>
    </w:p>
    <w:p w14:paraId="721B5D03" w14:textId="77777777" w:rsidR="006F4C0E" w:rsidRPr="00F4696A" w:rsidRDefault="006F4C0E" w:rsidP="00AA1754">
      <w:pPr>
        <w:autoSpaceDE w:val="0"/>
        <w:autoSpaceDN w:val="0"/>
        <w:adjustRightInd w:val="0"/>
        <w:spacing w:after="0" w:line="276" w:lineRule="auto"/>
        <w:rPr>
          <w:rFonts w:ascii="Calibri" w:hAnsi="Calibri" w:cs="Calibri"/>
          <w:sz w:val="24"/>
          <w:szCs w:val="24"/>
        </w:rPr>
      </w:pPr>
    </w:p>
    <w:p w14:paraId="2953A16F" w14:textId="4C9E6572" w:rsidR="005E3588" w:rsidRPr="00F4696A" w:rsidRDefault="006C6C1C" w:rsidP="006E39AC">
      <w:pPr>
        <w:spacing w:line="276" w:lineRule="auto"/>
        <w:ind w:left="567"/>
        <w:rPr>
          <w:rFonts w:ascii="Calibri" w:eastAsia="Calibri" w:hAnsi="Calibri" w:cs="Times New Roman"/>
        </w:rPr>
      </w:pPr>
      <w:r w:rsidRPr="00F4696A">
        <w:rPr>
          <w:rFonts w:ascii="Calibri" w:hAnsi="Calibri" w:cs="Calibri"/>
          <w:b/>
          <w:bCs/>
          <w:sz w:val="24"/>
          <w:szCs w:val="24"/>
        </w:rPr>
        <w:t>Table 2</w:t>
      </w:r>
      <w:r w:rsidRPr="00F4696A">
        <w:rPr>
          <w:rFonts w:ascii="Calibri" w:hAnsi="Calibri" w:cs="Calibri"/>
          <w:sz w:val="24"/>
          <w:szCs w:val="24"/>
        </w:rPr>
        <w:t xml:space="preserve"> </w:t>
      </w:r>
      <w:bookmarkStart w:id="5" w:name="_Hlk71794725"/>
      <w:r w:rsidRPr="00F4696A">
        <w:rPr>
          <w:rFonts w:ascii="Calibri" w:hAnsi="Calibri" w:cs="Calibri"/>
          <w:sz w:val="24"/>
          <w:szCs w:val="24"/>
        </w:rPr>
        <w:t>Summary description of</w:t>
      </w:r>
      <w:r w:rsidR="009C7AB7" w:rsidRPr="00F4696A">
        <w:rPr>
          <w:rFonts w:ascii="Calibri" w:hAnsi="Calibri" w:cs="Calibri"/>
          <w:sz w:val="24"/>
          <w:szCs w:val="24"/>
        </w:rPr>
        <w:t xml:space="preserve"> </w:t>
      </w:r>
      <w:r w:rsidRPr="00F4696A">
        <w:rPr>
          <w:rFonts w:ascii="Calibri" w:hAnsi="Calibri" w:cs="Calibri"/>
          <w:sz w:val="24"/>
          <w:szCs w:val="24"/>
        </w:rPr>
        <w:t xml:space="preserve">the baseline variables </w:t>
      </w:r>
      <w:bookmarkEnd w:id="5"/>
      <w:r w:rsidRPr="00F4696A">
        <w:rPr>
          <w:rFonts w:ascii="Calibri" w:hAnsi="Calibri" w:cs="Calibri"/>
          <w:sz w:val="24"/>
          <w:szCs w:val="24"/>
        </w:rPr>
        <w:t xml:space="preserve">(N = </w:t>
      </w:r>
      <w:r w:rsidR="00F4696A" w:rsidRPr="00F4696A">
        <w:rPr>
          <w:rFonts w:ascii="Calibri" w:hAnsi="Calibri" w:cs="Calibri"/>
          <w:sz w:val="24"/>
          <w:szCs w:val="24"/>
        </w:rPr>
        <w:t>3120</w:t>
      </w:r>
      <w:r w:rsidRPr="00F4696A">
        <w:rPr>
          <w:rFonts w:ascii="Calibri" w:hAnsi="Calibri" w:cs="Calibri"/>
          <w:sz w:val="24"/>
          <w:szCs w:val="24"/>
        </w:rPr>
        <w:t>)</w:t>
      </w:r>
      <w:r w:rsidR="00F15309">
        <w:rPr>
          <w:rFonts w:ascii="Calibri" w:hAnsi="Calibri" w:cs="Calibr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63"/>
        <w:gridCol w:w="901"/>
        <w:gridCol w:w="841"/>
        <w:gridCol w:w="607"/>
        <w:gridCol w:w="663"/>
        <w:gridCol w:w="901"/>
        <w:gridCol w:w="841"/>
        <w:gridCol w:w="607"/>
      </w:tblGrid>
      <w:tr w:rsidR="00CF047A" w:rsidRPr="00FE7B32" w14:paraId="78752A72" w14:textId="77777777" w:rsidTr="004245C6">
        <w:trPr>
          <w:cantSplit/>
          <w:trHeight w:val="20"/>
          <w:jc w:val="center"/>
        </w:trPr>
        <w:tc>
          <w:tcPr>
            <w:tcW w:w="0" w:type="auto"/>
          </w:tcPr>
          <w:p w14:paraId="20AEB7F4" w14:textId="77777777" w:rsidR="00052D43" w:rsidRPr="00750031" w:rsidRDefault="00052D43" w:rsidP="00052D43">
            <w:pPr>
              <w:spacing w:before="120" w:after="120" w:line="276" w:lineRule="auto"/>
              <w:rPr>
                <w:rFonts w:ascii="Calibri" w:eastAsia="Calibri" w:hAnsi="Calibri" w:cs="Times New Roman"/>
                <w:b/>
              </w:rPr>
            </w:pPr>
          </w:p>
        </w:tc>
        <w:tc>
          <w:tcPr>
            <w:tcW w:w="0" w:type="auto"/>
            <w:gridSpan w:val="4"/>
          </w:tcPr>
          <w:p w14:paraId="21D34468" w14:textId="67D5DA9E" w:rsidR="00052D43" w:rsidRPr="00750031" w:rsidRDefault="00052D43" w:rsidP="00052D43">
            <w:pPr>
              <w:spacing w:before="120" w:after="120" w:line="276" w:lineRule="auto"/>
              <w:jc w:val="center"/>
              <w:rPr>
                <w:rFonts w:ascii="Calibri" w:eastAsia="Calibri" w:hAnsi="Calibri" w:cs="Times New Roman"/>
              </w:rPr>
            </w:pPr>
            <w:r w:rsidRPr="00750031">
              <w:rPr>
                <w:rFonts w:ascii="Calibri" w:eastAsia="Calibri" w:hAnsi="Calibri" w:cs="Times New Roman"/>
              </w:rPr>
              <w:t>Men</w:t>
            </w:r>
          </w:p>
        </w:tc>
        <w:tc>
          <w:tcPr>
            <w:tcW w:w="0" w:type="auto"/>
            <w:gridSpan w:val="4"/>
          </w:tcPr>
          <w:p w14:paraId="233D0F00" w14:textId="0A85E46B" w:rsidR="00052D43" w:rsidRPr="00750031" w:rsidRDefault="00052D43" w:rsidP="00052D43">
            <w:pPr>
              <w:spacing w:before="120" w:after="120" w:line="276" w:lineRule="auto"/>
              <w:jc w:val="center"/>
              <w:rPr>
                <w:rFonts w:ascii="Calibri" w:eastAsia="Calibri" w:hAnsi="Calibri" w:cs="Times New Roman"/>
              </w:rPr>
            </w:pPr>
            <w:r w:rsidRPr="00750031">
              <w:rPr>
                <w:rFonts w:ascii="Calibri" w:eastAsia="Calibri" w:hAnsi="Calibri" w:cs="Times New Roman"/>
              </w:rPr>
              <w:t>Women</w:t>
            </w:r>
          </w:p>
        </w:tc>
      </w:tr>
      <w:tr w:rsidR="0057617E" w:rsidRPr="00FE7B32" w14:paraId="1277D0AB" w14:textId="1AF26A34" w:rsidTr="00052D43">
        <w:trPr>
          <w:cantSplit/>
          <w:trHeight w:val="20"/>
          <w:jc w:val="center"/>
        </w:trPr>
        <w:tc>
          <w:tcPr>
            <w:tcW w:w="0" w:type="auto"/>
          </w:tcPr>
          <w:p w14:paraId="0864EAEE" w14:textId="77777777" w:rsidR="00052D43" w:rsidRPr="00750031" w:rsidRDefault="00052D43" w:rsidP="00052D43">
            <w:pPr>
              <w:spacing w:before="120" w:after="120" w:line="276" w:lineRule="auto"/>
              <w:rPr>
                <w:rFonts w:ascii="Calibri" w:eastAsia="Calibri" w:hAnsi="Calibri" w:cs="Times New Roman"/>
                <w:b/>
              </w:rPr>
            </w:pPr>
          </w:p>
        </w:tc>
        <w:tc>
          <w:tcPr>
            <w:tcW w:w="0" w:type="auto"/>
          </w:tcPr>
          <w:p w14:paraId="22956A81" w14:textId="77777777"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N</w:t>
            </w:r>
          </w:p>
        </w:tc>
        <w:tc>
          <w:tcPr>
            <w:tcW w:w="0" w:type="auto"/>
          </w:tcPr>
          <w:p w14:paraId="592399A0" w14:textId="77777777"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Mean</w:t>
            </w:r>
          </w:p>
        </w:tc>
        <w:tc>
          <w:tcPr>
            <w:tcW w:w="0" w:type="auto"/>
          </w:tcPr>
          <w:p w14:paraId="45C962E5" w14:textId="77777777"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SD</w:t>
            </w:r>
          </w:p>
        </w:tc>
        <w:tc>
          <w:tcPr>
            <w:tcW w:w="0" w:type="auto"/>
          </w:tcPr>
          <w:p w14:paraId="59E3C7E0" w14:textId="08D14D45"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w:t>
            </w:r>
          </w:p>
        </w:tc>
        <w:tc>
          <w:tcPr>
            <w:tcW w:w="0" w:type="auto"/>
          </w:tcPr>
          <w:p w14:paraId="60E10FCD" w14:textId="087258B9"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N</w:t>
            </w:r>
          </w:p>
        </w:tc>
        <w:tc>
          <w:tcPr>
            <w:tcW w:w="0" w:type="auto"/>
          </w:tcPr>
          <w:p w14:paraId="35280D2E" w14:textId="25C26B34"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Mean</w:t>
            </w:r>
          </w:p>
        </w:tc>
        <w:tc>
          <w:tcPr>
            <w:tcW w:w="0" w:type="auto"/>
          </w:tcPr>
          <w:p w14:paraId="5C8E7227" w14:textId="2E9773FF"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SD</w:t>
            </w:r>
          </w:p>
        </w:tc>
        <w:tc>
          <w:tcPr>
            <w:tcW w:w="0" w:type="auto"/>
          </w:tcPr>
          <w:p w14:paraId="5FBE3734" w14:textId="0349C9C5" w:rsidR="00052D43" w:rsidRPr="00750031" w:rsidRDefault="00052D43" w:rsidP="00052D43">
            <w:pPr>
              <w:spacing w:before="120" w:after="120" w:line="276" w:lineRule="auto"/>
              <w:rPr>
                <w:rFonts w:ascii="Calibri" w:eastAsia="Calibri" w:hAnsi="Calibri" w:cs="Times New Roman"/>
              </w:rPr>
            </w:pPr>
            <w:r w:rsidRPr="00750031">
              <w:rPr>
                <w:rFonts w:ascii="Calibri" w:eastAsia="Calibri" w:hAnsi="Calibri" w:cs="Times New Roman"/>
              </w:rPr>
              <w:t>(%)</w:t>
            </w:r>
          </w:p>
        </w:tc>
      </w:tr>
      <w:tr w:rsidR="0057617E" w:rsidRPr="00FE7B32" w14:paraId="73C07A23" w14:textId="2A1C2AC2" w:rsidTr="00052D43">
        <w:trPr>
          <w:cantSplit/>
          <w:trHeight w:val="20"/>
          <w:jc w:val="center"/>
        </w:trPr>
        <w:tc>
          <w:tcPr>
            <w:tcW w:w="0" w:type="auto"/>
          </w:tcPr>
          <w:p w14:paraId="198CE001" w14:textId="77777777"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Age (years)</w:t>
            </w:r>
          </w:p>
        </w:tc>
        <w:tc>
          <w:tcPr>
            <w:tcW w:w="0" w:type="auto"/>
          </w:tcPr>
          <w:p w14:paraId="4C7A3C76" w14:textId="455E42DD"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1122</w:t>
            </w:r>
          </w:p>
        </w:tc>
        <w:tc>
          <w:tcPr>
            <w:tcW w:w="0" w:type="auto"/>
          </w:tcPr>
          <w:p w14:paraId="086E5A41" w14:textId="2B5767A1" w:rsidR="00052D43" w:rsidRPr="005B2038" w:rsidRDefault="00052D43" w:rsidP="00052D43">
            <w:pPr>
              <w:spacing w:before="120" w:after="0" w:line="276" w:lineRule="auto"/>
              <w:rPr>
                <w:rFonts w:ascii="Calibri" w:eastAsia="Calibri" w:hAnsi="Calibri" w:cs="Times New Roman"/>
              </w:rPr>
            </w:pPr>
            <w:r w:rsidRPr="005B2038">
              <w:rPr>
                <w:rFonts w:ascii="Calibri" w:eastAsia="Calibri" w:hAnsi="Calibri" w:cs="Times New Roman"/>
              </w:rPr>
              <w:t>6</w:t>
            </w:r>
            <w:r w:rsidR="005B2038" w:rsidRPr="005B2038">
              <w:rPr>
                <w:rFonts w:ascii="Calibri" w:eastAsia="Calibri" w:hAnsi="Calibri" w:cs="Times New Roman"/>
              </w:rPr>
              <w:t>5</w:t>
            </w:r>
            <w:r w:rsidRPr="005B2038">
              <w:rPr>
                <w:rFonts w:ascii="Calibri" w:eastAsia="Calibri" w:hAnsi="Calibri" w:cs="Times New Roman"/>
              </w:rPr>
              <w:t>.</w:t>
            </w:r>
            <w:r w:rsidR="005B2038" w:rsidRPr="005B2038">
              <w:rPr>
                <w:rFonts w:ascii="Calibri" w:eastAsia="Calibri" w:hAnsi="Calibri" w:cs="Times New Roman"/>
              </w:rPr>
              <w:t>2</w:t>
            </w:r>
          </w:p>
        </w:tc>
        <w:tc>
          <w:tcPr>
            <w:tcW w:w="0" w:type="auto"/>
          </w:tcPr>
          <w:p w14:paraId="0C892BDC" w14:textId="4484691B"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Calibri"/>
              </w:rPr>
              <w:t>10</w:t>
            </w:r>
            <w:r w:rsidR="00052D43" w:rsidRPr="005B2038">
              <w:rPr>
                <w:rFonts w:ascii="Calibri" w:eastAsia="Calibri" w:hAnsi="Calibri" w:cs="Calibri"/>
              </w:rPr>
              <w:t>.</w:t>
            </w:r>
            <w:r w:rsidRPr="005B2038">
              <w:rPr>
                <w:rFonts w:ascii="Calibri" w:eastAsia="Calibri" w:hAnsi="Calibri" w:cs="Calibri"/>
              </w:rPr>
              <w:t>1</w:t>
            </w:r>
          </w:p>
        </w:tc>
        <w:tc>
          <w:tcPr>
            <w:tcW w:w="0" w:type="auto"/>
          </w:tcPr>
          <w:p w14:paraId="05644BE6"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15A1113F" w14:textId="38DFDA9B"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1998</w:t>
            </w:r>
          </w:p>
        </w:tc>
        <w:tc>
          <w:tcPr>
            <w:tcW w:w="0" w:type="auto"/>
          </w:tcPr>
          <w:p w14:paraId="5F1F5D46" w14:textId="32770A9A"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65.4</w:t>
            </w:r>
          </w:p>
        </w:tc>
        <w:tc>
          <w:tcPr>
            <w:tcW w:w="0" w:type="auto"/>
          </w:tcPr>
          <w:p w14:paraId="514A39E5" w14:textId="0284E85B"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10.4</w:t>
            </w:r>
          </w:p>
        </w:tc>
        <w:tc>
          <w:tcPr>
            <w:tcW w:w="0" w:type="auto"/>
          </w:tcPr>
          <w:p w14:paraId="279BDC83" w14:textId="77777777" w:rsidR="00052D43" w:rsidRPr="00D32BE8" w:rsidRDefault="00052D43" w:rsidP="00052D43">
            <w:pPr>
              <w:spacing w:before="120" w:after="0" w:line="276" w:lineRule="auto"/>
              <w:rPr>
                <w:rFonts w:ascii="Calibri" w:eastAsia="Calibri" w:hAnsi="Calibri" w:cs="Times New Roman"/>
              </w:rPr>
            </w:pPr>
          </w:p>
        </w:tc>
      </w:tr>
      <w:tr w:rsidR="0057617E" w:rsidRPr="00FE7B32" w14:paraId="2AFCFB7A" w14:textId="12A7EA4C" w:rsidTr="00052D43">
        <w:trPr>
          <w:cantSplit/>
          <w:trHeight w:val="20"/>
          <w:jc w:val="center"/>
        </w:trPr>
        <w:tc>
          <w:tcPr>
            <w:tcW w:w="0" w:type="auto"/>
          </w:tcPr>
          <w:p w14:paraId="3A1A8AC6" w14:textId="77777777"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BMI (kg/m</w:t>
            </w:r>
            <w:r w:rsidRPr="00750031">
              <w:rPr>
                <w:rFonts w:ascii="Calibri" w:eastAsia="Calibri" w:hAnsi="Calibri" w:cs="Times New Roman"/>
                <w:vertAlign w:val="superscript"/>
              </w:rPr>
              <w:t>2</w:t>
            </w:r>
            <w:r w:rsidRPr="00750031">
              <w:rPr>
                <w:rFonts w:ascii="Calibri" w:eastAsia="Calibri" w:hAnsi="Calibri" w:cs="Times New Roman"/>
              </w:rPr>
              <w:t>)</w:t>
            </w:r>
          </w:p>
        </w:tc>
        <w:tc>
          <w:tcPr>
            <w:tcW w:w="0" w:type="auto"/>
          </w:tcPr>
          <w:p w14:paraId="274AA3B9" w14:textId="3B30F58C" w:rsidR="00052D43" w:rsidRPr="005B2038" w:rsidRDefault="005B2038" w:rsidP="00052D43">
            <w:pPr>
              <w:spacing w:before="120" w:after="0" w:line="276" w:lineRule="auto"/>
              <w:rPr>
                <w:rFonts w:ascii="Calibri" w:eastAsia="Calibri" w:hAnsi="Calibri" w:cs="Times New Roman"/>
              </w:rPr>
            </w:pPr>
            <w:r w:rsidRPr="005B2038">
              <w:t>1122</w:t>
            </w:r>
          </w:p>
        </w:tc>
        <w:tc>
          <w:tcPr>
            <w:tcW w:w="0" w:type="auto"/>
          </w:tcPr>
          <w:p w14:paraId="7577C938" w14:textId="0B7F2F0D" w:rsidR="00052D43" w:rsidRPr="005B2038" w:rsidRDefault="00052D43" w:rsidP="00052D43">
            <w:pPr>
              <w:spacing w:before="120" w:after="0" w:line="276" w:lineRule="auto"/>
              <w:rPr>
                <w:rFonts w:ascii="Calibri" w:eastAsia="Calibri" w:hAnsi="Calibri" w:cs="Times New Roman"/>
              </w:rPr>
            </w:pPr>
            <w:r w:rsidRPr="005B2038">
              <w:rPr>
                <w:rFonts w:ascii="Calibri" w:eastAsia="Calibri" w:hAnsi="Calibri" w:cs="Times New Roman"/>
              </w:rPr>
              <w:t>2</w:t>
            </w:r>
            <w:r w:rsidR="005B2038" w:rsidRPr="005B2038">
              <w:rPr>
                <w:rFonts w:ascii="Calibri" w:eastAsia="Calibri" w:hAnsi="Calibri" w:cs="Times New Roman"/>
              </w:rPr>
              <w:t>8</w:t>
            </w:r>
            <w:r w:rsidRPr="005B2038">
              <w:rPr>
                <w:rFonts w:ascii="Calibri" w:eastAsia="Calibri" w:hAnsi="Calibri" w:cs="Times New Roman"/>
              </w:rPr>
              <w:t>.</w:t>
            </w:r>
            <w:r w:rsidR="005B2038" w:rsidRPr="005B2038">
              <w:rPr>
                <w:rFonts w:ascii="Calibri" w:eastAsia="Calibri" w:hAnsi="Calibri" w:cs="Times New Roman"/>
              </w:rPr>
              <w:t>6</w:t>
            </w:r>
          </w:p>
        </w:tc>
        <w:tc>
          <w:tcPr>
            <w:tcW w:w="0" w:type="auto"/>
          </w:tcPr>
          <w:p w14:paraId="0F6F6175" w14:textId="174985D8" w:rsidR="00052D43" w:rsidRPr="005B2038" w:rsidRDefault="00052D43" w:rsidP="00052D43">
            <w:pPr>
              <w:spacing w:before="120" w:after="0" w:line="276" w:lineRule="auto"/>
              <w:rPr>
                <w:rFonts w:ascii="Calibri" w:eastAsia="Calibri" w:hAnsi="Calibri" w:cs="Times New Roman"/>
              </w:rPr>
            </w:pPr>
            <w:r w:rsidRPr="005B2038">
              <w:rPr>
                <w:rFonts w:ascii="Calibri" w:eastAsia="Calibri" w:hAnsi="Calibri" w:cs="Times New Roman"/>
              </w:rPr>
              <w:t>4.</w:t>
            </w:r>
            <w:r w:rsidR="005B2038" w:rsidRPr="005B2038">
              <w:rPr>
                <w:rFonts w:ascii="Calibri" w:eastAsia="Calibri" w:hAnsi="Calibri" w:cs="Times New Roman"/>
              </w:rPr>
              <w:t>6</w:t>
            </w:r>
          </w:p>
        </w:tc>
        <w:tc>
          <w:tcPr>
            <w:tcW w:w="0" w:type="auto"/>
          </w:tcPr>
          <w:p w14:paraId="3EFA7F93"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4ED4223A" w14:textId="6DC6F82F"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1998</w:t>
            </w:r>
          </w:p>
        </w:tc>
        <w:tc>
          <w:tcPr>
            <w:tcW w:w="0" w:type="auto"/>
          </w:tcPr>
          <w:p w14:paraId="3B31E2E3" w14:textId="6D3FF477"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29.9</w:t>
            </w:r>
          </w:p>
        </w:tc>
        <w:tc>
          <w:tcPr>
            <w:tcW w:w="0" w:type="auto"/>
          </w:tcPr>
          <w:p w14:paraId="03D9F3D0" w14:textId="5EF9C8EA"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5.7</w:t>
            </w:r>
          </w:p>
        </w:tc>
        <w:tc>
          <w:tcPr>
            <w:tcW w:w="0" w:type="auto"/>
          </w:tcPr>
          <w:p w14:paraId="5B6B21C4" w14:textId="77777777" w:rsidR="00052D43" w:rsidRPr="00D32BE8" w:rsidRDefault="00052D43" w:rsidP="00052D43">
            <w:pPr>
              <w:spacing w:before="120" w:after="0" w:line="276" w:lineRule="auto"/>
              <w:rPr>
                <w:rFonts w:ascii="Calibri" w:eastAsia="Calibri" w:hAnsi="Calibri" w:cs="Times New Roman"/>
              </w:rPr>
            </w:pPr>
          </w:p>
        </w:tc>
      </w:tr>
      <w:tr w:rsidR="0057617E" w:rsidRPr="00FE7B32" w14:paraId="5D5DF634" w14:textId="236F945E" w:rsidTr="00052D43">
        <w:trPr>
          <w:cantSplit/>
          <w:trHeight w:val="20"/>
          <w:jc w:val="center"/>
        </w:trPr>
        <w:tc>
          <w:tcPr>
            <w:tcW w:w="0" w:type="auto"/>
          </w:tcPr>
          <w:p w14:paraId="33D9805D" w14:textId="77777777"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Previous fracture</w:t>
            </w:r>
          </w:p>
        </w:tc>
        <w:tc>
          <w:tcPr>
            <w:tcW w:w="0" w:type="auto"/>
          </w:tcPr>
          <w:p w14:paraId="3A1E39F7" w14:textId="4BD6DF99" w:rsidR="00052D43" w:rsidRPr="005B2038" w:rsidRDefault="005B2038" w:rsidP="00052D43">
            <w:pPr>
              <w:spacing w:before="120" w:after="0" w:line="276" w:lineRule="auto"/>
              <w:rPr>
                <w:rFonts w:ascii="Calibri" w:eastAsia="Calibri" w:hAnsi="Calibri" w:cs="Times New Roman"/>
              </w:rPr>
            </w:pPr>
            <w:r w:rsidRPr="005B2038">
              <w:t>137</w:t>
            </w:r>
          </w:p>
        </w:tc>
        <w:tc>
          <w:tcPr>
            <w:tcW w:w="0" w:type="auto"/>
          </w:tcPr>
          <w:p w14:paraId="34A28BD4"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5ADB0859"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1FDC3159" w14:textId="41283109"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12</w:t>
            </w:r>
            <w:r w:rsidR="00052D43" w:rsidRPr="005B2038">
              <w:rPr>
                <w:rFonts w:ascii="Calibri" w:eastAsia="Calibri" w:hAnsi="Calibri" w:cs="Times New Roman"/>
              </w:rPr>
              <w:t>.</w:t>
            </w:r>
            <w:r w:rsidRPr="005B2038">
              <w:rPr>
                <w:rFonts w:ascii="Calibri" w:eastAsia="Calibri" w:hAnsi="Calibri" w:cs="Times New Roman"/>
              </w:rPr>
              <w:t>2</w:t>
            </w:r>
          </w:p>
        </w:tc>
        <w:tc>
          <w:tcPr>
            <w:tcW w:w="0" w:type="auto"/>
          </w:tcPr>
          <w:p w14:paraId="0A9B96FE" w14:textId="2E62EB9D"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242</w:t>
            </w:r>
          </w:p>
        </w:tc>
        <w:tc>
          <w:tcPr>
            <w:tcW w:w="0" w:type="auto"/>
          </w:tcPr>
          <w:p w14:paraId="0DFC54A2"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244793D5"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68FF2912" w14:textId="3DB4C568"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12.1</w:t>
            </w:r>
          </w:p>
        </w:tc>
      </w:tr>
      <w:tr w:rsidR="0057617E" w:rsidRPr="00FE7B32" w14:paraId="0906B32E" w14:textId="280E3D70" w:rsidTr="00052D43">
        <w:trPr>
          <w:cantSplit/>
          <w:trHeight w:val="20"/>
          <w:jc w:val="center"/>
        </w:trPr>
        <w:tc>
          <w:tcPr>
            <w:tcW w:w="0" w:type="auto"/>
          </w:tcPr>
          <w:p w14:paraId="78BAFEAE" w14:textId="77777777"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Current smoking</w:t>
            </w:r>
          </w:p>
        </w:tc>
        <w:tc>
          <w:tcPr>
            <w:tcW w:w="0" w:type="auto"/>
          </w:tcPr>
          <w:p w14:paraId="38C95897" w14:textId="6E29CE79" w:rsidR="00052D43" w:rsidRPr="005B2038" w:rsidRDefault="005B2038" w:rsidP="00052D43">
            <w:pPr>
              <w:spacing w:before="120" w:after="0" w:line="276" w:lineRule="auto"/>
              <w:rPr>
                <w:rFonts w:ascii="Calibri" w:eastAsia="Calibri" w:hAnsi="Calibri" w:cs="Times New Roman"/>
              </w:rPr>
            </w:pPr>
            <w:r w:rsidRPr="005B2038">
              <w:t>265</w:t>
            </w:r>
          </w:p>
        </w:tc>
        <w:tc>
          <w:tcPr>
            <w:tcW w:w="0" w:type="auto"/>
          </w:tcPr>
          <w:p w14:paraId="1F586A9B"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1DFE764E"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460D5871" w14:textId="2E575E90"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23.6</w:t>
            </w:r>
          </w:p>
        </w:tc>
        <w:tc>
          <w:tcPr>
            <w:tcW w:w="0" w:type="auto"/>
          </w:tcPr>
          <w:p w14:paraId="4557B02D" w14:textId="25E403F1"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408</w:t>
            </w:r>
          </w:p>
        </w:tc>
        <w:tc>
          <w:tcPr>
            <w:tcW w:w="0" w:type="auto"/>
          </w:tcPr>
          <w:p w14:paraId="500E9AEB"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5B5A0AC7"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285C533B" w14:textId="4FEBE51E"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20.4</w:t>
            </w:r>
          </w:p>
        </w:tc>
      </w:tr>
      <w:tr w:rsidR="0057617E" w:rsidRPr="00FE7B32" w14:paraId="631A2C22" w14:textId="6C0F2022" w:rsidTr="00052D43">
        <w:trPr>
          <w:cantSplit/>
          <w:trHeight w:val="20"/>
          <w:jc w:val="center"/>
        </w:trPr>
        <w:tc>
          <w:tcPr>
            <w:tcW w:w="0" w:type="auto"/>
          </w:tcPr>
          <w:p w14:paraId="6114B42A" w14:textId="5791EB57"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 xml:space="preserve">Secondary osteoporosis </w:t>
            </w:r>
          </w:p>
        </w:tc>
        <w:tc>
          <w:tcPr>
            <w:tcW w:w="0" w:type="auto"/>
          </w:tcPr>
          <w:p w14:paraId="7250A1E5" w14:textId="0777E299" w:rsidR="00052D43" w:rsidRPr="005B2038" w:rsidRDefault="005B2038" w:rsidP="00052D43">
            <w:pPr>
              <w:spacing w:before="120" w:after="0" w:line="276" w:lineRule="auto"/>
              <w:rPr>
                <w:rFonts w:ascii="Calibri" w:eastAsia="Calibri" w:hAnsi="Calibri" w:cs="Times New Roman"/>
              </w:rPr>
            </w:pPr>
            <w:r w:rsidRPr="005B2038">
              <w:t>75</w:t>
            </w:r>
          </w:p>
        </w:tc>
        <w:tc>
          <w:tcPr>
            <w:tcW w:w="0" w:type="auto"/>
          </w:tcPr>
          <w:p w14:paraId="1A5FCAF3"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67F99063"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6C250413" w14:textId="00354020"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6</w:t>
            </w:r>
            <w:r w:rsidR="00052D43" w:rsidRPr="005B2038">
              <w:rPr>
                <w:rFonts w:ascii="Calibri" w:eastAsia="Calibri" w:hAnsi="Calibri" w:cs="Times New Roman"/>
              </w:rPr>
              <w:t>.</w:t>
            </w:r>
            <w:r w:rsidRPr="005B2038">
              <w:rPr>
                <w:rFonts w:ascii="Calibri" w:eastAsia="Calibri" w:hAnsi="Calibri" w:cs="Times New Roman"/>
              </w:rPr>
              <w:t>7</w:t>
            </w:r>
          </w:p>
        </w:tc>
        <w:tc>
          <w:tcPr>
            <w:tcW w:w="0" w:type="auto"/>
          </w:tcPr>
          <w:p w14:paraId="1B50A021" w14:textId="6E5AA19C"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386</w:t>
            </w:r>
          </w:p>
        </w:tc>
        <w:tc>
          <w:tcPr>
            <w:tcW w:w="0" w:type="auto"/>
          </w:tcPr>
          <w:p w14:paraId="7F1BDB7D"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6AC051E1"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6F120E29" w14:textId="5085FC73"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19.3</w:t>
            </w:r>
          </w:p>
        </w:tc>
      </w:tr>
      <w:tr w:rsidR="0057617E" w:rsidRPr="00FE7B32" w14:paraId="0E661F50" w14:textId="418ABC7C" w:rsidTr="00052D43">
        <w:trPr>
          <w:cantSplit/>
          <w:trHeight w:val="20"/>
          <w:jc w:val="center"/>
        </w:trPr>
        <w:tc>
          <w:tcPr>
            <w:tcW w:w="0" w:type="auto"/>
          </w:tcPr>
          <w:p w14:paraId="7E1C0F75" w14:textId="2225BCA1"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lastRenderedPageBreak/>
              <w:t xml:space="preserve">Alcohol </w:t>
            </w:r>
            <w:r w:rsidR="001B60C5">
              <w:rPr>
                <w:rFonts w:ascii="Calibri" w:eastAsia="Calibri" w:hAnsi="Calibri" w:cs="Times New Roman"/>
              </w:rPr>
              <w:t>(</w:t>
            </w:r>
            <w:r w:rsidR="001B60C5" w:rsidRPr="001B60C5">
              <w:rPr>
                <w:rFonts w:ascii="Calibri" w:eastAsia="Calibri" w:hAnsi="Calibri" w:cs="Times New Roman"/>
                <w:u w:val="single"/>
              </w:rPr>
              <w:t>&gt;</w:t>
            </w:r>
            <w:r w:rsidRPr="00750031">
              <w:rPr>
                <w:rFonts w:ascii="Calibri" w:eastAsia="Calibri" w:hAnsi="Calibri" w:cs="Times New Roman"/>
              </w:rPr>
              <w:t>3 units per day</w:t>
            </w:r>
            <w:r w:rsidR="009C3075">
              <w:rPr>
                <w:rFonts w:ascii="Calibri" w:eastAsia="Calibri" w:hAnsi="Calibri" w:cs="Times New Roman"/>
              </w:rPr>
              <w:t>)</w:t>
            </w:r>
          </w:p>
        </w:tc>
        <w:tc>
          <w:tcPr>
            <w:tcW w:w="0" w:type="auto"/>
          </w:tcPr>
          <w:p w14:paraId="1589E60E" w14:textId="38A22FDC" w:rsidR="00052D43" w:rsidRPr="005B2038" w:rsidRDefault="005B2038" w:rsidP="00052D43">
            <w:pPr>
              <w:spacing w:before="120" w:after="0" w:line="276" w:lineRule="auto"/>
              <w:rPr>
                <w:rFonts w:ascii="Calibri" w:eastAsia="Calibri" w:hAnsi="Calibri" w:cs="Times New Roman"/>
              </w:rPr>
            </w:pPr>
            <w:r w:rsidRPr="005B2038">
              <w:t>39</w:t>
            </w:r>
          </w:p>
        </w:tc>
        <w:tc>
          <w:tcPr>
            <w:tcW w:w="0" w:type="auto"/>
          </w:tcPr>
          <w:p w14:paraId="664B65F3"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75930453"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2419D752" w14:textId="03377315"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3</w:t>
            </w:r>
            <w:r w:rsidR="00052D43" w:rsidRPr="005B2038">
              <w:rPr>
                <w:rFonts w:ascii="Calibri" w:eastAsia="Calibri" w:hAnsi="Calibri" w:cs="Times New Roman"/>
              </w:rPr>
              <w:t>.</w:t>
            </w:r>
            <w:r w:rsidRPr="005B2038">
              <w:rPr>
                <w:rFonts w:ascii="Calibri" w:eastAsia="Calibri" w:hAnsi="Calibri" w:cs="Times New Roman"/>
              </w:rPr>
              <w:t>5</w:t>
            </w:r>
          </w:p>
        </w:tc>
        <w:tc>
          <w:tcPr>
            <w:tcW w:w="0" w:type="auto"/>
          </w:tcPr>
          <w:p w14:paraId="026DBE69" w14:textId="3F32B16D"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4</w:t>
            </w:r>
          </w:p>
        </w:tc>
        <w:tc>
          <w:tcPr>
            <w:tcW w:w="0" w:type="auto"/>
          </w:tcPr>
          <w:p w14:paraId="472E820F"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5E4050F7"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646F0A91" w14:textId="758DEE78"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0.2</w:t>
            </w:r>
          </w:p>
        </w:tc>
      </w:tr>
      <w:tr w:rsidR="0057617E" w:rsidRPr="00FE7B32" w14:paraId="7607EFA5" w14:textId="64B1F231" w:rsidTr="00052D43">
        <w:trPr>
          <w:cantSplit/>
          <w:trHeight w:val="20"/>
          <w:jc w:val="center"/>
        </w:trPr>
        <w:tc>
          <w:tcPr>
            <w:tcW w:w="0" w:type="auto"/>
          </w:tcPr>
          <w:p w14:paraId="7ECBEE37" w14:textId="13FE5BD9"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Parental history of hip fracture</w:t>
            </w:r>
          </w:p>
        </w:tc>
        <w:tc>
          <w:tcPr>
            <w:tcW w:w="0" w:type="auto"/>
          </w:tcPr>
          <w:p w14:paraId="707EAFFC" w14:textId="3B03FB13" w:rsidR="00052D43" w:rsidRPr="005B2038" w:rsidRDefault="005B2038" w:rsidP="00052D43">
            <w:pPr>
              <w:spacing w:before="120" w:after="0" w:line="276" w:lineRule="auto"/>
              <w:rPr>
                <w:rFonts w:ascii="Calibri" w:eastAsia="Calibri" w:hAnsi="Calibri" w:cs="Times New Roman"/>
              </w:rPr>
            </w:pPr>
            <w:r w:rsidRPr="005B2038">
              <w:t>76</w:t>
            </w:r>
          </w:p>
        </w:tc>
        <w:tc>
          <w:tcPr>
            <w:tcW w:w="0" w:type="auto"/>
          </w:tcPr>
          <w:p w14:paraId="47324810"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6F036ED8"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71C036EC" w14:textId="4183E82C"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6</w:t>
            </w:r>
            <w:r w:rsidR="00052D43" w:rsidRPr="005B2038">
              <w:rPr>
                <w:rFonts w:ascii="Calibri" w:eastAsia="Calibri" w:hAnsi="Calibri" w:cs="Times New Roman"/>
              </w:rPr>
              <w:t>.</w:t>
            </w:r>
            <w:r w:rsidRPr="005B2038">
              <w:rPr>
                <w:rFonts w:ascii="Calibri" w:eastAsia="Calibri" w:hAnsi="Calibri" w:cs="Times New Roman"/>
              </w:rPr>
              <w:t>8</w:t>
            </w:r>
          </w:p>
        </w:tc>
        <w:tc>
          <w:tcPr>
            <w:tcW w:w="0" w:type="auto"/>
          </w:tcPr>
          <w:p w14:paraId="19A52DED" w14:textId="4C4B5102"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141</w:t>
            </w:r>
          </w:p>
        </w:tc>
        <w:tc>
          <w:tcPr>
            <w:tcW w:w="0" w:type="auto"/>
          </w:tcPr>
          <w:p w14:paraId="70DF94B1"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4C5841F6"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70E7575A" w14:textId="0B8245E1"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7.1</w:t>
            </w:r>
          </w:p>
        </w:tc>
      </w:tr>
      <w:tr w:rsidR="0057617E" w:rsidRPr="00FE7B32" w14:paraId="48B9A3A1" w14:textId="38B92AE5" w:rsidTr="00052D43">
        <w:trPr>
          <w:cantSplit/>
          <w:trHeight w:val="20"/>
          <w:jc w:val="center"/>
        </w:trPr>
        <w:tc>
          <w:tcPr>
            <w:tcW w:w="0" w:type="auto"/>
          </w:tcPr>
          <w:p w14:paraId="29818D25" w14:textId="2016553F"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Glucocorticoid exposure</w:t>
            </w:r>
          </w:p>
        </w:tc>
        <w:tc>
          <w:tcPr>
            <w:tcW w:w="0" w:type="auto"/>
          </w:tcPr>
          <w:p w14:paraId="6A109630" w14:textId="2E4867C9" w:rsidR="00052D43" w:rsidRPr="005B2038" w:rsidRDefault="005B2038" w:rsidP="00052D43">
            <w:pPr>
              <w:spacing w:before="120" w:after="0" w:line="276" w:lineRule="auto"/>
              <w:rPr>
                <w:rFonts w:ascii="Calibri" w:eastAsia="Calibri" w:hAnsi="Calibri" w:cs="Times New Roman"/>
              </w:rPr>
            </w:pPr>
            <w:r w:rsidRPr="005B2038">
              <w:t>36</w:t>
            </w:r>
          </w:p>
        </w:tc>
        <w:tc>
          <w:tcPr>
            <w:tcW w:w="0" w:type="auto"/>
          </w:tcPr>
          <w:p w14:paraId="195E8FCC"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5BBF4F36"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554EBD1B" w14:textId="4CB72C02"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3</w:t>
            </w:r>
            <w:r w:rsidR="00052D43" w:rsidRPr="005B2038">
              <w:rPr>
                <w:rFonts w:ascii="Calibri" w:eastAsia="Calibri" w:hAnsi="Calibri" w:cs="Times New Roman"/>
              </w:rPr>
              <w:t>.</w:t>
            </w:r>
            <w:r w:rsidRPr="005B2038">
              <w:rPr>
                <w:rFonts w:ascii="Calibri" w:eastAsia="Calibri" w:hAnsi="Calibri" w:cs="Times New Roman"/>
              </w:rPr>
              <w:t>2</w:t>
            </w:r>
          </w:p>
        </w:tc>
        <w:tc>
          <w:tcPr>
            <w:tcW w:w="0" w:type="auto"/>
          </w:tcPr>
          <w:p w14:paraId="32AF713A" w14:textId="100D1BA8"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98</w:t>
            </w:r>
          </w:p>
        </w:tc>
        <w:tc>
          <w:tcPr>
            <w:tcW w:w="0" w:type="auto"/>
          </w:tcPr>
          <w:p w14:paraId="0F979657"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456F3A08"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5712281C" w14:textId="6102D899"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4.9</w:t>
            </w:r>
          </w:p>
        </w:tc>
      </w:tr>
      <w:tr w:rsidR="0057617E" w:rsidRPr="00FE7B32" w14:paraId="0CC901B5" w14:textId="17A4682D" w:rsidTr="00052D43">
        <w:trPr>
          <w:cantSplit/>
          <w:trHeight w:val="20"/>
          <w:jc w:val="center"/>
        </w:trPr>
        <w:tc>
          <w:tcPr>
            <w:tcW w:w="0" w:type="auto"/>
          </w:tcPr>
          <w:p w14:paraId="14C723C5" w14:textId="13D11B52" w:rsidR="00052D43" w:rsidRPr="00750031" w:rsidRDefault="00052D43" w:rsidP="00052D43">
            <w:pPr>
              <w:spacing w:before="120" w:after="0" w:line="276" w:lineRule="auto"/>
              <w:rPr>
                <w:rFonts w:ascii="Calibri" w:eastAsia="Calibri" w:hAnsi="Calibri" w:cs="Times New Roman"/>
              </w:rPr>
            </w:pPr>
            <w:r w:rsidRPr="00750031">
              <w:rPr>
                <w:rFonts w:ascii="Calibri" w:eastAsia="Calibri" w:hAnsi="Calibri" w:cs="Times New Roman"/>
              </w:rPr>
              <w:t>Rheumatoid arthritis</w:t>
            </w:r>
          </w:p>
        </w:tc>
        <w:tc>
          <w:tcPr>
            <w:tcW w:w="0" w:type="auto"/>
          </w:tcPr>
          <w:p w14:paraId="36B3EC99" w14:textId="3CEA3BC0" w:rsidR="00052D43" w:rsidRPr="005B2038" w:rsidRDefault="005B2038" w:rsidP="00052D43">
            <w:pPr>
              <w:spacing w:before="120" w:after="0" w:line="276" w:lineRule="auto"/>
              <w:rPr>
                <w:rFonts w:ascii="Calibri" w:eastAsia="Calibri" w:hAnsi="Calibri" w:cs="Times New Roman"/>
              </w:rPr>
            </w:pPr>
            <w:r w:rsidRPr="005B2038">
              <w:t>44</w:t>
            </w:r>
          </w:p>
        </w:tc>
        <w:tc>
          <w:tcPr>
            <w:tcW w:w="0" w:type="auto"/>
          </w:tcPr>
          <w:p w14:paraId="2F886D9E"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1FE21D8B" w14:textId="77777777" w:rsidR="00052D43" w:rsidRPr="005B2038" w:rsidRDefault="00052D43" w:rsidP="00052D43">
            <w:pPr>
              <w:spacing w:before="120" w:after="0" w:line="276" w:lineRule="auto"/>
              <w:rPr>
                <w:rFonts w:ascii="Calibri" w:eastAsia="Calibri" w:hAnsi="Calibri" w:cs="Times New Roman"/>
              </w:rPr>
            </w:pPr>
          </w:p>
        </w:tc>
        <w:tc>
          <w:tcPr>
            <w:tcW w:w="0" w:type="auto"/>
          </w:tcPr>
          <w:p w14:paraId="40941A7D" w14:textId="015EF20B" w:rsidR="00052D43" w:rsidRPr="005B2038" w:rsidRDefault="005B2038" w:rsidP="00052D43">
            <w:pPr>
              <w:spacing w:before="120" w:after="0" w:line="276" w:lineRule="auto"/>
              <w:rPr>
                <w:rFonts w:ascii="Calibri" w:eastAsia="Calibri" w:hAnsi="Calibri" w:cs="Times New Roman"/>
              </w:rPr>
            </w:pPr>
            <w:r w:rsidRPr="005B2038">
              <w:rPr>
                <w:rFonts w:ascii="Calibri" w:eastAsia="Calibri" w:hAnsi="Calibri" w:cs="Times New Roman"/>
              </w:rPr>
              <w:t>3.9</w:t>
            </w:r>
          </w:p>
        </w:tc>
        <w:tc>
          <w:tcPr>
            <w:tcW w:w="0" w:type="auto"/>
          </w:tcPr>
          <w:p w14:paraId="193D36D4" w14:textId="3705F09F"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96</w:t>
            </w:r>
          </w:p>
        </w:tc>
        <w:tc>
          <w:tcPr>
            <w:tcW w:w="0" w:type="auto"/>
          </w:tcPr>
          <w:p w14:paraId="5C6D2A7F"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63042EEA" w14:textId="77777777" w:rsidR="00052D43" w:rsidRPr="00D32BE8" w:rsidRDefault="00052D43" w:rsidP="00052D43">
            <w:pPr>
              <w:spacing w:before="120" w:after="0" w:line="276" w:lineRule="auto"/>
              <w:rPr>
                <w:rFonts w:ascii="Calibri" w:eastAsia="Calibri" w:hAnsi="Calibri" w:cs="Times New Roman"/>
              </w:rPr>
            </w:pPr>
          </w:p>
        </w:tc>
        <w:tc>
          <w:tcPr>
            <w:tcW w:w="0" w:type="auto"/>
          </w:tcPr>
          <w:p w14:paraId="3288AC9D" w14:textId="137FD1EF" w:rsidR="00052D43" w:rsidRPr="00D32BE8" w:rsidRDefault="00D32BE8" w:rsidP="00052D43">
            <w:pPr>
              <w:spacing w:before="120" w:after="0" w:line="276" w:lineRule="auto"/>
              <w:rPr>
                <w:rFonts w:ascii="Calibri" w:eastAsia="Calibri" w:hAnsi="Calibri" w:cs="Times New Roman"/>
              </w:rPr>
            </w:pPr>
            <w:r w:rsidRPr="00D32BE8">
              <w:rPr>
                <w:rFonts w:ascii="Calibri" w:eastAsia="Calibri" w:hAnsi="Calibri" w:cs="Times New Roman"/>
              </w:rPr>
              <w:t>4.8</w:t>
            </w:r>
          </w:p>
        </w:tc>
      </w:tr>
      <w:tr w:rsidR="00244082" w:rsidRPr="00FE7B32" w14:paraId="79935C66" w14:textId="77777777" w:rsidTr="00052D43">
        <w:trPr>
          <w:cantSplit/>
          <w:trHeight w:val="20"/>
          <w:jc w:val="center"/>
        </w:trPr>
        <w:tc>
          <w:tcPr>
            <w:tcW w:w="0" w:type="auto"/>
          </w:tcPr>
          <w:p w14:paraId="3E869CFE" w14:textId="58896580" w:rsidR="00244082" w:rsidRPr="00750031" w:rsidRDefault="00335698" w:rsidP="00052D43">
            <w:pPr>
              <w:spacing w:before="120" w:after="0" w:line="276" w:lineRule="auto"/>
              <w:rPr>
                <w:rFonts w:ascii="Calibri" w:eastAsia="Calibri" w:hAnsi="Calibri" w:cs="Times New Roman"/>
              </w:rPr>
            </w:pPr>
            <w:r w:rsidRPr="00335698">
              <w:rPr>
                <w:rFonts w:ascii="Calibri" w:eastAsia="Calibri" w:hAnsi="Calibri" w:cs="Times New Roman"/>
              </w:rPr>
              <w:t>Ten-year probability</w:t>
            </w:r>
            <w:r w:rsidR="00FE2251">
              <w:rPr>
                <w:rFonts w:ascii="Calibri" w:eastAsia="Calibri" w:hAnsi="Calibri" w:cs="Times New Roman"/>
              </w:rPr>
              <w:t xml:space="preserve"> (</w:t>
            </w:r>
            <w:proofErr w:type="gramStart"/>
            <w:r w:rsidR="00FE2251">
              <w:rPr>
                <w:rFonts w:ascii="Calibri" w:eastAsia="Calibri" w:hAnsi="Calibri" w:cs="Times New Roman"/>
              </w:rPr>
              <w:t>%)</w:t>
            </w:r>
            <w:r w:rsidRPr="00335698">
              <w:rPr>
                <w:rFonts w:ascii="Calibri" w:eastAsia="Calibri" w:hAnsi="Calibri" w:cs="Times New Roman"/>
              </w:rPr>
              <w:t>*</w:t>
            </w:r>
            <w:proofErr w:type="gramEnd"/>
          </w:p>
        </w:tc>
        <w:tc>
          <w:tcPr>
            <w:tcW w:w="0" w:type="auto"/>
          </w:tcPr>
          <w:p w14:paraId="4D419F1A" w14:textId="77777777" w:rsidR="00244082" w:rsidRPr="005B2038" w:rsidRDefault="00244082" w:rsidP="00052D43">
            <w:pPr>
              <w:spacing w:before="120" w:after="0" w:line="276" w:lineRule="auto"/>
            </w:pPr>
          </w:p>
        </w:tc>
        <w:tc>
          <w:tcPr>
            <w:tcW w:w="0" w:type="auto"/>
          </w:tcPr>
          <w:p w14:paraId="698198B0" w14:textId="77777777" w:rsidR="00244082" w:rsidRPr="005B2038" w:rsidRDefault="00244082" w:rsidP="00052D43">
            <w:pPr>
              <w:spacing w:before="120" w:after="0" w:line="276" w:lineRule="auto"/>
              <w:rPr>
                <w:rFonts w:ascii="Calibri" w:eastAsia="Calibri" w:hAnsi="Calibri" w:cs="Times New Roman"/>
              </w:rPr>
            </w:pPr>
          </w:p>
        </w:tc>
        <w:tc>
          <w:tcPr>
            <w:tcW w:w="0" w:type="auto"/>
          </w:tcPr>
          <w:p w14:paraId="2BCB7586" w14:textId="77777777" w:rsidR="00244082" w:rsidRPr="005B2038" w:rsidRDefault="00244082" w:rsidP="00052D43">
            <w:pPr>
              <w:spacing w:before="120" w:after="0" w:line="276" w:lineRule="auto"/>
              <w:rPr>
                <w:rFonts w:ascii="Calibri" w:eastAsia="Calibri" w:hAnsi="Calibri" w:cs="Times New Roman"/>
              </w:rPr>
            </w:pPr>
          </w:p>
        </w:tc>
        <w:tc>
          <w:tcPr>
            <w:tcW w:w="0" w:type="auto"/>
          </w:tcPr>
          <w:p w14:paraId="37686A80" w14:textId="77777777" w:rsidR="00244082" w:rsidRPr="005B2038" w:rsidRDefault="00244082" w:rsidP="00052D43">
            <w:pPr>
              <w:spacing w:before="120" w:after="0" w:line="276" w:lineRule="auto"/>
              <w:rPr>
                <w:rFonts w:ascii="Calibri" w:eastAsia="Calibri" w:hAnsi="Calibri" w:cs="Times New Roman"/>
              </w:rPr>
            </w:pPr>
          </w:p>
        </w:tc>
        <w:tc>
          <w:tcPr>
            <w:tcW w:w="0" w:type="auto"/>
          </w:tcPr>
          <w:p w14:paraId="3BCA7BA7" w14:textId="77777777" w:rsidR="00244082" w:rsidRPr="00D32BE8" w:rsidRDefault="00244082" w:rsidP="00052D43">
            <w:pPr>
              <w:spacing w:before="120" w:after="0" w:line="276" w:lineRule="auto"/>
              <w:rPr>
                <w:rFonts w:ascii="Calibri" w:eastAsia="Calibri" w:hAnsi="Calibri" w:cs="Times New Roman"/>
              </w:rPr>
            </w:pPr>
          </w:p>
        </w:tc>
        <w:tc>
          <w:tcPr>
            <w:tcW w:w="0" w:type="auto"/>
          </w:tcPr>
          <w:p w14:paraId="61F696A0" w14:textId="77777777" w:rsidR="00244082" w:rsidRPr="00D32BE8" w:rsidRDefault="00244082" w:rsidP="00052D43">
            <w:pPr>
              <w:spacing w:before="120" w:after="0" w:line="276" w:lineRule="auto"/>
              <w:rPr>
                <w:rFonts w:ascii="Calibri" w:eastAsia="Calibri" w:hAnsi="Calibri" w:cs="Times New Roman"/>
              </w:rPr>
            </w:pPr>
          </w:p>
        </w:tc>
        <w:tc>
          <w:tcPr>
            <w:tcW w:w="0" w:type="auto"/>
          </w:tcPr>
          <w:p w14:paraId="4BFD539D" w14:textId="77777777" w:rsidR="00244082" w:rsidRPr="00D32BE8" w:rsidRDefault="00244082" w:rsidP="00052D43">
            <w:pPr>
              <w:spacing w:before="120" w:after="0" w:line="276" w:lineRule="auto"/>
              <w:rPr>
                <w:rFonts w:ascii="Calibri" w:eastAsia="Calibri" w:hAnsi="Calibri" w:cs="Times New Roman"/>
              </w:rPr>
            </w:pPr>
          </w:p>
        </w:tc>
        <w:tc>
          <w:tcPr>
            <w:tcW w:w="0" w:type="auto"/>
          </w:tcPr>
          <w:p w14:paraId="507D7F8E" w14:textId="77777777" w:rsidR="00244082" w:rsidRPr="00D32BE8" w:rsidRDefault="00244082" w:rsidP="00052D43">
            <w:pPr>
              <w:spacing w:before="120" w:after="0" w:line="276" w:lineRule="auto"/>
              <w:rPr>
                <w:rFonts w:ascii="Calibri" w:eastAsia="Calibri" w:hAnsi="Calibri" w:cs="Times New Roman"/>
              </w:rPr>
            </w:pPr>
          </w:p>
        </w:tc>
      </w:tr>
      <w:tr w:rsidR="0010473E" w:rsidRPr="00FE7B32" w14:paraId="0FC19D31" w14:textId="77777777" w:rsidTr="00052D43">
        <w:trPr>
          <w:cantSplit/>
          <w:trHeight w:val="20"/>
          <w:jc w:val="center"/>
        </w:trPr>
        <w:tc>
          <w:tcPr>
            <w:tcW w:w="0" w:type="auto"/>
          </w:tcPr>
          <w:p w14:paraId="6004F33A" w14:textId="6F05DB36" w:rsidR="0010473E" w:rsidRPr="00335698" w:rsidRDefault="002A68D5" w:rsidP="00052D43">
            <w:pPr>
              <w:spacing w:before="120" w:after="0" w:line="276" w:lineRule="auto"/>
              <w:rPr>
                <w:rFonts w:ascii="Calibri" w:eastAsia="Calibri" w:hAnsi="Calibri" w:cs="Times New Roman"/>
              </w:rPr>
            </w:pPr>
            <w:r>
              <w:rPr>
                <w:rFonts w:ascii="Calibri" w:eastAsia="Calibri" w:hAnsi="Calibri" w:cs="Times New Roman"/>
              </w:rPr>
              <w:t xml:space="preserve">    </w:t>
            </w:r>
            <w:r w:rsidR="0010473E">
              <w:rPr>
                <w:rFonts w:ascii="Calibri" w:eastAsia="Calibri" w:hAnsi="Calibri" w:cs="Times New Roman"/>
              </w:rPr>
              <w:t>Hip</w:t>
            </w:r>
          </w:p>
        </w:tc>
        <w:tc>
          <w:tcPr>
            <w:tcW w:w="0" w:type="auto"/>
          </w:tcPr>
          <w:p w14:paraId="38F3D163" w14:textId="5D910DFB" w:rsidR="0010473E" w:rsidRPr="005B2038" w:rsidRDefault="0010473E" w:rsidP="00052D43">
            <w:pPr>
              <w:spacing w:before="120" w:after="0" w:line="276" w:lineRule="auto"/>
            </w:pPr>
            <w:r>
              <w:t>1122</w:t>
            </w:r>
          </w:p>
        </w:tc>
        <w:tc>
          <w:tcPr>
            <w:tcW w:w="0" w:type="auto"/>
          </w:tcPr>
          <w:p w14:paraId="7CB48A38" w14:textId="71F0E3C7" w:rsidR="0010473E" w:rsidRPr="005B2038" w:rsidRDefault="0010473E" w:rsidP="00052D43">
            <w:pPr>
              <w:spacing w:before="120" w:after="0" w:line="276" w:lineRule="auto"/>
              <w:rPr>
                <w:rFonts w:ascii="Calibri" w:eastAsia="Calibri" w:hAnsi="Calibri" w:cs="Times New Roman"/>
              </w:rPr>
            </w:pPr>
            <w:r>
              <w:rPr>
                <w:rFonts w:ascii="Calibri" w:eastAsia="Calibri" w:hAnsi="Calibri" w:cs="Times New Roman"/>
              </w:rPr>
              <w:t>0.96</w:t>
            </w:r>
          </w:p>
        </w:tc>
        <w:tc>
          <w:tcPr>
            <w:tcW w:w="0" w:type="auto"/>
          </w:tcPr>
          <w:p w14:paraId="35277C95" w14:textId="20F6470E" w:rsidR="0010473E" w:rsidRPr="005B2038" w:rsidRDefault="0010473E" w:rsidP="00052D43">
            <w:pPr>
              <w:spacing w:before="120" w:after="0" w:line="276" w:lineRule="auto"/>
              <w:rPr>
                <w:rFonts w:ascii="Calibri" w:eastAsia="Calibri" w:hAnsi="Calibri" w:cs="Times New Roman"/>
              </w:rPr>
            </w:pPr>
            <w:r>
              <w:rPr>
                <w:rFonts w:ascii="Calibri" w:eastAsia="Calibri" w:hAnsi="Calibri" w:cs="Times New Roman"/>
              </w:rPr>
              <w:t>1.35</w:t>
            </w:r>
          </w:p>
        </w:tc>
        <w:tc>
          <w:tcPr>
            <w:tcW w:w="0" w:type="auto"/>
          </w:tcPr>
          <w:p w14:paraId="46E32BE2" w14:textId="77777777" w:rsidR="0010473E" w:rsidRPr="005B2038" w:rsidRDefault="0010473E" w:rsidP="00052D43">
            <w:pPr>
              <w:spacing w:before="120" w:after="0" w:line="276" w:lineRule="auto"/>
              <w:rPr>
                <w:rFonts w:ascii="Calibri" w:eastAsia="Calibri" w:hAnsi="Calibri" w:cs="Times New Roman"/>
              </w:rPr>
            </w:pPr>
          </w:p>
        </w:tc>
        <w:tc>
          <w:tcPr>
            <w:tcW w:w="0" w:type="auto"/>
          </w:tcPr>
          <w:p w14:paraId="14174915" w14:textId="6781D149" w:rsidR="0010473E" w:rsidRPr="00D32BE8" w:rsidRDefault="0010473E" w:rsidP="00052D43">
            <w:pPr>
              <w:spacing w:before="120" w:after="0" w:line="276" w:lineRule="auto"/>
              <w:rPr>
                <w:rFonts w:ascii="Calibri" w:eastAsia="Calibri" w:hAnsi="Calibri" w:cs="Times New Roman"/>
              </w:rPr>
            </w:pPr>
            <w:r>
              <w:rPr>
                <w:rFonts w:ascii="Calibri" w:eastAsia="Calibri" w:hAnsi="Calibri" w:cs="Times New Roman"/>
              </w:rPr>
              <w:t>1998</w:t>
            </w:r>
          </w:p>
        </w:tc>
        <w:tc>
          <w:tcPr>
            <w:tcW w:w="0" w:type="auto"/>
          </w:tcPr>
          <w:p w14:paraId="5C5B6526" w14:textId="2275FD2C" w:rsidR="0010473E" w:rsidRPr="00D32BE8" w:rsidRDefault="0010473E" w:rsidP="00052D43">
            <w:pPr>
              <w:spacing w:before="120" w:after="0" w:line="276" w:lineRule="auto"/>
              <w:rPr>
                <w:rFonts w:ascii="Calibri" w:eastAsia="Calibri" w:hAnsi="Calibri" w:cs="Times New Roman"/>
              </w:rPr>
            </w:pPr>
            <w:r>
              <w:rPr>
                <w:rFonts w:ascii="Calibri" w:eastAsia="Calibri" w:hAnsi="Calibri" w:cs="Times New Roman"/>
              </w:rPr>
              <w:t>2.10</w:t>
            </w:r>
          </w:p>
        </w:tc>
        <w:tc>
          <w:tcPr>
            <w:tcW w:w="0" w:type="auto"/>
          </w:tcPr>
          <w:p w14:paraId="39443753" w14:textId="5716C93F" w:rsidR="0010473E" w:rsidRPr="00D32BE8" w:rsidRDefault="0010473E" w:rsidP="00052D43">
            <w:pPr>
              <w:spacing w:before="120" w:after="0" w:line="276" w:lineRule="auto"/>
              <w:rPr>
                <w:rFonts w:ascii="Calibri" w:eastAsia="Calibri" w:hAnsi="Calibri" w:cs="Times New Roman"/>
              </w:rPr>
            </w:pPr>
            <w:r>
              <w:rPr>
                <w:rFonts w:ascii="Calibri" w:eastAsia="Calibri" w:hAnsi="Calibri" w:cs="Times New Roman"/>
              </w:rPr>
              <w:t>3.37</w:t>
            </w:r>
          </w:p>
        </w:tc>
        <w:tc>
          <w:tcPr>
            <w:tcW w:w="0" w:type="auto"/>
          </w:tcPr>
          <w:p w14:paraId="090B40CD" w14:textId="77777777" w:rsidR="0010473E" w:rsidRPr="00D32BE8" w:rsidRDefault="0010473E" w:rsidP="00052D43">
            <w:pPr>
              <w:spacing w:before="120" w:after="0" w:line="276" w:lineRule="auto"/>
              <w:rPr>
                <w:rFonts w:ascii="Calibri" w:eastAsia="Calibri" w:hAnsi="Calibri" w:cs="Times New Roman"/>
              </w:rPr>
            </w:pPr>
          </w:p>
        </w:tc>
      </w:tr>
      <w:tr w:rsidR="00335698" w:rsidRPr="00FE7B32" w14:paraId="00AE1E90" w14:textId="77777777" w:rsidTr="00052D43">
        <w:trPr>
          <w:cantSplit/>
          <w:trHeight w:val="20"/>
          <w:jc w:val="center"/>
        </w:trPr>
        <w:tc>
          <w:tcPr>
            <w:tcW w:w="0" w:type="auto"/>
          </w:tcPr>
          <w:p w14:paraId="6879392A" w14:textId="6DAA2771" w:rsidR="00335698" w:rsidRPr="00750031" w:rsidRDefault="00E80307" w:rsidP="00335698">
            <w:pPr>
              <w:spacing w:before="120" w:after="0" w:line="276" w:lineRule="auto"/>
              <w:rPr>
                <w:rFonts w:ascii="Calibri" w:eastAsia="Calibri" w:hAnsi="Calibri" w:cs="Times New Roman"/>
              </w:rPr>
            </w:pPr>
            <w:r>
              <w:rPr>
                <w:rFonts w:ascii="Calibri" w:eastAsia="Calibri" w:hAnsi="Calibri" w:cs="Calibri"/>
              </w:rPr>
              <w:t xml:space="preserve">    </w:t>
            </w:r>
            <w:r w:rsidR="00335698" w:rsidRPr="00750031">
              <w:rPr>
                <w:rFonts w:ascii="Calibri" w:eastAsia="Calibri" w:hAnsi="Calibri" w:cs="Calibri"/>
              </w:rPr>
              <w:t xml:space="preserve">MOF </w:t>
            </w:r>
          </w:p>
        </w:tc>
        <w:tc>
          <w:tcPr>
            <w:tcW w:w="0" w:type="auto"/>
          </w:tcPr>
          <w:p w14:paraId="0D92E09E" w14:textId="3BA6EC4C" w:rsidR="00335698" w:rsidRPr="005B2038" w:rsidRDefault="00335698" w:rsidP="00335698">
            <w:pPr>
              <w:spacing w:before="120" w:after="0" w:line="276" w:lineRule="auto"/>
            </w:pPr>
            <w:r w:rsidRPr="00092D7B">
              <w:rPr>
                <w:rFonts w:cstheme="minorHAnsi"/>
                <w:lang w:val="en-US"/>
              </w:rPr>
              <w:t>1122</w:t>
            </w:r>
          </w:p>
        </w:tc>
        <w:tc>
          <w:tcPr>
            <w:tcW w:w="0" w:type="auto"/>
          </w:tcPr>
          <w:p w14:paraId="56BFD780" w14:textId="188C535F" w:rsidR="00335698" w:rsidRPr="005B2038" w:rsidRDefault="00B17C7B" w:rsidP="00335698">
            <w:pPr>
              <w:spacing w:before="120" w:after="0" w:line="276" w:lineRule="auto"/>
              <w:rPr>
                <w:rFonts w:ascii="Calibri" w:eastAsia="Calibri" w:hAnsi="Calibri" w:cs="Times New Roman"/>
              </w:rPr>
            </w:pPr>
            <w:r>
              <w:rPr>
                <w:rFonts w:ascii="Calibri" w:eastAsia="Calibri" w:hAnsi="Calibri" w:cs="Times New Roman"/>
              </w:rPr>
              <w:t>2.52</w:t>
            </w:r>
          </w:p>
        </w:tc>
        <w:tc>
          <w:tcPr>
            <w:tcW w:w="0" w:type="auto"/>
          </w:tcPr>
          <w:p w14:paraId="18BB3BFE" w14:textId="6A017228" w:rsidR="00335698" w:rsidRPr="005B2038" w:rsidRDefault="00B17C7B" w:rsidP="00335698">
            <w:pPr>
              <w:spacing w:before="120" w:after="0" w:line="276" w:lineRule="auto"/>
              <w:rPr>
                <w:rFonts w:ascii="Calibri" w:eastAsia="Calibri" w:hAnsi="Calibri" w:cs="Times New Roman"/>
              </w:rPr>
            </w:pPr>
            <w:r>
              <w:rPr>
                <w:rFonts w:ascii="Calibri" w:eastAsia="Calibri" w:hAnsi="Calibri" w:cs="Times New Roman"/>
              </w:rPr>
              <w:t>1.40</w:t>
            </w:r>
          </w:p>
        </w:tc>
        <w:tc>
          <w:tcPr>
            <w:tcW w:w="0" w:type="auto"/>
          </w:tcPr>
          <w:p w14:paraId="61F947BA" w14:textId="77777777" w:rsidR="00335698" w:rsidRPr="005B2038" w:rsidRDefault="00335698" w:rsidP="00335698">
            <w:pPr>
              <w:spacing w:before="120" w:after="0" w:line="276" w:lineRule="auto"/>
              <w:rPr>
                <w:rFonts w:ascii="Calibri" w:eastAsia="Calibri" w:hAnsi="Calibri" w:cs="Times New Roman"/>
              </w:rPr>
            </w:pPr>
          </w:p>
        </w:tc>
        <w:tc>
          <w:tcPr>
            <w:tcW w:w="0" w:type="auto"/>
          </w:tcPr>
          <w:p w14:paraId="33419D36" w14:textId="54855F71" w:rsidR="00335698" w:rsidRPr="00D32BE8" w:rsidRDefault="0010473E" w:rsidP="00335698">
            <w:pPr>
              <w:spacing w:before="120" w:after="0" w:line="276" w:lineRule="auto"/>
              <w:rPr>
                <w:rFonts w:ascii="Calibri" w:eastAsia="Calibri" w:hAnsi="Calibri" w:cs="Times New Roman"/>
              </w:rPr>
            </w:pPr>
            <w:r>
              <w:rPr>
                <w:rFonts w:ascii="Calibri" w:eastAsia="Calibri" w:hAnsi="Calibri" w:cs="Times New Roman"/>
              </w:rPr>
              <w:t>1998</w:t>
            </w:r>
          </w:p>
        </w:tc>
        <w:tc>
          <w:tcPr>
            <w:tcW w:w="0" w:type="auto"/>
          </w:tcPr>
          <w:p w14:paraId="7738F702" w14:textId="64EFC1ED" w:rsidR="00335698" w:rsidRPr="00D32BE8" w:rsidRDefault="00B17C7B" w:rsidP="00335698">
            <w:pPr>
              <w:spacing w:before="120" w:after="0" w:line="276" w:lineRule="auto"/>
              <w:rPr>
                <w:rFonts w:ascii="Calibri" w:eastAsia="Calibri" w:hAnsi="Calibri" w:cs="Times New Roman"/>
              </w:rPr>
            </w:pPr>
            <w:r>
              <w:rPr>
                <w:rFonts w:ascii="Calibri" w:eastAsia="Calibri" w:hAnsi="Calibri" w:cs="Times New Roman"/>
              </w:rPr>
              <w:t>5.37</w:t>
            </w:r>
          </w:p>
        </w:tc>
        <w:tc>
          <w:tcPr>
            <w:tcW w:w="0" w:type="auto"/>
          </w:tcPr>
          <w:p w14:paraId="5F68F220" w14:textId="592D7916" w:rsidR="00335698" w:rsidRPr="00D32BE8" w:rsidRDefault="00B17C7B" w:rsidP="00335698">
            <w:pPr>
              <w:spacing w:before="120" w:after="0" w:line="276" w:lineRule="auto"/>
              <w:rPr>
                <w:rFonts w:ascii="Calibri" w:eastAsia="Calibri" w:hAnsi="Calibri" w:cs="Times New Roman"/>
              </w:rPr>
            </w:pPr>
            <w:r>
              <w:rPr>
                <w:rFonts w:ascii="Calibri" w:eastAsia="Calibri" w:hAnsi="Calibri" w:cs="Times New Roman"/>
              </w:rPr>
              <w:t>5.37</w:t>
            </w:r>
          </w:p>
        </w:tc>
        <w:tc>
          <w:tcPr>
            <w:tcW w:w="0" w:type="auto"/>
          </w:tcPr>
          <w:p w14:paraId="581D8CC4" w14:textId="77777777" w:rsidR="00335698" w:rsidRPr="00D32BE8" w:rsidRDefault="00335698" w:rsidP="00335698">
            <w:pPr>
              <w:spacing w:before="120" w:after="0" w:line="276" w:lineRule="auto"/>
              <w:rPr>
                <w:rFonts w:ascii="Calibri" w:eastAsia="Calibri" w:hAnsi="Calibri" w:cs="Times New Roman"/>
              </w:rPr>
            </w:pPr>
          </w:p>
        </w:tc>
      </w:tr>
      <w:tr w:rsidR="0057617E" w:rsidRPr="00FE7B32" w14:paraId="71993210" w14:textId="41F0FD16" w:rsidTr="007E0575">
        <w:trPr>
          <w:cantSplit/>
          <w:trHeight w:val="20"/>
          <w:jc w:val="center"/>
        </w:trPr>
        <w:tc>
          <w:tcPr>
            <w:tcW w:w="0" w:type="auto"/>
          </w:tcPr>
          <w:p w14:paraId="16533D7F" w14:textId="0DAC7A54" w:rsidR="0057617E" w:rsidRPr="00750031" w:rsidRDefault="0057617E" w:rsidP="0057617E">
            <w:pPr>
              <w:spacing w:before="120" w:after="0" w:line="276" w:lineRule="auto"/>
              <w:rPr>
                <w:rFonts w:ascii="Calibri" w:eastAsia="Calibri" w:hAnsi="Calibri" w:cs="Times New Roman"/>
              </w:rPr>
            </w:pPr>
          </w:p>
        </w:tc>
        <w:tc>
          <w:tcPr>
            <w:tcW w:w="0" w:type="auto"/>
          </w:tcPr>
          <w:p w14:paraId="126AE238" w14:textId="7276538D" w:rsidR="0057617E" w:rsidRPr="00FE7B32" w:rsidRDefault="0057617E" w:rsidP="0057617E">
            <w:pPr>
              <w:spacing w:before="120" w:after="0" w:line="276" w:lineRule="auto"/>
              <w:rPr>
                <w:rFonts w:ascii="Calibri" w:eastAsia="Calibri" w:hAnsi="Calibri" w:cs="Times New Roman"/>
                <w:color w:val="FF0000"/>
              </w:rPr>
            </w:pPr>
          </w:p>
        </w:tc>
        <w:tc>
          <w:tcPr>
            <w:tcW w:w="0" w:type="auto"/>
          </w:tcPr>
          <w:p w14:paraId="297530D9" w14:textId="75953F27" w:rsidR="0057617E" w:rsidRPr="004C0975" w:rsidRDefault="0057617E" w:rsidP="0057617E">
            <w:pPr>
              <w:spacing w:before="120" w:after="0" w:line="276" w:lineRule="auto"/>
              <w:rPr>
                <w:rFonts w:ascii="Calibri" w:eastAsia="Calibri" w:hAnsi="Calibri" w:cs="Times New Roman"/>
              </w:rPr>
            </w:pPr>
            <w:r w:rsidRPr="004C0975">
              <w:rPr>
                <w:rFonts w:ascii="Calibri" w:eastAsia="Calibri" w:hAnsi="Calibri" w:cs="Times New Roman"/>
              </w:rPr>
              <w:t>Median</w:t>
            </w:r>
          </w:p>
        </w:tc>
        <w:tc>
          <w:tcPr>
            <w:tcW w:w="0" w:type="auto"/>
          </w:tcPr>
          <w:p w14:paraId="0FDFB8A5" w14:textId="52C905B8" w:rsidR="0057617E" w:rsidRPr="004C0975" w:rsidRDefault="0057617E" w:rsidP="0057617E">
            <w:pPr>
              <w:spacing w:before="120" w:after="0" w:line="276" w:lineRule="auto"/>
              <w:rPr>
                <w:rFonts w:ascii="Calibri" w:eastAsia="Calibri" w:hAnsi="Calibri" w:cs="Times New Roman"/>
              </w:rPr>
            </w:pPr>
            <w:r w:rsidRPr="004C0975">
              <w:rPr>
                <w:rFonts w:ascii="Calibri" w:eastAsia="Calibri" w:hAnsi="Calibri" w:cs="Times New Roman"/>
              </w:rPr>
              <w:t>IQR</w:t>
            </w:r>
          </w:p>
        </w:tc>
        <w:tc>
          <w:tcPr>
            <w:tcW w:w="0" w:type="auto"/>
          </w:tcPr>
          <w:p w14:paraId="14BB542E" w14:textId="3E6780FC" w:rsidR="0057617E" w:rsidRPr="00CF047A" w:rsidRDefault="0057617E" w:rsidP="0057617E">
            <w:pPr>
              <w:spacing w:before="120" w:after="0" w:line="276" w:lineRule="auto"/>
              <w:rPr>
                <w:rFonts w:ascii="Calibri" w:eastAsia="Calibri" w:hAnsi="Calibri" w:cs="Times New Roman"/>
              </w:rPr>
            </w:pPr>
          </w:p>
        </w:tc>
        <w:tc>
          <w:tcPr>
            <w:tcW w:w="0" w:type="auto"/>
          </w:tcPr>
          <w:p w14:paraId="552A17AC" w14:textId="2060D8BD" w:rsidR="0057617E" w:rsidRPr="00CF047A" w:rsidRDefault="0057617E" w:rsidP="0057617E">
            <w:pPr>
              <w:spacing w:before="120" w:after="0" w:line="276" w:lineRule="auto"/>
              <w:rPr>
                <w:rFonts w:ascii="Calibri" w:eastAsia="Calibri" w:hAnsi="Calibri" w:cs="Times New Roman"/>
                <w:lang w:val="sv-SE"/>
              </w:rPr>
            </w:pPr>
          </w:p>
        </w:tc>
        <w:tc>
          <w:tcPr>
            <w:tcW w:w="0" w:type="auto"/>
          </w:tcPr>
          <w:p w14:paraId="367F9055" w14:textId="0733AE26" w:rsidR="0057617E" w:rsidRPr="00CF047A" w:rsidRDefault="0057617E" w:rsidP="0057617E">
            <w:pPr>
              <w:spacing w:before="120" w:after="0" w:line="276" w:lineRule="auto"/>
              <w:rPr>
                <w:rFonts w:ascii="Calibri" w:eastAsia="Calibri" w:hAnsi="Calibri" w:cs="Times New Roman"/>
                <w:lang w:val="sv-SE"/>
              </w:rPr>
            </w:pPr>
            <w:r w:rsidRPr="004C0975">
              <w:rPr>
                <w:rFonts w:ascii="Calibri" w:eastAsia="Calibri" w:hAnsi="Calibri" w:cs="Times New Roman"/>
              </w:rPr>
              <w:t>Median</w:t>
            </w:r>
          </w:p>
        </w:tc>
        <w:tc>
          <w:tcPr>
            <w:tcW w:w="0" w:type="auto"/>
          </w:tcPr>
          <w:p w14:paraId="4F2D4236" w14:textId="64ACA0AC" w:rsidR="0057617E" w:rsidRPr="00CF047A" w:rsidRDefault="0057617E" w:rsidP="0057617E">
            <w:pPr>
              <w:spacing w:before="120" w:after="0" w:line="276" w:lineRule="auto"/>
              <w:rPr>
                <w:rFonts w:ascii="Calibri" w:eastAsia="Calibri" w:hAnsi="Calibri" w:cs="Times New Roman"/>
                <w:lang w:val="sv-SE"/>
              </w:rPr>
            </w:pPr>
            <w:r w:rsidRPr="004C0975">
              <w:rPr>
                <w:rFonts w:ascii="Calibri" w:eastAsia="Calibri" w:hAnsi="Calibri" w:cs="Times New Roman"/>
              </w:rPr>
              <w:t>IQR</w:t>
            </w:r>
          </w:p>
        </w:tc>
        <w:tc>
          <w:tcPr>
            <w:tcW w:w="0" w:type="auto"/>
          </w:tcPr>
          <w:p w14:paraId="1651E5B1" w14:textId="77777777" w:rsidR="0057617E" w:rsidRPr="00FE7B32" w:rsidRDefault="0057617E" w:rsidP="0057617E">
            <w:pPr>
              <w:spacing w:before="120" w:after="0" w:line="276" w:lineRule="auto"/>
              <w:rPr>
                <w:rFonts w:ascii="Calibri" w:eastAsia="Calibri" w:hAnsi="Calibri" w:cs="Times New Roman"/>
                <w:color w:val="FF0000"/>
                <w:lang w:val="sv-SE"/>
              </w:rPr>
            </w:pPr>
          </w:p>
        </w:tc>
      </w:tr>
      <w:tr w:rsidR="00C13491" w:rsidRPr="00FE7B32" w14:paraId="008D84A6" w14:textId="2118F329" w:rsidTr="007D1E29">
        <w:trPr>
          <w:cantSplit/>
          <w:trHeight w:val="20"/>
          <w:jc w:val="center"/>
        </w:trPr>
        <w:tc>
          <w:tcPr>
            <w:tcW w:w="0" w:type="auto"/>
          </w:tcPr>
          <w:p w14:paraId="1D228959" w14:textId="2652B8E7" w:rsidR="00C13491" w:rsidRPr="00750031" w:rsidRDefault="00E80307" w:rsidP="0057617E">
            <w:pPr>
              <w:spacing w:before="120" w:after="0" w:line="276" w:lineRule="auto"/>
              <w:rPr>
                <w:rFonts w:ascii="Calibri" w:eastAsia="Calibri" w:hAnsi="Calibri" w:cs="Times New Roman"/>
              </w:rPr>
            </w:pPr>
            <w:r>
              <w:rPr>
                <w:rFonts w:ascii="Calibri" w:eastAsia="Calibri" w:hAnsi="Calibri" w:cs="Calibri"/>
              </w:rPr>
              <w:t xml:space="preserve">    </w:t>
            </w:r>
            <w:r w:rsidR="00C13491" w:rsidRPr="00750031">
              <w:rPr>
                <w:rFonts w:ascii="Calibri" w:eastAsia="Calibri" w:hAnsi="Calibri" w:cs="Calibri"/>
              </w:rPr>
              <w:t xml:space="preserve">Hip fracture </w:t>
            </w:r>
          </w:p>
        </w:tc>
        <w:tc>
          <w:tcPr>
            <w:tcW w:w="0" w:type="auto"/>
          </w:tcPr>
          <w:p w14:paraId="50FBE6C9" w14:textId="5D1A685B" w:rsidR="00C13491" w:rsidRPr="00092D7B" w:rsidRDefault="00C13491" w:rsidP="0057617E">
            <w:pPr>
              <w:spacing w:before="120" w:after="0" w:line="276" w:lineRule="auto"/>
              <w:rPr>
                <w:rFonts w:ascii="Calibri" w:eastAsia="Calibri" w:hAnsi="Calibri" w:cs="Times New Roman"/>
              </w:rPr>
            </w:pPr>
            <w:r w:rsidRPr="00092D7B">
              <w:rPr>
                <w:rFonts w:cstheme="minorHAnsi"/>
                <w:lang w:val="en-US"/>
              </w:rPr>
              <w:t>1122</w:t>
            </w:r>
          </w:p>
        </w:tc>
        <w:tc>
          <w:tcPr>
            <w:tcW w:w="0" w:type="auto"/>
          </w:tcPr>
          <w:p w14:paraId="6AD1837C" w14:textId="79659452" w:rsidR="00C13491" w:rsidRPr="00CF047A" w:rsidRDefault="00C13491" w:rsidP="0057617E">
            <w:pPr>
              <w:spacing w:before="120" w:after="0" w:line="276" w:lineRule="auto"/>
              <w:rPr>
                <w:rFonts w:ascii="Calibri" w:eastAsia="Calibri" w:hAnsi="Calibri" w:cs="Times New Roman"/>
              </w:rPr>
            </w:pPr>
            <w:r>
              <w:rPr>
                <w:rFonts w:ascii="Calibri" w:eastAsia="Calibri" w:hAnsi="Calibri" w:cs="Times New Roman"/>
              </w:rPr>
              <w:t>0.5</w:t>
            </w:r>
          </w:p>
        </w:tc>
        <w:tc>
          <w:tcPr>
            <w:tcW w:w="0" w:type="auto"/>
          </w:tcPr>
          <w:p w14:paraId="02AE1D6B" w14:textId="0D3B34C5" w:rsidR="00C13491" w:rsidRPr="00CF047A" w:rsidRDefault="00C13491" w:rsidP="0057617E">
            <w:pPr>
              <w:spacing w:before="120" w:after="0" w:line="276" w:lineRule="auto"/>
              <w:rPr>
                <w:rFonts w:ascii="Calibri" w:eastAsia="Calibri" w:hAnsi="Calibri" w:cs="Times New Roman"/>
              </w:rPr>
            </w:pPr>
            <w:r>
              <w:rPr>
                <w:rFonts w:ascii="Calibri" w:eastAsia="Calibri" w:hAnsi="Calibri" w:cs="Times New Roman"/>
              </w:rPr>
              <w:t>0.2-1.3</w:t>
            </w:r>
          </w:p>
        </w:tc>
        <w:tc>
          <w:tcPr>
            <w:tcW w:w="0" w:type="auto"/>
          </w:tcPr>
          <w:p w14:paraId="6CAB3E9A" w14:textId="70AB129A" w:rsidR="00C13491" w:rsidRPr="00CF047A" w:rsidRDefault="00C13491" w:rsidP="0057617E">
            <w:pPr>
              <w:spacing w:before="120" w:after="0" w:line="276" w:lineRule="auto"/>
              <w:rPr>
                <w:rFonts w:ascii="Calibri" w:eastAsia="Calibri" w:hAnsi="Calibri" w:cs="Times New Roman"/>
              </w:rPr>
            </w:pPr>
          </w:p>
        </w:tc>
        <w:tc>
          <w:tcPr>
            <w:tcW w:w="0" w:type="auto"/>
          </w:tcPr>
          <w:p w14:paraId="55351D45" w14:textId="3D7D7285" w:rsidR="00C13491" w:rsidRPr="00CF047A" w:rsidRDefault="00C13491" w:rsidP="0057617E">
            <w:pPr>
              <w:spacing w:before="120" w:after="0" w:line="276" w:lineRule="auto"/>
              <w:rPr>
                <w:rFonts w:cstheme="minorHAnsi"/>
                <w:lang w:val="en-US"/>
              </w:rPr>
            </w:pPr>
            <w:r>
              <w:rPr>
                <w:rFonts w:cstheme="minorHAnsi"/>
                <w:lang w:val="en-US"/>
              </w:rPr>
              <w:t>1998</w:t>
            </w:r>
          </w:p>
        </w:tc>
        <w:tc>
          <w:tcPr>
            <w:tcW w:w="0" w:type="auto"/>
          </w:tcPr>
          <w:p w14:paraId="2D547551" w14:textId="5D7DF56B" w:rsidR="00C13491" w:rsidRPr="00C13491" w:rsidRDefault="00C13491" w:rsidP="0057617E">
            <w:pPr>
              <w:spacing w:before="120" w:after="0" w:line="276" w:lineRule="auto"/>
              <w:rPr>
                <w:rFonts w:cstheme="minorHAnsi"/>
                <w:lang w:val="en-US"/>
              </w:rPr>
            </w:pPr>
            <w:r w:rsidRPr="00C13491">
              <w:rPr>
                <w:rFonts w:cstheme="minorHAnsi"/>
                <w:lang w:val="en-US"/>
              </w:rPr>
              <w:t>0.8</w:t>
            </w:r>
          </w:p>
        </w:tc>
        <w:tc>
          <w:tcPr>
            <w:tcW w:w="0" w:type="auto"/>
          </w:tcPr>
          <w:p w14:paraId="27E0BC87" w14:textId="35259E71" w:rsidR="00C13491" w:rsidRPr="00C13491" w:rsidRDefault="00C13491" w:rsidP="0057617E">
            <w:pPr>
              <w:spacing w:before="120" w:after="0" w:line="276" w:lineRule="auto"/>
              <w:rPr>
                <w:rFonts w:cstheme="minorHAnsi"/>
                <w:lang w:val="en-US"/>
              </w:rPr>
            </w:pPr>
            <w:r w:rsidRPr="00C13491">
              <w:rPr>
                <w:rFonts w:cstheme="minorHAnsi"/>
                <w:lang w:val="en-US"/>
              </w:rPr>
              <w:t>0.3-2.6</w:t>
            </w:r>
          </w:p>
        </w:tc>
        <w:tc>
          <w:tcPr>
            <w:tcW w:w="0" w:type="auto"/>
          </w:tcPr>
          <w:p w14:paraId="73AD4ADA" w14:textId="77777777" w:rsidR="00C13491" w:rsidRPr="00FE7B32" w:rsidRDefault="00C13491" w:rsidP="0057617E">
            <w:pPr>
              <w:spacing w:before="120" w:after="0" w:line="276" w:lineRule="auto"/>
              <w:rPr>
                <w:rFonts w:cstheme="minorHAnsi"/>
                <w:color w:val="FF0000"/>
                <w:lang w:val="en-US"/>
              </w:rPr>
            </w:pPr>
          </w:p>
        </w:tc>
      </w:tr>
      <w:tr w:rsidR="00C13491" w:rsidRPr="00FE7B32" w14:paraId="12A8ACBB" w14:textId="09B57A00" w:rsidTr="00DB2498">
        <w:trPr>
          <w:cantSplit/>
          <w:trHeight w:val="20"/>
          <w:jc w:val="center"/>
        </w:trPr>
        <w:tc>
          <w:tcPr>
            <w:tcW w:w="0" w:type="auto"/>
          </w:tcPr>
          <w:p w14:paraId="2C42F6C5" w14:textId="38C72480" w:rsidR="00C13491" w:rsidRPr="00750031" w:rsidRDefault="00E80307" w:rsidP="0057617E">
            <w:pPr>
              <w:spacing w:before="120" w:after="0" w:line="276" w:lineRule="auto"/>
              <w:rPr>
                <w:rFonts w:ascii="Calibri" w:eastAsia="Calibri" w:hAnsi="Calibri" w:cs="Times New Roman"/>
              </w:rPr>
            </w:pPr>
            <w:r>
              <w:rPr>
                <w:rFonts w:ascii="Calibri" w:eastAsia="Calibri" w:hAnsi="Calibri" w:cs="Calibri"/>
              </w:rPr>
              <w:t xml:space="preserve">    </w:t>
            </w:r>
            <w:r w:rsidR="00C13491" w:rsidRPr="00750031">
              <w:rPr>
                <w:rFonts w:ascii="Calibri" w:eastAsia="Calibri" w:hAnsi="Calibri" w:cs="Calibri"/>
              </w:rPr>
              <w:t xml:space="preserve">MOF </w:t>
            </w:r>
          </w:p>
        </w:tc>
        <w:tc>
          <w:tcPr>
            <w:tcW w:w="0" w:type="auto"/>
          </w:tcPr>
          <w:p w14:paraId="2001BD5F" w14:textId="5FBFB227" w:rsidR="00C13491" w:rsidRPr="00092D7B" w:rsidRDefault="00C13491" w:rsidP="0057617E">
            <w:pPr>
              <w:spacing w:before="120" w:after="0" w:line="276" w:lineRule="auto"/>
              <w:rPr>
                <w:rFonts w:ascii="Calibri" w:eastAsia="Calibri" w:hAnsi="Calibri" w:cs="Times New Roman"/>
              </w:rPr>
            </w:pPr>
            <w:r w:rsidRPr="00092D7B">
              <w:rPr>
                <w:rFonts w:cstheme="minorHAnsi"/>
                <w:lang w:val="en-US"/>
              </w:rPr>
              <w:t>1122</w:t>
            </w:r>
          </w:p>
        </w:tc>
        <w:tc>
          <w:tcPr>
            <w:tcW w:w="0" w:type="auto"/>
          </w:tcPr>
          <w:p w14:paraId="7DCAA084" w14:textId="5783302F" w:rsidR="00C13491" w:rsidRPr="00CF047A" w:rsidRDefault="00C13491" w:rsidP="0057617E">
            <w:pPr>
              <w:spacing w:before="120" w:after="0" w:line="276" w:lineRule="auto"/>
              <w:rPr>
                <w:rFonts w:ascii="Calibri" w:eastAsia="Calibri" w:hAnsi="Calibri" w:cs="Times New Roman"/>
              </w:rPr>
            </w:pPr>
            <w:r>
              <w:rPr>
                <w:rFonts w:ascii="Calibri" w:eastAsia="Calibri" w:hAnsi="Calibri" w:cs="Times New Roman"/>
              </w:rPr>
              <w:t>1.9</w:t>
            </w:r>
          </w:p>
        </w:tc>
        <w:tc>
          <w:tcPr>
            <w:tcW w:w="0" w:type="auto"/>
          </w:tcPr>
          <w:p w14:paraId="617CD695" w14:textId="147E8EE7" w:rsidR="00C13491" w:rsidRPr="00CF047A" w:rsidRDefault="00C13491" w:rsidP="0057617E">
            <w:pPr>
              <w:spacing w:before="120" w:after="0" w:line="276" w:lineRule="auto"/>
              <w:rPr>
                <w:rFonts w:ascii="Calibri" w:eastAsia="Calibri" w:hAnsi="Calibri" w:cs="Times New Roman"/>
              </w:rPr>
            </w:pPr>
            <w:r>
              <w:rPr>
                <w:rFonts w:ascii="Calibri" w:eastAsia="Calibri" w:hAnsi="Calibri" w:cs="Times New Roman"/>
              </w:rPr>
              <w:t>1.2-3.3</w:t>
            </w:r>
          </w:p>
        </w:tc>
        <w:tc>
          <w:tcPr>
            <w:tcW w:w="0" w:type="auto"/>
          </w:tcPr>
          <w:p w14:paraId="0D4106A5" w14:textId="69199D57" w:rsidR="00C13491" w:rsidRPr="00CF047A" w:rsidRDefault="00C13491" w:rsidP="0057617E">
            <w:pPr>
              <w:spacing w:before="120" w:after="0" w:line="276" w:lineRule="auto"/>
              <w:rPr>
                <w:rFonts w:ascii="Calibri" w:eastAsia="Calibri" w:hAnsi="Calibri" w:cs="Times New Roman"/>
              </w:rPr>
            </w:pPr>
          </w:p>
        </w:tc>
        <w:tc>
          <w:tcPr>
            <w:tcW w:w="0" w:type="auto"/>
          </w:tcPr>
          <w:p w14:paraId="1215FF43" w14:textId="58928830" w:rsidR="00C13491" w:rsidRPr="00CF047A" w:rsidRDefault="00C13491" w:rsidP="0057617E">
            <w:pPr>
              <w:spacing w:before="120" w:after="0" w:line="276" w:lineRule="auto"/>
              <w:rPr>
                <w:rFonts w:cstheme="minorHAnsi"/>
                <w:lang w:val="en-US"/>
              </w:rPr>
            </w:pPr>
            <w:r>
              <w:rPr>
                <w:rFonts w:cstheme="minorHAnsi"/>
                <w:lang w:val="en-US"/>
              </w:rPr>
              <w:t>1998</w:t>
            </w:r>
          </w:p>
        </w:tc>
        <w:tc>
          <w:tcPr>
            <w:tcW w:w="0" w:type="auto"/>
          </w:tcPr>
          <w:p w14:paraId="09C3A37A" w14:textId="23BF8E88" w:rsidR="00C13491" w:rsidRPr="00C13491" w:rsidRDefault="00C13491" w:rsidP="0057617E">
            <w:pPr>
              <w:spacing w:before="120" w:after="0" w:line="276" w:lineRule="auto"/>
              <w:rPr>
                <w:rFonts w:cstheme="minorHAnsi"/>
                <w:lang w:val="en-US"/>
              </w:rPr>
            </w:pPr>
            <w:r w:rsidRPr="00C13491">
              <w:rPr>
                <w:rFonts w:cstheme="minorHAnsi"/>
                <w:lang w:val="en-US"/>
              </w:rPr>
              <w:t>3.3</w:t>
            </w:r>
          </w:p>
        </w:tc>
        <w:tc>
          <w:tcPr>
            <w:tcW w:w="0" w:type="auto"/>
          </w:tcPr>
          <w:p w14:paraId="025B96BE" w14:textId="1E3AA139" w:rsidR="00C13491" w:rsidRPr="00C13491" w:rsidRDefault="00C13491" w:rsidP="0057617E">
            <w:pPr>
              <w:spacing w:before="120" w:after="0" w:line="276" w:lineRule="auto"/>
              <w:rPr>
                <w:rFonts w:cstheme="minorHAnsi"/>
                <w:lang w:val="en-US"/>
              </w:rPr>
            </w:pPr>
            <w:r w:rsidRPr="00C13491">
              <w:rPr>
                <w:rFonts w:cstheme="minorHAnsi"/>
                <w:lang w:val="en-US"/>
              </w:rPr>
              <w:t>1.7-7.2</w:t>
            </w:r>
          </w:p>
        </w:tc>
        <w:tc>
          <w:tcPr>
            <w:tcW w:w="0" w:type="auto"/>
          </w:tcPr>
          <w:p w14:paraId="0EB2A64E" w14:textId="77777777" w:rsidR="00C13491" w:rsidRPr="00FE7B32" w:rsidRDefault="00C13491" w:rsidP="0057617E">
            <w:pPr>
              <w:spacing w:before="120" w:after="0" w:line="276" w:lineRule="auto"/>
              <w:rPr>
                <w:rFonts w:cstheme="minorHAnsi"/>
                <w:color w:val="FF0000"/>
                <w:lang w:val="en-US"/>
              </w:rPr>
            </w:pPr>
          </w:p>
        </w:tc>
      </w:tr>
      <w:tr w:rsidR="00AF0EE7" w:rsidRPr="00FE7B32" w14:paraId="7543E2F1" w14:textId="77777777" w:rsidTr="001D0AA3">
        <w:trPr>
          <w:cantSplit/>
          <w:trHeight w:val="20"/>
          <w:jc w:val="center"/>
        </w:trPr>
        <w:tc>
          <w:tcPr>
            <w:tcW w:w="0" w:type="auto"/>
            <w:gridSpan w:val="9"/>
          </w:tcPr>
          <w:p w14:paraId="70DD4F9B" w14:textId="43FE8440" w:rsidR="00AF0EE7" w:rsidRPr="00FE7B32" w:rsidRDefault="00AF0EE7" w:rsidP="0057617E">
            <w:pPr>
              <w:spacing w:before="120" w:after="0" w:line="276" w:lineRule="auto"/>
              <w:rPr>
                <w:rFonts w:cstheme="minorHAnsi"/>
                <w:color w:val="FF0000"/>
                <w:lang w:val="en-US"/>
              </w:rPr>
            </w:pPr>
            <w:r>
              <w:rPr>
                <w:rFonts w:ascii="Calibri" w:eastAsia="Calibri" w:hAnsi="Calibri" w:cs="Calibri"/>
              </w:rPr>
              <w:t>*Calculated without BMD</w:t>
            </w:r>
            <w:r w:rsidR="00E5504E">
              <w:rPr>
                <w:rFonts w:ascii="Calibri" w:eastAsia="Calibri" w:hAnsi="Calibri" w:cs="Calibri"/>
              </w:rPr>
              <w:t>;</w:t>
            </w:r>
            <w:r w:rsidR="00E80307">
              <w:rPr>
                <w:rFonts w:ascii="Calibri" w:eastAsia="Calibri" w:hAnsi="Calibri" w:cs="Calibri"/>
              </w:rPr>
              <w:br/>
            </w:r>
            <w:r w:rsidR="00E5504E">
              <w:rPr>
                <w:rFonts w:ascii="Calibri" w:eastAsia="Calibri" w:hAnsi="Calibri" w:cs="Calibri"/>
              </w:rPr>
              <w:t xml:space="preserve"> IQR interquartile range</w:t>
            </w:r>
          </w:p>
        </w:tc>
      </w:tr>
    </w:tbl>
    <w:p w14:paraId="3339C410" w14:textId="77777777" w:rsidR="006F4C0E" w:rsidRPr="00FE7B32" w:rsidRDefault="006F4C0E" w:rsidP="00AA1754">
      <w:pPr>
        <w:autoSpaceDE w:val="0"/>
        <w:autoSpaceDN w:val="0"/>
        <w:adjustRightInd w:val="0"/>
        <w:spacing w:after="0" w:line="276" w:lineRule="auto"/>
        <w:rPr>
          <w:rFonts w:ascii="Calibri" w:hAnsi="Calibri" w:cs="Calibri"/>
          <w:color w:val="FF0000"/>
          <w:sz w:val="24"/>
          <w:szCs w:val="24"/>
        </w:rPr>
      </w:pPr>
    </w:p>
    <w:p w14:paraId="041EC340" w14:textId="5031CBCF" w:rsidR="005A502D" w:rsidRDefault="00D16D96" w:rsidP="00671363">
      <w:pPr>
        <w:autoSpaceDE w:val="0"/>
        <w:autoSpaceDN w:val="0"/>
        <w:adjustRightInd w:val="0"/>
        <w:spacing w:after="0" w:line="276" w:lineRule="auto"/>
        <w:ind w:left="567"/>
        <w:rPr>
          <w:rFonts w:ascii="Calibri" w:hAnsi="Calibri" w:cs="Calibri"/>
          <w:sz w:val="24"/>
          <w:szCs w:val="24"/>
        </w:rPr>
      </w:pPr>
      <w:r>
        <w:rPr>
          <w:noProof/>
        </w:rPr>
        <w:drawing>
          <wp:anchor distT="0" distB="0" distL="114300" distR="114300" simplePos="0" relativeHeight="251659264" behindDoc="0" locked="0" layoutInCell="1" allowOverlap="1" wp14:anchorId="12650B7B" wp14:editId="4069EBC3">
            <wp:simplePos x="0" y="0"/>
            <wp:positionH relativeFrom="column">
              <wp:posOffset>-228600</wp:posOffset>
            </wp:positionH>
            <wp:positionV relativeFrom="paragraph">
              <wp:posOffset>349885</wp:posOffset>
            </wp:positionV>
            <wp:extent cx="5731510" cy="2976245"/>
            <wp:effectExtent l="0" t="0" r="254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3989" b="3693"/>
                    <a:stretch/>
                  </pic:blipFill>
                  <pic:spPr bwMode="auto">
                    <a:xfrm>
                      <a:off x="0" y="0"/>
                      <a:ext cx="5731510" cy="29762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714AF" w:rsidRPr="00407DA3">
        <w:rPr>
          <w:rFonts w:ascii="Calibri" w:hAnsi="Calibri" w:cs="Calibri"/>
          <w:sz w:val="24"/>
          <w:szCs w:val="24"/>
        </w:rPr>
        <w:t xml:space="preserve"> </w:t>
      </w:r>
    </w:p>
    <w:p w14:paraId="09A2D3FE" w14:textId="71687A89" w:rsidR="00AD0538" w:rsidRPr="00407DA3" w:rsidRDefault="00AD0538" w:rsidP="00671363">
      <w:pPr>
        <w:autoSpaceDE w:val="0"/>
        <w:autoSpaceDN w:val="0"/>
        <w:adjustRightInd w:val="0"/>
        <w:spacing w:after="0" w:line="276" w:lineRule="auto"/>
        <w:ind w:left="567"/>
        <w:rPr>
          <w:rFonts w:ascii="Calibri" w:hAnsi="Calibri" w:cs="Calibri"/>
          <w:sz w:val="24"/>
          <w:szCs w:val="24"/>
        </w:rPr>
      </w:pPr>
    </w:p>
    <w:p w14:paraId="7520711C" w14:textId="5ECF8116" w:rsidR="006334F5" w:rsidRDefault="006334F5" w:rsidP="00F65447">
      <w:pPr>
        <w:spacing w:after="200" w:line="276" w:lineRule="auto"/>
        <w:ind w:left="1418" w:right="1513"/>
        <w:rPr>
          <w:rFonts w:ascii="Calibri" w:eastAsia="Calibri" w:hAnsi="Calibri" w:cs="Calibri"/>
          <w:sz w:val="24"/>
          <w:szCs w:val="24"/>
          <w:shd w:val="clear" w:color="auto" w:fill="FFFFFF"/>
        </w:rPr>
      </w:pPr>
      <w:r w:rsidRPr="006334F5">
        <w:rPr>
          <w:rFonts w:ascii="Calibri" w:eastAsia="Calibri" w:hAnsi="Calibri" w:cs="Calibri"/>
          <w:b/>
          <w:bCs/>
          <w:shd w:val="clear" w:color="auto" w:fill="FFFFFF"/>
        </w:rPr>
        <w:t xml:space="preserve">Fig. </w:t>
      </w:r>
      <w:r w:rsidR="005E5A74">
        <w:rPr>
          <w:rFonts w:ascii="Calibri" w:eastAsia="Calibri" w:hAnsi="Calibri" w:cs="Calibri"/>
          <w:b/>
          <w:bCs/>
          <w:shd w:val="clear" w:color="auto" w:fill="FFFFFF"/>
        </w:rPr>
        <w:t>2</w:t>
      </w:r>
      <w:r>
        <w:rPr>
          <w:rFonts w:ascii="Calibri" w:eastAsia="Calibri" w:hAnsi="Calibri" w:cs="Calibri"/>
          <w:shd w:val="clear" w:color="auto" w:fill="FFFFFF"/>
        </w:rPr>
        <w:t xml:space="preserve"> 10-year probability of a major osteoporotic fracture calculated without BMD in women</w:t>
      </w:r>
      <w:r w:rsidR="002A68D5">
        <w:rPr>
          <w:rFonts w:ascii="Calibri" w:eastAsia="Calibri" w:hAnsi="Calibri" w:cs="Calibri"/>
          <w:shd w:val="clear" w:color="auto" w:fill="FFFFFF"/>
        </w:rPr>
        <w:t xml:space="preserve"> according to age</w:t>
      </w:r>
      <w:r>
        <w:rPr>
          <w:rFonts w:ascii="Calibri" w:eastAsia="Calibri" w:hAnsi="Calibri" w:cs="Calibri"/>
          <w:shd w:val="clear" w:color="auto" w:fill="FFFFFF"/>
        </w:rPr>
        <w:t xml:space="preserve">. </w:t>
      </w:r>
      <w:r w:rsidR="002A68D5">
        <w:rPr>
          <w:rFonts w:ascii="Calibri" w:eastAsia="Calibri" w:hAnsi="Calibri" w:cs="Calibri"/>
          <w:shd w:val="clear" w:color="auto" w:fill="FFFFFF"/>
        </w:rPr>
        <w:t xml:space="preserve"> </w:t>
      </w:r>
      <w:r>
        <w:rPr>
          <w:rFonts w:ascii="Calibri" w:eastAsia="Calibri" w:hAnsi="Calibri" w:cs="Calibri"/>
          <w:shd w:val="clear" w:color="auto" w:fill="FFFFFF"/>
        </w:rPr>
        <w:t>Circular symbols denote women with a prior fracture</w:t>
      </w:r>
      <w:r>
        <w:rPr>
          <w:rFonts w:ascii="Calibri" w:eastAsia="Calibri" w:hAnsi="Calibri" w:cs="Calibri"/>
          <w:sz w:val="24"/>
          <w:szCs w:val="24"/>
          <w:shd w:val="clear" w:color="auto" w:fill="FFFFFF"/>
        </w:rPr>
        <w:t>.</w:t>
      </w:r>
      <w:r w:rsidR="008D6C57">
        <w:rPr>
          <w:rFonts w:ascii="Calibri" w:eastAsia="Calibri" w:hAnsi="Calibri" w:cs="Calibri"/>
          <w:shd w:val="clear" w:color="auto" w:fill="FFFFFF"/>
        </w:rPr>
        <w:t xml:space="preserve">   </w:t>
      </w:r>
    </w:p>
    <w:p w14:paraId="426BB1CB" w14:textId="3890901D" w:rsidR="00E17B62" w:rsidRDefault="00E17B62" w:rsidP="00AA1754">
      <w:pPr>
        <w:autoSpaceDE w:val="0"/>
        <w:autoSpaceDN w:val="0"/>
        <w:adjustRightInd w:val="0"/>
        <w:spacing w:after="0" w:line="276" w:lineRule="auto"/>
        <w:rPr>
          <w:rFonts w:ascii="Calibri" w:hAnsi="Calibri" w:cs="Calibri"/>
          <w:color w:val="FF0000"/>
          <w:sz w:val="24"/>
          <w:szCs w:val="24"/>
        </w:rPr>
      </w:pPr>
    </w:p>
    <w:p w14:paraId="5C957F80" w14:textId="3FA1B254" w:rsidR="007659E2" w:rsidRDefault="007659E2" w:rsidP="00D244F0">
      <w:pPr>
        <w:spacing w:after="200" w:line="276" w:lineRule="auto"/>
        <w:ind w:left="567"/>
        <w:rPr>
          <w:rFonts w:ascii="Calibri" w:eastAsia="Calibri" w:hAnsi="Calibri" w:cs="Calibri"/>
          <w:i/>
          <w:iCs/>
          <w:sz w:val="24"/>
          <w:szCs w:val="24"/>
          <w:shd w:val="clear" w:color="auto" w:fill="FFFFFF"/>
        </w:rPr>
      </w:pPr>
      <w:r w:rsidRPr="00E61FF3">
        <w:rPr>
          <w:rFonts w:ascii="Calibri" w:eastAsia="Calibri" w:hAnsi="Calibri" w:cs="Calibri"/>
          <w:i/>
          <w:iCs/>
          <w:sz w:val="24"/>
          <w:szCs w:val="24"/>
          <w:shd w:val="clear" w:color="auto" w:fill="FFFFFF"/>
        </w:rPr>
        <w:t>Management pathway</w:t>
      </w:r>
    </w:p>
    <w:p w14:paraId="6FE79963" w14:textId="77777777" w:rsidR="00DA722D" w:rsidRDefault="00AC1FC8" w:rsidP="00D244F0">
      <w:pPr>
        <w:spacing w:after="200" w:line="276" w:lineRule="auto"/>
        <w:ind w:left="567"/>
        <w:rPr>
          <w:rFonts w:ascii="Calibri" w:eastAsia="Calibri" w:hAnsi="Calibri" w:cs="Calibri"/>
          <w:sz w:val="24"/>
          <w:szCs w:val="24"/>
          <w:shd w:val="clear" w:color="auto" w:fill="FFFFFF"/>
        </w:rPr>
      </w:pPr>
      <w:r w:rsidRPr="00AC1FC8">
        <w:rPr>
          <w:rFonts w:ascii="Calibri" w:eastAsia="Calibri" w:hAnsi="Calibri" w:cs="Calibri"/>
          <w:sz w:val="24"/>
          <w:szCs w:val="24"/>
          <w:shd w:val="clear" w:color="auto" w:fill="FFFFFF"/>
        </w:rPr>
        <w:t xml:space="preserve">In total, </w:t>
      </w:r>
      <w:r w:rsidR="00A84034">
        <w:rPr>
          <w:rFonts w:ascii="Calibri" w:eastAsia="Calibri" w:hAnsi="Calibri" w:cs="Calibri"/>
          <w:sz w:val="24"/>
          <w:szCs w:val="24"/>
          <w:shd w:val="clear" w:color="auto" w:fill="FFFFFF"/>
        </w:rPr>
        <w:t>242</w:t>
      </w:r>
      <w:r w:rsidRPr="00AC1FC8">
        <w:rPr>
          <w:rFonts w:ascii="Calibri" w:eastAsia="Calibri" w:hAnsi="Calibri" w:cs="Calibri"/>
          <w:sz w:val="24"/>
          <w:szCs w:val="24"/>
          <w:shd w:val="clear" w:color="auto" w:fill="FFFFFF"/>
        </w:rPr>
        <w:t xml:space="preserve"> of 1</w:t>
      </w:r>
      <w:r w:rsidR="00D7650F">
        <w:rPr>
          <w:rFonts w:ascii="Calibri" w:eastAsia="Calibri" w:hAnsi="Calibri" w:cs="Calibri"/>
          <w:sz w:val="24"/>
          <w:szCs w:val="24"/>
          <w:shd w:val="clear" w:color="auto" w:fill="FFFFFF"/>
        </w:rPr>
        <w:t>998</w:t>
      </w:r>
      <w:r w:rsidRPr="00AC1FC8">
        <w:rPr>
          <w:rFonts w:ascii="Calibri" w:eastAsia="Calibri" w:hAnsi="Calibri" w:cs="Calibri"/>
          <w:sz w:val="24"/>
          <w:szCs w:val="24"/>
          <w:shd w:val="clear" w:color="auto" w:fill="FFFFFF"/>
        </w:rPr>
        <w:t xml:space="preserve"> women </w:t>
      </w:r>
      <w:r w:rsidR="00D7650F">
        <w:rPr>
          <w:rFonts w:ascii="Calibri" w:eastAsia="Calibri" w:hAnsi="Calibri" w:cs="Calibri"/>
          <w:sz w:val="24"/>
          <w:szCs w:val="24"/>
          <w:shd w:val="clear" w:color="auto" w:fill="FFFFFF"/>
        </w:rPr>
        <w:t>5</w:t>
      </w:r>
      <w:r w:rsidRPr="00AC1FC8">
        <w:rPr>
          <w:rFonts w:ascii="Calibri" w:eastAsia="Calibri" w:hAnsi="Calibri" w:cs="Calibri"/>
          <w:sz w:val="24"/>
          <w:szCs w:val="24"/>
          <w:shd w:val="clear" w:color="auto" w:fill="FFFFFF"/>
        </w:rPr>
        <w:t>0 years of age or above (</w:t>
      </w:r>
      <w:r w:rsidR="00D7650F">
        <w:rPr>
          <w:rFonts w:ascii="Calibri" w:eastAsia="Calibri" w:hAnsi="Calibri" w:cs="Calibri"/>
          <w:sz w:val="24"/>
          <w:szCs w:val="24"/>
          <w:shd w:val="clear" w:color="auto" w:fill="FFFFFF"/>
        </w:rPr>
        <w:t>12.1</w:t>
      </w:r>
      <w:r w:rsidRPr="00AC1FC8">
        <w:rPr>
          <w:rFonts w:ascii="Calibri" w:eastAsia="Calibri" w:hAnsi="Calibri" w:cs="Calibri"/>
          <w:sz w:val="24"/>
          <w:szCs w:val="24"/>
          <w:shd w:val="clear" w:color="auto" w:fill="FFFFFF"/>
        </w:rPr>
        <w:t>%</w:t>
      </w:r>
      <w:r w:rsidR="00923479">
        <w:rPr>
          <w:rFonts w:ascii="Calibri" w:eastAsia="Calibri" w:hAnsi="Calibri" w:cs="Calibri"/>
          <w:sz w:val="24"/>
          <w:szCs w:val="24"/>
          <w:shd w:val="clear" w:color="auto" w:fill="FFFFFF"/>
        </w:rPr>
        <w:t xml:space="preserve"> of the female cohort</w:t>
      </w:r>
      <w:r w:rsidRPr="00AC1FC8">
        <w:rPr>
          <w:rFonts w:ascii="Calibri" w:eastAsia="Calibri" w:hAnsi="Calibri" w:cs="Calibri"/>
          <w:sz w:val="24"/>
          <w:szCs w:val="24"/>
          <w:shd w:val="clear" w:color="auto" w:fill="FFFFFF"/>
        </w:rPr>
        <w:t>) had a prior fragility fracture and would be eligible for treatment on this basis.</w:t>
      </w:r>
      <w:r w:rsidR="003E7F46">
        <w:rPr>
          <w:rFonts w:ascii="Calibri" w:eastAsia="Calibri" w:hAnsi="Calibri" w:cs="Calibri"/>
          <w:sz w:val="24"/>
          <w:szCs w:val="24"/>
          <w:shd w:val="clear" w:color="auto" w:fill="FFFFFF"/>
        </w:rPr>
        <w:t xml:space="preserve">  In the </w:t>
      </w:r>
      <w:r w:rsidR="003E7F46">
        <w:rPr>
          <w:rFonts w:ascii="Calibri" w:eastAsia="Calibri" w:hAnsi="Calibri" w:cs="Calibri"/>
          <w:sz w:val="24"/>
          <w:szCs w:val="24"/>
          <w:shd w:val="clear" w:color="auto" w:fill="FFFFFF"/>
        </w:rPr>
        <w:lastRenderedPageBreak/>
        <w:t>case of men</w:t>
      </w:r>
      <w:r w:rsidR="00923479">
        <w:rPr>
          <w:rFonts w:ascii="Calibri" w:eastAsia="Calibri" w:hAnsi="Calibri" w:cs="Calibri"/>
          <w:sz w:val="24"/>
          <w:szCs w:val="24"/>
          <w:shd w:val="clear" w:color="auto" w:fill="FFFFFF"/>
        </w:rPr>
        <w:t>,</w:t>
      </w:r>
      <w:r w:rsidR="003472DD">
        <w:rPr>
          <w:rFonts w:ascii="Calibri" w:eastAsia="Calibri" w:hAnsi="Calibri" w:cs="Calibri"/>
          <w:sz w:val="24"/>
          <w:szCs w:val="24"/>
          <w:shd w:val="clear" w:color="auto" w:fill="FFFFFF"/>
        </w:rPr>
        <w:t xml:space="preserve"> 137 </w:t>
      </w:r>
      <w:r w:rsidR="00A261AA">
        <w:rPr>
          <w:rFonts w:ascii="Calibri" w:eastAsia="Calibri" w:hAnsi="Calibri" w:cs="Calibri"/>
          <w:sz w:val="24"/>
          <w:szCs w:val="24"/>
          <w:shd w:val="clear" w:color="auto" w:fill="FFFFFF"/>
        </w:rPr>
        <w:t xml:space="preserve">(12.2%) </w:t>
      </w:r>
      <w:r w:rsidR="003472DD">
        <w:rPr>
          <w:rFonts w:ascii="Calibri" w:eastAsia="Calibri" w:hAnsi="Calibri" w:cs="Calibri"/>
          <w:sz w:val="24"/>
          <w:szCs w:val="24"/>
          <w:shd w:val="clear" w:color="auto" w:fill="FFFFFF"/>
        </w:rPr>
        <w:t>had a prior fracture</w:t>
      </w:r>
      <w:r w:rsidR="006A4869">
        <w:rPr>
          <w:rFonts w:ascii="Calibri" w:eastAsia="Calibri" w:hAnsi="Calibri" w:cs="Calibri"/>
          <w:sz w:val="24"/>
          <w:szCs w:val="24"/>
          <w:shd w:val="clear" w:color="auto" w:fill="FFFFFF"/>
        </w:rPr>
        <w:t xml:space="preserve">.  </w:t>
      </w:r>
      <w:r w:rsidR="000762F6">
        <w:rPr>
          <w:rFonts w:ascii="Calibri" w:eastAsia="Calibri" w:hAnsi="Calibri" w:cs="Calibri"/>
          <w:sz w:val="24"/>
          <w:szCs w:val="24"/>
          <w:shd w:val="clear" w:color="auto" w:fill="FFFFFF"/>
        </w:rPr>
        <w:t xml:space="preserve">The categorisation of </w:t>
      </w:r>
      <w:r w:rsidR="005A3AD2">
        <w:rPr>
          <w:rFonts w:ascii="Calibri" w:eastAsia="Calibri" w:hAnsi="Calibri" w:cs="Calibri"/>
          <w:sz w:val="24"/>
          <w:szCs w:val="24"/>
          <w:shd w:val="clear" w:color="auto" w:fill="FFFFFF"/>
        </w:rPr>
        <w:t xml:space="preserve">the cohort according to </w:t>
      </w:r>
      <w:r w:rsidR="00F235C8">
        <w:rPr>
          <w:rFonts w:ascii="Calibri" w:eastAsia="Calibri" w:hAnsi="Calibri" w:cs="Calibri"/>
          <w:sz w:val="24"/>
          <w:szCs w:val="24"/>
          <w:shd w:val="clear" w:color="auto" w:fill="FFFFFF"/>
        </w:rPr>
        <w:t>threshold strategy (age-specific or hybrid</w:t>
      </w:r>
      <w:r w:rsidR="00AD680D">
        <w:rPr>
          <w:rFonts w:ascii="Calibri" w:eastAsia="Calibri" w:hAnsi="Calibri" w:cs="Calibri"/>
          <w:sz w:val="24"/>
          <w:szCs w:val="24"/>
          <w:shd w:val="clear" w:color="auto" w:fill="FFFFFF"/>
        </w:rPr>
        <w:t>) is sho</w:t>
      </w:r>
      <w:r w:rsidR="00DA722D">
        <w:rPr>
          <w:rFonts w:ascii="Calibri" w:eastAsia="Calibri" w:hAnsi="Calibri" w:cs="Calibri"/>
          <w:sz w:val="24"/>
          <w:szCs w:val="24"/>
          <w:shd w:val="clear" w:color="auto" w:fill="FFFFFF"/>
        </w:rPr>
        <w:t>w</w:t>
      </w:r>
      <w:r w:rsidR="00AD680D">
        <w:rPr>
          <w:rFonts w:ascii="Calibri" w:eastAsia="Calibri" w:hAnsi="Calibri" w:cs="Calibri"/>
          <w:sz w:val="24"/>
          <w:szCs w:val="24"/>
          <w:shd w:val="clear" w:color="auto" w:fill="FFFFFF"/>
        </w:rPr>
        <w:t>n in table 3</w:t>
      </w:r>
      <w:r w:rsidR="00DA722D">
        <w:rPr>
          <w:rFonts w:ascii="Calibri" w:eastAsia="Calibri" w:hAnsi="Calibri" w:cs="Calibri"/>
          <w:sz w:val="24"/>
          <w:szCs w:val="24"/>
          <w:shd w:val="clear" w:color="auto" w:fill="FFFFFF"/>
        </w:rPr>
        <w:t>.</w:t>
      </w:r>
    </w:p>
    <w:p w14:paraId="725181BF" w14:textId="140B5CC4" w:rsidR="00AC1FC8" w:rsidRDefault="00314155" w:rsidP="00D244F0">
      <w:pPr>
        <w:spacing w:after="200" w:line="276" w:lineRule="auto"/>
        <w:ind w:left="567"/>
        <w:rPr>
          <w:rFonts w:ascii="Calibri" w:eastAsia="Calibri" w:hAnsi="Calibri" w:cs="Calibri"/>
          <w:sz w:val="24"/>
          <w:szCs w:val="24"/>
          <w:shd w:val="clear" w:color="auto" w:fill="FFFFFF"/>
        </w:rPr>
      </w:pPr>
      <w:r>
        <w:rPr>
          <w:rFonts w:ascii="Calibri" w:eastAsia="Calibri" w:hAnsi="Calibri" w:cs="Calibri"/>
          <w:sz w:val="24"/>
          <w:szCs w:val="24"/>
          <w:shd w:val="clear" w:color="auto" w:fill="FFFFFF"/>
        </w:rPr>
        <w:t>Age-dependent threshold</w:t>
      </w:r>
      <w:r w:rsidR="008D55A3">
        <w:rPr>
          <w:rFonts w:ascii="Calibri" w:eastAsia="Calibri" w:hAnsi="Calibri" w:cs="Calibri"/>
          <w:sz w:val="24"/>
          <w:szCs w:val="24"/>
          <w:shd w:val="clear" w:color="auto" w:fill="FFFFFF"/>
        </w:rPr>
        <w:br/>
      </w:r>
      <w:r w:rsidR="00D223E1" w:rsidRPr="00A40E82">
        <w:rPr>
          <w:rFonts w:ascii="Calibri" w:eastAsia="Calibri" w:hAnsi="Calibri" w:cs="Calibri"/>
          <w:sz w:val="24"/>
          <w:szCs w:val="24"/>
          <w:shd w:val="clear" w:color="auto" w:fill="FFFFFF"/>
        </w:rPr>
        <w:t>For those without a prior fracture (n=</w:t>
      </w:r>
      <w:r w:rsidR="00383A2E" w:rsidRPr="00A40E82">
        <w:rPr>
          <w:rFonts w:ascii="Calibri" w:eastAsia="Calibri" w:hAnsi="Calibri" w:cs="Calibri"/>
          <w:sz w:val="24"/>
          <w:szCs w:val="24"/>
          <w:shd w:val="clear" w:color="auto" w:fill="FFFFFF"/>
        </w:rPr>
        <w:t>1756</w:t>
      </w:r>
      <w:r w:rsidR="00D223E1" w:rsidRPr="00A40E82">
        <w:rPr>
          <w:rFonts w:ascii="Calibri" w:eastAsia="Calibri" w:hAnsi="Calibri" w:cs="Calibri"/>
          <w:sz w:val="24"/>
          <w:szCs w:val="24"/>
          <w:shd w:val="clear" w:color="auto" w:fill="FFFFFF"/>
        </w:rPr>
        <w:t>), 5</w:t>
      </w:r>
      <w:r w:rsidR="00EC2ECB" w:rsidRPr="00A40E82">
        <w:rPr>
          <w:rFonts w:ascii="Calibri" w:eastAsia="Calibri" w:hAnsi="Calibri" w:cs="Calibri"/>
          <w:sz w:val="24"/>
          <w:szCs w:val="24"/>
          <w:shd w:val="clear" w:color="auto" w:fill="FFFFFF"/>
        </w:rPr>
        <w:t>1</w:t>
      </w:r>
      <w:r w:rsidR="00D223E1" w:rsidRPr="00A40E82">
        <w:rPr>
          <w:rFonts w:ascii="Calibri" w:eastAsia="Calibri" w:hAnsi="Calibri" w:cs="Calibri"/>
          <w:sz w:val="24"/>
          <w:szCs w:val="24"/>
          <w:shd w:val="clear" w:color="auto" w:fill="FFFFFF"/>
        </w:rPr>
        <w:t xml:space="preserve"> additional women (</w:t>
      </w:r>
      <w:r w:rsidR="00EC2ECB" w:rsidRPr="00A40E82">
        <w:rPr>
          <w:rFonts w:ascii="Calibri" w:eastAsia="Calibri" w:hAnsi="Calibri" w:cs="Calibri"/>
          <w:sz w:val="24"/>
          <w:szCs w:val="24"/>
          <w:shd w:val="clear" w:color="auto" w:fill="FFFFFF"/>
        </w:rPr>
        <w:t>2.6</w:t>
      </w:r>
      <w:r w:rsidR="00D223E1" w:rsidRPr="00A40E82">
        <w:rPr>
          <w:rFonts w:ascii="Calibri" w:eastAsia="Calibri" w:hAnsi="Calibri" w:cs="Calibri"/>
          <w:sz w:val="24"/>
          <w:szCs w:val="24"/>
          <w:shd w:val="clear" w:color="auto" w:fill="FFFFFF"/>
        </w:rPr>
        <w:t xml:space="preserve">% of </w:t>
      </w:r>
      <w:r w:rsidR="00EC2ECB" w:rsidRPr="00A40E82">
        <w:rPr>
          <w:rFonts w:ascii="Calibri" w:eastAsia="Calibri" w:hAnsi="Calibri" w:cs="Calibri"/>
          <w:sz w:val="24"/>
          <w:szCs w:val="24"/>
          <w:shd w:val="clear" w:color="auto" w:fill="FFFFFF"/>
        </w:rPr>
        <w:t>all women</w:t>
      </w:r>
      <w:r w:rsidR="00D223E1" w:rsidRPr="00A40E82">
        <w:rPr>
          <w:rFonts w:ascii="Calibri" w:eastAsia="Calibri" w:hAnsi="Calibri" w:cs="Calibri"/>
          <w:sz w:val="24"/>
          <w:szCs w:val="24"/>
          <w:shd w:val="clear" w:color="auto" w:fill="FFFFFF"/>
        </w:rPr>
        <w:t xml:space="preserve">) would be eligible for treatment in that their fracture probability without BMD exceeded the </w:t>
      </w:r>
      <w:r w:rsidR="00E63237" w:rsidRPr="00A40E82">
        <w:rPr>
          <w:rFonts w:ascii="Calibri" w:eastAsia="Calibri" w:hAnsi="Calibri" w:cs="Calibri"/>
          <w:sz w:val="24"/>
          <w:szCs w:val="24"/>
          <w:shd w:val="clear" w:color="auto" w:fill="FFFFFF"/>
        </w:rPr>
        <w:t>intervention</w:t>
      </w:r>
      <w:r w:rsidR="00D223E1" w:rsidRPr="00A40E82">
        <w:rPr>
          <w:rFonts w:ascii="Calibri" w:eastAsia="Calibri" w:hAnsi="Calibri" w:cs="Calibri"/>
          <w:sz w:val="24"/>
          <w:szCs w:val="24"/>
          <w:shd w:val="clear" w:color="auto" w:fill="FFFFFF"/>
        </w:rPr>
        <w:t xml:space="preserve"> threshold for </w:t>
      </w:r>
      <w:r w:rsidR="00E63237" w:rsidRPr="00A40E82">
        <w:rPr>
          <w:rFonts w:ascii="Calibri" w:eastAsia="Calibri" w:hAnsi="Calibri" w:cs="Calibri"/>
          <w:sz w:val="24"/>
          <w:szCs w:val="24"/>
          <w:shd w:val="clear" w:color="auto" w:fill="FFFFFF"/>
        </w:rPr>
        <w:t>Chile</w:t>
      </w:r>
      <w:r w:rsidR="00D223E1" w:rsidRPr="00A40E82">
        <w:rPr>
          <w:rFonts w:ascii="Calibri" w:eastAsia="Calibri" w:hAnsi="Calibri" w:cs="Calibri"/>
          <w:sz w:val="24"/>
          <w:szCs w:val="24"/>
          <w:shd w:val="clear" w:color="auto" w:fill="FFFFFF"/>
        </w:rPr>
        <w:t>.</w:t>
      </w:r>
      <w:r w:rsidR="00830044" w:rsidRPr="00A40E82">
        <w:rPr>
          <w:sz w:val="24"/>
          <w:szCs w:val="24"/>
        </w:rPr>
        <w:t xml:space="preserve"> </w:t>
      </w:r>
      <w:r w:rsidR="004D475B" w:rsidRPr="00A40E82">
        <w:rPr>
          <w:sz w:val="24"/>
          <w:szCs w:val="24"/>
        </w:rPr>
        <w:t xml:space="preserve"> </w:t>
      </w:r>
      <w:r w:rsidR="0056630B" w:rsidRPr="00A40E82">
        <w:rPr>
          <w:sz w:val="24"/>
          <w:szCs w:val="24"/>
        </w:rPr>
        <w:t>Overall (including women with a prior fracture</w:t>
      </w:r>
      <w:r w:rsidR="00453EE3" w:rsidRPr="00A40E82">
        <w:rPr>
          <w:sz w:val="24"/>
          <w:szCs w:val="24"/>
        </w:rPr>
        <w:t xml:space="preserve">) </w:t>
      </w:r>
      <w:r w:rsidR="006C5488" w:rsidRPr="00A40E82">
        <w:rPr>
          <w:sz w:val="24"/>
          <w:szCs w:val="24"/>
        </w:rPr>
        <w:t>14.7</w:t>
      </w:r>
      <w:r w:rsidR="0032396B" w:rsidRPr="00A40E82">
        <w:rPr>
          <w:sz w:val="24"/>
          <w:szCs w:val="24"/>
        </w:rPr>
        <w:t>% o</w:t>
      </w:r>
      <w:r w:rsidR="00A40E82" w:rsidRPr="00A40E82">
        <w:rPr>
          <w:sz w:val="24"/>
          <w:szCs w:val="24"/>
        </w:rPr>
        <w:t>f</w:t>
      </w:r>
      <w:r w:rsidR="0032396B" w:rsidRPr="00A40E82">
        <w:rPr>
          <w:sz w:val="24"/>
          <w:szCs w:val="24"/>
        </w:rPr>
        <w:t xml:space="preserve"> women would be eligible for treatment.  </w:t>
      </w:r>
      <w:bookmarkStart w:id="6" w:name="_Hlk112764080"/>
      <w:r w:rsidR="0032396B" w:rsidRPr="00A40E82">
        <w:rPr>
          <w:sz w:val="24"/>
          <w:szCs w:val="24"/>
        </w:rPr>
        <w:t>The population</w:t>
      </w:r>
      <w:r w:rsidR="008339A0" w:rsidRPr="00A40E82">
        <w:rPr>
          <w:sz w:val="24"/>
          <w:szCs w:val="24"/>
        </w:rPr>
        <w:t xml:space="preserve"> </w:t>
      </w:r>
      <w:bookmarkStart w:id="7" w:name="_Hlk112764163"/>
      <w:r w:rsidR="008339A0" w:rsidRPr="00A40E82">
        <w:rPr>
          <w:sz w:val="24"/>
          <w:szCs w:val="24"/>
        </w:rPr>
        <w:t>eligible for treatment</w:t>
      </w:r>
      <w:r w:rsidR="0032396B" w:rsidRPr="00A40E82">
        <w:rPr>
          <w:sz w:val="24"/>
          <w:szCs w:val="24"/>
        </w:rPr>
        <w:t xml:space="preserve"> </w:t>
      </w:r>
      <w:bookmarkEnd w:id="7"/>
      <w:r w:rsidR="0032396B" w:rsidRPr="00A40E82">
        <w:rPr>
          <w:sz w:val="24"/>
          <w:szCs w:val="24"/>
        </w:rPr>
        <w:t>had an average MOF probability</w:t>
      </w:r>
      <w:r w:rsidR="00960CF3" w:rsidRPr="00A40E82">
        <w:rPr>
          <w:sz w:val="24"/>
          <w:szCs w:val="24"/>
        </w:rPr>
        <w:t xml:space="preserve"> </w:t>
      </w:r>
      <w:r w:rsidR="00122B54" w:rsidRPr="00A40E82">
        <w:rPr>
          <w:sz w:val="24"/>
          <w:szCs w:val="24"/>
        </w:rPr>
        <w:t>of 12.0</w:t>
      </w:r>
      <w:r w:rsidR="001229B1">
        <w:rPr>
          <w:sz w:val="24"/>
          <w:szCs w:val="24"/>
        </w:rPr>
        <w:t>%</w:t>
      </w:r>
      <w:r w:rsidR="00122B54" w:rsidRPr="00A40E82">
        <w:rPr>
          <w:sz w:val="24"/>
          <w:szCs w:val="24"/>
        </w:rPr>
        <w:t xml:space="preserve"> compared with</w:t>
      </w:r>
      <w:r w:rsidR="00651954" w:rsidRPr="00A40E82">
        <w:rPr>
          <w:sz w:val="24"/>
          <w:szCs w:val="24"/>
        </w:rPr>
        <w:t xml:space="preserve"> 5.4% in all women</w:t>
      </w:r>
      <w:r w:rsidR="00E45FC1" w:rsidRPr="00A40E82">
        <w:rPr>
          <w:sz w:val="24"/>
          <w:szCs w:val="24"/>
        </w:rPr>
        <w:t xml:space="preserve"> (ratio 2.22</w:t>
      </w:r>
      <w:bookmarkEnd w:id="6"/>
      <w:r w:rsidR="002D16DF" w:rsidRPr="00A40E82">
        <w:rPr>
          <w:sz w:val="24"/>
          <w:szCs w:val="24"/>
        </w:rPr>
        <w:t xml:space="preserve">). </w:t>
      </w:r>
      <w:r w:rsidR="002D16DF">
        <w:rPr>
          <w:sz w:val="24"/>
          <w:szCs w:val="24"/>
        </w:rPr>
        <w:t xml:space="preserve"> </w:t>
      </w:r>
      <w:r w:rsidR="002D16DF" w:rsidRPr="00A40E82">
        <w:rPr>
          <w:sz w:val="24"/>
          <w:szCs w:val="24"/>
        </w:rPr>
        <w:t>For</w:t>
      </w:r>
      <w:r w:rsidR="00830044" w:rsidRPr="00A40E82">
        <w:rPr>
          <w:rFonts w:ascii="Calibri" w:eastAsia="Calibri" w:hAnsi="Calibri" w:cs="Calibri"/>
          <w:sz w:val="24"/>
          <w:szCs w:val="24"/>
          <w:shd w:val="clear" w:color="auto" w:fill="FFFFFF"/>
        </w:rPr>
        <w:t xml:space="preserve"> men without a prior fracture (n=</w:t>
      </w:r>
      <w:r w:rsidR="00E107DA" w:rsidRPr="00A40E82">
        <w:rPr>
          <w:rFonts w:ascii="Calibri" w:eastAsia="Calibri" w:hAnsi="Calibri" w:cs="Calibri"/>
          <w:sz w:val="24"/>
          <w:szCs w:val="24"/>
          <w:shd w:val="clear" w:color="auto" w:fill="FFFFFF"/>
        </w:rPr>
        <w:t>985</w:t>
      </w:r>
      <w:r w:rsidR="00830044" w:rsidRPr="00A40E82">
        <w:rPr>
          <w:rFonts w:ascii="Calibri" w:eastAsia="Calibri" w:hAnsi="Calibri" w:cs="Calibri"/>
          <w:sz w:val="24"/>
          <w:szCs w:val="24"/>
          <w:shd w:val="clear" w:color="auto" w:fill="FFFFFF"/>
        </w:rPr>
        <w:t xml:space="preserve">), </w:t>
      </w:r>
      <w:r w:rsidR="00E107DA" w:rsidRPr="00A40E82">
        <w:rPr>
          <w:rFonts w:ascii="Calibri" w:eastAsia="Calibri" w:hAnsi="Calibri" w:cs="Calibri"/>
          <w:sz w:val="24"/>
          <w:szCs w:val="24"/>
          <w:shd w:val="clear" w:color="auto" w:fill="FFFFFF"/>
        </w:rPr>
        <w:t>only 2</w:t>
      </w:r>
      <w:r w:rsidR="00830044" w:rsidRPr="00A40E82">
        <w:rPr>
          <w:rFonts w:ascii="Calibri" w:eastAsia="Calibri" w:hAnsi="Calibri" w:cs="Calibri"/>
          <w:sz w:val="24"/>
          <w:szCs w:val="24"/>
          <w:shd w:val="clear" w:color="auto" w:fill="FFFFFF"/>
        </w:rPr>
        <w:t xml:space="preserve"> additional </w:t>
      </w:r>
      <w:r w:rsidR="008D55A3" w:rsidRPr="00A40E82">
        <w:rPr>
          <w:rFonts w:ascii="Calibri" w:eastAsia="Calibri" w:hAnsi="Calibri" w:cs="Calibri"/>
          <w:sz w:val="24"/>
          <w:szCs w:val="24"/>
          <w:shd w:val="clear" w:color="auto" w:fill="FFFFFF"/>
        </w:rPr>
        <w:t>men would</w:t>
      </w:r>
      <w:r w:rsidR="00830044" w:rsidRPr="00A40E82">
        <w:rPr>
          <w:rFonts w:ascii="Calibri" w:eastAsia="Calibri" w:hAnsi="Calibri" w:cs="Calibri"/>
          <w:sz w:val="24"/>
          <w:szCs w:val="24"/>
          <w:shd w:val="clear" w:color="auto" w:fill="FFFFFF"/>
        </w:rPr>
        <w:t xml:space="preserve"> be eligible for treatment in that their fracture probability without BMD exceeded the </w:t>
      </w:r>
      <w:r w:rsidR="00A40E82">
        <w:rPr>
          <w:rFonts w:ascii="Calibri" w:eastAsia="Calibri" w:hAnsi="Calibri" w:cs="Calibri"/>
          <w:sz w:val="24"/>
          <w:szCs w:val="24"/>
          <w:shd w:val="clear" w:color="auto" w:fill="FFFFFF"/>
        </w:rPr>
        <w:t xml:space="preserve">age-specific </w:t>
      </w:r>
      <w:r w:rsidR="00830044" w:rsidRPr="00A40E82">
        <w:rPr>
          <w:rFonts w:ascii="Calibri" w:eastAsia="Calibri" w:hAnsi="Calibri" w:cs="Calibri"/>
          <w:sz w:val="24"/>
          <w:szCs w:val="24"/>
          <w:shd w:val="clear" w:color="auto" w:fill="FFFFFF"/>
        </w:rPr>
        <w:t>intervention threshold</w:t>
      </w:r>
      <w:proofErr w:type="gramStart"/>
      <w:r w:rsidR="00830044" w:rsidRPr="00A40E82">
        <w:rPr>
          <w:rFonts w:ascii="Calibri" w:eastAsia="Calibri" w:hAnsi="Calibri" w:cs="Calibri"/>
          <w:sz w:val="24"/>
          <w:szCs w:val="24"/>
          <w:shd w:val="clear" w:color="auto" w:fill="FFFFFF"/>
        </w:rPr>
        <w:t>.</w:t>
      </w:r>
      <w:r w:rsidR="00E45FC1" w:rsidRPr="00A40E82">
        <w:rPr>
          <w:sz w:val="24"/>
          <w:szCs w:val="24"/>
        </w:rPr>
        <w:t xml:space="preserve"> </w:t>
      </w:r>
      <w:proofErr w:type="gramEnd"/>
      <w:r w:rsidR="00E45FC1" w:rsidRPr="00A40E82">
        <w:rPr>
          <w:rFonts w:ascii="Calibri" w:eastAsia="Calibri" w:hAnsi="Calibri" w:cs="Calibri"/>
          <w:sz w:val="24"/>
          <w:szCs w:val="24"/>
          <w:shd w:val="clear" w:color="auto" w:fill="FFFFFF"/>
        </w:rPr>
        <w:t xml:space="preserve">The </w:t>
      </w:r>
      <w:r w:rsidR="00537073" w:rsidRPr="00A40E82">
        <w:rPr>
          <w:rFonts w:ascii="Calibri" w:eastAsia="Calibri" w:hAnsi="Calibri" w:cs="Calibri"/>
          <w:sz w:val="24"/>
          <w:szCs w:val="24"/>
          <w:shd w:val="clear" w:color="auto" w:fill="FFFFFF"/>
        </w:rPr>
        <w:t>men</w:t>
      </w:r>
      <w:r w:rsidR="00E45FC1" w:rsidRPr="00A40E82">
        <w:rPr>
          <w:rFonts w:ascii="Calibri" w:eastAsia="Calibri" w:hAnsi="Calibri" w:cs="Calibri"/>
          <w:sz w:val="24"/>
          <w:szCs w:val="24"/>
          <w:shd w:val="clear" w:color="auto" w:fill="FFFFFF"/>
        </w:rPr>
        <w:t xml:space="preserve"> </w:t>
      </w:r>
      <w:r w:rsidR="00537073" w:rsidRPr="00A40E82">
        <w:rPr>
          <w:sz w:val="24"/>
          <w:szCs w:val="24"/>
        </w:rPr>
        <w:t>eligible for treatment</w:t>
      </w:r>
      <w:r w:rsidR="00E45FC1" w:rsidRPr="00A40E82">
        <w:rPr>
          <w:rFonts w:ascii="Calibri" w:eastAsia="Calibri" w:hAnsi="Calibri" w:cs="Calibri"/>
          <w:sz w:val="24"/>
          <w:szCs w:val="24"/>
          <w:shd w:val="clear" w:color="auto" w:fill="FFFFFF"/>
        </w:rPr>
        <w:t xml:space="preserve"> had an average MOF probability of </w:t>
      </w:r>
      <w:r w:rsidR="002A3308" w:rsidRPr="00A40E82">
        <w:rPr>
          <w:rFonts w:ascii="Calibri" w:eastAsia="Calibri" w:hAnsi="Calibri" w:cs="Calibri"/>
          <w:sz w:val="24"/>
          <w:szCs w:val="24"/>
          <w:shd w:val="clear" w:color="auto" w:fill="FFFFFF"/>
        </w:rPr>
        <w:t>4.5%</w:t>
      </w:r>
      <w:r w:rsidR="00E45FC1" w:rsidRPr="00A40E82">
        <w:rPr>
          <w:rFonts w:ascii="Calibri" w:eastAsia="Calibri" w:hAnsi="Calibri" w:cs="Calibri"/>
          <w:sz w:val="24"/>
          <w:szCs w:val="24"/>
          <w:shd w:val="clear" w:color="auto" w:fill="FFFFFF"/>
        </w:rPr>
        <w:t xml:space="preserve"> compared with </w:t>
      </w:r>
      <w:r w:rsidR="002A3308" w:rsidRPr="00A40E82">
        <w:rPr>
          <w:rFonts w:ascii="Calibri" w:eastAsia="Calibri" w:hAnsi="Calibri" w:cs="Calibri"/>
          <w:sz w:val="24"/>
          <w:szCs w:val="24"/>
          <w:shd w:val="clear" w:color="auto" w:fill="FFFFFF"/>
        </w:rPr>
        <w:t>2.5</w:t>
      </w:r>
      <w:r w:rsidR="00E45FC1" w:rsidRPr="00A40E82">
        <w:rPr>
          <w:rFonts w:ascii="Calibri" w:eastAsia="Calibri" w:hAnsi="Calibri" w:cs="Calibri"/>
          <w:sz w:val="24"/>
          <w:szCs w:val="24"/>
          <w:shd w:val="clear" w:color="auto" w:fill="FFFFFF"/>
        </w:rPr>
        <w:t xml:space="preserve">% in all men (ratio </w:t>
      </w:r>
      <w:r w:rsidR="00604073" w:rsidRPr="00A40E82">
        <w:rPr>
          <w:rFonts w:ascii="Calibri" w:eastAsia="Calibri" w:hAnsi="Calibri" w:cs="Calibri"/>
          <w:sz w:val="24"/>
          <w:szCs w:val="24"/>
          <w:shd w:val="clear" w:color="auto" w:fill="FFFFFF"/>
        </w:rPr>
        <w:t>1.80</w:t>
      </w:r>
      <w:r w:rsidR="00E45FC1" w:rsidRPr="00A40E82">
        <w:rPr>
          <w:rFonts w:ascii="Calibri" w:eastAsia="Calibri" w:hAnsi="Calibri" w:cs="Calibri"/>
          <w:sz w:val="24"/>
          <w:szCs w:val="24"/>
          <w:shd w:val="clear" w:color="auto" w:fill="FFFFFF"/>
        </w:rPr>
        <w:t>)</w:t>
      </w:r>
      <w:r w:rsidR="002D16DF">
        <w:rPr>
          <w:rFonts w:ascii="Calibri" w:eastAsia="Calibri" w:hAnsi="Calibri" w:cs="Calibri"/>
          <w:sz w:val="24"/>
          <w:szCs w:val="24"/>
          <w:shd w:val="clear" w:color="auto" w:fill="FFFFFF"/>
        </w:rPr>
        <w:t xml:space="preserve">.  </w:t>
      </w:r>
      <w:bookmarkStart w:id="8" w:name="_Hlk113119742"/>
      <w:r w:rsidR="002D16DF" w:rsidRPr="002D16DF">
        <w:rPr>
          <w:rFonts w:ascii="Calibri" w:eastAsia="Calibri" w:hAnsi="Calibri" w:cs="Calibri"/>
          <w:sz w:val="24"/>
          <w:szCs w:val="24"/>
          <w:shd w:val="clear" w:color="auto" w:fill="FFFFFF"/>
        </w:rPr>
        <w:t xml:space="preserve">If BMD tests were not to be undertaken, then an additional 35 patients who lay above the intervention threshold would be eligible for treatment with the age dependent thresholds (average probability 11.7%).  </w:t>
      </w:r>
      <w:bookmarkEnd w:id="8"/>
    </w:p>
    <w:p w14:paraId="5D50ED9E" w14:textId="5F02E0DD" w:rsidR="00FA63D1" w:rsidRDefault="00FA63D1" w:rsidP="00D244F0">
      <w:pPr>
        <w:spacing w:after="200" w:line="276" w:lineRule="auto"/>
        <w:ind w:left="567"/>
        <w:rPr>
          <w:rFonts w:ascii="Calibri" w:eastAsia="Calibri" w:hAnsi="Calibri" w:cs="Calibri"/>
          <w:sz w:val="24"/>
          <w:szCs w:val="24"/>
          <w:shd w:val="clear" w:color="auto" w:fill="FFFFFF"/>
        </w:rPr>
      </w:pPr>
      <w:r>
        <w:rPr>
          <w:rFonts w:ascii="Calibri" w:eastAsia="Calibri" w:hAnsi="Calibri" w:cs="Calibri"/>
          <w:sz w:val="24"/>
          <w:szCs w:val="24"/>
          <w:shd w:val="clear" w:color="auto" w:fill="FFFFFF"/>
        </w:rPr>
        <w:t>Hybrid threshold</w:t>
      </w:r>
      <w:r w:rsidR="00AF7E04">
        <w:rPr>
          <w:rFonts w:ascii="Calibri" w:eastAsia="Calibri" w:hAnsi="Calibri" w:cs="Calibri"/>
          <w:sz w:val="24"/>
          <w:szCs w:val="24"/>
          <w:shd w:val="clear" w:color="auto" w:fill="FFFFFF"/>
        </w:rPr>
        <w:br/>
      </w:r>
      <w:r w:rsidR="00135BCA" w:rsidRPr="00AE6988">
        <w:rPr>
          <w:rFonts w:ascii="Calibri" w:eastAsia="Calibri" w:hAnsi="Calibri" w:cs="Calibri"/>
          <w:sz w:val="24"/>
          <w:szCs w:val="24"/>
          <w:shd w:val="clear" w:color="auto" w:fill="FFFFFF"/>
        </w:rPr>
        <w:t xml:space="preserve">For those without a prior fracture (n=1756), </w:t>
      </w:r>
      <w:r w:rsidR="00AE6988" w:rsidRPr="00AE6988">
        <w:rPr>
          <w:rFonts w:ascii="Calibri" w:eastAsia="Calibri" w:hAnsi="Calibri" w:cs="Calibri"/>
          <w:sz w:val="24"/>
          <w:szCs w:val="24"/>
          <w:shd w:val="clear" w:color="auto" w:fill="FFFFFF"/>
        </w:rPr>
        <w:t>258</w:t>
      </w:r>
      <w:r w:rsidR="00135BCA" w:rsidRPr="00AE6988">
        <w:rPr>
          <w:rFonts w:ascii="Calibri" w:eastAsia="Calibri" w:hAnsi="Calibri" w:cs="Calibri"/>
          <w:sz w:val="24"/>
          <w:szCs w:val="24"/>
          <w:shd w:val="clear" w:color="auto" w:fill="FFFFFF"/>
        </w:rPr>
        <w:t xml:space="preserve"> additional women </w:t>
      </w:r>
      <w:r w:rsidR="00135BCA" w:rsidRPr="002F1C20">
        <w:rPr>
          <w:rFonts w:ascii="Calibri" w:eastAsia="Calibri" w:hAnsi="Calibri" w:cs="Calibri"/>
          <w:sz w:val="24"/>
          <w:szCs w:val="24"/>
          <w:shd w:val="clear" w:color="auto" w:fill="FFFFFF"/>
        </w:rPr>
        <w:t>(</w:t>
      </w:r>
      <w:r w:rsidR="002F1C20" w:rsidRPr="002F1C20">
        <w:rPr>
          <w:rFonts w:ascii="Calibri" w:eastAsia="Calibri" w:hAnsi="Calibri" w:cs="Calibri"/>
          <w:sz w:val="24"/>
          <w:szCs w:val="24"/>
          <w:shd w:val="clear" w:color="auto" w:fill="FFFFFF"/>
        </w:rPr>
        <w:t>1</w:t>
      </w:r>
      <w:r w:rsidR="00135BCA" w:rsidRPr="002F1C20">
        <w:rPr>
          <w:rFonts w:ascii="Calibri" w:eastAsia="Calibri" w:hAnsi="Calibri" w:cs="Calibri"/>
          <w:sz w:val="24"/>
          <w:szCs w:val="24"/>
          <w:shd w:val="clear" w:color="auto" w:fill="FFFFFF"/>
        </w:rPr>
        <w:t>2.</w:t>
      </w:r>
      <w:r w:rsidR="002F1C20" w:rsidRPr="002F1C20">
        <w:rPr>
          <w:rFonts w:ascii="Calibri" w:eastAsia="Calibri" w:hAnsi="Calibri" w:cs="Calibri"/>
          <w:sz w:val="24"/>
          <w:szCs w:val="24"/>
          <w:shd w:val="clear" w:color="auto" w:fill="FFFFFF"/>
        </w:rPr>
        <w:t>9</w:t>
      </w:r>
      <w:r w:rsidR="00135BCA" w:rsidRPr="002F1C20">
        <w:rPr>
          <w:rFonts w:ascii="Calibri" w:eastAsia="Calibri" w:hAnsi="Calibri" w:cs="Calibri"/>
          <w:sz w:val="24"/>
          <w:szCs w:val="24"/>
          <w:shd w:val="clear" w:color="auto" w:fill="FFFFFF"/>
        </w:rPr>
        <w:t xml:space="preserve">% of all women) would be eligible for treatment in that their fracture probability without BMD exceeded the intervention </w:t>
      </w:r>
      <w:r w:rsidR="00135BCA" w:rsidRPr="000230D3">
        <w:rPr>
          <w:rFonts w:ascii="Calibri" w:eastAsia="Calibri" w:hAnsi="Calibri" w:cs="Calibri"/>
          <w:sz w:val="24"/>
          <w:szCs w:val="24"/>
          <w:shd w:val="clear" w:color="auto" w:fill="FFFFFF"/>
        </w:rPr>
        <w:t xml:space="preserve">threshold.  Overall (including women with a prior fracture) </w:t>
      </w:r>
      <w:r w:rsidR="00D608A1" w:rsidRPr="000230D3">
        <w:rPr>
          <w:rFonts w:ascii="Calibri" w:eastAsia="Calibri" w:hAnsi="Calibri" w:cs="Calibri"/>
          <w:sz w:val="24"/>
          <w:szCs w:val="24"/>
          <w:shd w:val="clear" w:color="auto" w:fill="FFFFFF"/>
        </w:rPr>
        <w:t>25.0</w:t>
      </w:r>
      <w:r w:rsidR="00135BCA" w:rsidRPr="000230D3">
        <w:rPr>
          <w:rFonts w:ascii="Calibri" w:eastAsia="Calibri" w:hAnsi="Calibri" w:cs="Calibri"/>
          <w:sz w:val="24"/>
          <w:szCs w:val="24"/>
          <w:shd w:val="clear" w:color="auto" w:fill="FFFFFF"/>
        </w:rPr>
        <w:t>% of women would be eligible for treatment.  The population eligible for treatment had an average MOF probability of 12.</w:t>
      </w:r>
      <w:r w:rsidR="00D544D4" w:rsidRPr="000230D3">
        <w:rPr>
          <w:rFonts w:ascii="Calibri" w:eastAsia="Calibri" w:hAnsi="Calibri" w:cs="Calibri"/>
          <w:sz w:val="24"/>
          <w:szCs w:val="24"/>
          <w:shd w:val="clear" w:color="auto" w:fill="FFFFFF"/>
        </w:rPr>
        <w:t>2</w:t>
      </w:r>
      <w:r w:rsidR="001229B1">
        <w:rPr>
          <w:rFonts w:ascii="Calibri" w:eastAsia="Calibri" w:hAnsi="Calibri" w:cs="Calibri"/>
          <w:sz w:val="24"/>
          <w:szCs w:val="24"/>
          <w:shd w:val="clear" w:color="auto" w:fill="FFFFFF"/>
        </w:rPr>
        <w:t>%</w:t>
      </w:r>
      <w:r w:rsidR="00135BCA" w:rsidRPr="000230D3">
        <w:rPr>
          <w:rFonts w:ascii="Calibri" w:eastAsia="Calibri" w:hAnsi="Calibri" w:cs="Calibri"/>
          <w:sz w:val="24"/>
          <w:szCs w:val="24"/>
          <w:shd w:val="clear" w:color="auto" w:fill="FFFFFF"/>
        </w:rPr>
        <w:t xml:space="preserve"> compared with 5.4% in all women (ratio 2.2</w:t>
      </w:r>
      <w:r w:rsidR="000230D3" w:rsidRPr="000230D3">
        <w:rPr>
          <w:rFonts w:ascii="Calibri" w:eastAsia="Calibri" w:hAnsi="Calibri" w:cs="Calibri"/>
          <w:sz w:val="24"/>
          <w:szCs w:val="24"/>
          <w:shd w:val="clear" w:color="auto" w:fill="FFFFFF"/>
        </w:rPr>
        <w:t>6</w:t>
      </w:r>
      <w:r w:rsidR="000230D3" w:rsidRPr="005F62D1">
        <w:rPr>
          <w:rFonts w:ascii="Calibri" w:eastAsia="Calibri" w:hAnsi="Calibri" w:cs="Calibri"/>
          <w:sz w:val="24"/>
          <w:szCs w:val="24"/>
          <w:shd w:val="clear" w:color="auto" w:fill="FFFFFF"/>
        </w:rPr>
        <w:t xml:space="preserve">). </w:t>
      </w:r>
      <w:r w:rsidR="00F6271A" w:rsidRPr="005F62D1">
        <w:rPr>
          <w:rFonts w:ascii="Calibri" w:eastAsia="Calibri" w:hAnsi="Calibri" w:cs="Calibri"/>
          <w:sz w:val="24"/>
          <w:szCs w:val="24"/>
          <w:shd w:val="clear" w:color="auto" w:fill="FFFFFF"/>
        </w:rPr>
        <w:t xml:space="preserve"> </w:t>
      </w:r>
      <w:r w:rsidR="000230D3" w:rsidRPr="005F62D1">
        <w:rPr>
          <w:rFonts w:ascii="Calibri" w:eastAsia="Calibri" w:hAnsi="Calibri" w:cs="Calibri"/>
          <w:sz w:val="24"/>
          <w:szCs w:val="24"/>
          <w:shd w:val="clear" w:color="auto" w:fill="FFFFFF"/>
        </w:rPr>
        <w:t>For</w:t>
      </w:r>
      <w:r w:rsidR="00135BCA" w:rsidRPr="005F62D1">
        <w:rPr>
          <w:rFonts w:ascii="Calibri" w:eastAsia="Calibri" w:hAnsi="Calibri" w:cs="Calibri"/>
          <w:sz w:val="24"/>
          <w:szCs w:val="24"/>
          <w:shd w:val="clear" w:color="auto" w:fill="FFFFFF"/>
        </w:rPr>
        <w:t xml:space="preserve"> men without a prior fracture (n=985</w:t>
      </w:r>
      <w:r w:rsidR="00135BCA" w:rsidRPr="005142F2">
        <w:rPr>
          <w:rFonts w:ascii="Calibri" w:eastAsia="Calibri" w:hAnsi="Calibri" w:cs="Calibri"/>
          <w:sz w:val="24"/>
          <w:szCs w:val="24"/>
          <w:shd w:val="clear" w:color="auto" w:fill="FFFFFF"/>
        </w:rPr>
        <w:t xml:space="preserve">), </w:t>
      </w:r>
      <w:r w:rsidR="005142F2" w:rsidRPr="005142F2">
        <w:rPr>
          <w:rFonts w:ascii="Calibri" w:eastAsia="Calibri" w:hAnsi="Calibri" w:cs="Calibri"/>
          <w:sz w:val="24"/>
          <w:szCs w:val="24"/>
          <w:shd w:val="clear" w:color="auto" w:fill="FFFFFF"/>
        </w:rPr>
        <w:t>4</w:t>
      </w:r>
      <w:r w:rsidR="00135BCA" w:rsidRPr="005142F2">
        <w:rPr>
          <w:rFonts w:ascii="Calibri" w:eastAsia="Calibri" w:hAnsi="Calibri" w:cs="Calibri"/>
          <w:sz w:val="24"/>
          <w:szCs w:val="24"/>
          <w:shd w:val="clear" w:color="auto" w:fill="FFFFFF"/>
        </w:rPr>
        <w:t xml:space="preserve"> additional men would be eligible for treatment in that their fracture probability </w:t>
      </w:r>
      <w:r w:rsidR="00135BCA" w:rsidRPr="00E11E1F">
        <w:rPr>
          <w:rFonts w:ascii="Calibri" w:eastAsia="Calibri" w:hAnsi="Calibri" w:cs="Calibri"/>
          <w:sz w:val="24"/>
          <w:szCs w:val="24"/>
          <w:shd w:val="clear" w:color="auto" w:fill="FFFFFF"/>
        </w:rPr>
        <w:t>without BMD exceeded the age-specific intervention threshold</w:t>
      </w:r>
      <w:proofErr w:type="gramStart"/>
      <w:r w:rsidR="00135BCA" w:rsidRPr="00E11E1F">
        <w:rPr>
          <w:rFonts w:ascii="Calibri" w:eastAsia="Calibri" w:hAnsi="Calibri" w:cs="Calibri"/>
          <w:sz w:val="24"/>
          <w:szCs w:val="24"/>
          <w:shd w:val="clear" w:color="auto" w:fill="FFFFFF"/>
        </w:rPr>
        <w:t xml:space="preserve">. </w:t>
      </w:r>
      <w:proofErr w:type="gramEnd"/>
      <w:r w:rsidR="00135BCA" w:rsidRPr="00E11E1F">
        <w:rPr>
          <w:rFonts w:ascii="Calibri" w:eastAsia="Calibri" w:hAnsi="Calibri" w:cs="Calibri"/>
          <w:sz w:val="24"/>
          <w:szCs w:val="24"/>
          <w:shd w:val="clear" w:color="auto" w:fill="FFFFFF"/>
        </w:rPr>
        <w:t>The men eligible for treatment had an average MOF probability of 4.</w:t>
      </w:r>
      <w:r w:rsidR="00EA68A3" w:rsidRPr="00E11E1F">
        <w:rPr>
          <w:rFonts w:ascii="Calibri" w:eastAsia="Calibri" w:hAnsi="Calibri" w:cs="Calibri"/>
          <w:sz w:val="24"/>
          <w:szCs w:val="24"/>
          <w:shd w:val="clear" w:color="auto" w:fill="FFFFFF"/>
        </w:rPr>
        <w:t>6</w:t>
      </w:r>
      <w:r w:rsidR="00135BCA" w:rsidRPr="00E11E1F">
        <w:rPr>
          <w:rFonts w:ascii="Calibri" w:eastAsia="Calibri" w:hAnsi="Calibri" w:cs="Calibri"/>
          <w:sz w:val="24"/>
          <w:szCs w:val="24"/>
          <w:shd w:val="clear" w:color="auto" w:fill="FFFFFF"/>
        </w:rPr>
        <w:t>% compared with 2.5% in all men (ratio 1.8</w:t>
      </w:r>
      <w:r w:rsidR="00AF7AFD" w:rsidRPr="00E11E1F">
        <w:rPr>
          <w:rFonts w:ascii="Calibri" w:eastAsia="Calibri" w:hAnsi="Calibri" w:cs="Calibri"/>
          <w:sz w:val="24"/>
          <w:szCs w:val="24"/>
          <w:shd w:val="clear" w:color="auto" w:fill="FFFFFF"/>
        </w:rPr>
        <w:t>4</w:t>
      </w:r>
      <w:r w:rsidR="00135BCA" w:rsidRPr="00E11E1F">
        <w:rPr>
          <w:rFonts w:ascii="Calibri" w:eastAsia="Calibri" w:hAnsi="Calibri" w:cs="Calibri"/>
          <w:sz w:val="24"/>
          <w:szCs w:val="24"/>
          <w:shd w:val="clear" w:color="auto" w:fill="FFFFFF"/>
        </w:rPr>
        <w:t>)</w:t>
      </w:r>
      <w:r w:rsidR="002D16DF">
        <w:rPr>
          <w:rFonts w:ascii="Calibri" w:eastAsia="Calibri" w:hAnsi="Calibri" w:cs="Calibri"/>
          <w:sz w:val="24"/>
          <w:szCs w:val="24"/>
          <w:shd w:val="clear" w:color="auto" w:fill="FFFFFF"/>
        </w:rPr>
        <w:t xml:space="preserve">.  </w:t>
      </w:r>
      <w:r w:rsidR="002D16DF" w:rsidRPr="002D16DF">
        <w:rPr>
          <w:rFonts w:ascii="Calibri" w:eastAsia="Calibri" w:hAnsi="Calibri" w:cs="Calibri"/>
          <w:sz w:val="24"/>
          <w:szCs w:val="24"/>
          <w:shd w:val="clear" w:color="auto" w:fill="FFFFFF"/>
        </w:rPr>
        <w:t xml:space="preserve">If BMD tests were not to be undertaken, then an additional </w:t>
      </w:r>
      <w:r w:rsidR="002D16DF">
        <w:rPr>
          <w:rFonts w:ascii="Calibri" w:eastAsia="Calibri" w:hAnsi="Calibri" w:cs="Calibri"/>
          <w:sz w:val="24"/>
          <w:szCs w:val="24"/>
          <w:shd w:val="clear" w:color="auto" w:fill="FFFFFF"/>
        </w:rPr>
        <w:t>92</w:t>
      </w:r>
      <w:r w:rsidR="002D16DF" w:rsidRPr="002D16DF">
        <w:rPr>
          <w:rFonts w:ascii="Calibri" w:eastAsia="Calibri" w:hAnsi="Calibri" w:cs="Calibri"/>
          <w:sz w:val="24"/>
          <w:szCs w:val="24"/>
          <w:shd w:val="clear" w:color="auto" w:fill="FFFFFF"/>
        </w:rPr>
        <w:t xml:space="preserve"> patients who lay above the intervention threshold would be eligible for treatment with the </w:t>
      </w:r>
      <w:r w:rsidR="002D16DF">
        <w:rPr>
          <w:rFonts w:ascii="Calibri" w:eastAsia="Calibri" w:hAnsi="Calibri" w:cs="Calibri"/>
          <w:sz w:val="24"/>
          <w:szCs w:val="24"/>
          <w:shd w:val="clear" w:color="auto" w:fill="FFFFFF"/>
        </w:rPr>
        <w:t>hybrid</w:t>
      </w:r>
      <w:r w:rsidR="002D16DF" w:rsidRPr="002D16DF">
        <w:rPr>
          <w:rFonts w:ascii="Calibri" w:eastAsia="Calibri" w:hAnsi="Calibri" w:cs="Calibri"/>
          <w:sz w:val="24"/>
          <w:szCs w:val="24"/>
          <w:shd w:val="clear" w:color="auto" w:fill="FFFFFF"/>
        </w:rPr>
        <w:t xml:space="preserve"> thresholds (average probability </w:t>
      </w:r>
      <w:r w:rsidR="002D16DF">
        <w:rPr>
          <w:rFonts w:ascii="Calibri" w:eastAsia="Calibri" w:hAnsi="Calibri" w:cs="Calibri"/>
          <w:sz w:val="24"/>
          <w:szCs w:val="24"/>
          <w:shd w:val="clear" w:color="auto" w:fill="FFFFFF"/>
        </w:rPr>
        <w:t>9.5</w:t>
      </w:r>
      <w:r w:rsidR="002D16DF" w:rsidRPr="002D16DF">
        <w:rPr>
          <w:rFonts w:ascii="Calibri" w:eastAsia="Calibri" w:hAnsi="Calibri" w:cs="Calibri"/>
          <w:sz w:val="24"/>
          <w:szCs w:val="24"/>
          <w:shd w:val="clear" w:color="auto" w:fill="FFFFFF"/>
        </w:rPr>
        <w:t xml:space="preserve">%).  </w:t>
      </w:r>
    </w:p>
    <w:p w14:paraId="6220AC9E" w14:textId="7D9CD19C" w:rsidR="00B0115D" w:rsidRDefault="00E11E1F" w:rsidP="00D244F0">
      <w:pPr>
        <w:spacing w:after="200" w:line="276" w:lineRule="auto"/>
        <w:ind w:left="567"/>
        <w:rPr>
          <w:rFonts w:ascii="Calibri" w:eastAsia="Calibri" w:hAnsi="Calibri" w:cs="Calibri"/>
          <w:sz w:val="24"/>
          <w:szCs w:val="24"/>
          <w:shd w:val="clear" w:color="auto" w:fill="FFFFFF"/>
        </w:rPr>
      </w:pPr>
      <w:r>
        <w:rPr>
          <w:rFonts w:ascii="Calibri" w:eastAsia="Calibri" w:hAnsi="Calibri" w:cs="Calibri"/>
          <w:sz w:val="24"/>
          <w:szCs w:val="24"/>
          <w:shd w:val="clear" w:color="auto" w:fill="FFFFFF"/>
        </w:rPr>
        <w:t>BMD tests</w:t>
      </w:r>
      <w:r>
        <w:rPr>
          <w:rFonts w:ascii="Calibri" w:eastAsia="Calibri" w:hAnsi="Calibri" w:cs="Calibri"/>
          <w:sz w:val="24"/>
          <w:szCs w:val="24"/>
          <w:shd w:val="clear" w:color="auto" w:fill="FFFFFF"/>
        </w:rPr>
        <w:br/>
      </w:r>
      <w:r w:rsidR="00872650">
        <w:rPr>
          <w:rFonts w:ascii="Calibri" w:eastAsia="Calibri" w:hAnsi="Calibri" w:cs="Calibri"/>
          <w:sz w:val="24"/>
          <w:szCs w:val="24"/>
          <w:shd w:val="clear" w:color="auto" w:fill="FFFFFF"/>
        </w:rPr>
        <w:t xml:space="preserve">Using the </w:t>
      </w:r>
      <w:r w:rsidR="00492997">
        <w:rPr>
          <w:rFonts w:ascii="Calibri" w:eastAsia="Calibri" w:hAnsi="Calibri" w:cs="Calibri"/>
          <w:sz w:val="24"/>
          <w:szCs w:val="24"/>
          <w:shd w:val="clear" w:color="auto" w:fill="FFFFFF"/>
        </w:rPr>
        <w:t>age-speci</w:t>
      </w:r>
      <w:r w:rsidR="00096EEB">
        <w:rPr>
          <w:rFonts w:ascii="Calibri" w:eastAsia="Calibri" w:hAnsi="Calibri" w:cs="Calibri"/>
          <w:sz w:val="24"/>
          <w:szCs w:val="24"/>
          <w:shd w:val="clear" w:color="auto" w:fill="FFFFFF"/>
        </w:rPr>
        <w:t>fi</w:t>
      </w:r>
      <w:r w:rsidR="00492997">
        <w:rPr>
          <w:rFonts w:ascii="Calibri" w:eastAsia="Calibri" w:hAnsi="Calibri" w:cs="Calibri"/>
          <w:sz w:val="24"/>
          <w:szCs w:val="24"/>
          <w:shd w:val="clear" w:color="auto" w:fill="FFFFFF"/>
        </w:rPr>
        <w:t>c assessment threshol</w:t>
      </w:r>
      <w:r w:rsidR="00096EEB">
        <w:rPr>
          <w:rFonts w:ascii="Calibri" w:eastAsia="Calibri" w:hAnsi="Calibri" w:cs="Calibri"/>
          <w:sz w:val="24"/>
          <w:szCs w:val="24"/>
          <w:shd w:val="clear" w:color="auto" w:fill="FFFFFF"/>
        </w:rPr>
        <w:t>d</w:t>
      </w:r>
      <w:r w:rsidR="00492997">
        <w:rPr>
          <w:rFonts w:ascii="Calibri" w:eastAsia="Calibri" w:hAnsi="Calibri" w:cs="Calibri"/>
          <w:sz w:val="24"/>
          <w:szCs w:val="24"/>
          <w:shd w:val="clear" w:color="auto" w:fill="FFFFFF"/>
        </w:rPr>
        <w:t>s</w:t>
      </w:r>
      <w:r w:rsidR="000047A7">
        <w:rPr>
          <w:rFonts w:ascii="Calibri" w:eastAsia="Calibri" w:hAnsi="Calibri" w:cs="Calibri"/>
          <w:sz w:val="24"/>
          <w:szCs w:val="24"/>
          <w:shd w:val="clear" w:color="auto" w:fill="FFFFFF"/>
        </w:rPr>
        <w:t>,</w:t>
      </w:r>
      <w:r w:rsidR="00096EEB">
        <w:rPr>
          <w:rFonts w:ascii="Calibri" w:eastAsia="Calibri" w:hAnsi="Calibri" w:cs="Calibri"/>
          <w:sz w:val="24"/>
          <w:szCs w:val="24"/>
          <w:shd w:val="clear" w:color="auto" w:fill="FFFFFF"/>
        </w:rPr>
        <w:t xml:space="preserve"> 5.1</w:t>
      </w:r>
      <w:r w:rsidR="0091621C">
        <w:rPr>
          <w:rFonts w:ascii="Calibri" w:eastAsia="Calibri" w:hAnsi="Calibri" w:cs="Calibri"/>
          <w:sz w:val="24"/>
          <w:szCs w:val="24"/>
          <w:shd w:val="clear" w:color="auto" w:fill="FFFFFF"/>
        </w:rPr>
        <w:t xml:space="preserve">% of men and </w:t>
      </w:r>
      <w:r w:rsidR="0091621C" w:rsidRPr="0091621C">
        <w:rPr>
          <w:rFonts w:ascii="Calibri" w:eastAsia="Calibri" w:hAnsi="Calibri" w:cs="Calibri"/>
          <w:sz w:val="24"/>
          <w:szCs w:val="24"/>
          <w:shd w:val="clear" w:color="auto" w:fill="FFFFFF"/>
        </w:rPr>
        <w:t>38.4</w:t>
      </w:r>
      <w:r w:rsidR="00586554">
        <w:rPr>
          <w:rFonts w:ascii="Calibri" w:eastAsia="Calibri" w:hAnsi="Calibri" w:cs="Calibri"/>
          <w:sz w:val="24"/>
          <w:szCs w:val="24"/>
          <w:shd w:val="clear" w:color="auto" w:fill="FFFFFF"/>
        </w:rPr>
        <w:t xml:space="preserve">% of women had fracture </w:t>
      </w:r>
      <w:r w:rsidR="00F1575C">
        <w:rPr>
          <w:rFonts w:ascii="Calibri" w:eastAsia="Calibri" w:hAnsi="Calibri" w:cs="Calibri"/>
          <w:sz w:val="24"/>
          <w:szCs w:val="24"/>
          <w:shd w:val="clear" w:color="auto" w:fill="FFFFFF"/>
        </w:rPr>
        <w:t xml:space="preserve">probabilities that lay between the upper and lower assessment threshold and would thus be eligible </w:t>
      </w:r>
      <w:r w:rsidR="007C704E">
        <w:rPr>
          <w:rFonts w:ascii="Calibri" w:eastAsia="Calibri" w:hAnsi="Calibri" w:cs="Calibri"/>
          <w:sz w:val="24"/>
          <w:szCs w:val="24"/>
          <w:shd w:val="clear" w:color="auto" w:fill="FFFFFF"/>
        </w:rPr>
        <w:t>for testi</w:t>
      </w:r>
      <w:r w:rsidR="00DB15EF">
        <w:rPr>
          <w:rFonts w:ascii="Calibri" w:eastAsia="Calibri" w:hAnsi="Calibri" w:cs="Calibri"/>
          <w:sz w:val="24"/>
          <w:szCs w:val="24"/>
          <w:shd w:val="clear" w:color="auto" w:fill="FFFFFF"/>
        </w:rPr>
        <w:t>n</w:t>
      </w:r>
      <w:r w:rsidR="007C704E">
        <w:rPr>
          <w:rFonts w:ascii="Calibri" w:eastAsia="Calibri" w:hAnsi="Calibri" w:cs="Calibri"/>
          <w:sz w:val="24"/>
          <w:szCs w:val="24"/>
          <w:shd w:val="clear" w:color="auto" w:fill="FFFFFF"/>
        </w:rPr>
        <w:t>g with BMD to reassess fracture probability.</w:t>
      </w:r>
      <w:r w:rsidR="00DB15EF">
        <w:rPr>
          <w:rFonts w:ascii="Calibri" w:eastAsia="Calibri" w:hAnsi="Calibri" w:cs="Calibri"/>
          <w:sz w:val="24"/>
          <w:szCs w:val="24"/>
          <w:shd w:val="clear" w:color="auto" w:fill="FFFFFF"/>
        </w:rPr>
        <w:t xml:space="preserve">  With the hybrid thresholds, </w:t>
      </w:r>
      <w:r w:rsidR="00880032">
        <w:rPr>
          <w:rFonts w:ascii="Calibri" w:eastAsia="Calibri" w:hAnsi="Calibri" w:cs="Calibri"/>
          <w:sz w:val="24"/>
          <w:szCs w:val="24"/>
          <w:shd w:val="clear" w:color="auto" w:fill="FFFFFF"/>
        </w:rPr>
        <w:t>10.6</w:t>
      </w:r>
      <w:r w:rsidR="00BA572D">
        <w:rPr>
          <w:rFonts w:ascii="Calibri" w:eastAsia="Calibri" w:hAnsi="Calibri" w:cs="Calibri"/>
          <w:sz w:val="24"/>
          <w:szCs w:val="24"/>
          <w:shd w:val="clear" w:color="auto" w:fill="FFFFFF"/>
        </w:rPr>
        <w:t>% of men</w:t>
      </w:r>
      <w:r w:rsidR="00880032">
        <w:rPr>
          <w:rFonts w:ascii="Calibri" w:eastAsia="Calibri" w:hAnsi="Calibri" w:cs="Calibri"/>
          <w:sz w:val="24"/>
          <w:szCs w:val="24"/>
          <w:shd w:val="clear" w:color="auto" w:fill="FFFFFF"/>
        </w:rPr>
        <w:t xml:space="preserve"> and 47.1</w:t>
      </w:r>
      <w:r w:rsidR="002F624F">
        <w:rPr>
          <w:rFonts w:ascii="Calibri" w:eastAsia="Calibri" w:hAnsi="Calibri" w:cs="Calibri"/>
          <w:sz w:val="24"/>
          <w:szCs w:val="24"/>
          <w:shd w:val="clear" w:color="auto" w:fill="FFFFFF"/>
        </w:rPr>
        <w:t>% of women would be eligible (see table 3).</w:t>
      </w:r>
      <w:r w:rsidR="00BA572D">
        <w:rPr>
          <w:rFonts w:ascii="Calibri" w:eastAsia="Calibri" w:hAnsi="Calibri" w:cs="Calibri"/>
          <w:sz w:val="24"/>
          <w:szCs w:val="24"/>
          <w:shd w:val="clear" w:color="auto" w:fill="FFFFFF"/>
        </w:rPr>
        <w:t xml:space="preserve"> </w:t>
      </w:r>
      <w:r w:rsidR="00EA6E4A">
        <w:rPr>
          <w:rFonts w:ascii="Calibri" w:eastAsia="Calibri" w:hAnsi="Calibri" w:cs="Calibri"/>
          <w:sz w:val="24"/>
          <w:szCs w:val="24"/>
          <w:shd w:val="clear" w:color="auto" w:fill="FFFFFF"/>
        </w:rPr>
        <w:t xml:space="preserve"> </w:t>
      </w:r>
    </w:p>
    <w:p w14:paraId="12275AB3" w14:textId="57A85443" w:rsidR="005E3A45" w:rsidRDefault="00AF64BB" w:rsidP="00906B2F">
      <w:pPr>
        <w:spacing w:after="200" w:line="276" w:lineRule="auto"/>
        <w:ind w:left="567" w:right="95"/>
        <w:rPr>
          <w:rFonts w:ascii="Calibri" w:eastAsia="Calibri" w:hAnsi="Calibri" w:cs="Calibri"/>
          <w:shd w:val="clear" w:color="auto" w:fill="FFFFFF"/>
        </w:rPr>
      </w:pPr>
      <w:r w:rsidRPr="00AF64BB">
        <w:rPr>
          <w:rFonts w:ascii="Calibri" w:eastAsia="Calibri" w:hAnsi="Calibri" w:cs="Calibri"/>
          <w:b/>
          <w:bCs/>
          <w:shd w:val="clear" w:color="auto" w:fill="FFFFFF"/>
        </w:rPr>
        <w:t>Table 3</w:t>
      </w:r>
      <w:r w:rsidRPr="00AF64BB">
        <w:rPr>
          <w:rFonts w:ascii="Calibri" w:eastAsia="Calibri" w:hAnsi="Calibri" w:cs="Calibri"/>
          <w:shd w:val="clear" w:color="auto" w:fill="FFFFFF"/>
        </w:rPr>
        <w:t xml:space="preserve">.  </w:t>
      </w:r>
      <w:r w:rsidR="006C74E0">
        <w:rPr>
          <w:rFonts w:ascii="Calibri" w:eastAsia="Calibri" w:hAnsi="Calibri" w:cs="Calibri"/>
          <w:shd w:val="clear" w:color="auto" w:fill="FFFFFF"/>
        </w:rPr>
        <w:t>Categorisation</w:t>
      </w:r>
      <w:r w:rsidRPr="00AF64BB">
        <w:rPr>
          <w:rFonts w:ascii="Calibri" w:eastAsia="Calibri" w:hAnsi="Calibri" w:cs="Calibri"/>
          <w:shd w:val="clear" w:color="auto" w:fill="FFFFFF"/>
        </w:rPr>
        <w:t xml:space="preserve"> of cohort </w:t>
      </w:r>
      <w:r w:rsidR="00DE17ED">
        <w:rPr>
          <w:rFonts w:ascii="Calibri" w:eastAsia="Calibri" w:hAnsi="Calibri" w:cs="Calibri"/>
          <w:shd w:val="clear" w:color="auto" w:fill="FFFFFF"/>
        </w:rPr>
        <w:t xml:space="preserve">and corresponding </w:t>
      </w:r>
      <w:r w:rsidR="00084F1A">
        <w:rPr>
          <w:rFonts w:ascii="Calibri" w:eastAsia="Calibri" w:hAnsi="Calibri" w:cs="Calibri"/>
          <w:shd w:val="clear" w:color="auto" w:fill="FFFFFF"/>
        </w:rPr>
        <w:t>fracture probabilities</w:t>
      </w:r>
      <w:r w:rsidR="00783990" w:rsidRPr="00783990">
        <w:rPr>
          <w:rFonts w:ascii="Calibri" w:eastAsia="Calibri" w:hAnsi="Calibri" w:cs="Calibri"/>
          <w:shd w:val="clear" w:color="auto" w:fill="FFFFFF"/>
        </w:rPr>
        <w:t xml:space="preserve"> (10- year probabilities of a major osteoporotic fracture) </w:t>
      </w:r>
      <w:r w:rsidRPr="00AF64BB">
        <w:rPr>
          <w:rFonts w:ascii="Calibri" w:eastAsia="Calibri" w:hAnsi="Calibri" w:cs="Calibri"/>
          <w:shd w:val="clear" w:color="auto" w:fill="FFFFFF"/>
        </w:rPr>
        <w:t xml:space="preserve">when using age dependent </w:t>
      </w:r>
      <w:r w:rsidR="00783990">
        <w:rPr>
          <w:rFonts w:ascii="Calibri" w:eastAsia="Calibri" w:hAnsi="Calibri" w:cs="Calibri"/>
          <w:shd w:val="clear" w:color="auto" w:fill="FFFFFF"/>
        </w:rPr>
        <w:t>or</w:t>
      </w:r>
      <w:r w:rsidR="00C2306F">
        <w:rPr>
          <w:rFonts w:ascii="Calibri" w:eastAsia="Calibri" w:hAnsi="Calibri" w:cs="Calibri"/>
          <w:shd w:val="clear" w:color="auto" w:fill="FFFFFF"/>
        </w:rPr>
        <w:t xml:space="preserve"> h</w:t>
      </w:r>
      <w:r w:rsidR="003E7262">
        <w:rPr>
          <w:rFonts w:ascii="Calibri" w:eastAsia="Calibri" w:hAnsi="Calibri" w:cs="Calibri"/>
          <w:shd w:val="clear" w:color="auto" w:fill="FFFFFF"/>
        </w:rPr>
        <w:t xml:space="preserve">ybrid </w:t>
      </w:r>
      <w:r w:rsidRPr="00AF64BB">
        <w:rPr>
          <w:rFonts w:ascii="Calibri" w:eastAsia="Calibri" w:hAnsi="Calibri" w:cs="Calibri"/>
          <w:shd w:val="clear" w:color="auto" w:fill="FFFFFF"/>
        </w:rPr>
        <w:t>threshold</w:t>
      </w:r>
      <w:r w:rsidR="00C2306F">
        <w:rPr>
          <w:rFonts w:ascii="Calibri" w:eastAsia="Calibri" w:hAnsi="Calibri" w:cs="Calibri"/>
          <w:shd w:val="clear" w:color="auto" w:fill="FFFFFF"/>
        </w:rPr>
        <w:t>s</w:t>
      </w:r>
      <w:r w:rsidRPr="00AF64BB">
        <w:rPr>
          <w:rFonts w:ascii="Calibri" w:eastAsia="Calibri" w:hAnsi="Calibri" w:cs="Calibri"/>
          <w:shd w:val="clear" w:color="auto" w:fill="FFFFFF"/>
        </w:rPr>
        <w:t>.</w:t>
      </w:r>
      <w:r w:rsidR="00F05ED5">
        <w:rPr>
          <w:rFonts w:ascii="Calibri" w:eastAsia="Calibri" w:hAnsi="Calibri" w:cs="Calibri"/>
          <w:shd w:val="clear" w:color="auto" w:fill="FFFFFF"/>
        </w:rPr>
        <w:t xml:space="preserve">  The last column o</w:t>
      </w:r>
      <w:r w:rsidR="00D54332">
        <w:rPr>
          <w:rFonts w:ascii="Calibri" w:eastAsia="Calibri" w:hAnsi="Calibri" w:cs="Calibri"/>
          <w:shd w:val="clear" w:color="auto" w:fill="FFFFFF"/>
        </w:rPr>
        <w:t>f each</w:t>
      </w:r>
      <w:r w:rsidR="00F05ED5">
        <w:rPr>
          <w:rFonts w:ascii="Calibri" w:eastAsia="Calibri" w:hAnsi="Calibri" w:cs="Calibri"/>
          <w:shd w:val="clear" w:color="auto" w:fill="FFFFFF"/>
        </w:rPr>
        <w:t xml:space="preserve"> thre</w:t>
      </w:r>
      <w:r w:rsidR="00D54332">
        <w:rPr>
          <w:rFonts w:ascii="Calibri" w:eastAsia="Calibri" w:hAnsi="Calibri" w:cs="Calibri"/>
          <w:shd w:val="clear" w:color="auto" w:fill="FFFFFF"/>
        </w:rPr>
        <w:t>s</w:t>
      </w:r>
      <w:r w:rsidR="00F05ED5">
        <w:rPr>
          <w:rFonts w:ascii="Calibri" w:eastAsia="Calibri" w:hAnsi="Calibri" w:cs="Calibri"/>
          <w:shd w:val="clear" w:color="auto" w:fill="FFFFFF"/>
        </w:rPr>
        <w:t>hol</w:t>
      </w:r>
      <w:r w:rsidR="00D54332">
        <w:rPr>
          <w:rFonts w:ascii="Calibri" w:eastAsia="Calibri" w:hAnsi="Calibri" w:cs="Calibri"/>
          <w:shd w:val="clear" w:color="auto" w:fill="FFFFFF"/>
        </w:rPr>
        <w:t>d</w:t>
      </w:r>
      <w:r w:rsidR="00DA056D">
        <w:rPr>
          <w:rFonts w:ascii="Calibri" w:eastAsia="Calibri" w:hAnsi="Calibri" w:cs="Calibri"/>
          <w:shd w:val="clear" w:color="auto" w:fill="FFFFFF"/>
        </w:rPr>
        <w:t xml:space="preserve"> </w:t>
      </w:r>
      <w:r w:rsidR="00CB3FBF">
        <w:rPr>
          <w:rFonts w:ascii="Calibri" w:eastAsia="Calibri" w:hAnsi="Calibri" w:cs="Calibri"/>
          <w:shd w:val="clear" w:color="auto" w:fill="FFFFFF"/>
        </w:rPr>
        <w:t>‘</w:t>
      </w:r>
      <w:r w:rsidR="00FD653F" w:rsidRPr="00FD653F">
        <w:rPr>
          <w:rFonts w:ascii="Calibri" w:eastAsia="Calibri" w:hAnsi="Calibri" w:cs="Calibri"/>
          <w:shd w:val="clear" w:color="auto" w:fill="FFFFFF"/>
        </w:rPr>
        <w:t>MOFs expected</w:t>
      </w:r>
      <w:r w:rsidR="00CB3FBF">
        <w:rPr>
          <w:rFonts w:ascii="Calibri" w:eastAsia="Calibri" w:hAnsi="Calibri" w:cs="Calibri"/>
          <w:shd w:val="clear" w:color="auto" w:fill="FFFFFF"/>
        </w:rPr>
        <w:t>’ gives the number of fractures e</w:t>
      </w:r>
      <w:r w:rsidR="00E27288">
        <w:rPr>
          <w:rFonts w:ascii="Calibri" w:eastAsia="Calibri" w:hAnsi="Calibri" w:cs="Calibri"/>
          <w:shd w:val="clear" w:color="auto" w:fill="FFFFFF"/>
        </w:rPr>
        <w:t>xpected</w:t>
      </w:r>
      <w:r w:rsidR="00485E5B">
        <w:rPr>
          <w:rFonts w:ascii="Calibri" w:eastAsia="Calibri" w:hAnsi="Calibri" w:cs="Calibri"/>
          <w:shd w:val="clear" w:color="auto" w:fill="FFFFFF"/>
        </w:rPr>
        <w:t xml:space="preserve"> in 10 years</w:t>
      </w:r>
      <w:r w:rsidR="00303E04">
        <w:rPr>
          <w:rFonts w:ascii="Calibri" w:eastAsia="Calibri" w:hAnsi="Calibri" w:cs="Calibri"/>
          <w:shd w:val="clear" w:color="auto" w:fill="FFFFFF"/>
        </w:rPr>
        <w:t xml:space="preserve"> </w:t>
      </w:r>
      <w:r w:rsidR="00FD653F">
        <w:rPr>
          <w:rFonts w:ascii="Calibri" w:eastAsia="Calibri" w:hAnsi="Calibri" w:cs="Calibri"/>
          <w:shd w:val="clear" w:color="auto" w:fill="FFFFFF"/>
        </w:rPr>
        <w:t>in</w:t>
      </w:r>
      <w:r w:rsidR="00303E04">
        <w:rPr>
          <w:rFonts w:ascii="Calibri" w:eastAsia="Calibri" w:hAnsi="Calibri" w:cs="Calibri"/>
          <w:shd w:val="clear" w:color="auto" w:fill="FFFFFF"/>
        </w:rPr>
        <w:t xml:space="preserve"> each category</w:t>
      </w:r>
      <w:r w:rsidR="00E15A3A">
        <w:rPr>
          <w:rFonts w:ascii="Calibri" w:eastAsia="Calibri" w:hAnsi="Calibri" w:cs="Calibri"/>
          <w:shd w:val="clear" w:color="auto" w:fill="FFFFFF"/>
        </w:rPr>
        <w:t xml:space="preserve"> for a</w:t>
      </w:r>
      <w:r w:rsidR="00E27288">
        <w:rPr>
          <w:rFonts w:ascii="Calibri" w:eastAsia="Calibri" w:hAnsi="Calibri" w:cs="Calibri"/>
          <w:shd w:val="clear" w:color="auto" w:fill="FFFFFF"/>
        </w:rPr>
        <w:t xml:space="preserve"> total p</w:t>
      </w:r>
      <w:r w:rsidR="00E15A3A">
        <w:rPr>
          <w:rFonts w:ascii="Calibri" w:eastAsia="Calibri" w:hAnsi="Calibri" w:cs="Calibri"/>
          <w:shd w:val="clear" w:color="auto" w:fill="FFFFFF"/>
        </w:rPr>
        <w:t>o</w:t>
      </w:r>
      <w:r w:rsidR="00E27288">
        <w:rPr>
          <w:rFonts w:ascii="Calibri" w:eastAsia="Calibri" w:hAnsi="Calibri" w:cs="Calibri"/>
          <w:shd w:val="clear" w:color="auto" w:fill="FFFFFF"/>
        </w:rPr>
        <w:t>pulatio</w:t>
      </w:r>
      <w:r w:rsidR="00303E04">
        <w:rPr>
          <w:rFonts w:ascii="Calibri" w:eastAsia="Calibri" w:hAnsi="Calibri" w:cs="Calibri"/>
          <w:shd w:val="clear" w:color="auto" w:fill="FFFFFF"/>
        </w:rPr>
        <w:t>n</w:t>
      </w:r>
      <w:r w:rsidR="00E15A3A">
        <w:rPr>
          <w:rFonts w:ascii="Calibri" w:eastAsia="Calibri" w:hAnsi="Calibri" w:cs="Calibri"/>
          <w:shd w:val="clear" w:color="auto" w:fill="FFFFFF"/>
        </w:rPr>
        <w:t xml:space="preserve"> of 10</w:t>
      </w:r>
      <w:r w:rsidR="00557EE9">
        <w:rPr>
          <w:rFonts w:ascii="Calibri" w:eastAsia="Calibri" w:hAnsi="Calibri" w:cs="Calibri"/>
          <w:shd w:val="clear" w:color="auto" w:fill="FFFFFF"/>
        </w:rPr>
        <w:t>0</w:t>
      </w:r>
      <w:r w:rsidR="00E15A3A">
        <w:rPr>
          <w:rFonts w:ascii="Calibri" w:eastAsia="Calibri" w:hAnsi="Calibri" w:cs="Calibri"/>
          <w:shd w:val="clear" w:color="auto" w:fill="FFFFFF"/>
        </w:rPr>
        <w:t>,000</w:t>
      </w:r>
      <w:r w:rsidR="00E27288">
        <w:rPr>
          <w:rFonts w:ascii="Calibri" w:eastAsia="Calibri" w:hAnsi="Calibri" w:cs="Calibri"/>
          <w:shd w:val="clear" w:color="auto" w:fill="FFFFFF"/>
        </w:rPr>
        <w:t xml:space="preserve"> </w:t>
      </w:r>
      <w:r w:rsidR="00D972C4">
        <w:rPr>
          <w:rFonts w:ascii="Calibri" w:eastAsia="Calibri" w:hAnsi="Calibri" w:cs="Calibri"/>
          <w:shd w:val="clear" w:color="auto" w:fill="FFFFFF"/>
        </w:rPr>
        <w:t>(</w:t>
      </w:r>
      <w:r w:rsidR="00593B3F">
        <w:rPr>
          <w:rFonts w:ascii="Calibri" w:eastAsia="Calibri" w:hAnsi="Calibri" w:cs="Calibri"/>
          <w:shd w:val="clear" w:color="auto" w:fill="FFFFFF"/>
        </w:rPr>
        <w:t xml:space="preserve">%Population X </w:t>
      </w:r>
      <w:r w:rsidR="00265B90">
        <w:rPr>
          <w:rFonts w:ascii="Calibri" w:eastAsia="Calibri" w:hAnsi="Calibri" w:cs="Calibri"/>
          <w:shd w:val="clear" w:color="auto" w:fill="FFFFFF"/>
        </w:rPr>
        <w:t>Probability X 100)</w:t>
      </w:r>
    </w:p>
    <w:tbl>
      <w:tblPr>
        <w:tblStyle w:val="TableGrid"/>
        <w:tblW w:w="10242" w:type="dxa"/>
        <w:tblLook w:val="04A0" w:firstRow="1" w:lastRow="0" w:firstColumn="1" w:lastColumn="0" w:noHBand="0" w:noVBand="1"/>
      </w:tblPr>
      <w:tblGrid>
        <w:gridCol w:w="1827"/>
        <w:gridCol w:w="1996"/>
        <w:gridCol w:w="1096"/>
        <w:gridCol w:w="1305"/>
        <w:gridCol w:w="270"/>
        <w:gridCol w:w="1127"/>
        <w:gridCol w:w="1236"/>
        <w:gridCol w:w="1385"/>
      </w:tblGrid>
      <w:tr w:rsidR="00AF0101" w:rsidRPr="003E5A0F" w14:paraId="5FEE5743" w14:textId="09436704" w:rsidTr="00D44E76">
        <w:tc>
          <w:tcPr>
            <w:tcW w:w="1827" w:type="dxa"/>
          </w:tcPr>
          <w:p w14:paraId="64015F80" w14:textId="77777777" w:rsidR="00AF0101" w:rsidRPr="003E5A0F" w:rsidRDefault="00AF0101" w:rsidP="00AA1754">
            <w:pPr>
              <w:autoSpaceDE w:val="0"/>
              <w:autoSpaceDN w:val="0"/>
              <w:adjustRightInd w:val="0"/>
              <w:spacing w:line="276" w:lineRule="auto"/>
              <w:rPr>
                <w:rFonts w:ascii="Calibri" w:hAnsi="Calibri" w:cs="Calibri"/>
                <w:sz w:val="20"/>
                <w:szCs w:val="20"/>
              </w:rPr>
            </w:pPr>
          </w:p>
        </w:tc>
        <w:tc>
          <w:tcPr>
            <w:tcW w:w="4397" w:type="dxa"/>
            <w:gridSpan w:val="3"/>
          </w:tcPr>
          <w:p w14:paraId="25929BAF" w14:textId="704299E4" w:rsidR="00AF0101" w:rsidRPr="003E5A0F" w:rsidRDefault="00AF0101" w:rsidP="00AA1754">
            <w:pPr>
              <w:autoSpaceDE w:val="0"/>
              <w:autoSpaceDN w:val="0"/>
              <w:adjustRightInd w:val="0"/>
              <w:spacing w:line="276" w:lineRule="auto"/>
              <w:rPr>
                <w:rFonts w:ascii="Calibri" w:hAnsi="Calibri" w:cs="Calibri"/>
                <w:sz w:val="20"/>
                <w:szCs w:val="20"/>
              </w:rPr>
            </w:pPr>
            <w:r w:rsidRPr="00512E76">
              <w:rPr>
                <w:rFonts w:ascii="Calibri" w:hAnsi="Calibri" w:cs="Calibri"/>
                <w:sz w:val="20"/>
                <w:szCs w:val="20"/>
              </w:rPr>
              <w:t>Age-dependent</w:t>
            </w:r>
            <w:r>
              <w:t xml:space="preserve"> </w:t>
            </w:r>
            <w:r w:rsidRPr="00AF0101">
              <w:rPr>
                <w:rFonts w:ascii="Calibri" w:hAnsi="Calibri" w:cs="Calibri"/>
                <w:sz w:val="20"/>
                <w:szCs w:val="20"/>
              </w:rPr>
              <w:t>thresholds</w:t>
            </w:r>
          </w:p>
        </w:tc>
        <w:tc>
          <w:tcPr>
            <w:tcW w:w="270" w:type="dxa"/>
          </w:tcPr>
          <w:p w14:paraId="046B6244" w14:textId="77777777" w:rsidR="00AF0101" w:rsidRPr="003E5A0F" w:rsidRDefault="00AF0101" w:rsidP="00AA1754">
            <w:pPr>
              <w:autoSpaceDE w:val="0"/>
              <w:autoSpaceDN w:val="0"/>
              <w:adjustRightInd w:val="0"/>
              <w:spacing w:line="276" w:lineRule="auto"/>
              <w:rPr>
                <w:rFonts w:ascii="Calibri" w:hAnsi="Calibri" w:cs="Calibri"/>
                <w:sz w:val="20"/>
                <w:szCs w:val="20"/>
              </w:rPr>
            </w:pPr>
          </w:p>
        </w:tc>
        <w:tc>
          <w:tcPr>
            <w:tcW w:w="3748" w:type="dxa"/>
            <w:gridSpan w:val="3"/>
          </w:tcPr>
          <w:p w14:paraId="79D3AE09" w14:textId="76A76BA4" w:rsidR="00AF0101" w:rsidRPr="003E5A0F" w:rsidRDefault="00AF0101" w:rsidP="00AA1754">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Hybrid</w:t>
            </w:r>
            <w:r>
              <w:t xml:space="preserve"> </w:t>
            </w:r>
            <w:r w:rsidRPr="00AF0101">
              <w:rPr>
                <w:rFonts w:ascii="Calibri" w:hAnsi="Calibri" w:cs="Calibri"/>
                <w:sz w:val="20"/>
                <w:szCs w:val="20"/>
              </w:rPr>
              <w:t>thresholds</w:t>
            </w:r>
          </w:p>
        </w:tc>
      </w:tr>
      <w:tr w:rsidR="003F7921" w:rsidRPr="003E5A0F" w14:paraId="5E3247F4" w14:textId="2CD8283A" w:rsidTr="0059796D">
        <w:tc>
          <w:tcPr>
            <w:tcW w:w="1827" w:type="dxa"/>
          </w:tcPr>
          <w:p w14:paraId="55969E7F" w14:textId="3D602F87" w:rsidR="003F7921" w:rsidRPr="003E5A0F" w:rsidRDefault="003F7921" w:rsidP="00512E76">
            <w:pPr>
              <w:autoSpaceDE w:val="0"/>
              <w:autoSpaceDN w:val="0"/>
              <w:adjustRightInd w:val="0"/>
              <w:spacing w:line="276" w:lineRule="auto"/>
              <w:rPr>
                <w:rFonts w:ascii="Calibri" w:hAnsi="Calibri" w:cs="Calibri"/>
                <w:sz w:val="20"/>
                <w:szCs w:val="20"/>
              </w:rPr>
            </w:pPr>
          </w:p>
        </w:tc>
        <w:tc>
          <w:tcPr>
            <w:tcW w:w="1996" w:type="dxa"/>
          </w:tcPr>
          <w:p w14:paraId="4760E79B" w14:textId="0FF78C56"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 Population</w:t>
            </w:r>
          </w:p>
        </w:tc>
        <w:tc>
          <w:tcPr>
            <w:tcW w:w="1096" w:type="dxa"/>
          </w:tcPr>
          <w:p w14:paraId="0E4B6354" w14:textId="74B5522D"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Probability (%)</w:t>
            </w:r>
          </w:p>
        </w:tc>
        <w:tc>
          <w:tcPr>
            <w:tcW w:w="1305" w:type="dxa"/>
          </w:tcPr>
          <w:p w14:paraId="7D2E4449" w14:textId="4785EC8B" w:rsidR="003F7921" w:rsidRPr="003E5A0F" w:rsidRDefault="00FD653F"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MOF</w:t>
            </w:r>
            <w:r w:rsidR="00950460">
              <w:rPr>
                <w:rFonts w:ascii="Calibri" w:hAnsi="Calibri" w:cs="Calibri"/>
                <w:sz w:val="20"/>
                <w:szCs w:val="20"/>
              </w:rPr>
              <w:t>s</w:t>
            </w:r>
            <w:r w:rsidR="003F7921">
              <w:rPr>
                <w:rFonts w:ascii="Calibri" w:hAnsi="Calibri" w:cs="Calibri"/>
                <w:sz w:val="20"/>
                <w:szCs w:val="20"/>
              </w:rPr>
              <w:t xml:space="preserve"> </w:t>
            </w:r>
            <w:r>
              <w:rPr>
                <w:rFonts w:ascii="Calibri" w:hAnsi="Calibri" w:cs="Calibri"/>
                <w:sz w:val="20"/>
                <w:szCs w:val="20"/>
              </w:rPr>
              <w:t>expected</w:t>
            </w:r>
          </w:p>
        </w:tc>
        <w:tc>
          <w:tcPr>
            <w:tcW w:w="270" w:type="dxa"/>
          </w:tcPr>
          <w:p w14:paraId="72FE9C41"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2CBD4DA5" w14:textId="162C41AA"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 Population</w:t>
            </w:r>
          </w:p>
        </w:tc>
        <w:tc>
          <w:tcPr>
            <w:tcW w:w="1236" w:type="dxa"/>
          </w:tcPr>
          <w:p w14:paraId="7558794C" w14:textId="355B7D1C"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Probability (%)</w:t>
            </w:r>
          </w:p>
        </w:tc>
        <w:tc>
          <w:tcPr>
            <w:tcW w:w="1385" w:type="dxa"/>
          </w:tcPr>
          <w:p w14:paraId="7B8C0113" w14:textId="42000730" w:rsidR="003F7921" w:rsidRPr="003E5A0F" w:rsidRDefault="00FD653F" w:rsidP="00512E76">
            <w:pPr>
              <w:autoSpaceDE w:val="0"/>
              <w:autoSpaceDN w:val="0"/>
              <w:adjustRightInd w:val="0"/>
              <w:spacing w:line="276" w:lineRule="auto"/>
              <w:rPr>
                <w:rFonts w:ascii="Calibri" w:hAnsi="Calibri" w:cs="Calibri"/>
                <w:sz w:val="20"/>
                <w:szCs w:val="20"/>
              </w:rPr>
            </w:pPr>
            <w:r w:rsidRPr="00FD653F">
              <w:rPr>
                <w:rFonts w:ascii="Calibri" w:hAnsi="Calibri" w:cs="Calibri"/>
                <w:sz w:val="20"/>
                <w:szCs w:val="20"/>
              </w:rPr>
              <w:t>MOFs expected</w:t>
            </w:r>
          </w:p>
        </w:tc>
      </w:tr>
      <w:tr w:rsidR="003F7921" w:rsidRPr="003E5A0F" w14:paraId="1FD9913D" w14:textId="1FC811E5" w:rsidTr="0059796D">
        <w:tc>
          <w:tcPr>
            <w:tcW w:w="1827" w:type="dxa"/>
          </w:tcPr>
          <w:p w14:paraId="3DD066C2" w14:textId="022E0080" w:rsidR="003F7921" w:rsidRPr="00F7728F" w:rsidRDefault="003F7921" w:rsidP="00512E76">
            <w:pPr>
              <w:autoSpaceDE w:val="0"/>
              <w:autoSpaceDN w:val="0"/>
              <w:adjustRightInd w:val="0"/>
              <w:spacing w:line="276" w:lineRule="auto"/>
              <w:rPr>
                <w:rFonts w:ascii="Calibri" w:hAnsi="Calibri" w:cs="Calibri"/>
                <w:i/>
                <w:iCs/>
                <w:sz w:val="20"/>
                <w:szCs w:val="20"/>
              </w:rPr>
            </w:pPr>
            <w:r w:rsidRPr="00F7728F">
              <w:rPr>
                <w:rFonts w:ascii="Calibri" w:hAnsi="Calibri" w:cs="Calibri"/>
                <w:i/>
                <w:iCs/>
                <w:sz w:val="20"/>
                <w:szCs w:val="20"/>
              </w:rPr>
              <w:t>Men</w:t>
            </w:r>
          </w:p>
        </w:tc>
        <w:tc>
          <w:tcPr>
            <w:tcW w:w="1996" w:type="dxa"/>
          </w:tcPr>
          <w:p w14:paraId="2B8FD7C0"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096" w:type="dxa"/>
          </w:tcPr>
          <w:p w14:paraId="7F02F2F8" w14:textId="6EC2359E" w:rsidR="003F7921" w:rsidRPr="003E5A0F" w:rsidRDefault="003F7921" w:rsidP="00512E76">
            <w:pPr>
              <w:autoSpaceDE w:val="0"/>
              <w:autoSpaceDN w:val="0"/>
              <w:adjustRightInd w:val="0"/>
              <w:spacing w:line="276" w:lineRule="auto"/>
              <w:rPr>
                <w:rFonts w:ascii="Calibri" w:hAnsi="Calibri" w:cs="Calibri"/>
                <w:sz w:val="20"/>
                <w:szCs w:val="20"/>
              </w:rPr>
            </w:pPr>
          </w:p>
        </w:tc>
        <w:tc>
          <w:tcPr>
            <w:tcW w:w="1305" w:type="dxa"/>
          </w:tcPr>
          <w:p w14:paraId="2F3013C6"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270" w:type="dxa"/>
          </w:tcPr>
          <w:p w14:paraId="62735A2F"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7E57B34F" w14:textId="77777777" w:rsidR="003F7921" w:rsidRPr="003E5A0F" w:rsidRDefault="003F7921" w:rsidP="00512E76">
            <w:pPr>
              <w:autoSpaceDE w:val="0"/>
              <w:autoSpaceDN w:val="0"/>
              <w:adjustRightInd w:val="0"/>
              <w:spacing w:line="276" w:lineRule="auto"/>
              <w:rPr>
                <w:sz w:val="20"/>
                <w:szCs w:val="20"/>
              </w:rPr>
            </w:pPr>
          </w:p>
        </w:tc>
        <w:tc>
          <w:tcPr>
            <w:tcW w:w="1236" w:type="dxa"/>
          </w:tcPr>
          <w:p w14:paraId="0586CFAB" w14:textId="77777777" w:rsidR="003F7921" w:rsidRPr="003E5A0F" w:rsidRDefault="003F7921" w:rsidP="00512E76">
            <w:pPr>
              <w:autoSpaceDE w:val="0"/>
              <w:autoSpaceDN w:val="0"/>
              <w:adjustRightInd w:val="0"/>
              <w:spacing w:line="276" w:lineRule="auto"/>
              <w:rPr>
                <w:sz w:val="20"/>
                <w:szCs w:val="20"/>
              </w:rPr>
            </w:pPr>
          </w:p>
        </w:tc>
        <w:tc>
          <w:tcPr>
            <w:tcW w:w="1385" w:type="dxa"/>
          </w:tcPr>
          <w:p w14:paraId="59634419" w14:textId="77777777" w:rsidR="003F7921" w:rsidRPr="003E5A0F" w:rsidRDefault="003F7921" w:rsidP="00512E76">
            <w:pPr>
              <w:autoSpaceDE w:val="0"/>
              <w:autoSpaceDN w:val="0"/>
              <w:adjustRightInd w:val="0"/>
              <w:spacing w:line="276" w:lineRule="auto"/>
              <w:rPr>
                <w:sz w:val="20"/>
                <w:szCs w:val="20"/>
              </w:rPr>
            </w:pPr>
          </w:p>
        </w:tc>
      </w:tr>
      <w:tr w:rsidR="008B2956" w:rsidRPr="003E5A0F" w14:paraId="7A08AB84" w14:textId="77777777" w:rsidTr="0059796D">
        <w:tc>
          <w:tcPr>
            <w:tcW w:w="1827" w:type="dxa"/>
          </w:tcPr>
          <w:p w14:paraId="7E2CAE7D" w14:textId="2ED75932" w:rsidR="008B2956" w:rsidRPr="00355DCD" w:rsidRDefault="008B2956" w:rsidP="008B2956">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w:t>
            </w:r>
            <w:r w:rsidRPr="00355DCD">
              <w:rPr>
                <w:rFonts w:ascii="Calibri" w:hAnsi="Calibri" w:cs="Calibri"/>
                <w:sz w:val="20"/>
                <w:szCs w:val="20"/>
              </w:rPr>
              <w:t>All men</w:t>
            </w:r>
          </w:p>
        </w:tc>
        <w:tc>
          <w:tcPr>
            <w:tcW w:w="1996" w:type="dxa"/>
          </w:tcPr>
          <w:p w14:paraId="132EF92F" w14:textId="68AD6AB2" w:rsidR="008B2956" w:rsidRPr="003E5A0F" w:rsidRDefault="008B2956" w:rsidP="008B2956">
            <w:pPr>
              <w:autoSpaceDE w:val="0"/>
              <w:autoSpaceDN w:val="0"/>
              <w:adjustRightInd w:val="0"/>
              <w:spacing w:line="276" w:lineRule="auto"/>
              <w:rPr>
                <w:rFonts w:ascii="Calibri" w:hAnsi="Calibri" w:cs="Calibri"/>
                <w:sz w:val="20"/>
                <w:szCs w:val="20"/>
              </w:rPr>
            </w:pPr>
            <w:r>
              <w:rPr>
                <w:rFonts w:ascii="Calibri" w:hAnsi="Calibri" w:cs="Calibri"/>
                <w:sz w:val="20"/>
                <w:szCs w:val="20"/>
              </w:rPr>
              <w:t>100</w:t>
            </w:r>
          </w:p>
        </w:tc>
        <w:tc>
          <w:tcPr>
            <w:tcW w:w="1096" w:type="dxa"/>
          </w:tcPr>
          <w:p w14:paraId="0C1A38A6" w14:textId="4A20A621" w:rsidR="008B2956" w:rsidRPr="003E5A0F" w:rsidRDefault="008B2956" w:rsidP="008B2956">
            <w:pPr>
              <w:autoSpaceDE w:val="0"/>
              <w:autoSpaceDN w:val="0"/>
              <w:adjustRightInd w:val="0"/>
              <w:spacing w:line="276" w:lineRule="auto"/>
              <w:rPr>
                <w:rFonts w:ascii="Calibri" w:hAnsi="Calibri" w:cs="Calibri"/>
                <w:sz w:val="20"/>
                <w:szCs w:val="20"/>
              </w:rPr>
            </w:pPr>
            <w:r>
              <w:rPr>
                <w:rFonts w:ascii="Calibri" w:hAnsi="Calibri" w:cs="Calibri"/>
                <w:sz w:val="20"/>
                <w:szCs w:val="20"/>
              </w:rPr>
              <w:t>2.5</w:t>
            </w:r>
          </w:p>
        </w:tc>
        <w:tc>
          <w:tcPr>
            <w:tcW w:w="1305" w:type="dxa"/>
          </w:tcPr>
          <w:p w14:paraId="64FBF119" w14:textId="7B2D1B7A" w:rsidR="008B2956" w:rsidRPr="003E5A0F" w:rsidRDefault="001814F7" w:rsidP="008B2956">
            <w:pPr>
              <w:autoSpaceDE w:val="0"/>
              <w:autoSpaceDN w:val="0"/>
              <w:adjustRightInd w:val="0"/>
              <w:spacing w:line="276" w:lineRule="auto"/>
              <w:rPr>
                <w:rFonts w:ascii="Calibri" w:hAnsi="Calibri" w:cs="Calibri"/>
                <w:sz w:val="20"/>
                <w:szCs w:val="20"/>
              </w:rPr>
            </w:pPr>
            <w:r>
              <w:rPr>
                <w:rFonts w:ascii="Calibri" w:hAnsi="Calibri" w:cs="Calibri"/>
                <w:sz w:val="20"/>
                <w:szCs w:val="20"/>
              </w:rPr>
              <w:t>25</w:t>
            </w:r>
            <w:r w:rsidR="006C74E0">
              <w:rPr>
                <w:rFonts w:ascii="Calibri" w:hAnsi="Calibri" w:cs="Calibri"/>
                <w:sz w:val="20"/>
                <w:szCs w:val="20"/>
              </w:rPr>
              <w:t>,000</w:t>
            </w:r>
          </w:p>
        </w:tc>
        <w:tc>
          <w:tcPr>
            <w:tcW w:w="270" w:type="dxa"/>
          </w:tcPr>
          <w:p w14:paraId="305D4026" w14:textId="77777777" w:rsidR="008B2956" w:rsidRPr="003E5A0F" w:rsidRDefault="008B2956" w:rsidP="008B2956">
            <w:pPr>
              <w:autoSpaceDE w:val="0"/>
              <w:autoSpaceDN w:val="0"/>
              <w:adjustRightInd w:val="0"/>
              <w:spacing w:line="276" w:lineRule="auto"/>
              <w:rPr>
                <w:rFonts w:ascii="Calibri" w:hAnsi="Calibri" w:cs="Calibri"/>
                <w:sz w:val="20"/>
                <w:szCs w:val="20"/>
              </w:rPr>
            </w:pPr>
          </w:p>
        </w:tc>
        <w:tc>
          <w:tcPr>
            <w:tcW w:w="1127" w:type="dxa"/>
          </w:tcPr>
          <w:p w14:paraId="0472B325" w14:textId="4EC2F112" w:rsidR="008B2956" w:rsidRPr="003E5A0F" w:rsidRDefault="008B2956" w:rsidP="008B2956">
            <w:pPr>
              <w:autoSpaceDE w:val="0"/>
              <w:autoSpaceDN w:val="0"/>
              <w:adjustRightInd w:val="0"/>
              <w:spacing w:line="276" w:lineRule="auto"/>
              <w:rPr>
                <w:sz w:val="20"/>
                <w:szCs w:val="20"/>
              </w:rPr>
            </w:pPr>
            <w:r w:rsidRPr="009556D8">
              <w:t>100</w:t>
            </w:r>
          </w:p>
        </w:tc>
        <w:tc>
          <w:tcPr>
            <w:tcW w:w="1236" w:type="dxa"/>
          </w:tcPr>
          <w:p w14:paraId="3F4F54E7" w14:textId="27A72A2A" w:rsidR="008B2956" w:rsidRPr="003E5A0F" w:rsidRDefault="008B2956" w:rsidP="008B2956">
            <w:pPr>
              <w:autoSpaceDE w:val="0"/>
              <w:autoSpaceDN w:val="0"/>
              <w:adjustRightInd w:val="0"/>
              <w:spacing w:line="276" w:lineRule="auto"/>
              <w:rPr>
                <w:sz w:val="20"/>
                <w:szCs w:val="20"/>
              </w:rPr>
            </w:pPr>
            <w:r w:rsidRPr="009556D8">
              <w:t>2.5</w:t>
            </w:r>
          </w:p>
        </w:tc>
        <w:tc>
          <w:tcPr>
            <w:tcW w:w="1385" w:type="dxa"/>
          </w:tcPr>
          <w:p w14:paraId="6179002D" w14:textId="4F3CF105" w:rsidR="008B2956" w:rsidRPr="003E5A0F" w:rsidRDefault="006C74E0" w:rsidP="008B2956">
            <w:pPr>
              <w:autoSpaceDE w:val="0"/>
              <w:autoSpaceDN w:val="0"/>
              <w:adjustRightInd w:val="0"/>
              <w:spacing w:line="276" w:lineRule="auto"/>
              <w:rPr>
                <w:sz w:val="20"/>
                <w:szCs w:val="20"/>
              </w:rPr>
            </w:pPr>
            <w:r>
              <w:rPr>
                <w:sz w:val="20"/>
                <w:szCs w:val="20"/>
              </w:rPr>
              <w:t>25,000</w:t>
            </w:r>
          </w:p>
        </w:tc>
      </w:tr>
      <w:tr w:rsidR="003F7921" w:rsidRPr="003E5A0F" w14:paraId="52DF0AF3" w14:textId="3330DDD2" w:rsidTr="0059796D">
        <w:tc>
          <w:tcPr>
            <w:tcW w:w="1827" w:type="dxa"/>
          </w:tcPr>
          <w:p w14:paraId="49FF327B" w14:textId="1F4E9032"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w:t>
            </w:r>
            <w:r w:rsidRPr="003E5A0F">
              <w:rPr>
                <w:rFonts w:ascii="Calibri" w:hAnsi="Calibri" w:cs="Calibri"/>
                <w:sz w:val="20"/>
                <w:szCs w:val="20"/>
              </w:rPr>
              <w:t>Prior fracture</w:t>
            </w:r>
          </w:p>
        </w:tc>
        <w:tc>
          <w:tcPr>
            <w:tcW w:w="1996" w:type="dxa"/>
          </w:tcPr>
          <w:p w14:paraId="4B0E195C" w14:textId="26CF6A07"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12.2</w:t>
            </w:r>
          </w:p>
        </w:tc>
        <w:tc>
          <w:tcPr>
            <w:tcW w:w="1096" w:type="dxa"/>
          </w:tcPr>
          <w:p w14:paraId="5E408687" w14:textId="09DD03D7"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4.4</w:t>
            </w:r>
          </w:p>
        </w:tc>
        <w:tc>
          <w:tcPr>
            <w:tcW w:w="1305" w:type="dxa"/>
          </w:tcPr>
          <w:p w14:paraId="6C75CDD2" w14:textId="72A02400" w:rsidR="003F7921" w:rsidRPr="003E5A0F" w:rsidRDefault="00485E5B"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5368</w:t>
            </w:r>
          </w:p>
        </w:tc>
        <w:tc>
          <w:tcPr>
            <w:tcW w:w="270" w:type="dxa"/>
          </w:tcPr>
          <w:p w14:paraId="7E65D6E3"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23F1CE5C" w14:textId="0C76A856"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12.2</w:t>
            </w:r>
          </w:p>
        </w:tc>
        <w:tc>
          <w:tcPr>
            <w:tcW w:w="1236" w:type="dxa"/>
          </w:tcPr>
          <w:p w14:paraId="0E8657B2" w14:textId="3F2493DB" w:rsidR="003F7921" w:rsidRPr="003E5A0F" w:rsidRDefault="003F7921" w:rsidP="00512E76">
            <w:pPr>
              <w:autoSpaceDE w:val="0"/>
              <w:autoSpaceDN w:val="0"/>
              <w:adjustRightInd w:val="0"/>
              <w:spacing w:line="276" w:lineRule="auto"/>
              <w:rPr>
                <w:rFonts w:ascii="Calibri" w:hAnsi="Calibri" w:cs="Calibri"/>
                <w:sz w:val="20"/>
                <w:szCs w:val="20"/>
              </w:rPr>
            </w:pPr>
            <w:r w:rsidRPr="003E5A0F">
              <w:rPr>
                <w:rFonts w:ascii="Calibri" w:hAnsi="Calibri" w:cs="Calibri"/>
                <w:sz w:val="20"/>
                <w:szCs w:val="20"/>
              </w:rPr>
              <w:t>4.4</w:t>
            </w:r>
          </w:p>
        </w:tc>
        <w:tc>
          <w:tcPr>
            <w:tcW w:w="1385" w:type="dxa"/>
          </w:tcPr>
          <w:p w14:paraId="74BA9D13" w14:textId="0CDA5C02" w:rsidR="003F7921" w:rsidRPr="003E5A0F" w:rsidRDefault="00F81F53"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5368</w:t>
            </w:r>
          </w:p>
        </w:tc>
      </w:tr>
      <w:tr w:rsidR="003F7921" w:rsidRPr="003E5A0F" w14:paraId="2CF2BA57" w14:textId="24F73085" w:rsidTr="0059796D">
        <w:tc>
          <w:tcPr>
            <w:tcW w:w="1827" w:type="dxa"/>
          </w:tcPr>
          <w:p w14:paraId="51B3EA76" w14:textId="3F043EEA"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Others treated</w:t>
            </w:r>
          </w:p>
        </w:tc>
        <w:tc>
          <w:tcPr>
            <w:tcW w:w="1996" w:type="dxa"/>
          </w:tcPr>
          <w:p w14:paraId="77CA7C5A" w14:textId="6B372C4F" w:rsidR="003F7921"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0.</w:t>
            </w:r>
            <w:r w:rsidR="007A1E5E">
              <w:rPr>
                <w:rFonts w:ascii="Calibri" w:hAnsi="Calibri" w:cs="Calibri"/>
                <w:sz w:val="20"/>
                <w:szCs w:val="20"/>
              </w:rPr>
              <w:t>2</w:t>
            </w:r>
          </w:p>
        </w:tc>
        <w:tc>
          <w:tcPr>
            <w:tcW w:w="1096" w:type="dxa"/>
          </w:tcPr>
          <w:p w14:paraId="7E369711" w14:textId="4CC1580A"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11.3</w:t>
            </w:r>
          </w:p>
        </w:tc>
        <w:tc>
          <w:tcPr>
            <w:tcW w:w="1305" w:type="dxa"/>
          </w:tcPr>
          <w:p w14:paraId="0F4E5E17" w14:textId="30449FF4" w:rsidR="003F7921" w:rsidRPr="003E5A0F" w:rsidRDefault="009F1069"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339</w:t>
            </w:r>
          </w:p>
        </w:tc>
        <w:tc>
          <w:tcPr>
            <w:tcW w:w="270" w:type="dxa"/>
          </w:tcPr>
          <w:p w14:paraId="4C7C5605"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58FCEA76" w14:textId="0F222296" w:rsidR="003F7921" w:rsidRPr="003E5A0F" w:rsidRDefault="005E1A93"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0.4</w:t>
            </w:r>
          </w:p>
        </w:tc>
        <w:tc>
          <w:tcPr>
            <w:tcW w:w="1236" w:type="dxa"/>
          </w:tcPr>
          <w:p w14:paraId="79BB993D" w14:textId="3734EB4A"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12.4</w:t>
            </w:r>
          </w:p>
        </w:tc>
        <w:tc>
          <w:tcPr>
            <w:tcW w:w="1385" w:type="dxa"/>
          </w:tcPr>
          <w:p w14:paraId="3A0D1B3C" w14:textId="3B8E5860" w:rsidR="003F7921" w:rsidRDefault="00A234D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496</w:t>
            </w:r>
          </w:p>
        </w:tc>
      </w:tr>
      <w:tr w:rsidR="003F7921" w:rsidRPr="003E5A0F" w14:paraId="619A8BC5" w14:textId="7C35A61C" w:rsidTr="0059796D">
        <w:tc>
          <w:tcPr>
            <w:tcW w:w="1827" w:type="dxa"/>
          </w:tcPr>
          <w:p w14:paraId="76E354C6" w14:textId="43269AC7"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BMD tests</w:t>
            </w:r>
          </w:p>
        </w:tc>
        <w:tc>
          <w:tcPr>
            <w:tcW w:w="1996" w:type="dxa"/>
          </w:tcPr>
          <w:p w14:paraId="7C9171CC" w14:textId="2DC77C07" w:rsidR="003F7921"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5.1</w:t>
            </w:r>
          </w:p>
        </w:tc>
        <w:tc>
          <w:tcPr>
            <w:tcW w:w="1096" w:type="dxa"/>
          </w:tcPr>
          <w:p w14:paraId="0A38207A" w14:textId="3D763C6B"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2.9</w:t>
            </w:r>
          </w:p>
        </w:tc>
        <w:tc>
          <w:tcPr>
            <w:tcW w:w="1305" w:type="dxa"/>
          </w:tcPr>
          <w:p w14:paraId="26429534" w14:textId="4B4DFCA4" w:rsidR="003F7921" w:rsidRPr="003E5A0F" w:rsidRDefault="00925E37"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1479</w:t>
            </w:r>
          </w:p>
        </w:tc>
        <w:tc>
          <w:tcPr>
            <w:tcW w:w="270" w:type="dxa"/>
          </w:tcPr>
          <w:p w14:paraId="6362BE29"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5E2615AA" w14:textId="6FC1EB36"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10.6</w:t>
            </w:r>
          </w:p>
        </w:tc>
        <w:tc>
          <w:tcPr>
            <w:tcW w:w="1236" w:type="dxa"/>
          </w:tcPr>
          <w:p w14:paraId="761A14BD" w14:textId="09F38B22"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4.2</w:t>
            </w:r>
          </w:p>
        </w:tc>
        <w:tc>
          <w:tcPr>
            <w:tcW w:w="1385" w:type="dxa"/>
          </w:tcPr>
          <w:p w14:paraId="313282EC" w14:textId="3BC18E10" w:rsidR="003F7921" w:rsidRDefault="0011607C"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4452</w:t>
            </w:r>
          </w:p>
        </w:tc>
      </w:tr>
      <w:tr w:rsidR="00A3797D" w:rsidRPr="003E5A0F" w14:paraId="6EADC855" w14:textId="77777777" w:rsidTr="0059796D">
        <w:tc>
          <w:tcPr>
            <w:tcW w:w="1827" w:type="dxa"/>
          </w:tcPr>
          <w:p w14:paraId="52B626CB" w14:textId="13CA7278" w:rsidR="00A3797D" w:rsidRDefault="00A3797D" w:rsidP="00A3797D">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Low risk (&lt; LAT)</w:t>
            </w:r>
          </w:p>
        </w:tc>
        <w:tc>
          <w:tcPr>
            <w:tcW w:w="1996" w:type="dxa"/>
          </w:tcPr>
          <w:p w14:paraId="30FB0CEB" w14:textId="3C363E21" w:rsidR="00A3797D" w:rsidRDefault="00A3797D" w:rsidP="00A3797D">
            <w:pPr>
              <w:autoSpaceDE w:val="0"/>
              <w:autoSpaceDN w:val="0"/>
              <w:adjustRightInd w:val="0"/>
              <w:spacing w:line="276" w:lineRule="auto"/>
              <w:rPr>
                <w:rFonts w:ascii="Calibri" w:hAnsi="Calibri" w:cs="Calibri"/>
                <w:sz w:val="20"/>
                <w:szCs w:val="20"/>
              </w:rPr>
            </w:pPr>
            <w:r w:rsidRPr="00381B76">
              <w:t>82.6</w:t>
            </w:r>
          </w:p>
        </w:tc>
        <w:tc>
          <w:tcPr>
            <w:tcW w:w="1096" w:type="dxa"/>
          </w:tcPr>
          <w:p w14:paraId="2A2B5EAD" w14:textId="07FA4EAF" w:rsidR="00A3797D" w:rsidRDefault="00A3797D" w:rsidP="00A3797D">
            <w:pPr>
              <w:autoSpaceDE w:val="0"/>
              <w:autoSpaceDN w:val="0"/>
              <w:adjustRightInd w:val="0"/>
              <w:spacing w:line="276" w:lineRule="auto"/>
              <w:rPr>
                <w:rFonts w:ascii="Calibri" w:hAnsi="Calibri" w:cs="Calibri"/>
                <w:sz w:val="20"/>
                <w:szCs w:val="20"/>
              </w:rPr>
            </w:pPr>
            <w:r w:rsidRPr="00381B76">
              <w:t>2.2</w:t>
            </w:r>
          </w:p>
        </w:tc>
        <w:tc>
          <w:tcPr>
            <w:tcW w:w="1305" w:type="dxa"/>
          </w:tcPr>
          <w:p w14:paraId="5CDBDB60" w14:textId="23D5F90C" w:rsidR="00A3797D" w:rsidRPr="003E5A0F" w:rsidRDefault="000B4261" w:rsidP="00A3797D">
            <w:pPr>
              <w:autoSpaceDE w:val="0"/>
              <w:autoSpaceDN w:val="0"/>
              <w:adjustRightInd w:val="0"/>
              <w:spacing w:line="276" w:lineRule="auto"/>
              <w:rPr>
                <w:rFonts w:ascii="Calibri" w:hAnsi="Calibri" w:cs="Calibri"/>
                <w:sz w:val="20"/>
                <w:szCs w:val="20"/>
              </w:rPr>
            </w:pPr>
            <w:r>
              <w:rPr>
                <w:rFonts w:ascii="Calibri" w:hAnsi="Calibri" w:cs="Calibri"/>
                <w:sz w:val="20"/>
                <w:szCs w:val="20"/>
              </w:rPr>
              <w:t>18,172</w:t>
            </w:r>
          </w:p>
        </w:tc>
        <w:tc>
          <w:tcPr>
            <w:tcW w:w="270" w:type="dxa"/>
          </w:tcPr>
          <w:p w14:paraId="797BEB7B" w14:textId="77777777" w:rsidR="00A3797D" w:rsidRPr="003E5A0F" w:rsidRDefault="00A3797D" w:rsidP="00A3797D">
            <w:pPr>
              <w:autoSpaceDE w:val="0"/>
              <w:autoSpaceDN w:val="0"/>
              <w:adjustRightInd w:val="0"/>
              <w:spacing w:line="276" w:lineRule="auto"/>
              <w:rPr>
                <w:rFonts w:ascii="Calibri" w:hAnsi="Calibri" w:cs="Calibri"/>
                <w:sz w:val="20"/>
                <w:szCs w:val="20"/>
              </w:rPr>
            </w:pPr>
          </w:p>
        </w:tc>
        <w:tc>
          <w:tcPr>
            <w:tcW w:w="1127" w:type="dxa"/>
          </w:tcPr>
          <w:p w14:paraId="2205C652" w14:textId="3194EEE6" w:rsidR="00A3797D" w:rsidRDefault="00A3797D" w:rsidP="00A3797D">
            <w:pPr>
              <w:autoSpaceDE w:val="0"/>
              <w:autoSpaceDN w:val="0"/>
              <w:adjustRightInd w:val="0"/>
              <w:spacing w:line="276" w:lineRule="auto"/>
              <w:rPr>
                <w:rFonts w:ascii="Calibri" w:hAnsi="Calibri" w:cs="Calibri"/>
                <w:sz w:val="20"/>
                <w:szCs w:val="20"/>
              </w:rPr>
            </w:pPr>
            <w:r w:rsidRPr="002C07E4">
              <w:t>76.8</w:t>
            </w:r>
          </w:p>
        </w:tc>
        <w:tc>
          <w:tcPr>
            <w:tcW w:w="1236" w:type="dxa"/>
          </w:tcPr>
          <w:p w14:paraId="5295FC59" w14:textId="399DCC6A" w:rsidR="00A3797D" w:rsidRDefault="00A3797D" w:rsidP="00A3797D">
            <w:pPr>
              <w:autoSpaceDE w:val="0"/>
              <w:autoSpaceDN w:val="0"/>
              <w:adjustRightInd w:val="0"/>
              <w:spacing w:line="276" w:lineRule="auto"/>
              <w:rPr>
                <w:rFonts w:ascii="Calibri" w:hAnsi="Calibri" w:cs="Calibri"/>
                <w:sz w:val="20"/>
                <w:szCs w:val="20"/>
              </w:rPr>
            </w:pPr>
            <w:r w:rsidRPr="002C07E4">
              <w:t>1.9</w:t>
            </w:r>
          </w:p>
        </w:tc>
        <w:tc>
          <w:tcPr>
            <w:tcW w:w="1385" w:type="dxa"/>
          </w:tcPr>
          <w:p w14:paraId="5EFEC3E3" w14:textId="71AEEB26" w:rsidR="00A3797D" w:rsidRDefault="00A32F42" w:rsidP="00A3797D">
            <w:pPr>
              <w:autoSpaceDE w:val="0"/>
              <w:autoSpaceDN w:val="0"/>
              <w:adjustRightInd w:val="0"/>
              <w:spacing w:line="276" w:lineRule="auto"/>
              <w:rPr>
                <w:rFonts w:ascii="Calibri" w:hAnsi="Calibri" w:cs="Calibri"/>
                <w:sz w:val="20"/>
                <w:szCs w:val="20"/>
              </w:rPr>
            </w:pPr>
            <w:r>
              <w:rPr>
                <w:rFonts w:ascii="Calibri" w:hAnsi="Calibri" w:cs="Calibri"/>
                <w:sz w:val="20"/>
                <w:szCs w:val="20"/>
              </w:rPr>
              <w:t>14,592</w:t>
            </w:r>
          </w:p>
        </w:tc>
      </w:tr>
      <w:tr w:rsidR="00EA1FED" w:rsidRPr="003E5A0F" w14:paraId="0BB74C41" w14:textId="77777777" w:rsidTr="0059796D">
        <w:tc>
          <w:tcPr>
            <w:tcW w:w="1827" w:type="dxa"/>
          </w:tcPr>
          <w:p w14:paraId="46776777" w14:textId="14A5EBE2" w:rsidR="00EA1FED" w:rsidRDefault="005F4C9A" w:rsidP="00A3797D">
            <w:pPr>
              <w:autoSpaceDE w:val="0"/>
              <w:autoSpaceDN w:val="0"/>
              <w:adjustRightInd w:val="0"/>
              <w:spacing w:line="276" w:lineRule="auto"/>
              <w:rPr>
                <w:rFonts w:ascii="Calibri" w:hAnsi="Calibri" w:cs="Calibri"/>
                <w:sz w:val="20"/>
                <w:szCs w:val="20"/>
              </w:rPr>
            </w:pPr>
            <w:r>
              <w:rPr>
                <w:rFonts w:ascii="Calibri" w:hAnsi="Calibri" w:cs="Calibri"/>
                <w:sz w:val="20"/>
                <w:szCs w:val="20"/>
              </w:rPr>
              <w:t xml:space="preserve">   Low risk (</w:t>
            </w:r>
            <w:r w:rsidR="00EA1FED">
              <w:rPr>
                <w:rFonts w:ascii="Calibri" w:hAnsi="Calibri" w:cs="Calibri"/>
                <w:sz w:val="20"/>
                <w:szCs w:val="20"/>
              </w:rPr>
              <w:t>&lt;IT</w:t>
            </w:r>
            <w:r>
              <w:rPr>
                <w:rFonts w:ascii="Calibri" w:hAnsi="Calibri" w:cs="Calibri"/>
                <w:sz w:val="20"/>
                <w:szCs w:val="20"/>
              </w:rPr>
              <w:t>)</w:t>
            </w:r>
          </w:p>
        </w:tc>
        <w:tc>
          <w:tcPr>
            <w:tcW w:w="1996" w:type="dxa"/>
          </w:tcPr>
          <w:p w14:paraId="6DC918A5" w14:textId="49E0E45F" w:rsidR="00EA1FED" w:rsidRPr="00381B76" w:rsidRDefault="00EA1FED" w:rsidP="00A3797D">
            <w:pPr>
              <w:autoSpaceDE w:val="0"/>
              <w:autoSpaceDN w:val="0"/>
              <w:adjustRightInd w:val="0"/>
              <w:spacing w:line="276" w:lineRule="auto"/>
            </w:pPr>
            <w:r>
              <w:t>87.6</w:t>
            </w:r>
          </w:p>
        </w:tc>
        <w:tc>
          <w:tcPr>
            <w:tcW w:w="1096" w:type="dxa"/>
          </w:tcPr>
          <w:p w14:paraId="56C358AB" w14:textId="48F9A611" w:rsidR="00EA1FED" w:rsidRPr="00381B76" w:rsidRDefault="00552E50" w:rsidP="00A3797D">
            <w:pPr>
              <w:autoSpaceDE w:val="0"/>
              <w:autoSpaceDN w:val="0"/>
              <w:adjustRightInd w:val="0"/>
              <w:spacing w:line="276" w:lineRule="auto"/>
            </w:pPr>
            <w:r>
              <w:t>2.2</w:t>
            </w:r>
          </w:p>
        </w:tc>
        <w:tc>
          <w:tcPr>
            <w:tcW w:w="1305" w:type="dxa"/>
          </w:tcPr>
          <w:p w14:paraId="1F2D7329" w14:textId="46CF451C" w:rsidR="00EA1FED" w:rsidRDefault="005F4C9A" w:rsidP="00A3797D">
            <w:pPr>
              <w:autoSpaceDE w:val="0"/>
              <w:autoSpaceDN w:val="0"/>
              <w:adjustRightInd w:val="0"/>
              <w:spacing w:line="276" w:lineRule="auto"/>
              <w:rPr>
                <w:rFonts w:ascii="Calibri" w:hAnsi="Calibri" w:cs="Calibri"/>
                <w:sz w:val="20"/>
                <w:szCs w:val="20"/>
              </w:rPr>
            </w:pPr>
            <w:r>
              <w:rPr>
                <w:rFonts w:ascii="Calibri" w:hAnsi="Calibri" w:cs="Calibri"/>
                <w:sz w:val="20"/>
                <w:szCs w:val="20"/>
              </w:rPr>
              <w:t>19,272</w:t>
            </w:r>
          </w:p>
        </w:tc>
        <w:tc>
          <w:tcPr>
            <w:tcW w:w="270" w:type="dxa"/>
          </w:tcPr>
          <w:p w14:paraId="2DA7B9F9" w14:textId="77777777" w:rsidR="00EA1FED" w:rsidRPr="003E5A0F" w:rsidRDefault="00EA1FED" w:rsidP="00A3797D">
            <w:pPr>
              <w:autoSpaceDE w:val="0"/>
              <w:autoSpaceDN w:val="0"/>
              <w:adjustRightInd w:val="0"/>
              <w:spacing w:line="276" w:lineRule="auto"/>
              <w:rPr>
                <w:rFonts w:ascii="Calibri" w:hAnsi="Calibri" w:cs="Calibri"/>
                <w:sz w:val="20"/>
                <w:szCs w:val="20"/>
              </w:rPr>
            </w:pPr>
          </w:p>
        </w:tc>
        <w:tc>
          <w:tcPr>
            <w:tcW w:w="1127" w:type="dxa"/>
          </w:tcPr>
          <w:p w14:paraId="16964347" w14:textId="55B3EAEE" w:rsidR="00EA1FED" w:rsidRPr="002C07E4" w:rsidRDefault="007A1E5E" w:rsidP="00A3797D">
            <w:pPr>
              <w:autoSpaceDE w:val="0"/>
              <w:autoSpaceDN w:val="0"/>
              <w:adjustRightInd w:val="0"/>
              <w:spacing w:line="276" w:lineRule="auto"/>
            </w:pPr>
            <w:r>
              <w:t>8</w:t>
            </w:r>
            <w:r w:rsidR="008A6688">
              <w:t>7.4</w:t>
            </w:r>
          </w:p>
        </w:tc>
        <w:tc>
          <w:tcPr>
            <w:tcW w:w="1236" w:type="dxa"/>
          </w:tcPr>
          <w:p w14:paraId="1D9FA8A7" w14:textId="4D3B64D0" w:rsidR="00EA1FED" w:rsidRPr="002C07E4" w:rsidRDefault="008E15E4" w:rsidP="00A3797D">
            <w:pPr>
              <w:autoSpaceDE w:val="0"/>
              <w:autoSpaceDN w:val="0"/>
              <w:adjustRightInd w:val="0"/>
              <w:spacing w:line="276" w:lineRule="auto"/>
            </w:pPr>
            <w:r>
              <w:t>2.2</w:t>
            </w:r>
          </w:p>
        </w:tc>
        <w:tc>
          <w:tcPr>
            <w:tcW w:w="1385" w:type="dxa"/>
          </w:tcPr>
          <w:p w14:paraId="1115C871" w14:textId="5C60EEA3" w:rsidR="00EA1FED" w:rsidRDefault="00EB3BD4" w:rsidP="00A3797D">
            <w:pPr>
              <w:autoSpaceDE w:val="0"/>
              <w:autoSpaceDN w:val="0"/>
              <w:adjustRightInd w:val="0"/>
              <w:spacing w:line="276" w:lineRule="auto"/>
              <w:rPr>
                <w:rFonts w:ascii="Calibri" w:hAnsi="Calibri" w:cs="Calibri"/>
                <w:sz w:val="20"/>
                <w:szCs w:val="20"/>
              </w:rPr>
            </w:pPr>
            <w:r w:rsidRPr="00EB3BD4">
              <w:rPr>
                <w:rFonts w:ascii="Calibri" w:hAnsi="Calibri" w:cs="Calibri"/>
                <w:sz w:val="20"/>
                <w:szCs w:val="20"/>
              </w:rPr>
              <w:t>19,228</w:t>
            </w:r>
          </w:p>
        </w:tc>
      </w:tr>
      <w:tr w:rsidR="003F7921" w:rsidRPr="003E5A0F" w14:paraId="724D7717" w14:textId="6DFDCE42" w:rsidTr="0059796D">
        <w:tc>
          <w:tcPr>
            <w:tcW w:w="1827" w:type="dxa"/>
          </w:tcPr>
          <w:p w14:paraId="00F1012D" w14:textId="2FF0CD34" w:rsidR="003F7921" w:rsidRPr="007206CF" w:rsidRDefault="003F7921" w:rsidP="00512E76">
            <w:pPr>
              <w:autoSpaceDE w:val="0"/>
              <w:autoSpaceDN w:val="0"/>
              <w:adjustRightInd w:val="0"/>
              <w:spacing w:line="276" w:lineRule="auto"/>
              <w:rPr>
                <w:rFonts w:ascii="Calibri" w:hAnsi="Calibri" w:cs="Calibri"/>
                <w:i/>
                <w:iCs/>
                <w:sz w:val="20"/>
                <w:szCs w:val="20"/>
              </w:rPr>
            </w:pPr>
            <w:r w:rsidRPr="007206CF">
              <w:rPr>
                <w:rFonts w:ascii="Calibri" w:hAnsi="Calibri" w:cs="Calibri"/>
                <w:i/>
                <w:iCs/>
                <w:sz w:val="20"/>
                <w:szCs w:val="20"/>
              </w:rPr>
              <w:t>Women</w:t>
            </w:r>
          </w:p>
        </w:tc>
        <w:tc>
          <w:tcPr>
            <w:tcW w:w="1996" w:type="dxa"/>
          </w:tcPr>
          <w:p w14:paraId="0A0A8629"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096" w:type="dxa"/>
          </w:tcPr>
          <w:p w14:paraId="38C6D172" w14:textId="1B00D57B" w:rsidR="003F7921" w:rsidRPr="003E5A0F" w:rsidRDefault="003F7921" w:rsidP="00512E76">
            <w:pPr>
              <w:autoSpaceDE w:val="0"/>
              <w:autoSpaceDN w:val="0"/>
              <w:adjustRightInd w:val="0"/>
              <w:spacing w:line="276" w:lineRule="auto"/>
              <w:rPr>
                <w:rFonts w:ascii="Calibri" w:hAnsi="Calibri" w:cs="Calibri"/>
                <w:sz w:val="20"/>
                <w:szCs w:val="20"/>
              </w:rPr>
            </w:pPr>
          </w:p>
        </w:tc>
        <w:tc>
          <w:tcPr>
            <w:tcW w:w="1305" w:type="dxa"/>
          </w:tcPr>
          <w:p w14:paraId="3E5DE1CD"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270" w:type="dxa"/>
          </w:tcPr>
          <w:p w14:paraId="32AC3D2E"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14B3E109"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236" w:type="dxa"/>
          </w:tcPr>
          <w:p w14:paraId="53CCC925"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385" w:type="dxa"/>
          </w:tcPr>
          <w:p w14:paraId="3CDEA7D2"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r>
      <w:tr w:rsidR="00101D4A" w:rsidRPr="003E5A0F" w14:paraId="136819D7" w14:textId="77777777" w:rsidTr="0059796D">
        <w:tc>
          <w:tcPr>
            <w:tcW w:w="1827" w:type="dxa"/>
          </w:tcPr>
          <w:p w14:paraId="1EB71E85" w14:textId="3726D74F" w:rsidR="00101D4A" w:rsidRPr="007206CF" w:rsidRDefault="00101D4A" w:rsidP="00101D4A">
            <w:pPr>
              <w:autoSpaceDE w:val="0"/>
              <w:autoSpaceDN w:val="0"/>
              <w:adjustRightInd w:val="0"/>
              <w:spacing w:line="276" w:lineRule="auto"/>
              <w:rPr>
                <w:rFonts w:ascii="Calibri" w:hAnsi="Calibri" w:cs="Calibri"/>
                <w:i/>
                <w:iCs/>
                <w:sz w:val="20"/>
                <w:szCs w:val="20"/>
              </w:rPr>
            </w:pPr>
            <w:r>
              <w:rPr>
                <w:rFonts w:ascii="Calibri" w:hAnsi="Calibri" w:cs="Calibri"/>
                <w:sz w:val="20"/>
                <w:szCs w:val="20"/>
              </w:rPr>
              <w:t xml:space="preserve">    </w:t>
            </w:r>
            <w:r w:rsidRPr="00355DCD">
              <w:rPr>
                <w:rFonts w:ascii="Calibri" w:hAnsi="Calibri" w:cs="Calibri"/>
                <w:sz w:val="20"/>
                <w:szCs w:val="20"/>
              </w:rPr>
              <w:t xml:space="preserve">All </w:t>
            </w:r>
            <w:r>
              <w:rPr>
                <w:rFonts w:ascii="Calibri" w:hAnsi="Calibri" w:cs="Calibri"/>
                <w:sz w:val="20"/>
                <w:szCs w:val="20"/>
              </w:rPr>
              <w:t>wo</w:t>
            </w:r>
            <w:r w:rsidRPr="00355DCD">
              <w:rPr>
                <w:rFonts w:ascii="Calibri" w:hAnsi="Calibri" w:cs="Calibri"/>
                <w:sz w:val="20"/>
                <w:szCs w:val="20"/>
              </w:rPr>
              <w:t>men</w:t>
            </w:r>
          </w:p>
        </w:tc>
        <w:tc>
          <w:tcPr>
            <w:tcW w:w="1996" w:type="dxa"/>
          </w:tcPr>
          <w:p w14:paraId="721A92A7" w14:textId="1A20E3E2" w:rsidR="00101D4A" w:rsidRPr="003E5A0F" w:rsidRDefault="00101D4A" w:rsidP="00101D4A">
            <w:pPr>
              <w:autoSpaceDE w:val="0"/>
              <w:autoSpaceDN w:val="0"/>
              <w:adjustRightInd w:val="0"/>
              <w:spacing w:line="276" w:lineRule="auto"/>
              <w:rPr>
                <w:rFonts w:ascii="Calibri" w:hAnsi="Calibri" w:cs="Calibri"/>
                <w:sz w:val="20"/>
                <w:szCs w:val="20"/>
              </w:rPr>
            </w:pPr>
            <w:r>
              <w:rPr>
                <w:rFonts w:ascii="Calibri" w:hAnsi="Calibri" w:cs="Calibri"/>
                <w:sz w:val="20"/>
                <w:szCs w:val="20"/>
              </w:rPr>
              <w:t>100</w:t>
            </w:r>
          </w:p>
        </w:tc>
        <w:tc>
          <w:tcPr>
            <w:tcW w:w="1096" w:type="dxa"/>
          </w:tcPr>
          <w:p w14:paraId="007915AB" w14:textId="4529430B" w:rsidR="00101D4A" w:rsidRPr="003E5A0F" w:rsidRDefault="00E40414" w:rsidP="00101D4A">
            <w:pPr>
              <w:autoSpaceDE w:val="0"/>
              <w:autoSpaceDN w:val="0"/>
              <w:adjustRightInd w:val="0"/>
              <w:spacing w:line="276" w:lineRule="auto"/>
              <w:rPr>
                <w:rFonts w:ascii="Calibri" w:hAnsi="Calibri" w:cs="Calibri"/>
                <w:sz w:val="20"/>
                <w:szCs w:val="20"/>
              </w:rPr>
            </w:pPr>
            <w:r>
              <w:rPr>
                <w:rFonts w:ascii="Calibri" w:hAnsi="Calibri" w:cs="Calibri"/>
                <w:sz w:val="20"/>
                <w:szCs w:val="20"/>
              </w:rPr>
              <w:t>5.4</w:t>
            </w:r>
          </w:p>
        </w:tc>
        <w:tc>
          <w:tcPr>
            <w:tcW w:w="1305" w:type="dxa"/>
          </w:tcPr>
          <w:p w14:paraId="4041047B" w14:textId="67248C71" w:rsidR="00101D4A" w:rsidRPr="003E5A0F" w:rsidRDefault="00A7646E" w:rsidP="00101D4A">
            <w:pPr>
              <w:autoSpaceDE w:val="0"/>
              <w:autoSpaceDN w:val="0"/>
              <w:adjustRightInd w:val="0"/>
              <w:spacing w:line="276" w:lineRule="auto"/>
              <w:rPr>
                <w:rFonts w:ascii="Calibri" w:hAnsi="Calibri" w:cs="Calibri"/>
                <w:sz w:val="20"/>
                <w:szCs w:val="20"/>
              </w:rPr>
            </w:pPr>
            <w:r>
              <w:rPr>
                <w:rFonts w:ascii="Calibri" w:hAnsi="Calibri" w:cs="Calibri"/>
                <w:sz w:val="20"/>
                <w:szCs w:val="20"/>
              </w:rPr>
              <w:t>54,000</w:t>
            </w:r>
          </w:p>
        </w:tc>
        <w:tc>
          <w:tcPr>
            <w:tcW w:w="270" w:type="dxa"/>
          </w:tcPr>
          <w:p w14:paraId="1955C7D7" w14:textId="77777777" w:rsidR="00101D4A" w:rsidRPr="003E5A0F" w:rsidRDefault="00101D4A" w:rsidP="00101D4A">
            <w:pPr>
              <w:autoSpaceDE w:val="0"/>
              <w:autoSpaceDN w:val="0"/>
              <w:adjustRightInd w:val="0"/>
              <w:spacing w:line="276" w:lineRule="auto"/>
              <w:rPr>
                <w:rFonts w:ascii="Calibri" w:hAnsi="Calibri" w:cs="Calibri"/>
                <w:sz w:val="20"/>
                <w:szCs w:val="20"/>
              </w:rPr>
            </w:pPr>
          </w:p>
        </w:tc>
        <w:tc>
          <w:tcPr>
            <w:tcW w:w="1127" w:type="dxa"/>
          </w:tcPr>
          <w:p w14:paraId="0AE04A4A" w14:textId="10AE9CE4" w:rsidR="00101D4A" w:rsidRPr="003E5A0F" w:rsidRDefault="00101D4A" w:rsidP="00101D4A">
            <w:pPr>
              <w:autoSpaceDE w:val="0"/>
              <w:autoSpaceDN w:val="0"/>
              <w:adjustRightInd w:val="0"/>
              <w:spacing w:line="276" w:lineRule="auto"/>
              <w:rPr>
                <w:rFonts w:ascii="Calibri" w:hAnsi="Calibri" w:cs="Calibri"/>
                <w:sz w:val="20"/>
                <w:szCs w:val="20"/>
              </w:rPr>
            </w:pPr>
            <w:r w:rsidRPr="009556D8">
              <w:t>100</w:t>
            </w:r>
          </w:p>
        </w:tc>
        <w:tc>
          <w:tcPr>
            <w:tcW w:w="1236" w:type="dxa"/>
          </w:tcPr>
          <w:p w14:paraId="598EC1C9" w14:textId="5AA49CD6" w:rsidR="00101D4A" w:rsidRPr="003E5A0F" w:rsidRDefault="00E40414" w:rsidP="00101D4A">
            <w:pPr>
              <w:autoSpaceDE w:val="0"/>
              <w:autoSpaceDN w:val="0"/>
              <w:adjustRightInd w:val="0"/>
              <w:spacing w:line="276" w:lineRule="auto"/>
              <w:rPr>
                <w:rFonts w:ascii="Calibri" w:hAnsi="Calibri" w:cs="Calibri"/>
                <w:sz w:val="20"/>
                <w:szCs w:val="20"/>
              </w:rPr>
            </w:pPr>
            <w:r>
              <w:t>5.4</w:t>
            </w:r>
          </w:p>
        </w:tc>
        <w:tc>
          <w:tcPr>
            <w:tcW w:w="1385" w:type="dxa"/>
          </w:tcPr>
          <w:p w14:paraId="54AD321B" w14:textId="0BD13827" w:rsidR="00101D4A" w:rsidRPr="003E5A0F" w:rsidRDefault="00A7646E" w:rsidP="00101D4A">
            <w:pPr>
              <w:autoSpaceDE w:val="0"/>
              <w:autoSpaceDN w:val="0"/>
              <w:adjustRightInd w:val="0"/>
              <w:spacing w:line="276" w:lineRule="auto"/>
              <w:rPr>
                <w:rFonts w:ascii="Calibri" w:hAnsi="Calibri" w:cs="Calibri"/>
                <w:sz w:val="20"/>
                <w:szCs w:val="20"/>
              </w:rPr>
            </w:pPr>
            <w:r>
              <w:rPr>
                <w:rFonts w:ascii="Calibri" w:hAnsi="Calibri" w:cs="Calibri"/>
                <w:sz w:val="20"/>
                <w:szCs w:val="20"/>
              </w:rPr>
              <w:t>54,000</w:t>
            </w:r>
          </w:p>
        </w:tc>
      </w:tr>
      <w:tr w:rsidR="003F7921" w:rsidRPr="003E5A0F" w14:paraId="5DAF384A" w14:textId="5868E09A" w:rsidTr="0059796D">
        <w:tc>
          <w:tcPr>
            <w:tcW w:w="1827" w:type="dxa"/>
          </w:tcPr>
          <w:p w14:paraId="73E8201C" w14:textId="7AC40291" w:rsidR="003F7921" w:rsidRPr="007206CF" w:rsidRDefault="003F7921" w:rsidP="00512E76">
            <w:pPr>
              <w:autoSpaceDE w:val="0"/>
              <w:autoSpaceDN w:val="0"/>
              <w:adjustRightInd w:val="0"/>
              <w:spacing w:line="276" w:lineRule="auto"/>
              <w:rPr>
                <w:rFonts w:ascii="Calibri" w:hAnsi="Calibri" w:cs="Calibri"/>
                <w:i/>
                <w:iCs/>
                <w:sz w:val="20"/>
                <w:szCs w:val="20"/>
              </w:rPr>
            </w:pPr>
            <w:r>
              <w:rPr>
                <w:rFonts w:ascii="Calibri" w:hAnsi="Calibri" w:cs="Calibri"/>
                <w:sz w:val="20"/>
                <w:szCs w:val="20"/>
              </w:rPr>
              <w:t xml:space="preserve">    </w:t>
            </w:r>
            <w:r w:rsidRPr="003E5A0F">
              <w:rPr>
                <w:rFonts w:ascii="Calibri" w:hAnsi="Calibri" w:cs="Calibri"/>
                <w:sz w:val="20"/>
                <w:szCs w:val="20"/>
              </w:rPr>
              <w:t>Prior fracture</w:t>
            </w:r>
          </w:p>
        </w:tc>
        <w:tc>
          <w:tcPr>
            <w:tcW w:w="1996" w:type="dxa"/>
          </w:tcPr>
          <w:p w14:paraId="687088EE" w14:textId="58EDE1BF"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12.1</w:t>
            </w:r>
          </w:p>
        </w:tc>
        <w:tc>
          <w:tcPr>
            <w:tcW w:w="1096" w:type="dxa"/>
          </w:tcPr>
          <w:p w14:paraId="2B24C989" w14:textId="0DCF13BE"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11.5</w:t>
            </w:r>
          </w:p>
        </w:tc>
        <w:tc>
          <w:tcPr>
            <w:tcW w:w="1305" w:type="dxa"/>
          </w:tcPr>
          <w:p w14:paraId="3D544DE2" w14:textId="5BAF7601" w:rsidR="003F7921" w:rsidRPr="003E5A0F" w:rsidRDefault="008E2EF4"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13,915</w:t>
            </w:r>
          </w:p>
        </w:tc>
        <w:tc>
          <w:tcPr>
            <w:tcW w:w="270" w:type="dxa"/>
          </w:tcPr>
          <w:p w14:paraId="663CAB05"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4079C971" w14:textId="60E2A879"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12.1</w:t>
            </w:r>
          </w:p>
        </w:tc>
        <w:tc>
          <w:tcPr>
            <w:tcW w:w="1236" w:type="dxa"/>
          </w:tcPr>
          <w:p w14:paraId="1B31B9BD" w14:textId="72662583"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11.5</w:t>
            </w:r>
          </w:p>
        </w:tc>
        <w:tc>
          <w:tcPr>
            <w:tcW w:w="1385" w:type="dxa"/>
          </w:tcPr>
          <w:p w14:paraId="4A7D5341" w14:textId="48FC983B" w:rsidR="003F7921" w:rsidRDefault="00506789"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13915</w:t>
            </w:r>
          </w:p>
        </w:tc>
      </w:tr>
      <w:tr w:rsidR="003F7921" w:rsidRPr="003E5A0F" w14:paraId="03476AA4" w14:textId="28D2A754" w:rsidTr="0059796D">
        <w:tc>
          <w:tcPr>
            <w:tcW w:w="1827" w:type="dxa"/>
          </w:tcPr>
          <w:p w14:paraId="16CA3F69" w14:textId="2E82ECC3" w:rsidR="003F7921" w:rsidRPr="007206CF" w:rsidRDefault="003F7921" w:rsidP="00512E76">
            <w:pPr>
              <w:autoSpaceDE w:val="0"/>
              <w:autoSpaceDN w:val="0"/>
              <w:adjustRightInd w:val="0"/>
              <w:spacing w:line="276" w:lineRule="auto"/>
              <w:rPr>
                <w:rFonts w:ascii="Calibri" w:hAnsi="Calibri" w:cs="Calibri"/>
                <w:i/>
                <w:iCs/>
                <w:sz w:val="20"/>
                <w:szCs w:val="20"/>
              </w:rPr>
            </w:pPr>
            <w:r>
              <w:rPr>
                <w:rFonts w:ascii="Calibri" w:hAnsi="Calibri" w:cs="Calibri"/>
                <w:sz w:val="20"/>
                <w:szCs w:val="20"/>
              </w:rPr>
              <w:t xml:space="preserve">    Others treated</w:t>
            </w:r>
          </w:p>
        </w:tc>
        <w:tc>
          <w:tcPr>
            <w:tcW w:w="1996" w:type="dxa"/>
          </w:tcPr>
          <w:p w14:paraId="7C16C11F" w14:textId="38FA47FC"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2.6</w:t>
            </w:r>
          </w:p>
        </w:tc>
        <w:tc>
          <w:tcPr>
            <w:tcW w:w="1096" w:type="dxa"/>
          </w:tcPr>
          <w:p w14:paraId="67EF50AC" w14:textId="7AD26BD3"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14.4</w:t>
            </w:r>
          </w:p>
        </w:tc>
        <w:tc>
          <w:tcPr>
            <w:tcW w:w="1305" w:type="dxa"/>
          </w:tcPr>
          <w:p w14:paraId="62F6B2CB" w14:textId="6A57769C" w:rsidR="003F7921" w:rsidRPr="003E5A0F" w:rsidRDefault="001F136B"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3744</w:t>
            </w:r>
          </w:p>
        </w:tc>
        <w:tc>
          <w:tcPr>
            <w:tcW w:w="270" w:type="dxa"/>
          </w:tcPr>
          <w:p w14:paraId="2D360D8F"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0DB2EB70" w14:textId="7082F84E"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12.9</w:t>
            </w:r>
          </w:p>
        </w:tc>
        <w:tc>
          <w:tcPr>
            <w:tcW w:w="1236" w:type="dxa"/>
          </w:tcPr>
          <w:p w14:paraId="23FEDBEA" w14:textId="684D7D15"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12.8</w:t>
            </w:r>
          </w:p>
        </w:tc>
        <w:tc>
          <w:tcPr>
            <w:tcW w:w="1385" w:type="dxa"/>
          </w:tcPr>
          <w:p w14:paraId="346A18BC" w14:textId="182FFA57" w:rsidR="003F7921" w:rsidRDefault="001C4BAB"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16,512</w:t>
            </w:r>
          </w:p>
        </w:tc>
      </w:tr>
      <w:tr w:rsidR="003F7921" w:rsidRPr="003E5A0F" w14:paraId="1BB5E00D" w14:textId="1E30E548" w:rsidTr="0059796D">
        <w:tc>
          <w:tcPr>
            <w:tcW w:w="1827" w:type="dxa"/>
          </w:tcPr>
          <w:p w14:paraId="467D4E89" w14:textId="3B2F2190" w:rsidR="003F7921" w:rsidRPr="007206CF" w:rsidRDefault="003F7921" w:rsidP="00512E76">
            <w:pPr>
              <w:autoSpaceDE w:val="0"/>
              <w:autoSpaceDN w:val="0"/>
              <w:adjustRightInd w:val="0"/>
              <w:spacing w:line="276" w:lineRule="auto"/>
              <w:rPr>
                <w:rFonts w:ascii="Calibri" w:hAnsi="Calibri" w:cs="Calibri"/>
                <w:i/>
                <w:iCs/>
                <w:sz w:val="20"/>
                <w:szCs w:val="20"/>
              </w:rPr>
            </w:pPr>
            <w:r>
              <w:rPr>
                <w:rFonts w:ascii="Calibri" w:hAnsi="Calibri" w:cs="Calibri"/>
                <w:sz w:val="20"/>
                <w:szCs w:val="20"/>
              </w:rPr>
              <w:t xml:space="preserve">    BMD tests</w:t>
            </w:r>
          </w:p>
        </w:tc>
        <w:tc>
          <w:tcPr>
            <w:tcW w:w="1996" w:type="dxa"/>
          </w:tcPr>
          <w:p w14:paraId="7927836D" w14:textId="74A86217"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38.4</w:t>
            </w:r>
          </w:p>
        </w:tc>
        <w:tc>
          <w:tcPr>
            <w:tcW w:w="1096" w:type="dxa"/>
          </w:tcPr>
          <w:p w14:paraId="503AC253" w14:textId="363755E0"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5.6</w:t>
            </w:r>
          </w:p>
        </w:tc>
        <w:tc>
          <w:tcPr>
            <w:tcW w:w="1305" w:type="dxa"/>
          </w:tcPr>
          <w:p w14:paraId="793DBAD9" w14:textId="1D6D66B9" w:rsidR="003F7921" w:rsidRPr="003E5A0F" w:rsidRDefault="00474638"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21,504</w:t>
            </w:r>
          </w:p>
        </w:tc>
        <w:tc>
          <w:tcPr>
            <w:tcW w:w="270" w:type="dxa"/>
          </w:tcPr>
          <w:p w14:paraId="503608B9" w14:textId="77777777" w:rsidR="003F7921" w:rsidRPr="003E5A0F" w:rsidRDefault="003F7921" w:rsidP="00512E76">
            <w:pPr>
              <w:autoSpaceDE w:val="0"/>
              <w:autoSpaceDN w:val="0"/>
              <w:adjustRightInd w:val="0"/>
              <w:spacing w:line="276" w:lineRule="auto"/>
              <w:rPr>
                <w:rFonts w:ascii="Calibri" w:hAnsi="Calibri" w:cs="Calibri"/>
                <w:sz w:val="20"/>
                <w:szCs w:val="20"/>
              </w:rPr>
            </w:pPr>
          </w:p>
        </w:tc>
        <w:tc>
          <w:tcPr>
            <w:tcW w:w="1127" w:type="dxa"/>
          </w:tcPr>
          <w:p w14:paraId="43F97EA5" w14:textId="3A61BAF6"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41.7</w:t>
            </w:r>
          </w:p>
        </w:tc>
        <w:tc>
          <w:tcPr>
            <w:tcW w:w="1236" w:type="dxa"/>
          </w:tcPr>
          <w:p w14:paraId="557C46D3" w14:textId="47C58467" w:rsidR="003F7921" w:rsidRPr="003E5A0F" w:rsidRDefault="003F7921"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4.8</w:t>
            </w:r>
          </w:p>
        </w:tc>
        <w:tc>
          <w:tcPr>
            <w:tcW w:w="1385" w:type="dxa"/>
          </w:tcPr>
          <w:p w14:paraId="54D8CF26" w14:textId="5427E55D" w:rsidR="003F7921" w:rsidRDefault="001D5B3B" w:rsidP="00512E76">
            <w:pPr>
              <w:autoSpaceDE w:val="0"/>
              <w:autoSpaceDN w:val="0"/>
              <w:adjustRightInd w:val="0"/>
              <w:spacing w:line="276" w:lineRule="auto"/>
              <w:rPr>
                <w:rFonts w:ascii="Calibri" w:hAnsi="Calibri" w:cs="Calibri"/>
                <w:sz w:val="20"/>
                <w:szCs w:val="20"/>
              </w:rPr>
            </w:pPr>
            <w:r>
              <w:rPr>
                <w:rFonts w:ascii="Calibri" w:hAnsi="Calibri" w:cs="Calibri"/>
                <w:sz w:val="20"/>
                <w:szCs w:val="20"/>
              </w:rPr>
              <w:t>20,016</w:t>
            </w:r>
          </w:p>
        </w:tc>
      </w:tr>
      <w:tr w:rsidR="003A3DC0" w:rsidRPr="003E5A0F" w14:paraId="6D523FD8" w14:textId="77777777" w:rsidTr="0059796D">
        <w:tc>
          <w:tcPr>
            <w:tcW w:w="1827" w:type="dxa"/>
          </w:tcPr>
          <w:p w14:paraId="723E0163" w14:textId="4580F2EA" w:rsidR="003A3DC0" w:rsidRPr="0059796D" w:rsidRDefault="003A3DC0" w:rsidP="003A3DC0">
            <w:pPr>
              <w:autoSpaceDE w:val="0"/>
              <w:autoSpaceDN w:val="0"/>
              <w:adjustRightInd w:val="0"/>
              <w:spacing w:line="276" w:lineRule="auto"/>
              <w:rPr>
                <w:rFonts w:ascii="Calibri" w:hAnsi="Calibri" w:cs="Calibri"/>
                <w:sz w:val="20"/>
                <w:szCs w:val="20"/>
              </w:rPr>
            </w:pPr>
            <w:r w:rsidRPr="0059796D">
              <w:rPr>
                <w:rFonts w:ascii="Calibri" w:hAnsi="Calibri" w:cs="Calibri"/>
                <w:sz w:val="20"/>
                <w:szCs w:val="20"/>
              </w:rPr>
              <w:t xml:space="preserve">    Low risk (&lt; LAT)</w:t>
            </w:r>
          </w:p>
        </w:tc>
        <w:tc>
          <w:tcPr>
            <w:tcW w:w="1996" w:type="dxa"/>
          </w:tcPr>
          <w:p w14:paraId="4FC82036" w14:textId="7AEE2C96" w:rsidR="003A3DC0" w:rsidRDefault="003A3DC0" w:rsidP="003A3DC0">
            <w:pPr>
              <w:autoSpaceDE w:val="0"/>
              <w:autoSpaceDN w:val="0"/>
              <w:adjustRightInd w:val="0"/>
              <w:spacing w:line="276" w:lineRule="auto"/>
              <w:rPr>
                <w:rFonts w:ascii="Calibri" w:hAnsi="Calibri" w:cs="Calibri"/>
                <w:sz w:val="20"/>
                <w:szCs w:val="20"/>
              </w:rPr>
            </w:pPr>
            <w:r w:rsidRPr="00943CA9">
              <w:t>48.7</w:t>
            </w:r>
          </w:p>
        </w:tc>
        <w:tc>
          <w:tcPr>
            <w:tcW w:w="1096" w:type="dxa"/>
          </w:tcPr>
          <w:p w14:paraId="4B888B29" w14:textId="1E316397" w:rsidR="003A3DC0" w:rsidRDefault="003A3DC0" w:rsidP="003A3DC0">
            <w:pPr>
              <w:autoSpaceDE w:val="0"/>
              <w:autoSpaceDN w:val="0"/>
              <w:adjustRightInd w:val="0"/>
              <w:spacing w:line="276" w:lineRule="auto"/>
              <w:rPr>
                <w:rFonts w:ascii="Calibri" w:hAnsi="Calibri" w:cs="Calibri"/>
                <w:sz w:val="20"/>
                <w:szCs w:val="20"/>
              </w:rPr>
            </w:pPr>
            <w:r w:rsidRPr="00943CA9">
              <w:t>3.4</w:t>
            </w:r>
          </w:p>
        </w:tc>
        <w:tc>
          <w:tcPr>
            <w:tcW w:w="1305" w:type="dxa"/>
          </w:tcPr>
          <w:p w14:paraId="504F920A" w14:textId="31E41179" w:rsidR="003A3DC0" w:rsidRPr="003E5A0F" w:rsidRDefault="00DF21DA" w:rsidP="003A3DC0">
            <w:pPr>
              <w:autoSpaceDE w:val="0"/>
              <w:autoSpaceDN w:val="0"/>
              <w:adjustRightInd w:val="0"/>
              <w:spacing w:line="276" w:lineRule="auto"/>
              <w:rPr>
                <w:rFonts w:ascii="Calibri" w:hAnsi="Calibri" w:cs="Calibri"/>
                <w:sz w:val="20"/>
                <w:szCs w:val="20"/>
              </w:rPr>
            </w:pPr>
            <w:r>
              <w:rPr>
                <w:rFonts w:ascii="Calibri" w:hAnsi="Calibri" w:cs="Calibri"/>
                <w:sz w:val="20"/>
                <w:szCs w:val="20"/>
              </w:rPr>
              <w:t>16,558</w:t>
            </w:r>
          </w:p>
        </w:tc>
        <w:tc>
          <w:tcPr>
            <w:tcW w:w="270" w:type="dxa"/>
          </w:tcPr>
          <w:p w14:paraId="17A263ED" w14:textId="77777777" w:rsidR="003A3DC0" w:rsidRPr="003E5A0F" w:rsidRDefault="003A3DC0" w:rsidP="003A3DC0">
            <w:pPr>
              <w:autoSpaceDE w:val="0"/>
              <w:autoSpaceDN w:val="0"/>
              <w:adjustRightInd w:val="0"/>
              <w:spacing w:line="276" w:lineRule="auto"/>
              <w:rPr>
                <w:rFonts w:ascii="Calibri" w:hAnsi="Calibri" w:cs="Calibri"/>
                <w:sz w:val="20"/>
                <w:szCs w:val="20"/>
              </w:rPr>
            </w:pPr>
          </w:p>
        </w:tc>
        <w:tc>
          <w:tcPr>
            <w:tcW w:w="1127" w:type="dxa"/>
          </w:tcPr>
          <w:p w14:paraId="4BE029DA" w14:textId="5870F01E" w:rsidR="003A3DC0" w:rsidRDefault="003A3DC0" w:rsidP="003A3DC0">
            <w:pPr>
              <w:autoSpaceDE w:val="0"/>
              <w:autoSpaceDN w:val="0"/>
              <w:adjustRightInd w:val="0"/>
              <w:spacing w:line="276" w:lineRule="auto"/>
              <w:rPr>
                <w:rFonts w:ascii="Calibri" w:hAnsi="Calibri" w:cs="Calibri"/>
                <w:sz w:val="20"/>
                <w:szCs w:val="20"/>
              </w:rPr>
            </w:pPr>
            <w:r w:rsidRPr="00271578">
              <w:t>37.9</w:t>
            </w:r>
          </w:p>
        </w:tc>
        <w:tc>
          <w:tcPr>
            <w:tcW w:w="1236" w:type="dxa"/>
          </w:tcPr>
          <w:p w14:paraId="71B27738" w14:textId="68D504A0" w:rsidR="003A3DC0" w:rsidRDefault="003A3DC0" w:rsidP="003A3DC0">
            <w:pPr>
              <w:autoSpaceDE w:val="0"/>
              <w:autoSpaceDN w:val="0"/>
              <w:adjustRightInd w:val="0"/>
              <w:spacing w:line="276" w:lineRule="auto"/>
              <w:rPr>
                <w:rFonts w:ascii="Calibri" w:hAnsi="Calibri" w:cs="Calibri"/>
                <w:sz w:val="20"/>
                <w:szCs w:val="20"/>
              </w:rPr>
            </w:pPr>
            <w:r w:rsidRPr="00271578">
              <w:t>2.1</w:t>
            </w:r>
          </w:p>
        </w:tc>
        <w:tc>
          <w:tcPr>
            <w:tcW w:w="1385" w:type="dxa"/>
          </w:tcPr>
          <w:p w14:paraId="6694962E" w14:textId="071E04B2" w:rsidR="003A3DC0" w:rsidRDefault="00861C1C" w:rsidP="003A3DC0">
            <w:pPr>
              <w:autoSpaceDE w:val="0"/>
              <w:autoSpaceDN w:val="0"/>
              <w:adjustRightInd w:val="0"/>
              <w:spacing w:line="276" w:lineRule="auto"/>
              <w:rPr>
                <w:rFonts w:ascii="Calibri" w:hAnsi="Calibri" w:cs="Calibri"/>
                <w:sz w:val="20"/>
                <w:szCs w:val="20"/>
              </w:rPr>
            </w:pPr>
            <w:r>
              <w:rPr>
                <w:rFonts w:ascii="Calibri" w:hAnsi="Calibri" w:cs="Calibri"/>
                <w:sz w:val="20"/>
                <w:szCs w:val="20"/>
              </w:rPr>
              <w:t>7959</w:t>
            </w:r>
          </w:p>
        </w:tc>
      </w:tr>
      <w:tr w:rsidR="0059796D" w:rsidRPr="003E5A0F" w14:paraId="796A272B" w14:textId="77777777" w:rsidTr="0059796D">
        <w:tc>
          <w:tcPr>
            <w:tcW w:w="1827" w:type="dxa"/>
          </w:tcPr>
          <w:p w14:paraId="4C01E22E" w14:textId="68E8A0FD" w:rsidR="0059796D" w:rsidRDefault="0059796D" w:rsidP="0059796D">
            <w:pPr>
              <w:autoSpaceDE w:val="0"/>
              <w:autoSpaceDN w:val="0"/>
              <w:adjustRightInd w:val="0"/>
              <w:spacing w:line="276" w:lineRule="auto"/>
              <w:rPr>
                <w:rFonts w:ascii="Calibri" w:hAnsi="Calibri" w:cs="Calibri"/>
                <w:sz w:val="20"/>
                <w:szCs w:val="20"/>
              </w:rPr>
            </w:pPr>
            <w:r w:rsidRPr="0059796D">
              <w:rPr>
                <w:rFonts w:ascii="Calibri" w:hAnsi="Calibri" w:cs="Calibri"/>
                <w:sz w:val="20"/>
                <w:szCs w:val="20"/>
              </w:rPr>
              <w:t xml:space="preserve">   Low risk (&lt;IT)</w:t>
            </w:r>
          </w:p>
        </w:tc>
        <w:tc>
          <w:tcPr>
            <w:tcW w:w="1996" w:type="dxa"/>
          </w:tcPr>
          <w:p w14:paraId="7F4ECFC8" w14:textId="31C433DF" w:rsidR="0059796D" w:rsidRPr="00943CA9" w:rsidRDefault="002F53E3" w:rsidP="0059796D">
            <w:pPr>
              <w:autoSpaceDE w:val="0"/>
              <w:autoSpaceDN w:val="0"/>
              <w:adjustRightInd w:val="0"/>
              <w:spacing w:line="276" w:lineRule="auto"/>
            </w:pPr>
            <w:r>
              <w:t>85.3</w:t>
            </w:r>
          </w:p>
        </w:tc>
        <w:tc>
          <w:tcPr>
            <w:tcW w:w="1096" w:type="dxa"/>
          </w:tcPr>
          <w:p w14:paraId="0D861A07" w14:textId="468EBCFF" w:rsidR="0059796D" w:rsidRPr="00943CA9" w:rsidRDefault="00776D2B" w:rsidP="0059796D">
            <w:pPr>
              <w:autoSpaceDE w:val="0"/>
              <w:autoSpaceDN w:val="0"/>
              <w:adjustRightInd w:val="0"/>
              <w:spacing w:line="276" w:lineRule="auto"/>
            </w:pPr>
            <w:r>
              <w:t>4.2</w:t>
            </w:r>
          </w:p>
        </w:tc>
        <w:tc>
          <w:tcPr>
            <w:tcW w:w="1305" w:type="dxa"/>
          </w:tcPr>
          <w:p w14:paraId="6CA14772" w14:textId="0581486C" w:rsidR="0059796D" w:rsidRDefault="00096E45" w:rsidP="0059796D">
            <w:pPr>
              <w:autoSpaceDE w:val="0"/>
              <w:autoSpaceDN w:val="0"/>
              <w:adjustRightInd w:val="0"/>
              <w:spacing w:line="276" w:lineRule="auto"/>
              <w:rPr>
                <w:rFonts w:ascii="Calibri" w:hAnsi="Calibri" w:cs="Calibri"/>
                <w:sz w:val="20"/>
                <w:szCs w:val="20"/>
              </w:rPr>
            </w:pPr>
            <w:r>
              <w:rPr>
                <w:rFonts w:ascii="Calibri" w:hAnsi="Calibri" w:cs="Calibri"/>
                <w:sz w:val="20"/>
                <w:szCs w:val="20"/>
              </w:rPr>
              <w:t>35</w:t>
            </w:r>
            <w:r w:rsidR="00310250">
              <w:rPr>
                <w:rFonts w:ascii="Calibri" w:hAnsi="Calibri" w:cs="Calibri"/>
                <w:sz w:val="20"/>
                <w:szCs w:val="20"/>
              </w:rPr>
              <w:t>,826</w:t>
            </w:r>
          </w:p>
        </w:tc>
        <w:tc>
          <w:tcPr>
            <w:tcW w:w="270" w:type="dxa"/>
          </w:tcPr>
          <w:p w14:paraId="023ED681" w14:textId="77777777" w:rsidR="0059796D" w:rsidRPr="003E5A0F" w:rsidRDefault="0059796D" w:rsidP="0059796D">
            <w:pPr>
              <w:autoSpaceDE w:val="0"/>
              <w:autoSpaceDN w:val="0"/>
              <w:adjustRightInd w:val="0"/>
              <w:spacing w:line="276" w:lineRule="auto"/>
              <w:rPr>
                <w:rFonts w:ascii="Calibri" w:hAnsi="Calibri" w:cs="Calibri"/>
                <w:sz w:val="20"/>
                <w:szCs w:val="20"/>
              </w:rPr>
            </w:pPr>
          </w:p>
        </w:tc>
        <w:tc>
          <w:tcPr>
            <w:tcW w:w="1127" w:type="dxa"/>
          </w:tcPr>
          <w:p w14:paraId="3FB7D088" w14:textId="11C72354" w:rsidR="0059796D" w:rsidRPr="00271578" w:rsidRDefault="003C69F6" w:rsidP="0059796D">
            <w:pPr>
              <w:autoSpaceDE w:val="0"/>
              <w:autoSpaceDN w:val="0"/>
              <w:adjustRightInd w:val="0"/>
              <w:spacing w:line="276" w:lineRule="auto"/>
            </w:pPr>
            <w:r>
              <w:t>75.0</w:t>
            </w:r>
          </w:p>
        </w:tc>
        <w:tc>
          <w:tcPr>
            <w:tcW w:w="1236" w:type="dxa"/>
          </w:tcPr>
          <w:p w14:paraId="09C7B7B2" w14:textId="3BCA1E77" w:rsidR="0059796D" w:rsidRPr="00271578" w:rsidRDefault="003C69F6" w:rsidP="0059796D">
            <w:pPr>
              <w:autoSpaceDE w:val="0"/>
              <w:autoSpaceDN w:val="0"/>
              <w:adjustRightInd w:val="0"/>
              <w:spacing w:line="276" w:lineRule="auto"/>
            </w:pPr>
            <w:r>
              <w:t>3.1</w:t>
            </w:r>
          </w:p>
        </w:tc>
        <w:tc>
          <w:tcPr>
            <w:tcW w:w="1385" w:type="dxa"/>
          </w:tcPr>
          <w:p w14:paraId="4DDEDA51" w14:textId="6F5F6CEF" w:rsidR="0059796D" w:rsidRDefault="00310250" w:rsidP="0059796D">
            <w:pPr>
              <w:autoSpaceDE w:val="0"/>
              <w:autoSpaceDN w:val="0"/>
              <w:adjustRightInd w:val="0"/>
              <w:spacing w:line="276" w:lineRule="auto"/>
              <w:rPr>
                <w:rFonts w:ascii="Calibri" w:hAnsi="Calibri" w:cs="Calibri"/>
                <w:sz w:val="20"/>
                <w:szCs w:val="20"/>
              </w:rPr>
            </w:pPr>
            <w:r>
              <w:rPr>
                <w:rFonts w:ascii="Calibri" w:hAnsi="Calibri" w:cs="Calibri"/>
                <w:sz w:val="20"/>
                <w:szCs w:val="20"/>
              </w:rPr>
              <w:t>23,250</w:t>
            </w:r>
          </w:p>
        </w:tc>
      </w:tr>
    </w:tbl>
    <w:p w14:paraId="370FCEAF" w14:textId="77777777" w:rsidR="00ED2424" w:rsidRDefault="00ED2424" w:rsidP="00AA1754">
      <w:pPr>
        <w:autoSpaceDE w:val="0"/>
        <w:autoSpaceDN w:val="0"/>
        <w:adjustRightInd w:val="0"/>
        <w:spacing w:after="0" w:line="276" w:lineRule="auto"/>
        <w:rPr>
          <w:rFonts w:ascii="Calibri" w:hAnsi="Calibri" w:cs="Calibri"/>
          <w:color w:val="FF0000"/>
          <w:sz w:val="24"/>
          <w:szCs w:val="24"/>
        </w:rPr>
      </w:pPr>
    </w:p>
    <w:p w14:paraId="63B89D86" w14:textId="77777777" w:rsidR="00E76417" w:rsidRDefault="00E76417" w:rsidP="00AA1754">
      <w:pPr>
        <w:autoSpaceDE w:val="0"/>
        <w:autoSpaceDN w:val="0"/>
        <w:adjustRightInd w:val="0"/>
        <w:spacing w:after="0" w:line="276" w:lineRule="auto"/>
        <w:rPr>
          <w:rFonts w:ascii="Calibri" w:hAnsi="Calibri" w:cs="Calibri"/>
          <w:sz w:val="24"/>
          <w:szCs w:val="24"/>
        </w:rPr>
      </w:pPr>
    </w:p>
    <w:p w14:paraId="15333063" w14:textId="77777777" w:rsidR="00E76417" w:rsidRDefault="00E76417" w:rsidP="00AA1754">
      <w:pPr>
        <w:autoSpaceDE w:val="0"/>
        <w:autoSpaceDN w:val="0"/>
        <w:adjustRightInd w:val="0"/>
        <w:spacing w:after="0" w:line="276" w:lineRule="auto"/>
        <w:rPr>
          <w:rFonts w:ascii="Calibri" w:hAnsi="Calibri" w:cs="Calibri"/>
          <w:sz w:val="24"/>
          <w:szCs w:val="24"/>
        </w:rPr>
      </w:pPr>
    </w:p>
    <w:p w14:paraId="34FB148D" w14:textId="2EA08377" w:rsidR="00E76417" w:rsidRDefault="00825CCB" w:rsidP="00B0492F">
      <w:pPr>
        <w:autoSpaceDE w:val="0"/>
        <w:autoSpaceDN w:val="0"/>
        <w:adjustRightInd w:val="0"/>
        <w:spacing w:after="0" w:line="276" w:lineRule="auto"/>
        <w:ind w:left="567"/>
        <w:rPr>
          <w:rFonts w:ascii="Calibri" w:hAnsi="Calibri" w:cs="Calibri"/>
          <w:sz w:val="24"/>
          <w:szCs w:val="24"/>
        </w:rPr>
      </w:pPr>
      <w:r>
        <w:rPr>
          <w:rFonts w:ascii="Calibri" w:hAnsi="Calibri" w:cs="Calibri"/>
          <w:sz w:val="24"/>
          <w:szCs w:val="24"/>
        </w:rPr>
        <w:t>Age dependency</w:t>
      </w:r>
      <w:r>
        <w:rPr>
          <w:rFonts w:ascii="Calibri" w:hAnsi="Calibri" w:cs="Calibri"/>
          <w:sz w:val="24"/>
          <w:szCs w:val="24"/>
        </w:rPr>
        <w:br/>
      </w:r>
    </w:p>
    <w:p w14:paraId="2A7F38E9" w14:textId="77777777" w:rsidR="00190E91" w:rsidRDefault="00E17537" w:rsidP="00B0492F">
      <w:pPr>
        <w:autoSpaceDE w:val="0"/>
        <w:autoSpaceDN w:val="0"/>
        <w:adjustRightInd w:val="0"/>
        <w:spacing w:after="0" w:line="276" w:lineRule="auto"/>
        <w:ind w:left="567"/>
        <w:rPr>
          <w:rFonts w:ascii="Calibri" w:hAnsi="Calibri" w:cs="Calibri"/>
          <w:sz w:val="24"/>
          <w:szCs w:val="24"/>
        </w:rPr>
      </w:pPr>
      <w:bookmarkStart w:id="9" w:name="_Hlk113120857"/>
      <w:r>
        <w:rPr>
          <w:rFonts w:ascii="Calibri" w:hAnsi="Calibri" w:cs="Calibri"/>
          <w:sz w:val="24"/>
          <w:szCs w:val="24"/>
        </w:rPr>
        <w:t xml:space="preserve">Categorisation of the </w:t>
      </w:r>
      <w:r w:rsidR="009C128A">
        <w:rPr>
          <w:rFonts w:ascii="Calibri" w:hAnsi="Calibri" w:cs="Calibri"/>
          <w:sz w:val="24"/>
          <w:szCs w:val="24"/>
        </w:rPr>
        <w:t xml:space="preserve">female </w:t>
      </w:r>
      <w:r>
        <w:rPr>
          <w:rFonts w:ascii="Calibri" w:hAnsi="Calibri" w:cs="Calibri"/>
          <w:sz w:val="24"/>
          <w:szCs w:val="24"/>
        </w:rPr>
        <w:t>cohort by age</w:t>
      </w:r>
      <w:bookmarkEnd w:id="9"/>
      <w:r>
        <w:rPr>
          <w:rFonts w:ascii="Calibri" w:hAnsi="Calibri" w:cs="Calibri"/>
          <w:sz w:val="24"/>
          <w:szCs w:val="24"/>
        </w:rPr>
        <w:t xml:space="preserve"> is s</w:t>
      </w:r>
      <w:r w:rsidR="00A07E48">
        <w:rPr>
          <w:rFonts w:ascii="Calibri" w:hAnsi="Calibri" w:cs="Calibri"/>
          <w:sz w:val="24"/>
          <w:szCs w:val="24"/>
        </w:rPr>
        <w:t xml:space="preserve">hown in </w:t>
      </w:r>
      <w:r w:rsidR="008B75AB">
        <w:rPr>
          <w:rFonts w:ascii="Calibri" w:hAnsi="Calibri" w:cs="Calibri"/>
          <w:sz w:val="24"/>
          <w:szCs w:val="24"/>
        </w:rPr>
        <w:t xml:space="preserve">Figure 3 </w:t>
      </w:r>
      <w:r w:rsidR="009C128A">
        <w:rPr>
          <w:rFonts w:ascii="Calibri" w:hAnsi="Calibri" w:cs="Calibri"/>
          <w:sz w:val="24"/>
          <w:szCs w:val="24"/>
        </w:rPr>
        <w:t xml:space="preserve">for </w:t>
      </w:r>
      <w:r w:rsidR="008B75AB">
        <w:rPr>
          <w:rFonts w:ascii="Calibri" w:hAnsi="Calibri" w:cs="Calibri"/>
          <w:sz w:val="24"/>
          <w:szCs w:val="24"/>
        </w:rPr>
        <w:t xml:space="preserve">the two </w:t>
      </w:r>
      <w:proofErr w:type="gramStart"/>
      <w:r w:rsidR="008B75AB">
        <w:rPr>
          <w:rFonts w:ascii="Calibri" w:hAnsi="Calibri" w:cs="Calibri"/>
          <w:sz w:val="24"/>
          <w:szCs w:val="24"/>
        </w:rPr>
        <w:t>threshold</w:t>
      </w:r>
      <w:proofErr w:type="gramEnd"/>
      <w:r w:rsidR="008B75AB">
        <w:rPr>
          <w:rFonts w:ascii="Calibri" w:hAnsi="Calibri" w:cs="Calibri"/>
          <w:sz w:val="24"/>
          <w:szCs w:val="24"/>
        </w:rPr>
        <w:t xml:space="preserve"> </w:t>
      </w:r>
    </w:p>
    <w:p w14:paraId="00763331" w14:textId="3D8D474D" w:rsidR="009D5BEC" w:rsidRDefault="00190E91" w:rsidP="00B0492F">
      <w:pPr>
        <w:autoSpaceDE w:val="0"/>
        <w:autoSpaceDN w:val="0"/>
        <w:adjustRightInd w:val="0"/>
        <w:spacing w:after="0" w:line="276" w:lineRule="auto"/>
        <w:ind w:left="567"/>
        <w:rPr>
          <w:rFonts w:ascii="Calibri" w:hAnsi="Calibri" w:cs="Calibri"/>
          <w:sz w:val="24"/>
          <w:szCs w:val="24"/>
        </w:rPr>
      </w:pPr>
      <w:r>
        <w:rPr>
          <w:noProof/>
        </w:rPr>
        <w:drawing>
          <wp:anchor distT="0" distB="0" distL="114300" distR="114300" simplePos="0" relativeHeight="251660288" behindDoc="0" locked="0" layoutInCell="1" allowOverlap="1" wp14:anchorId="6F57DB67" wp14:editId="7EB28C66">
            <wp:simplePos x="0" y="0"/>
            <wp:positionH relativeFrom="column">
              <wp:posOffset>290195</wp:posOffset>
            </wp:positionH>
            <wp:positionV relativeFrom="paragraph">
              <wp:posOffset>1442720</wp:posOffset>
            </wp:positionV>
            <wp:extent cx="5731510" cy="2856865"/>
            <wp:effectExtent l="0" t="0" r="2540" b="635"/>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75"/>
                    <a:stretch/>
                  </pic:blipFill>
                  <pic:spPr bwMode="auto">
                    <a:xfrm>
                      <a:off x="0" y="0"/>
                      <a:ext cx="5731510" cy="28568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B75AB">
        <w:rPr>
          <w:rFonts w:ascii="Calibri" w:hAnsi="Calibri" w:cs="Calibri"/>
          <w:sz w:val="24"/>
          <w:szCs w:val="24"/>
        </w:rPr>
        <w:t>models</w:t>
      </w:r>
      <w:r w:rsidR="005341C6">
        <w:rPr>
          <w:rFonts w:ascii="Calibri" w:hAnsi="Calibri" w:cs="Calibri"/>
          <w:sz w:val="24"/>
          <w:szCs w:val="24"/>
        </w:rPr>
        <w:t xml:space="preserve">. </w:t>
      </w:r>
      <w:r w:rsidR="009C128A">
        <w:rPr>
          <w:rFonts w:ascii="Calibri" w:hAnsi="Calibri" w:cs="Calibri"/>
          <w:sz w:val="24"/>
          <w:szCs w:val="24"/>
        </w:rPr>
        <w:t xml:space="preserve"> As expected, the proportion of w</w:t>
      </w:r>
      <w:r w:rsidR="00E73DF3">
        <w:rPr>
          <w:rFonts w:ascii="Calibri" w:hAnsi="Calibri" w:cs="Calibri"/>
          <w:sz w:val="24"/>
          <w:szCs w:val="24"/>
        </w:rPr>
        <w:t>omen</w:t>
      </w:r>
      <w:r w:rsidR="009C128A">
        <w:rPr>
          <w:rFonts w:ascii="Calibri" w:hAnsi="Calibri" w:cs="Calibri"/>
          <w:sz w:val="24"/>
          <w:szCs w:val="24"/>
        </w:rPr>
        <w:t xml:space="preserve"> trea</w:t>
      </w:r>
      <w:r w:rsidR="00055C37">
        <w:rPr>
          <w:rFonts w:ascii="Calibri" w:hAnsi="Calibri" w:cs="Calibri"/>
          <w:sz w:val="24"/>
          <w:szCs w:val="24"/>
        </w:rPr>
        <w:t>t</w:t>
      </w:r>
      <w:r w:rsidR="009C128A">
        <w:rPr>
          <w:rFonts w:ascii="Calibri" w:hAnsi="Calibri" w:cs="Calibri"/>
          <w:sz w:val="24"/>
          <w:szCs w:val="24"/>
        </w:rPr>
        <w:t>ed rose with age.</w:t>
      </w:r>
      <w:r w:rsidR="00E73DF3">
        <w:rPr>
          <w:rFonts w:ascii="Calibri" w:hAnsi="Calibri" w:cs="Calibri"/>
          <w:sz w:val="24"/>
          <w:szCs w:val="24"/>
        </w:rPr>
        <w:t xml:space="preserve">  </w:t>
      </w:r>
      <w:proofErr w:type="gramStart"/>
      <w:r w:rsidR="00E73DF3">
        <w:rPr>
          <w:rFonts w:ascii="Calibri" w:hAnsi="Calibri" w:cs="Calibri"/>
          <w:sz w:val="24"/>
          <w:szCs w:val="24"/>
        </w:rPr>
        <w:t>By definition, there</w:t>
      </w:r>
      <w:proofErr w:type="gramEnd"/>
      <w:r w:rsidR="00055C37">
        <w:rPr>
          <w:rFonts w:ascii="Calibri" w:hAnsi="Calibri" w:cs="Calibri"/>
          <w:sz w:val="24"/>
          <w:szCs w:val="24"/>
        </w:rPr>
        <w:t xml:space="preserve"> were </w:t>
      </w:r>
      <w:r w:rsidR="00E73DF3">
        <w:rPr>
          <w:rFonts w:ascii="Calibri" w:hAnsi="Calibri" w:cs="Calibri"/>
          <w:sz w:val="24"/>
          <w:szCs w:val="24"/>
        </w:rPr>
        <w:t xml:space="preserve">no differences between threshold models </w:t>
      </w:r>
      <w:r w:rsidR="004C0C19">
        <w:rPr>
          <w:rFonts w:ascii="Calibri" w:hAnsi="Calibri" w:cs="Calibri"/>
          <w:sz w:val="24"/>
          <w:szCs w:val="24"/>
        </w:rPr>
        <w:t>i</w:t>
      </w:r>
      <w:r w:rsidR="00E73DF3">
        <w:rPr>
          <w:rFonts w:ascii="Calibri" w:hAnsi="Calibri" w:cs="Calibri"/>
          <w:sz w:val="24"/>
          <w:szCs w:val="24"/>
        </w:rPr>
        <w:t>n the proportion of women eligible for treatment up to the age of 70 years</w:t>
      </w:r>
      <w:r w:rsidR="004C0C19">
        <w:rPr>
          <w:rFonts w:ascii="Calibri" w:hAnsi="Calibri" w:cs="Calibri"/>
          <w:sz w:val="24"/>
          <w:szCs w:val="24"/>
        </w:rPr>
        <w:t xml:space="preserve">.  With the age-dependent thresholds, the proportion of women treated was 18%,24% and 27% for each decade from the age of 70 years.  For the hybrid model the corresponding proportions were 27%, 77% </w:t>
      </w:r>
      <w:r w:rsidR="004C0C19" w:rsidRPr="00045BF8">
        <w:rPr>
          <w:rFonts w:ascii="Calibri" w:hAnsi="Calibri" w:cs="Calibri"/>
          <w:color w:val="000000" w:themeColor="text1"/>
          <w:sz w:val="24"/>
          <w:szCs w:val="24"/>
        </w:rPr>
        <w:t xml:space="preserve">and </w:t>
      </w:r>
      <w:r w:rsidR="004C0C19">
        <w:rPr>
          <w:rFonts w:ascii="Calibri" w:hAnsi="Calibri" w:cs="Calibri"/>
          <w:sz w:val="24"/>
          <w:szCs w:val="24"/>
        </w:rPr>
        <w:t xml:space="preserve">77%, respectively. </w:t>
      </w:r>
    </w:p>
    <w:p w14:paraId="311CBF0F" w14:textId="6519815D" w:rsidR="008C2C82" w:rsidRDefault="008C2C82" w:rsidP="00AA1754">
      <w:pPr>
        <w:autoSpaceDE w:val="0"/>
        <w:autoSpaceDN w:val="0"/>
        <w:adjustRightInd w:val="0"/>
        <w:spacing w:after="0" w:line="276" w:lineRule="auto"/>
        <w:rPr>
          <w:rFonts w:ascii="Calibri" w:hAnsi="Calibri" w:cs="Calibri"/>
          <w:sz w:val="24"/>
          <w:szCs w:val="24"/>
        </w:rPr>
      </w:pPr>
    </w:p>
    <w:p w14:paraId="2025FFD6" w14:textId="538F886D" w:rsidR="00354E05" w:rsidRDefault="00354E05" w:rsidP="00906B2F">
      <w:pPr>
        <w:spacing w:after="200" w:line="276" w:lineRule="auto"/>
        <w:ind w:left="567" w:right="662"/>
        <w:rPr>
          <w:rFonts w:ascii="Calibri" w:eastAsia="Calibri" w:hAnsi="Calibri" w:cs="Calibri"/>
          <w:shd w:val="clear" w:color="auto" w:fill="FFFFFF"/>
        </w:rPr>
      </w:pPr>
      <w:r w:rsidRPr="00E17324">
        <w:rPr>
          <w:rFonts w:ascii="Calibri" w:eastAsia="Calibri" w:hAnsi="Calibri" w:cs="Calibri"/>
          <w:b/>
          <w:bCs/>
          <w:shd w:val="clear" w:color="auto" w:fill="FFFFFF"/>
        </w:rPr>
        <w:t xml:space="preserve">Fig. </w:t>
      </w:r>
      <w:r w:rsidR="003440C1">
        <w:rPr>
          <w:rFonts w:ascii="Calibri" w:eastAsia="Calibri" w:hAnsi="Calibri" w:cs="Calibri"/>
          <w:b/>
          <w:bCs/>
          <w:shd w:val="clear" w:color="auto" w:fill="FFFFFF"/>
        </w:rPr>
        <w:t>3</w:t>
      </w:r>
      <w:r w:rsidRPr="00E17324">
        <w:rPr>
          <w:rFonts w:ascii="Calibri" w:eastAsia="Calibri" w:hAnsi="Calibri" w:cs="Calibri"/>
          <w:shd w:val="clear" w:color="auto" w:fill="FFFFFF"/>
        </w:rPr>
        <w:t xml:space="preserve"> The proportion of women categorised as requiring no treatment, testing with BMD or eligible for treatment</w:t>
      </w:r>
      <w:r w:rsidR="00BC58AB">
        <w:rPr>
          <w:rFonts w:ascii="Calibri" w:eastAsia="Calibri" w:hAnsi="Calibri" w:cs="Calibri"/>
          <w:shd w:val="clear" w:color="auto" w:fill="FFFFFF"/>
        </w:rPr>
        <w:t xml:space="preserve"> with age-specific </w:t>
      </w:r>
      <w:r w:rsidR="00DD165E">
        <w:rPr>
          <w:rFonts w:ascii="Calibri" w:eastAsia="Calibri" w:hAnsi="Calibri" w:cs="Calibri"/>
          <w:shd w:val="clear" w:color="auto" w:fill="FFFFFF"/>
        </w:rPr>
        <w:t>thresholds (le</w:t>
      </w:r>
      <w:r w:rsidR="00660A4D">
        <w:rPr>
          <w:rFonts w:ascii="Calibri" w:eastAsia="Calibri" w:hAnsi="Calibri" w:cs="Calibri"/>
          <w:shd w:val="clear" w:color="auto" w:fill="FFFFFF"/>
        </w:rPr>
        <w:t xml:space="preserve">ft hand panel) </w:t>
      </w:r>
      <w:r w:rsidR="00BC58AB">
        <w:rPr>
          <w:rFonts w:ascii="Calibri" w:eastAsia="Calibri" w:hAnsi="Calibri" w:cs="Calibri"/>
          <w:shd w:val="clear" w:color="auto" w:fill="FFFFFF"/>
        </w:rPr>
        <w:t>or hybrid thresholds</w:t>
      </w:r>
      <w:r w:rsidR="00660A4D">
        <w:rPr>
          <w:rFonts w:ascii="Calibri" w:eastAsia="Calibri" w:hAnsi="Calibri" w:cs="Calibri"/>
          <w:shd w:val="clear" w:color="auto" w:fill="FFFFFF"/>
        </w:rPr>
        <w:t xml:space="preserve"> (right)</w:t>
      </w:r>
      <w:r w:rsidRPr="00E17324">
        <w:rPr>
          <w:rFonts w:ascii="Calibri" w:eastAsia="Calibri" w:hAnsi="Calibri" w:cs="Calibri"/>
          <w:shd w:val="clear" w:color="auto" w:fill="FFFFFF"/>
        </w:rPr>
        <w:t xml:space="preserve">.  The numbers refer to the number of women in each </w:t>
      </w:r>
      <w:r w:rsidR="00660A4D">
        <w:rPr>
          <w:rFonts w:ascii="Calibri" w:eastAsia="Calibri" w:hAnsi="Calibri" w:cs="Calibri"/>
          <w:shd w:val="clear" w:color="auto" w:fill="FFFFFF"/>
        </w:rPr>
        <w:t>catego</w:t>
      </w:r>
      <w:r w:rsidR="00015BA5">
        <w:rPr>
          <w:rFonts w:ascii="Calibri" w:eastAsia="Calibri" w:hAnsi="Calibri" w:cs="Calibri"/>
          <w:shd w:val="clear" w:color="auto" w:fill="FFFFFF"/>
        </w:rPr>
        <w:t>ry</w:t>
      </w:r>
      <w:r w:rsidRPr="00E17324">
        <w:rPr>
          <w:rFonts w:ascii="Calibri" w:eastAsia="Calibri" w:hAnsi="Calibri" w:cs="Calibri"/>
          <w:shd w:val="clear" w:color="auto" w:fill="FFFFFF"/>
        </w:rPr>
        <w:t>.</w:t>
      </w:r>
      <w:r>
        <w:rPr>
          <w:rFonts w:ascii="Calibri" w:eastAsia="Calibri" w:hAnsi="Calibri" w:cs="Calibri"/>
          <w:shd w:val="clear" w:color="auto" w:fill="FFFFFF"/>
        </w:rPr>
        <w:t xml:space="preserve">  </w:t>
      </w:r>
    </w:p>
    <w:p w14:paraId="5418DA92" w14:textId="77777777" w:rsidR="00354E05" w:rsidRDefault="00354E05" w:rsidP="009B2480">
      <w:pPr>
        <w:autoSpaceDE w:val="0"/>
        <w:autoSpaceDN w:val="0"/>
        <w:adjustRightInd w:val="0"/>
        <w:spacing w:after="0" w:line="276" w:lineRule="auto"/>
        <w:rPr>
          <w:rFonts w:ascii="Calibri" w:hAnsi="Calibri" w:cs="Calibri"/>
          <w:sz w:val="24"/>
          <w:szCs w:val="24"/>
        </w:rPr>
      </w:pPr>
    </w:p>
    <w:p w14:paraId="335EF771" w14:textId="63C1EEFD" w:rsidR="00354E05" w:rsidRPr="00B87CF8" w:rsidRDefault="00B87CF8" w:rsidP="00906B2F">
      <w:pPr>
        <w:autoSpaceDE w:val="0"/>
        <w:autoSpaceDN w:val="0"/>
        <w:adjustRightInd w:val="0"/>
        <w:spacing w:after="0" w:line="276" w:lineRule="auto"/>
        <w:ind w:left="567"/>
        <w:rPr>
          <w:rFonts w:ascii="Calibri" w:hAnsi="Calibri" w:cs="Calibri"/>
          <w:i/>
          <w:iCs/>
          <w:sz w:val="24"/>
          <w:szCs w:val="24"/>
        </w:rPr>
      </w:pPr>
      <w:r w:rsidRPr="00B87CF8">
        <w:rPr>
          <w:rFonts w:ascii="Calibri" w:hAnsi="Calibri" w:cs="Calibri"/>
          <w:i/>
          <w:iCs/>
          <w:sz w:val="24"/>
          <w:szCs w:val="24"/>
        </w:rPr>
        <w:t>Prior treatment</w:t>
      </w:r>
    </w:p>
    <w:p w14:paraId="4C8628D9" w14:textId="45287AB9" w:rsidR="00B87CF8" w:rsidRDefault="009A3B00" w:rsidP="00906B2F">
      <w:pPr>
        <w:autoSpaceDE w:val="0"/>
        <w:autoSpaceDN w:val="0"/>
        <w:adjustRightInd w:val="0"/>
        <w:spacing w:after="0" w:line="276" w:lineRule="auto"/>
        <w:ind w:left="567"/>
        <w:rPr>
          <w:rFonts w:ascii="Calibri" w:hAnsi="Calibri" w:cs="Calibri"/>
          <w:sz w:val="24"/>
          <w:szCs w:val="24"/>
        </w:rPr>
      </w:pPr>
      <w:r>
        <w:rPr>
          <w:rFonts w:ascii="Calibri" w:hAnsi="Calibri" w:cs="Calibri"/>
          <w:sz w:val="24"/>
          <w:szCs w:val="24"/>
        </w:rPr>
        <w:t xml:space="preserve">Patients identified as having prior </w:t>
      </w:r>
      <w:r w:rsidR="00FA30EE" w:rsidRPr="00FA30EE">
        <w:rPr>
          <w:rFonts w:ascii="Calibri" w:hAnsi="Calibri" w:cs="Calibri"/>
          <w:sz w:val="24"/>
          <w:szCs w:val="24"/>
        </w:rPr>
        <w:t xml:space="preserve">treatment </w:t>
      </w:r>
      <w:r w:rsidR="00FA30EE">
        <w:rPr>
          <w:rFonts w:ascii="Calibri" w:hAnsi="Calibri" w:cs="Calibri"/>
          <w:sz w:val="24"/>
          <w:szCs w:val="24"/>
        </w:rPr>
        <w:t xml:space="preserve">for </w:t>
      </w:r>
      <w:r>
        <w:rPr>
          <w:rFonts w:ascii="Calibri" w:hAnsi="Calibri" w:cs="Calibri"/>
          <w:sz w:val="24"/>
          <w:szCs w:val="24"/>
        </w:rPr>
        <w:t>osteoporosis</w:t>
      </w:r>
      <w:r w:rsidR="00BA3900">
        <w:rPr>
          <w:rFonts w:ascii="Calibri" w:hAnsi="Calibri" w:cs="Calibri"/>
          <w:sz w:val="24"/>
          <w:szCs w:val="24"/>
        </w:rPr>
        <w:t xml:space="preserve"> had a higher hip fracture probability</w:t>
      </w:r>
      <w:r>
        <w:rPr>
          <w:rFonts w:ascii="Calibri" w:hAnsi="Calibri" w:cs="Calibri"/>
          <w:sz w:val="24"/>
          <w:szCs w:val="24"/>
        </w:rPr>
        <w:t xml:space="preserve"> </w:t>
      </w:r>
      <w:r w:rsidR="00744095">
        <w:rPr>
          <w:rFonts w:ascii="Calibri" w:hAnsi="Calibri" w:cs="Calibri"/>
          <w:sz w:val="24"/>
          <w:szCs w:val="24"/>
        </w:rPr>
        <w:t xml:space="preserve">than </w:t>
      </w:r>
      <w:r w:rsidR="00A0297A">
        <w:rPr>
          <w:rFonts w:ascii="Calibri" w:hAnsi="Calibri" w:cs="Calibri"/>
          <w:sz w:val="24"/>
          <w:szCs w:val="24"/>
        </w:rPr>
        <w:t>the total cohort (3.2 v</w:t>
      </w:r>
      <w:r w:rsidR="00542694">
        <w:rPr>
          <w:rFonts w:ascii="Calibri" w:hAnsi="Calibri" w:cs="Calibri"/>
          <w:sz w:val="24"/>
          <w:szCs w:val="24"/>
        </w:rPr>
        <w:t>s. 1.7%, respectively</w:t>
      </w:r>
      <w:r w:rsidR="00A46F23">
        <w:rPr>
          <w:rFonts w:ascii="Calibri" w:hAnsi="Calibri" w:cs="Calibri"/>
          <w:sz w:val="24"/>
          <w:szCs w:val="24"/>
        </w:rPr>
        <w:t>)</w:t>
      </w:r>
      <w:r w:rsidR="00542694">
        <w:rPr>
          <w:rFonts w:ascii="Calibri" w:hAnsi="Calibri" w:cs="Calibri"/>
          <w:sz w:val="24"/>
          <w:szCs w:val="24"/>
        </w:rPr>
        <w:t xml:space="preserve">.  Similarly, </w:t>
      </w:r>
      <w:r w:rsidR="00542694" w:rsidRPr="00542694">
        <w:rPr>
          <w:rFonts w:ascii="Calibri" w:hAnsi="Calibri" w:cs="Calibri"/>
          <w:sz w:val="24"/>
          <w:szCs w:val="24"/>
        </w:rPr>
        <w:t xml:space="preserve">prior treatment for osteoporosis had a higher </w:t>
      </w:r>
      <w:r w:rsidR="00542694">
        <w:rPr>
          <w:rFonts w:ascii="Calibri" w:hAnsi="Calibri" w:cs="Calibri"/>
          <w:sz w:val="24"/>
          <w:szCs w:val="24"/>
        </w:rPr>
        <w:t>MO</w:t>
      </w:r>
      <w:r w:rsidR="00A46F23">
        <w:rPr>
          <w:rFonts w:ascii="Calibri" w:hAnsi="Calibri" w:cs="Calibri"/>
          <w:sz w:val="24"/>
          <w:szCs w:val="24"/>
        </w:rPr>
        <w:t>F</w:t>
      </w:r>
      <w:r w:rsidR="00542694" w:rsidRPr="00542694">
        <w:rPr>
          <w:rFonts w:ascii="Calibri" w:hAnsi="Calibri" w:cs="Calibri"/>
          <w:sz w:val="24"/>
          <w:szCs w:val="24"/>
        </w:rPr>
        <w:t xml:space="preserve"> probability than the total cohort (</w:t>
      </w:r>
      <w:r w:rsidR="00A46F23">
        <w:rPr>
          <w:rFonts w:ascii="Calibri" w:hAnsi="Calibri" w:cs="Calibri"/>
          <w:sz w:val="24"/>
          <w:szCs w:val="24"/>
        </w:rPr>
        <w:t>7.6</w:t>
      </w:r>
      <w:r w:rsidR="00542694" w:rsidRPr="00542694">
        <w:rPr>
          <w:rFonts w:ascii="Calibri" w:hAnsi="Calibri" w:cs="Calibri"/>
          <w:sz w:val="24"/>
          <w:szCs w:val="24"/>
        </w:rPr>
        <w:t xml:space="preserve"> vs. </w:t>
      </w:r>
      <w:r w:rsidR="00A46F23">
        <w:rPr>
          <w:rFonts w:ascii="Calibri" w:hAnsi="Calibri" w:cs="Calibri"/>
          <w:sz w:val="24"/>
          <w:szCs w:val="24"/>
        </w:rPr>
        <w:t>4.3</w:t>
      </w:r>
      <w:r w:rsidR="00542694" w:rsidRPr="00542694">
        <w:rPr>
          <w:rFonts w:ascii="Calibri" w:hAnsi="Calibri" w:cs="Calibri"/>
          <w:sz w:val="24"/>
          <w:szCs w:val="24"/>
        </w:rPr>
        <w:t>%, respectively</w:t>
      </w:r>
      <w:r w:rsidR="00A46F23">
        <w:rPr>
          <w:rFonts w:ascii="Calibri" w:hAnsi="Calibri" w:cs="Calibri"/>
          <w:sz w:val="24"/>
          <w:szCs w:val="24"/>
        </w:rPr>
        <w:t>)</w:t>
      </w:r>
      <w:r w:rsidR="00542694" w:rsidRPr="00542694">
        <w:rPr>
          <w:rFonts w:ascii="Calibri" w:hAnsi="Calibri" w:cs="Calibri"/>
          <w:sz w:val="24"/>
          <w:szCs w:val="24"/>
        </w:rPr>
        <w:t xml:space="preserve">.  </w:t>
      </w:r>
    </w:p>
    <w:p w14:paraId="3EFABAF3" w14:textId="77777777" w:rsidR="00B87CF8" w:rsidRDefault="00B87CF8" w:rsidP="00906B2F">
      <w:pPr>
        <w:autoSpaceDE w:val="0"/>
        <w:autoSpaceDN w:val="0"/>
        <w:adjustRightInd w:val="0"/>
        <w:spacing w:after="0" w:line="276" w:lineRule="auto"/>
        <w:ind w:left="567"/>
        <w:rPr>
          <w:rFonts w:ascii="Calibri" w:hAnsi="Calibri" w:cs="Calibri"/>
          <w:sz w:val="24"/>
          <w:szCs w:val="24"/>
        </w:rPr>
      </w:pPr>
    </w:p>
    <w:p w14:paraId="5AA92EE7" w14:textId="77777777" w:rsidR="009B2480" w:rsidRDefault="009B2480" w:rsidP="00906B2F">
      <w:pPr>
        <w:autoSpaceDE w:val="0"/>
        <w:autoSpaceDN w:val="0"/>
        <w:adjustRightInd w:val="0"/>
        <w:spacing w:after="0" w:line="276" w:lineRule="auto"/>
        <w:ind w:left="567"/>
        <w:rPr>
          <w:rFonts w:ascii="Calibri" w:hAnsi="Calibri" w:cs="Calibri"/>
          <w:b/>
          <w:bCs/>
          <w:sz w:val="24"/>
          <w:szCs w:val="24"/>
        </w:rPr>
      </w:pPr>
    </w:p>
    <w:p w14:paraId="00D2D45C" w14:textId="2858CBA1" w:rsidR="00334418" w:rsidRPr="00754D6B" w:rsidRDefault="00334418" w:rsidP="00906B2F">
      <w:pPr>
        <w:autoSpaceDE w:val="0"/>
        <w:autoSpaceDN w:val="0"/>
        <w:adjustRightInd w:val="0"/>
        <w:spacing w:after="0" w:line="276" w:lineRule="auto"/>
        <w:ind w:left="567"/>
        <w:rPr>
          <w:rFonts w:ascii="Calibri" w:hAnsi="Calibri" w:cs="Calibri"/>
          <w:b/>
          <w:bCs/>
          <w:sz w:val="24"/>
          <w:szCs w:val="24"/>
        </w:rPr>
      </w:pPr>
      <w:r w:rsidRPr="00754D6B">
        <w:rPr>
          <w:rFonts w:ascii="Calibri" w:hAnsi="Calibri" w:cs="Calibri"/>
          <w:b/>
          <w:bCs/>
          <w:sz w:val="24"/>
          <w:szCs w:val="24"/>
        </w:rPr>
        <w:t>Discussion</w:t>
      </w:r>
      <w:r w:rsidR="00084F11">
        <w:rPr>
          <w:rFonts w:ascii="Calibri" w:hAnsi="Calibri" w:cs="Calibri"/>
          <w:b/>
          <w:bCs/>
          <w:sz w:val="24"/>
          <w:szCs w:val="24"/>
        </w:rPr>
        <w:t xml:space="preserve"> </w:t>
      </w:r>
    </w:p>
    <w:p w14:paraId="03726BCA" w14:textId="039D4815" w:rsidR="0097736C" w:rsidRDefault="0097736C" w:rsidP="00906B2F">
      <w:pPr>
        <w:spacing w:after="240" w:line="276" w:lineRule="auto"/>
        <w:ind w:left="567"/>
        <w:rPr>
          <w:rFonts w:ascii="Calibri" w:eastAsia="Calibri" w:hAnsi="Calibri" w:cs="Times New Roman"/>
          <w:bCs/>
          <w:sz w:val="24"/>
          <w:szCs w:val="24"/>
        </w:rPr>
      </w:pPr>
      <w:r w:rsidRPr="00AE3E22">
        <w:rPr>
          <w:rFonts w:ascii="Calibri" w:eastAsia="Calibri" w:hAnsi="Calibri" w:cs="Times New Roman"/>
          <w:bCs/>
          <w:sz w:val="24"/>
          <w:szCs w:val="24"/>
        </w:rPr>
        <w:t xml:space="preserve">In this report, we present </w:t>
      </w:r>
      <w:r w:rsidR="009A38AA">
        <w:rPr>
          <w:rFonts w:ascii="Calibri" w:eastAsia="Calibri" w:hAnsi="Calibri" w:cs="Times New Roman"/>
          <w:bCs/>
          <w:sz w:val="24"/>
          <w:szCs w:val="24"/>
        </w:rPr>
        <w:t>two</w:t>
      </w:r>
      <w:r w:rsidRPr="00AE3E22">
        <w:rPr>
          <w:rFonts w:ascii="Calibri" w:eastAsia="Calibri" w:hAnsi="Calibri" w:cs="Times New Roman"/>
          <w:bCs/>
          <w:sz w:val="24"/>
          <w:szCs w:val="24"/>
        </w:rPr>
        <w:t xml:space="preserve"> method</w:t>
      </w:r>
      <w:r w:rsidR="009A38AA">
        <w:rPr>
          <w:rFonts w:ascii="Calibri" w:eastAsia="Calibri" w:hAnsi="Calibri" w:cs="Times New Roman"/>
          <w:bCs/>
          <w:sz w:val="24"/>
          <w:szCs w:val="24"/>
        </w:rPr>
        <w:t>s</w:t>
      </w:r>
      <w:r w:rsidRPr="00AE3E22">
        <w:rPr>
          <w:rFonts w:ascii="Calibri" w:eastAsia="Calibri" w:hAnsi="Calibri" w:cs="Times New Roman"/>
          <w:bCs/>
          <w:sz w:val="24"/>
          <w:szCs w:val="24"/>
        </w:rPr>
        <w:t xml:space="preserve"> of categorising </w:t>
      </w:r>
      <w:r w:rsidR="009A38AA">
        <w:rPr>
          <w:rFonts w:ascii="Calibri" w:eastAsia="Calibri" w:hAnsi="Calibri" w:cs="Times New Roman"/>
          <w:bCs/>
          <w:sz w:val="24"/>
          <w:szCs w:val="24"/>
        </w:rPr>
        <w:t xml:space="preserve">men and </w:t>
      </w:r>
      <w:r w:rsidRPr="00AE3E22">
        <w:rPr>
          <w:rFonts w:ascii="Calibri" w:eastAsia="Calibri" w:hAnsi="Calibri" w:cs="Times New Roman"/>
          <w:bCs/>
          <w:sz w:val="24"/>
          <w:szCs w:val="24"/>
        </w:rPr>
        <w:t xml:space="preserve">women </w:t>
      </w:r>
      <w:proofErr w:type="gramStart"/>
      <w:r w:rsidRPr="00AE3E22">
        <w:rPr>
          <w:rFonts w:ascii="Calibri" w:eastAsia="Calibri" w:hAnsi="Calibri" w:cs="Times New Roman"/>
          <w:bCs/>
          <w:sz w:val="24"/>
          <w:szCs w:val="24"/>
        </w:rPr>
        <w:t>on the basis of</w:t>
      </w:r>
      <w:proofErr w:type="gramEnd"/>
      <w:r w:rsidRPr="00AE3E22">
        <w:rPr>
          <w:rFonts w:ascii="Calibri" w:eastAsia="Calibri" w:hAnsi="Calibri" w:cs="Times New Roman"/>
          <w:bCs/>
          <w:sz w:val="24"/>
          <w:szCs w:val="24"/>
        </w:rPr>
        <w:t xml:space="preserve"> fracture probabilities derived from FRAX.  The categories identified comprised those at low risk, those at intermediate risk in whom a BMD test might be recommended, and those eligible for treatment</w:t>
      </w:r>
      <w:proofErr w:type="gramStart"/>
      <w:r w:rsidRPr="00AE3E22">
        <w:rPr>
          <w:rFonts w:ascii="Calibri" w:eastAsia="Calibri" w:hAnsi="Calibri" w:cs="Times New Roman"/>
          <w:bCs/>
          <w:sz w:val="24"/>
          <w:szCs w:val="24"/>
        </w:rPr>
        <w:t xml:space="preserve">. </w:t>
      </w:r>
      <w:proofErr w:type="gramEnd"/>
      <w:r w:rsidR="002A49BC">
        <w:rPr>
          <w:rFonts w:ascii="Calibri" w:eastAsia="Calibri" w:hAnsi="Calibri" w:cs="Times New Roman"/>
          <w:bCs/>
          <w:sz w:val="24"/>
          <w:szCs w:val="24"/>
        </w:rPr>
        <w:t>The age-dependent triage</w:t>
      </w:r>
      <w:r w:rsidR="00C02F42">
        <w:rPr>
          <w:rFonts w:ascii="Calibri" w:eastAsia="Calibri" w:hAnsi="Calibri" w:cs="Times New Roman"/>
          <w:bCs/>
          <w:sz w:val="24"/>
          <w:szCs w:val="24"/>
        </w:rPr>
        <w:t xml:space="preserve"> </w:t>
      </w:r>
      <w:r w:rsidRPr="00AE3E22">
        <w:rPr>
          <w:rFonts w:ascii="Calibri" w:eastAsia="Calibri" w:hAnsi="Calibri" w:cs="Times New Roman"/>
          <w:bCs/>
          <w:sz w:val="24"/>
          <w:szCs w:val="24"/>
        </w:rPr>
        <w:t xml:space="preserve">used was </w:t>
      </w:r>
      <w:proofErr w:type="gramStart"/>
      <w:r w:rsidRPr="00AE3E22">
        <w:rPr>
          <w:rFonts w:ascii="Calibri" w:eastAsia="Calibri" w:hAnsi="Calibri" w:cs="Times New Roman"/>
          <w:bCs/>
          <w:sz w:val="24"/>
          <w:szCs w:val="24"/>
        </w:rPr>
        <w:t>similar to</w:t>
      </w:r>
      <w:proofErr w:type="gramEnd"/>
      <w:r w:rsidRPr="00AE3E22">
        <w:rPr>
          <w:rFonts w:ascii="Calibri" w:eastAsia="Calibri" w:hAnsi="Calibri" w:cs="Times New Roman"/>
          <w:bCs/>
          <w:sz w:val="24"/>
          <w:szCs w:val="24"/>
        </w:rPr>
        <w:t xml:space="preserve"> that originally adopted by the National Osteoporosis Guideline Group (NOGG) in the UK and more recently in European </w:t>
      </w:r>
      <w:r w:rsidRPr="00177828">
        <w:rPr>
          <w:rFonts w:ascii="Calibri" w:eastAsia="Calibri" w:hAnsi="Calibri" w:cs="Times New Roman"/>
          <w:bCs/>
          <w:sz w:val="24"/>
          <w:szCs w:val="24"/>
        </w:rPr>
        <w:t xml:space="preserve">guidelines </w:t>
      </w:r>
      <w:r w:rsidR="004527C7">
        <w:rPr>
          <w:rFonts w:ascii="Calibri" w:eastAsia="Calibri" w:hAnsi="Calibri" w:cs="Times New Roman"/>
          <w:bCs/>
          <w:sz w:val="24"/>
          <w:szCs w:val="24"/>
        </w:rPr>
        <w:t>[</w:t>
      </w:r>
      <w:r w:rsidR="00A403FC">
        <w:rPr>
          <w:rFonts w:ascii="Calibri" w:eastAsia="Calibri" w:hAnsi="Calibri" w:cs="Times New Roman"/>
          <w:bCs/>
          <w:sz w:val="24"/>
          <w:szCs w:val="24"/>
        </w:rPr>
        <w:t xml:space="preserve">24, </w:t>
      </w:r>
      <w:r w:rsidR="00980101">
        <w:rPr>
          <w:rFonts w:ascii="Calibri" w:eastAsia="Calibri" w:hAnsi="Calibri" w:cs="Times New Roman"/>
          <w:bCs/>
          <w:sz w:val="24"/>
          <w:szCs w:val="24"/>
        </w:rPr>
        <w:t xml:space="preserve">25, </w:t>
      </w:r>
      <w:r w:rsidR="00915C2D">
        <w:rPr>
          <w:rFonts w:ascii="Calibri" w:eastAsia="Calibri" w:hAnsi="Calibri" w:cs="Times New Roman"/>
          <w:bCs/>
          <w:sz w:val="24"/>
          <w:szCs w:val="24"/>
        </w:rPr>
        <w:t xml:space="preserve">28, </w:t>
      </w:r>
      <w:r w:rsidR="00A403FC">
        <w:rPr>
          <w:rFonts w:ascii="Calibri" w:eastAsia="Calibri" w:hAnsi="Calibri" w:cs="Times New Roman"/>
          <w:bCs/>
          <w:sz w:val="24"/>
          <w:szCs w:val="24"/>
        </w:rPr>
        <w:t>29</w:t>
      </w:r>
      <w:r w:rsidR="001D6E54">
        <w:rPr>
          <w:rFonts w:ascii="Calibri" w:eastAsia="Calibri" w:hAnsi="Calibri" w:cs="Times New Roman"/>
          <w:bCs/>
          <w:sz w:val="24"/>
          <w:szCs w:val="24"/>
        </w:rPr>
        <w:t>]</w:t>
      </w:r>
      <w:r w:rsidR="00A403FC">
        <w:rPr>
          <w:rFonts w:ascii="Calibri" w:eastAsia="Calibri" w:hAnsi="Calibri" w:cs="Times New Roman"/>
          <w:bCs/>
          <w:sz w:val="24"/>
          <w:szCs w:val="24"/>
        </w:rPr>
        <w:t xml:space="preserve"> </w:t>
      </w:r>
      <w:r w:rsidRPr="00AE3E22">
        <w:rPr>
          <w:rFonts w:ascii="Calibri" w:eastAsia="Calibri" w:hAnsi="Calibri" w:cs="Times New Roman"/>
          <w:bCs/>
          <w:sz w:val="24"/>
          <w:szCs w:val="24"/>
        </w:rPr>
        <w:t xml:space="preserve">but applied to the FRAX model for </w:t>
      </w:r>
      <w:r w:rsidR="004527C7">
        <w:rPr>
          <w:rFonts w:ascii="Calibri" w:eastAsia="Calibri" w:hAnsi="Calibri" w:cs="Calibri"/>
          <w:bCs/>
          <w:sz w:val="24"/>
          <w:szCs w:val="24"/>
          <w:shd w:val="clear" w:color="auto" w:fill="FFFFFF"/>
        </w:rPr>
        <w:t>Chile</w:t>
      </w:r>
      <w:r w:rsidRPr="00AE3E22">
        <w:rPr>
          <w:rFonts w:ascii="Calibri" w:eastAsia="Calibri" w:hAnsi="Calibri" w:cs="Times New Roman"/>
          <w:bCs/>
          <w:sz w:val="24"/>
          <w:szCs w:val="24"/>
        </w:rPr>
        <w:t xml:space="preserve">.  As noted above, in this approach the intervention threshold is set at a fracture probability equivalent to a woman of the same age with a prior fragility fracture.  The rationale is that if women with a prior fragility fracture are considered eligible for treatment, as commonly considered, then women without fracture but with equivalent probabilities are also eligible for treatment. </w:t>
      </w:r>
      <w:r w:rsidR="00C02F42">
        <w:rPr>
          <w:rFonts w:ascii="Calibri" w:eastAsia="Calibri" w:hAnsi="Calibri" w:cs="Times New Roman"/>
          <w:bCs/>
          <w:sz w:val="24"/>
          <w:szCs w:val="24"/>
        </w:rPr>
        <w:t xml:space="preserve"> The second triage system examined was the hybrid model </w:t>
      </w:r>
      <w:r w:rsidR="00D80788">
        <w:rPr>
          <w:rFonts w:ascii="Calibri" w:eastAsia="Calibri" w:hAnsi="Calibri" w:cs="Times New Roman"/>
          <w:bCs/>
          <w:sz w:val="24"/>
          <w:szCs w:val="24"/>
        </w:rPr>
        <w:t xml:space="preserve">where intervention threshold in individuals </w:t>
      </w:r>
      <w:proofErr w:type="gramStart"/>
      <w:r w:rsidR="00D80788">
        <w:rPr>
          <w:rFonts w:ascii="Calibri" w:eastAsia="Calibri" w:hAnsi="Calibri" w:cs="Times New Roman"/>
          <w:bCs/>
          <w:sz w:val="24"/>
          <w:szCs w:val="24"/>
        </w:rPr>
        <w:t>age</w:t>
      </w:r>
      <w:proofErr w:type="gramEnd"/>
      <w:r w:rsidR="00D80788">
        <w:rPr>
          <w:rFonts w:ascii="Calibri" w:eastAsia="Calibri" w:hAnsi="Calibri" w:cs="Times New Roman"/>
          <w:bCs/>
          <w:sz w:val="24"/>
          <w:szCs w:val="24"/>
        </w:rPr>
        <w:t xml:space="preserve"> 70 </w:t>
      </w:r>
      <w:r w:rsidR="00CD77C6">
        <w:rPr>
          <w:rFonts w:ascii="Calibri" w:eastAsia="Calibri" w:hAnsi="Calibri" w:cs="Times New Roman"/>
          <w:bCs/>
          <w:sz w:val="24"/>
          <w:szCs w:val="24"/>
        </w:rPr>
        <w:t>years</w:t>
      </w:r>
      <w:r w:rsidR="00D80788">
        <w:rPr>
          <w:rFonts w:ascii="Calibri" w:eastAsia="Calibri" w:hAnsi="Calibri" w:cs="Times New Roman"/>
          <w:bCs/>
          <w:sz w:val="24"/>
          <w:szCs w:val="24"/>
        </w:rPr>
        <w:t xml:space="preserve"> or more we</w:t>
      </w:r>
      <w:r w:rsidR="00ED71FF">
        <w:rPr>
          <w:rFonts w:ascii="Calibri" w:eastAsia="Calibri" w:hAnsi="Calibri" w:cs="Times New Roman"/>
          <w:bCs/>
          <w:sz w:val="24"/>
          <w:szCs w:val="24"/>
        </w:rPr>
        <w:t>re fixed to the age-dependent thresholds at the age of 70 years.</w:t>
      </w:r>
    </w:p>
    <w:p w14:paraId="3DC6AD3A" w14:textId="799BA405" w:rsidR="00EC5B52" w:rsidRPr="00397545" w:rsidRDefault="001B2ACD" w:rsidP="00906B2F">
      <w:pPr>
        <w:spacing w:after="240" w:line="276" w:lineRule="auto"/>
        <w:ind w:left="567"/>
        <w:rPr>
          <w:rFonts w:ascii="Calibri" w:eastAsia="Calibri" w:hAnsi="Calibri" w:cs="Times New Roman"/>
          <w:bCs/>
          <w:sz w:val="24"/>
          <w:szCs w:val="24"/>
        </w:rPr>
      </w:pPr>
      <w:r w:rsidRPr="007268C6">
        <w:rPr>
          <w:rFonts w:ascii="Calibri" w:eastAsia="Calibri" w:hAnsi="Calibri" w:cs="Times New Roman"/>
          <w:bCs/>
          <w:sz w:val="24"/>
          <w:szCs w:val="24"/>
        </w:rPr>
        <w:t>The proportion</w:t>
      </w:r>
      <w:r w:rsidR="007268C6" w:rsidRPr="007268C6">
        <w:rPr>
          <w:rFonts w:ascii="Calibri" w:eastAsia="Calibri" w:hAnsi="Calibri" w:cs="Times New Roman"/>
          <w:bCs/>
          <w:sz w:val="24"/>
          <w:szCs w:val="24"/>
        </w:rPr>
        <w:t xml:space="preserve"> of the female population potentially eligible for treatment was </w:t>
      </w:r>
      <w:r w:rsidR="001A3A04">
        <w:rPr>
          <w:rFonts w:ascii="Calibri" w:eastAsia="Calibri" w:hAnsi="Calibri" w:cs="Times New Roman"/>
          <w:bCs/>
          <w:sz w:val="24"/>
          <w:szCs w:val="24"/>
        </w:rPr>
        <w:t>1</w:t>
      </w:r>
      <w:r w:rsidR="00FA3DDA">
        <w:rPr>
          <w:rFonts w:ascii="Calibri" w:eastAsia="Calibri" w:hAnsi="Calibri" w:cs="Times New Roman"/>
          <w:bCs/>
          <w:sz w:val="24"/>
          <w:szCs w:val="24"/>
        </w:rPr>
        <w:t>4</w:t>
      </w:r>
      <w:r w:rsidR="001A3A04">
        <w:rPr>
          <w:rFonts w:ascii="Calibri" w:eastAsia="Calibri" w:hAnsi="Calibri" w:cs="Times New Roman"/>
          <w:bCs/>
          <w:sz w:val="24"/>
          <w:szCs w:val="24"/>
        </w:rPr>
        <w:t>.7</w:t>
      </w:r>
      <w:r w:rsidR="007268C6" w:rsidRPr="007268C6">
        <w:rPr>
          <w:rFonts w:ascii="Calibri" w:eastAsia="Calibri" w:hAnsi="Calibri" w:cs="Times New Roman"/>
          <w:bCs/>
          <w:sz w:val="24"/>
          <w:szCs w:val="24"/>
        </w:rPr>
        <w:t xml:space="preserve">% or </w:t>
      </w:r>
      <w:r w:rsidR="00FA3DDA">
        <w:rPr>
          <w:rFonts w:ascii="Calibri" w:eastAsia="Calibri" w:hAnsi="Calibri" w:cs="Times New Roman"/>
          <w:bCs/>
          <w:sz w:val="24"/>
          <w:szCs w:val="24"/>
        </w:rPr>
        <w:t>25.0</w:t>
      </w:r>
      <w:r w:rsidR="007268C6" w:rsidRPr="007268C6">
        <w:rPr>
          <w:rFonts w:ascii="Calibri" w:eastAsia="Calibri" w:hAnsi="Calibri" w:cs="Times New Roman"/>
          <w:bCs/>
          <w:sz w:val="24"/>
          <w:szCs w:val="24"/>
        </w:rPr>
        <w:t>%, depending on the intervention threshold applied (age-specific or hybrid)</w:t>
      </w:r>
      <w:proofErr w:type="gramStart"/>
      <w:r w:rsidR="007268C6" w:rsidRPr="007268C6">
        <w:rPr>
          <w:rFonts w:ascii="Calibri" w:eastAsia="Calibri" w:hAnsi="Calibri" w:cs="Times New Roman"/>
          <w:bCs/>
          <w:sz w:val="24"/>
          <w:szCs w:val="24"/>
        </w:rPr>
        <w:t xml:space="preserve">. </w:t>
      </w:r>
      <w:proofErr w:type="gramEnd"/>
      <w:r w:rsidR="007268C6" w:rsidRPr="007268C6">
        <w:rPr>
          <w:rFonts w:ascii="Calibri" w:eastAsia="Calibri" w:hAnsi="Calibri" w:cs="Times New Roman"/>
          <w:bCs/>
          <w:sz w:val="24"/>
          <w:szCs w:val="24"/>
        </w:rPr>
        <w:t xml:space="preserve">As expected, the proportion of women eligible </w:t>
      </w:r>
      <w:r w:rsidR="00BF486D" w:rsidRPr="007268C6">
        <w:rPr>
          <w:rFonts w:ascii="Calibri" w:eastAsia="Calibri" w:hAnsi="Calibri" w:cs="Times New Roman"/>
          <w:bCs/>
          <w:sz w:val="24"/>
          <w:szCs w:val="24"/>
        </w:rPr>
        <w:t>for treatment</w:t>
      </w:r>
      <w:r w:rsidR="007268C6" w:rsidRPr="007268C6">
        <w:rPr>
          <w:rFonts w:ascii="Calibri" w:eastAsia="Calibri" w:hAnsi="Calibri" w:cs="Times New Roman"/>
          <w:bCs/>
          <w:sz w:val="24"/>
          <w:szCs w:val="24"/>
        </w:rPr>
        <w:t xml:space="preserve"> was higher with the application of the hybrid thresholds.</w:t>
      </w:r>
      <w:r w:rsidR="007F7B1A">
        <w:rPr>
          <w:rFonts w:ascii="Calibri" w:eastAsia="Calibri" w:hAnsi="Calibri" w:cs="Times New Roman"/>
          <w:bCs/>
          <w:sz w:val="24"/>
          <w:szCs w:val="24"/>
        </w:rPr>
        <w:t xml:space="preserve">  </w:t>
      </w:r>
      <w:r w:rsidR="00BF51F8">
        <w:rPr>
          <w:rFonts w:ascii="Calibri" w:eastAsia="Calibri" w:hAnsi="Calibri" w:cs="Times New Roman"/>
          <w:bCs/>
          <w:sz w:val="24"/>
          <w:szCs w:val="24"/>
        </w:rPr>
        <w:t xml:space="preserve">Since both </w:t>
      </w:r>
      <w:r w:rsidR="004440D8">
        <w:rPr>
          <w:rFonts w:ascii="Calibri" w:eastAsia="Calibri" w:hAnsi="Calibri" w:cs="Times New Roman"/>
          <w:bCs/>
          <w:sz w:val="24"/>
          <w:szCs w:val="24"/>
        </w:rPr>
        <w:t xml:space="preserve">management pathways recommend treatment in women with a prior facture, the appropriate </w:t>
      </w:r>
      <w:r w:rsidR="00031F09">
        <w:rPr>
          <w:rFonts w:ascii="Calibri" w:eastAsia="Calibri" w:hAnsi="Calibri" w:cs="Times New Roman"/>
          <w:bCs/>
          <w:sz w:val="24"/>
          <w:szCs w:val="24"/>
        </w:rPr>
        <w:t xml:space="preserve">comparison is the number of women without prior </w:t>
      </w:r>
      <w:r w:rsidR="007C7049">
        <w:rPr>
          <w:rFonts w:ascii="Calibri" w:eastAsia="Calibri" w:hAnsi="Calibri" w:cs="Times New Roman"/>
          <w:bCs/>
          <w:sz w:val="24"/>
          <w:szCs w:val="24"/>
        </w:rPr>
        <w:t xml:space="preserve">fracture using the </w:t>
      </w:r>
      <w:r w:rsidR="008022A1">
        <w:rPr>
          <w:rFonts w:ascii="Calibri" w:eastAsia="Calibri" w:hAnsi="Calibri" w:cs="Times New Roman"/>
          <w:bCs/>
          <w:sz w:val="24"/>
          <w:szCs w:val="24"/>
        </w:rPr>
        <w:t>t</w:t>
      </w:r>
      <w:r w:rsidR="007C7049">
        <w:rPr>
          <w:rFonts w:ascii="Calibri" w:eastAsia="Calibri" w:hAnsi="Calibri" w:cs="Times New Roman"/>
          <w:bCs/>
          <w:sz w:val="24"/>
          <w:szCs w:val="24"/>
        </w:rPr>
        <w:t>wo threshold approaches.</w:t>
      </w:r>
      <w:r w:rsidR="00EA0004">
        <w:rPr>
          <w:rFonts w:ascii="Calibri" w:eastAsia="Calibri" w:hAnsi="Calibri" w:cs="Times New Roman"/>
          <w:bCs/>
          <w:sz w:val="24"/>
          <w:szCs w:val="24"/>
        </w:rPr>
        <w:t xml:space="preserve">  The proportion of women</w:t>
      </w:r>
      <w:r w:rsidR="00BF51F8">
        <w:rPr>
          <w:rFonts w:ascii="Calibri" w:eastAsia="Calibri" w:hAnsi="Calibri" w:cs="Times New Roman"/>
          <w:bCs/>
          <w:sz w:val="24"/>
          <w:szCs w:val="24"/>
        </w:rPr>
        <w:t xml:space="preserve"> </w:t>
      </w:r>
      <w:r w:rsidR="00EA0004" w:rsidRPr="00EA0004">
        <w:rPr>
          <w:rFonts w:ascii="Calibri" w:eastAsia="Calibri" w:hAnsi="Calibri" w:cs="Times New Roman"/>
          <w:bCs/>
          <w:sz w:val="24"/>
          <w:szCs w:val="24"/>
        </w:rPr>
        <w:t xml:space="preserve">potentially eligible for treatment was </w:t>
      </w:r>
      <w:r w:rsidR="00EA0004">
        <w:rPr>
          <w:rFonts w:ascii="Calibri" w:eastAsia="Calibri" w:hAnsi="Calibri" w:cs="Times New Roman"/>
          <w:bCs/>
          <w:sz w:val="24"/>
          <w:szCs w:val="24"/>
        </w:rPr>
        <w:t>2.</w:t>
      </w:r>
      <w:r w:rsidR="00F51B73">
        <w:rPr>
          <w:rFonts w:ascii="Calibri" w:eastAsia="Calibri" w:hAnsi="Calibri" w:cs="Times New Roman"/>
          <w:bCs/>
          <w:sz w:val="24"/>
          <w:szCs w:val="24"/>
        </w:rPr>
        <w:t xml:space="preserve">6% for </w:t>
      </w:r>
      <w:r w:rsidR="008022A1">
        <w:rPr>
          <w:rFonts w:ascii="Calibri" w:eastAsia="Calibri" w:hAnsi="Calibri" w:cs="Times New Roman"/>
          <w:bCs/>
          <w:sz w:val="24"/>
          <w:szCs w:val="24"/>
        </w:rPr>
        <w:t>the age</w:t>
      </w:r>
      <w:r w:rsidR="00F51B73" w:rsidRPr="00F51B73">
        <w:rPr>
          <w:rFonts w:ascii="Calibri" w:eastAsia="Calibri" w:hAnsi="Calibri" w:cs="Times New Roman"/>
          <w:bCs/>
          <w:sz w:val="24"/>
          <w:szCs w:val="24"/>
        </w:rPr>
        <w:t xml:space="preserve">-specific </w:t>
      </w:r>
      <w:r w:rsidR="00F51B73">
        <w:rPr>
          <w:rFonts w:ascii="Calibri" w:eastAsia="Calibri" w:hAnsi="Calibri" w:cs="Times New Roman"/>
          <w:bCs/>
          <w:sz w:val="24"/>
          <w:szCs w:val="24"/>
        </w:rPr>
        <w:t xml:space="preserve">threshold </w:t>
      </w:r>
      <w:r w:rsidR="00EA0004" w:rsidRPr="00EA0004">
        <w:rPr>
          <w:rFonts w:ascii="Calibri" w:eastAsia="Calibri" w:hAnsi="Calibri" w:cs="Times New Roman"/>
          <w:bCs/>
          <w:sz w:val="24"/>
          <w:szCs w:val="24"/>
        </w:rPr>
        <w:t xml:space="preserve">or </w:t>
      </w:r>
      <w:r w:rsidR="00F51B73">
        <w:rPr>
          <w:rFonts w:ascii="Calibri" w:eastAsia="Calibri" w:hAnsi="Calibri" w:cs="Times New Roman"/>
          <w:bCs/>
          <w:sz w:val="24"/>
          <w:szCs w:val="24"/>
        </w:rPr>
        <w:t>12.9</w:t>
      </w:r>
      <w:r w:rsidR="00EA0004" w:rsidRPr="00EA0004">
        <w:rPr>
          <w:rFonts w:ascii="Calibri" w:eastAsia="Calibri" w:hAnsi="Calibri" w:cs="Times New Roman"/>
          <w:bCs/>
          <w:sz w:val="24"/>
          <w:szCs w:val="24"/>
        </w:rPr>
        <w:t xml:space="preserve">%, </w:t>
      </w:r>
      <w:r w:rsidR="00950460">
        <w:rPr>
          <w:rFonts w:ascii="Calibri" w:eastAsia="Calibri" w:hAnsi="Calibri" w:cs="Times New Roman"/>
          <w:bCs/>
          <w:sz w:val="24"/>
          <w:szCs w:val="24"/>
        </w:rPr>
        <w:t>fo</w:t>
      </w:r>
      <w:r w:rsidR="00950460" w:rsidRPr="00EA0004">
        <w:rPr>
          <w:rFonts w:ascii="Calibri" w:eastAsia="Calibri" w:hAnsi="Calibri" w:cs="Times New Roman"/>
          <w:bCs/>
          <w:sz w:val="24"/>
          <w:szCs w:val="24"/>
        </w:rPr>
        <w:t xml:space="preserve">r </w:t>
      </w:r>
      <w:r w:rsidR="00950460">
        <w:rPr>
          <w:rFonts w:ascii="Calibri" w:eastAsia="Calibri" w:hAnsi="Calibri" w:cs="Times New Roman"/>
          <w:bCs/>
          <w:sz w:val="24"/>
          <w:szCs w:val="24"/>
        </w:rPr>
        <w:t>the</w:t>
      </w:r>
      <w:r w:rsidR="005B45C6">
        <w:rPr>
          <w:rFonts w:ascii="Calibri" w:eastAsia="Calibri" w:hAnsi="Calibri" w:cs="Times New Roman"/>
          <w:bCs/>
          <w:sz w:val="24"/>
          <w:szCs w:val="24"/>
        </w:rPr>
        <w:t xml:space="preserve"> </w:t>
      </w:r>
      <w:r w:rsidR="00EA0004" w:rsidRPr="00EA0004">
        <w:rPr>
          <w:rFonts w:ascii="Calibri" w:eastAsia="Calibri" w:hAnsi="Calibri" w:cs="Times New Roman"/>
          <w:bCs/>
          <w:sz w:val="24"/>
          <w:szCs w:val="24"/>
        </w:rPr>
        <w:t>hybrid</w:t>
      </w:r>
      <w:r w:rsidR="005B45C6">
        <w:rPr>
          <w:rFonts w:ascii="Calibri" w:eastAsia="Calibri" w:hAnsi="Calibri" w:cs="Times New Roman"/>
          <w:bCs/>
          <w:sz w:val="24"/>
          <w:szCs w:val="24"/>
        </w:rPr>
        <w:t xml:space="preserve"> threshold</w:t>
      </w:r>
      <w:r w:rsidR="00EA0004" w:rsidRPr="00EA0004">
        <w:rPr>
          <w:rFonts w:ascii="Calibri" w:eastAsia="Calibri" w:hAnsi="Calibri" w:cs="Times New Roman"/>
          <w:bCs/>
          <w:sz w:val="24"/>
          <w:szCs w:val="24"/>
        </w:rPr>
        <w:t>.</w:t>
      </w:r>
      <w:r w:rsidR="00F35404">
        <w:rPr>
          <w:rFonts w:ascii="Calibri" w:eastAsia="Calibri" w:hAnsi="Calibri" w:cs="Times New Roman"/>
          <w:bCs/>
          <w:sz w:val="24"/>
          <w:szCs w:val="24"/>
        </w:rPr>
        <w:t xml:space="preserve">  </w:t>
      </w:r>
      <w:r w:rsidR="00F657D0">
        <w:rPr>
          <w:rFonts w:ascii="Calibri" w:eastAsia="Calibri" w:hAnsi="Calibri" w:cs="Times New Roman"/>
          <w:bCs/>
          <w:sz w:val="24"/>
          <w:szCs w:val="24"/>
        </w:rPr>
        <w:t xml:space="preserve">Although the </w:t>
      </w:r>
      <w:r w:rsidR="003A3FA6">
        <w:rPr>
          <w:rFonts w:ascii="Calibri" w:eastAsia="Calibri" w:hAnsi="Calibri" w:cs="Times New Roman"/>
          <w:bCs/>
          <w:sz w:val="24"/>
          <w:szCs w:val="24"/>
        </w:rPr>
        <w:t>f</w:t>
      </w:r>
      <w:r w:rsidR="00F657D0">
        <w:rPr>
          <w:rFonts w:ascii="Calibri" w:eastAsia="Calibri" w:hAnsi="Calibri" w:cs="Times New Roman"/>
          <w:bCs/>
          <w:sz w:val="24"/>
          <w:szCs w:val="24"/>
        </w:rPr>
        <w:t xml:space="preserve">racture probability was marginally </w:t>
      </w:r>
      <w:r w:rsidR="00366635">
        <w:rPr>
          <w:rFonts w:ascii="Calibri" w:eastAsia="Calibri" w:hAnsi="Calibri" w:cs="Times New Roman"/>
          <w:bCs/>
          <w:sz w:val="24"/>
          <w:szCs w:val="24"/>
        </w:rPr>
        <w:t>lower with</w:t>
      </w:r>
      <w:r w:rsidR="003A3FA6">
        <w:rPr>
          <w:rFonts w:ascii="Calibri" w:eastAsia="Calibri" w:hAnsi="Calibri" w:cs="Times New Roman"/>
          <w:bCs/>
          <w:sz w:val="24"/>
          <w:szCs w:val="24"/>
        </w:rPr>
        <w:t xml:space="preserve"> the hybrid thresholds</w:t>
      </w:r>
      <w:r w:rsidR="00DE0DB4">
        <w:rPr>
          <w:rFonts w:ascii="Calibri" w:eastAsia="Calibri" w:hAnsi="Calibri" w:cs="Times New Roman"/>
          <w:bCs/>
          <w:sz w:val="24"/>
          <w:szCs w:val="24"/>
        </w:rPr>
        <w:t xml:space="preserve">, </w:t>
      </w:r>
      <w:r w:rsidR="007708E7">
        <w:rPr>
          <w:rFonts w:ascii="Calibri" w:eastAsia="Calibri" w:hAnsi="Calibri" w:cs="Times New Roman"/>
          <w:bCs/>
          <w:sz w:val="24"/>
          <w:szCs w:val="24"/>
        </w:rPr>
        <w:t xml:space="preserve">the number of </w:t>
      </w:r>
      <w:r w:rsidR="008358DE">
        <w:rPr>
          <w:rFonts w:ascii="Calibri" w:eastAsia="Calibri" w:hAnsi="Calibri" w:cs="Times New Roman"/>
          <w:bCs/>
          <w:sz w:val="24"/>
          <w:szCs w:val="24"/>
        </w:rPr>
        <w:t>MOF</w:t>
      </w:r>
      <w:r w:rsidR="007708E7">
        <w:rPr>
          <w:rFonts w:ascii="Calibri" w:eastAsia="Calibri" w:hAnsi="Calibri" w:cs="Times New Roman"/>
          <w:bCs/>
          <w:sz w:val="24"/>
          <w:szCs w:val="24"/>
        </w:rPr>
        <w:t>s e</w:t>
      </w:r>
      <w:r w:rsidR="008358DE">
        <w:rPr>
          <w:rFonts w:ascii="Calibri" w:eastAsia="Calibri" w:hAnsi="Calibri" w:cs="Times New Roman"/>
          <w:bCs/>
          <w:sz w:val="24"/>
          <w:szCs w:val="24"/>
        </w:rPr>
        <w:t>x</w:t>
      </w:r>
      <w:r w:rsidR="007708E7">
        <w:rPr>
          <w:rFonts w:ascii="Calibri" w:eastAsia="Calibri" w:hAnsi="Calibri" w:cs="Times New Roman"/>
          <w:bCs/>
          <w:sz w:val="24"/>
          <w:szCs w:val="24"/>
        </w:rPr>
        <w:t xml:space="preserve">pected over 10 years was more than </w:t>
      </w:r>
      <w:r w:rsidR="002022FC">
        <w:rPr>
          <w:rFonts w:ascii="Calibri" w:eastAsia="Calibri" w:hAnsi="Calibri" w:cs="Times New Roman"/>
          <w:bCs/>
          <w:sz w:val="24"/>
          <w:szCs w:val="24"/>
        </w:rPr>
        <w:t>4-fold hi</w:t>
      </w:r>
      <w:r w:rsidR="008358DE">
        <w:rPr>
          <w:rFonts w:ascii="Calibri" w:eastAsia="Calibri" w:hAnsi="Calibri" w:cs="Times New Roman"/>
          <w:bCs/>
          <w:sz w:val="24"/>
          <w:szCs w:val="24"/>
        </w:rPr>
        <w:t>g</w:t>
      </w:r>
      <w:r w:rsidR="002022FC">
        <w:rPr>
          <w:rFonts w:ascii="Calibri" w:eastAsia="Calibri" w:hAnsi="Calibri" w:cs="Times New Roman"/>
          <w:bCs/>
          <w:sz w:val="24"/>
          <w:szCs w:val="24"/>
        </w:rPr>
        <w:t>her than with the age-dependent thresholds (</w:t>
      </w:r>
      <w:r w:rsidR="006562D4">
        <w:rPr>
          <w:rFonts w:ascii="Calibri" w:eastAsia="Calibri" w:hAnsi="Calibri" w:cs="Times New Roman"/>
          <w:bCs/>
          <w:sz w:val="24"/>
          <w:szCs w:val="24"/>
        </w:rPr>
        <w:t>see Table 3).</w:t>
      </w:r>
      <w:r w:rsidR="00366635">
        <w:rPr>
          <w:rFonts w:ascii="Calibri" w:eastAsia="Calibri" w:hAnsi="Calibri" w:cs="Times New Roman"/>
          <w:bCs/>
          <w:sz w:val="24"/>
          <w:szCs w:val="24"/>
        </w:rPr>
        <w:t xml:space="preserve">  </w:t>
      </w:r>
      <w:r w:rsidR="0023467C">
        <w:rPr>
          <w:rFonts w:ascii="Calibri" w:eastAsia="Calibri" w:hAnsi="Calibri" w:cs="Times New Roman"/>
          <w:bCs/>
          <w:sz w:val="24"/>
          <w:szCs w:val="24"/>
        </w:rPr>
        <w:t>Thus</w:t>
      </w:r>
      <w:r w:rsidR="006F7022">
        <w:rPr>
          <w:rFonts w:ascii="Calibri" w:eastAsia="Calibri" w:hAnsi="Calibri" w:cs="Times New Roman"/>
          <w:bCs/>
          <w:sz w:val="24"/>
          <w:szCs w:val="24"/>
        </w:rPr>
        <w:t>,</w:t>
      </w:r>
      <w:r w:rsidR="0023467C">
        <w:rPr>
          <w:rFonts w:ascii="Calibri" w:eastAsia="Calibri" w:hAnsi="Calibri" w:cs="Times New Roman"/>
          <w:bCs/>
          <w:sz w:val="24"/>
          <w:szCs w:val="24"/>
        </w:rPr>
        <w:t xml:space="preserve"> a treatment strategy would save many more fract</w:t>
      </w:r>
      <w:r w:rsidR="006F7022">
        <w:rPr>
          <w:rFonts w:ascii="Calibri" w:eastAsia="Calibri" w:hAnsi="Calibri" w:cs="Times New Roman"/>
          <w:bCs/>
          <w:sz w:val="24"/>
          <w:szCs w:val="24"/>
        </w:rPr>
        <w:t>ures using the hybrid</w:t>
      </w:r>
      <w:r w:rsidR="00E526F4">
        <w:rPr>
          <w:rFonts w:ascii="Calibri" w:eastAsia="Calibri" w:hAnsi="Calibri" w:cs="Times New Roman"/>
          <w:bCs/>
          <w:sz w:val="24"/>
          <w:szCs w:val="24"/>
        </w:rPr>
        <w:t xml:space="preserve"> approach.  </w:t>
      </w:r>
      <w:r w:rsidR="00366635">
        <w:rPr>
          <w:rFonts w:ascii="Calibri" w:eastAsia="Calibri" w:hAnsi="Calibri" w:cs="Times New Roman"/>
          <w:bCs/>
          <w:sz w:val="24"/>
          <w:szCs w:val="24"/>
        </w:rPr>
        <w:t>Moreover</w:t>
      </w:r>
      <w:r w:rsidR="00E526F4">
        <w:rPr>
          <w:rFonts w:ascii="Calibri" w:eastAsia="Calibri" w:hAnsi="Calibri" w:cs="Times New Roman"/>
          <w:bCs/>
          <w:sz w:val="24"/>
          <w:szCs w:val="24"/>
        </w:rPr>
        <w:t xml:space="preserve">, as </w:t>
      </w:r>
      <w:r w:rsidR="00FA5524">
        <w:rPr>
          <w:rFonts w:ascii="Calibri" w:eastAsia="Calibri" w:hAnsi="Calibri" w:cs="Times New Roman"/>
          <w:bCs/>
          <w:sz w:val="24"/>
          <w:szCs w:val="24"/>
        </w:rPr>
        <w:t>noted for the UK [</w:t>
      </w:r>
      <w:r w:rsidR="001D6E54">
        <w:rPr>
          <w:rFonts w:ascii="Calibri" w:eastAsia="Calibri" w:hAnsi="Calibri" w:cs="Times New Roman"/>
          <w:bCs/>
          <w:sz w:val="24"/>
          <w:szCs w:val="24"/>
        </w:rPr>
        <w:t>27</w:t>
      </w:r>
      <w:r w:rsidR="00AA7EF5">
        <w:rPr>
          <w:rFonts w:ascii="Calibri" w:eastAsia="Calibri" w:hAnsi="Calibri" w:cs="Times New Roman"/>
          <w:bCs/>
          <w:sz w:val="24"/>
          <w:szCs w:val="24"/>
        </w:rPr>
        <w:t>], the</w:t>
      </w:r>
      <w:r w:rsidR="00A13261">
        <w:rPr>
          <w:rFonts w:ascii="Calibri" w:eastAsia="Calibri" w:hAnsi="Calibri" w:cs="Times New Roman"/>
          <w:bCs/>
          <w:sz w:val="24"/>
          <w:szCs w:val="24"/>
        </w:rPr>
        <w:t xml:space="preserve"> fracture probability</w:t>
      </w:r>
      <w:r w:rsidR="00CA3B7C">
        <w:rPr>
          <w:rFonts w:ascii="Calibri" w:eastAsia="Calibri" w:hAnsi="Calibri" w:cs="Times New Roman"/>
          <w:bCs/>
          <w:sz w:val="24"/>
          <w:szCs w:val="24"/>
        </w:rPr>
        <w:t xml:space="preserve"> of </w:t>
      </w:r>
      <w:bookmarkStart w:id="10" w:name="_Hlk112837717"/>
      <w:r w:rsidR="00CA3B7C">
        <w:rPr>
          <w:rFonts w:ascii="Calibri" w:eastAsia="Calibri" w:hAnsi="Calibri" w:cs="Times New Roman"/>
          <w:bCs/>
          <w:sz w:val="24"/>
          <w:szCs w:val="24"/>
        </w:rPr>
        <w:t>those identified</w:t>
      </w:r>
      <w:bookmarkEnd w:id="10"/>
      <w:r w:rsidR="00CA3B7C">
        <w:rPr>
          <w:rFonts w:ascii="Calibri" w:eastAsia="Calibri" w:hAnsi="Calibri" w:cs="Times New Roman"/>
          <w:bCs/>
          <w:sz w:val="24"/>
          <w:szCs w:val="24"/>
        </w:rPr>
        <w:t xml:space="preserve"> for treatment</w:t>
      </w:r>
      <w:r w:rsidR="00B86C72">
        <w:rPr>
          <w:rFonts w:ascii="Calibri" w:eastAsia="Calibri" w:hAnsi="Calibri" w:cs="Times New Roman"/>
          <w:bCs/>
          <w:sz w:val="24"/>
          <w:szCs w:val="24"/>
        </w:rPr>
        <w:t xml:space="preserve"> (12.8%) more closely matched those women with a prior fracture (</w:t>
      </w:r>
      <w:r w:rsidR="009F4A45">
        <w:rPr>
          <w:rFonts w:ascii="Calibri" w:eastAsia="Calibri" w:hAnsi="Calibri" w:cs="Times New Roman"/>
          <w:bCs/>
          <w:sz w:val="24"/>
          <w:szCs w:val="24"/>
        </w:rPr>
        <w:t>11.5%) than</w:t>
      </w:r>
      <w:r w:rsidR="009F4A45" w:rsidRPr="009F4A45">
        <w:t xml:space="preserve"> </w:t>
      </w:r>
      <w:r w:rsidR="009F4A45" w:rsidRPr="009F4A45">
        <w:rPr>
          <w:rFonts w:ascii="Calibri" w:eastAsia="Calibri" w:hAnsi="Calibri" w:cs="Times New Roman"/>
          <w:bCs/>
          <w:sz w:val="24"/>
          <w:szCs w:val="24"/>
        </w:rPr>
        <w:t>those identified</w:t>
      </w:r>
      <w:r w:rsidR="0043541D">
        <w:rPr>
          <w:rFonts w:ascii="Calibri" w:eastAsia="Calibri" w:hAnsi="Calibri" w:cs="Times New Roman"/>
          <w:bCs/>
          <w:sz w:val="24"/>
          <w:szCs w:val="24"/>
        </w:rPr>
        <w:t xml:space="preserve"> using the age-</w:t>
      </w:r>
      <w:r w:rsidR="004315CA">
        <w:rPr>
          <w:rFonts w:ascii="Calibri" w:eastAsia="Calibri" w:hAnsi="Calibri" w:cs="Times New Roman"/>
          <w:bCs/>
          <w:sz w:val="24"/>
          <w:szCs w:val="24"/>
        </w:rPr>
        <w:t>dependent</w:t>
      </w:r>
      <w:r w:rsidR="0043541D">
        <w:rPr>
          <w:rFonts w:ascii="Calibri" w:eastAsia="Calibri" w:hAnsi="Calibri" w:cs="Times New Roman"/>
          <w:bCs/>
          <w:sz w:val="24"/>
          <w:szCs w:val="24"/>
        </w:rPr>
        <w:t xml:space="preserve"> </w:t>
      </w:r>
      <w:r w:rsidR="0043541D" w:rsidRPr="00397545">
        <w:rPr>
          <w:rFonts w:ascii="Calibri" w:eastAsia="Calibri" w:hAnsi="Calibri" w:cs="Times New Roman"/>
          <w:bCs/>
          <w:sz w:val="24"/>
          <w:szCs w:val="24"/>
        </w:rPr>
        <w:t>thresholds (14.4</w:t>
      </w:r>
      <w:r w:rsidR="00927CF0" w:rsidRPr="00397545">
        <w:rPr>
          <w:rFonts w:ascii="Calibri" w:eastAsia="Calibri" w:hAnsi="Calibri" w:cs="Times New Roman"/>
          <w:bCs/>
          <w:sz w:val="24"/>
          <w:szCs w:val="24"/>
        </w:rPr>
        <w:t>%)</w:t>
      </w:r>
      <w:proofErr w:type="gramStart"/>
      <w:r w:rsidR="00927CF0" w:rsidRPr="00397545">
        <w:rPr>
          <w:rFonts w:ascii="Calibri" w:eastAsia="Calibri" w:hAnsi="Calibri" w:cs="Times New Roman"/>
          <w:bCs/>
          <w:sz w:val="24"/>
          <w:szCs w:val="24"/>
        </w:rPr>
        <w:t xml:space="preserve">. </w:t>
      </w:r>
      <w:proofErr w:type="gramEnd"/>
      <w:r w:rsidR="00C94ADA" w:rsidRPr="00397545">
        <w:rPr>
          <w:rFonts w:ascii="Calibri" w:eastAsia="Calibri" w:hAnsi="Calibri" w:cs="Times New Roman"/>
          <w:bCs/>
          <w:sz w:val="24"/>
          <w:szCs w:val="24"/>
        </w:rPr>
        <w:t xml:space="preserve">Also, the </w:t>
      </w:r>
      <w:r w:rsidR="00C94ADA" w:rsidRPr="00397545">
        <w:rPr>
          <w:rFonts w:ascii="Calibri" w:eastAsia="Calibri" w:hAnsi="Calibri" w:cs="Times New Roman"/>
          <w:bCs/>
          <w:sz w:val="24"/>
          <w:szCs w:val="24"/>
        </w:rPr>
        <w:lastRenderedPageBreak/>
        <w:t xml:space="preserve">requirement for BMD tests was only marginally higher with the </w:t>
      </w:r>
      <w:r w:rsidR="004315CA" w:rsidRPr="00397545">
        <w:rPr>
          <w:rFonts w:ascii="Calibri" w:eastAsia="Calibri" w:hAnsi="Calibri" w:cs="Times New Roman"/>
          <w:bCs/>
          <w:sz w:val="24"/>
          <w:szCs w:val="24"/>
        </w:rPr>
        <w:t>hybrid</w:t>
      </w:r>
      <w:r w:rsidR="00C94ADA" w:rsidRPr="00397545">
        <w:rPr>
          <w:rFonts w:ascii="Calibri" w:eastAsia="Calibri" w:hAnsi="Calibri" w:cs="Times New Roman"/>
          <w:bCs/>
          <w:sz w:val="24"/>
          <w:szCs w:val="24"/>
        </w:rPr>
        <w:t xml:space="preserve"> threshold</w:t>
      </w:r>
      <w:proofErr w:type="gramStart"/>
      <w:r w:rsidR="00C94ADA" w:rsidRPr="00397545">
        <w:rPr>
          <w:rFonts w:ascii="Calibri" w:eastAsia="Calibri" w:hAnsi="Calibri" w:cs="Times New Roman"/>
          <w:bCs/>
          <w:sz w:val="24"/>
          <w:szCs w:val="24"/>
        </w:rPr>
        <w:t>.</w:t>
      </w:r>
      <w:r w:rsidR="00EC5B52" w:rsidRPr="00397545">
        <w:rPr>
          <w:sz w:val="24"/>
          <w:szCs w:val="24"/>
        </w:rPr>
        <w:t xml:space="preserve"> </w:t>
      </w:r>
      <w:proofErr w:type="gramEnd"/>
      <w:r w:rsidR="00316327" w:rsidRPr="00397545">
        <w:rPr>
          <w:sz w:val="24"/>
          <w:szCs w:val="24"/>
        </w:rPr>
        <w:t xml:space="preserve">In the case of men, individuals with no prior fracture had fracture probabilities that were </w:t>
      </w:r>
      <w:proofErr w:type="gramStart"/>
      <w:r w:rsidR="00316327" w:rsidRPr="00397545">
        <w:rPr>
          <w:sz w:val="24"/>
          <w:szCs w:val="24"/>
        </w:rPr>
        <w:t>similar to</w:t>
      </w:r>
      <w:proofErr w:type="gramEnd"/>
      <w:r w:rsidR="00316327" w:rsidRPr="00397545">
        <w:rPr>
          <w:sz w:val="24"/>
          <w:szCs w:val="24"/>
        </w:rPr>
        <w:t xml:space="preserve"> those in women.  The major difference between men and women lay in the relatively low fracture probability in those with a prior fracture compared with women</w:t>
      </w:r>
      <w:r w:rsidR="00397545">
        <w:rPr>
          <w:sz w:val="24"/>
          <w:szCs w:val="24"/>
        </w:rPr>
        <w:t>.</w:t>
      </w:r>
    </w:p>
    <w:p w14:paraId="260D57DE" w14:textId="76D6318E" w:rsidR="004C32FD" w:rsidRDefault="00EC5B52" w:rsidP="00906B2F">
      <w:pPr>
        <w:spacing w:after="240" w:line="276" w:lineRule="auto"/>
        <w:ind w:left="567"/>
        <w:rPr>
          <w:rFonts w:ascii="Calibri" w:eastAsia="Calibri" w:hAnsi="Calibri" w:cs="Times New Roman"/>
          <w:bCs/>
          <w:sz w:val="24"/>
          <w:szCs w:val="24"/>
        </w:rPr>
      </w:pPr>
      <w:r w:rsidRPr="00EC5B52">
        <w:rPr>
          <w:rFonts w:ascii="Calibri" w:eastAsia="Calibri" w:hAnsi="Calibri" w:cs="Times New Roman"/>
          <w:bCs/>
          <w:sz w:val="24"/>
          <w:szCs w:val="24"/>
        </w:rPr>
        <w:t>The goal of setting intervention thresholds is to maximise the benefit on outcomes while limiting</w:t>
      </w:r>
      <w:r w:rsidR="006C45C1">
        <w:rPr>
          <w:rFonts w:ascii="Calibri" w:eastAsia="Calibri" w:hAnsi="Calibri" w:cs="Times New Roman"/>
          <w:bCs/>
          <w:sz w:val="24"/>
          <w:szCs w:val="24"/>
        </w:rPr>
        <w:t xml:space="preserve"> </w:t>
      </w:r>
      <w:r w:rsidRPr="00EC5B52">
        <w:rPr>
          <w:rFonts w:ascii="Calibri" w:eastAsia="Calibri" w:hAnsi="Calibri" w:cs="Times New Roman"/>
          <w:bCs/>
          <w:sz w:val="24"/>
          <w:szCs w:val="24"/>
        </w:rPr>
        <w:t xml:space="preserve">the risks and costs that accompany the intervention. </w:t>
      </w:r>
      <w:r w:rsidR="006C45C1">
        <w:rPr>
          <w:rFonts w:ascii="Calibri" w:eastAsia="Calibri" w:hAnsi="Calibri" w:cs="Times New Roman"/>
          <w:bCs/>
          <w:sz w:val="24"/>
          <w:szCs w:val="24"/>
        </w:rPr>
        <w:t xml:space="preserve"> </w:t>
      </w:r>
      <w:r w:rsidR="004571C5">
        <w:rPr>
          <w:rFonts w:ascii="Calibri" w:eastAsia="Calibri" w:hAnsi="Calibri" w:cs="Times New Roman"/>
          <w:bCs/>
          <w:sz w:val="24"/>
          <w:szCs w:val="24"/>
        </w:rPr>
        <w:t xml:space="preserve">This is a </w:t>
      </w:r>
      <w:r w:rsidRPr="00EC5B52">
        <w:rPr>
          <w:rFonts w:ascii="Calibri" w:eastAsia="Calibri" w:hAnsi="Calibri" w:cs="Times New Roman"/>
          <w:bCs/>
          <w:sz w:val="24"/>
          <w:szCs w:val="24"/>
        </w:rPr>
        <w:t>complex process that includes consideration of country</w:t>
      </w:r>
      <w:r w:rsidR="004571C5">
        <w:rPr>
          <w:rFonts w:ascii="Calibri" w:eastAsia="Calibri" w:hAnsi="Calibri" w:cs="Times New Roman"/>
          <w:bCs/>
          <w:sz w:val="24"/>
          <w:szCs w:val="24"/>
        </w:rPr>
        <w:t>-</w:t>
      </w:r>
      <w:r w:rsidRPr="00EC5B52">
        <w:rPr>
          <w:rFonts w:ascii="Calibri" w:eastAsia="Calibri" w:hAnsi="Calibri" w:cs="Times New Roman"/>
          <w:bCs/>
          <w:sz w:val="24"/>
          <w:szCs w:val="24"/>
        </w:rPr>
        <w:t>specific</w:t>
      </w:r>
      <w:r w:rsidR="004571C5">
        <w:rPr>
          <w:rFonts w:ascii="Calibri" w:eastAsia="Calibri" w:hAnsi="Calibri" w:cs="Times New Roman"/>
          <w:bCs/>
          <w:sz w:val="24"/>
          <w:szCs w:val="24"/>
        </w:rPr>
        <w:t xml:space="preserve"> </w:t>
      </w:r>
      <w:r w:rsidRPr="00EC5B52">
        <w:rPr>
          <w:rFonts w:ascii="Calibri" w:eastAsia="Calibri" w:hAnsi="Calibri" w:cs="Times New Roman"/>
          <w:bCs/>
          <w:sz w:val="24"/>
          <w:szCs w:val="24"/>
        </w:rPr>
        <w:t xml:space="preserve">factors such as reimbursement, </w:t>
      </w:r>
      <w:proofErr w:type="gramStart"/>
      <w:r w:rsidRPr="00EC5B52">
        <w:rPr>
          <w:rFonts w:ascii="Calibri" w:eastAsia="Calibri" w:hAnsi="Calibri" w:cs="Times New Roman"/>
          <w:bCs/>
          <w:sz w:val="24"/>
          <w:szCs w:val="24"/>
        </w:rPr>
        <w:t>cost-effectiveness</w:t>
      </w:r>
      <w:proofErr w:type="gramEnd"/>
      <w:r w:rsidR="004571C5">
        <w:rPr>
          <w:rFonts w:ascii="Calibri" w:eastAsia="Calibri" w:hAnsi="Calibri" w:cs="Times New Roman"/>
          <w:bCs/>
          <w:sz w:val="24"/>
          <w:szCs w:val="24"/>
        </w:rPr>
        <w:t xml:space="preserve"> </w:t>
      </w:r>
      <w:r w:rsidRPr="00EC5B52">
        <w:rPr>
          <w:rFonts w:ascii="Calibri" w:eastAsia="Calibri" w:hAnsi="Calibri" w:cs="Times New Roman"/>
          <w:bCs/>
          <w:sz w:val="24"/>
          <w:szCs w:val="24"/>
        </w:rPr>
        <w:t>and society’s willingness to pay [</w:t>
      </w:r>
      <w:r w:rsidR="007D2A23">
        <w:rPr>
          <w:rFonts w:ascii="Calibri" w:eastAsia="Calibri" w:hAnsi="Calibri" w:cs="Times New Roman"/>
          <w:bCs/>
          <w:sz w:val="24"/>
          <w:szCs w:val="24"/>
        </w:rPr>
        <w:t>28]</w:t>
      </w:r>
      <w:r w:rsidRPr="00EC5B52">
        <w:rPr>
          <w:rFonts w:ascii="Calibri" w:eastAsia="Calibri" w:hAnsi="Calibri" w:cs="Times New Roman"/>
          <w:bCs/>
          <w:sz w:val="24"/>
          <w:szCs w:val="24"/>
        </w:rPr>
        <w:t>.</w:t>
      </w:r>
      <w:r w:rsidR="00965BAD">
        <w:rPr>
          <w:rFonts w:ascii="Calibri" w:eastAsia="Calibri" w:hAnsi="Calibri" w:cs="Times New Roman"/>
          <w:bCs/>
          <w:sz w:val="24"/>
          <w:szCs w:val="24"/>
        </w:rPr>
        <w:t xml:space="preserve">  </w:t>
      </w:r>
      <w:r w:rsidRPr="00EC5B52">
        <w:rPr>
          <w:rFonts w:ascii="Calibri" w:eastAsia="Calibri" w:hAnsi="Calibri" w:cs="Times New Roman"/>
          <w:bCs/>
          <w:sz w:val="24"/>
          <w:szCs w:val="24"/>
        </w:rPr>
        <w:t>Within a country, it would</w:t>
      </w:r>
      <w:r w:rsidR="00965BAD">
        <w:rPr>
          <w:rFonts w:ascii="Calibri" w:eastAsia="Calibri" w:hAnsi="Calibri" w:cs="Times New Roman"/>
          <w:bCs/>
          <w:sz w:val="24"/>
          <w:szCs w:val="24"/>
        </w:rPr>
        <w:t xml:space="preserve"> </w:t>
      </w:r>
      <w:r w:rsidRPr="00EC5B52">
        <w:rPr>
          <w:rFonts w:ascii="Calibri" w:eastAsia="Calibri" w:hAnsi="Calibri" w:cs="Times New Roman"/>
          <w:bCs/>
          <w:sz w:val="24"/>
          <w:szCs w:val="24"/>
        </w:rPr>
        <w:t>seem desirable that at any given age, the selection criteria for</w:t>
      </w:r>
      <w:r w:rsidR="00965BAD">
        <w:rPr>
          <w:rFonts w:ascii="Calibri" w:eastAsia="Calibri" w:hAnsi="Calibri" w:cs="Times New Roman"/>
          <w:bCs/>
          <w:sz w:val="24"/>
          <w:szCs w:val="24"/>
        </w:rPr>
        <w:t xml:space="preserve"> </w:t>
      </w:r>
      <w:r w:rsidRPr="00EC5B52">
        <w:rPr>
          <w:rFonts w:ascii="Calibri" w:eastAsia="Calibri" w:hAnsi="Calibri" w:cs="Times New Roman"/>
          <w:bCs/>
          <w:sz w:val="24"/>
          <w:szCs w:val="24"/>
        </w:rPr>
        <w:t>intervention results in equitable access to therapy for patients</w:t>
      </w:r>
      <w:r w:rsidR="00965BAD">
        <w:rPr>
          <w:rFonts w:ascii="Calibri" w:eastAsia="Calibri" w:hAnsi="Calibri" w:cs="Times New Roman"/>
          <w:bCs/>
          <w:sz w:val="24"/>
          <w:szCs w:val="24"/>
        </w:rPr>
        <w:t xml:space="preserve"> </w:t>
      </w:r>
      <w:r w:rsidRPr="00EC5B52">
        <w:rPr>
          <w:rFonts w:ascii="Calibri" w:eastAsia="Calibri" w:hAnsi="Calibri" w:cs="Times New Roman"/>
          <w:bCs/>
          <w:sz w:val="24"/>
          <w:szCs w:val="24"/>
        </w:rPr>
        <w:t>with the same age-specific absolute probability of fracture.</w:t>
      </w:r>
      <w:r w:rsidR="00965BAD">
        <w:rPr>
          <w:rFonts w:ascii="Calibri" w:eastAsia="Calibri" w:hAnsi="Calibri" w:cs="Times New Roman"/>
          <w:bCs/>
          <w:sz w:val="24"/>
          <w:szCs w:val="24"/>
        </w:rPr>
        <w:t xml:space="preserve"> </w:t>
      </w:r>
      <w:r w:rsidR="00434B0F">
        <w:rPr>
          <w:rFonts w:ascii="Calibri" w:eastAsia="Calibri" w:hAnsi="Calibri" w:cs="Times New Roman"/>
          <w:bCs/>
          <w:sz w:val="24"/>
          <w:szCs w:val="24"/>
        </w:rPr>
        <w:t xml:space="preserve"> </w:t>
      </w:r>
      <w:r w:rsidRPr="00EC5B52">
        <w:rPr>
          <w:rFonts w:ascii="Calibri" w:eastAsia="Calibri" w:hAnsi="Calibri" w:cs="Times New Roman"/>
          <w:bCs/>
          <w:sz w:val="24"/>
          <w:szCs w:val="24"/>
        </w:rPr>
        <w:t>We</w:t>
      </w:r>
      <w:r w:rsidR="004C32FD">
        <w:rPr>
          <w:rFonts w:ascii="Calibri" w:eastAsia="Calibri" w:hAnsi="Calibri" w:cs="Times New Roman"/>
          <w:bCs/>
          <w:sz w:val="24"/>
          <w:szCs w:val="24"/>
        </w:rPr>
        <w:t xml:space="preserve"> </w:t>
      </w:r>
      <w:r w:rsidRPr="00EC5B52">
        <w:rPr>
          <w:rFonts w:ascii="Calibri" w:eastAsia="Calibri" w:hAnsi="Calibri" w:cs="Times New Roman"/>
          <w:bCs/>
          <w:sz w:val="24"/>
          <w:szCs w:val="24"/>
        </w:rPr>
        <w:t xml:space="preserve">conclude that the </w:t>
      </w:r>
      <w:r w:rsidR="004C32FD">
        <w:rPr>
          <w:rFonts w:ascii="Calibri" w:eastAsia="Calibri" w:hAnsi="Calibri" w:cs="Times New Roman"/>
          <w:bCs/>
          <w:sz w:val="24"/>
          <w:szCs w:val="24"/>
        </w:rPr>
        <w:t>hybrid</w:t>
      </w:r>
      <w:r w:rsidRPr="00EC5B52">
        <w:rPr>
          <w:rFonts w:ascii="Calibri" w:eastAsia="Calibri" w:hAnsi="Calibri" w:cs="Times New Roman"/>
          <w:bCs/>
          <w:sz w:val="24"/>
          <w:szCs w:val="24"/>
        </w:rPr>
        <w:t xml:space="preserve"> thresholds examined here achieve</w:t>
      </w:r>
      <w:r w:rsidR="004C32FD">
        <w:rPr>
          <w:rFonts w:ascii="Calibri" w:eastAsia="Calibri" w:hAnsi="Calibri" w:cs="Times New Roman"/>
          <w:bCs/>
          <w:sz w:val="24"/>
          <w:szCs w:val="24"/>
        </w:rPr>
        <w:t xml:space="preserve"> </w:t>
      </w:r>
      <w:r w:rsidRPr="00EC5B52">
        <w:rPr>
          <w:rFonts w:ascii="Calibri" w:eastAsia="Calibri" w:hAnsi="Calibri" w:cs="Times New Roman"/>
          <w:bCs/>
          <w:sz w:val="24"/>
          <w:szCs w:val="24"/>
        </w:rPr>
        <w:t>this objective</w:t>
      </w:r>
      <w:r w:rsidR="000A72D9">
        <w:rPr>
          <w:rFonts w:ascii="Calibri" w:eastAsia="Calibri" w:hAnsi="Calibri" w:cs="Times New Roman"/>
          <w:bCs/>
          <w:sz w:val="24"/>
          <w:szCs w:val="24"/>
        </w:rPr>
        <w:t>, at least for women</w:t>
      </w:r>
      <w:r w:rsidR="004C32FD">
        <w:rPr>
          <w:rFonts w:ascii="Calibri" w:eastAsia="Calibri" w:hAnsi="Calibri" w:cs="Times New Roman"/>
          <w:bCs/>
          <w:sz w:val="24"/>
          <w:szCs w:val="24"/>
        </w:rPr>
        <w:t>.</w:t>
      </w:r>
      <w:r w:rsidRPr="00EC5B52">
        <w:rPr>
          <w:rFonts w:ascii="Calibri" w:eastAsia="Calibri" w:hAnsi="Calibri" w:cs="Times New Roman"/>
          <w:bCs/>
          <w:sz w:val="24"/>
          <w:szCs w:val="24"/>
        </w:rPr>
        <w:t xml:space="preserve"> </w:t>
      </w:r>
    </w:p>
    <w:p w14:paraId="1627B456" w14:textId="7571E652" w:rsidR="007268C6" w:rsidRDefault="00FF652E" w:rsidP="00906B2F">
      <w:pPr>
        <w:spacing w:after="240" w:line="276" w:lineRule="auto"/>
        <w:ind w:left="567"/>
        <w:rPr>
          <w:rFonts w:ascii="Calibri" w:eastAsia="Calibri" w:hAnsi="Calibri" w:cs="Times New Roman"/>
          <w:bCs/>
          <w:sz w:val="24"/>
          <w:szCs w:val="24"/>
        </w:rPr>
      </w:pPr>
      <w:r>
        <w:rPr>
          <w:rFonts w:ascii="Calibri" w:eastAsia="Calibri" w:hAnsi="Calibri" w:cs="Times New Roman"/>
          <w:bCs/>
          <w:sz w:val="24"/>
          <w:szCs w:val="24"/>
        </w:rPr>
        <w:t xml:space="preserve">There are </w:t>
      </w:r>
      <w:proofErr w:type="gramStart"/>
      <w:r>
        <w:rPr>
          <w:rFonts w:ascii="Calibri" w:eastAsia="Calibri" w:hAnsi="Calibri" w:cs="Times New Roman"/>
          <w:bCs/>
          <w:sz w:val="24"/>
          <w:szCs w:val="24"/>
        </w:rPr>
        <w:t>a number of</w:t>
      </w:r>
      <w:proofErr w:type="gramEnd"/>
      <w:r>
        <w:rPr>
          <w:rFonts w:ascii="Calibri" w:eastAsia="Calibri" w:hAnsi="Calibri" w:cs="Times New Roman"/>
          <w:bCs/>
          <w:sz w:val="24"/>
          <w:szCs w:val="24"/>
        </w:rPr>
        <w:t xml:space="preserve"> limitations </w:t>
      </w:r>
      <w:r w:rsidR="00C97BA3">
        <w:rPr>
          <w:rFonts w:ascii="Calibri" w:eastAsia="Calibri" w:hAnsi="Calibri" w:cs="Times New Roman"/>
          <w:bCs/>
          <w:sz w:val="24"/>
          <w:szCs w:val="24"/>
        </w:rPr>
        <w:t>to consider in this study.</w:t>
      </w:r>
      <w:r w:rsidR="000804FB" w:rsidRPr="000804FB">
        <w:t xml:space="preserve"> </w:t>
      </w:r>
      <w:r w:rsidR="000804FB" w:rsidRPr="000804FB">
        <w:rPr>
          <w:rFonts w:ascii="Calibri" w:eastAsia="Calibri" w:hAnsi="Calibri" w:cs="Times New Roman"/>
          <w:bCs/>
          <w:sz w:val="24"/>
          <w:szCs w:val="24"/>
        </w:rPr>
        <w:t>First, although the survey was aimed</w:t>
      </w:r>
      <w:r w:rsidR="00055C37">
        <w:rPr>
          <w:rFonts w:ascii="Calibri" w:eastAsia="Calibri" w:hAnsi="Calibri" w:cs="Times New Roman"/>
          <w:bCs/>
          <w:sz w:val="24"/>
          <w:szCs w:val="24"/>
        </w:rPr>
        <w:t xml:space="preserve"> at generating a</w:t>
      </w:r>
      <w:r w:rsidR="00522DB4">
        <w:rPr>
          <w:rFonts w:ascii="Calibri" w:eastAsia="Calibri" w:hAnsi="Calibri" w:cs="Times New Roman"/>
          <w:bCs/>
          <w:sz w:val="24"/>
          <w:szCs w:val="24"/>
        </w:rPr>
        <w:t xml:space="preserve"> cohort </w:t>
      </w:r>
      <w:r w:rsidR="00055C37">
        <w:rPr>
          <w:rFonts w:ascii="Calibri" w:eastAsia="Calibri" w:hAnsi="Calibri" w:cs="Times New Roman"/>
          <w:bCs/>
          <w:sz w:val="24"/>
          <w:szCs w:val="24"/>
        </w:rPr>
        <w:t xml:space="preserve">representative of </w:t>
      </w:r>
      <w:r w:rsidR="000804FB" w:rsidRPr="000804FB">
        <w:rPr>
          <w:rFonts w:ascii="Calibri" w:eastAsia="Calibri" w:hAnsi="Calibri" w:cs="Times New Roman"/>
          <w:bCs/>
          <w:sz w:val="24"/>
          <w:szCs w:val="24"/>
        </w:rPr>
        <w:t xml:space="preserve">the Chilean population, </w:t>
      </w:r>
      <w:r w:rsidR="00280CF3">
        <w:rPr>
          <w:rFonts w:ascii="Calibri" w:eastAsia="Calibri" w:hAnsi="Calibri" w:cs="Times New Roman"/>
          <w:bCs/>
          <w:sz w:val="24"/>
          <w:szCs w:val="24"/>
        </w:rPr>
        <w:t>the relatively small sample size</w:t>
      </w:r>
      <w:r w:rsidR="001A3FA7">
        <w:rPr>
          <w:rFonts w:ascii="Calibri" w:eastAsia="Calibri" w:hAnsi="Calibri" w:cs="Times New Roman"/>
          <w:bCs/>
          <w:sz w:val="24"/>
          <w:szCs w:val="24"/>
        </w:rPr>
        <w:t xml:space="preserve"> might</w:t>
      </w:r>
      <w:r w:rsidR="000804FB" w:rsidRPr="000804FB">
        <w:rPr>
          <w:rFonts w:ascii="Calibri" w:eastAsia="Calibri" w:hAnsi="Calibri" w:cs="Times New Roman"/>
          <w:bCs/>
          <w:sz w:val="24"/>
          <w:szCs w:val="24"/>
        </w:rPr>
        <w:t xml:space="preserve"> impair the accuracy of our estimates and thus the number of </w:t>
      </w:r>
      <w:r w:rsidR="001A3FA7">
        <w:rPr>
          <w:rFonts w:ascii="Calibri" w:eastAsia="Calibri" w:hAnsi="Calibri" w:cs="Times New Roman"/>
          <w:bCs/>
          <w:sz w:val="24"/>
          <w:szCs w:val="24"/>
        </w:rPr>
        <w:t xml:space="preserve">individuals </w:t>
      </w:r>
      <w:r w:rsidR="001A3FA7" w:rsidRPr="000804FB">
        <w:rPr>
          <w:rFonts w:ascii="Calibri" w:eastAsia="Calibri" w:hAnsi="Calibri" w:cs="Times New Roman"/>
          <w:bCs/>
          <w:sz w:val="24"/>
          <w:szCs w:val="24"/>
        </w:rPr>
        <w:t>eligible for</w:t>
      </w:r>
      <w:r w:rsidR="000804FB" w:rsidRPr="000804FB">
        <w:rPr>
          <w:rFonts w:ascii="Calibri" w:eastAsia="Calibri" w:hAnsi="Calibri" w:cs="Times New Roman"/>
          <w:bCs/>
          <w:sz w:val="24"/>
          <w:szCs w:val="24"/>
        </w:rPr>
        <w:t xml:space="preserve"> treatment.</w:t>
      </w:r>
      <w:r w:rsidR="000A4AE9" w:rsidRPr="000A4AE9">
        <w:t xml:space="preserve"> </w:t>
      </w:r>
      <w:r w:rsidR="00560F02">
        <w:t xml:space="preserve"> </w:t>
      </w:r>
      <w:r w:rsidR="00A4112A">
        <w:t xml:space="preserve">Independent verification of this analysis in other cohorts would be appropriate.  </w:t>
      </w:r>
      <w:r w:rsidR="000A4AE9" w:rsidRPr="000A4AE9">
        <w:rPr>
          <w:rFonts w:ascii="Calibri" w:eastAsia="Calibri" w:hAnsi="Calibri" w:cs="Times New Roman"/>
          <w:bCs/>
          <w:sz w:val="24"/>
          <w:szCs w:val="24"/>
        </w:rPr>
        <w:t>Second, the present study was confined to threshold probabilities for a major osteoporotic fracture whereas hip fracture probability is the other output of FRAX used in the NOGG guidance [</w:t>
      </w:r>
      <w:r w:rsidR="007D2A23">
        <w:rPr>
          <w:rFonts w:ascii="Calibri" w:eastAsia="Calibri" w:hAnsi="Calibri" w:cs="Times New Roman"/>
          <w:bCs/>
          <w:sz w:val="24"/>
          <w:szCs w:val="24"/>
        </w:rPr>
        <w:t>26]</w:t>
      </w:r>
      <w:r w:rsidR="000A4AE9" w:rsidRPr="000A4AE9">
        <w:rPr>
          <w:rFonts w:ascii="Calibri" w:eastAsia="Calibri" w:hAnsi="Calibri" w:cs="Times New Roman"/>
          <w:bCs/>
          <w:sz w:val="24"/>
          <w:szCs w:val="24"/>
        </w:rPr>
        <w:t xml:space="preserve">. </w:t>
      </w:r>
      <w:r w:rsidR="0079460F">
        <w:rPr>
          <w:rFonts w:ascii="Calibri" w:eastAsia="Calibri" w:hAnsi="Calibri" w:cs="Times New Roman"/>
          <w:bCs/>
          <w:sz w:val="24"/>
          <w:szCs w:val="24"/>
        </w:rPr>
        <w:t xml:space="preserve"> </w:t>
      </w:r>
      <w:r w:rsidR="000A4AE9" w:rsidRPr="000A4AE9">
        <w:rPr>
          <w:rFonts w:ascii="Calibri" w:eastAsia="Calibri" w:hAnsi="Calibri" w:cs="Times New Roman"/>
          <w:bCs/>
          <w:sz w:val="24"/>
          <w:szCs w:val="24"/>
        </w:rPr>
        <w:t xml:space="preserve">Indeed, treatment is recommended if the hip fracture probability </w:t>
      </w:r>
      <w:r w:rsidR="00C12813" w:rsidRPr="00122F2F">
        <w:rPr>
          <w:rFonts w:ascii="Calibri" w:eastAsia="Calibri" w:hAnsi="Calibri" w:cs="Times New Roman"/>
          <w:b/>
          <w:sz w:val="24"/>
          <w:szCs w:val="24"/>
          <w:u w:val="single"/>
        </w:rPr>
        <w:t>or</w:t>
      </w:r>
      <w:r w:rsidR="000A4AE9" w:rsidRPr="000A4AE9">
        <w:rPr>
          <w:rFonts w:ascii="Calibri" w:eastAsia="Calibri" w:hAnsi="Calibri" w:cs="Times New Roman"/>
          <w:bCs/>
          <w:sz w:val="24"/>
          <w:szCs w:val="24"/>
        </w:rPr>
        <w:t xml:space="preserve"> the major osteoporotic fracture probability exceeds the intervention threshold.  The consideration of the two fracture probabilities is likely also to increase the number of </w:t>
      </w:r>
      <w:r w:rsidR="00195619">
        <w:rPr>
          <w:rFonts w:ascii="Calibri" w:eastAsia="Calibri" w:hAnsi="Calibri" w:cs="Times New Roman"/>
          <w:bCs/>
          <w:sz w:val="24"/>
          <w:szCs w:val="24"/>
        </w:rPr>
        <w:t xml:space="preserve">men and </w:t>
      </w:r>
      <w:r w:rsidR="000A4AE9" w:rsidRPr="000A4AE9">
        <w:rPr>
          <w:rFonts w:ascii="Calibri" w:eastAsia="Calibri" w:hAnsi="Calibri" w:cs="Times New Roman"/>
          <w:bCs/>
          <w:sz w:val="24"/>
          <w:szCs w:val="24"/>
        </w:rPr>
        <w:t xml:space="preserve">women identified at high risk.  Additionally, the probability thresholds for major osteoporotic fracture rest on more assumptions than </w:t>
      </w:r>
      <w:r w:rsidR="000A4AE9" w:rsidRPr="00AD1549">
        <w:rPr>
          <w:rFonts w:ascii="Calibri" w:eastAsia="Calibri" w:hAnsi="Calibri" w:cs="Times New Roman"/>
          <w:bCs/>
          <w:sz w:val="24"/>
          <w:szCs w:val="24"/>
        </w:rPr>
        <w:t>those for hip fracture [</w:t>
      </w:r>
      <w:r w:rsidR="00AF3C2F" w:rsidRPr="00AD1549">
        <w:rPr>
          <w:rFonts w:ascii="Calibri" w:eastAsia="Calibri" w:hAnsi="Calibri" w:cs="Times New Roman"/>
          <w:bCs/>
          <w:sz w:val="24"/>
          <w:szCs w:val="24"/>
        </w:rPr>
        <w:t>32]</w:t>
      </w:r>
      <w:proofErr w:type="gramStart"/>
      <w:r w:rsidR="000A4AE9" w:rsidRPr="00AD1549">
        <w:rPr>
          <w:rFonts w:ascii="Calibri" w:eastAsia="Calibri" w:hAnsi="Calibri" w:cs="Times New Roman"/>
          <w:bCs/>
          <w:sz w:val="24"/>
          <w:szCs w:val="24"/>
        </w:rPr>
        <w:t>.</w:t>
      </w:r>
      <w:r w:rsidR="00282136" w:rsidRPr="00AD1549">
        <w:rPr>
          <w:rFonts w:ascii="Calibri" w:eastAsia="Calibri" w:hAnsi="Calibri" w:cs="Times New Roman"/>
          <w:bCs/>
          <w:sz w:val="24"/>
          <w:szCs w:val="24"/>
        </w:rPr>
        <w:t xml:space="preserve"> </w:t>
      </w:r>
      <w:proofErr w:type="gramEnd"/>
      <w:r w:rsidR="00282136" w:rsidRPr="00AD1549">
        <w:rPr>
          <w:rFonts w:ascii="Calibri" w:eastAsia="Calibri" w:hAnsi="Calibri" w:cs="Times New Roman"/>
          <w:bCs/>
          <w:sz w:val="24"/>
          <w:szCs w:val="24"/>
        </w:rPr>
        <w:t>Third</w:t>
      </w:r>
      <w:r w:rsidR="0002436D" w:rsidRPr="00AD1549">
        <w:rPr>
          <w:rFonts w:ascii="Calibri" w:eastAsia="Calibri" w:hAnsi="Calibri" w:cs="Times New Roman"/>
          <w:bCs/>
          <w:sz w:val="24"/>
          <w:szCs w:val="24"/>
        </w:rPr>
        <w:t xml:space="preserve">, </w:t>
      </w:r>
      <w:r w:rsidR="0028581E" w:rsidRPr="00AD1549">
        <w:rPr>
          <w:rFonts w:ascii="Calibri" w:eastAsia="Calibri" w:hAnsi="Calibri" w:cs="Times New Roman"/>
          <w:bCs/>
          <w:sz w:val="24"/>
          <w:szCs w:val="24"/>
        </w:rPr>
        <w:t xml:space="preserve">BMD was not measured in </w:t>
      </w:r>
      <w:r w:rsidR="002376A4" w:rsidRPr="00AD1549">
        <w:rPr>
          <w:rFonts w:ascii="Calibri" w:eastAsia="Calibri" w:hAnsi="Calibri" w:cs="Times New Roman"/>
          <w:bCs/>
          <w:sz w:val="24"/>
          <w:szCs w:val="24"/>
        </w:rPr>
        <w:t>this population</w:t>
      </w:r>
      <w:r w:rsidR="0028581E" w:rsidRPr="00AD1549">
        <w:rPr>
          <w:rFonts w:ascii="Calibri" w:eastAsia="Calibri" w:hAnsi="Calibri" w:cs="Times New Roman"/>
          <w:bCs/>
          <w:sz w:val="24"/>
          <w:szCs w:val="24"/>
        </w:rPr>
        <w:t xml:space="preserve"> sample, so </w:t>
      </w:r>
      <w:r w:rsidR="00DD5AA1" w:rsidRPr="00AD1549">
        <w:rPr>
          <w:rFonts w:ascii="Calibri" w:eastAsia="Calibri" w:hAnsi="Calibri" w:cs="Times New Roman"/>
          <w:bCs/>
          <w:sz w:val="24"/>
          <w:szCs w:val="24"/>
        </w:rPr>
        <w:t xml:space="preserve">that </w:t>
      </w:r>
      <w:r w:rsidR="0028581E" w:rsidRPr="00AD1549">
        <w:rPr>
          <w:rFonts w:ascii="Calibri" w:eastAsia="Calibri" w:hAnsi="Calibri" w:cs="Times New Roman"/>
          <w:bCs/>
          <w:sz w:val="24"/>
          <w:szCs w:val="24"/>
        </w:rPr>
        <w:t>the proportion of individuals exceeding the intervention threshold and thus be eligible for treatment is not known.</w:t>
      </w:r>
      <w:r w:rsidR="00DD5AA1" w:rsidRPr="00AD1549">
        <w:rPr>
          <w:rFonts w:ascii="Calibri" w:eastAsia="Calibri" w:hAnsi="Calibri" w:cs="Times New Roman"/>
          <w:bCs/>
          <w:sz w:val="24"/>
          <w:szCs w:val="24"/>
        </w:rPr>
        <w:t xml:space="preserve">  </w:t>
      </w:r>
      <w:r w:rsidR="00E720E5" w:rsidRPr="00AD1549">
        <w:rPr>
          <w:rFonts w:ascii="Calibri" w:eastAsia="Calibri" w:hAnsi="Calibri" w:cs="Times New Roman"/>
          <w:bCs/>
          <w:sz w:val="24"/>
          <w:szCs w:val="24"/>
        </w:rPr>
        <w:t xml:space="preserve">Notwithstanding, </w:t>
      </w:r>
      <w:r w:rsidR="00181472" w:rsidRPr="00AD1549">
        <w:rPr>
          <w:rFonts w:ascii="Calibri" w:eastAsia="Calibri" w:hAnsi="Calibri" w:cs="Times New Roman"/>
          <w:bCs/>
          <w:sz w:val="24"/>
          <w:szCs w:val="24"/>
        </w:rPr>
        <w:t>treatment can be directed using FRAX without BMD, al</w:t>
      </w:r>
      <w:r w:rsidR="00EC0CAC" w:rsidRPr="00AD1549">
        <w:rPr>
          <w:rFonts w:ascii="Calibri" w:eastAsia="Calibri" w:hAnsi="Calibri" w:cs="Times New Roman"/>
          <w:bCs/>
          <w:sz w:val="24"/>
          <w:szCs w:val="24"/>
        </w:rPr>
        <w:t>beit with lower sensitivity [</w:t>
      </w:r>
      <w:r w:rsidR="00596E99" w:rsidRPr="00AD1549">
        <w:rPr>
          <w:rFonts w:ascii="Calibri" w:eastAsia="Calibri" w:hAnsi="Calibri" w:cs="Times New Roman"/>
          <w:bCs/>
          <w:sz w:val="24"/>
          <w:szCs w:val="24"/>
        </w:rPr>
        <w:t xml:space="preserve">33, </w:t>
      </w:r>
      <w:r w:rsidR="00657CC9" w:rsidRPr="00AD1549">
        <w:rPr>
          <w:rFonts w:ascii="Calibri" w:eastAsia="Calibri" w:hAnsi="Calibri" w:cs="Times New Roman"/>
          <w:bCs/>
          <w:sz w:val="24"/>
          <w:szCs w:val="24"/>
        </w:rPr>
        <w:t>34]</w:t>
      </w:r>
      <w:r w:rsidR="00EC0CAC" w:rsidRPr="00AD1549">
        <w:rPr>
          <w:rFonts w:ascii="Calibri" w:eastAsia="Calibri" w:hAnsi="Calibri" w:cs="Times New Roman"/>
          <w:bCs/>
          <w:sz w:val="24"/>
          <w:szCs w:val="24"/>
        </w:rPr>
        <w:t>.</w:t>
      </w:r>
      <w:r w:rsidR="007E572E" w:rsidRPr="00AD1549">
        <w:rPr>
          <w:rFonts w:ascii="Calibri" w:eastAsia="Calibri" w:hAnsi="Calibri" w:cs="Times New Roman"/>
          <w:bCs/>
          <w:sz w:val="24"/>
          <w:szCs w:val="24"/>
        </w:rPr>
        <w:t xml:space="preserve">  </w:t>
      </w:r>
      <w:r w:rsidR="00D2289D" w:rsidRPr="00AD1549">
        <w:rPr>
          <w:rFonts w:ascii="Calibri" w:eastAsia="Calibri" w:hAnsi="Calibri" w:cs="Times New Roman"/>
          <w:bCs/>
          <w:sz w:val="24"/>
          <w:szCs w:val="24"/>
        </w:rPr>
        <w:t>The strategy implies, however, that patients at high risk, but identified without BMD, would respond to pharmacological intervention</w:t>
      </w:r>
      <w:proofErr w:type="gramStart"/>
      <w:r w:rsidR="00D2289D" w:rsidRPr="00AD1549">
        <w:rPr>
          <w:rFonts w:ascii="Calibri" w:eastAsia="Calibri" w:hAnsi="Calibri" w:cs="Times New Roman"/>
          <w:bCs/>
          <w:sz w:val="24"/>
          <w:szCs w:val="24"/>
        </w:rPr>
        <w:t xml:space="preserve">. </w:t>
      </w:r>
      <w:proofErr w:type="gramEnd"/>
      <w:r w:rsidR="00D2289D" w:rsidRPr="00AD1549">
        <w:rPr>
          <w:rFonts w:ascii="Calibri" w:eastAsia="Calibri" w:hAnsi="Calibri" w:cs="Times New Roman"/>
          <w:bCs/>
          <w:sz w:val="24"/>
          <w:szCs w:val="24"/>
        </w:rPr>
        <w:t>The evidence that such patients respond to treatment is strong [</w:t>
      </w:r>
      <w:r w:rsidR="00655D9F" w:rsidRPr="00AD1549">
        <w:rPr>
          <w:rFonts w:ascii="Calibri" w:eastAsia="Calibri" w:hAnsi="Calibri" w:cs="Times New Roman"/>
          <w:bCs/>
          <w:sz w:val="24"/>
          <w:szCs w:val="24"/>
        </w:rPr>
        <w:t xml:space="preserve">35, 36, </w:t>
      </w:r>
      <w:r w:rsidR="0096520B" w:rsidRPr="00AD1549">
        <w:rPr>
          <w:rFonts w:ascii="Calibri" w:eastAsia="Calibri" w:hAnsi="Calibri" w:cs="Times New Roman"/>
          <w:bCs/>
          <w:sz w:val="24"/>
          <w:szCs w:val="24"/>
        </w:rPr>
        <w:t xml:space="preserve">37, </w:t>
      </w:r>
      <w:r w:rsidR="00826586" w:rsidRPr="00AD1549">
        <w:rPr>
          <w:rFonts w:ascii="Calibri" w:eastAsia="Calibri" w:hAnsi="Calibri" w:cs="Times New Roman"/>
          <w:bCs/>
          <w:sz w:val="24"/>
          <w:szCs w:val="24"/>
        </w:rPr>
        <w:t>38, 39]</w:t>
      </w:r>
      <w:r w:rsidR="00D2289D" w:rsidRPr="00AD1549">
        <w:rPr>
          <w:rFonts w:ascii="Calibri" w:eastAsia="Calibri" w:hAnsi="Calibri" w:cs="Times New Roman"/>
          <w:bCs/>
          <w:sz w:val="24"/>
          <w:szCs w:val="24"/>
        </w:rPr>
        <w:t>.  The principal reason is that BMD values are low in patients identified with FRAX but without a BMD test [</w:t>
      </w:r>
      <w:r w:rsidR="00B77375" w:rsidRPr="00AD1549">
        <w:rPr>
          <w:rFonts w:ascii="Calibri" w:eastAsia="Calibri" w:hAnsi="Calibri" w:cs="Times New Roman"/>
          <w:bCs/>
          <w:sz w:val="24"/>
          <w:szCs w:val="24"/>
        </w:rPr>
        <w:t xml:space="preserve">34, </w:t>
      </w:r>
      <w:r w:rsidR="00220B62" w:rsidRPr="00AD1549">
        <w:rPr>
          <w:rFonts w:ascii="Calibri" w:eastAsia="Calibri" w:hAnsi="Calibri" w:cs="Times New Roman"/>
          <w:bCs/>
          <w:sz w:val="24"/>
          <w:szCs w:val="24"/>
        </w:rPr>
        <w:t>35]</w:t>
      </w:r>
      <w:r w:rsidR="00D2289D" w:rsidRPr="00AD1549">
        <w:rPr>
          <w:rFonts w:ascii="Calibri" w:eastAsia="Calibri" w:hAnsi="Calibri" w:cs="Times New Roman"/>
          <w:bCs/>
          <w:sz w:val="24"/>
          <w:szCs w:val="24"/>
        </w:rPr>
        <w:t>.</w:t>
      </w:r>
      <w:r w:rsidR="00A669EB" w:rsidRPr="00AD1549">
        <w:rPr>
          <w:rFonts w:ascii="Calibri" w:eastAsia="Calibri" w:hAnsi="Calibri" w:cs="Times New Roman"/>
          <w:bCs/>
          <w:sz w:val="24"/>
          <w:szCs w:val="24"/>
        </w:rPr>
        <w:t xml:space="preserve">  </w:t>
      </w:r>
      <w:r w:rsidR="00A66D80" w:rsidRPr="00A66D80">
        <w:rPr>
          <w:rFonts w:ascii="Calibri" w:eastAsia="Calibri" w:hAnsi="Calibri" w:cs="Times New Roman"/>
          <w:bCs/>
          <w:sz w:val="24"/>
          <w:szCs w:val="24"/>
        </w:rPr>
        <w:t>A potential consideration is that some of the risk factor information needed was missing in the cohorts and had to be simulated.  The weakness of simulation is that there is a loss of accuracy for those individuals in whom missing variables were simulated.  However, this is less relevant for populations, and summary data more closely reflect the sample from which data were drawn with a benefit of optimising sample size</w:t>
      </w:r>
      <w:proofErr w:type="gramStart"/>
      <w:r w:rsidR="00A66D80" w:rsidRPr="00A66D80">
        <w:rPr>
          <w:rFonts w:ascii="Calibri" w:eastAsia="Calibri" w:hAnsi="Calibri" w:cs="Times New Roman"/>
          <w:bCs/>
          <w:sz w:val="24"/>
          <w:szCs w:val="24"/>
        </w:rPr>
        <w:t>.</w:t>
      </w:r>
      <w:r w:rsidR="00A66D80">
        <w:rPr>
          <w:rFonts w:ascii="Calibri" w:eastAsia="Calibri" w:hAnsi="Calibri" w:cs="Times New Roman"/>
          <w:bCs/>
          <w:sz w:val="24"/>
          <w:szCs w:val="24"/>
        </w:rPr>
        <w:t xml:space="preserve"> </w:t>
      </w:r>
      <w:proofErr w:type="gramEnd"/>
      <w:r w:rsidR="007E572E" w:rsidRPr="00AD1549">
        <w:rPr>
          <w:rFonts w:ascii="Calibri" w:eastAsia="Calibri" w:hAnsi="Calibri" w:cs="Times New Roman"/>
          <w:bCs/>
          <w:sz w:val="24"/>
          <w:szCs w:val="24"/>
        </w:rPr>
        <w:t xml:space="preserve">Lastly, a proportion of the </w:t>
      </w:r>
      <w:r w:rsidR="00507C92" w:rsidRPr="00AD1549">
        <w:rPr>
          <w:rFonts w:ascii="Calibri" w:eastAsia="Calibri" w:hAnsi="Calibri" w:cs="Times New Roman"/>
          <w:bCs/>
          <w:sz w:val="24"/>
          <w:szCs w:val="24"/>
        </w:rPr>
        <w:t>population sample were exposed to treatments for osteoporosis which might in turn affect fracture probabilities</w:t>
      </w:r>
      <w:r w:rsidR="00D83E4B" w:rsidRPr="00AD1549">
        <w:rPr>
          <w:rFonts w:ascii="Calibri" w:eastAsia="Calibri" w:hAnsi="Calibri" w:cs="Times New Roman"/>
          <w:bCs/>
          <w:sz w:val="24"/>
          <w:szCs w:val="24"/>
        </w:rPr>
        <w:t>, though the effect is likely to be very small [</w:t>
      </w:r>
      <w:r w:rsidR="00220B62" w:rsidRPr="00AD1549">
        <w:rPr>
          <w:rFonts w:ascii="Calibri" w:eastAsia="Calibri" w:hAnsi="Calibri" w:cs="Times New Roman"/>
          <w:bCs/>
          <w:sz w:val="24"/>
          <w:szCs w:val="24"/>
        </w:rPr>
        <w:t>40</w:t>
      </w:r>
      <w:r w:rsidR="00784147" w:rsidRPr="00AD1549">
        <w:rPr>
          <w:rFonts w:ascii="Calibri" w:eastAsia="Calibri" w:hAnsi="Calibri" w:cs="Times New Roman"/>
          <w:bCs/>
          <w:sz w:val="24"/>
          <w:szCs w:val="24"/>
        </w:rPr>
        <w:t>]</w:t>
      </w:r>
      <w:r w:rsidR="00AD1549" w:rsidRPr="00AD1549">
        <w:rPr>
          <w:rFonts w:ascii="Calibri" w:eastAsia="Calibri" w:hAnsi="Calibri" w:cs="Times New Roman"/>
          <w:bCs/>
          <w:sz w:val="24"/>
          <w:szCs w:val="24"/>
        </w:rPr>
        <w:t>.</w:t>
      </w:r>
      <w:r w:rsidR="00784147" w:rsidRPr="00AD1549">
        <w:rPr>
          <w:rFonts w:ascii="Calibri" w:eastAsia="Calibri" w:hAnsi="Calibri" w:cs="Times New Roman"/>
          <w:bCs/>
          <w:sz w:val="24"/>
          <w:szCs w:val="24"/>
        </w:rPr>
        <w:t xml:space="preserve"> </w:t>
      </w:r>
      <w:r w:rsidR="00D83E4B" w:rsidRPr="00AD1549">
        <w:rPr>
          <w:rFonts w:ascii="Calibri" w:eastAsia="Calibri" w:hAnsi="Calibri" w:cs="Times New Roman"/>
          <w:bCs/>
          <w:sz w:val="24"/>
          <w:szCs w:val="24"/>
        </w:rPr>
        <w:t xml:space="preserve"> </w:t>
      </w:r>
    </w:p>
    <w:p w14:paraId="1DB64FB8" w14:textId="0F0356D6" w:rsidR="0097736C" w:rsidRPr="00BB4615" w:rsidRDefault="00CC1F6A" w:rsidP="00906B2F">
      <w:pPr>
        <w:spacing w:after="240" w:line="276" w:lineRule="auto"/>
        <w:ind w:left="567"/>
        <w:rPr>
          <w:rFonts w:ascii="Calibri" w:eastAsia="Calibri" w:hAnsi="Calibri" w:cs="Times New Roman"/>
          <w:bCs/>
          <w:sz w:val="24"/>
          <w:szCs w:val="24"/>
        </w:rPr>
      </w:pPr>
      <w:r w:rsidRPr="00CC1F6A">
        <w:rPr>
          <w:rFonts w:ascii="Calibri" w:eastAsia="Calibri" w:hAnsi="Calibri" w:cs="Times New Roman"/>
          <w:bCs/>
          <w:sz w:val="24"/>
          <w:szCs w:val="24"/>
        </w:rPr>
        <w:lastRenderedPageBreak/>
        <w:t>The present study has shown the</w:t>
      </w:r>
      <w:r w:rsidR="007E5A35">
        <w:rPr>
          <w:rFonts w:ascii="Calibri" w:eastAsia="Calibri" w:hAnsi="Calibri" w:cs="Times New Roman"/>
          <w:bCs/>
          <w:sz w:val="24"/>
          <w:szCs w:val="24"/>
        </w:rPr>
        <w:t xml:space="preserve"> impact</w:t>
      </w:r>
      <w:r w:rsidRPr="00CC1F6A">
        <w:rPr>
          <w:rFonts w:ascii="Calibri" w:eastAsia="Calibri" w:hAnsi="Calibri" w:cs="Times New Roman"/>
          <w:bCs/>
          <w:sz w:val="24"/>
          <w:szCs w:val="24"/>
        </w:rPr>
        <w:t xml:space="preserve"> </w:t>
      </w:r>
      <w:r w:rsidR="007E5A35">
        <w:rPr>
          <w:rFonts w:ascii="Calibri" w:eastAsia="Calibri" w:hAnsi="Calibri" w:cs="Times New Roman"/>
          <w:bCs/>
          <w:sz w:val="24"/>
          <w:szCs w:val="24"/>
        </w:rPr>
        <w:t xml:space="preserve">of </w:t>
      </w:r>
      <w:r w:rsidRPr="00CC1F6A">
        <w:rPr>
          <w:rFonts w:ascii="Calibri" w:eastAsia="Calibri" w:hAnsi="Calibri" w:cs="Times New Roman"/>
          <w:bCs/>
          <w:sz w:val="24"/>
          <w:szCs w:val="24"/>
        </w:rPr>
        <w:t>strateg</w:t>
      </w:r>
      <w:r w:rsidR="005C249C">
        <w:rPr>
          <w:rFonts w:ascii="Calibri" w:eastAsia="Calibri" w:hAnsi="Calibri" w:cs="Times New Roman"/>
          <w:bCs/>
          <w:sz w:val="24"/>
          <w:szCs w:val="24"/>
        </w:rPr>
        <w:t>ies</w:t>
      </w:r>
      <w:r w:rsidRPr="00CC1F6A">
        <w:rPr>
          <w:rFonts w:ascii="Calibri" w:eastAsia="Calibri" w:hAnsi="Calibri" w:cs="Times New Roman"/>
          <w:bCs/>
          <w:sz w:val="24"/>
          <w:szCs w:val="24"/>
        </w:rPr>
        <w:t xml:space="preserve"> for fracture risk assessment following the </w:t>
      </w:r>
      <w:r w:rsidR="008B45FE" w:rsidRPr="00CC1F6A">
        <w:rPr>
          <w:rFonts w:ascii="Calibri" w:eastAsia="Calibri" w:hAnsi="Calibri" w:cs="Times New Roman"/>
          <w:bCs/>
          <w:sz w:val="24"/>
          <w:szCs w:val="24"/>
        </w:rPr>
        <w:t>methodolog</w:t>
      </w:r>
      <w:r w:rsidR="008B45FE">
        <w:rPr>
          <w:rFonts w:ascii="Calibri" w:eastAsia="Calibri" w:hAnsi="Calibri" w:cs="Times New Roman"/>
          <w:bCs/>
          <w:sz w:val="24"/>
          <w:szCs w:val="24"/>
        </w:rPr>
        <w:t>ies</w:t>
      </w:r>
      <w:r w:rsidR="008B45FE" w:rsidRPr="00CC1F6A">
        <w:rPr>
          <w:rFonts w:ascii="Calibri" w:eastAsia="Calibri" w:hAnsi="Calibri" w:cs="Times New Roman"/>
          <w:bCs/>
          <w:sz w:val="24"/>
          <w:szCs w:val="24"/>
        </w:rPr>
        <w:t xml:space="preserve"> proposed</w:t>
      </w:r>
      <w:r w:rsidRPr="00CC1F6A">
        <w:rPr>
          <w:rFonts w:ascii="Calibri" w:eastAsia="Calibri" w:hAnsi="Calibri" w:cs="Times New Roman"/>
          <w:bCs/>
          <w:sz w:val="24"/>
          <w:szCs w:val="24"/>
        </w:rPr>
        <w:t xml:space="preserve"> by </w:t>
      </w:r>
      <w:r w:rsidR="009B070D" w:rsidRPr="00CC1F6A">
        <w:rPr>
          <w:rFonts w:ascii="Calibri" w:eastAsia="Calibri" w:hAnsi="Calibri" w:cs="Times New Roman"/>
          <w:bCs/>
          <w:sz w:val="24"/>
          <w:szCs w:val="24"/>
        </w:rPr>
        <w:t>NOGG but</w:t>
      </w:r>
      <w:r w:rsidRPr="00CC1F6A">
        <w:rPr>
          <w:rFonts w:ascii="Calibri" w:eastAsia="Calibri" w:hAnsi="Calibri" w:cs="Times New Roman"/>
          <w:bCs/>
          <w:sz w:val="24"/>
          <w:szCs w:val="24"/>
        </w:rPr>
        <w:t xml:space="preserve"> based on Chilean FRAX</w:t>
      </w:r>
      <w:r w:rsidR="00DA597E">
        <w:rPr>
          <w:rFonts w:ascii="Calibri" w:eastAsia="Calibri" w:hAnsi="Calibri" w:cs="Times New Roman"/>
          <w:bCs/>
          <w:sz w:val="24"/>
          <w:szCs w:val="24"/>
        </w:rPr>
        <w:t>.</w:t>
      </w:r>
      <w:r w:rsidRPr="00CC1F6A">
        <w:rPr>
          <w:rFonts w:ascii="Calibri" w:eastAsia="Calibri" w:hAnsi="Calibri" w:cs="Times New Roman"/>
          <w:bCs/>
          <w:sz w:val="24"/>
          <w:szCs w:val="24"/>
        </w:rPr>
        <w:t xml:space="preserve"> </w:t>
      </w:r>
      <w:r w:rsidR="00DA597E">
        <w:rPr>
          <w:rFonts w:ascii="Calibri" w:eastAsia="Calibri" w:hAnsi="Calibri" w:cs="Times New Roman"/>
          <w:bCs/>
          <w:sz w:val="24"/>
          <w:szCs w:val="24"/>
        </w:rPr>
        <w:t xml:space="preserve">  Of these methodologies,</w:t>
      </w:r>
      <w:r w:rsidR="008B45FE">
        <w:rPr>
          <w:rFonts w:ascii="Calibri" w:eastAsia="Calibri" w:hAnsi="Calibri" w:cs="Times New Roman"/>
          <w:bCs/>
          <w:sz w:val="24"/>
          <w:szCs w:val="24"/>
        </w:rPr>
        <w:t xml:space="preserve"> the use of hybrid thresholds </w:t>
      </w:r>
      <w:r w:rsidRPr="00CC1F6A">
        <w:rPr>
          <w:rFonts w:ascii="Calibri" w:eastAsia="Calibri" w:hAnsi="Calibri" w:cs="Times New Roman"/>
          <w:bCs/>
          <w:sz w:val="24"/>
          <w:szCs w:val="24"/>
        </w:rPr>
        <w:t>identif</w:t>
      </w:r>
      <w:r w:rsidR="008B45FE">
        <w:rPr>
          <w:rFonts w:ascii="Calibri" w:eastAsia="Calibri" w:hAnsi="Calibri" w:cs="Times New Roman"/>
          <w:bCs/>
          <w:sz w:val="24"/>
          <w:szCs w:val="24"/>
        </w:rPr>
        <w:t>i</w:t>
      </w:r>
      <w:r w:rsidR="00CD4E98">
        <w:rPr>
          <w:rFonts w:ascii="Calibri" w:eastAsia="Calibri" w:hAnsi="Calibri" w:cs="Times New Roman"/>
          <w:bCs/>
          <w:sz w:val="24"/>
          <w:szCs w:val="24"/>
        </w:rPr>
        <w:t>e</w:t>
      </w:r>
      <w:r w:rsidR="008B45FE">
        <w:rPr>
          <w:rFonts w:ascii="Calibri" w:eastAsia="Calibri" w:hAnsi="Calibri" w:cs="Times New Roman"/>
          <w:bCs/>
          <w:sz w:val="24"/>
          <w:szCs w:val="24"/>
        </w:rPr>
        <w:t>s</w:t>
      </w:r>
      <w:r w:rsidRPr="00CC1F6A">
        <w:rPr>
          <w:rFonts w:ascii="Calibri" w:eastAsia="Calibri" w:hAnsi="Calibri" w:cs="Times New Roman"/>
          <w:bCs/>
          <w:sz w:val="24"/>
          <w:szCs w:val="24"/>
        </w:rPr>
        <w:t xml:space="preserve"> more </w:t>
      </w:r>
      <w:r w:rsidR="008B45FE">
        <w:rPr>
          <w:rFonts w:ascii="Calibri" w:eastAsia="Calibri" w:hAnsi="Calibri" w:cs="Times New Roman"/>
          <w:bCs/>
          <w:sz w:val="24"/>
          <w:szCs w:val="24"/>
        </w:rPr>
        <w:t>individuals</w:t>
      </w:r>
      <w:r w:rsidRPr="00CC1F6A">
        <w:rPr>
          <w:rFonts w:ascii="Calibri" w:eastAsia="Calibri" w:hAnsi="Calibri" w:cs="Times New Roman"/>
          <w:bCs/>
          <w:sz w:val="24"/>
          <w:szCs w:val="24"/>
        </w:rPr>
        <w:t xml:space="preserve"> at high fracture </w:t>
      </w:r>
      <w:r w:rsidR="00BA454F" w:rsidRPr="00CC1F6A">
        <w:rPr>
          <w:rFonts w:ascii="Calibri" w:eastAsia="Calibri" w:hAnsi="Calibri" w:cs="Times New Roman"/>
          <w:bCs/>
          <w:sz w:val="24"/>
          <w:szCs w:val="24"/>
        </w:rPr>
        <w:t>risk and</w:t>
      </w:r>
      <w:r w:rsidRPr="00CC1F6A">
        <w:rPr>
          <w:rFonts w:ascii="Calibri" w:eastAsia="Calibri" w:hAnsi="Calibri" w:cs="Times New Roman"/>
          <w:bCs/>
          <w:sz w:val="24"/>
          <w:szCs w:val="24"/>
        </w:rPr>
        <w:t xml:space="preserve"> therefore eligible for treatment </w:t>
      </w:r>
      <w:r w:rsidR="009B070D">
        <w:rPr>
          <w:rFonts w:ascii="Calibri" w:eastAsia="Calibri" w:hAnsi="Calibri" w:cs="Times New Roman"/>
          <w:bCs/>
          <w:sz w:val="24"/>
          <w:szCs w:val="24"/>
        </w:rPr>
        <w:t>than the use of</w:t>
      </w:r>
      <w:r w:rsidRPr="00CC1F6A">
        <w:rPr>
          <w:rFonts w:ascii="Calibri" w:eastAsia="Calibri" w:hAnsi="Calibri" w:cs="Times New Roman"/>
          <w:bCs/>
          <w:sz w:val="24"/>
          <w:szCs w:val="24"/>
        </w:rPr>
        <w:t xml:space="preserve"> age-specific thresholds</w:t>
      </w:r>
      <w:proofErr w:type="gramStart"/>
      <w:r w:rsidRPr="00CC1F6A">
        <w:rPr>
          <w:rFonts w:ascii="Calibri" w:eastAsia="Calibri" w:hAnsi="Calibri" w:cs="Times New Roman"/>
          <w:bCs/>
          <w:sz w:val="24"/>
          <w:szCs w:val="24"/>
        </w:rPr>
        <w:t xml:space="preserve">. </w:t>
      </w:r>
      <w:proofErr w:type="gramEnd"/>
      <w:r w:rsidRPr="00CC1F6A">
        <w:rPr>
          <w:rFonts w:ascii="Calibri" w:eastAsia="Calibri" w:hAnsi="Calibri" w:cs="Times New Roman"/>
          <w:bCs/>
          <w:sz w:val="24"/>
          <w:szCs w:val="24"/>
        </w:rPr>
        <w:t xml:space="preserve">The implementation of these thresholds is expected to avoid unnecessary treatment of women at low fracture risk and direct treatments to those at high risk. </w:t>
      </w:r>
      <w:r w:rsidR="00940801">
        <w:rPr>
          <w:rFonts w:ascii="Calibri" w:eastAsia="Calibri" w:hAnsi="Calibri" w:cs="Times New Roman"/>
          <w:bCs/>
          <w:sz w:val="24"/>
          <w:szCs w:val="24"/>
        </w:rPr>
        <w:t xml:space="preserve"> </w:t>
      </w:r>
      <w:r w:rsidRPr="00CC1F6A">
        <w:rPr>
          <w:rFonts w:ascii="Calibri" w:eastAsia="Calibri" w:hAnsi="Calibri" w:cs="Times New Roman"/>
          <w:bCs/>
          <w:sz w:val="24"/>
          <w:szCs w:val="24"/>
        </w:rPr>
        <w:t xml:space="preserve">The incorporation </w:t>
      </w:r>
      <w:r w:rsidR="00BA454F" w:rsidRPr="00CC1F6A">
        <w:rPr>
          <w:rFonts w:ascii="Calibri" w:eastAsia="Calibri" w:hAnsi="Calibri" w:cs="Times New Roman"/>
          <w:bCs/>
          <w:sz w:val="24"/>
          <w:szCs w:val="24"/>
        </w:rPr>
        <w:t>of country</w:t>
      </w:r>
      <w:r w:rsidRPr="00CC1F6A">
        <w:rPr>
          <w:rFonts w:ascii="Calibri" w:eastAsia="Calibri" w:hAnsi="Calibri" w:cs="Times New Roman"/>
          <w:bCs/>
          <w:sz w:val="24"/>
          <w:szCs w:val="24"/>
        </w:rPr>
        <w:t xml:space="preserve">-specific intervention thresholds and the refinement of risk categorization in national </w:t>
      </w:r>
      <w:r w:rsidR="00047F10" w:rsidRPr="00CC1F6A">
        <w:rPr>
          <w:rFonts w:ascii="Calibri" w:eastAsia="Calibri" w:hAnsi="Calibri" w:cs="Times New Roman"/>
          <w:bCs/>
          <w:sz w:val="24"/>
          <w:szCs w:val="24"/>
        </w:rPr>
        <w:t>osteoporosis guidelines</w:t>
      </w:r>
      <w:r w:rsidRPr="00CC1F6A">
        <w:rPr>
          <w:rFonts w:ascii="Calibri" w:eastAsia="Calibri" w:hAnsi="Calibri" w:cs="Times New Roman"/>
          <w:bCs/>
          <w:sz w:val="24"/>
          <w:szCs w:val="24"/>
        </w:rPr>
        <w:t xml:space="preserve"> will positively influence the choice of treatment by physicians in the countries of the region.</w:t>
      </w:r>
      <w:r w:rsidR="00BA454F">
        <w:rPr>
          <w:rFonts w:ascii="Calibri" w:eastAsia="Calibri" w:hAnsi="Calibri" w:cs="Times New Roman"/>
          <w:bCs/>
          <w:sz w:val="24"/>
          <w:szCs w:val="24"/>
        </w:rPr>
        <w:t xml:space="preserve"> </w:t>
      </w:r>
    </w:p>
    <w:p w14:paraId="761D11E5" w14:textId="5C066465" w:rsidR="0097736C" w:rsidRDefault="0097736C" w:rsidP="00906B2F">
      <w:pPr>
        <w:spacing w:after="240" w:line="276" w:lineRule="auto"/>
        <w:ind w:left="567"/>
        <w:rPr>
          <w:rFonts w:ascii="Calibri" w:eastAsia="Calibri" w:hAnsi="Calibri" w:cs="Times New Roman"/>
          <w:b/>
          <w:sz w:val="24"/>
          <w:szCs w:val="24"/>
        </w:rPr>
      </w:pPr>
      <w:r w:rsidRPr="00464063">
        <w:rPr>
          <w:rFonts w:ascii="Calibri" w:eastAsia="Calibri" w:hAnsi="Calibri" w:cs="Times New Roman"/>
          <w:b/>
          <w:sz w:val="24"/>
          <w:szCs w:val="24"/>
        </w:rPr>
        <w:t xml:space="preserve">Acknowledgements. </w:t>
      </w:r>
    </w:p>
    <w:p w14:paraId="74EAFA0C" w14:textId="77777777" w:rsidR="000F0121" w:rsidRDefault="0009045F" w:rsidP="0009045F">
      <w:pPr>
        <w:spacing w:after="240" w:line="240" w:lineRule="auto"/>
        <w:ind w:left="567"/>
        <w:rPr>
          <w:rFonts w:ascii="Calibri" w:eastAsia="Calibri" w:hAnsi="Calibri" w:cs="Times New Roman"/>
          <w:bCs/>
          <w:sz w:val="24"/>
          <w:szCs w:val="24"/>
        </w:rPr>
      </w:pPr>
      <w:r w:rsidRPr="0009045F">
        <w:rPr>
          <w:rFonts w:ascii="Calibri" w:eastAsia="Calibri" w:hAnsi="Calibri" w:cs="Times New Roman"/>
          <w:bCs/>
          <w:sz w:val="24"/>
          <w:szCs w:val="24"/>
        </w:rPr>
        <w:t xml:space="preserve">This research used information from the Health Surveys for epidemiological surveillance of </w:t>
      </w:r>
      <w:proofErr w:type="gramStart"/>
      <w:r w:rsidRPr="0009045F">
        <w:rPr>
          <w:rFonts w:ascii="Calibri" w:eastAsia="Calibri" w:hAnsi="Calibri" w:cs="Times New Roman"/>
          <w:bCs/>
          <w:sz w:val="24"/>
          <w:szCs w:val="24"/>
        </w:rPr>
        <w:t xml:space="preserve">the  </w:t>
      </w:r>
      <w:proofErr w:type="spellStart"/>
      <w:r w:rsidRPr="0009045F">
        <w:rPr>
          <w:rFonts w:ascii="Calibri" w:eastAsia="Calibri" w:hAnsi="Calibri" w:cs="Times New Roman"/>
          <w:bCs/>
          <w:sz w:val="24"/>
          <w:szCs w:val="24"/>
        </w:rPr>
        <w:t>Subsecretaría</w:t>
      </w:r>
      <w:proofErr w:type="spellEnd"/>
      <w:proofErr w:type="gramEnd"/>
      <w:r w:rsidRPr="0009045F">
        <w:rPr>
          <w:rFonts w:ascii="Calibri" w:eastAsia="Calibri" w:hAnsi="Calibri" w:cs="Times New Roman"/>
          <w:bCs/>
          <w:sz w:val="24"/>
          <w:szCs w:val="24"/>
        </w:rPr>
        <w:t xml:space="preserve"> de </w:t>
      </w:r>
      <w:proofErr w:type="spellStart"/>
      <w:r w:rsidRPr="0009045F">
        <w:rPr>
          <w:rFonts w:ascii="Calibri" w:eastAsia="Calibri" w:hAnsi="Calibri" w:cs="Times New Roman"/>
          <w:bCs/>
          <w:sz w:val="24"/>
          <w:szCs w:val="24"/>
        </w:rPr>
        <w:t>Salud</w:t>
      </w:r>
      <w:proofErr w:type="spellEnd"/>
      <w:r w:rsidRPr="0009045F">
        <w:rPr>
          <w:rFonts w:ascii="Calibri" w:eastAsia="Calibri" w:hAnsi="Calibri" w:cs="Times New Roman"/>
          <w:bCs/>
          <w:sz w:val="24"/>
          <w:szCs w:val="24"/>
        </w:rPr>
        <w:t xml:space="preserve"> </w:t>
      </w:r>
      <w:proofErr w:type="spellStart"/>
      <w:r w:rsidRPr="0009045F">
        <w:rPr>
          <w:rFonts w:ascii="Calibri" w:eastAsia="Calibri" w:hAnsi="Calibri" w:cs="Times New Roman"/>
          <w:bCs/>
          <w:sz w:val="24"/>
          <w:szCs w:val="24"/>
        </w:rPr>
        <w:t>Pública</w:t>
      </w:r>
      <w:proofErr w:type="spellEnd"/>
      <w:r w:rsidRPr="0009045F">
        <w:rPr>
          <w:rFonts w:ascii="Calibri" w:eastAsia="Calibri" w:hAnsi="Calibri" w:cs="Times New Roman"/>
          <w:bCs/>
          <w:sz w:val="24"/>
          <w:szCs w:val="24"/>
        </w:rPr>
        <w:t xml:space="preserve">. The authors are grateful to the Ministry of Health of Chile for </w:t>
      </w:r>
      <w:r w:rsidR="000F0121" w:rsidRPr="0009045F">
        <w:rPr>
          <w:rFonts w:ascii="Calibri" w:eastAsia="Calibri" w:hAnsi="Calibri" w:cs="Times New Roman"/>
          <w:bCs/>
          <w:sz w:val="24"/>
          <w:szCs w:val="24"/>
        </w:rPr>
        <w:t>having made</w:t>
      </w:r>
      <w:r w:rsidRPr="0009045F">
        <w:rPr>
          <w:rFonts w:ascii="Calibri" w:eastAsia="Calibri" w:hAnsi="Calibri" w:cs="Times New Roman"/>
          <w:bCs/>
          <w:sz w:val="24"/>
          <w:szCs w:val="24"/>
        </w:rPr>
        <w:t xml:space="preserve"> the database available to us</w:t>
      </w:r>
      <w:proofErr w:type="gramStart"/>
      <w:r w:rsidRPr="0009045F">
        <w:rPr>
          <w:rFonts w:ascii="Calibri" w:eastAsia="Calibri" w:hAnsi="Calibri" w:cs="Times New Roman"/>
          <w:bCs/>
          <w:sz w:val="24"/>
          <w:szCs w:val="24"/>
        </w:rPr>
        <w:t xml:space="preserve">. </w:t>
      </w:r>
      <w:proofErr w:type="gramEnd"/>
      <w:r w:rsidRPr="0009045F">
        <w:rPr>
          <w:rFonts w:ascii="Calibri" w:eastAsia="Calibri" w:hAnsi="Calibri" w:cs="Times New Roman"/>
          <w:bCs/>
          <w:sz w:val="24"/>
          <w:szCs w:val="24"/>
        </w:rPr>
        <w:t xml:space="preserve">All the results obtained from the study or research are </w:t>
      </w:r>
      <w:r w:rsidR="000F0121" w:rsidRPr="0009045F">
        <w:rPr>
          <w:rFonts w:ascii="Calibri" w:eastAsia="Calibri" w:hAnsi="Calibri" w:cs="Times New Roman"/>
          <w:bCs/>
          <w:sz w:val="24"/>
          <w:szCs w:val="24"/>
        </w:rPr>
        <w:t>the responsibility</w:t>
      </w:r>
      <w:r w:rsidRPr="0009045F">
        <w:rPr>
          <w:rFonts w:ascii="Calibri" w:eastAsia="Calibri" w:hAnsi="Calibri" w:cs="Times New Roman"/>
          <w:bCs/>
          <w:sz w:val="24"/>
          <w:szCs w:val="24"/>
        </w:rPr>
        <w:t xml:space="preserve"> of the authors and in no way compromise the said institution [http://epi.minsal.cl/encuesta-nacional-de-salud-2015-2016/].  </w:t>
      </w:r>
    </w:p>
    <w:p w14:paraId="4B2683FF" w14:textId="6C43824F" w:rsidR="00771EFA" w:rsidRDefault="0097736C" w:rsidP="0009045F">
      <w:pPr>
        <w:spacing w:after="240" w:line="240" w:lineRule="auto"/>
        <w:ind w:left="567"/>
        <w:rPr>
          <w:rFonts w:ascii="Calibri" w:eastAsia="Calibri" w:hAnsi="Calibri" w:cs="Times New Roman"/>
          <w:b/>
          <w:sz w:val="24"/>
          <w:szCs w:val="24"/>
        </w:rPr>
      </w:pPr>
      <w:r w:rsidRPr="00411C2C">
        <w:rPr>
          <w:rFonts w:ascii="Calibri" w:eastAsia="Calibri" w:hAnsi="Calibri" w:cs="Times New Roman"/>
          <w:b/>
          <w:sz w:val="24"/>
          <w:szCs w:val="24"/>
        </w:rPr>
        <w:t xml:space="preserve">Conflicts of interest. </w:t>
      </w:r>
    </w:p>
    <w:p w14:paraId="5444660B" w14:textId="579D4A5C" w:rsidR="0097736C" w:rsidRPr="00411C2C" w:rsidRDefault="004D16D4" w:rsidP="00906B2F">
      <w:pPr>
        <w:spacing w:after="240" w:line="240" w:lineRule="auto"/>
        <w:ind w:left="567"/>
        <w:rPr>
          <w:rFonts w:ascii="Calibri" w:eastAsia="Calibri" w:hAnsi="Calibri" w:cs="Times New Roman"/>
          <w:b/>
          <w:sz w:val="24"/>
          <w:szCs w:val="24"/>
        </w:rPr>
      </w:pPr>
      <w:r>
        <w:rPr>
          <w:rFonts w:ascii="Calibri" w:eastAsia="Calibri" w:hAnsi="Calibri" w:cs="Times New Roman"/>
          <w:bCs/>
          <w:sz w:val="24"/>
          <w:szCs w:val="24"/>
        </w:rPr>
        <w:t>JAK, HJ, NCH, ML, EL</w:t>
      </w:r>
      <w:r w:rsidR="00A51275">
        <w:rPr>
          <w:rFonts w:ascii="Calibri" w:eastAsia="Calibri" w:hAnsi="Calibri" w:cs="Times New Roman"/>
          <w:bCs/>
          <w:sz w:val="24"/>
          <w:szCs w:val="24"/>
        </w:rPr>
        <w:t xml:space="preserve"> LV and EVM comprise the team that </w:t>
      </w:r>
      <w:r w:rsidR="00B0492F">
        <w:rPr>
          <w:rFonts w:ascii="Calibri" w:eastAsia="Calibri" w:hAnsi="Calibri" w:cs="Times New Roman"/>
          <w:bCs/>
          <w:sz w:val="24"/>
          <w:szCs w:val="24"/>
        </w:rPr>
        <w:t>develops</w:t>
      </w:r>
      <w:r w:rsidR="00A51275">
        <w:rPr>
          <w:rFonts w:ascii="Calibri" w:eastAsia="Calibri" w:hAnsi="Calibri" w:cs="Times New Roman"/>
          <w:bCs/>
          <w:sz w:val="24"/>
          <w:szCs w:val="24"/>
        </w:rPr>
        <w:t xml:space="preserve"> and maintains FRAX</w:t>
      </w:r>
      <w:proofErr w:type="gramStart"/>
      <w:r w:rsidR="00DA50B3">
        <w:rPr>
          <w:rFonts w:ascii="Calibri" w:eastAsia="Calibri" w:hAnsi="Calibri" w:cs="Times New Roman"/>
          <w:bCs/>
          <w:sz w:val="24"/>
          <w:szCs w:val="24"/>
        </w:rPr>
        <w:t xml:space="preserve">. </w:t>
      </w:r>
      <w:proofErr w:type="gramEnd"/>
      <w:r w:rsidR="00DA50B3">
        <w:rPr>
          <w:rFonts w:ascii="Calibri" w:eastAsia="Calibri" w:hAnsi="Calibri" w:cs="Times New Roman"/>
          <w:bCs/>
          <w:sz w:val="24"/>
          <w:szCs w:val="24"/>
        </w:rPr>
        <w:t xml:space="preserve">JAK, </w:t>
      </w:r>
      <w:r w:rsidR="005E2193">
        <w:rPr>
          <w:rFonts w:ascii="Calibri" w:eastAsia="Calibri" w:hAnsi="Calibri" w:cs="Times New Roman"/>
          <w:bCs/>
          <w:sz w:val="24"/>
          <w:szCs w:val="24"/>
        </w:rPr>
        <w:t>E</w:t>
      </w:r>
      <w:r w:rsidR="00DA50B3">
        <w:rPr>
          <w:rFonts w:ascii="Calibri" w:eastAsia="Calibri" w:hAnsi="Calibri" w:cs="Times New Roman"/>
          <w:bCs/>
          <w:sz w:val="24"/>
          <w:szCs w:val="24"/>
        </w:rPr>
        <w:t xml:space="preserve">VM and NH are members of the National </w:t>
      </w:r>
      <w:r w:rsidR="00C3232C">
        <w:rPr>
          <w:rFonts w:ascii="Calibri" w:eastAsia="Calibri" w:hAnsi="Calibri" w:cs="Times New Roman"/>
          <w:bCs/>
          <w:sz w:val="24"/>
          <w:szCs w:val="24"/>
        </w:rPr>
        <w:t>Osteoporosis</w:t>
      </w:r>
      <w:r w:rsidR="00DA50B3">
        <w:rPr>
          <w:rFonts w:ascii="Calibri" w:eastAsia="Calibri" w:hAnsi="Calibri" w:cs="Times New Roman"/>
          <w:bCs/>
          <w:sz w:val="24"/>
          <w:szCs w:val="24"/>
        </w:rPr>
        <w:t xml:space="preserve"> Guideline Group (UK)</w:t>
      </w:r>
      <w:r w:rsidR="007B0450">
        <w:rPr>
          <w:rFonts w:ascii="Calibri" w:eastAsia="Calibri" w:hAnsi="Calibri" w:cs="Times New Roman"/>
          <w:bCs/>
          <w:sz w:val="24"/>
          <w:szCs w:val="24"/>
        </w:rPr>
        <w:t xml:space="preserve">. </w:t>
      </w:r>
      <w:r w:rsidR="00305C21">
        <w:rPr>
          <w:rFonts w:ascii="Calibri" w:eastAsia="Calibri" w:hAnsi="Calibri" w:cs="Times New Roman"/>
          <w:bCs/>
          <w:sz w:val="24"/>
          <w:szCs w:val="24"/>
        </w:rPr>
        <w:t>ELG</w:t>
      </w:r>
      <w:r w:rsidR="001947FA">
        <w:rPr>
          <w:rFonts w:ascii="Calibri" w:eastAsia="Calibri" w:hAnsi="Calibri" w:cs="Times New Roman"/>
          <w:bCs/>
          <w:sz w:val="24"/>
          <w:szCs w:val="24"/>
        </w:rPr>
        <w:t xml:space="preserve">, INL and NGM </w:t>
      </w:r>
      <w:r w:rsidR="00FA7E2D">
        <w:rPr>
          <w:rFonts w:ascii="Calibri" w:eastAsia="Calibri" w:hAnsi="Calibri" w:cs="Times New Roman"/>
          <w:bCs/>
          <w:sz w:val="24"/>
          <w:szCs w:val="24"/>
        </w:rPr>
        <w:t>report no competing interests.</w:t>
      </w:r>
    </w:p>
    <w:p w14:paraId="5F0B848B" w14:textId="77777777" w:rsidR="0097736C" w:rsidRPr="00411C2C" w:rsidRDefault="0097736C" w:rsidP="00906B2F">
      <w:pPr>
        <w:spacing w:after="240" w:line="240" w:lineRule="auto"/>
        <w:ind w:left="567"/>
        <w:rPr>
          <w:rFonts w:ascii="Calibri" w:eastAsia="Calibri" w:hAnsi="Calibri" w:cs="Times New Roman"/>
          <w:b/>
          <w:sz w:val="24"/>
          <w:szCs w:val="24"/>
        </w:rPr>
      </w:pPr>
      <w:r w:rsidRPr="00411C2C">
        <w:rPr>
          <w:rFonts w:ascii="Calibri" w:eastAsia="Calibri" w:hAnsi="Calibri" w:cs="Times New Roman"/>
          <w:b/>
          <w:sz w:val="24"/>
          <w:szCs w:val="24"/>
        </w:rPr>
        <w:t xml:space="preserve">Funding </w:t>
      </w:r>
      <w:r w:rsidRPr="00CD2D66">
        <w:rPr>
          <w:rFonts w:ascii="Calibri" w:eastAsia="Calibri" w:hAnsi="Calibri" w:cs="Times New Roman"/>
          <w:b/>
          <w:sz w:val="24"/>
          <w:szCs w:val="24"/>
        </w:rPr>
        <w:t>statement</w:t>
      </w:r>
      <w:proofErr w:type="gramStart"/>
      <w:r w:rsidRPr="00CD2D66">
        <w:rPr>
          <w:rFonts w:ascii="Calibri" w:eastAsia="Calibri" w:hAnsi="Calibri" w:cs="Times New Roman"/>
          <w:b/>
          <w:sz w:val="24"/>
          <w:szCs w:val="24"/>
        </w:rPr>
        <w:t xml:space="preserve">. </w:t>
      </w:r>
      <w:proofErr w:type="gramEnd"/>
      <w:r w:rsidRPr="00CD2D66">
        <w:rPr>
          <w:rFonts w:ascii="Calibri" w:eastAsia="Calibri" w:hAnsi="Calibri" w:cs="Times New Roman"/>
          <w:bCs/>
          <w:sz w:val="24"/>
          <w:szCs w:val="24"/>
        </w:rPr>
        <w:t xml:space="preserve">No sponsors funded nor had any decision in the development, </w:t>
      </w:r>
      <w:proofErr w:type="gramStart"/>
      <w:r w:rsidRPr="00CD2D66">
        <w:rPr>
          <w:rFonts w:ascii="Calibri" w:eastAsia="Calibri" w:hAnsi="Calibri" w:cs="Times New Roman"/>
          <w:bCs/>
          <w:sz w:val="24"/>
          <w:szCs w:val="24"/>
        </w:rPr>
        <w:t>review</w:t>
      </w:r>
      <w:proofErr w:type="gramEnd"/>
      <w:r w:rsidRPr="00CD2D66">
        <w:rPr>
          <w:rFonts w:ascii="Calibri" w:eastAsia="Calibri" w:hAnsi="Calibri" w:cs="Times New Roman"/>
          <w:bCs/>
          <w:sz w:val="24"/>
          <w:szCs w:val="24"/>
        </w:rPr>
        <w:t xml:space="preserve"> or submission of this article.</w:t>
      </w:r>
    </w:p>
    <w:p w14:paraId="04819BF9" w14:textId="77777777" w:rsidR="00334418" w:rsidRPr="00754D6B" w:rsidRDefault="00334418" w:rsidP="00906B2F">
      <w:pPr>
        <w:autoSpaceDE w:val="0"/>
        <w:autoSpaceDN w:val="0"/>
        <w:adjustRightInd w:val="0"/>
        <w:spacing w:after="0" w:line="276" w:lineRule="auto"/>
        <w:ind w:left="567"/>
        <w:rPr>
          <w:rFonts w:ascii="Calibri" w:hAnsi="Calibri" w:cs="Calibri"/>
          <w:sz w:val="24"/>
          <w:szCs w:val="24"/>
        </w:rPr>
      </w:pPr>
    </w:p>
    <w:p w14:paraId="37513F63" w14:textId="77777777" w:rsidR="00CD2D66" w:rsidRDefault="00CD2D66" w:rsidP="00906B2F">
      <w:pPr>
        <w:autoSpaceDE w:val="0"/>
        <w:autoSpaceDN w:val="0"/>
        <w:adjustRightInd w:val="0"/>
        <w:spacing w:after="0" w:line="276" w:lineRule="auto"/>
        <w:ind w:left="567"/>
        <w:rPr>
          <w:rFonts w:ascii="Calibri" w:hAnsi="Calibri" w:cs="Calibri"/>
          <w:b/>
          <w:bCs/>
          <w:sz w:val="24"/>
          <w:szCs w:val="24"/>
        </w:rPr>
      </w:pPr>
    </w:p>
    <w:p w14:paraId="710B92BF" w14:textId="6FF8D005" w:rsidR="0000221E" w:rsidRPr="00754D6B" w:rsidRDefault="0000221E" w:rsidP="00906B2F">
      <w:pPr>
        <w:autoSpaceDE w:val="0"/>
        <w:autoSpaceDN w:val="0"/>
        <w:adjustRightInd w:val="0"/>
        <w:spacing w:after="0" w:line="276" w:lineRule="auto"/>
        <w:ind w:left="567"/>
        <w:rPr>
          <w:rFonts w:ascii="Calibri" w:hAnsi="Calibri" w:cs="Calibri"/>
          <w:b/>
          <w:bCs/>
          <w:sz w:val="24"/>
          <w:szCs w:val="24"/>
        </w:rPr>
      </w:pPr>
      <w:r w:rsidRPr="00754D6B">
        <w:rPr>
          <w:rFonts w:ascii="Calibri" w:hAnsi="Calibri" w:cs="Calibri"/>
          <w:b/>
          <w:bCs/>
          <w:sz w:val="24"/>
          <w:szCs w:val="24"/>
        </w:rPr>
        <w:t>References</w:t>
      </w:r>
    </w:p>
    <w:p w14:paraId="64099E93" w14:textId="77777777" w:rsidR="0000221E" w:rsidRPr="00072023" w:rsidRDefault="0000221E" w:rsidP="0000221E">
      <w:pPr>
        <w:autoSpaceDE w:val="0"/>
        <w:autoSpaceDN w:val="0"/>
        <w:adjustRightInd w:val="0"/>
        <w:spacing w:after="0" w:line="276"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687CE4" w:rsidRPr="00072023" w14:paraId="688D418E" w14:textId="77777777" w:rsidTr="004408F5">
        <w:tc>
          <w:tcPr>
            <w:tcW w:w="562" w:type="dxa"/>
          </w:tcPr>
          <w:p w14:paraId="51089A4B" w14:textId="77777777" w:rsidR="00687CE4" w:rsidRDefault="00687CE4" w:rsidP="00ED016E">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w:t>
            </w:r>
          </w:p>
        </w:tc>
        <w:tc>
          <w:tcPr>
            <w:tcW w:w="8454" w:type="dxa"/>
          </w:tcPr>
          <w:p w14:paraId="52141C44" w14:textId="77777777" w:rsidR="00687CE4" w:rsidRPr="001F5F45" w:rsidRDefault="00687CE4" w:rsidP="00ED016E">
            <w:pPr>
              <w:autoSpaceDE w:val="0"/>
              <w:autoSpaceDN w:val="0"/>
              <w:adjustRightInd w:val="0"/>
              <w:spacing w:before="240" w:line="276" w:lineRule="auto"/>
              <w:ind w:left="34" w:hanging="34"/>
            </w:pPr>
            <w:r w:rsidRPr="00EF3367">
              <w:t xml:space="preserve">Nguyen ND, Frost SA, Center JR, </w:t>
            </w:r>
            <w:proofErr w:type="spellStart"/>
            <w:r w:rsidRPr="00EF3367">
              <w:t>Eisman</w:t>
            </w:r>
            <w:proofErr w:type="spellEnd"/>
            <w:r w:rsidRPr="00EF3367">
              <w:t xml:space="preserve"> JA, Nguyen TV (2008) Development of prognostic nomograms for individualizing 5-year and 10-year fracture risks</w:t>
            </w:r>
            <w:proofErr w:type="gramStart"/>
            <w:r w:rsidRPr="00EF3367">
              <w:t xml:space="preserve">. </w:t>
            </w:r>
            <w:proofErr w:type="gramEnd"/>
            <w:r w:rsidRPr="00EF3367">
              <w:t>Osteoporos Int 19:1431–1444</w:t>
            </w:r>
          </w:p>
        </w:tc>
      </w:tr>
      <w:tr w:rsidR="00687CE4" w:rsidRPr="00E5256E" w14:paraId="10EEF220" w14:textId="77777777" w:rsidTr="004408F5">
        <w:tc>
          <w:tcPr>
            <w:tcW w:w="562" w:type="dxa"/>
          </w:tcPr>
          <w:p w14:paraId="0E18D129" w14:textId="77777777" w:rsidR="00687CE4" w:rsidRDefault="00687CE4" w:rsidP="003E3683">
            <w:pPr>
              <w:autoSpaceDE w:val="0"/>
              <w:autoSpaceDN w:val="0"/>
              <w:adjustRightInd w:val="0"/>
              <w:spacing w:before="240" w:line="276" w:lineRule="auto"/>
              <w:ind w:left="567" w:hanging="567"/>
            </w:pPr>
            <w:r>
              <w:t>2.</w:t>
            </w:r>
          </w:p>
        </w:tc>
        <w:tc>
          <w:tcPr>
            <w:tcW w:w="8454" w:type="dxa"/>
          </w:tcPr>
          <w:p w14:paraId="691CCCF0" w14:textId="77777777" w:rsidR="00687CE4" w:rsidRPr="007358EB" w:rsidRDefault="00687CE4" w:rsidP="00D471D8">
            <w:pPr>
              <w:autoSpaceDE w:val="0"/>
              <w:autoSpaceDN w:val="0"/>
              <w:adjustRightInd w:val="0"/>
              <w:spacing w:before="240" w:line="276" w:lineRule="auto"/>
              <w:ind w:left="34" w:hanging="34"/>
              <w:rPr>
                <w:rFonts w:ascii="Calibri" w:hAnsi="Calibri" w:cs="Calibri"/>
                <w:sz w:val="20"/>
                <w:szCs w:val="20"/>
              </w:rPr>
            </w:pPr>
            <w:proofErr w:type="spellStart"/>
            <w:r>
              <w:t>Hippisley</w:t>
            </w:r>
            <w:proofErr w:type="spellEnd"/>
            <w:r>
              <w:t xml:space="preserve">-Cox J, Coupland C (2009) Predicting risk of osteoporotic fracture in men and women in England and Wales: prospective derivation and validation of </w:t>
            </w:r>
            <w:proofErr w:type="spellStart"/>
            <w:r>
              <w:t>QFractureScores</w:t>
            </w:r>
            <w:proofErr w:type="spellEnd"/>
            <w:proofErr w:type="gramStart"/>
            <w:r>
              <w:t xml:space="preserve">. </w:t>
            </w:r>
            <w:proofErr w:type="gramEnd"/>
            <w:r>
              <w:t xml:space="preserve">BMJ </w:t>
            </w:r>
            <w:proofErr w:type="gramStart"/>
            <w:r>
              <w:t>339:b</w:t>
            </w:r>
            <w:proofErr w:type="gramEnd"/>
            <w:r>
              <w:t>4229</w:t>
            </w:r>
          </w:p>
        </w:tc>
      </w:tr>
      <w:tr w:rsidR="00687CE4" w:rsidRPr="00072023" w14:paraId="650FA286" w14:textId="77777777" w:rsidTr="004408F5">
        <w:tc>
          <w:tcPr>
            <w:tcW w:w="562" w:type="dxa"/>
          </w:tcPr>
          <w:p w14:paraId="39CB6E6C"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w:t>
            </w:r>
          </w:p>
        </w:tc>
        <w:tc>
          <w:tcPr>
            <w:tcW w:w="8454" w:type="dxa"/>
          </w:tcPr>
          <w:p w14:paraId="4C57F2EF"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3331B7">
              <w:rPr>
                <w:rFonts w:ascii="Calibri" w:hAnsi="Calibri" w:cs="Calibri"/>
                <w:sz w:val="20"/>
                <w:szCs w:val="20"/>
              </w:rPr>
              <w:t>Kanis JA, McCloskey E, Branco J, Brandi ML, Dennison E, Devogelaer JP, Ferrari S, Kaufman JM, Papapoulos S, Reginster JY, Rizzoli R (2014) Goal-directed treatment of osteoporosis in Europe.  Osteoporos Int 25: 2533-43.</w:t>
            </w:r>
          </w:p>
        </w:tc>
      </w:tr>
      <w:tr w:rsidR="00687CE4" w:rsidRPr="00072023" w14:paraId="5DE3E86E" w14:textId="77777777" w:rsidTr="004408F5">
        <w:tc>
          <w:tcPr>
            <w:tcW w:w="562" w:type="dxa"/>
          </w:tcPr>
          <w:p w14:paraId="23DAD782" w14:textId="77777777" w:rsidR="00687CE4" w:rsidRPr="00E52550"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4.</w:t>
            </w:r>
          </w:p>
        </w:tc>
        <w:tc>
          <w:tcPr>
            <w:tcW w:w="8454" w:type="dxa"/>
          </w:tcPr>
          <w:p w14:paraId="1D8A4E20" w14:textId="77777777" w:rsidR="00687CE4" w:rsidRPr="00E52550" w:rsidRDefault="00687CE4" w:rsidP="00D471D8">
            <w:pPr>
              <w:autoSpaceDE w:val="0"/>
              <w:autoSpaceDN w:val="0"/>
              <w:adjustRightInd w:val="0"/>
              <w:spacing w:before="240" w:line="276" w:lineRule="auto"/>
              <w:ind w:left="34" w:hanging="34"/>
              <w:rPr>
                <w:rFonts w:ascii="Calibri" w:hAnsi="Calibri" w:cs="Calibri"/>
                <w:sz w:val="20"/>
                <w:szCs w:val="20"/>
              </w:rPr>
            </w:pPr>
            <w:r w:rsidRPr="006C14CD">
              <w:rPr>
                <w:rFonts w:ascii="Calibri" w:hAnsi="Calibri" w:cs="Calibri"/>
                <w:sz w:val="20"/>
                <w:szCs w:val="20"/>
              </w:rPr>
              <w:t xml:space="preserve">Kanis JA, Johansson H, Harvey </w:t>
            </w:r>
            <w:proofErr w:type="gramStart"/>
            <w:r w:rsidRPr="006C14CD">
              <w:rPr>
                <w:rFonts w:ascii="Calibri" w:hAnsi="Calibri" w:cs="Calibri"/>
                <w:sz w:val="20"/>
                <w:szCs w:val="20"/>
              </w:rPr>
              <w:t>NC</w:t>
            </w:r>
            <w:proofErr w:type="gramEnd"/>
            <w:r w:rsidRPr="006C14CD">
              <w:rPr>
                <w:rFonts w:ascii="Calibri" w:hAnsi="Calibri" w:cs="Calibri"/>
                <w:sz w:val="20"/>
                <w:szCs w:val="20"/>
              </w:rPr>
              <w:t xml:space="preserve"> and McCloskey EV (2018) A brief history of FRAX. Arch Osteoporos 13: 118</w:t>
            </w:r>
            <w:proofErr w:type="gramStart"/>
            <w:r w:rsidRPr="006C14CD">
              <w:rPr>
                <w:rFonts w:ascii="Calibri" w:hAnsi="Calibri" w:cs="Calibri"/>
                <w:sz w:val="20"/>
                <w:szCs w:val="20"/>
              </w:rPr>
              <w:t xml:space="preserve">. </w:t>
            </w:r>
            <w:proofErr w:type="gramEnd"/>
            <w:r w:rsidRPr="006C14CD">
              <w:rPr>
                <w:rFonts w:ascii="Calibri" w:hAnsi="Calibri" w:cs="Calibri"/>
                <w:sz w:val="20"/>
                <w:szCs w:val="20"/>
              </w:rPr>
              <w:t>DOI: 10.1007/s11657-018-0510-0.</w:t>
            </w:r>
          </w:p>
        </w:tc>
      </w:tr>
      <w:tr w:rsidR="00687CE4" w:rsidRPr="00072023" w14:paraId="5973896C" w14:textId="77777777" w:rsidTr="004408F5">
        <w:tc>
          <w:tcPr>
            <w:tcW w:w="562" w:type="dxa"/>
          </w:tcPr>
          <w:p w14:paraId="0B58B6C1" w14:textId="77777777" w:rsidR="00687CE4" w:rsidRPr="00E52550"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lastRenderedPageBreak/>
              <w:t>5.</w:t>
            </w:r>
          </w:p>
        </w:tc>
        <w:tc>
          <w:tcPr>
            <w:tcW w:w="8454" w:type="dxa"/>
          </w:tcPr>
          <w:p w14:paraId="6567C814" w14:textId="2CD64717" w:rsidR="00687CE4" w:rsidRPr="006C14CD" w:rsidRDefault="00687CE4" w:rsidP="00D471D8">
            <w:pPr>
              <w:autoSpaceDE w:val="0"/>
              <w:autoSpaceDN w:val="0"/>
              <w:adjustRightInd w:val="0"/>
              <w:spacing w:before="240" w:line="276" w:lineRule="auto"/>
              <w:ind w:left="34" w:hanging="34"/>
              <w:rPr>
                <w:rFonts w:ascii="Calibri" w:hAnsi="Calibri" w:cs="Calibri"/>
                <w:sz w:val="20"/>
                <w:szCs w:val="20"/>
              </w:rPr>
            </w:pPr>
            <w:r w:rsidRPr="00E65CA6">
              <w:rPr>
                <w:rFonts w:ascii="Calibri" w:hAnsi="Calibri" w:cs="Calibri"/>
                <w:sz w:val="20"/>
                <w:szCs w:val="20"/>
              </w:rPr>
              <w:t>Kanis JA, Harvey NC, Johansson H, Liu E, Lorentzon M, Leslie WD, Eugene V McCloskey E (2020) A decade of FRAX: How has it changed the management of osteoporosis</w:t>
            </w:r>
            <w:proofErr w:type="gramStart"/>
            <w:r w:rsidRPr="00E65CA6">
              <w:rPr>
                <w:rFonts w:ascii="Calibri" w:hAnsi="Calibri" w:cs="Calibri"/>
                <w:sz w:val="20"/>
                <w:szCs w:val="20"/>
              </w:rPr>
              <w:t xml:space="preserve">? </w:t>
            </w:r>
            <w:proofErr w:type="gramEnd"/>
            <w:r w:rsidRPr="00E65CA6">
              <w:rPr>
                <w:rFonts w:ascii="Calibri" w:hAnsi="Calibri" w:cs="Calibri"/>
                <w:sz w:val="20"/>
                <w:szCs w:val="20"/>
              </w:rPr>
              <w:t>Aging Clin Exp Res 33:187-196</w:t>
            </w:r>
          </w:p>
        </w:tc>
      </w:tr>
      <w:tr w:rsidR="00687CE4" w:rsidRPr="00072023" w14:paraId="6DA39FA2" w14:textId="77777777" w:rsidTr="004408F5">
        <w:tc>
          <w:tcPr>
            <w:tcW w:w="562" w:type="dxa"/>
          </w:tcPr>
          <w:p w14:paraId="406BCC20"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6.</w:t>
            </w:r>
          </w:p>
        </w:tc>
        <w:tc>
          <w:tcPr>
            <w:tcW w:w="8454" w:type="dxa"/>
          </w:tcPr>
          <w:p w14:paraId="0282C3F1" w14:textId="77777777" w:rsidR="00687CE4" w:rsidRPr="00BF58EE" w:rsidRDefault="00687CE4" w:rsidP="00D471D8">
            <w:pPr>
              <w:autoSpaceDE w:val="0"/>
              <w:autoSpaceDN w:val="0"/>
              <w:adjustRightInd w:val="0"/>
              <w:spacing w:before="240" w:line="276" w:lineRule="auto"/>
              <w:ind w:left="34" w:hanging="34"/>
              <w:rPr>
                <w:rFonts w:ascii="Calibri" w:hAnsi="Calibri" w:cs="Calibri"/>
                <w:sz w:val="20"/>
                <w:szCs w:val="20"/>
              </w:rPr>
            </w:pPr>
            <w:r w:rsidRPr="00135EE5">
              <w:rPr>
                <w:rFonts w:ascii="Calibri" w:hAnsi="Calibri" w:cs="Calibri"/>
                <w:sz w:val="20"/>
                <w:szCs w:val="20"/>
              </w:rPr>
              <w:t>Kanis JA, Oden A, Johansson H, McCloskey E (2012) Pitfalls in the external validation of FRAX.  Osteoporosis International 23: 423-31</w:t>
            </w:r>
          </w:p>
        </w:tc>
      </w:tr>
      <w:tr w:rsidR="00687CE4" w:rsidRPr="00072023" w14:paraId="397C3D32" w14:textId="77777777" w:rsidTr="004408F5">
        <w:tc>
          <w:tcPr>
            <w:tcW w:w="562" w:type="dxa"/>
          </w:tcPr>
          <w:p w14:paraId="392FF4B4" w14:textId="77777777" w:rsidR="00687CE4" w:rsidRPr="00E52550"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7.</w:t>
            </w:r>
          </w:p>
        </w:tc>
        <w:tc>
          <w:tcPr>
            <w:tcW w:w="8454" w:type="dxa"/>
          </w:tcPr>
          <w:p w14:paraId="7FCB68B1"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E52550">
              <w:rPr>
                <w:rFonts w:ascii="Calibri" w:hAnsi="Calibri" w:cs="Calibri"/>
                <w:sz w:val="20"/>
                <w:szCs w:val="20"/>
              </w:rPr>
              <w:t>Kanis JA, Harvey NC, Cyrus Cooper C, Johansson H, Odén A, McCloskey EV, the Advisory Board of the National Osteoporosis Guideline Group (2016) A systematic review of intervention thresholds based on FRAX</w:t>
            </w:r>
            <w:proofErr w:type="gramStart"/>
            <w:r w:rsidRPr="00E52550">
              <w:rPr>
                <w:rFonts w:ascii="Calibri" w:hAnsi="Calibri" w:cs="Calibri"/>
                <w:sz w:val="20"/>
                <w:szCs w:val="20"/>
              </w:rPr>
              <w:t xml:space="preserve">. </w:t>
            </w:r>
            <w:proofErr w:type="gramEnd"/>
            <w:r w:rsidRPr="00E52550">
              <w:rPr>
                <w:rFonts w:ascii="Calibri" w:hAnsi="Calibri" w:cs="Calibri"/>
                <w:sz w:val="20"/>
                <w:szCs w:val="20"/>
              </w:rPr>
              <w:t>A report prepared for the National Osteoporosis Guideline Group and the International Osteoporosis Foundation.  Arch Osteoporos 11:25.</w:t>
            </w:r>
            <w:r>
              <w:t xml:space="preserve"> </w:t>
            </w:r>
            <w:r w:rsidRPr="000A6A5F">
              <w:rPr>
                <w:rFonts w:ascii="Calibri" w:hAnsi="Calibri" w:cs="Calibri"/>
                <w:sz w:val="20"/>
                <w:szCs w:val="20"/>
              </w:rPr>
              <w:t>doi: 10.1007/s11657-016-0278-z.</w:t>
            </w:r>
          </w:p>
        </w:tc>
      </w:tr>
      <w:tr w:rsidR="00687CE4" w:rsidRPr="00E5256E" w14:paraId="59662D6E" w14:textId="77777777" w:rsidTr="004408F5">
        <w:tc>
          <w:tcPr>
            <w:tcW w:w="562" w:type="dxa"/>
          </w:tcPr>
          <w:p w14:paraId="6E447A68" w14:textId="77777777" w:rsidR="00687CE4" w:rsidRPr="00897F59"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8.</w:t>
            </w:r>
          </w:p>
        </w:tc>
        <w:tc>
          <w:tcPr>
            <w:tcW w:w="8454" w:type="dxa"/>
          </w:tcPr>
          <w:p w14:paraId="5418E06A" w14:textId="77777777" w:rsidR="00687CE4" w:rsidRPr="007358EB" w:rsidRDefault="00687CE4" w:rsidP="00D471D8">
            <w:pPr>
              <w:autoSpaceDE w:val="0"/>
              <w:autoSpaceDN w:val="0"/>
              <w:adjustRightInd w:val="0"/>
              <w:spacing w:before="240" w:line="276" w:lineRule="auto"/>
              <w:ind w:left="34" w:hanging="34"/>
              <w:rPr>
                <w:rFonts w:ascii="Calibri" w:hAnsi="Calibri" w:cs="Calibri"/>
                <w:sz w:val="20"/>
                <w:szCs w:val="20"/>
              </w:rPr>
            </w:pPr>
            <w:r w:rsidRPr="00897F59">
              <w:rPr>
                <w:rFonts w:ascii="Calibri" w:hAnsi="Calibri" w:cs="Calibri"/>
                <w:sz w:val="20"/>
                <w:szCs w:val="20"/>
              </w:rPr>
              <w:t>Kanis JA on behalf of the World Health Organization Scientific Group (2007) Assessment of osteoporosis at the primary healthcare level</w:t>
            </w:r>
            <w:proofErr w:type="gramStart"/>
            <w:r w:rsidRPr="00897F59">
              <w:rPr>
                <w:rFonts w:ascii="Calibri" w:hAnsi="Calibri" w:cs="Calibri"/>
                <w:sz w:val="20"/>
                <w:szCs w:val="20"/>
              </w:rPr>
              <w:t xml:space="preserve">. </w:t>
            </w:r>
            <w:proofErr w:type="gramEnd"/>
            <w:r w:rsidRPr="00897F59">
              <w:rPr>
                <w:rFonts w:ascii="Calibri" w:hAnsi="Calibri" w:cs="Calibri"/>
                <w:sz w:val="20"/>
                <w:szCs w:val="20"/>
              </w:rPr>
              <w:t>Technical Report</w:t>
            </w:r>
            <w:proofErr w:type="gramStart"/>
            <w:r w:rsidRPr="00897F59">
              <w:rPr>
                <w:rFonts w:ascii="Calibri" w:hAnsi="Calibri" w:cs="Calibri"/>
                <w:sz w:val="20"/>
                <w:szCs w:val="20"/>
              </w:rPr>
              <w:t xml:space="preserve">. </w:t>
            </w:r>
            <w:proofErr w:type="gramEnd"/>
            <w:r w:rsidRPr="00897F59">
              <w:rPr>
                <w:rFonts w:ascii="Calibri" w:hAnsi="Calibri" w:cs="Calibri"/>
                <w:sz w:val="20"/>
                <w:szCs w:val="20"/>
              </w:rPr>
              <w:t>WHO Collaborating Centre, University of Sheffield, UK</w:t>
            </w:r>
            <w:proofErr w:type="gramStart"/>
            <w:r w:rsidRPr="00897F59">
              <w:rPr>
                <w:rFonts w:ascii="Calibri" w:hAnsi="Calibri" w:cs="Calibri"/>
                <w:sz w:val="20"/>
                <w:szCs w:val="20"/>
              </w:rPr>
              <w:t xml:space="preserve">. </w:t>
            </w:r>
            <w:proofErr w:type="gramEnd"/>
            <w:r w:rsidRPr="00897F59">
              <w:rPr>
                <w:rFonts w:ascii="Calibri" w:hAnsi="Calibri" w:cs="Calibri"/>
                <w:sz w:val="20"/>
                <w:szCs w:val="20"/>
              </w:rPr>
              <w:t xml:space="preserve">Available </w:t>
            </w:r>
            <w:proofErr w:type="gramStart"/>
            <w:r w:rsidRPr="00897F59">
              <w:rPr>
                <w:rFonts w:ascii="Calibri" w:hAnsi="Calibri" w:cs="Calibri"/>
                <w:sz w:val="20"/>
                <w:szCs w:val="20"/>
              </w:rPr>
              <w:t>at .</w:t>
            </w:r>
            <w:proofErr w:type="gramEnd"/>
            <w:r w:rsidRPr="00897F59">
              <w:rPr>
                <w:rFonts w:ascii="Calibri" w:hAnsi="Calibri" w:cs="Calibri"/>
                <w:sz w:val="20"/>
                <w:szCs w:val="20"/>
              </w:rPr>
              <w:t xml:space="preserve"> http://www.shef.ac.uk/FRAX/pdfs/WHO_Technical_Report.pdf</w:t>
            </w:r>
            <w:proofErr w:type="gramStart"/>
            <w:r w:rsidRPr="00897F59">
              <w:rPr>
                <w:rFonts w:ascii="Calibri" w:hAnsi="Calibri" w:cs="Calibri"/>
                <w:sz w:val="20"/>
                <w:szCs w:val="20"/>
              </w:rPr>
              <w:t xml:space="preserve">. </w:t>
            </w:r>
            <w:proofErr w:type="gramEnd"/>
            <w:r w:rsidRPr="00897F59">
              <w:rPr>
                <w:rFonts w:ascii="Calibri" w:hAnsi="Calibri" w:cs="Calibri"/>
                <w:sz w:val="20"/>
                <w:szCs w:val="20"/>
              </w:rPr>
              <w:t>Accessed 26 June 2021</w:t>
            </w:r>
          </w:p>
        </w:tc>
      </w:tr>
      <w:tr w:rsidR="00687CE4" w:rsidRPr="00E5256E" w14:paraId="54A3BF91" w14:textId="77777777" w:rsidTr="004408F5">
        <w:tc>
          <w:tcPr>
            <w:tcW w:w="562" w:type="dxa"/>
          </w:tcPr>
          <w:p w14:paraId="3FE9B685" w14:textId="77777777" w:rsidR="00687CE4" w:rsidRPr="006B7BE7"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9.</w:t>
            </w:r>
          </w:p>
        </w:tc>
        <w:tc>
          <w:tcPr>
            <w:tcW w:w="8454" w:type="dxa"/>
          </w:tcPr>
          <w:p w14:paraId="040BD2D4" w14:textId="705D481A" w:rsidR="00687CE4" w:rsidRPr="00897F59" w:rsidRDefault="00687CE4" w:rsidP="00D471D8">
            <w:pPr>
              <w:autoSpaceDE w:val="0"/>
              <w:autoSpaceDN w:val="0"/>
              <w:adjustRightInd w:val="0"/>
              <w:spacing w:before="240" w:line="276" w:lineRule="auto"/>
              <w:ind w:left="34" w:hanging="34"/>
              <w:rPr>
                <w:rFonts w:ascii="Calibri" w:hAnsi="Calibri" w:cs="Calibri"/>
                <w:sz w:val="20"/>
                <w:szCs w:val="20"/>
              </w:rPr>
            </w:pPr>
            <w:r w:rsidRPr="006B7BE7">
              <w:rPr>
                <w:rFonts w:ascii="Calibri" w:hAnsi="Calibri" w:cs="Calibri"/>
                <w:sz w:val="20"/>
                <w:szCs w:val="20"/>
              </w:rPr>
              <w:t>Kanis JA, Johnell O, Oden A, Johansson H, McCloskey E (2008) FRAX™ and the assessment of fracture probability in men and women from the UK.  Osteoporos Int 19: 385-397</w:t>
            </w:r>
          </w:p>
        </w:tc>
      </w:tr>
      <w:tr w:rsidR="00687CE4" w:rsidRPr="00072023" w14:paraId="228C4028" w14:textId="77777777" w:rsidTr="004408F5">
        <w:tc>
          <w:tcPr>
            <w:tcW w:w="562" w:type="dxa"/>
          </w:tcPr>
          <w:p w14:paraId="28F9127E" w14:textId="77777777" w:rsidR="00687CE4" w:rsidRPr="003B40F8"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10.</w:t>
            </w:r>
          </w:p>
        </w:tc>
        <w:tc>
          <w:tcPr>
            <w:tcW w:w="8454" w:type="dxa"/>
          </w:tcPr>
          <w:p w14:paraId="76472611"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3B40F8">
              <w:rPr>
                <w:rFonts w:ascii="Calibri" w:hAnsi="Calibri" w:cs="Calibri"/>
                <w:sz w:val="20"/>
                <w:szCs w:val="20"/>
              </w:rPr>
              <w:t>Odén A, McCloskey EV, Kanis JA, Harvey NC, Johansson H (2015) Burden of high fracture probability worldwide: secular increases 2010-2040.  Osteoporos Int 26:2243–2248</w:t>
            </w:r>
          </w:p>
        </w:tc>
      </w:tr>
      <w:tr w:rsidR="00687CE4" w:rsidRPr="00072023" w14:paraId="1F6A8A6B" w14:textId="77777777" w:rsidTr="004408F5">
        <w:tc>
          <w:tcPr>
            <w:tcW w:w="562" w:type="dxa"/>
          </w:tcPr>
          <w:p w14:paraId="7985FA3F" w14:textId="77777777" w:rsidR="00687CE4" w:rsidRPr="00083FA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11.</w:t>
            </w:r>
          </w:p>
        </w:tc>
        <w:tc>
          <w:tcPr>
            <w:tcW w:w="8454" w:type="dxa"/>
          </w:tcPr>
          <w:p w14:paraId="23DE3A2D" w14:textId="77777777" w:rsidR="00687CE4" w:rsidRPr="00344696" w:rsidRDefault="00687CE4" w:rsidP="00D471D8">
            <w:pPr>
              <w:autoSpaceDE w:val="0"/>
              <w:autoSpaceDN w:val="0"/>
              <w:adjustRightInd w:val="0"/>
              <w:spacing w:before="240" w:line="276" w:lineRule="auto"/>
              <w:ind w:left="34" w:hanging="34"/>
              <w:rPr>
                <w:rFonts w:ascii="Calibri" w:hAnsi="Calibri" w:cs="Calibri"/>
                <w:sz w:val="20"/>
                <w:szCs w:val="20"/>
              </w:rPr>
            </w:pPr>
            <w:bookmarkStart w:id="11" w:name="_Hlk112689638"/>
            <w:proofErr w:type="spellStart"/>
            <w:r w:rsidRPr="00083FA3">
              <w:rPr>
                <w:rFonts w:ascii="Calibri" w:hAnsi="Calibri" w:cs="Calibri"/>
                <w:sz w:val="20"/>
                <w:szCs w:val="20"/>
              </w:rPr>
              <w:t>Schurman</w:t>
            </w:r>
            <w:bookmarkEnd w:id="11"/>
            <w:proofErr w:type="spellEnd"/>
            <w:r w:rsidRPr="00083FA3">
              <w:rPr>
                <w:rFonts w:ascii="Calibri" w:hAnsi="Calibri" w:cs="Calibri"/>
                <w:sz w:val="20"/>
                <w:szCs w:val="20"/>
              </w:rPr>
              <w:t xml:space="preserve"> L, Galich AM, González C, González D, Messina OD, </w:t>
            </w:r>
            <w:proofErr w:type="spellStart"/>
            <w:r w:rsidRPr="00083FA3">
              <w:rPr>
                <w:rFonts w:ascii="Calibri" w:hAnsi="Calibri" w:cs="Calibri"/>
                <w:sz w:val="20"/>
                <w:szCs w:val="20"/>
              </w:rPr>
              <w:t>Sedlinsky</w:t>
            </w:r>
            <w:proofErr w:type="spellEnd"/>
            <w:r w:rsidRPr="00083FA3">
              <w:rPr>
                <w:rFonts w:ascii="Calibri" w:hAnsi="Calibri" w:cs="Calibri"/>
                <w:sz w:val="20"/>
                <w:szCs w:val="20"/>
              </w:rPr>
              <w:t xml:space="preserve"> C, </w:t>
            </w:r>
            <w:proofErr w:type="spellStart"/>
            <w:r w:rsidRPr="00083FA3">
              <w:rPr>
                <w:rFonts w:ascii="Calibri" w:hAnsi="Calibri" w:cs="Calibri"/>
                <w:sz w:val="20"/>
                <w:szCs w:val="20"/>
              </w:rPr>
              <w:t>Uñas</w:t>
            </w:r>
            <w:proofErr w:type="spellEnd"/>
            <w:r w:rsidRPr="00083FA3">
              <w:rPr>
                <w:rFonts w:ascii="Calibri" w:hAnsi="Calibri" w:cs="Calibri"/>
                <w:sz w:val="20"/>
                <w:szCs w:val="20"/>
              </w:rPr>
              <w:t xml:space="preserve"> CR, Sánchez A</w:t>
            </w:r>
            <w:r>
              <w:rPr>
                <w:rFonts w:ascii="Calibri" w:hAnsi="Calibri" w:cs="Calibri"/>
                <w:sz w:val="20"/>
                <w:szCs w:val="20"/>
              </w:rPr>
              <w:t xml:space="preserve"> (2017) </w:t>
            </w:r>
            <w:proofErr w:type="spellStart"/>
            <w:r w:rsidRPr="00083FA3">
              <w:rPr>
                <w:rFonts w:ascii="Calibri" w:hAnsi="Calibri" w:cs="Calibri"/>
                <w:sz w:val="20"/>
                <w:szCs w:val="20"/>
              </w:rPr>
              <w:t>Guías</w:t>
            </w:r>
            <w:proofErr w:type="spellEnd"/>
            <w:r w:rsidRPr="00083FA3">
              <w:rPr>
                <w:rFonts w:ascii="Calibri" w:hAnsi="Calibri" w:cs="Calibri"/>
                <w:sz w:val="20"/>
                <w:szCs w:val="20"/>
              </w:rPr>
              <w:t xml:space="preserve"> </w:t>
            </w:r>
            <w:proofErr w:type="spellStart"/>
            <w:r w:rsidRPr="00083FA3">
              <w:rPr>
                <w:rFonts w:ascii="Calibri" w:hAnsi="Calibri" w:cs="Calibri"/>
                <w:sz w:val="20"/>
                <w:szCs w:val="20"/>
              </w:rPr>
              <w:t>argentinas</w:t>
            </w:r>
            <w:proofErr w:type="spellEnd"/>
            <w:r w:rsidRPr="00083FA3">
              <w:rPr>
                <w:rFonts w:ascii="Calibri" w:hAnsi="Calibri" w:cs="Calibri"/>
                <w:sz w:val="20"/>
                <w:szCs w:val="20"/>
              </w:rPr>
              <w:t xml:space="preserve"> para </w:t>
            </w:r>
            <w:proofErr w:type="spellStart"/>
            <w:r w:rsidRPr="00083FA3">
              <w:rPr>
                <w:rFonts w:ascii="Calibri" w:hAnsi="Calibri" w:cs="Calibri"/>
                <w:sz w:val="20"/>
                <w:szCs w:val="20"/>
              </w:rPr>
              <w:t>el</w:t>
            </w:r>
            <w:proofErr w:type="spellEnd"/>
            <w:r w:rsidRPr="00083FA3">
              <w:rPr>
                <w:rFonts w:ascii="Calibri" w:hAnsi="Calibri" w:cs="Calibri"/>
                <w:sz w:val="20"/>
                <w:szCs w:val="20"/>
              </w:rPr>
              <w:t xml:space="preserve"> </w:t>
            </w:r>
            <w:proofErr w:type="spellStart"/>
            <w:r w:rsidRPr="00083FA3">
              <w:rPr>
                <w:rFonts w:ascii="Calibri" w:hAnsi="Calibri" w:cs="Calibri"/>
                <w:sz w:val="20"/>
                <w:szCs w:val="20"/>
              </w:rPr>
              <w:t>diagnóstico</w:t>
            </w:r>
            <w:proofErr w:type="spellEnd"/>
            <w:r w:rsidRPr="00083FA3">
              <w:rPr>
                <w:rFonts w:ascii="Calibri" w:hAnsi="Calibri" w:cs="Calibri"/>
                <w:sz w:val="20"/>
                <w:szCs w:val="20"/>
              </w:rPr>
              <w:t xml:space="preserve">, la </w:t>
            </w:r>
            <w:proofErr w:type="spellStart"/>
            <w:r w:rsidRPr="00083FA3">
              <w:rPr>
                <w:rFonts w:ascii="Calibri" w:hAnsi="Calibri" w:cs="Calibri"/>
                <w:sz w:val="20"/>
                <w:szCs w:val="20"/>
              </w:rPr>
              <w:t>prevención</w:t>
            </w:r>
            <w:proofErr w:type="spellEnd"/>
            <w:r w:rsidRPr="00083FA3">
              <w:rPr>
                <w:rFonts w:ascii="Calibri" w:hAnsi="Calibri" w:cs="Calibri"/>
                <w:sz w:val="20"/>
                <w:szCs w:val="20"/>
              </w:rPr>
              <w:t xml:space="preserve"> y </w:t>
            </w:r>
            <w:proofErr w:type="spellStart"/>
            <w:r w:rsidRPr="00083FA3">
              <w:rPr>
                <w:rFonts w:ascii="Calibri" w:hAnsi="Calibri" w:cs="Calibri"/>
                <w:sz w:val="20"/>
                <w:szCs w:val="20"/>
              </w:rPr>
              <w:t>el</w:t>
            </w:r>
            <w:proofErr w:type="spellEnd"/>
            <w:r w:rsidRPr="00083FA3">
              <w:rPr>
                <w:rFonts w:ascii="Calibri" w:hAnsi="Calibri" w:cs="Calibri"/>
                <w:sz w:val="20"/>
                <w:szCs w:val="20"/>
              </w:rPr>
              <w:t xml:space="preserve"> </w:t>
            </w:r>
            <w:proofErr w:type="spellStart"/>
            <w:r w:rsidRPr="00083FA3">
              <w:rPr>
                <w:rFonts w:ascii="Calibri" w:hAnsi="Calibri" w:cs="Calibri"/>
                <w:sz w:val="20"/>
                <w:szCs w:val="20"/>
              </w:rPr>
              <w:t>tratamiento</w:t>
            </w:r>
            <w:proofErr w:type="spellEnd"/>
            <w:r w:rsidRPr="00083FA3">
              <w:rPr>
                <w:rFonts w:ascii="Calibri" w:hAnsi="Calibri" w:cs="Calibri"/>
                <w:sz w:val="20"/>
                <w:szCs w:val="20"/>
              </w:rPr>
              <w:t xml:space="preserve"> de la osteoporosis 2015 [Argentine guidelines for the diagnosis, </w:t>
            </w:r>
            <w:proofErr w:type="gramStart"/>
            <w:r w:rsidRPr="00083FA3">
              <w:rPr>
                <w:rFonts w:ascii="Calibri" w:hAnsi="Calibri" w:cs="Calibri"/>
                <w:sz w:val="20"/>
                <w:szCs w:val="20"/>
              </w:rPr>
              <w:t>prevention</w:t>
            </w:r>
            <w:proofErr w:type="gramEnd"/>
            <w:r w:rsidRPr="00083FA3">
              <w:rPr>
                <w:rFonts w:ascii="Calibri" w:hAnsi="Calibri" w:cs="Calibri"/>
                <w:sz w:val="20"/>
                <w:szCs w:val="20"/>
              </w:rPr>
              <w:t xml:space="preserve"> and treatment of osteoporosis, 2015]. </w:t>
            </w:r>
            <w:proofErr w:type="spellStart"/>
            <w:r w:rsidRPr="00083FA3">
              <w:rPr>
                <w:rFonts w:ascii="Calibri" w:hAnsi="Calibri" w:cs="Calibri"/>
                <w:sz w:val="20"/>
                <w:szCs w:val="20"/>
              </w:rPr>
              <w:t>Medicina</w:t>
            </w:r>
            <w:proofErr w:type="spellEnd"/>
            <w:r w:rsidRPr="00083FA3">
              <w:rPr>
                <w:rFonts w:ascii="Calibri" w:hAnsi="Calibri" w:cs="Calibri"/>
                <w:sz w:val="20"/>
                <w:szCs w:val="20"/>
              </w:rPr>
              <w:t xml:space="preserve"> (B Aires)</w:t>
            </w:r>
            <w:proofErr w:type="gramStart"/>
            <w:r w:rsidRPr="00083FA3">
              <w:rPr>
                <w:rFonts w:ascii="Calibri" w:hAnsi="Calibri" w:cs="Calibri"/>
                <w:sz w:val="20"/>
                <w:szCs w:val="20"/>
              </w:rPr>
              <w:t xml:space="preserve">. </w:t>
            </w:r>
            <w:proofErr w:type="gramEnd"/>
            <w:r w:rsidRPr="00083FA3">
              <w:rPr>
                <w:rFonts w:ascii="Calibri" w:hAnsi="Calibri" w:cs="Calibri"/>
                <w:sz w:val="20"/>
                <w:szCs w:val="20"/>
              </w:rPr>
              <w:t>2017;77(1):46-60</w:t>
            </w:r>
            <w:proofErr w:type="gramStart"/>
            <w:r w:rsidRPr="00083FA3">
              <w:rPr>
                <w:rFonts w:ascii="Calibri" w:hAnsi="Calibri" w:cs="Calibri"/>
                <w:sz w:val="20"/>
                <w:szCs w:val="20"/>
              </w:rPr>
              <w:t xml:space="preserve">. </w:t>
            </w:r>
            <w:proofErr w:type="gramEnd"/>
            <w:r w:rsidRPr="00083FA3">
              <w:rPr>
                <w:rFonts w:ascii="Calibri" w:hAnsi="Calibri" w:cs="Calibri"/>
                <w:sz w:val="20"/>
                <w:szCs w:val="20"/>
              </w:rPr>
              <w:t>Spanish.</w:t>
            </w:r>
          </w:p>
        </w:tc>
      </w:tr>
      <w:tr w:rsidR="00687CE4" w:rsidRPr="00072023" w14:paraId="57633890" w14:textId="77777777" w:rsidTr="004408F5">
        <w:tc>
          <w:tcPr>
            <w:tcW w:w="562" w:type="dxa"/>
          </w:tcPr>
          <w:p w14:paraId="554CFBF1" w14:textId="77777777" w:rsidR="00687CE4" w:rsidRPr="00344696"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12.</w:t>
            </w:r>
          </w:p>
        </w:tc>
        <w:tc>
          <w:tcPr>
            <w:tcW w:w="8454" w:type="dxa"/>
          </w:tcPr>
          <w:p w14:paraId="056A3AED" w14:textId="77777777" w:rsidR="00687CE4" w:rsidRPr="003B40F8" w:rsidRDefault="00687CE4" w:rsidP="00D471D8">
            <w:pPr>
              <w:autoSpaceDE w:val="0"/>
              <w:autoSpaceDN w:val="0"/>
              <w:adjustRightInd w:val="0"/>
              <w:spacing w:before="240" w:line="276" w:lineRule="auto"/>
              <w:ind w:left="34" w:hanging="34"/>
              <w:rPr>
                <w:rFonts w:ascii="Calibri" w:hAnsi="Calibri" w:cs="Calibri"/>
                <w:sz w:val="20"/>
                <w:szCs w:val="20"/>
              </w:rPr>
            </w:pPr>
            <w:proofErr w:type="spellStart"/>
            <w:r w:rsidRPr="00344696">
              <w:rPr>
                <w:rFonts w:ascii="Calibri" w:hAnsi="Calibri" w:cs="Calibri"/>
                <w:sz w:val="20"/>
                <w:szCs w:val="20"/>
              </w:rPr>
              <w:t>Radominski</w:t>
            </w:r>
            <w:proofErr w:type="spellEnd"/>
            <w:r w:rsidRPr="00344696">
              <w:rPr>
                <w:rFonts w:ascii="Calibri" w:hAnsi="Calibri" w:cs="Calibri"/>
                <w:sz w:val="20"/>
                <w:szCs w:val="20"/>
              </w:rPr>
              <w:t xml:space="preserve"> SC, Bernardo W, Paula AP, </w:t>
            </w:r>
            <w:proofErr w:type="spellStart"/>
            <w:r w:rsidRPr="00344696">
              <w:rPr>
                <w:rFonts w:ascii="Calibri" w:hAnsi="Calibri" w:cs="Calibri"/>
                <w:sz w:val="20"/>
                <w:szCs w:val="20"/>
              </w:rPr>
              <w:t>Albergaria</w:t>
            </w:r>
            <w:proofErr w:type="spellEnd"/>
            <w:r w:rsidRPr="00344696">
              <w:rPr>
                <w:rFonts w:ascii="Calibri" w:hAnsi="Calibri" w:cs="Calibri"/>
                <w:sz w:val="20"/>
                <w:szCs w:val="20"/>
              </w:rPr>
              <w:t xml:space="preserve"> BH, Moreira C, Fernandes CE, Castro CHM, Zerbini CAF, </w:t>
            </w:r>
            <w:proofErr w:type="spellStart"/>
            <w:r w:rsidRPr="00344696">
              <w:rPr>
                <w:rFonts w:ascii="Calibri" w:hAnsi="Calibri" w:cs="Calibri"/>
                <w:sz w:val="20"/>
                <w:szCs w:val="20"/>
              </w:rPr>
              <w:t>Domiciano</w:t>
            </w:r>
            <w:proofErr w:type="spellEnd"/>
            <w:r w:rsidRPr="00344696">
              <w:rPr>
                <w:rFonts w:ascii="Calibri" w:hAnsi="Calibri" w:cs="Calibri"/>
                <w:sz w:val="20"/>
                <w:szCs w:val="20"/>
              </w:rPr>
              <w:t xml:space="preserve"> DS, </w:t>
            </w:r>
            <w:proofErr w:type="spellStart"/>
            <w:r w:rsidRPr="00344696">
              <w:rPr>
                <w:rFonts w:ascii="Calibri" w:hAnsi="Calibri" w:cs="Calibri"/>
                <w:sz w:val="20"/>
                <w:szCs w:val="20"/>
              </w:rPr>
              <w:t>Mendonça</w:t>
            </w:r>
            <w:proofErr w:type="spellEnd"/>
            <w:r w:rsidRPr="00344696">
              <w:rPr>
                <w:rFonts w:ascii="Calibri" w:hAnsi="Calibri" w:cs="Calibri"/>
                <w:sz w:val="20"/>
                <w:szCs w:val="20"/>
              </w:rPr>
              <w:t xml:space="preserve"> LMC, Pompei LM, </w:t>
            </w:r>
            <w:proofErr w:type="spellStart"/>
            <w:r w:rsidRPr="00344696">
              <w:rPr>
                <w:rFonts w:ascii="Calibri" w:hAnsi="Calibri" w:cs="Calibri"/>
                <w:sz w:val="20"/>
                <w:szCs w:val="20"/>
              </w:rPr>
              <w:t>Bezerra</w:t>
            </w:r>
            <w:proofErr w:type="spellEnd"/>
            <w:r w:rsidRPr="00344696">
              <w:rPr>
                <w:rFonts w:ascii="Calibri" w:hAnsi="Calibri" w:cs="Calibri"/>
                <w:sz w:val="20"/>
                <w:szCs w:val="20"/>
              </w:rPr>
              <w:t xml:space="preserve"> MC, </w:t>
            </w:r>
            <w:proofErr w:type="spellStart"/>
            <w:r w:rsidRPr="00344696">
              <w:rPr>
                <w:rFonts w:ascii="Calibri" w:hAnsi="Calibri" w:cs="Calibri"/>
                <w:sz w:val="20"/>
                <w:szCs w:val="20"/>
              </w:rPr>
              <w:t>Loures</w:t>
            </w:r>
            <w:proofErr w:type="spellEnd"/>
            <w:r w:rsidRPr="00344696">
              <w:rPr>
                <w:rFonts w:ascii="Calibri" w:hAnsi="Calibri" w:cs="Calibri"/>
                <w:sz w:val="20"/>
                <w:szCs w:val="20"/>
              </w:rPr>
              <w:t xml:space="preserve"> MAR, </w:t>
            </w:r>
            <w:proofErr w:type="spellStart"/>
            <w:r w:rsidRPr="00344696">
              <w:rPr>
                <w:rFonts w:ascii="Calibri" w:hAnsi="Calibri" w:cs="Calibri"/>
                <w:sz w:val="20"/>
                <w:szCs w:val="20"/>
              </w:rPr>
              <w:t>Wender</w:t>
            </w:r>
            <w:proofErr w:type="spellEnd"/>
            <w:r w:rsidRPr="00344696">
              <w:rPr>
                <w:rFonts w:ascii="Calibri" w:hAnsi="Calibri" w:cs="Calibri"/>
                <w:sz w:val="20"/>
                <w:szCs w:val="20"/>
              </w:rPr>
              <w:t xml:space="preserve"> MCO, </w:t>
            </w:r>
            <w:proofErr w:type="spellStart"/>
            <w:r w:rsidRPr="00344696">
              <w:rPr>
                <w:rFonts w:ascii="Calibri" w:hAnsi="Calibri" w:cs="Calibri"/>
                <w:sz w:val="20"/>
                <w:szCs w:val="20"/>
              </w:rPr>
              <w:t>Lazaretti</w:t>
            </w:r>
            <w:proofErr w:type="spellEnd"/>
            <w:r w:rsidRPr="00344696">
              <w:rPr>
                <w:rFonts w:ascii="Calibri" w:hAnsi="Calibri" w:cs="Calibri"/>
                <w:sz w:val="20"/>
                <w:szCs w:val="20"/>
              </w:rPr>
              <w:t xml:space="preserve">-Castro M, Pereira RMR, Maeda SS, </w:t>
            </w:r>
            <w:proofErr w:type="spellStart"/>
            <w:r w:rsidRPr="00344696">
              <w:rPr>
                <w:rFonts w:ascii="Calibri" w:hAnsi="Calibri" w:cs="Calibri"/>
                <w:sz w:val="20"/>
                <w:szCs w:val="20"/>
              </w:rPr>
              <w:t>Szejnfeld</w:t>
            </w:r>
            <w:proofErr w:type="spellEnd"/>
            <w:r w:rsidRPr="00344696">
              <w:rPr>
                <w:rFonts w:ascii="Calibri" w:hAnsi="Calibri" w:cs="Calibri"/>
                <w:sz w:val="20"/>
                <w:szCs w:val="20"/>
              </w:rPr>
              <w:t xml:space="preserve"> VL, </w:t>
            </w:r>
            <w:proofErr w:type="spellStart"/>
            <w:r w:rsidRPr="00344696">
              <w:rPr>
                <w:rFonts w:ascii="Calibri" w:hAnsi="Calibri" w:cs="Calibri"/>
                <w:sz w:val="20"/>
                <w:szCs w:val="20"/>
              </w:rPr>
              <w:t>Borba</w:t>
            </w:r>
            <w:proofErr w:type="spellEnd"/>
            <w:r w:rsidRPr="00344696">
              <w:rPr>
                <w:rFonts w:ascii="Calibri" w:hAnsi="Calibri" w:cs="Calibri"/>
                <w:sz w:val="20"/>
                <w:szCs w:val="20"/>
              </w:rPr>
              <w:t xml:space="preserve"> VZC</w:t>
            </w:r>
            <w:r>
              <w:rPr>
                <w:rFonts w:ascii="Calibri" w:hAnsi="Calibri" w:cs="Calibri"/>
                <w:sz w:val="20"/>
                <w:szCs w:val="20"/>
              </w:rPr>
              <w:t xml:space="preserve"> (2017) </w:t>
            </w:r>
            <w:r w:rsidRPr="00344696">
              <w:rPr>
                <w:rFonts w:ascii="Calibri" w:hAnsi="Calibri" w:cs="Calibri"/>
                <w:sz w:val="20"/>
                <w:szCs w:val="20"/>
              </w:rPr>
              <w:t>Brazilian guidelines for the diagnosis and treatment of postmenopausal osteoporosis</w:t>
            </w:r>
            <w:proofErr w:type="gramStart"/>
            <w:r w:rsidRPr="00344696">
              <w:rPr>
                <w:rFonts w:ascii="Calibri" w:hAnsi="Calibri" w:cs="Calibri"/>
                <w:sz w:val="20"/>
                <w:szCs w:val="20"/>
              </w:rPr>
              <w:t xml:space="preserve">. </w:t>
            </w:r>
            <w:proofErr w:type="gramEnd"/>
            <w:r w:rsidRPr="00344696">
              <w:rPr>
                <w:rFonts w:ascii="Calibri" w:hAnsi="Calibri" w:cs="Calibri"/>
                <w:sz w:val="20"/>
                <w:szCs w:val="20"/>
              </w:rPr>
              <w:t xml:space="preserve">Rev Bras </w:t>
            </w:r>
            <w:proofErr w:type="spellStart"/>
            <w:r w:rsidRPr="00344696">
              <w:rPr>
                <w:rFonts w:ascii="Calibri" w:hAnsi="Calibri" w:cs="Calibri"/>
                <w:sz w:val="20"/>
                <w:szCs w:val="20"/>
              </w:rPr>
              <w:t>Reumatol</w:t>
            </w:r>
            <w:proofErr w:type="spellEnd"/>
            <w:r w:rsidRPr="00344696">
              <w:rPr>
                <w:rFonts w:ascii="Calibri" w:hAnsi="Calibri" w:cs="Calibri"/>
                <w:sz w:val="20"/>
                <w:szCs w:val="20"/>
              </w:rPr>
              <w:t xml:space="preserve"> </w:t>
            </w:r>
            <w:proofErr w:type="spellStart"/>
            <w:r w:rsidRPr="00344696">
              <w:rPr>
                <w:rFonts w:ascii="Calibri" w:hAnsi="Calibri" w:cs="Calibri"/>
                <w:sz w:val="20"/>
                <w:szCs w:val="20"/>
              </w:rPr>
              <w:t>Engl</w:t>
            </w:r>
            <w:proofErr w:type="spellEnd"/>
            <w:r w:rsidRPr="00344696">
              <w:rPr>
                <w:rFonts w:ascii="Calibri" w:hAnsi="Calibri" w:cs="Calibri"/>
                <w:sz w:val="20"/>
                <w:szCs w:val="20"/>
              </w:rPr>
              <w:t xml:space="preserve"> Ed. 2017;57 </w:t>
            </w:r>
            <w:proofErr w:type="spellStart"/>
            <w:r w:rsidRPr="00344696">
              <w:rPr>
                <w:rFonts w:ascii="Calibri" w:hAnsi="Calibri" w:cs="Calibri"/>
                <w:sz w:val="20"/>
                <w:szCs w:val="20"/>
              </w:rPr>
              <w:t>Suppl</w:t>
            </w:r>
            <w:proofErr w:type="spellEnd"/>
            <w:r w:rsidRPr="00344696">
              <w:rPr>
                <w:rFonts w:ascii="Calibri" w:hAnsi="Calibri" w:cs="Calibri"/>
                <w:sz w:val="20"/>
                <w:szCs w:val="20"/>
              </w:rPr>
              <w:t xml:space="preserve"> 2:452-466</w:t>
            </w:r>
            <w:proofErr w:type="gramStart"/>
            <w:r w:rsidRPr="00344696">
              <w:rPr>
                <w:rFonts w:ascii="Calibri" w:hAnsi="Calibri" w:cs="Calibri"/>
                <w:sz w:val="20"/>
                <w:szCs w:val="20"/>
              </w:rPr>
              <w:t xml:space="preserve">. </w:t>
            </w:r>
            <w:proofErr w:type="gramEnd"/>
            <w:r w:rsidRPr="00344696">
              <w:rPr>
                <w:rFonts w:ascii="Calibri" w:hAnsi="Calibri" w:cs="Calibri"/>
                <w:sz w:val="20"/>
                <w:szCs w:val="20"/>
              </w:rPr>
              <w:t>English, Portuguese</w:t>
            </w:r>
            <w:proofErr w:type="gramStart"/>
            <w:r w:rsidRPr="00344696">
              <w:rPr>
                <w:rFonts w:ascii="Calibri" w:hAnsi="Calibri" w:cs="Calibri"/>
                <w:sz w:val="20"/>
                <w:szCs w:val="20"/>
              </w:rPr>
              <w:t xml:space="preserve">. </w:t>
            </w:r>
            <w:proofErr w:type="gramEnd"/>
            <w:r w:rsidRPr="00344696">
              <w:rPr>
                <w:rFonts w:ascii="Calibri" w:hAnsi="Calibri" w:cs="Calibri"/>
                <w:sz w:val="20"/>
                <w:szCs w:val="20"/>
              </w:rPr>
              <w:t>doi: 10.1016/j.rbre.2017.07.001.</w:t>
            </w:r>
          </w:p>
        </w:tc>
      </w:tr>
      <w:tr w:rsidR="00687CE4" w:rsidRPr="00072023" w14:paraId="4E3E8BF2" w14:textId="77777777" w:rsidTr="004408F5">
        <w:tc>
          <w:tcPr>
            <w:tcW w:w="562" w:type="dxa"/>
          </w:tcPr>
          <w:p w14:paraId="147DDB6F" w14:textId="77777777" w:rsidR="00687CE4" w:rsidRDefault="00687CE4" w:rsidP="00ED016E">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13.</w:t>
            </w:r>
          </w:p>
          <w:p w14:paraId="3B57F31D" w14:textId="77777777" w:rsidR="00687CE4" w:rsidRPr="00072023" w:rsidRDefault="00687CE4" w:rsidP="00ED016E">
            <w:pPr>
              <w:autoSpaceDE w:val="0"/>
              <w:autoSpaceDN w:val="0"/>
              <w:adjustRightInd w:val="0"/>
              <w:spacing w:before="240" w:line="276" w:lineRule="auto"/>
              <w:ind w:left="567" w:hanging="567"/>
              <w:rPr>
                <w:rFonts w:ascii="Calibri" w:hAnsi="Calibri" w:cs="Calibri"/>
                <w:sz w:val="20"/>
                <w:szCs w:val="20"/>
              </w:rPr>
            </w:pPr>
          </w:p>
        </w:tc>
        <w:tc>
          <w:tcPr>
            <w:tcW w:w="8454" w:type="dxa"/>
          </w:tcPr>
          <w:p w14:paraId="38166572" w14:textId="77777777" w:rsidR="00687CE4" w:rsidRPr="00072023" w:rsidRDefault="00687CE4" w:rsidP="00ED016E">
            <w:pPr>
              <w:autoSpaceDE w:val="0"/>
              <w:autoSpaceDN w:val="0"/>
              <w:adjustRightInd w:val="0"/>
              <w:spacing w:before="240" w:line="276" w:lineRule="auto"/>
              <w:ind w:left="34" w:hanging="34"/>
              <w:rPr>
                <w:rFonts w:ascii="Calibri" w:hAnsi="Calibri" w:cs="Calibri"/>
                <w:sz w:val="20"/>
                <w:szCs w:val="20"/>
              </w:rPr>
            </w:pPr>
            <w:r w:rsidRPr="001F5F45">
              <w:t xml:space="preserve">Medina </w:t>
            </w:r>
            <w:proofErr w:type="spellStart"/>
            <w:r w:rsidRPr="001F5F45">
              <w:t>Orjuela</w:t>
            </w:r>
            <w:proofErr w:type="spellEnd"/>
            <w:r w:rsidRPr="001F5F45">
              <w:t xml:space="preserve"> A, </w:t>
            </w:r>
            <w:proofErr w:type="spellStart"/>
            <w:r w:rsidRPr="001F5F45">
              <w:t>Rosero</w:t>
            </w:r>
            <w:proofErr w:type="spellEnd"/>
            <w:r w:rsidRPr="001F5F45">
              <w:t xml:space="preserve"> </w:t>
            </w:r>
            <w:proofErr w:type="spellStart"/>
            <w:r w:rsidRPr="001F5F45">
              <w:t>Olarte</w:t>
            </w:r>
            <w:proofErr w:type="spellEnd"/>
            <w:r w:rsidRPr="001F5F45">
              <w:t xml:space="preserve"> O, Rueda Plata PN, Sánchez Escobar F, </w:t>
            </w:r>
            <w:proofErr w:type="spellStart"/>
            <w:r w:rsidRPr="001F5F45">
              <w:t>Chalem</w:t>
            </w:r>
            <w:proofErr w:type="spellEnd"/>
            <w:r w:rsidRPr="001F5F45">
              <w:t xml:space="preserve"> </w:t>
            </w:r>
            <w:proofErr w:type="spellStart"/>
            <w:r w:rsidRPr="001F5F45">
              <w:t>Chouekae</w:t>
            </w:r>
            <w:proofErr w:type="spellEnd"/>
            <w:r w:rsidRPr="001F5F45">
              <w:t xml:space="preserve"> M, González Reyes MA et al (2018) II </w:t>
            </w:r>
            <w:proofErr w:type="spellStart"/>
            <w:r w:rsidRPr="001F5F45">
              <w:t>Consenso</w:t>
            </w:r>
            <w:proofErr w:type="spellEnd"/>
            <w:r w:rsidRPr="001F5F45">
              <w:t xml:space="preserve"> </w:t>
            </w:r>
            <w:proofErr w:type="spellStart"/>
            <w:r w:rsidRPr="001F5F45">
              <w:t>Colombiano</w:t>
            </w:r>
            <w:proofErr w:type="spellEnd"/>
            <w:r w:rsidRPr="001F5F45">
              <w:t xml:space="preserve"> para </w:t>
            </w:r>
            <w:proofErr w:type="spellStart"/>
            <w:r w:rsidRPr="001F5F45">
              <w:t>el</w:t>
            </w:r>
            <w:proofErr w:type="spellEnd"/>
            <w:r w:rsidRPr="001F5F45">
              <w:t xml:space="preserve"> </w:t>
            </w:r>
            <w:proofErr w:type="spellStart"/>
            <w:r w:rsidRPr="001F5F45">
              <w:t>manejo</w:t>
            </w:r>
            <w:proofErr w:type="spellEnd"/>
            <w:r w:rsidRPr="001F5F45">
              <w:t xml:space="preserve"> de la osteoporosis </w:t>
            </w:r>
            <w:proofErr w:type="spellStart"/>
            <w:r w:rsidRPr="001F5F45">
              <w:t>posmenopáusica</w:t>
            </w:r>
            <w:proofErr w:type="spellEnd"/>
            <w:proofErr w:type="gramStart"/>
            <w:r w:rsidRPr="001F5F45">
              <w:t xml:space="preserve">. </w:t>
            </w:r>
            <w:proofErr w:type="gramEnd"/>
            <w:r w:rsidRPr="001F5F45">
              <w:t xml:space="preserve">Rev </w:t>
            </w:r>
            <w:proofErr w:type="spellStart"/>
            <w:r w:rsidRPr="001F5F45">
              <w:t>Colomb</w:t>
            </w:r>
            <w:proofErr w:type="spellEnd"/>
            <w:r w:rsidRPr="001F5F45">
              <w:t xml:space="preserve"> </w:t>
            </w:r>
            <w:proofErr w:type="spellStart"/>
            <w:r w:rsidRPr="001F5F45">
              <w:t>Reumatol</w:t>
            </w:r>
            <w:proofErr w:type="spellEnd"/>
            <w:proofErr w:type="gramStart"/>
            <w:r w:rsidRPr="001F5F45">
              <w:t xml:space="preserve">. </w:t>
            </w:r>
            <w:proofErr w:type="gramEnd"/>
            <w:r w:rsidRPr="001F5F45">
              <w:t>25(3):184–210</w:t>
            </w:r>
          </w:p>
        </w:tc>
      </w:tr>
      <w:tr w:rsidR="00687CE4" w:rsidRPr="00E5256E" w14:paraId="6E633DEB" w14:textId="77777777" w:rsidTr="004408F5">
        <w:tc>
          <w:tcPr>
            <w:tcW w:w="562" w:type="dxa"/>
          </w:tcPr>
          <w:p w14:paraId="508BB255" w14:textId="77777777" w:rsidR="00687CE4" w:rsidRDefault="00687CE4" w:rsidP="003E3683">
            <w:pPr>
              <w:autoSpaceDE w:val="0"/>
              <w:autoSpaceDN w:val="0"/>
              <w:adjustRightInd w:val="0"/>
              <w:spacing w:before="240" w:line="276" w:lineRule="auto"/>
              <w:ind w:left="567" w:hanging="567"/>
            </w:pPr>
            <w:r>
              <w:t>14.</w:t>
            </w:r>
          </w:p>
        </w:tc>
        <w:tc>
          <w:tcPr>
            <w:tcW w:w="8454" w:type="dxa"/>
          </w:tcPr>
          <w:p w14:paraId="1A45448B" w14:textId="77777777" w:rsidR="00687CE4" w:rsidRDefault="00687CE4" w:rsidP="00D471D8">
            <w:pPr>
              <w:autoSpaceDE w:val="0"/>
              <w:autoSpaceDN w:val="0"/>
              <w:adjustRightInd w:val="0"/>
              <w:spacing w:before="240" w:line="276" w:lineRule="auto"/>
              <w:ind w:left="34" w:hanging="34"/>
            </w:pPr>
            <w:r w:rsidRPr="008101CC">
              <w:t xml:space="preserve">Instituto </w:t>
            </w:r>
            <w:proofErr w:type="spellStart"/>
            <w:r w:rsidRPr="008101CC">
              <w:t>Mexicano</w:t>
            </w:r>
            <w:proofErr w:type="spellEnd"/>
            <w:r w:rsidRPr="008101CC">
              <w:t xml:space="preserve"> del Seguro Social (2018) </w:t>
            </w:r>
            <w:proofErr w:type="spellStart"/>
            <w:proofErr w:type="gramStart"/>
            <w:r w:rsidRPr="008101CC">
              <w:t>Diagnóstico</w:t>
            </w:r>
            <w:proofErr w:type="spellEnd"/>
            <w:r w:rsidRPr="008101CC">
              <w:t xml:space="preserve">  y</w:t>
            </w:r>
            <w:proofErr w:type="gramEnd"/>
            <w:r w:rsidRPr="008101CC">
              <w:t xml:space="preserve">  </w:t>
            </w:r>
            <w:proofErr w:type="spellStart"/>
            <w:r w:rsidRPr="008101CC">
              <w:t>tratamiento</w:t>
            </w:r>
            <w:proofErr w:type="spellEnd"/>
            <w:r w:rsidRPr="008101CC">
              <w:t xml:space="preserve">  de  osteoporosis  </w:t>
            </w:r>
            <w:proofErr w:type="spellStart"/>
            <w:r w:rsidRPr="008101CC">
              <w:t>en</w:t>
            </w:r>
            <w:proofErr w:type="spellEnd"/>
            <w:r w:rsidRPr="008101CC">
              <w:t xml:space="preserve">  </w:t>
            </w:r>
            <w:proofErr w:type="spellStart"/>
            <w:r w:rsidRPr="008101CC">
              <w:t>mujeres</w:t>
            </w:r>
            <w:proofErr w:type="spellEnd"/>
            <w:r w:rsidRPr="008101CC">
              <w:t xml:space="preserve">  </w:t>
            </w:r>
            <w:proofErr w:type="spellStart"/>
            <w:r w:rsidRPr="008101CC">
              <w:t>posmenopáusicas</w:t>
            </w:r>
            <w:proofErr w:type="spellEnd"/>
            <w:r w:rsidRPr="008101CC">
              <w:t xml:space="preserve">.  </w:t>
            </w:r>
            <w:proofErr w:type="spellStart"/>
            <w:proofErr w:type="gramStart"/>
            <w:r w:rsidRPr="008101CC">
              <w:t>Guía</w:t>
            </w:r>
            <w:proofErr w:type="spellEnd"/>
            <w:r w:rsidRPr="008101CC">
              <w:t xml:space="preserve">  de</w:t>
            </w:r>
            <w:proofErr w:type="gramEnd"/>
            <w:r w:rsidRPr="008101CC">
              <w:t xml:space="preserve">  </w:t>
            </w:r>
            <w:proofErr w:type="spellStart"/>
            <w:r w:rsidRPr="008101CC">
              <w:t>Evidencias</w:t>
            </w:r>
            <w:proofErr w:type="spellEnd"/>
            <w:r w:rsidRPr="008101CC">
              <w:t xml:space="preserve">  y  </w:t>
            </w:r>
            <w:proofErr w:type="spellStart"/>
            <w:r w:rsidRPr="008101CC">
              <w:t>Recomendaciones</w:t>
            </w:r>
            <w:proofErr w:type="spellEnd"/>
            <w:r w:rsidRPr="008101CC">
              <w:t xml:space="preserve">:  </w:t>
            </w:r>
            <w:proofErr w:type="spellStart"/>
            <w:r w:rsidRPr="008101CC">
              <w:t>Guía</w:t>
            </w:r>
            <w:proofErr w:type="spellEnd"/>
            <w:r w:rsidRPr="008101CC">
              <w:t xml:space="preserve">  de  </w:t>
            </w:r>
            <w:proofErr w:type="spellStart"/>
            <w:r w:rsidRPr="008101CC">
              <w:t>Práctica</w:t>
            </w:r>
            <w:proofErr w:type="spellEnd"/>
            <w:r w:rsidRPr="008101CC">
              <w:t xml:space="preserve">  </w:t>
            </w:r>
            <w:proofErr w:type="spellStart"/>
            <w:r w:rsidRPr="008101CC">
              <w:t>Clínica</w:t>
            </w:r>
            <w:proofErr w:type="spellEnd"/>
            <w:r w:rsidRPr="008101CC">
              <w:t xml:space="preserve">.  </w:t>
            </w:r>
            <w:proofErr w:type="gramStart"/>
            <w:r w:rsidRPr="008101CC">
              <w:t>México,  CENETEC</w:t>
            </w:r>
            <w:proofErr w:type="gramEnd"/>
            <w:r w:rsidRPr="008101CC">
              <w:t>.  Accessed: http://www.cenetec-difusion.com/CMGPC/GPC-IMSS-673-18/ER.pdf Accessed 29 August 2022</w:t>
            </w:r>
          </w:p>
        </w:tc>
      </w:tr>
      <w:tr w:rsidR="00687CE4" w:rsidRPr="00E37DEC" w14:paraId="74F314CF" w14:textId="77777777" w:rsidTr="004408F5">
        <w:tc>
          <w:tcPr>
            <w:tcW w:w="562" w:type="dxa"/>
          </w:tcPr>
          <w:p w14:paraId="704B4DC4" w14:textId="77777777" w:rsidR="00687CE4" w:rsidRPr="00D471D8"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15.</w:t>
            </w:r>
          </w:p>
        </w:tc>
        <w:tc>
          <w:tcPr>
            <w:tcW w:w="8454" w:type="dxa"/>
          </w:tcPr>
          <w:p w14:paraId="13F3398A" w14:textId="77777777" w:rsidR="00687CE4" w:rsidRPr="00D57EBF" w:rsidRDefault="00687CE4" w:rsidP="00D471D8">
            <w:pPr>
              <w:autoSpaceDE w:val="0"/>
              <w:autoSpaceDN w:val="0"/>
              <w:adjustRightInd w:val="0"/>
              <w:spacing w:before="240" w:line="276" w:lineRule="auto"/>
              <w:ind w:left="34" w:hanging="34"/>
              <w:rPr>
                <w:rFonts w:ascii="Calibri" w:hAnsi="Calibri" w:cs="Calibri"/>
                <w:sz w:val="20"/>
                <w:szCs w:val="20"/>
              </w:rPr>
            </w:pPr>
            <w:r w:rsidRPr="00D57EBF">
              <w:rPr>
                <w:rFonts w:ascii="Calibri" w:hAnsi="Calibri" w:cs="Calibri"/>
                <w:sz w:val="20"/>
                <w:szCs w:val="20"/>
                <w:lang w:val="fr-FR"/>
              </w:rPr>
              <w:t xml:space="preserve">Secretaria de </w:t>
            </w:r>
            <w:proofErr w:type="spellStart"/>
            <w:r w:rsidRPr="00D57EBF">
              <w:rPr>
                <w:rFonts w:ascii="Calibri" w:hAnsi="Calibri" w:cs="Calibri"/>
                <w:sz w:val="20"/>
                <w:szCs w:val="20"/>
                <w:lang w:val="fr-FR"/>
              </w:rPr>
              <w:t>Salud</w:t>
            </w:r>
            <w:proofErr w:type="spellEnd"/>
            <w:r w:rsidRPr="00D57EBF">
              <w:rPr>
                <w:rFonts w:ascii="Calibri" w:hAnsi="Calibri" w:cs="Calibri"/>
                <w:sz w:val="20"/>
                <w:szCs w:val="20"/>
                <w:lang w:val="fr-FR"/>
              </w:rPr>
              <w:t xml:space="preserve"> </w:t>
            </w:r>
            <w:proofErr w:type="spellStart"/>
            <w:r w:rsidRPr="00D57EBF">
              <w:rPr>
                <w:rFonts w:ascii="Calibri" w:hAnsi="Calibri" w:cs="Calibri"/>
                <w:sz w:val="20"/>
                <w:szCs w:val="20"/>
                <w:lang w:val="fr-FR"/>
              </w:rPr>
              <w:t>sde</w:t>
            </w:r>
            <w:proofErr w:type="spellEnd"/>
            <w:r w:rsidRPr="00D57EBF">
              <w:rPr>
                <w:rFonts w:ascii="Calibri" w:hAnsi="Calibri" w:cs="Calibri"/>
                <w:sz w:val="20"/>
                <w:szCs w:val="20"/>
                <w:lang w:val="fr-FR"/>
              </w:rPr>
              <w:t xml:space="preserve"> Mexico (2019) </w:t>
            </w:r>
            <w:proofErr w:type="spellStart"/>
            <w:r w:rsidRPr="00D57EBF">
              <w:rPr>
                <w:rFonts w:ascii="Calibri" w:hAnsi="Calibri" w:cs="Calibri"/>
                <w:sz w:val="20"/>
                <w:szCs w:val="20"/>
                <w:lang w:val="fr-FR"/>
              </w:rPr>
              <w:t>Prevención</w:t>
            </w:r>
            <w:proofErr w:type="spellEnd"/>
            <w:r w:rsidRPr="00D57EBF">
              <w:rPr>
                <w:rFonts w:ascii="Calibri" w:hAnsi="Calibri" w:cs="Calibri"/>
                <w:sz w:val="20"/>
                <w:szCs w:val="20"/>
                <w:lang w:val="fr-FR"/>
              </w:rPr>
              <w:t xml:space="preserve">, </w:t>
            </w:r>
            <w:proofErr w:type="spellStart"/>
            <w:r w:rsidRPr="00D57EBF">
              <w:rPr>
                <w:rFonts w:ascii="Calibri" w:hAnsi="Calibri" w:cs="Calibri"/>
                <w:sz w:val="20"/>
                <w:szCs w:val="20"/>
                <w:lang w:val="fr-FR"/>
              </w:rPr>
              <w:t>diagnóstico</w:t>
            </w:r>
            <w:proofErr w:type="spellEnd"/>
            <w:r w:rsidRPr="00D57EBF">
              <w:rPr>
                <w:rFonts w:ascii="Calibri" w:hAnsi="Calibri" w:cs="Calibri"/>
                <w:sz w:val="20"/>
                <w:szCs w:val="20"/>
                <w:lang w:val="fr-FR"/>
              </w:rPr>
              <w:t xml:space="preserve"> y </w:t>
            </w:r>
            <w:proofErr w:type="spellStart"/>
            <w:r w:rsidRPr="00D57EBF">
              <w:rPr>
                <w:rFonts w:ascii="Calibri" w:hAnsi="Calibri" w:cs="Calibri"/>
                <w:sz w:val="20"/>
                <w:szCs w:val="20"/>
                <w:lang w:val="fr-FR"/>
              </w:rPr>
              <w:t>tratamiento</w:t>
            </w:r>
            <w:proofErr w:type="spellEnd"/>
            <w:r w:rsidRPr="00D57EBF">
              <w:rPr>
                <w:rFonts w:ascii="Calibri" w:hAnsi="Calibri" w:cs="Calibri"/>
                <w:sz w:val="20"/>
                <w:szCs w:val="20"/>
                <w:lang w:val="fr-FR"/>
              </w:rPr>
              <w:t xml:space="preserve"> de la </w:t>
            </w:r>
            <w:proofErr w:type="spellStart"/>
            <w:r w:rsidRPr="00D57EBF">
              <w:rPr>
                <w:rFonts w:ascii="Calibri" w:hAnsi="Calibri" w:cs="Calibri"/>
                <w:sz w:val="20"/>
                <w:szCs w:val="20"/>
                <w:lang w:val="fr-FR"/>
              </w:rPr>
              <w:t>osteoporosis</w:t>
            </w:r>
            <w:proofErr w:type="spellEnd"/>
            <w:r w:rsidRPr="00D57EBF">
              <w:rPr>
                <w:rFonts w:ascii="Calibri" w:hAnsi="Calibri" w:cs="Calibri"/>
                <w:sz w:val="20"/>
                <w:szCs w:val="20"/>
                <w:lang w:val="fr-FR"/>
              </w:rPr>
              <w:t xml:space="preserve"> [2019]. </w:t>
            </w:r>
            <w:proofErr w:type="spellStart"/>
            <w:r w:rsidRPr="00D57EBF">
              <w:rPr>
                <w:rFonts w:ascii="Calibri" w:hAnsi="Calibri" w:cs="Calibri"/>
                <w:sz w:val="20"/>
                <w:szCs w:val="20"/>
                <w:lang w:val="fr-FR"/>
              </w:rPr>
              <w:t>Guía</w:t>
            </w:r>
            <w:proofErr w:type="spellEnd"/>
            <w:r w:rsidRPr="00D57EBF">
              <w:rPr>
                <w:rFonts w:ascii="Calibri" w:hAnsi="Calibri" w:cs="Calibri"/>
                <w:sz w:val="20"/>
                <w:szCs w:val="20"/>
                <w:lang w:val="fr-FR"/>
              </w:rPr>
              <w:t xml:space="preserve"> de Consulta Para el Médico de Primer Nivel de </w:t>
            </w:r>
            <w:proofErr w:type="spellStart"/>
            <w:proofErr w:type="gramStart"/>
            <w:r w:rsidRPr="00D57EBF">
              <w:rPr>
                <w:rFonts w:ascii="Calibri" w:hAnsi="Calibri" w:cs="Calibri"/>
                <w:sz w:val="20"/>
                <w:szCs w:val="20"/>
                <w:lang w:val="fr-FR"/>
              </w:rPr>
              <w:t>Atención</w:t>
            </w:r>
            <w:proofErr w:type="spellEnd"/>
            <w:r w:rsidRPr="00D57EBF">
              <w:rPr>
                <w:rFonts w:ascii="Calibri" w:hAnsi="Calibri" w:cs="Calibri"/>
                <w:sz w:val="20"/>
                <w:szCs w:val="20"/>
                <w:lang w:val="fr-FR"/>
              </w:rPr>
              <w:t>..</w:t>
            </w:r>
            <w:proofErr w:type="gramEnd"/>
            <w:r w:rsidRPr="00D57EBF">
              <w:rPr>
                <w:rFonts w:ascii="Calibri" w:hAnsi="Calibri" w:cs="Calibri"/>
                <w:sz w:val="20"/>
                <w:szCs w:val="20"/>
                <w:lang w:val="fr-FR"/>
              </w:rPr>
              <w:t xml:space="preserve"> </w:t>
            </w:r>
            <w:r w:rsidRPr="00D57EBF">
              <w:rPr>
                <w:rFonts w:ascii="Calibri" w:hAnsi="Calibri" w:cs="Calibri"/>
                <w:sz w:val="20"/>
                <w:szCs w:val="20"/>
              </w:rPr>
              <w:t>cenetec-difusion.com/gpc-sns/wp-content/uploads/2019/06/GuiaConsulta_Osteoporosis.pdf</w:t>
            </w:r>
          </w:p>
        </w:tc>
      </w:tr>
      <w:tr w:rsidR="00687CE4" w:rsidRPr="00072023" w14:paraId="2C08C786" w14:textId="77777777" w:rsidTr="004408F5">
        <w:tc>
          <w:tcPr>
            <w:tcW w:w="562" w:type="dxa"/>
          </w:tcPr>
          <w:p w14:paraId="2C723373" w14:textId="77777777" w:rsidR="00687CE4" w:rsidRPr="00072023" w:rsidRDefault="00687CE4" w:rsidP="0020360A">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lastRenderedPageBreak/>
              <w:t>16.</w:t>
            </w:r>
          </w:p>
        </w:tc>
        <w:tc>
          <w:tcPr>
            <w:tcW w:w="8454" w:type="dxa"/>
          </w:tcPr>
          <w:p w14:paraId="342C8C22"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841013">
              <w:rPr>
                <w:rFonts w:ascii="Calibri" w:hAnsi="Calibri" w:cs="Calibri"/>
                <w:sz w:val="20"/>
                <w:szCs w:val="20"/>
              </w:rPr>
              <w:t xml:space="preserve">Clark P, </w:t>
            </w:r>
            <w:proofErr w:type="spellStart"/>
            <w:r w:rsidRPr="00841013">
              <w:rPr>
                <w:rFonts w:ascii="Calibri" w:hAnsi="Calibri" w:cs="Calibri"/>
                <w:sz w:val="20"/>
                <w:szCs w:val="20"/>
              </w:rPr>
              <w:t>Denova</w:t>
            </w:r>
            <w:proofErr w:type="spellEnd"/>
            <w:r w:rsidRPr="00841013">
              <w:rPr>
                <w:rFonts w:ascii="Calibri" w:hAnsi="Calibri" w:cs="Calibri"/>
                <w:sz w:val="20"/>
                <w:szCs w:val="20"/>
              </w:rPr>
              <w:t xml:space="preserve">-Gutiérrez E, Zerbini C, Sanchez A, Messina O, </w:t>
            </w:r>
            <w:proofErr w:type="spellStart"/>
            <w:r w:rsidRPr="00841013">
              <w:rPr>
                <w:rFonts w:ascii="Calibri" w:hAnsi="Calibri" w:cs="Calibri"/>
                <w:sz w:val="20"/>
                <w:szCs w:val="20"/>
              </w:rPr>
              <w:t>Jaller</w:t>
            </w:r>
            <w:proofErr w:type="spellEnd"/>
            <w:r w:rsidRPr="00841013">
              <w:rPr>
                <w:rFonts w:ascii="Calibri" w:hAnsi="Calibri" w:cs="Calibri"/>
                <w:sz w:val="20"/>
                <w:szCs w:val="20"/>
              </w:rPr>
              <w:t xml:space="preserve"> JJ, Campusano C, </w:t>
            </w:r>
            <w:proofErr w:type="spellStart"/>
            <w:r w:rsidRPr="00841013">
              <w:rPr>
                <w:rFonts w:ascii="Calibri" w:hAnsi="Calibri" w:cs="Calibri"/>
                <w:sz w:val="20"/>
                <w:szCs w:val="20"/>
              </w:rPr>
              <w:t>Orces</w:t>
            </w:r>
            <w:proofErr w:type="spellEnd"/>
            <w:r w:rsidRPr="00841013">
              <w:rPr>
                <w:rFonts w:ascii="Calibri" w:hAnsi="Calibri" w:cs="Calibri"/>
                <w:sz w:val="20"/>
                <w:szCs w:val="20"/>
              </w:rPr>
              <w:t xml:space="preserve"> CH, </w:t>
            </w:r>
            <w:proofErr w:type="spellStart"/>
            <w:r w:rsidRPr="00841013">
              <w:rPr>
                <w:rFonts w:ascii="Calibri" w:hAnsi="Calibri" w:cs="Calibri"/>
                <w:sz w:val="20"/>
                <w:szCs w:val="20"/>
              </w:rPr>
              <w:t>Riera</w:t>
            </w:r>
            <w:proofErr w:type="spellEnd"/>
            <w:r w:rsidRPr="00841013">
              <w:rPr>
                <w:rFonts w:ascii="Calibri" w:hAnsi="Calibri" w:cs="Calibri"/>
                <w:sz w:val="20"/>
                <w:szCs w:val="20"/>
              </w:rPr>
              <w:t xml:space="preserve"> G, Johansson H, Kanis JA </w:t>
            </w:r>
            <w:r w:rsidRPr="006D4E76">
              <w:rPr>
                <w:rFonts w:ascii="Calibri" w:hAnsi="Calibri" w:cs="Calibri"/>
                <w:sz w:val="20"/>
                <w:szCs w:val="20"/>
              </w:rPr>
              <w:t>(2018) FRAX-based intervention and assessment thresholds in seven Latin American countries</w:t>
            </w:r>
            <w:proofErr w:type="gramStart"/>
            <w:r w:rsidRPr="006D4E76">
              <w:rPr>
                <w:rFonts w:ascii="Calibri" w:hAnsi="Calibri" w:cs="Calibri"/>
                <w:sz w:val="20"/>
                <w:szCs w:val="20"/>
              </w:rPr>
              <w:t xml:space="preserve">. </w:t>
            </w:r>
            <w:proofErr w:type="gramEnd"/>
            <w:r w:rsidRPr="006D4E76">
              <w:rPr>
                <w:rFonts w:ascii="Calibri" w:hAnsi="Calibri" w:cs="Calibri"/>
                <w:sz w:val="20"/>
                <w:szCs w:val="20"/>
              </w:rPr>
              <w:t>Osteoporos Int. 29(3):707-715.</w:t>
            </w:r>
          </w:p>
        </w:tc>
      </w:tr>
      <w:tr w:rsidR="00687CE4" w:rsidRPr="00E5256E" w14:paraId="2C4AA883" w14:textId="77777777" w:rsidTr="004408F5">
        <w:tc>
          <w:tcPr>
            <w:tcW w:w="562" w:type="dxa"/>
          </w:tcPr>
          <w:p w14:paraId="67DB2AFB" w14:textId="77777777" w:rsidR="00687CE4" w:rsidRPr="008E17B7" w:rsidRDefault="00687CE4" w:rsidP="0020360A">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17.</w:t>
            </w:r>
          </w:p>
        </w:tc>
        <w:tc>
          <w:tcPr>
            <w:tcW w:w="8454" w:type="dxa"/>
          </w:tcPr>
          <w:p w14:paraId="5E0CCE13" w14:textId="6A9CF936" w:rsidR="00687CE4" w:rsidRPr="00E5256E" w:rsidRDefault="00687CE4" w:rsidP="00D471D8">
            <w:pPr>
              <w:autoSpaceDE w:val="0"/>
              <w:autoSpaceDN w:val="0"/>
              <w:adjustRightInd w:val="0"/>
              <w:spacing w:before="240" w:line="276" w:lineRule="auto"/>
              <w:ind w:left="34" w:hanging="34"/>
              <w:rPr>
                <w:rFonts w:ascii="Calibri" w:hAnsi="Calibri" w:cs="Calibri"/>
                <w:sz w:val="20"/>
                <w:szCs w:val="20"/>
              </w:rPr>
            </w:pPr>
            <w:r w:rsidRPr="00451CEB">
              <w:rPr>
                <w:rFonts w:ascii="Calibri" w:hAnsi="Calibri" w:cs="Calibri"/>
                <w:sz w:val="20"/>
                <w:szCs w:val="20"/>
              </w:rPr>
              <w:t>Department of Epidemiology of the Ministry of Health of Chile (2018) National Health Survey 2016-2017</w:t>
            </w:r>
            <w:r>
              <w:rPr>
                <w:rFonts w:ascii="Calibri" w:hAnsi="Calibri" w:cs="Calibri"/>
                <w:sz w:val="20"/>
                <w:szCs w:val="20"/>
              </w:rPr>
              <w:t xml:space="preserve">.  </w:t>
            </w:r>
            <w:r w:rsidRPr="000373F7">
              <w:rPr>
                <w:rFonts w:ascii="Calibri" w:hAnsi="Calibri" w:cs="Calibri"/>
                <w:sz w:val="20"/>
                <w:szCs w:val="20"/>
              </w:rPr>
              <w:t>Available from: http://epi.minsal.cl/encuesta-ens-descargable/.</w:t>
            </w:r>
          </w:p>
        </w:tc>
      </w:tr>
      <w:tr w:rsidR="00687CE4" w:rsidRPr="00E5256E" w14:paraId="01752D4A" w14:textId="77777777" w:rsidTr="004408F5">
        <w:tc>
          <w:tcPr>
            <w:tcW w:w="562" w:type="dxa"/>
          </w:tcPr>
          <w:p w14:paraId="472F7BDC" w14:textId="77777777" w:rsidR="00687CE4" w:rsidRPr="007358EB" w:rsidRDefault="00687CE4" w:rsidP="0020360A">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18.</w:t>
            </w:r>
          </w:p>
        </w:tc>
        <w:tc>
          <w:tcPr>
            <w:tcW w:w="8454" w:type="dxa"/>
          </w:tcPr>
          <w:p w14:paraId="03AF91B3" w14:textId="2311790A" w:rsidR="00687CE4" w:rsidRPr="007358EB" w:rsidRDefault="00687CE4" w:rsidP="00D471D8">
            <w:pPr>
              <w:autoSpaceDE w:val="0"/>
              <w:autoSpaceDN w:val="0"/>
              <w:adjustRightInd w:val="0"/>
              <w:spacing w:before="240" w:line="276" w:lineRule="auto"/>
              <w:ind w:left="34" w:hanging="34"/>
              <w:rPr>
                <w:rFonts w:ascii="Calibri" w:hAnsi="Calibri" w:cs="Calibri"/>
                <w:sz w:val="20"/>
                <w:szCs w:val="20"/>
              </w:rPr>
            </w:pPr>
            <w:r w:rsidRPr="007358EB">
              <w:rPr>
                <w:rFonts w:ascii="Calibri" w:hAnsi="Calibri" w:cs="Calibri"/>
                <w:sz w:val="20"/>
                <w:szCs w:val="20"/>
              </w:rPr>
              <w:t>Department of Epidemiology of the Ministry of Health of Chile (2018) National Health Survey 2016-2017</w:t>
            </w:r>
            <w:r>
              <w:rPr>
                <w:rFonts w:ascii="Calibri" w:hAnsi="Calibri" w:cs="Calibri"/>
                <w:sz w:val="20"/>
                <w:szCs w:val="20"/>
              </w:rPr>
              <w:t xml:space="preserve">.  </w:t>
            </w:r>
            <w:r w:rsidRPr="007358EB">
              <w:rPr>
                <w:rFonts w:ascii="Calibri" w:hAnsi="Calibri" w:cs="Calibri"/>
                <w:sz w:val="20"/>
                <w:szCs w:val="20"/>
              </w:rPr>
              <w:t>http://epi.minsal.cl/encuesta-nacional-de-salud-2015-2016/, accessed 29th August 2022.</w:t>
            </w:r>
          </w:p>
        </w:tc>
      </w:tr>
      <w:tr w:rsidR="00687CE4" w:rsidRPr="00E5256E" w14:paraId="5B490FCA" w14:textId="77777777" w:rsidTr="004408F5">
        <w:tc>
          <w:tcPr>
            <w:tcW w:w="562" w:type="dxa"/>
          </w:tcPr>
          <w:p w14:paraId="07571846" w14:textId="77777777" w:rsidR="00687CE4" w:rsidRPr="00E5256E" w:rsidRDefault="00687CE4" w:rsidP="00652F2E">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19.</w:t>
            </w:r>
          </w:p>
        </w:tc>
        <w:tc>
          <w:tcPr>
            <w:tcW w:w="8454" w:type="dxa"/>
          </w:tcPr>
          <w:p w14:paraId="334AE53C" w14:textId="77777777" w:rsidR="00687CE4" w:rsidRPr="00E5256E" w:rsidRDefault="00687CE4" w:rsidP="00D471D8">
            <w:pPr>
              <w:autoSpaceDE w:val="0"/>
              <w:autoSpaceDN w:val="0"/>
              <w:adjustRightInd w:val="0"/>
              <w:spacing w:before="240" w:line="276" w:lineRule="auto"/>
              <w:ind w:left="34" w:hanging="34"/>
              <w:rPr>
                <w:rFonts w:ascii="Calibri" w:hAnsi="Calibri" w:cs="Calibri"/>
                <w:sz w:val="20"/>
                <w:szCs w:val="20"/>
              </w:rPr>
            </w:pPr>
            <w:r w:rsidRPr="00E5256E">
              <w:rPr>
                <w:rFonts w:ascii="Calibri" w:hAnsi="Calibri" w:cs="Calibri"/>
                <w:sz w:val="20"/>
                <w:szCs w:val="20"/>
              </w:rPr>
              <w:t xml:space="preserve">Dawson-Hughes B, Looker AC, </w:t>
            </w:r>
            <w:proofErr w:type="spellStart"/>
            <w:r w:rsidRPr="00E5256E">
              <w:rPr>
                <w:rFonts w:ascii="Calibri" w:hAnsi="Calibri" w:cs="Calibri"/>
                <w:sz w:val="20"/>
                <w:szCs w:val="20"/>
              </w:rPr>
              <w:t>Tosteson</w:t>
            </w:r>
            <w:proofErr w:type="spellEnd"/>
            <w:r w:rsidRPr="00E5256E">
              <w:rPr>
                <w:rFonts w:ascii="Calibri" w:hAnsi="Calibri" w:cs="Calibri"/>
                <w:sz w:val="20"/>
                <w:szCs w:val="20"/>
              </w:rPr>
              <w:t xml:space="preserve"> ANA, Johansson H, Kanis JA, Melton III LJ (2010) The potential impact of new National Osteoporosis Foundation guidance on treatment patterns</w:t>
            </w:r>
            <w:proofErr w:type="gramStart"/>
            <w:r w:rsidRPr="00E5256E">
              <w:rPr>
                <w:rFonts w:ascii="Calibri" w:hAnsi="Calibri" w:cs="Calibri"/>
                <w:sz w:val="20"/>
                <w:szCs w:val="20"/>
              </w:rPr>
              <w:t xml:space="preserve">. </w:t>
            </w:r>
            <w:proofErr w:type="gramEnd"/>
            <w:r w:rsidRPr="00E5256E">
              <w:rPr>
                <w:rFonts w:ascii="Calibri" w:hAnsi="Calibri" w:cs="Calibri"/>
                <w:sz w:val="20"/>
                <w:szCs w:val="20"/>
              </w:rPr>
              <w:t>Osteoporos International 21: 41-52.</w:t>
            </w:r>
          </w:p>
        </w:tc>
      </w:tr>
      <w:tr w:rsidR="00687CE4" w:rsidRPr="00E5256E" w14:paraId="6AA93A36" w14:textId="77777777" w:rsidTr="004408F5">
        <w:tc>
          <w:tcPr>
            <w:tcW w:w="562" w:type="dxa"/>
          </w:tcPr>
          <w:p w14:paraId="1CEFAA8A"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20.</w:t>
            </w:r>
          </w:p>
        </w:tc>
        <w:tc>
          <w:tcPr>
            <w:tcW w:w="8454" w:type="dxa"/>
          </w:tcPr>
          <w:p w14:paraId="316E2C60" w14:textId="78FF062E" w:rsidR="00687CE4" w:rsidRPr="00E5256E" w:rsidRDefault="00687CE4" w:rsidP="00D471D8">
            <w:pPr>
              <w:autoSpaceDE w:val="0"/>
              <w:autoSpaceDN w:val="0"/>
              <w:adjustRightInd w:val="0"/>
              <w:spacing w:before="240" w:line="276" w:lineRule="auto"/>
              <w:ind w:left="34" w:hanging="34"/>
              <w:rPr>
                <w:rFonts w:ascii="Calibri" w:hAnsi="Calibri" w:cs="Calibri"/>
                <w:sz w:val="20"/>
                <w:szCs w:val="20"/>
              </w:rPr>
            </w:pPr>
            <w:r w:rsidRPr="00E5256E">
              <w:rPr>
                <w:rFonts w:ascii="Calibri" w:hAnsi="Calibri" w:cs="Calibri"/>
                <w:sz w:val="20"/>
                <w:szCs w:val="20"/>
              </w:rPr>
              <w:t xml:space="preserve">Kanis JA, Chandran M, </w:t>
            </w:r>
            <w:proofErr w:type="spellStart"/>
            <w:r w:rsidRPr="00E5256E">
              <w:rPr>
                <w:rFonts w:ascii="Calibri" w:hAnsi="Calibri" w:cs="Calibri"/>
                <w:sz w:val="20"/>
                <w:szCs w:val="20"/>
              </w:rPr>
              <w:t>Chionh</w:t>
            </w:r>
            <w:proofErr w:type="spellEnd"/>
            <w:r w:rsidRPr="00E5256E">
              <w:rPr>
                <w:rFonts w:ascii="Calibri" w:hAnsi="Calibri" w:cs="Calibri"/>
                <w:sz w:val="20"/>
                <w:szCs w:val="20"/>
              </w:rPr>
              <w:t xml:space="preserve"> SB, </w:t>
            </w:r>
            <w:proofErr w:type="spellStart"/>
            <w:r w:rsidRPr="00E5256E">
              <w:rPr>
                <w:rFonts w:ascii="Calibri" w:hAnsi="Calibri" w:cs="Calibri"/>
                <w:sz w:val="20"/>
                <w:szCs w:val="20"/>
              </w:rPr>
              <w:t>Ganeson</w:t>
            </w:r>
            <w:proofErr w:type="spellEnd"/>
            <w:r w:rsidRPr="00E5256E">
              <w:rPr>
                <w:rFonts w:ascii="Calibri" w:hAnsi="Calibri" w:cs="Calibri"/>
                <w:sz w:val="20"/>
                <w:szCs w:val="20"/>
              </w:rPr>
              <w:t xml:space="preserve"> G, Harvey NC, Koh WP, Kwok T, Lau TC, Liu E, Lorentzon M, McCloskey EV, Tan KB, Vandenput L, Johansson H (2020) Use of age-dependent FRAX-based intervention thresholds for Singapore.  Arch Osteoporos 15:</w:t>
            </w:r>
            <w:r>
              <w:rPr>
                <w:rFonts w:ascii="Calibri" w:hAnsi="Calibri" w:cs="Calibri"/>
                <w:sz w:val="20"/>
                <w:szCs w:val="20"/>
              </w:rPr>
              <w:t xml:space="preserve"> </w:t>
            </w:r>
            <w:r w:rsidRPr="00E5256E">
              <w:rPr>
                <w:rFonts w:ascii="Calibri" w:hAnsi="Calibri" w:cs="Calibri"/>
                <w:sz w:val="20"/>
                <w:szCs w:val="20"/>
              </w:rPr>
              <w:t>104</w:t>
            </w:r>
            <w:proofErr w:type="gramStart"/>
            <w:r w:rsidRPr="00E5256E">
              <w:rPr>
                <w:rFonts w:ascii="Calibri" w:hAnsi="Calibri" w:cs="Calibri"/>
                <w:sz w:val="20"/>
                <w:szCs w:val="20"/>
              </w:rPr>
              <w:t xml:space="preserve">. </w:t>
            </w:r>
            <w:proofErr w:type="gramEnd"/>
            <w:r w:rsidRPr="00E5256E">
              <w:rPr>
                <w:rFonts w:ascii="Calibri" w:hAnsi="Calibri" w:cs="Calibri"/>
                <w:sz w:val="20"/>
                <w:szCs w:val="20"/>
              </w:rPr>
              <w:t xml:space="preserve">doi: 10.1007/s11657-020-00782-9.  </w:t>
            </w:r>
          </w:p>
        </w:tc>
      </w:tr>
      <w:tr w:rsidR="00687CE4" w:rsidRPr="00E5256E" w14:paraId="3495934E" w14:textId="77777777" w:rsidTr="004408F5">
        <w:tc>
          <w:tcPr>
            <w:tcW w:w="562" w:type="dxa"/>
          </w:tcPr>
          <w:p w14:paraId="792B1390" w14:textId="77777777" w:rsidR="00687CE4" w:rsidRDefault="00687CE4" w:rsidP="003E3683">
            <w:pPr>
              <w:autoSpaceDE w:val="0"/>
              <w:autoSpaceDN w:val="0"/>
              <w:adjustRightInd w:val="0"/>
              <w:spacing w:before="240" w:line="276" w:lineRule="auto"/>
              <w:ind w:left="567" w:hanging="567"/>
            </w:pPr>
            <w:r>
              <w:t>21.</w:t>
            </w:r>
          </w:p>
        </w:tc>
        <w:tc>
          <w:tcPr>
            <w:tcW w:w="8454" w:type="dxa"/>
          </w:tcPr>
          <w:p w14:paraId="049A7560" w14:textId="77777777" w:rsidR="00687CE4" w:rsidRDefault="00687CE4" w:rsidP="00D471D8">
            <w:pPr>
              <w:autoSpaceDE w:val="0"/>
              <w:autoSpaceDN w:val="0"/>
              <w:adjustRightInd w:val="0"/>
              <w:spacing w:before="240" w:line="276" w:lineRule="auto"/>
              <w:ind w:left="34" w:hanging="34"/>
            </w:pPr>
            <w:r w:rsidRPr="005D1CDC">
              <w:t xml:space="preserve">Johansson H, Kanis </w:t>
            </w:r>
            <w:proofErr w:type="spellStart"/>
            <w:proofErr w:type="gramStart"/>
            <w:r w:rsidRPr="005D1CDC">
              <w:t>JA,Oden</w:t>
            </w:r>
            <w:proofErr w:type="spellEnd"/>
            <w:proofErr w:type="gramEnd"/>
            <w:r w:rsidRPr="005D1CDC">
              <w:t xml:space="preserve"> A, Johnell O, Compston J, McCloskey EV (2012) A comparison of case finding strategies in the UK for the management of hip fractures. Osteoporos Int 23:907–915.</w:t>
            </w:r>
          </w:p>
        </w:tc>
      </w:tr>
      <w:tr w:rsidR="00687CE4" w:rsidRPr="00072023" w14:paraId="006C956A" w14:textId="77777777" w:rsidTr="004408F5">
        <w:tc>
          <w:tcPr>
            <w:tcW w:w="562" w:type="dxa"/>
          </w:tcPr>
          <w:p w14:paraId="6940F059"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22.</w:t>
            </w:r>
          </w:p>
        </w:tc>
        <w:tc>
          <w:tcPr>
            <w:tcW w:w="8454" w:type="dxa"/>
          </w:tcPr>
          <w:p w14:paraId="7B517E70" w14:textId="6B0C75E1" w:rsidR="00687CE4" w:rsidRPr="00296D1F" w:rsidRDefault="00687CE4" w:rsidP="00D471D8">
            <w:pPr>
              <w:autoSpaceDE w:val="0"/>
              <w:autoSpaceDN w:val="0"/>
              <w:adjustRightInd w:val="0"/>
              <w:spacing w:before="240" w:line="276" w:lineRule="auto"/>
              <w:ind w:left="34" w:hanging="34"/>
              <w:rPr>
                <w:rFonts w:ascii="Calibri" w:hAnsi="Calibri" w:cs="Calibri"/>
                <w:sz w:val="20"/>
                <w:szCs w:val="20"/>
              </w:rPr>
            </w:pPr>
            <w:r w:rsidRPr="00FD52DB">
              <w:rPr>
                <w:rFonts w:ascii="Calibri" w:hAnsi="Calibri" w:cs="Calibri"/>
                <w:sz w:val="20"/>
                <w:szCs w:val="20"/>
              </w:rPr>
              <w:t xml:space="preserve">Kanis JA, Odén A, McCloskey EV, Johansson H, Wahl DA, Cooper </w:t>
            </w:r>
            <w:proofErr w:type="gramStart"/>
            <w:r w:rsidRPr="00FD52DB">
              <w:rPr>
                <w:rFonts w:ascii="Calibri" w:hAnsi="Calibri" w:cs="Calibri"/>
                <w:sz w:val="20"/>
                <w:szCs w:val="20"/>
              </w:rPr>
              <w:t>C.(</w:t>
            </w:r>
            <w:proofErr w:type="gramEnd"/>
            <w:r w:rsidRPr="00FD52DB">
              <w:rPr>
                <w:rFonts w:ascii="Calibri" w:hAnsi="Calibri" w:cs="Calibri"/>
                <w:sz w:val="20"/>
                <w:szCs w:val="20"/>
              </w:rPr>
              <w:t>2012) A systematic review of hip fracture incidence and probability of fracture worldwide. Osteoporos Int. 23(9):2239-56.</w:t>
            </w:r>
          </w:p>
        </w:tc>
      </w:tr>
      <w:tr w:rsidR="00687CE4" w:rsidRPr="00072023" w14:paraId="195646F1" w14:textId="77777777" w:rsidTr="004408F5">
        <w:tc>
          <w:tcPr>
            <w:tcW w:w="562" w:type="dxa"/>
          </w:tcPr>
          <w:p w14:paraId="60ACA766" w14:textId="77777777" w:rsidR="00687CE4" w:rsidRPr="00344696"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23.</w:t>
            </w:r>
          </w:p>
        </w:tc>
        <w:tc>
          <w:tcPr>
            <w:tcW w:w="8454" w:type="dxa"/>
          </w:tcPr>
          <w:p w14:paraId="5A9ECE1E" w14:textId="77777777" w:rsidR="00687CE4" w:rsidRPr="00344696" w:rsidRDefault="00687CE4" w:rsidP="00D471D8">
            <w:pPr>
              <w:autoSpaceDE w:val="0"/>
              <w:autoSpaceDN w:val="0"/>
              <w:adjustRightInd w:val="0"/>
              <w:spacing w:before="240" w:line="276" w:lineRule="auto"/>
              <w:ind w:left="34" w:hanging="34"/>
              <w:rPr>
                <w:rFonts w:ascii="Calibri" w:hAnsi="Calibri" w:cs="Calibri"/>
                <w:sz w:val="20"/>
                <w:szCs w:val="20"/>
              </w:rPr>
            </w:pPr>
            <w:proofErr w:type="spellStart"/>
            <w:r w:rsidRPr="008C5EF9">
              <w:rPr>
                <w:rFonts w:ascii="Calibri" w:hAnsi="Calibri" w:cs="Calibri"/>
                <w:sz w:val="20"/>
                <w:szCs w:val="20"/>
              </w:rPr>
              <w:t>Riedermann</w:t>
            </w:r>
            <w:proofErr w:type="spellEnd"/>
            <w:r w:rsidRPr="008C5EF9">
              <w:rPr>
                <w:rFonts w:ascii="Calibri" w:hAnsi="Calibri" w:cs="Calibri"/>
                <w:sz w:val="20"/>
                <w:szCs w:val="20"/>
              </w:rPr>
              <w:t xml:space="preserve"> P, Bustos L, Neira O, McCloskey E, Johansson H, </w:t>
            </w:r>
            <w:proofErr w:type="spellStart"/>
            <w:r w:rsidRPr="008C5EF9">
              <w:rPr>
                <w:rFonts w:ascii="Calibri" w:hAnsi="Calibri" w:cs="Calibri"/>
                <w:sz w:val="20"/>
                <w:szCs w:val="20"/>
              </w:rPr>
              <w:t>Riedermann</w:t>
            </w:r>
            <w:proofErr w:type="spellEnd"/>
            <w:r w:rsidRPr="008C5EF9">
              <w:rPr>
                <w:rFonts w:ascii="Calibri" w:hAnsi="Calibri" w:cs="Calibri"/>
                <w:sz w:val="20"/>
                <w:szCs w:val="20"/>
              </w:rPr>
              <w:t xml:space="preserve"> D, Kanis J (2016) The effect of latitude in on the risk of hip fractures in Chile</w:t>
            </w:r>
            <w:proofErr w:type="gramStart"/>
            <w:r w:rsidRPr="008C5EF9">
              <w:rPr>
                <w:rFonts w:ascii="Calibri" w:hAnsi="Calibri" w:cs="Calibri"/>
                <w:sz w:val="20"/>
                <w:szCs w:val="20"/>
              </w:rPr>
              <w:t xml:space="preserve">. </w:t>
            </w:r>
            <w:proofErr w:type="gramEnd"/>
            <w:r w:rsidRPr="008C5EF9">
              <w:rPr>
                <w:rFonts w:ascii="Calibri" w:hAnsi="Calibri" w:cs="Calibri"/>
                <w:sz w:val="20"/>
                <w:szCs w:val="20"/>
              </w:rPr>
              <w:t xml:space="preserve">J Bone Miner </w:t>
            </w:r>
            <w:r>
              <w:rPr>
                <w:rFonts w:ascii="Calibri" w:hAnsi="Calibri" w:cs="Calibri"/>
                <w:sz w:val="20"/>
                <w:szCs w:val="20"/>
              </w:rPr>
              <w:t>Res</w:t>
            </w:r>
            <w:r w:rsidRPr="008C5EF9">
              <w:rPr>
                <w:rFonts w:ascii="Calibri" w:hAnsi="Calibri" w:cs="Calibri"/>
                <w:sz w:val="20"/>
                <w:szCs w:val="20"/>
              </w:rPr>
              <w:t xml:space="preserve"> 31 (</w:t>
            </w:r>
            <w:proofErr w:type="spellStart"/>
            <w:r w:rsidRPr="008C5EF9">
              <w:rPr>
                <w:rFonts w:ascii="Calibri" w:hAnsi="Calibri" w:cs="Calibri"/>
                <w:sz w:val="20"/>
                <w:szCs w:val="20"/>
              </w:rPr>
              <w:t>Suppl</w:t>
            </w:r>
            <w:proofErr w:type="spellEnd"/>
            <w:r w:rsidRPr="008C5EF9">
              <w:rPr>
                <w:rFonts w:ascii="Calibri" w:hAnsi="Calibri" w:cs="Calibri"/>
                <w:sz w:val="20"/>
                <w:szCs w:val="20"/>
              </w:rPr>
              <w:t xml:space="preserve"> s1): S36</w:t>
            </w:r>
          </w:p>
        </w:tc>
      </w:tr>
      <w:tr w:rsidR="00687CE4" w:rsidRPr="00072023" w14:paraId="346FFEC9" w14:textId="77777777" w:rsidTr="004408F5">
        <w:tc>
          <w:tcPr>
            <w:tcW w:w="562" w:type="dxa"/>
          </w:tcPr>
          <w:p w14:paraId="1DEC5090" w14:textId="77777777" w:rsidR="00687CE4" w:rsidRPr="00072023" w:rsidRDefault="00687CE4" w:rsidP="0020360A">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24.</w:t>
            </w:r>
          </w:p>
        </w:tc>
        <w:tc>
          <w:tcPr>
            <w:tcW w:w="8454" w:type="dxa"/>
          </w:tcPr>
          <w:p w14:paraId="0DDB62F5"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072023">
              <w:rPr>
                <w:rFonts w:ascii="Calibri" w:hAnsi="Calibri" w:cs="Calibri"/>
                <w:sz w:val="20"/>
                <w:szCs w:val="20"/>
              </w:rPr>
              <w:t xml:space="preserve">Compston J, Bowring C, Cooper A, Cooper C, Davies C, Francis R, </w:t>
            </w:r>
            <w:r w:rsidRPr="00186A1C">
              <w:rPr>
                <w:rFonts w:ascii="Calibri" w:hAnsi="Calibri" w:cs="Calibri"/>
                <w:sz w:val="20"/>
                <w:szCs w:val="20"/>
              </w:rPr>
              <w:t>Kanis JA, Marsh D, McCloskey EV, Reid DM, Selby P, Wilkins M, National Osteoporosis Guideline Group (NOGG) (2009) Guidelines</w:t>
            </w:r>
            <w:r w:rsidRPr="00072023">
              <w:rPr>
                <w:rFonts w:ascii="Calibri" w:hAnsi="Calibri" w:cs="Calibri"/>
                <w:sz w:val="20"/>
                <w:szCs w:val="20"/>
              </w:rPr>
              <w:t xml:space="preserve"> for the diagnosis and management of osteoporosis in postmenopausal women and men from the age of 50 years in the UK</w:t>
            </w:r>
            <w:proofErr w:type="gramStart"/>
            <w:r w:rsidRPr="00072023">
              <w:rPr>
                <w:rFonts w:ascii="Calibri" w:hAnsi="Calibri" w:cs="Calibri"/>
                <w:sz w:val="20"/>
                <w:szCs w:val="20"/>
              </w:rPr>
              <w:t xml:space="preserve">. </w:t>
            </w:r>
            <w:proofErr w:type="spellStart"/>
            <w:proofErr w:type="gramEnd"/>
            <w:r w:rsidRPr="00072023">
              <w:rPr>
                <w:rFonts w:ascii="Calibri" w:hAnsi="Calibri" w:cs="Calibri"/>
                <w:sz w:val="20"/>
                <w:szCs w:val="20"/>
              </w:rPr>
              <w:t>Maturitas</w:t>
            </w:r>
            <w:proofErr w:type="spellEnd"/>
            <w:r w:rsidRPr="00072023">
              <w:rPr>
                <w:rFonts w:ascii="Calibri" w:hAnsi="Calibri" w:cs="Calibri"/>
                <w:sz w:val="20"/>
                <w:szCs w:val="20"/>
              </w:rPr>
              <w:t xml:space="preserve"> 62:105–108</w:t>
            </w:r>
          </w:p>
        </w:tc>
      </w:tr>
      <w:tr w:rsidR="00687CE4" w:rsidRPr="00072023" w14:paraId="5A969A97" w14:textId="77777777" w:rsidTr="004408F5">
        <w:tc>
          <w:tcPr>
            <w:tcW w:w="562" w:type="dxa"/>
          </w:tcPr>
          <w:p w14:paraId="478E3E2F"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25.</w:t>
            </w:r>
          </w:p>
        </w:tc>
        <w:tc>
          <w:tcPr>
            <w:tcW w:w="8454" w:type="dxa"/>
          </w:tcPr>
          <w:p w14:paraId="36F470C2"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072023">
              <w:rPr>
                <w:rFonts w:ascii="Calibri" w:hAnsi="Calibri" w:cs="Calibri"/>
                <w:sz w:val="20"/>
                <w:szCs w:val="20"/>
              </w:rPr>
              <w:t>Kanis JA, McCloskey EV, Johansson H, Strom O, Borgstrom F, Oden A, the National Osteoporosis Guideline Group (2008) Case finding for the management of osteoporosis with FRAX®—assessment and intervention thresholds for the UK</w:t>
            </w:r>
            <w:proofErr w:type="gramStart"/>
            <w:r w:rsidRPr="00072023">
              <w:rPr>
                <w:rFonts w:ascii="Calibri" w:hAnsi="Calibri" w:cs="Calibri"/>
                <w:sz w:val="20"/>
                <w:szCs w:val="20"/>
              </w:rPr>
              <w:t xml:space="preserve">. </w:t>
            </w:r>
            <w:proofErr w:type="gramEnd"/>
            <w:r w:rsidRPr="00072023">
              <w:rPr>
                <w:rFonts w:ascii="Calibri" w:hAnsi="Calibri" w:cs="Calibri"/>
                <w:sz w:val="20"/>
                <w:szCs w:val="20"/>
              </w:rPr>
              <w:t>Osteoporos Int 19: 1395–1408 Erratum 2009 Osteoporos Int 20, 499–502</w:t>
            </w:r>
          </w:p>
        </w:tc>
      </w:tr>
      <w:tr w:rsidR="00687CE4" w:rsidRPr="00E5256E" w14:paraId="1C255C85" w14:textId="77777777" w:rsidTr="004408F5">
        <w:tc>
          <w:tcPr>
            <w:tcW w:w="562" w:type="dxa"/>
          </w:tcPr>
          <w:p w14:paraId="5EB58412" w14:textId="77777777" w:rsidR="00687CE4" w:rsidRPr="007358EB" w:rsidRDefault="00687CE4" w:rsidP="0020360A">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26.</w:t>
            </w:r>
          </w:p>
        </w:tc>
        <w:tc>
          <w:tcPr>
            <w:tcW w:w="8454" w:type="dxa"/>
          </w:tcPr>
          <w:p w14:paraId="749891FC" w14:textId="77777777" w:rsidR="00687CE4" w:rsidRPr="007358EB" w:rsidRDefault="00687CE4" w:rsidP="00D471D8">
            <w:pPr>
              <w:autoSpaceDE w:val="0"/>
              <w:autoSpaceDN w:val="0"/>
              <w:adjustRightInd w:val="0"/>
              <w:spacing w:before="240" w:line="276" w:lineRule="auto"/>
              <w:ind w:left="34" w:hanging="34"/>
              <w:rPr>
                <w:rFonts w:ascii="Calibri" w:hAnsi="Calibri" w:cs="Calibri"/>
                <w:sz w:val="20"/>
                <w:szCs w:val="20"/>
              </w:rPr>
            </w:pPr>
            <w:r w:rsidRPr="00597F67">
              <w:rPr>
                <w:rFonts w:ascii="Calibri" w:hAnsi="Calibri" w:cs="Calibri"/>
                <w:sz w:val="20"/>
                <w:szCs w:val="20"/>
              </w:rPr>
              <w:t>Gregson CL, Armstrong DJ, Bowden J, Cooper C, Edwards J, Gittoes NJL, Harvey N, Kanis J, Leyland S, Low R, McCloskey E, Moss K, Parker J, Paskins Z, Poole K, Reid DM, Stone M, Thomson J, Vine N, Compston J. Correction: UK clinical guideline for the prevention and treatment of osteoporosis</w:t>
            </w:r>
            <w:proofErr w:type="gramStart"/>
            <w:r w:rsidRPr="00597F67">
              <w:rPr>
                <w:rFonts w:ascii="Calibri" w:hAnsi="Calibri" w:cs="Calibri"/>
                <w:sz w:val="20"/>
                <w:szCs w:val="20"/>
              </w:rPr>
              <w:t xml:space="preserve">. </w:t>
            </w:r>
            <w:proofErr w:type="gramEnd"/>
            <w:r w:rsidRPr="00597F67">
              <w:rPr>
                <w:rFonts w:ascii="Calibri" w:hAnsi="Calibri" w:cs="Calibri"/>
                <w:sz w:val="20"/>
                <w:szCs w:val="20"/>
              </w:rPr>
              <w:t>Arch Osteoporos</w:t>
            </w:r>
            <w:proofErr w:type="gramStart"/>
            <w:r w:rsidRPr="00597F67">
              <w:rPr>
                <w:rFonts w:ascii="Calibri" w:hAnsi="Calibri" w:cs="Calibri"/>
                <w:sz w:val="20"/>
                <w:szCs w:val="20"/>
              </w:rPr>
              <w:t xml:space="preserve">. </w:t>
            </w:r>
            <w:proofErr w:type="gramEnd"/>
            <w:r w:rsidRPr="00597F67">
              <w:rPr>
                <w:rFonts w:ascii="Calibri" w:hAnsi="Calibri" w:cs="Calibri"/>
                <w:sz w:val="20"/>
                <w:szCs w:val="20"/>
              </w:rPr>
              <w:t>2022 May 19;17(1):80. doi: 10.1007/s11657-022-01115-8</w:t>
            </w:r>
            <w:proofErr w:type="gramStart"/>
            <w:r w:rsidRPr="00597F67">
              <w:rPr>
                <w:rFonts w:ascii="Calibri" w:hAnsi="Calibri" w:cs="Calibri"/>
                <w:sz w:val="20"/>
                <w:szCs w:val="20"/>
              </w:rPr>
              <w:t xml:space="preserve">. </w:t>
            </w:r>
            <w:proofErr w:type="gramEnd"/>
            <w:r w:rsidRPr="00597F67">
              <w:rPr>
                <w:rFonts w:ascii="Calibri" w:hAnsi="Calibri" w:cs="Calibri"/>
                <w:sz w:val="20"/>
                <w:szCs w:val="20"/>
              </w:rPr>
              <w:t>Erratum for: Arch Osteoporos</w:t>
            </w:r>
            <w:proofErr w:type="gramStart"/>
            <w:r w:rsidRPr="00597F67">
              <w:rPr>
                <w:rFonts w:ascii="Calibri" w:hAnsi="Calibri" w:cs="Calibri"/>
                <w:sz w:val="20"/>
                <w:szCs w:val="20"/>
              </w:rPr>
              <w:t xml:space="preserve">. </w:t>
            </w:r>
            <w:proofErr w:type="gramEnd"/>
            <w:r w:rsidRPr="00597F67">
              <w:rPr>
                <w:rFonts w:ascii="Calibri" w:hAnsi="Calibri" w:cs="Calibri"/>
                <w:sz w:val="20"/>
                <w:szCs w:val="20"/>
              </w:rPr>
              <w:t xml:space="preserve">2022 Apr 5;17(1):58. </w:t>
            </w:r>
          </w:p>
        </w:tc>
      </w:tr>
      <w:tr w:rsidR="00687CE4" w:rsidRPr="00072023" w14:paraId="0508427F" w14:textId="77777777" w:rsidTr="004408F5">
        <w:tc>
          <w:tcPr>
            <w:tcW w:w="562" w:type="dxa"/>
          </w:tcPr>
          <w:p w14:paraId="605B2A6A"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27.</w:t>
            </w:r>
          </w:p>
        </w:tc>
        <w:tc>
          <w:tcPr>
            <w:tcW w:w="8454" w:type="dxa"/>
          </w:tcPr>
          <w:p w14:paraId="24770504" w14:textId="77777777" w:rsidR="00687CE4" w:rsidRPr="00072023" w:rsidRDefault="00687CE4" w:rsidP="00D471D8">
            <w:pPr>
              <w:autoSpaceDE w:val="0"/>
              <w:autoSpaceDN w:val="0"/>
              <w:adjustRightInd w:val="0"/>
              <w:spacing w:before="240" w:line="276" w:lineRule="auto"/>
              <w:ind w:left="34" w:hanging="34"/>
              <w:rPr>
                <w:rFonts w:ascii="Calibri" w:hAnsi="Calibri" w:cs="Calibri"/>
                <w:sz w:val="20"/>
                <w:szCs w:val="20"/>
              </w:rPr>
            </w:pPr>
            <w:r w:rsidRPr="00072023">
              <w:rPr>
                <w:rFonts w:ascii="Calibri" w:hAnsi="Calibri" w:cs="Calibri"/>
                <w:sz w:val="20"/>
                <w:szCs w:val="20"/>
              </w:rPr>
              <w:t>McCloskey E, Kanis JA, Johansson Harvey N Odén A, Cooper A, Cooper C, Francis R, Reid D, Selby P, Davies C, Bowring C, Compston (2015) FRAX-based assessment and intervention thresholds-an exploration of thresholds in women aged 50 years and older in the UK.  Osteoporos Int 26: 2091-9.</w:t>
            </w:r>
          </w:p>
        </w:tc>
      </w:tr>
      <w:tr w:rsidR="00687CE4" w:rsidRPr="00072023" w14:paraId="635AA432" w14:textId="77777777" w:rsidTr="004408F5">
        <w:tc>
          <w:tcPr>
            <w:tcW w:w="562" w:type="dxa"/>
          </w:tcPr>
          <w:p w14:paraId="28EBC606" w14:textId="77777777" w:rsidR="00687CE4" w:rsidRPr="00E52550"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28.</w:t>
            </w:r>
          </w:p>
        </w:tc>
        <w:tc>
          <w:tcPr>
            <w:tcW w:w="8454" w:type="dxa"/>
          </w:tcPr>
          <w:p w14:paraId="78189D62" w14:textId="77777777" w:rsidR="00687CE4" w:rsidRPr="006C14CD" w:rsidRDefault="00687CE4" w:rsidP="00D471D8">
            <w:pPr>
              <w:autoSpaceDE w:val="0"/>
              <w:autoSpaceDN w:val="0"/>
              <w:adjustRightInd w:val="0"/>
              <w:spacing w:before="240" w:line="276" w:lineRule="auto"/>
              <w:ind w:left="34" w:hanging="34"/>
              <w:rPr>
                <w:rFonts w:ascii="Calibri" w:hAnsi="Calibri" w:cs="Calibri"/>
                <w:sz w:val="20"/>
                <w:szCs w:val="20"/>
              </w:rPr>
            </w:pPr>
            <w:r w:rsidRPr="00F55AE0">
              <w:rPr>
                <w:rFonts w:ascii="Calibri" w:hAnsi="Calibri" w:cs="Calibri"/>
                <w:sz w:val="20"/>
                <w:szCs w:val="20"/>
              </w:rPr>
              <w:t xml:space="preserve">Kanis JA, Cooper C, Rizzoli R, Reginster J-Y; Scientific Advisory Board of the European Society for Clinical and Economic Aspects of Osteoporosis (ESCEO) and the Committees of Scientific Advisors </w:t>
            </w:r>
            <w:r w:rsidRPr="00F55AE0">
              <w:rPr>
                <w:rFonts w:ascii="Calibri" w:hAnsi="Calibri" w:cs="Calibri"/>
                <w:sz w:val="20"/>
                <w:szCs w:val="20"/>
              </w:rPr>
              <w:lastRenderedPageBreak/>
              <w:t>and National Societies of the International Osteoporosis Foundation (IOF) (2019) European guidance for the diagnosis and management of osteoporosis in postmenopausal women.  Osteoporos Int 30: 3-44.</w:t>
            </w:r>
          </w:p>
        </w:tc>
      </w:tr>
      <w:tr w:rsidR="00687CE4" w:rsidRPr="00E5256E" w14:paraId="16239FDE" w14:textId="77777777" w:rsidTr="004408F5">
        <w:tc>
          <w:tcPr>
            <w:tcW w:w="562" w:type="dxa"/>
          </w:tcPr>
          <w:p w14:paraId="275A0C13"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lastRenderedPageBreak/>
              <w:t>29.</w:t>
            </w:r>
          </w:p>
        </w:tc>
        <w:tc>
          <w:tcPr>
            <w:tcW w:w="8454" w:type="dxa"/>
          </w:tcPr>
          <w:p w14:paraId="448DFCAF" w14:textId="77777777" w:rsidR="00687CE4" w:rsidRPr="00E5256E" w:rsidRDefault="00687CE4" w:rsidP="00D471D8">
            <w:pPr>
              <w:autoSpaceDE w:val="0"/>
              <w:autoSpaceDN w:val="0"/>
              <w:adjustRightInd w:val="0"/>
              <w:spacing w:before="240" w:line="276" w:lineRule="auto"/>
              <w:ind w:left="34" w:hanging="34"/>
              <w:rPr>
                <w:rFonts w:ascii="Calibri" w:hAnsi="Calibri" w:cs="Calibri"/>
                <w:sz w:val="20"/>
                <w:szCs w:val="20"/>
              </w:rPr>
            </w:pPr>
            <w:proofErr w:type="spellStart"/>
            <w:r w:rsidRPr="0005447B">
              <w:rPr>
                <w:rFonts w:ascii="Calibri" w:hAnsi="Calibri" w:cs="Calibri"/>
                <w:sz w:val="20"/>
                <w:szCs w:val="20"/>
              </w:rPr>
              <w:t>Lekamwasam</w:t>
            </w:r>
            <w:proofErr w:type="spellEnd"/>
            <w:r w:rsidRPr="0005447B">
              <w:rPr>
                <w:rFonts w:ascii="Calibri" w:hAnsi="Calibri" w:cs="Calibri"/>
                <w:sz w:val="20"/>
                <w:szCs w:val="20"/>
              </w:rPr>
              <w:t xml:space="preserve"> S, Adachi JD, Agnusdei D, </w:t>
            </w:r>
            <w:proofErr w:type="spellStart"/>
            <w:r w:rsidRPr="0005447B">
              <w:rPr>
                <w:rFonts w:ascii="Calibri" w:hAnsi="Calibri" w:cs="Calibri"/>
                <w:sz w:val="20"/>
                <w:szCs w:val="20"/>
              </w:rPr>
              <w:t>Bilezikian</w:t>
            </w:r>
            <w:proofErr w:type="spellEnd"/>
            <w:r w:rsidRPr="0005447B">
              <w:rPr>
                <w:rFonts w:ascii="Calibri" w:hAnsi="Calibri" w:cs="Calibri"/>
                <w:sz w:val="20"/>
                <w:szCs w:val="20"/>
              </w:rPr>
              <w:t xml:space="preserve"> J, Boonen S, Borgström F, Cooper C, Diez Perez A, </w:t>
            </w:r>
            <w:proofErr w:type="spellStart"/>
            <w:r w:rsidRPr="0005447B">
              <w:rPr>
                <w:rFonts w:ascii="Calibri" w:hAnsi="Calibri" w:cs="Calibri"/>
                <w:sz w:val="20"/>
                <w:szCs w:val="20"/>
              </w:rPr>
              <w:t>Eastell</w:t>
            </w:r>
            <w:proofErr w:type="spellEnd"/>
            <w:r w:rsidRPr="0005447B">
              <w:rPr>
                <w:rFonts w:ascii="Calibri" w:hAnsi="Calibri" w:cs="Calibri"/>
                <w:sz w:val="20"/>
                <w:szCs w:val="20"/>
              </w:rPr>
              <w:t xml:space="preserve"> R, </w:t>
            </w:r>
            <w:proofErr w:type="spellStart"/>
            <w:r w:rsidRPr="0005447B">
              <w:rPr>
                <w:rFonts w:ascii="Calibri" w:hAnsi="Calibri" w:cs="Calibri"/>
                <w:sz w:val="20"/>
                <w:szCs w:val="20"/>
              </w:rPr>
              <w:t>Hofbauer</w:t>
            </w:r>
            <w:proofErr w:type="spellEnd"/>
            <w:r w:rsidRPr="0005447B">
              <w:rPr>
                <w:rFonts w:ascii="Calibri" w:hAnsi="Calibri" w:cs="Calibri"/>
                <w:sz w:val="20"/>
                <w:szCs w:val="20"/>
              </w:rPr>
              <w:t xml:space="preserve"> L, Kanis JA, </w:t>
            </w:r>
            <w:proofErr w:type="spellStart"/>
            <w:r w:rsidRPr="0005447B">
              <w:rPr>
                <w:rFonts w:ascii="Calibri" w:hAnsi="Calibri" w:cs="Calibri"/>
                <w:sz w:val="20"/>
                <w:szCs w:val="20"/>
              </w:rPr>
              <w:t>Langdahl</w:t>
            </w:r>
            <w:proofErr w:type="spellEnd"/>
            <w:r w:rsidRPr="0005447B">
              <w:rPr>
                <w:rFonts w:ascii="Calibri" w:hAnsi="Calibri" w:cs="Calibri"/>
                <w:sz w:val="20"/>
                <w:szCs w:val="20"/>
              </w:rPr>
              <w:t xml:space="preserve"> BL, </w:t>
            </w:r>
            <w:proofErr w:type="spellStart"/>
            <w:r w:rsidRPr="0005447B">
              <w:rPr>
                <w:rFonts w:ascii="Calibri" w:hAnsi="Calibri" w:cs="Calibri"/>
                <w:sz w:val="20"/>
                <w:szCs w:val="20"/>
              </w:rPr>
              <w:t>Lesnyak</w:t>
            </w:r>
            <w:proofErr w:type="spellEnd"/>
            <w:r w:rsidRPr="0005447B">
              <w:rPr>
                <w:rFonts w:ascii="Calibri" w:hAnsi="Calibri" w:cs="Calibri"/>
                <w:sz w:val="20"/>
                <w:szCs w:val="20"/>
              </w:rPr>
              <w:t xml:space="preserve"> O, Lorenc R,  McCloskey E, Messina OD, Napoli N, </w:t>
            </w:r>
            <w:proofErr w:type="spellStart"/>
            <w:r w:rsidRPr="0005447B">
              <w:rPr>
                <w:rFonts w:ascii="Calibri" w:hAnsi="Calibri" w:cs="Calibri"/>
                <w:sz w:val="20"/>
                <w:szCs w:val="20"/>
              </w:rPr>
              <w:t>Obermayer</w:t>
            </w:r>
            <w:proofErr w:type="spellEnd"/>
            <w:r w:rsidRPr="0005447B">
              <w:rPr>
                <w:rFonts w:ascii="Calibri" w:hAnsi="Calibri" w:cs="Calibri"/>
                <w:sz w:val="20"/>
                <w:szCs w:val="20"/>
              </w:rPr>
              <w:t xml:space="preserve">-Pietsch B, Ralston SH, Sambrook PN, Silverman S, Sosa M, Stepan J, </w:t>
            </w:r>
            <w:proofErr w:type="spellStart"/>
            <w:r w:rsidRPr="0005447B">
              <w:rPr>
                <w:rFonts w:ascii="Calibri" w:hAnsi="Calibri" w:cs="Calibri"/>
                <w:sz w:val="20"/>
                <w:szCs w:val="20"/>
              </w:rPr>
              <w:t>Suppan</w:t>
            </w:r>
            <w:proofErr w:type="spellEnd"/>
            <w:r w:rsidRPr="0005447B">
              <w:rPr>
                <w:rFonts w:ascii="Calibri" w:hAnsi="Calibri" w:cs="Calibri"/>
                <w:sz w:val="20"/>
                <w:szCs w:val="20"/>
              </w:rPr>
              <w:t xml:space="preserve"> G, Wahl DA, Compston JE for the Joint IOF-ECTS GIO Guidelines Working Group (2012) A framework for the development of guidelines for the management of glucocorticoid-induced osteoporosis. Osteoporos Int 23: 2257-76.</w:t>
            </w:r>
          </w:p>
        </w:tc>
      </w:tr>
      <w:tr w:rsidR="00687CE4" w:rsidRPr="00E5256E" w14:paraId="099209F7" w14:textId="77777777" w:rsidTr="004408F5">
        <w:tc>
          <w:tcPr>
            <w:tcW w:w="562" w:type="dxa"/>
          </w:tcPr>
          <w:p w14:paraId="6FB8B667" w14:textId="77777777" w:rsidR="00687CE4" w:rsidRDefault="00687CE4" w:rsidP="003E3683">
            <w:pPr>
              <w:autoSpaceDE w:val="0"/>
              <w:autoSpaceDN w:val="0"/>
              <w:adjustRightInd w:val="0"/>
              <w:spacing w:before="240" w:line="276" w:lineRule="auto"/>
              <w:ind w:left="567" w:hanging="567"/>
            </w:pPr>
            <w:r>
              <w:t>30.</w:t>
            </w:r>
          </w:p>
        </w:tc>
        <w:tc>
          <w:tcPr>
            <w:tcW w:w="8454" w:type="dxa"/>
          </w:tcPr>
          <w:p w14:paraId="1C3A7472" w14:textId="77777777" w:rsidR="00687CE4" w:rsidRPr="00C273D8" w:rsidRDefault="00687CE4" w:rsidP="00D471D8">
            <w:pPr>
              <w:autoSpaceDE w:val="0"/>
              <w:autoSpaceDN w:val="0"/>
              <w:adjustRightInd w:val="0"/>
              <w:spacing w:before="240" w:line="276" w:lineRule="auto"/>
              <w:ind w:left="34" w:hanging="34"/>
              <w:rPr>
                <w:highlight w:val="yellow"/>
              </w:rPr>
            </w:pPr>
            <w:r w:rsidRPr="00C778EF">
              <w:t xml:space="preserve">Johansson H, Oden A, Johnell O, Jonsson B, de </w:t>
            </w:r>
            <w:proofErr w:type="spellStart"/>
            <w:r w:rsidRPr="00C778EF">
              <w:t>Laet</w:t>
            </w:r>
            <w:proofErr w:type="spellEnd"/>
            <w:r w:rsidRPr="00C778EF">
              <w:t xml:space="preserve"> C, Oglesby A, McCloskey EV, </w:t>
            </w:r>
            <w:proofErr w:type="spellStart"/>
            <w:r w:rsidRPr="00C778EF">
              <w:t>Kayan</w:t>
            </w:r>
            <w:proofErr w:type="spellEnd"/>
            <w:r w:rsidRPr="00C778EF">
              <w:t xml:space="preserve"> K, </w:t>
            </w:r>
            <w:proofErr w:type="spellStart"/>
            <w:r w:rsidRPr="00C778EF">
              <w:t>Jalava</w:t>
            </w:r>
            <w:proofErr w:type="spellEnd"/>
            <w:r w:rsidRPr="00C778EF">
              <w:t xml:space="preserve"> T, Kanis JA </w:t>
            </w:r>
            <w:r w:rsidRPr="003F6F42">
              <w:t>(2004) Optimization of BMD measurements to identify high risk groups for treatment--a test analysis</w:t>
            </w:r>
            <w:proofErr w:type="gramStart"/>
            <w:r w:rsidRPr="003F6F42">
              <w:t xml:space="preserve">. </w:t>
            </w:r>
            <w:proofErr w:type="gramEnd"/>
            <w:r w:rsidRPr="003F6F42">
              <w:t>J Bone Miner Res. 19(6):906-913.</w:t>
            </w:r>
          </w:p>
        </w:tc>
      </w:tr>
      <w:tr w:rsidR="00687CE4" w:rsidRPr="00072023" w14:paraId="76AE8AB9" w14:textId="77777777" w:rsidTr="004408F5">
        <w:tc>
          <w:tcPr>
            <w:tcW w:w="562" w:type="dxa"/>
          </w:tcPr>
          <w:p w14:paraId="42950652" w14:textId="77777777" w:rsidR="00687CE4" w:rsidRDefault="00687CE4" w:rsidP="00ED016E">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31.</w:t>
            </w:r>
          </w:p>
        </w:tc>
        <w:tc>
          <w:tcPr>
            <w:tcW w:w="8454" w:type="dxa"/>
          </w:tcPr>
          <w:p w14:paraId="6A205D77" w14:textId="77777777" w:rsidR="00687CE4" w:rsidRPr="001F5F45" w:rsidRDefault="00687CE4" w:rsidP="00ED016E">
            <w:pPr>
              <w:autoSpaceDE w:val="0"/>
              <w:autoSpaceDN w:val="0"/>
              <w:adjustRightInd w:val="0"/>
              <w:spacing w:before="240" w:line="276" w:lineRule="auto"/>
              <w:ind w:left="34" w:hanging="34"/>
            </w:pPr>
            <w:r w:rsidRPr="00191FD0">
              <w:t>National Institute for Health and Care Excellence (2012) NICE clinical guideline 146</w:t>
            </w:r>
            <w:proofErr w:type="gramStart"/>
            <w:r w:rsidRPr="00191FD0">
              <w:t xml:space="preserve">. </w:t>
            </w:r>
            <w:proofErr w:type="gramEnd"/>
            <w:r w:rsidRPr="00191FD0">
              <w:t>Osteoporosis: assessing the risk of fragility fracture</w:t>
            </w:r>
            <w:proofErr w:type="gramStart"/>
            <w:r w:rsidRPr="00191FD0">
              <w:t xml:space="preserve">. </w:t>
            </w:r>
            <w:proofErr w:type="gramEnd"/>
            <w:r w:rsidRPr="00191FD0">
              <w:t>London, UK.</w:t>
            </w:r>
          </w:p>
        </w:tc>
      </w:tr>
      <w:tr w:rsidR="00687CE4" w:rsidRPr="00E5256E" w14:paraId="7976864F" w14:textId="77777777" w:rsidTr="004408F5">
        <w:tc>
          <w:tcPr>
            <w:tcW w:w="562" w:type="dxa"/>
          </w:tcPr>
          <w:p w14:paraId="210CDC03"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32.</w:t>
            </w:r>
          </w:p>
        </w:tc>
        <w:tc>
          <w:tcPr>
            <w:tcW w:w="8454" w:type="dxa"/>
          </w:tcPr>
          <w:p w14:paraId="05611BDC" w14:textId="77777777" w:rsidR="00687CE4" w:rsidRPr="0005447B" w:rsidRDefault="00687CE4" w:rsidP="00D471D8">
            <w:pPr>
              <w:autoSpaceDE w:val="0"/>
              <w:autoSpaceDN w:val="0"/>
              <w:adjustRightInd w:val="0"/>
              <w:spacing w:before="240" w:line="276" w:lineRule="auto"/>
              <w:ind w:left="34" w:hanging="34"/>
              <w:rPr>
                <w:rFonts w:ascii="Calibri" w:hAnsi="Calibri" w:cs="Calibri"/>
                <w:sz w:val="20"/>
                <w:szCs w:val="20"/>
              </w:rPr>
            </w:pPr>
            <w:r w:rsidRPr="00900407">
              <w:rPr>
                <w:rFonts w:ascii="Calibri" w:hAnsi="Calibri" w:cs="Calibri"/>
                <w:sz w:val="20"/>
                <w:szCs w:val="20"/>
              </w:rPr>
              <w:t xml:space="preserve">Leslie WD, Kanis JA (2021) Calibration of FRAX: A journey, not a destination.  </w:t>
            </w:r>
            <w:proofErr w:type="spellStart"/>
            <w:r w:rsidRPr="00BD38E6">
              <w:rPr>
                <w:rFonts w:ascii="Calibri" w:hAnsi="Calibri" w:cs="Calibri"/>
                <w:sz w:val="20"/>
                <w:szCs w:val="20"/>
              </w:rPr>
              <w:t>Calcif</w:t>
            </w:r>
            <w:proofErr w:type="spellEnd"/>
            <w:r w:rsidRPr="00BD38E6">
              <w:rPr>
                <w:rFonts w:ascii="Calibri" w:hAnsi="Calibri" w:cs="Calibri"/>
                <w:sz w:val="20"/>
                <w:szCs w:val="20"/>
              </w:rPr>
              <w:t xml:space="preserve"> Tissue Int 109(6):</w:t>
            </w:r>
            <w:r>
              <w:rPr>
                <w:rFonts w:ascii="Calibri" w:hAnsi="Calibri" w:cs="Calibri"/>
                <w:sz w:val="20"/>
                <w:szCs w:val="20"/>
              </w:rPr>
              <w:t xml:space="preserve"> </w:t>
            </w:r>
            <w:r w:rsidRPr="00BD38E6">
              <w:rPr>
                <w:rFonts w:ascii="Calibri" w:hAnsi="Calibri" w:cs="Calibri"/>
                <w:sz w:val="20"/>
                <w:szCs w:val="20"/>
              </w:rPr>
              <w:t>597-599 doi:10.1007/s00223-021-00891-8</w:t>
            </w:r>
          </w:p>
        </w:tc>
      </w:tr>
      <w:tr w:rsidR="00687CE4" w:rsidRPr="00E5256E" w14:paraId="7B97FFB3" w14:textId="77777777" w:rsidTr="004408F5">
        <w:tc>
          <w:tcPr>
            <w:tcW w:w="562" w:type="dxa"/>
          </w:tcPr>
          <w:p w14:paraId="530B782A" w14:textId="77777777" w:rsidR="00687CE4" w:rsidRPr="00897F59"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33.</w:t>
            </w:r>
          </w:p>
        </w:tc>
        <w:tc>
          <w:tcPr>
            <w:tcW w:w="8454" w:type="dxa"/>
          </w:tcPr>
          <w:p w14:paraId="7A0DB9A6" w14:textId="4D059AB2" w:rsidR="00687CE4" w:rsidRPr="00897F59" w:rsidRDefault="00687CE4" w:rsidP="00D471D8">
            <w:pPr>
              <w:autoSpaceDE w:val="0"/>
              <w:autoSpaceDN w:val="0"/>
              <w:adjustRightInd w:val="0"/>
              <w:spacing w:before="240" w:line="276" w:lineRule="auto"/>
              <w:ind w:left="34" w:hanging="34"/>
              <w:rPr>
                <w:rFonts w:ascii="Calibri" w:hAnsi="Calibri" w:cs="Calibri"/>
                <w:sz w:val="20"/>
                <w:szCs w:val="20"/>
              </w:rPr>
            </w:pPr>
            <w:r w:rsidRPr="00651A13">
              <w:rPr>
                <w:rFonts w:ascii="Calibri" w:hAnsi="Calibri" w:cs="Calibri"/>
                <w:sz w:val="20"/>
                <w:szCs w:val="20"/>
              </w:rPr>
              <w:t xml:space="preserve">Kanis JA, Oden A, Johnell O, Johansson H, De </w:t>
            </w:r>
            <w:proofErr w:type="spellStart"/>
            <w:r w:rsidRPr="00651A13">
              <w:rPr>
                <w:rFonts w:ascii="Calibri" w:hAnsi="Calibri" w:cs="Calibri"/>
                <w:sz w:val="20"/>
                <w:szCs w:val="20"/>
              </w:rPr>
              <w:t>Laet</w:t>
            </w:r>
            <w:proofErr w:type="spellEnd"/>
            <w:r w:rsidRPr="00651A13">
              <w:rPr>
                <w:rFonts w:ascii="Calibri" w:hAnsi="Calibri" w:cs="Calibri"/>
                <w:sz w:val="20"/>
                <w:szCs w:val="20"/>
              </w:rPr>
              <w:t xml:space="preserve"> C, Brown J, Burckhardt P, Cooper C, Christiansen C, Cummings S, </w:t>
            </w:r>
            <w:proofErr w:type="spellStart"/>
            <w:r w:rsidRPr="00651A13">
              <w:rPr>
                <w:rFonts w:ascii="Calibri" w:hAnsi="Calibri" w:cs="Calibri"/>
                <w:sz w:val="20"/>
                <w:szCs w:val="20"/>
              </w:rPr>
              <w:t>Eisman</w:t>
            </w:r>
            <w:proofErr w:type="spellEnd"/>
            <w:r w:rsidRPr="00651A13">
              <w:rPr>
                <w:rFonts w:ascii="Calibri" w:hAnsi="Calibri" w:cs="Calibri"/>
                <w:sz w:val="20"/>
                <w:szCs w:val="20"/>
              </w:rPr>
              <w:t xml:space="preserve"> JA, Fujiwara S, Glüer C, Goltzman D, Hans D, Krieg MA, La Croix A, McCloskey E, Mellstrom D, Melton LJ 3rd, Pols H, Reeve J, Sanders K, Schott AM, </w:t>
            </w:r>
            <w:proofErr w:type="spellStart"/>
            <w:r w:rsidRPr="00651A13">
              <w:rPr>
                <w:rFonts w:ascii="Calibri" w:hAnsi="Calibri" w:cs="Calibri"/>
                <w:sz w:val="20"/>
                <w:szCs w:val="20"/>
              </w:rPr>
              <w:t>Silman</w:t>
            </w:r>
            <w:proofErr w:type="spellEnd"/>
            <w:r w:rsidRPr="00651A13">
              <w:rPr>
                <w:rFonts w:ascii="Calibri" w:hAnsi="Calibri" w:cs="Calibri"/>
                <w:sz w:val="20"/>
                <w:szCs w:val="20"/>
              </w:rPr>
              <w:t xml:space="preserve"> A, Torgerson D, van </w:t>
            </w:r>
            <w:proofErr w:type="spellStart"/>
            <w:r w:rsidRPr="00651A13">
              <w:rPr>
                <w:rFonts w:ascii="Calibri" w:hAnsi="Calibri" w:cs="Calibri"/>
                <w:sz w:val="20"/>
                <w:szCs w:val="20"/>
              </w:rPr>
              <w:t>Staa</w:t>
            </w:r>
            <w:proofErr w:type="spellEnd"/>
            <w:r w:rsidRPr="00651A13">
              <w:rPr>
                <w:rFonts w:ascii="Calibri" w:hAnsi="Calibri" w:cs="Calibri"/>
                <w:sz w:val="20"/>
                <w:szCs w:val="20"/>
              </w:rPr>
              <w:t xml:space="preserve"> T, Watts NB, Yoshimura N</w:t>
            </w:r>
            <w:r>
              <w:rPr>
                <w:rFonts w:ascii="Calibri" w:hAnsi="Calibri" w:cs="Calibri"/>
                <w:sz w:val="20"/>
                <w:szCs w:val="20"/>
              </w:rPr>
              <w:t xml:space="preserve"> </w:t>
            </w:r>
            <w:r w:rsidRPr="001D1EF9">
              <w:rPr>
                <w:rFonts w:ascii="Calibri" w:hAnsi="Calibri" w:cs="Calibri"/>
                <w:sz w:val="20"/>
                <w:szCs w:val="20"/>
              </w:rPr>
              <w:t>(2007) The use of clinical risk factors enhances the performance of BMD in the prediction of hip and osteoporotic fractures in men and women. Osteoporos Int</w:t>
            </w:r>
            <w:r>
              <w:rPr>
                <w:rFonts w:ascii="Calibri" w:hAnsi="Calibri" w:cs="Calibri"/>
                <w:sz w:val="20"/>
                <w:szCs w:val="20"/>
              </w:rPr>
              <w:t xml:space="preserve"> </w:t>
            </w:r>
            <w:r w:rsidRPr="001D1EF9">
              <w:rPr>
                <w:rFonts w:ascii="Calibri" w:hAnsi="Calibri" w:cs="Calibri"/>
                <w:sz w:val="20"/>
                <w:szCs w:val="20"/>
              </w:rPr>
              <w:t>18:</w:t>
            </w:r>
            <w:r>
              <w:rPr>
                <w:rFonts w:ascii="Calibri" w:hAnsi="Calibri" w:cs="Calibri"/>
                <w:sz w:val="20"/>
                <w:szCs w:val="20"/>
              </w:rPr>
              <w:t xml:space="preserve"> </w:t>
            </w:r>
            <w:r w:rsidRPr="001D1EF9">
              <w:rPr>
                <w:rFonts w:ascii="Calibri" w:hAnsi="Calibri" w:cs="Calibri"/>
                <w:sz w:val="20"/>
                <w:szCs w:val="20"/>
              </w:rPr>
              <w:t>1033–46.</w:t>
            </w:r>
          </w:p>
        </w:tc>
      </w:tr>
      <w:tr w:rsidR="00687CE4" w:rsidRPr="00E5256E" w14:paraId="235CEC02" w14:textId="77777777" w:rsidTr="004408F5">
        <w:tc>
          <w:tcPr>
            <w:tcW w:w="562" w:type="dxa"/>
          </w:tcPr>
          <w:p w14:paraId="11397389"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34.</w:t>
            </w:r>
          </w:p>
        </w:tc>
        <w:tc>
          <w:tcPr>
            <w:tcW w:w="8454" w:type="dxa"/>
          </w:tcPr>
          <w:p w14:paraId="64120BD6" w14:textId="76698EAF" w:rsidR="00687CE4" w:rsidRPr="003D5781" w:rsidRDefault="00687CE4" w:rsidP="00091196">
            <w:pPr>
              <w:autoSpaceDE w:val="0"/>
              <w:autoSpaceDN w:val="0"/>
              <w:adjustRightInd w:val="0"/>
              <w:spacing w:before="240" w:line="276" w:lineRule="auto"/>
              <w:ind w:left="34" w:hanging="34"/>
              <w:rPr>
                <w:rFonts w:ascii="Calibri" w:hAnsi="Calibri" w:cs="Calibri"/>
                <w:sz w:val="20"/>
                <w:szCs w:val="20"/>
                <w:highlight w:val="yellow"/>
              </w:rPr>
            </w:pPr>
            <w:r w:rsidRPr="001E51B4">
              <w:rPr>
                <w:rFonts w:ascii="Calibri" w:hAnsi="Calibri" w:cs="Calibri"/>
                <w:sz w:val="20"/>
                <w:szCs w:val="20"/>
              </w:rPr>
              <w:t xml:space="preserve">Leslie WD, Majumdar SR, Lix L, Johansson H, McCloskey EV </w:t>
            </w:r>
            <w:r w:rsidRPr="009320DF">
              <w:rPr>
                <w:rFonts w:ascii="Calibri" w:hAnsi="Calibri" w:cs="Calibri"/>
                <w:sz w:val="20"/>
                <w:szCs w:val="20"/>
              </w:rPr>
              <w:t>Kanis JA (2012) High</w:t>
            </w:r>
            <w:r w:rsidRPr="001E51B4">
              <w:rPr>
                <w:rFonts w:ascii="Calibri" w:hAnsi="Calibri" w:cs="Calibri"/>
                <w:sz w:val="20"/>
                <w:szCs w:val="20"/>
              </w:rPr>
              <w:t xml:space="preserve"> fracture probability with FRAX® usually indicates densitometric osteoporosis: Implications for clinical practice</w:t>
            </w:r>
            <w:proofErr w:type="gramStart"/>
            <w:r w:rsidRPr="001E51B4">
              <w:rPr>
                <w:rFonts w:ascii="Calibri" w:hAnsi="Calibri" w:cs="Calibri"/>
                <w:sz w:val="20"/>
                <w:szCs w:val="20"/>
              </w:rPr>
              <w:t xml:space="preserve">. </w:t>
            </w:r>
            <w:proofErr w:type="gramEnd"/>
            <w:r w:rsidRPr="001E51B4">
              <w:rPr>
                <w:rFonts w:ascii="Calibri" w:hAnsi="Calibri" w:cs="Calibri"/>
                <w:sz w:val="20"/>
                <w:szCs w:val="20"/>
              </w:rPr>
              <w:t xml:space="preserve">Osteoporos Int 23: 391-397.  </w:t>
            </w:r>
          </w:p>
        </w:tc>
      </w:tr>
      <w:tr w:rsidR="00687CE4" w:rsidRPr="00072023" w14:paraId="31BB2C5D" w14:textId="77777777" w:rsidTr="004408F5">
        <w:tc>
          <w:tcPr>
            <w:tcW w:w="562" w:type="dxa"/>
          </w:tcPr>
          <w:p w14:paraId="3ED6C558" w14:textId="77777777" w:rsidR="00687CE4" w:rsidRPr="00072023"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35.</w:t>
            </w:r>
          </w:p>
        </w:tc>
        <w:tc>
          <w:tcPr>
            <w:tcW w:w="8454" w:type="dxa"/>
          </w:tcPr>
          <w:p w14:paraId="505D98C9" w14:textId="2FEF0D89" w:rsidR="00687CE4" w:rsidRPr="00FD52DB" w:rsidRDefault="00687CE4" w:rsidP="00D471D8">
            <w:pPr>
              <w:autoSpaceDE w:val="0"/>
              <w:autoSpaceDN w:val="0"/>
              <w:adjustRightInd w:val="0"/>
              <w:spacing w:before="240" w:line="276" w:lineRule="auto"/>
              <w:ind w:left="34" w:hanging="34"/>
              <w:rPr>
                <w:rFonts w:ascii="Calibri" w:hAnsi="Calibri" w:cs="Calibri"/>
                <w:sz w:val="20"/>
                <w:szCs w:val="20"/>
              </w:rPr>
            </w:pPr>
            <w:r w:rsidRPr="00BF58EE">
              <w:rPr>
                <w:rFonts w:ascii="Calibri" w:hAnsi="Calibri" w:cs="Calibri"/>
                <w:sz w:val="20"/>
                <w:szCs w:val="20"/>
              </w:rPr>
              <w:t>Kanis JA, McCloskey E, Johansson H, Oden A, Leslie WD (2012) FRAX® with and without BMD</w:t>
            </w:r>
            <w:proofErr w:type="gramStart"/>
            <w:r w:rsidRPr="00BF58EE">
              <w:rPr>
                <w:rFonts w:ascii="Calibri" w:hAnsi="Calibri" w:cs="Calibri"/>
                <w:sz w:val="20"/>
                <w:szCs w:val="20"/>
              </w:rPr>
              <w:t xml:space="preserve">. </w:t>
            </w:r>
            <w:proofErr w:type="spellStart"/>
            <w:proofErr w:type="gramEnd"/>
            <w:r w:rsidRPr="00BF58EE">
              <w:rPr>
                <w:rFonts w:ascii="Calibri" w:hAnsi="Calibri" w:cs="Calibri"/>
                <w:sz w:val="20"/>
                <w:szCs w:val="20"/>
              </w:rPr>
              <w:t>Calcif</w:t>
            </w:r>
            <w:proofErr w:type="spellEnd"/>
            <w:r w:rsidRPr="00BF58EE">
              <w:rPr>
                <w:rFonts w:ascii="Calibri" w:hAnsi="Calibri" w:cs="Calibri"/>
                <w:sz w:val="20"/>
                <w:szCs w:val="20"/>
              </w:rPr>
              <w:t xml:space="preserve"> </w:t>
            </w:r>
            <w:proofErr w:type="spellStart"/>
            <w:r w:rsidRPr="00BF58EE">
              <w:rPr>
                <w:rFonts w:ascii="Calibri" w:hAnsi="Calibri" w:cs="Calibri"/>
                <w:sz w:val="20"/>
                <w:szCs w:val="20"/>
              </w:rPr>
              <w:t>Tiss</w:t>
            </w:r>
            <w:proofErr w:type="spellEnd"/>
            <w:r w:rsidRPr="00BF58EE">
              <w:rPr>
                <w:rFonts w:ascii="Calibri" w:hAnsi="Calibri" w:cs="Calibri"/>
                <w:sz w:val="20"/>
                <w:szCs w:val="20"/>
              </w:rPr>
              <w:t xml:space="preserve"> Int 90:1–13.</w:t>
            </w:r>
          </w:p>
        </w:tc>
      </w:tr>
      <w:tr w:rsidR="00687CE4" w:rsidRPr="00E37DEC" w14:paraId="5C7243CE" w14:textId="77777777" w:rsidTr="004408F5">
        <w:tc>
          <w:tcPr>
            <w:tcW w:w="562" w:type="dxa"/>
          </w:tcPr>
          <w:p w14:paraId="74A1C15A" w14:textId="77777777" w:rsidR="00687CE4" w:rsidRPr="00D471D8"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36.</w:t>
            </w:r>
          </w:p>
        </w:tc>
        <w:tc>
          <w:tcPr>
            <w:tcW w:w="8454" w:type="dxa"/>
          </w:tcPr>
          <w:p w14:paraId="7C83842A" w14:textId="77777777" w:rsidR="00687CE4" w:rsidRPr="00D57EBF" w:rsidRDefault="00687CE4" w:rsidP="00D471D8">
            <w:pPr>
              <w:autoSpaceDE w:val="0"/>
              <w:autoSpaceDN w:val="0"/>
              <w:adjustRightInd w:val="0"/>
              <w:spacing w:before="240" w:line="276" w:lineRule="auto"/>
              <w:ind w:left="34" w:hanging="34"/>
              <w:rPr>
                <w:rFonts w:ascii="Calibri" w:hAnsi="Calibri" w:cs="Calibri"/>
                <w:sz w:val="20"/>
                <w:szCs w:val="20"/>
                <w:lang w:val="fr-FR"/>
              </w:rPr>
            </w:pPr>
            <w:r w:rsidRPr="00772A36">
              <w:rPr>
                <w:rFonts w:ascii="Calibri" w:hAnsi="Calibri" w:cs="Calibri"/>
                <w:sz w:val="20"/>
                <w:szCs w:val="20"/>
              </w:rPr>
              <w:t>Torgerson DJ, Bell-</w:t>
            </w:r>
            <w:proofErr w:type="spellStart"/>
            <w:r w:rsidRPr="00772A36">
              <w:rPr>
                <w:rFonts w:ascii="Calibri" w:hAnsi="Calibri" w:cs="Calibri"/>
                <w:sz w:val="20"/>
                <w:szCs w:val="20"/>
              </w:rPr>
              <w:t>Syer</w:t>
            </w:r>
            <w:proofErr w:type="spellEnd"/>
            <w:r w:rsidRPr="00772A36">
              <w:rPr>
                <w:rFonts w:ascii="Calibri" w:hAnsi="Calibri" w:cs="Calibri"/>
                <w:sz w:val="20"/>
                <w:szCs w:val="20"/>
              </w:rPr>
              <w:t xml:space="preserve"> SE (2001) Hormone replacement therapy and prevention of nonvertebral fractures: a meta-analysis of randomized trials</w:t>
            </w:r>
            <w:proofErr w:type="gramStart"/>
            <w:r w:rsidRPr="00772A36">
              <w:rPr>
                <w:rFonts w:ascii="Calibri" w:hAnsi="Calibri" w:cs="Calibri"/>
                <w:sz w:val="20"/>
                <w:szCs w:val="20"/>
              </w:rPr>
              <w:t xml:space="preserve">. </w:t>
            </w:r>
            <w:proofErr w:type="gramEnd"/>
            <w:r w:rsidRPr="00772A36">
              <w:rPr>
                <w:rFonts w:ascii="Calibri" w:hAnsi="Calibri" w:cs="Calibri"/>
                <w:sz w:val="20"/>
                <w:szCs w:val="20"/>
                <w:lang w:val="fr-FR"/>
              </w:rPr>
              <w:t xml:space="preserve">JAMA </w:t>
            </w:r>
            <w:proofErr w:type="gramStart"/>
            <w:r w:rsidRPr="00772A36">
              <w:rPr>
                <w:rFonts w:ascii="Calibri" w:hAnsi="Calibri" w:cs="Calibri"/>
                <w:sz w:val="20"/>
                <w:szCs w:val="20"/>
                <w:lang w:val="fr-FR"/>
              </w:rPr>
              <w:t>285:</w:t>
            </w:r>
            <w:proofErr w:type="gramEnd"/>
            <w:r>
              <w:rPr>
                <w:rFonts w:ascii="Calibri" w:hAnsi="Calibri" w:cs="Calibri"/>
                <w:sz w:val="20"/>
                <w:szCs w:val="20"/>
                <w:lang w:val="fr-FR"/>
              </w:rPr>
              <w:t xml:space="preserve"> </w:t>
            </w:r>
            <w:r w:rsidRPr="00772A36">
              <w:rPr>
                <w:rFonts w:ascii="Calibri" w:hAnsi="Calibri" w:cs="Calibri"/>
                <w:sz w:val="20"/>
                <w:szCs w:val="20"/>
                <w:lang w:val="fr-FR"/>
              </w:rPr>
              <w:t>2891–2897.</w:t>
            </w:r>
          </w:p>
        </w:tc>
      </w:tr>
      <w:tr w:rsidR="00687CE4" w:rsidRPr="00072023" w14:paraId="69CF3E8E" w14:textId="77777777" w:rsidTr="004408F5">
        <w:tc>
          <w:tcPr>
            <w:tcW w:w="562" w:type="dxa"/>
          </w:tcPr>
          <w:p w14:paraId="26A01C1D" w14:textId="77777777" w:rsidR="00687CE4" w:rsidRPr="00072023" w:rsidRDefault="00687CE4" w:rsidP="00451CEB">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37.</w:t>
            </w:r>
          </w:p>
        </w:tc>
        <w:tc>
          <w:tcPr>
            <w:tcW w:w="8454" w:type="dxa"/>
          </w:tcPr>
          <w:p w14:paraId="67635C0D" w14:textId="77777777" w:rsidR="00687CE4" w:rsidRPr="003B7BAE" w:rsidRDefault="00687CE4" w:rsidP="00451CEB">
            <w:pPr>
              <w:autoSpaceDE w:val="0"/>
              <w:autoSpaceDN w:val="0"/>
              <w:adjustRightInd w:val="0"/>
              <w:spacing w:before="240" w:line="276" w:lineRule="auto"/>
              <w:ind w:left="34" w:hanging="34"/>
            </w:pPr>
            <w:r w:rsidRPr="00896252">
              <w:t xml:space="preserve">Cauley JA, Robbins J, Chen Z, Cummings SR, Jackson RD, LaCroix AZ, </w:t>
            </w:r>
            <w:proofErr w:type="spellStart"/>
            <w:r w:rsidRPr="00896252">
              <w:t>LeBoff</w:t>
            </w:r>
            <w:proofErr w:type="spellEnd"/>
            <w:r w:rsidRPr="00896252">
              <w:t xml:space="preserve"> M, Lewis CE, McGowan J, Neuner J, Pettinger M, Stefanick ML, </w:t>
            </w:r>
            <w:proofErr w:type="spellStart"/>
            <w:r w:rsidRPr="00896252">
              <w:t>Wactawski</w:t>
            </w:r>
            <w:proofErr w:type="spellEnd"/>
            <w:r w:rsidRPr="00896252">
              <w:t xml:space="preserve">-Wende J, Watts NB (2003) Effects of </w:t>
            </w:r>
            <w:proofErr w:type="spellStart"/>
            <w:r w:rsidRPr="00896252">
              <w:t>estrogen</w:t>
            </w:r>
            <w:proofErr w:type="spellEnd"/>
            <w:r w:rsidRPr="00896252">
              <w:t xml:space="preserve"> plus progestin on risk of fracture and bone mineral density: the Women’s Health Initiative randomized trial</w:t>
            </w:r>
            <w:proofErr w:type="gramStart"/>
            <w:r w:rsidRPr="00896252">
              <w:t xml:space="preserve">. </w:t>
            </w:r>
            <w:proofErr w:type="gramEnd"/>
            <w:r w:rsidRPr="00896252">
              <w:t>JAMA 290:1729–1738.</w:t>
            </w:r>
          </w:p>
        </w:tc>
      </w:tr>
      <w:tr w:rsidR="00687CE4" w:rsidRPr="00E5256E" w14:paraId="31F2E6A3" w14:textId="77777777" w:rsidTr="004408F5">
        <w:tc>
          <w:tcPr>
            <w:tcW w:w="562" w:type="dxa"/>
          </w:tcPr>
          <w:p w14:paraId="4E9FB3A3"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38.</w:t>
            </w:r>
          </w:p>
        </w:tc>
        <w:tc>
          <w:tcPr>
            <w:tcW w:w="8454" w:type="dxa"/>
          </w:tcPr>
          <w:p w14:paraId="5FBB5D30" w14:textId="77777777" w:rsidR="00687CE4" w:rsidRPr="00900407" w:rsidRDefault="00687CE4" w:rsidP="00D471D8">
            <w:pPr>
              <w:autoSpaceDE w:val="0"/>
              <w:autoSpaceDN w:val="0"/>
              <w:adjustRightInd w:val="0"/>
              <w:spacing w:before="240" w:line="276" w:lineRule="auto"/>
              <w:ind w:left="34" w:hanging="34"/>
              <w:rPr>
                <w:rFonts w:ascii="Calibri" w:hAnsi="Calibri" w:cs="Calibri"/>
                <w:sz w:val="20"/>
                <w:szCs w:val="20"/>
              </w:rPr>
            </w:pPr>
            <w:r w:rsidRPr="005276D8">
              <w:rPr>
                <w:rFonts w:ascii="Calibri" w:hAnsi="Calibri" w:cs="Calibri"/>
                <w:sz w:val="20"/>
                <w:szCs w:val="20"/>
              </w:rPr>
              <w:t xml:space="preserve">McCloskey EV, Beneton M, Charlesworth D, </w:t>
            </w:r>
            <w:proofErr w:type="spellStart"/>
            <w:r w:rsidRPr="005276D8">
              <w:rPr>
                <w:rFonts w:ascii="Calibri" w:hAnsi="Calibri" w:cs="Calibri"/>
                <w:sz w:val="20"/>
                <w:szCs w:val="20"/>
              </w:rPr>
              <w:t>Kayan</w:t>
            </w:r>
            <w:proofErr w:type="spellEnd"/>
            <w:r w:rsidRPr="005276D8">
              <w:rPr>
                <w:rFonts w:ascii="Calibri" w:hAnsi="Calibri" w:cs="Calibri"/>
                <w:sz w:val="20"/>
                <w:szCs w:val="20"/>
              </w:rPr>
              <w:t xml:space="preserve"> K, </w:t>
            </w:r>
            <w:proofErr w:type="spellStart"/>
            <w:r w:rsidRPr="005276D8">
              <w:rPr>
                <w:rFonts w:ascii="Calibri" w:hAnsi="Calibri" w:cs="Calibri"/>
                <w:sz w:val="20"/>
                <w:szCs w:val="20"/>
              </w:rPr>
              <w:t>deTakats</w:t>
            </w:r>
            <w:proofErr w:type="spellEnd"/>
            <w:r w:rsidRPr="005276D8">
              <w:rPr>
                <w:rFonts w:ascii="Calibri" w:hAnsi="Calibri" w:cs="Calibri"/>
                <w:sz w:val="20"/>
                <w:szCs w:val="20"/>
              </w:rPr>
              <w:t xml:space="preserve"> D, Dey A, </w:t>
            </w:r>
            <w:proofErr w:type="spellStart"/>
            <w:r w:rsidRPr="005276D8">
              <w:rPr>
                <w:rFonts w:ascii="Calibri" w:hAnsi="Calibri" w:cs="Calibri"/>
                <w:sz w:val="20"/>
                <w:szCs w:val="20"/>
              </w:rPr>
              <w:t>Orgee</w:t>
            </w:r>
            <w:proofErr w:type="spellEnd"/>
            <w:r w:rsidRPr="005276D8">
              <w:rPr>
                <w:rFonts w:ascii="Calibri" w:hAnsi="Calibri" w:cs="Calibri"/>
                <w:sz w:val="20"/>
                <w:szCs w:val="20"/>
              </w:rPr>
              <w:t xml:space="preserve"> J, Ashford R, Forster M, Cliffe J, </w:t>
            </w:r>
            <w:proofErr w:type="spellStart"/>
            <w:r w:rsidRPr="005276D8">
              <w:rPr>
                <w:rFonts w:ascii="Calibri" w:hAnsi="Calibri" w:cs="Calibri"/>
                <w:sz w:val="20"/>
                <w:szCs w:val="20"/>
              </w:rPr>
              <w:t>Kersh</w:t>
            </w:r>
            <w:proofErr w:type="spellEnd"/>
            <w:r w:rsidRPr="005276D8">
              <w:rPr>
                <w:rFonts w:ascii="Calibri" w:hAnsi="Calibri" w:cs="Calibri"/>
                <w:sz w:val="20"/>
                <w:szCs w:val="20"/>
              </w:rPr>
              <w:t xml:space="preserve"> L, Brazier J, Nichol J, </w:t>
            </w:r>
            <w:proofErr w:type="spellStart"/>
            <w:r w:rsidRPr="005276D8">
              <w:rPr>
                <w:rFonts w:ascii="Calibri" w:hAnsi="Calibri" w:cs="Calibri"/>
                <w:sz w:val="20"/>
                <w:szCs w:val="20"/>
              </w:rPr>
              <w:t>Aropuu</w:t>
            </w:r>
            <w:proofErr w:type="spellEnd"/>
            <w:r w:rsidRPr="005276D8">
              <w:rPr>
                <w:rFonts w:ascii="Calibri" w:hAnsi="Calibri" w:cs="Calibri"/>
                <w:sz w:val="20"/>
                <w:szCs w:val="20"/>
              </w:rPr>
              <w:t xml:space="preserve"> S, </w:t>
            </w:r>
            <w:proofErr w:type="spellStart"/>
            <w:r w:rsidRPr="005276D8">
              <w:rPr>
                <w:rFonts w:ascii="Calibri" w:hAnsi="Calibri" w:cs="Calibri"/>
                <w:sz w:val="20"/>
                <w:szCs w:val="20"/>
              </w:rPr>
              <w:t>Jalava</w:t>
            </w:r>
            <w:proofErr w:type="spellEnd"/>
            <w:r w:rsidRPr="005276D8">
              <w:rPr>
                <w:rFonts w:ascii="Calibri" w:hAnsi="Calibri" w:cs="Calibri"/>
                <w:sz w:val="20"/>
                <w:szCs w:val="20"/>
              </w:rPr>
              <w:t xml:space="preserve"> T, Kanis JA (2007) Clodronate reduces the incidence of fractures in community-dwelling elderly women unselected for osteoporosis: results of a double-blind, placebo-controlled randomized study</w:t>
            </w:r>
            <w:proofErr w:type="gramStart"/>
            <w:r w:rsidRPr="005276D8">
              <w:rPr>
                <w:rFonts w:ascii="Calibri" w:hAnsi="Calibri" w:cs="Calibri"/>
                <w:sz w:val="20"/>
                <w:szCs w:val="20"/>
              </w:rPr>
              <w:t xml:space="preserve">. </w:t>
            </w:r>
            <w:proofErr w:type="gramEnd"/>
            <w:r w:rsidRPr="005276D8">
              <w:rPr>
                <w:rFonts w:ascii="Calibri" w:hAnsi="Calibri" w:cs="Calibri"/>
                <w:sz w:val="20"/>
                <w:szCs w:val="20"/>
              </w:rPr>
              <w:t>J Bone Miner Res 22: 135-141.</w:t>
            </w:r>
          </w:p>
        </w:tc>
      </w:tr>
      <w:tr w:rsidR="00687CE4" w:rsidRPr="00072023" w14:paraId="78509AA9" w14:textId="77777777" w:rsidTr="004408F5">
        <w:tc>
          <w:tcPr>
            <w:tcW w:w="562" w:type="dxa"/>
          </w:tcPr>
          <w:p w14:paraId="4E86B9C8" w14:textId="77777777" w:rsidR="00687CE4" w:rsidRPr="00344696"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t>39.</w:t>
            </w:r>
          </w:p>
        </w:tc>
        <w:tc>
          <w:tcPr>
            <w:tcW w:w="8454" w:type="dxa"/>
          </w:tcPr>
          <w:p w14:paraId="2191FAD6" w14:textId="77777777" w:rsidR="00687CE4" w:rsidRPr="00344696" w:rsidRDefault="00687CE4" w:rsidP="00D471D8">
            <w:pPr>
              <w:autoSpaceDE w:val="0"/>
              <w:autoSpaceDN w:val="0"/>
              <w:adjustRightInd w:val="0"/>
              <w:spacing w:before="240" w:line="276" w:lineRule="auto"/>
              <w:ind w:left="34" w:hanging="34"/>
              <w:rPr>
                <w:rFonts w:ascii="Calibri" w:hAnsi="Calibri" w:cs="Calibri"/>
                <w:sz w:val="20"/>
                <w:szCs w:val="20"/>
              </w:rPr>
            </w:pPr>
            <w:r w:rsidRPr="00FA0158">
              <w:rPr>
                <w:rFonts w:ascii="Calibri" w:hAnsi="Calibri" w:cs="Calibri"/>
                <w:sz w:val="20"/>
                <w:szCs w:val="20"/>
              </w:rPr>
              <w:t xml:space="preserve">Reid IR, Horne AM, </w:t>
            </w:r>
            <w:proofErr w:type="spellStart"/>
            <w:r w:rsidRPr="00FA0158">
              <w:rPr>
                <w:rFonts w:ascii="Calibri" w:hAnsi="Calibri" w:cs="Calibri"/>
                <w:sz w:val="20"/>
                <w:szCs w:val="20"/>
              </w:rPr>
              <w:t>Mihov</w:t>
            </w:r>
            <w:proofErr w:type="spellEnd"/>
            <w:r w:rsidRPr="00FA0158">
              <w:rPr>
                <w:rFonts w:ascii="Calibri" w:hAnsi="Calibri" w:cs="Calibri"/>
                <w:sz w:val="20"/>
                <w:szCs w:val="20"/>
              </w:rPr>
              <w:t xml:space="preserve"> B, Stewart A, Garratt E, Wong S, </w:t>
            </w:r>
            <w:proofErr w:type="spellStart"/>
            <w:r w:rsidRPr="00FA0158">
              <w:rPr>
                <w:rFonts w:ascii="Calibri" w:hAnsi="Calibri" w:cs="Calibri"/>
                <w:sz w:val="20"/>
                <w:szCs w:val="20"/>
              </w:rPr>
              <w:t>Wiessing</w:t>
            </w:r>
            <w:proofErr w:type="spellEnd"/>
            <w:r w:rsidRPr="00FA0158">
              <w:rPr>
                <w:rFonts w:ascii="Calibri" w:hAnsi="Calibri" w:cs="Calibri"/>
                <w:sz w:val="20"/>
                <w:szCs w:val="20"/>
              </w:rPr>
              <w:t xml:space="preserve"> KR, </w:t>
            </w:r>
            <w:proofErr w:type="spellStart"/>
            <w:r w:rsidRPr="00FA0158">
              <w:rPr>
                <w:rFonts w:ascii="Calibri" w:hAnsi="Calibri" w:cs="Calibri"/>
                <w:sz w:val="20"/>
                <w:szCs w:val="20"/>
              </w:rPr>
              <w:t>Bolland</w:t>
            </w:r>
            <w:proofErr w:type="spellEnd"/>
            <w:r w:rsidRPr="00FA0158">
              <w:rPr>
                <w:rFonts w:ascii="Calibri" w:hAnsi="Calibri" w:cs="Calibri"/>
                <w:sz w:val="20"/>
                <w:szCs w:val="20"/>
              </w:rPr>
              <w:t xml:space="preserve"> MJ, </w:t>
            </w:r>
            <w:proofErr w:type="spellStart"/>
            <w:r w:rsidRPr="00FA0158">
              <w:rPr>
                <w:rFonts w:ascii="Calibri" w:hAnsi="Calibri" w:cs="Calibri"/>
                <w:sz w:val="20"/>
                <w:szCs w:val="20"/>
              </w:rPr>
              <w:t>Bastin</w:t>
            </w:r>
            <w:proofErr w:type="spellEnd"/>
            <w:r w:rsidRPr="00FA0158">
              <w:rPr>
                <w:rFonts w:ascii="Calibri" w:hAnsi="Calibri" w:cs="Calibri"/>
                <w:sz w:val="20"/>
                <w:szCs w:val="20"/>
              </w:rPr>
              <w:t xml:space="preserve"> S, Gamble GD 2018) Fracture prevention with zoledronate in older women with osteopenia</w:t>
            </w:r>
            <w:proofErr w:type="gramStart"/>
            <w:r w:rsidRPr="00FA0158">
              <w:rPr>
                <w:rFonts w:ascii="Calibri" w:hAnsi="Calibri" w:cs="Calibri"/>
                <w:sz w:val="20"/>
                <w:szCs w:val="20"/>
              </w:rPr>
              <w:t xml:space="preserve">. </w:t>
            </w:r>
            <w:proofErr w:type="gramEnd"/>
            <w:r w:rsidRPr="00FA0158">
              <w:rPr>
                <w:rFonts w:ascii="Calibri" w:hAnsi="Calibri" w:cs="Calibri"/>
                <w:sz w:val="20"/>
                <w:szCs w:val="20"/>
              </w:rPr>
              <w:t xml:space="preserve">N </w:t>
            </w:r>
            <w:proofErr w:type="spellStart"/>
            <w:r w:rsidRPr="00FA0158">
              <w:rPr>
                <w:rFonts w:ascii="Calibri" w:hAnsi="Calibri" w:cs="Calibri"/>
                <w:sz w:val="20"/>
                <w:szCs w:val="20"/>
              </w:rPr>
              <w:t>Engl</w:t>
            </w:r>
            <w:proofErr w:type="spellEnd"/>
            <w:r w:rsidRPr="00FA0158">
              <w:rPr>
                <w:rFonts w:ascii="Calibri" w:hAnsi="Calibri" w:cs="Calibri"/>
                <w:sz w:val="20"/>
                <w:szCs w:val="20"/>
              </w:rPr>
              <w:t xml:space="preserve"> J Med 379(25):2407-2416</w:t>
            </w:r>
            <w:proofErr w:type="gramStart"/>
            <w:r w:rsidRPr="00FA0158">
              <w:rPr>
                <w:rFonts w:ascii="Calibri" w:hAnsi="Calibri" w:cs="Calibri"/>
                <w:sz w:val="20"/>
                <w:szCs w:val="20"/>
              </w:rPr>
              <w:t xml:space="preserve">. </w:t>
            </w:r>
            <w:proofErr w:type="gramEnd"/>
          </w:p>
        </w:tc>
      </w:tr>
      <w:tr w:rsidR="00687CE4" w:rsidRPr="00E5256E" w14:paraId="00C25906" w14:textId="77777777" w:rsidTr="004408F5">
        <w:tc>
          <w:tcPr>
            <w:tcW w:w="562" w:type="dxa"/>
          </w:tcPr>
          <w:p w14:paraId="474A4B11" w14:textId="77777777" w:rsidR="00687CE4" w:rsidRPr="00E5256E" w:rsidRDefault="00687CE4" w:rsidP="003E3683">
            <w:pPr>
              <w:autoSpaceDE w:val="0"/>
              <w:autoSpaceDN w:val="0"/>
              <w:adjustRightInd w:val="0"/>
              <w:spacing w:before="240" w:line="276" w:lineRule="auto"/>
              <w:ind w:left="567" w:hanging="567"/>
              <w:rPr>
                <w:rFonts w:ascii="Calibri" w:hAnsi="Calibri" w:cs="Calibri"/>
                <w:sz w:val="20"/>
                <w:szCs w:val="20"/>
              </w:rPr>
            </w:pPr>
            <w:r>
              <w:rPr>
                <w:rFonts w:ascii="Calibri" w:hAnsi="Calibri" w:cs="Calibri"/>
                <w:sz w:val="20"/>
                <w:szCs w:val="20"/>
              </w:rPr>
              <w:lastRenderedPageBreak/>
              <w:t>40.</w:t>
            </w:r>
          </w:p>
        </w:tc>
        <w:tc>
          <w:tcPr>
            <w:tcW w:w="8454" w:type="dxa"/>
          </w:tcPr>
          <w:p w14:paraId="082EA6D1" w14:textId="77777777" w:rsidR="00687CE4" w:rsidRPr="003D5781" w:rsidRDefault="00687CE4" w:rsidP="000259E0">
            <w:pPr>
              <w:autoSpaceDE w:val="0"/>
              <w:autoSpaceDN w:val="0"/>
              <w:adjustRightInd w:val="0"/>
              <w:spacing w:before="240" w:line="276" w:lineRule="auto"/>
              <w:ind w:left="34" w:hanging="34"/>
              <w:rPr>
                <w:rFonts w:ascii="Calibri" w:hAnsi="Calibri" w:cs="Calibri"/>
                <w:sz w:val="20"/>
                <w:szCs w:val="20"/>
                <w:highlight w:val="yellow"/>
              </w:rPr>
            </w:pPr>
            <w:r w:rsidRPr="00AE4ACC">
              <w:rPr>
                <w:rFonts w:ascii="Calibri" w:hAnsi="Calibri" w:cs="Calibri"/>
                <w:sz w:val="20"/>
                <w:szCs w:val="20"/>
              </w:rPr>
              <w:t>Leslie WD, Lix LM, Johansson H, Oden A, McCloskey E, Kanis JA, for the Manitoba Bone Density Program (2012) Does osteoporosis therapy invalidate FRAX for fracture prediction</w:t>
            </w:r>
            <w:proofErr w:type="gramStart"/>
            <w:r w:rsidRPr="00AE4ACC">
              <w:rPr>
                <w:rFonts w:ascii="Calibri" w:hAnsi="Calibri" w:cs="Calibri"/>
                <w:sz w:val="20"/>
                <w:szCs w:val="20"/>
              </w:rPr>
              <w:t xml:space="preserve">? </w:t>
            </w:r>
            <w:proofErr w:type="gramEnd"/>
            <w:r w:rsidRPr="00AE4ACC">
              <w:rPr>
                <w:rFonts w:ascii="Calibri" w:hAnsi="Calibri" w:cs="Calibri"/>
                <w:sz w:val="20"/>
                <w:szCs w:val="20"/>
              </w:rPr>
              <w:t>J Bone Miner Res 27: 1243-1251.</w:t>
            </w:r>
          </w:p>
        </w:tc>
      </w:tr>
    </w:tbl>
    <w:p w14:paraId="01A9D748" w14:textId="77777777" w:rsidR="001A4DE6" w:rsidRPr="00E37DEC" w:rsidRDefault="001A4DE6" w:rsidP="0020360A">
      <w:pPr>
        <w:autoSpaceDE w:val="0"/>
        <w:autoSpaceDN w:val="0"/>
        <w:adjustRightInd w:val="0"/>
        <w:spacing w:after="0" w:line="276" w:lineRule="auto"/>
        <w:ind w:left="567" w:hanging="567"/>
        <w:rPr>
          <w:rFonts w:ascii="Calibri" w:hAnsi="Calibri" w:cs="Calibri"/>
          <w:b/>
          <w:bCs/>
          <w:color w:val="FF0000"/>
          <w:sz w:val="24"/>
          <w:szCs w:val="24"/>
        </w:rPr>
      </w:pPr>
    </w:p>
    <w:p w14:paraId="28B26C2C" w14:textId="77777777" w:rsidR="006C547F" w:rsidRPr="009A2E09" w:rsidRDefault="006C547F">
      <w:pPr>
        <w:rPr>
          <w:color w:val="FF0000"/>
          <w:lang w:val="fr-FR"/>
        </w:rPr>
      </w:pPr>
      <w:r w:rsidRPr="009A2E09">
        <w:rPr>
          <w:color w:val="FF0000"/>
          <w:lang w:val="fr-FR"/>
        </w:rPr>
        <w:br w:type="page"/>
      </w:r>
    </w:p>
    <w:p w14:paraId="52805588" w14:textId="2394DF7D" w:rsidR="006D5A52" w:rsidRPr="009A2E09" w:rsidRDefault="00172425" w:rsidP="00E0088F">
      <w:pPr>
        <w:autoSpaceDE w:val="0"/>
        <w:autoSpaceDN w:val="0"/>
        <w:adjustRightInd w:val="0"/>
        <w:spacing w:after="0" w:line="276" w:lineRule="auto"/>
        <w:rPr>
          <w:rFonts w:ascii="Calibri" w:hAnsi="Calibri" w:cs="Calibri"/>
          <w:b/>
          <w:bCs/>
          <w:sz w:val="24"/>
          <w:szCs w:val="24"/>
          <w:lang w:val="fr-FR"/>
        </w:rPr>
      </w:pPr>
      <w:r w:rsidRPr="009A2E09">
        <w:rPr>
          <w:rFonts w:ascii="Calibri" w:hAnsi="Calibri" w:cs="Calibri"/>
          <w:b/>
          <w:bCs/>
          <w:sz w:val="24"/>
          <w:szCs w:val="24"/>
          <w:lang w:val="fr-FR"/>
        </w:rPr>
        <w:lastRenderedPageBreak/>
        <w:t>Appendix</w:t>
      </w:r>
    </w:p>
    <w:p w14:paraId="214E843F" w14:textId="5C342373" w:rsidR="009B4280" w:rsidRPr="009A2E09" w:rsidRDefault="009B4280" w:rsidP="00E0088F">
      <w:pPr>
        <w:autoSpaceDE w:val="0"/>
        <w:autoSpaceDN w:val="0"/>
        <w:adjustRightInd w:val="0"/>
        <w:spacing w:after="0" w:line="276" w:lineRule="auto"/>
        <w:rPr>
          <w:rFonts w:ascii="Calibri" w:hAnsi="Calibri" w:cs="Calibri"/>
          <w:sz w:val="24"/>
          <w:szCs w:val="24"/>
          <w:lang w:val="fr-FR"/>
        </w:rPr>
      </w:pPr>
    </w:p>
    <w:p w14:paraId="5740E651" w14:textId="16763072" w:rsidR="009B4280" w:rsidRPr="00FE1899" w:rsidRDefault="009B4280" w:rsidP="00E0088F">
      <w:pPr>
        <w:autoSpaceDE w:val="0"/>
        <w:autoSpaceDN w:val="0"/>
        <w:adjustRightInd w:val="0"/>
        <w:spacing w:after="0" w:line="276" w:lineRule="auto"/>
        <w:rPr>
          <w:rFonts w:ascii="Calibri" w:hAnsi="Calibri" w:cs="Calibri"/>
          <w:sz w:val="24"/>
          <w:szCs w:val="24"/>
        </w:rPr>
      </w:pPr>
      <w:r w:rsidRPr="00FE1899">
        <w:rPr>
          <w:rFonts w:ascii="Calibri" w:hAnsi="Calibri" w:cs="Calibri"/>
          <w:b/>
          <w:bCs/>
          <w:sz w:val="24"/>
          <w:szCs w:val="24"/>
        </w:rPr>
        <w:t>Table A</w:t>
      </w:r>
      <w:r w:rsidRPr="00FE1899">
        <w:rPr>
          <w:rFonts w:ascii="Calibri" w:hAnsi="Calibri" w:cs="Calibri"/>
          <w:sz w:val="24"/>
          <w:szCs w:val="24"/>
        </w:rPr>
        <w:t xml:space="preserve"> Summary description of the baseline variables in the cohort.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663"/>
        <w:gridCol w:w="735"/>
        <w:gridCol w:w="607"/>
        <w:gridCol w:w="607"/>
        <w:gridCol w:w="912"/>
        <w:gridCol w:w="1010"/>
        <w:gridCol w:w="834"/>
        <w:gridCol w:w="834"/>
      </w:tblGrid>
      <w:tr w:rsidR="000C0F8D" w:rsidRPr="00FE1899" w14:paraId="094312C8" w14:textId="77777777" w:rsidTr="00172425">
        <w:trPr>
          <w:cantSplit/>
          <w:trHeight w:val="20"/>
          <w:jc w:val="center"/>
        </w:trPr>
        <w:tc>
          <w:tcPr>
            <w:tcW w:w="0" w:type="auto"/>
          </w:tcPr>
          <w:p w14:paraId="2F064793" w14:textId="77777777" w:rsidR="00172425" w:rsidRPr="00FE1899" w:rsidRDefault="00172425" w:rsidP="00172425">
            <w:pPr>
              <w:spacing w:before="120" w:after="120" w:line="276" w:lineRule="auto"/>
              <w:rPr>
                <w:rFonts w:ascii="Calibri" w:eastAsia="Calibri" w:hAnsi="Calibri" w:cs="Times New Roman"/>
                <w:b/>
              </w:rPr>
            </w:pPr>
          </w:p>
        </w:tc>
        <w:tc>
          <w:tcPr>
            <w:tcW w:w="0" w:type="auto"/>
            <w:gridSpan w:val="4"/>
          </w:tcPr>
          <w:p w14:paraId="08134310" w14:textId="585154CE" w:rsidR="00172425" w:rsidRPr="00FE1899" w:rsidRDefault="00172425" w:rsidP="00FE1899">
            <w:pPr>
              <w:spacing w:before="120" w:after="120" w:line="276" w:lineRule="auto"/>
              <w:rPr>
                <w:rFonts w:ascii="Calibri" w:eastAsia="Calibri" w:hAnsi="Calibri" w:cs="Times New Roman"/>
              </w:rPr>
            </w:pPr>
            <w:r w:rsidRPr="00FE1899">
              <w:rPr>
                <w:rFonts w:ascii="Calibri" w:eastAsia="Calibri" w:hAnsi="Calibri" w:cs="Times New Roman"/>
              </w:rPr>
              <w:t>Original cohort</w:t>
            </w:r>
            <w:r w:rsidR="00682ACB" w:rsidRPr="00FE1899">
              <w:rPr>
                <w:rFonts w:ascii="Calibri" w:eastAsia="Calibri" w:hAnsi="Calibri" w:cs="Times New Roman"/>
              </w:rPr>
              <w:t xml:space="preserve"> </w:t>
            </w:r>
          </w:p>
        </w:tc>
        <w:tc>
          <w:tcPr>
            <w:tcW w:w="0" w:type="auto"/>
            <w:gridSpan w:val="4"/>
          </w:tcPr>
          <w:p w14:paraId="151912F2" w14:textId="0B5FA21F"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Original cohort plus simulated variables</w:t>
            </w:r>
          </w:p>
        </w:tc>
      </w:tr>
      <w:tr w:rsidR="005D512E" w:rsidRPr="00FE1899" w14:paraId="27FE764E" w14:textId="77777777" w:rsidTr="00172425">
        <w:trPr>
          <w:cantSplit/>
          <w:trHeight w:val="20"/>
          <w:jc w:val="center"/>
        </w:trPr>
        <w:tc>
          <w:tcPr>
            <w:tcW w:w="0" w:type="auto"/>
          </w:tcPr>
          <w:p w14:paraId="4B8A207E" w14:textId="77777777" w:rsidR="00172425" w:rsidRPr="00FE1899" w:rsidRDefault="00172425" w:rsidP="00172425">
            <w:pPr>
              <w:spacing w:before="120" w:after="120" w:line="276" w:lineRule="auto"/>
              <w:rPr>
                <w:rFonts w:ascii="Calibri" w:eastAsia="Calibri" w:hAnsi="Calibri" w:cs="Times New Roman"/>
                <w:b/>
              </w:rPr>
            </w:pPr>
          </w:p>
        </w:tc>
        <w:tc>
          <w:tcPr>
            <w:tcW w:w="0" w:type="auto"/>
          </w:tcPr>
          <w:p w14:paraId="0D0D632F" w14:textId="77777777"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N</w:t>
            </w:r>
          </w:p>
        </w:tc>
        <w:tc>
          <w:tcPr>
            <w:tcW w:w="0" w:type="auto"/>
          </w:tcPr>
          <w:p w14:paraId="55A2BAA5" w14:textId="77777777"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Mean</w:t>
            </w:r>
          </w:p>
        </w:tc>
        <w:tc>
          <w:tcPr>
            <w:tcW w:w="0" w:type="auto"/>
          </w:tcPr>
          <w:p w14:paraId="5EDF2B19" w14:textId="77777777"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SD</w:t>
            </w:r>
          </w:p>
        </w:tc>
        <w:tc>
          <w:tcPr>
            <w:tcW w:w="0" w:type="auto"/>
          </w:tcPr>
          <w:p w14:paraId="32855226" w14:textId="77777777"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w:t>
            </w:r>
          </w:p>
        </w:tc>
        <w:tc>
          <w:tcPr>
            <w:tcW w:w="0" w:type="auto"/>
          </w:tcPr>
          <w:p w14:paraId="4063E28F" w14:textId="2D636A96"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N</w:t>
            </w:r>
          </w:p>
        </w:tc>
        <w:tc>
          <w:tcPr>
            <w:tcW w:w="0" w:type="auto"/>
          </w:tcPr>
          <w:p w14:paraId="52F7677B" w14:textId="59FCCF23"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Mean</w:t>
            </w:r>
          </w:p>
        </w:tc>
        <w:tc>
          <w:tcPr>
            <w:tcW w:w="0" w:type="auto"/>
          </w:tcPr>
          <w:p w14:paraId="7849CA39" w14:textId="52A358F7"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SD</w:t>
            </w:r>
          </w:p>
        </w:tc>
        <w:tc>
          <w:tcPr>
            <w:tcW w:w="0" w:type="auto"/>
          </w:tcPr>
          <w:p w14:paraId="41DFE62A" w14:textId="5F98E11B" w:rsidR="00172425" w:rsidRPr="00FE1899" w:rsidRDefault="00172425" w:rsidP="00172425">
            <w:pPr>
              <w:spacing w:before="120" w:after="120" w:line="276" w:lineRule="auto"/>
              <w:rPr>
                <w:rFonts w:ascii="Calibri" w:eastAsia="Calibri" w:hAnsi="Calibri" w:cs="Times New Roman"/>
              </w:rPr>
            </w:pPr>
            <w:r w:rsidRPr="00FE1899">
              <w:rPr>
                <w:rFonts w:ascii="Calibri" w:eastAsia="Calibri" w:hAnsi="Calibri" w:cs="Times New Roman"/>
              </w:rPr>
              <w:t>(%)</w:t>
            </w:r>
          </w:p>
        </w:tc>
      </w:tr>
      <w:tr w:rsidR="005D512E" w:rsidRPr="00FE1899" w14:paraId="3B76E9D8" w14:textId="77777777" w:rsidTr="00172425">
        <w:trPr>
          <w:cantSplit/>
          <w:trHeight w:val="20"/>
          <w:jc w:val="center"/>
        </w:trPr>
        <w:tc>
          <w:tcPr>
            <w:tcW w:w="0" w:type="auto"/>
          </w:tcPr>
          <w:p w14:paraId="740F76E6" w14:textId="77777777"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Age (years)</w:t>
            </w:r>
          </w:p>
        </w:tc>
        <w:tc>
          <w:tcPr>
            <w:tcW w:w="0" w:type="auto"/>
          </w:tcPr>
          <w:p w14:paraId="10515A2E" w14:textId="48349A0F"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3120</w:t>
            </w:r>
          </w:p>
        </w:tc>
        <w:tc>
          <w:tcPr>
            <w:tcW w:w="0" w:type="auto"/>
          </w:tcPr>
          <w:p w14:paraId="1BFD5DAC" w14:textId="0D6626ED"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65.3</w:t>
            </w:r>
          </w:p>
        </w:tc>
        <w:tc>
          <w:tcPr>
            <w:tcW w:w="0" w:type="auto"/>
          </w:tcPr>
          <w:p w14:paraId="61FF437C" w14:textId="2FFA4773"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Calibri"/>
              </w:rPr>
              <w:t>10.3</w:t>
            </w:r>
          </w:p>
        </w:tc>
        <w:tc>
          <w:tcPr>
            <w:tcW w:w="0" w:type="auto"/>
          </w:tcPr>
          <w:p w14:paraId="18CCC823" w14:textId="77777777" w:rsidR="000C0F8D" w:rsidRPr="00FE1899" w:rsidRDefault="000C0F8D" w:rsidP="000C0F8D">
            <w:pPr>
              <w:spacing w:before="120" w:after="0" w:line="276" w:lineRule="auto"/>
              <w:rPr>
                <w:rFonts w:ascii="Calibri" w:eastAsia="Calibri" w:hAnsi="Calibri" w:cs="Times New Roman"/>
              </w:rPr>
            </w:pPr>
          </w:p>
        </w:tc>
        <w:tc>
          <w:tcPr>
            <w:tcW w:w="0" w:type="auto"/>
          </w:tcPr>
          <w:p w14:paraId="6AA63A86" w14:textId="35F9B99F"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3120</w:t>
            </w:r>
          </w:p>
        </w:tc>
        <w:tc>
          <w:tcPr>
            <w:tcW w:w="0" w:type="auto"/>
          </w:tcPr>
          <w:p w14:paraId="06201BCC" w14:textId="2FE892D1"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65.3</w:t>
            </w:r>
          </w:p>
        </w:tc>
        <w:tc>
          <w:tcPr>
            <w:tcW w:w="0" w:type="auto"/>
          </w:tcPr>
          <w:p w14:paraId="18D710EB" w14:textId="4444FCAF"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Calibri"/>
              </w:rPr>
              <w:t>10.3</w:t>
            </w:r>
          </w:p>
        </w:tc>
        <w:tc>
          <w:tcPr>
            <w:tcW w:w="0" w:type="auto"/>
          </w:tcPr>
          <w:p w14:paraId="0DB0B681" w14:textId="77777777" w:rsidR="000C0F8D" w:rsidRPr="00FE1899" w:rsidRDefault="000C0F8D" w:rsidP="000C0F8D">
            <w:pPr>
              <w:spacing w:before="120" w:after="0" w:line="276" w:lineRule="auto"/>
              <w:rPr>
                <w:rFonts w:ascii="Calibri" w:eastAsia="Calibri" w:hAnsi="Calibri" w:cs="Times New Roman"/>
              </w:rPr>
            </w:pPr>
          </w:p>
        </w:tc>
      </w:tr>
      <w:tr w:rsidR="005D512E" w:rsidRPr="00FE7B32" w14:paraId="3272E4CB" w14:textId="77777777" w:rsidTr="00172425">
        <w:trPr>
          <w:cantSplit/>
          <w:trHeight w:val="20"/>
          <w:jc w:val="center"/>
        </w:trPr>
        <w:tc>
          <w:tcPr>
            <w:tcW w:w="0" w:type="auto"/>
          </w:tcPr>
          <w:p w14:paraId="7C51EBD2" w14:textId="77777777"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BMI (kg/m</w:t>
            </w:r>
            <w:r w:rsidRPr="00FE1899">
              <w:rPr>
                <w:rFonts w:ascii="Calibri" w:eastAsia="Calibri" w:hAnsi="Calibri" w:cs="Times New Roman"/>
                <w:vertAlign w:val="superscript"/>
              </w:rPr>
              <w:t>2</w:t>
            </w:r>
            <w:r w:rsidRPr="00FE1899">
              <w:rPr>
                <w:rFonts w:ascii="Calibri" w:eastAsia="Calibri" w:hAnsi="Calibri" w:cs="Times New Roman"/>
              </w:rPr>
              <w:t>)</w:t>
            </w:r>
          </w:p>
        </w:tc>
        <w:tc>
          <w:tcPr>
            <w:tcW w:w="0" w:type="auto"/>
          </w:tcPr>
          <w:p w14:paraId="6DD0D71E" w14:textId="371DBAD5" w:rsidR="000C0F8D" w:rsidRPr="00FE1899" w:rsidRDefault="000C0F8D" w:rsidP="000C0F8D">
            <w:pPr>
              <w:spacing w:before="120" w:after="0" w:line="276" w:lineRule="auto"/>
              <w:rPr>
                <w:rFonts w:ascii="Calibri" w:eastAsia="Calibri" w:hAnsi="Calibri" w:cs="Times New Roman"/>
              </w:rPr>
            </w:pPr>
            <w:r>
              <w:t>2783</w:t>
            </w:r>
          </w:p>
        </w:tc>
        <w:tc>
          <w:tcPr>
            <w:tcW w:w="0" w:type="auto"/>
          </w:tcPr>
          <w:p w14:paraId="7FD9862B" w14:textId="38299104"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29.4</w:t>
            </w:r>
          </w:p>
        </w:tc>
        <w:tc>
          <w:tcPr>
            <w:tcW w:w="0" w:type="auto"/>
          </w:tcPr>
          <w:p w14:paraId="56FD0B97" w14:textId="1A771C9A"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5.</w:t>
            </w:r>
            <w:r>
              <w:rPr>
                <w:rFonts w:ascii="Calibri" w:eastAsia="Calibri" w:hAnsi="Calibri" w:cs="Times New Roman"/>
              </w:rPr>
              <w:t>4</w:t>
            </w:r>
          </w:p>
        </w:tc>
        <w:tc>
          <w:tcPr>
            <w:tcW w:w="0" w:type="auto"/>
          </w:tcPr>
          <w:p w14:paraId="44B29651" w14:textId="77777777" w:rsidR="000C0F8D" w:rsidRPr="00FE1899" w:rsidRDefault="000C0F8D" w:rsidP="000C0F8D">
            <w:pPr>
              <w:spacing w:before="120" w:after="0" w:line="276" w:lineRule="auto"/>
              <w:rPr>
                <w:rFonts w:ascii="Calibri" w:eastAsia="Calibri" w:hAnsi="Calibri" w:cs="Times New Roman"/>
              </w:rPr>
            </w:pPr>
          </w:p>
        </w:tc>
        <w:tc>
          <w:tcPr>
            <w:tcW w:w="0" w:type="auto"/>
          </w:tcPr>
          <w:p w14:paraId="387C7898" w14:textId="7E05D59B" w:rsidR="000C0F8D" w:rsidRPr="000C0F8D" w:rsidRDefault="000C0F8D" w:rsidP="000C0F8D">
            <w:pPr>
              <w:spacing w:before="120" w:after="0" w:line="276" w:lineRule="auto"/>
              <w:rPr>
                <w:rFonts w:ascii="Calibri" w:eastAsia="Calibri" w:hAnsi="Calibri" w:cs="Times New Roman"/>
              </w:rPr>
            </w:pPr>
            <w:r w:rsidRPr="000C0F8D">
              <w:t>3120</w:t>
            </w:r>
          </w:p>
        </w:tc>
        <w:tc>
          <w:tcPr>
            <w:tcW w:w="0" w:type="auto"/>
          </w:tcPr>
          <w:p w14:paraId="1A2B3E15" w14:textId="097EB2C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29.4</w:t>
            </w:r>
          </w:p>
        </w:tc>
        <w:tc>
          <w:tcPr>
            <w:tcW w:w="0" w:type="auto"/>
          </w:tcPr>
          <w:p w14:paraId="07F95D76" w14:textId="5653BE3F"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5.3</w:t>
            </w:r>
          </w:p>
        </w:tc>
        <w:tc>
          <w:tcPr>
            <w:tcW w:w="0" w:type="auto"/>
          </w:tcPr>
          <w:p w14:paraId="04832354" w14:textId="77777777" w:rsidR="000C0F8D" w:rsidRPr="00FE7B32" w:rsidRDefault="000C0F8D" w:rsidP="000C0F8D">
            <w:pPr>
              <w:spacing w:before="120" w:after="0" w:line="276" w:lineRule="auto"/>
              <w:rPr>
                <w:rFonts w:ascii="Calibri" w:eastAsia="Calibri" w:hAnsi="Calibri" w:cs="Times New Roman"/>
                <w:color w:val="FF0000"/>
              </w:rPr>
            </w:pPr>
          </w:p>
        </w:tc>
      </w:tr>
      <w:tr w:rsidR="005D512E" w:rsidRPr="00FE7B32" w14:paraId="7467188E" w14:textId="77777777" w:rsidTr="00172425">
        <w:trPr>
          <w:cantSplit/>
          <w:trHeight w:val="20"/>
          <w:jc w:val="center"/>
        </w:trPr>
        <w:tc>
          <w:tcPr>
            <w:tcW w:w="0" w:type="auto"/>
          </w:tcPr>
          <w:p w14:paraId="707B4402"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Female</w:t>
            </w:r>
          </w:p>
        </w:tc>
        <w:tc>
          <w:tcPr>
            <w:tcW w:w="0" w:type="auto"/>
          </w:tcPr>
          <w:p w14:paraId="43ECF83D" w14:textId="68B22D3A" w:rsidR="000C0F8D" w:rsidRPr="00FE1899" w:rsidRDefault="000C0F8D" w:rsidP="000C0F8D">
            <w:pPr>
              <w:spacing w:before="120" w:after="0" w:line="276" w:lineRule="auto"/>
              <w:rPr>
                <w:rFonts w:ascii="Calibri" w:eastAsia="Calibri" w:hAnsi="Calibri" w:cs="Times New Roman"/>
              </w:rPr>
            </w:pPr>
            <w:r w:rsidRPr="00FE1899">
              <w:t>3120</w:t>
            </w:r>
          </w:p>
        </w:tc>
        <w:tc>
          <w:tcPr>
            <w:tcW w:w="0" w:type="auto"/>
          </w:tcPr>
          <w:p w14:paraId="74FC0B35" w14:textId="77777777" w:rsidR="000C0F8D" w:rsidRPr="00FE1899" w:rsidRDefault="000C0F8D" w:rsidP="000C0F8D">
            <w:pPr>
              <w:spacing w:before="120" w:after="0" w:line="276" w:lineRule="auto"/>
              <w:rPr>
                <w:rFonts w:ascii="Calibri" w:eastAsia="Calibri" w:hAnsi="Calibri" w:cs="Times New Roman"/>
              </w:rPr>
            </w:pPr>
          </w:p>
        </w:tc>
        <w:tc>
          <w:tcPr>
            <w:tcW w:w="0" w:type="auto"/>
          </w:tcPr>
          <w:p w14:paraId="0446E24C" w14:textId="77777777" w:rsidR="000C0F8D" w:rsidRPr="00FE1899" w:rsidRDefault="000C0F8D" w:rsidP="000C0F8D">
            <w:pPr>
              <w:spacing w:before="120" w:after="0" w:line="276" w:lineRule="auto"/>
              <w:rPr>
                <w:rFonts w:ascii="Calibri" w:eastAsia="Calibri" w:hAnsi="Calibri" w:cs="Times New Roman"/>
              </w:rPr>
            </w:pPr>
          </w:p>
        </w:tc>
        <w:tc>
          <w:tcPr>
            <w:tcW w:w="0" w:type="auto"/>
          </w:tcPr>
          <w:p w14:paraId="2E6442C5" w14:textId="0BD797F3" w:rsidR="000C0F8D" w:rsidRPr="00FE1899" w:rsidRDefault="000C0F8D" w:rsidP="000C0F8D">
            <w:pPr>
              <w:spacing w:before="120" w:after="0" w:line="276" w:lineRule="auto"/>
              <w:rPr>
                <w:rFonts w:ascii="Calibri" w:eastAsia="Calibri" w:hAnsi="Calibri" w:cs="Times New Roman"/>
              </w:rPr>
            </w:pPr>
            <w:r w:rsidRPr="00FE1899">
              <w:rPr>
                <w:rFonts w:ascii="Calibri" w:eastAsia="Calibri" w:hAnsi="Calibri" w:cs="Times New Roman"/>
              </w:rPr>
              <w:t>64.0</w:t>
            </w:r>
          </w:p>
        </w:tc>
        <w:tc>
          <w:tcPr>
            <w:tcW w:w="0" w:type="auto"/>
          </w:tcPr>
          <w:p w14:paraId="17859CDB" w14:textId="4C8DE882" w:rsidR="000C0F8D" w:rsidRPr="00FE7B32" w:rsidRDefault="000C0F8D" w:rsidP="000C0F8D">
            <w:pPr>
              <w:spacing w:before="120" w:after="0" w:line="276" w:lineRule="auto"/>
              <w:rPr>
                <w:rFonts w:ascii="Calibri" w:eastAsia="Calibri" w:hAnsi="Calibri" w:cs="Times New Roman"/>
                <w:color w:val="FF0000"/>
              </w:rPr>
            </w:pPr>
            <w:r w:rsidRPr="00FE1899">
              <w:t>3120</w:t>
            </w:r>
          </w:p>
        </w:tc>
        <w:tc>
          <w:tcPr>
            <w:tcW w:w="0" w:type="auto"/>
          </w:tcPr>
          <w:p w14:paraId="7BDF3A66" w14:textId="77777777" w:rsidR="000C0F8D" w:rsidRPr="00FE7B32" w:rsidRDefault="000C0F8D" w:rsidP="000C0F8D">
            <w:pPr>
              <w:spacing w:before="120" w:after="0" w:line="276" w:lineRule="auto"/>
              <w:rPr>
                <w:rFonts w:ascii="Calibri" w:eastAsia="Calibri" w:hAnsi="Calibri" w:cs="Times New Roman"/>
                <w:color w:val="FF0000"/>
              </w:rPr>
            </w:pPr>
          </w:p>
        </w:tc>
        <w:tc>
          <w:tcPr>
            <w:tcW w:w="0" w:type="auto"/>
          </w:tcPr>
          <w:p w14:paraId="3DD047C7" w14:textId="77777777" w:rsidR="000C0F8D" w:rsidRPr="00FE7B32" w:rsidRDefault="000C0F8D" w:rsidP="000C0F8D">
            <w:pPr>
              <w:spacing w:before="120" w:after="0" w:line="276" w:lineRule="auto"/>
              <w:rPr>
                <w:rFonts w:ascii="Calibri" w:eastAsia="Calibri" w:hAnsi="Calibri" w:cs="Times New Roman"/>
                <w:color w:val="FF0000"/>
              </w:rPr>
            </w:pPr>
          </w:p>
        </w:tc>
        <w:tc>
          <w:tcPr>
            <w:tcW w:w="0" w:type="auto"/>
          </w:tcPr>
          <w:p w14:paraId="7A5E6658" w14:textId="386A7A82" w:rsidR="000C0F8D" w:rsidRPr="00FE7B32" w:rsidRDefault="000C0F8D" w:rsidP="000C0F8D">
            <w:pPr>
              <w:spacing w:before="120" w:after="0" w:line="276" w:lineRule="auto"/>
              <w:rPr>
                <w:rFonts w:ascii="Calibri" w:eastAsia="Calibri" w:hAnsi="Calibri" w:cs="Times New Roman"/>
                <w:color w:val="FF0000"/>
              </w:rPr>
            </w:pPr>
            <w:r w:rsidRPr="00FE1899">
              <w:rPr>
                <w:rFonts w:ascii="Calibri" w:eastAsia="Calibri" w:hAnsi="Calibri" w:cs="Times New Roman"/>
              </w:rPr>
              <w:t>64.0</w:t>
            </w:r>
          </w:p>
        </w:tc>
      </w:tr>
      <w:tr w:rsidR="005D512E" w:rsidRPr="00FE7B32" w14:paraId="3FB5E084" w14:textId="77777777" w:rsidTr="00172425">
        <w:trPr>
          <w:cantSplit/>
          <w:trHeight w:val="20"/>
          <w:jc w:val="center"/>
        </w:trPr>
        <w:tc>
          <w:tcPr>
            <w:tcW w:w="0" w:type="auto"/>
          </w:tcPr>
          <w:p w14:paraId="710FF357"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Previous fracture</w:t>
            </w:r>
          </w:p>
        </w:tc>
        <w:tc>
          <w:tcPr>
            <w:tcW w:w="0" w:type="auto"/>
          </w:tcPr>
          <w:p w14:paraId="0BF750E3" w14:textId="1FBB5CDA" w:rsidR="000C0F8D" w:rsidRPr="000C0F8D" w:rsidRDefault="000C0F8D" w:rsidP="000C0F8D">
            <w:pPr>
              <w:spacing w:before="120" w:after="0" w:line="276" w:lineRule="auto"/>
              <w:rPr>
                <w:rFonts w:ascii="Calibri" w:eastAsia="Calibri" w:hAnsi="Calibri" w:cs="Times New Roman"/>
              </w:rPr>
            </w:pPr>
            <w:r w:rsidRPr="000C0F8D">
              <w:t>3104</w:t>
            </w:r>
          </w:p>
        </w:tc>
        <w:tc>
          <w:tcPr>
            <w:tcW w:w="0" w:type="auto"/>
          </w:tcPr>
          <w:p w14:paraId="29E6C6BE"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15633C4B"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1B0CD7D9" w14:textId="0E1FACA6" w:rsidR="000C0F8D" w:rsidRPr="000C0F8D" w:rsidRDefault="000C0F8D" w:rsidP="000C0F8D">
            <w:pPr>
              <w:spacing w:before="120" w:after="0" w:line="276" w:lineRule="auto"/>
              <w:rPr>
                <w:rFonts w:ascii="Calibri" w:eastAsia="Calibri" w:hAnsi="Calibri" w:cs="Times New Roman"/>
              </w:rPr>
            </w:pPr>
            <w:r>
              <w:rPr>
                <w:rFonts w:ascii="Calibri" w:eastAsia="Calibri" w:hAnsi="Calibri" w:cs="Times New Roman"/>
              </w:rPr>
              <w:t>12</w:t>
            </w:r>
            <w:r w:rsidRPr="000C0F8D">
              <w:rPr>
                <w:rFonts w:ascii="Calibri" w:eastAsia="Calibri" w:hAnsi="Calibri" w:cs="Times New Roman"/>
              </w:rPr>
              <w:t>.1</w:t>
            </w:r>
          </w:p>
        </w:tc>
        <w:tc>
          <w:tcPr>
            <w:tcW w:w="0" w:type="auto"/>
          </w:tcPr>
          <w:p w14:paraId="36B58936" w14:textId="011AF329" w:rsidR="000C0F8D" w:rsidRPr="000C0F8D" w:rsidRDefault="000C0F8D" w:rsidP="000C0F8D">
            <w:pPr>
              <w:spacing w:before="120" w:after="0" w:line="276" w:lineRule="auto"/>
              <w:rPr>
                <w:rFonts w:ascii="Calibri" w:eastAsia="Calibri" w:hAnsi="Calibri" w:cs="Times New Roman"/>
              </w:rPr>
            </w:pPr>
            <w:r w:rsidRPr="000C0F8D">
              <w:t>3120</w:t>
            </w:r>
          </w:p>
        </w:tc>
        <w:tc>
          <w:tcPr>
            <w:tcW w:w="0" w:type="auto"/>
          </w:tcPr>
          <w:p w14:paraId="6D5DB195"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3E72A095"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4E874CEB" w14:textId="3B02EE55"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12.1</w:t>
            </w:r>
          </w:p>
        </w:tc>
      </w:tr>
      <w:tr w:rsidR="005D512E" w:rsidRPr="00FE7B32" w14:paraId="5B5A2D2C" w14:textId="77777777" w:rsidTr="00172425">
        <w:trPr>
          <w:cantSplit/>
          <w:trHeight w:val="20"/>
          <w:jc w:val="center"/>
        </w:trPr>
        <w:tc>
          <w:tcPr>
            <w:tcW w:w="0" w:type="auto"/>
          </w:tcPr>
          <w:p w14:paraId="54C20B8C"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Current smoking</w:t>
            </w:r>
          </w:p>
        </w:tc>
        <w:tc>
          <w:tcPr>
            <w:tcW w:w="0" w:type="auto"/>
          </w:tcPr>
          <w:p w14:paraId="3341DC9E" w14:textId="53B0CF9A" w:rsidR="000C0F8D" w:rsidRPr="000C0F8D" w:rsidRDefault="000C0F8D" w:rsidP="000C0F8D">
            <w:pPr>
              <w:spacing w:before="120" w:after="0" w:line="276" w:lineRule="auto"/>
              <w:rPr>
                <w:rFonts w:ascii="Calibri" w:eastAsia="Calibri" w:hAnsi="Calibri" w:cs="Times New Roman"/>
              </w:rPr>
            </w:pPr>
            <w:r w:rsidRPr="000C0F8D">
              <w:t>3120</w:t>
            </w:r>
          </w:p>
        </w:tc>
        <w:tc>
          <w:tcPr>
            <w:tcW w:w="0" w:type="auto"/>
          </w:tcPr>
          <w:p w14:paraId="00B95C50"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62172467"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2CDC7E3A" w14:textId="250491FE"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21.5</w:t>
            </w:r>
          </w:p>
        </w:tc>
        <w:tc>
          <w:tcPr>
            <w:tcW w:w="0" w:type="auto"/>
          </w:tcPr>
          <w:p w14:paraId="5ECF121F" w14:textId="5E92220D" w:rsidR="000C0F8D" w:rsidRPr="00FE7B32" w:rsidRDefault="000C0F8D" w:rsidP="000C0F8D">
            <w:pPr>
              <w:spacing w:before="120" w:after="0" w:line="276" w:lineRule="auto"/>
              <w:rPr>
                <w:rFonts w:ascii="Calibri" w:eastAsia="Calibri" w:hAnsi="Calibri" w:cs="Times New Roman"/>
                <w:color w:val="FF0000"/>
              </w:rPr>
            </w:pPr>
            <w:r w:rsidRPr="000C0F8D">
              <w:t>3120</w:t>
            </w:r>
          </w:p>
        </w:tc>
        <w:tc>
          <w:tcPr>
            <w:tcW w:w="0" w:type="auto"/>
          </w:tcPr>
          <w:p w14:paraId="48F71E9B" w14:textId="77777777" w:rsidR="000C0F8D" w:rsidRPr="00FE7B32" w:rsidRDefault="000C0F8D" w:rsidP="000C0F8D">
            <w:pPr>
              <w:spacing w:before="120" w:after="0" w:line="276" w:lineRule="auto"/>
              <w:rPr>
                <w:rFonts w:ascii="Calibri" w:eastAsia="Calibri" w:hAnsi="Calibri" w:cs="Times New Roman"/>
                <w:color w:val="FF0000"/>
              </w:rPr>
            </w:pPr>
          </w:p>
        </w:tc>
        <w:tc>
          <w:tcPr>
            <w:tcW w:w="0" w:type="auto"/>
          </w:tcPr>
          <w:p w14:paraId="4B5DF700" w14:textId="77777777" w:rsidR="000C0F8D" w:rsidRPr="00FE7B32" w:rsidRDefault="000C0F8D" w:rsidP="000C0F8D">
            <w:pPr>
              <w:spacing w:before="120" w:after="0" w:line="276" w:lineRule="auto"/>
              <w:rPr>
                <w:rFonts w:ascii="Calibri" w:eastAsia="Calibri" w:hAnsi="Calibri" w:cs="Times New Roman"/>
                <w:color w:val="FF0000"/>
              </w:rPr>
            </w:pPr>
          </w:p>
        </w:tc>
        <w:tc>
          <w:tcPr>
            <w:tcW w:w="0" w:type="auto"/>
          </w:tcPr>
          <w:p w14:paraId="6ED99AE8" w14:textId="2810A0E7" w:rsidR="000C0F8D" w:rsidRPr="00FE7B32" w:rsidRDefault="000C0F8D" w:rsidP="000C0F8D">
            <w:pPr>
              <w:spacing w:before="120" w:after="0" w:line="276" w:lineRule="auto"/>
              <w:rPr>
                <w:rFonts w:ascii="Calibri" w:eastAsia="Calibri" w:hAnsi="Calibri" w:cs="Times New Roman"/>
                <w:color w:val="FF0000"/>
              </w:rPr>
            </w:pPr>
            <w:r w:rsidRPr="000C0F8D">
              <w:rPr>
                <w:rFonts w:ascii="Calibri" w:eastAsia="Calibri" w:hAnsi="Calibri" w:cs="Times New Roman"/>
              </w:rPr>
              <w:t>21.5</w:t>
            </w:r>
          </w:p>
        </w:tc>
      </w:tr>
      <w:tr w:rsidR="005D512E" w:rsidRPr="00FE7B32" w14:paraId="547A174B" w14:textId="77777777" w:rsidTr="00172425">
        <w:trPr>
          <w:cantSplit/>
          <w:trHeight w:val="20"/>
          <w:jc w:val="center"/>
        </w:trPr>
        <w:tc>
          <w:tcPr>
            <w:tcW w:w="0" w:type="auto"/>
          </w:tcPr>
          <w:p w14:paraId="28AF4BCD"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 xml:space="preserve">Secondary osteoporosis </w:t>
            </w:r>
          </w:p>
        </w:tc>
        <w:tc>
          <w:tcPr>
            <w:tcW w:w="0" w:type="auto"/>
          </w:tcPr>
          <w:p w14:paraId="67FBC060" w14:textId="12A8ABE7" w:rsidR="000C0F8D" w:rsidRPr="000C0F8D" w:rsidRDefault="000C0F8D" w:rsidP="000C0F8D">
            <w:pPr>
              <w:spacing w:before="120" w:after="0" w:line="276" w:lineRule="auto"/>
              <w:rPr>
                <w:rFonts w:ascii="Calibri" w:eastAsia="Calibri" w:hAnsi="Calibri" w:cs="Times New Roman"/>
              </w:rPr>
            </w:pPr>
            <w:r w:rsidRPr="000C0F8D">
              <w:t>3119</w:t>
            </w:r>
          </w:p>
        </w:tc>
        <w:tc>
          <w:tcPr>
            <w:tcW w:w="0" w:type="auto"/>
          </w:tcPr>
          <w:p w14:paraId="401018F6"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449A7966"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75300456" w14:textId="12F47C19"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14.8</w:t>
            </w:r>
          </w:p>
        </w:tc>
        <w:tc>
          <w:tcPr>
            <w:tcW w:w="0" w:type="auto"/>
          </w:tcPr>
          <w:p w14:paraId="253DA5E7" w14:textId="7BE41720" w:rsidR="000C0F8D" w:rsidRPr="000C0F8D" w:rsidRDefault="000C0F8D" w:rsidP="000C0F8D">
            <w:pPr>
              <w:spacing w:before="120" w:after="0" w:line="276" w:lineRule="auto"/>
              <w:rPr>
                <w:rFonts w:ascii="Calibri" w:eastAsia="Calibri" w:hAnsi="Calibri" w:cs="Times New Roman"/>
              </w:rPr>
            </w:pPr>
            <w:r w:rsidRPr="000C0F8D">
              <w:t>3120</w:t>
            </w:r>
          </w:p>
        </w:tc>
        <w:tc>
          <w:tcPr>
            <w:tcW w:w="0" w:type="auto"/>
          </w:tcPr>
          <w:p w14:paraId="49125C18"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6063E201"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72E21FAB" w14:textId="43010CC6"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14.8</w:t>
            </w:r>
          </w:p>
        </w:tc>
      </w:tr>
      <w:tr w:rsidR="005D512E" w:rsidRPr="00FE7B32" w14:paraId="4A874A31" w14:textId="77777777" w:rsidTr="00172425">
        <w:trPr>
          <w:cantSplit/>
          <w:trHeight w:val="20"/>
          <w:jc w:val="center"/>
        </w:trPr>
        <w:tc>
          <w:tcPr>
            <w:tcW w:w="0" w:type="auto"/>
          </w:tcPr>
          <w:p w14:paraId="394C6B4A"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Alcohol 3 or more units per day</w:t>
            </w:r>
          </w:p>
        </w:tc>
        <w:tc>
          <w:tcPr>
            <w:tcW w:w="0" w:type="auto"/>
          </w:tcPr>
          <w:p w14:paraId="43BCB606" w14:textId="5FF30B35" w:rsidR="000C0F8D" w:rsidRPr="000C0F8D" w:rsidRDefault="000C0F8D" w:rsidP="000C0F8D">
            <w:pPr>
              <w:spacing w:before="120" w:after="0" w:line="276" w:lineRule="auto"/>
              <w:rPr>
                <w:rFonts w:ascii="Calibri" w:eastAsia="Calibri" w:hAnsi="Calibri" w:cs="Times New Roman"/>
              </w:rPr>
            </w:pPr>
            <w:r w:rsidRPr="000C0F8D">
              <w:t>2811</w:t>
            </w:r>
          </w:p>
        </w:tc>
        <w:tc>
          <w:tcPr>
            <w:tcW w:w="0" w:type="auto"/>
          </w:tcPr>
          <w:p w14:paraId="399FCA3D"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421E59A1"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21615CAB" w14:textId="01960DB0"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1.4</w:t>
            </w:r>
          </w:p>
        </w:tc>
        <w:tc>
          <w:tcPr>
            <w:tcW w:w="0" w:type="auto"/>
          </w:tcPr>
          <w:p w14:paraId="7993B5CB" w14:textId="6985D392" w:rsidR="000C0F8D" w:rsidRPr="000C0F8D" w:rsidRDefault="000C0F8D" w:rsidP="000C0F8D">
            <w:pPr>
              <w:spacing w:before="120" w:after="0" w:line="276" w:lineRule="auto"/>
              <w:rPr>
                <w:rFonts w:ascii="Calibri" w:eastAsia="Calibri" w:hAnsi="Calibri" w:cs="Times New Roman"/>
              </w:rPr>
            </w:pPr>
            <w:r w:rsidRPr="000C0F8D">
              <w:t>3120</w:t>
            </w:r>
          </w:p>
        </w:tc>
        <w:tc>
          <w:tcPr>
            <w:tcW w:w="0" w:type="auto"/>
          </w:tcPr>
          <w:p w14:paraId="32B21D4A"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761A7320"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6FBF8B42" w14:textId="575B31F4"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1.4</w:t>
            </w:r>
          </w:p>
        </w:tc>
      </w:tr>
      <w:tr w:rsidR="005D512E" w:rsidRPr="00FE7B32" w14:paraId="486A933D" w14:textId="77777777" w:rsidTr="00172425">
        <w:trPr>
          <w:cantSplit/>
          <w:trHeight w:val="20"/>
          <w:jc w:val="center"/>
        </w:trPr>
        <w:tc>
          <w:tcPr>
            <w:tcW w:w="0" w:type="auto"/>
          </w:tcPr>
          <w:p w14:paraId="636E7A5D"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Parental history of hip fracture</w:t>
            </w:r>
          </w:p>
        </w:tc>
        <w:tc>
          <w:tcPr>
            <w:tcW w:w="0" w:type="auto"/>
          </w:tcPr>
          <w:p w14:paraId="20592C56" w14:textId="72740291" w:rsidR="000C0F8D" w:rsidRPr="000C0F8D" w:rsidRDefault="000C0F8D" w:rsidP="000C0F8D">
            <w:pPr>
              <w:spacing w:before="120" w:after="0" w:line="276" w:lineRule="auto"/>
              <w:rPr>
                <w:rFonts w:ascii="Calibri" w:eastAsia="Calibri" w:hAnsi="Calibri" w:cs="Times New Roman"/>
              </w:rPr>
            </w:pPr>
            <w:r w:rsidRPr="000C0F8D">
              <w:t>2963</w:t>
            </w:r>
          </w:p>
        </w:tc>
        <w:tc>
          <w:tcPr>
            <w:tcW w:w="0" w:type="auto"/>
          </w:tcPr>
          <w:p w14:paraId="18069DF6"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50E69B1E"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39D9A2F1" w14:textId="4818FE0A"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7.0</w:t>
            </w:r>
          </w:p>
        </w:tc>
        <w:tc>
          <w:tcPr>
            <w:tcW w:w="0" w:type="auto"/>
          </w:tcPr>
          <w:p w14:paraId="310F5230" w14:textId="3FB0D52B" w:rsidR="000C0F8D" w:rsidRPr="00741E60" w:rsidRDefault="00741E60" w:rsidP="000C0F8D">
            <w:pPr>
              <w:spacing w:before="120" w:after="0" w:line="276" w:lineRule="auto"/>
              <w:rPr>
                <w:rFonts w:ascii="Calibri" w:eastAsia="Calibri" w:hAnsi="Calibri" w:cs="Times New Roman"/>
              </w:rPr>
            </w:pPr>
            <w:r w:rsidRPr="00741E60">
              <w:t>3120</w:t>
            </w:r>
          </w:p>
        </w:tc>
        <w:tc>
          <w:tcPr>
            <w:tcW w:w="0" w:type="auto"/>
          </w:tcPr>
          <w:p w14:paraId="33D0C8EA" w14:textId="77777777" w:rsidR="000C0F8D" w:rsidRPr="00741E60" w:rsidRDefault="000C0F8D" w:rsidP="000C0F8D">
            <w:pPr>
              <w:spacing w:before="120" w:after="0" w:line="276" w:lineRule="auto"/>
              <w:rPr>
                <w:rFonts w:ascii="Calibri" w:eastAsia="Calibri" w:hAnsi="Calibri" w:cs="Times New Roman"/>
              </w:rPr>
            </w:pPr>
          </w:p>
        </w:tc>
        <w:tc>
          <w:tcPr>
            <w:tcW w:w="0" w:type="auto"/>
          </w:tcPr>
          <w:p w14:paraId="6BB88BCD" w14:textId="77777777" w:rsidR="000C0F8D" w:rsidRPr="00741E60" w:rsidRDefault="000C0F8D" w:rsidP="000C0F8D">
            <w:pPr>
              <w:spacing w:before="120" w:after="0" w:line="276" w:lineRule="auto"/>
              <w:rPr>
                <w:rFonts w:ascii="Calibri" w:eastAsia="Calibri" w:hAnsi="Calibri" w:cs="Times New Roman"/>
              </w:rPr>
            </w:pPr>
          </w:p>
        </w:tc>
        <w:tc>
          <w:tcPr>
            <w:tcW w:w="0" w:type="auto"/>
          </w:tcPr>
          <w:p w14:paraId="21D82CAA" w14:textId="45C90AE4" w:rsidR="000C0F8D" w:rsidRPr="00741E60" w:rsidRDefault="00741E60" w:rsidP="000C0F8D">
            <w:pPr>
              <w:spacing w:before="120" w:after="0" w:line="276" w:lineRule="auto"/>
              <w:rPr>
                <w:rFonts w:ascii="Calibri" w:eastAsia="Calibri" w:hAnsi="Calibri" w:cs="Times New Roman"/>
              </w:rPr>
            </w:pPr>
            <w:r w:rsidRPr="00741E60">
              <w:rPr>
                <w:rFonts w:ascii="Calibri" w:eastAsia="Calibri" w:hAnsi="Calibri" w:cs="Times New Roman"/>
              </w:rPr>
              <w:t>6</w:t>
            </w:r>
            <w:r w:rsidR="000C0F8D" w:rsidRPr="00741E60">
              <w:rPr>
                <w:rFonts w:ascii="Calibri" w:eastAsia="Calibri" w:hAnsi="Calibri" w:cs="Times New Roman"/>
              </w:rPr>
              <w:t>.</w:t>
            </w:r>
            <w:r w:rsidRPr="00741E60">
              <w:rPr>
                <w:rFonts w:ascii="Calibri" w:eastAsia="Calibri" w:hAnsi="Calibri" w:cs="Times New Roman"/>
              </w:rPr>
              <w:t>9</w:t>
            </w:r>
          </w:p>
        </w:tc>
      </w:tr>
      <w:tr w:rsidR="005D512E" w:rsidRPr="00FE7B32" w14:paraId="2F8AEE0B" w14:textId="77777777" w:rsidTr="00172425">
        <w:trPr>
          <w:cantSplit/>
          <w:trHeight w:val="20"/>
          <w:jc w:val="center"/>
        </w:trPr>
        <w:tc>
          <w:tcPr>
            <w:tcW w:w="0" w:type="auto"/>
          </w:tcPr>
          <w:p w14:paraId="37F85044"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Glucocorticoid exposure</w:t>
            </w:r>
          </w:p>
        </w:tc>
        <w:tc>
          <w:tcPr>
            <w:tcW w:w="0" w:type="auto"/>
          </w:tcPr>
          <w:p w14:paraId="4C2C1D64" w14:textId="4ED817EF" w:rsidR="000C0F8D" w:rsidRPr="000C0F8D" w:rsidRDefault="000C0F8D" w:rsidP="000C0F8D">
            <w:pPr>
              <w:spacing w:before="120" w:after="0" w:line="276" w:lineRule="auto"/>
              <w:rPr>
                <w:rFonts w:ascii="Calibri" w:eastAsia="Calibri" w:hAnsi="Calibri" w:cs="Times New Roman"/>
              </w:rPr>
            </w:pPr>
            <w:r w:rsidRPr="000C0F8D">
              <w:t>0</w:t>
            </w:r>
          </w:p>
        </w:tc>
        <w:tc>
          <w:tcPr>
            <w:tcW w:w="0" w:type="auto"/>
          </w:tcPr>
          <w:p w14:paraId="53705341"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1736BADC"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29AB4006" w14:textId="4AAB4488"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w:t>
            </w:r>
          </w:p>
        </w:tc>
        <w:tc>
          <w:tcPr>
            <w:tcW w:w="0" w:type="auto"/>
          </w:tcPr>
          <w:p w14:paraId="22572EC8" w14:textId="7C723F83" w:rsidR="000C0F8D" w:rsidRPr="005D512E" w:rsidRDefault="005D512E" w:rsidP="000C0F8D">
            <w:pPr>
              <w:spacing w:before="120" w:after="0" w:line="276" w:lineRule="auto"/>
              <w:rPr>
                <w:rFonts w:ascii="Calibri" w:eastAsia="Calibri" w:hAnsi="Calibri" w:cs="Times New Roman"/>
              </w:rPr>
            </w:pPr>
            <w:r w:rsidRPr="005D512E">
              <w:t>3120</w:t>
            </w:r>
          </w:p>
        </w:tc>
        <w:tc>
          <w:tcPr>
            <w:tcW w:w="0" w:type="auto"/>
          </w:tcPr>
          <w:p w14:paraId="05AA6C53" w14:textId="77777777" w:rsidR="000C0F8D" w:rsidRPr="005D512E" w:rsidRDefault="000C0F8D" w:rsidP="000C0F8D">
            <w:pPr>
              <w:spacing w:before="120" w:after="0" w:line="276" w:lineRule="auto"/>
              <w:rPr>
                <w:rFonts w:ascii="Calibri" w:eastAsia="Calibri" w:hAnsi="Calibri" w:cs="Times New Roman"/>
              </w:rPr>
            </w:pPr>
          </w:p>
        </w:tc>
        <w:tc>
          <w:tcPr>
            <w:tcW w:w="0" w:type="auto"/>
          </w:tcPr>
          <w:p w14:paraId="760A726F" w14:textId="77777777" w:rsidR="000C0F8D" w:rsidRPr="005D512E" w:rsidRDefault="000C0F8D" w:rsidP="000C0F8D">
            <w:pPr>
              <w:spacing w:before="120" w:after="0" w:line="276" w:lineRule="auto"/>
              <w:rPr>
                <w:rFonts w:ascii="Calibri" w:eastAsia="Calibri" w:hAnsi="Calibri" w:cs="Times New Roman"/>
              </w:rPr>
            </w:pPr>
          </w:p>
        </w:tc>
        <w:tc>
          <w:tcPr>
            <w:tcW w:w="0" w:type="auto"/>
          </w:tcPr>
          <w:p w14:paraId="09D4F4B4" w14:textId="07F690FE" w:rsidR="000C0F8D" w:rsidRPr="005D512E" w:rsidRDefault="005D512E" w:rsidP="000C0F8D">
            <w:pPr>
              <w:spacing w:before="120" w:after="0" w:line="276" w:lineRule="auto"/>
              <w:rPr>
                <w:rFonts w:ascii="Calibri" w:eastAsia="Calibri" w:hAnsi="Calibri" w:cs="Times New Roman"/>
              </w:rPr>
            </w:pPr>
            <w:r w:rsidRPr="005D512E">
              <w:rPr>
                <w:rFonts w:ascii="Calibri" w:eastAsia="Calibri" w:hAnsi="Calibri" w:cs="Times New Roman"/>
              </w:rPr>
              <w:t>4</w:t>
            </w:r>
            <w:r w:rsidR="000C0F8D" w:rsidRPr="005D512E">
              <w:rPr>
                <w:rFonts w:ascii="Calibri" w:eastAsia="Calibri" w:hAnsi="Calibri" w:cs="Times New Roman"/>
              </w:rPr>
              <w:t>.</w:t>
            </w:r>
            <w:r w:rsidRPr="005D512E">
              <w:rPr>
                <w:rFonts w:ascii="Calibri" w:eastAsia="Calibri" w:hAnsi="Calibri" w:cs="Times New Roman"/>
              </w:rPr>
              <w:t>3</w:t>
            </w:r>
          </w:p>
        </w:tc>
      </w:tr>
      <w:tr w:rsidR="005D512E" w:rsidRPr="00FE7B32" w14:paraId="42054D6D" w14:textId="77777777" w:rsidTr="00172425">
        <w:trPr>
          <w:cantSplit/>
          <w:trHeight w:val="20"/>
          <w:jc w:val="center"/>
        </w:trPr>
        <w:tc>
          <w:tcPr>
            <w:tcW w:w="0" w:type="auto"/>
          </w:tcPr>
          <w:p w14:paraId="5A568A22" w14:textId="77777777"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Rheumatoid arthritis</w:t>
            </w:r>
          </w:p>
        </w:tc>
        <w:tc>
          <w:tcPr>
            <w:tcW w:w="0" w:type="auto"/>
          </w:tcPr>
          <w:p w14:paraId="44FE15B0" w14:textId="1F476808" w:rsidR="000C0F8D" w:rsidRPr="000C0F8D" w:rsidRDefault="000C0F8D" w:rsidP="000C0F8D">
            <w:pPr>
              <w:spacing w:before="120" w:after="0" w:line="276" w:lineRule="auto"/>
              <w:rPr>
                <w:rFonts w:ascii="Calibri" w:eastAsia="Calibri" w:hAnsi="Calibri" w:cs="Times New Roman"/>
              </w:rPr>
            </w:pPr>
            <w:r w:rsidRPr="000C0F8D">
              <w:t>2793</w:t>
            </w:r>
          </w:p>
        </w:tc>
        <w:tc>
          <w:tcPr>
            <w:tcW w:w="0" w:type="auto"/>
          </w:tcPr>
          <w:p w14:paraId="6292EAE2"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3949DA29" w14:textId="77777777" w:rsidR="000C0F8D" w:rsidRPr="000C0F8D" w:rsidRDefault="000C0F8D" w:rsidP="000C0F8D">
            <w:pPr>
              <w:spacing w:before="120" w:after="0" w:line="276" w:lineRule="auto"/>
              <w:rPr>
                <w:rFonts w:ascii="Calibri" w:eastAsia="Calibri" w:hAnsi="Calibri" w:cs="Times New Roman"/>
              </w:rPr>
            </w:pPr>
          </w:p>
        </w:tc>
        <w:tc>
          <w:tcPr>
            <w:tcW w:w="0" w:type="auto"/>
          </w:tcPr>
          <w:p w14:paraId="61432C9C" w14:textId="356C463A" w:rsidR="000C0F8D" w:rsidRPr="000C0F8D" w:rsidRDefault="000C0F8D" w:rsidP="000C0F8D">
            <w:pPr>
              <w:spacing w:before="120" w:after="0" w:line="276" w:lineRule="auto"/>
              <w:rPr>
                <w:rFonts w:ascii="Calibri" w:eastAsia="Calibri" w:hAnsi="Calibri" w:cs="Times New Roman"/>
              </w:rPr>
            </w:pPr>
            <w:r w:rsidRPr="000C0F8D">
              <w:rPr>
                <w:rFonts w:ascii="Calibri" w:eastAsia="Calibri" w:hAnsi="Calibri" w:cs="Times New Roman"/>
              </w:rPr>
              <w:t>6.9</w:t>
            </w:r>
          </w:p>
        </w:tc>
        <w:tc>
          <w:tcPr>
            <w:tcW w:w="0" w:type="auto"/>
          </w:tcPr>
          <w:p w14:paraId="589F6482" w14:textId="27A0FD8A" w:rsidR="000C0F8D" w:rsidRPr="005D512E" w:rsidRDefault="005D512E" w:rsidP="000C0F8D">
            <w:pPr>
              <w:spacing w:before="120" w:after="0" w:line="276" w:lineRule="auto"/>
              <w:rPr>
                <w:rFonts w:ascii="Calibri" w:eastAsia="Calibri" w:hAnsi="Calibri" w:cs="Times New Roman"/>
              </w:rPr>
            </w:pPr>
            <w:r w:rsidRPr="005D512E">
              <w:t>3120</w:t>
            </w:r>
          </w:p>
        </w:tc>
        <w:tc>
          <w:tcPr>
            <w:tcW w:w="0" w:type="auto"/>
          </w:tcPr>
          <w:p w14:paraId="75DFBBA5" w14:textId="77777777" w:rsidR="000C0F8D" w:rsidRPr="005D512E" w:rsidRDefault="000C0F8D" w:rsidP="000C0F8D">
            <w:pPr>
              <w:spacing w:before="120" w:after="0" w:line="276" w:lineRule="auto"/>
              <w:rPr>
                <w:rFonts w:ascii="Calibri" w:eastAsia="Calibri" w:hAnsi="Calibri" w:cs="Times New Roman"/>
              </w:rPr>
            </w:pPr>
          </w:p>
        </w:tc>
        <w:tc>
          <w:tcPr>
            <w:tcW w:w="0" w:type="auto"/>
          </w:tcPr>
          <w:p w14:paraId="232EA2C7" w14:textId="77777777" w:rsidR="000C0F8D" w:rsidRPr="005D512E" w:rsidRDefault="000C0F8D" w:rsidP="000C0F8D">
            <w:pPr>
              <w:spacing w:before="120" w:after="0" w:line="276" w:lineRule="auto"/>
              <w:rPr>
                <w:rFonts w:ascii="Calibri" w:eastAsia="Calibri" w:hAnsi="Calibri" w:cs="Times New Roman"/>
              </w:rPr>
            </w:pPr>
          </w:p>
        </w:tc>
        <w:tc>
          <w:tcPr>
            <w:tcW w:w="0" w:type="auto"/>
          </w:tcPr>
          <w:p w14:paraId="4F276D41" w14:textId="5145AD17" w:rsidR="000C0F8D" w:rsidRPr="005D512E" w:rsidRDefault="005D512E" w:rsidP="000C0F8D">
            <w:pPr>
              <w:spacing w:before="120" w:after="0" w:line="276" w:lineRule="auto"/>
              <w:rPr>
                <w:rFonts w:ascii="Calibri" w:eastAsia="Calibri" w:hAnsi="Calibri" w:cs="Times New Roman"/>
              </w:rPr>
            </w:pPr>
            <w:r w:rsidRPr="005D512E">
              <w:rPr>
                <w:rFonts w:ascii="Calibri" w:eastAsia="Calibri" w:hAnsi="Calibri" w:cs="Times New Roman"/>
              </w:rPr>
              <w:t>4</w:t>
            </w:r>
            <w:r w:rsidR="000C0F8D" w:rsidRPr="005D512E">
              <w:rPr>
                <w:rFonts w:ascii="Calibri" w:eastAsia="Calibri" w:hAnsi="Calibri" w:cs="Times New Roman"/>
              </w:rPr>
              <w:t>.</w:t>
            </w:r>
            <w:r w:rsidRPr="005D512E">
              <w:rPr>
                <w:rFonts w:ascii="Calibri" w:eastAsia="Calibri" w:hAnsi="Calibri" w:cs="Times New Roman"/>
              </w:rPr>
              <w:t>5</w:t>
            </w:r>
          </w:p>
        </w:tc>
      </w:tr>
    </w:tbl>
    <w:p w14:paraId="24116CDD" w14:textId="4D50E8A5" w:rsidR="00172425" w:rsidRDefault="00172425" w:rsidP="00E0088F">
      <w:pPr>
        <w:autoSpaceDE w:val="0"/>
        <w:autoSpaceDN w:val="0"/>
        <w:adjustRightInd w:val="0"/>
        <w:spacing w:after="0" w:line="276" w:lineRule="auto"/>
        <w:rPr>
          <w:rFonts w:ascii="Calibri" w:hAnsi="Calibri" w:cs="Calibri"/>
          <w:color w:val="FF0000"/>
          <w:sz w:val="20"/>
          <w:szCs w:val="20"/>
        </w:rPr>
      </w:pPr>
    </w:p>
    <w:p w14:paraId="33F9D291" w14:textId="38256D2A" w:rsidR="000047A7" w:rsidRDefault="000047A7" w:rsidP="00E0088F">
      <w:pPr>
        <w:autoSpaceDE w:val="0"/>
        <w:autoSpaceDN w:val="0"/>
        <w:adjustRightInd w:val="0"/>
        <w:spacing w:after="0" w:line="276" w:lineRule="auto"/>
        <w:rPr>
          <w:rFonts w:ascii="Calibri" w:hAnsi="Calibri" w:cs="Calibri"/>
          <w:color w:val="FF0000"/>
          <w:sz w:val="20"/>
          <w:szCs w:val="20"/>
        </w:rPr>
      </w:pPr>
    </w:p>
    <w:sectPr w:rsidR="000047A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929D" w14:textId="77777777" w:rsidR="00343116" w:rsidRDefault="00343116" w:rsidP="001129E7">
      <w:pPr>
        <w:spacing w:after="0" w:line="240" w:lineRule="auto"/>
      </w:pPr>
      <w:r>
        <w:separator/>
      </w:r>
    </w:p>
  </w:endnote>
  <w:endnote w:type="continuationSeparator" w:id="0">
    <w:p w14:paraId="7865997B" w14:textId="77777777" w:rsidR="00343116" w:rsidRDefault="00343116" w:rsidP="0011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FF0B" w14:textId="77777777" w:rsidR="00172425" w:rsidRDefault="00172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35415"/>
      <w:docPartObj>
        <w:docPartGallery w:val="Page Numbers (Bottom of Page)"/>
        <w:docPartUnique/>
      </w:docPartObj>
    </w:sdtPr>
    <w:sdtEndPr>
      <w:rPr>
        <w:noProof/>
      </w:rPr>
    </w:sdtEndPr>
    <w:sdtContent>
      <w:p w14:paraId="7AEC9C9F" w14:textId="5163CF69" w:rsidR="00172425" w:rsidRDefault="00172425">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3BA47AAE" w14:textId="77777777" w:rsidR="00172425" w:rsidRDefault="00172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2BBB" w14:textId="77777777" w:rsidR="00172425" w:rsidRDefault="00172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D03D" w14:textId="77777777" w:rsidR="00343116" w:rsidRDefault="00343116" w:rsidP="001129E7">
      <w:pPr>
        <w:spacing w:after="0" w:line="240" w:lineRule="auto"/>
      </w:pPr>
      <w:r>
        <w:separator/>
      </w:r>
    </w:p>
  </w:footnote>
  <w:footnote w:type="continuationSeparator" w:id="0">
    <w:p w14:paraId="3BDEC707" w14:textId="77777777" w:rsidR="00343116" w:rsidRDefault="00343116" w:rsidP="0011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B3AF" w14:textId="77777777" w:rsidR="00172425" w:rsidRDefault="00172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222" w14:textId="2D144726" w:rsidR="00172425" w:rsidRDefault="00172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D99" w14:textId="77777777" w:rsidR="00172425" w:rsidRDefault="00172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40B6"/>
    <w:multiLevelType w:val="hybridMultilevel"/>
    <w:tmpl w:val="7F320A1C"/>
    <w:lvl w:ilvl="0" w:tplc="913E6F20">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34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949F523-5AE6-4831-9BDE-880E2E4DFD4F}"/>
    <w:docVar w:name="dgnword-eventsink" w:val="2790060530144"/>
  </w:docVars>
  <w:rsids>
    <w:rsidRoot w:val="00E0088F"/>
    <w:rsid w:val="00000C28"/>
    <w:rsid w:val="0000221E"/>
    <w:rsid w:val="00003135"/>
    <w:rsid w:val="000031E6"/>
    <w:rsid w:val="000039FA"/>
    <w:rsid w:val="00003AA2"/>
    <w:rsid w:val="00003E5F"/>
    <w:rsid w:val="00004191"/>
    <w:rsid w:val="000047A7"/>
    <w:rsid w:val="00006AF3"/>
    <w:rsid w:val="00006CE0"/>
    <w:rsid w:val="00006E8E"/>
    <w:rsid w:val="000071D2"/>
    <w:rsid w:val="00010BB4"/>
    <w:rsid w:val="00011666"/>
    <w:rsid w:val="00011734"/>
    <w:rsid w:val="00012ACB"/>
    <w:rsid w:val="0001567A"/>
    <w:rsid w:val="00015BA5"/>
    <w:rsid w:val="000164AF"/>
    <w:rsid w:val="00016A9C"/>
    <w:rsid w:val="000172E0"/>
    <w:rsid w:val="00017D50"/>
    <w:rsid w:val="0002091C"/>
    <w:rsid w:val="00021354"/>
    <w:rsid w:val="00021591"/>
    <w:rsid w:val="0002162B"/>
    <w:rsid w:val="00021F9B"/>
    <w:rsid w:val="000230D3"/>
    <w:rsid w:val="000230E8"/>
    <w:rsid w:val="0002436D"/>
    <w:rsid w:val="00024559"/>
    <w:rsid w:val="0002469C"/>
    <w:rsid w:val="00025751"/>
    <w:rsid w:val="000259E0"/>
    <w:rsid w:val="00030ABC"/>
    <w:rsid w:val="00030B18"/>
    <w:rsid w:val="00031F09"/>
    <w:rsid w:val="0003219B"/>
    <w:rsid w:val="0003560C"/>
    <w:rsid w:val="000358D6"/>
    <w:rsid w:val="00036674"/>
    <w:rsid w:val="00036982"/>
    <w:rsid w:val="0003725C"/>
    <w:rsid w:val="000373F7"/>
    <w:rsid w:val="00037704"/>
    <w:rsid w:val="00041957"/>
    <w:rsid w:val="00044234"/>
    <w:rsid w:val="0004464E"/>
    <w:rsid w:val="00044D32"/>
    <w:rsid w:val="00045BF8"/>
    <w:rsid w:val="000462B1"/>
    <w:rsid w:val="00046933"/>
    <w:rsid w:val="00047B0A"/>
    <w:rsid w:val="00047F10"/>
    <w:rsid w:val="000506C6"/>
    <w:rsid w:val="00050BF3"/>
    <w:rsid w:val="00050F85"/>
    <w:rsid w:val="000510DF"/>
    <w:rsid w:val="00052D43"/>
    <w:rsid w:val="000539E9"/>
    <w:rsid w:val="0005447B"/>
    <w:rsid w:val="000554AD"/>
    <w:rsid w:val="000559D3"/>
    <w:rsid w:val="00055C37"/>
    <w:rsid w:val="00056A85"/>
    <w:rsid w:val="00057229"/>
    <w:rsid w:val="000574BF"/>
    <w:rsid w:val="000574FE"/>
    <w:rsid w:val="00057BB2"/>
    <w:rsid w:val="00057C18"/>
    <w:rsid w:val="00057D55"/>
    <w:rsid w:val="00060982"/>
    <w:rsid w:val="00060CD2"/>
    <w:rsid w:val="00060F36"/>
    <w:rsid w:val="00061092"/>
    <w:rsid w:val="000613F2"/>
    <w:rsid w:val="00061CF4"/>
    <w:rsid w:val="00061E4A"/>
    <w:rsid w:val="0006268D"/>
    <w:rsid w:val="00062E18"/>
    <w:rsid w:val="000633BB"/>
    <w:rsid w:val="000637B7"/>
    <w:rsid w:val="00064AED"/>
    <w:rsid w:val="000650D3"/>
    <w:rsid w:val="0006642C"/>
    <w:rsid w:val="00067C5A"/>
    <w:rsid w:val="00070A9A"/>
    <w:rsid w:val="0007127B"/>
    <w:rsid w:val="00072023"/>
    <w:rsid w:val="000725DC"/>
    <w:rsid w:val="00073C81"/>
    <w:rsid w:val="000762F6"/>
    <w:rsid w:val="00076437"/>
    <w:rsid w:val="00076ED2"/>
    <w:rsid w:val="0007700F"/>
    <w:rsid w:val="000804FB"/>
    <w:rsid w:val="00081247"/>
    <w:rsid w:val="00081601"/>
    <w:rsid w:val="000821D7"/>
    <w:rsid w:val="00083FA3"/>
    <w:rsid w:val="00084A46"/>
    <w:rsid w:val="00084F11"/>
    <w:rsid w:val="00084F1A"/>
    <w:rsid w:val="000857CC"/>
    <w:rsid w:val="000858B2"/>
    <w:rsid w:val="00087091"/>
    <w:rsid w:val="00087AB2"/>
    <w:rsid w:val="0009045E"/>
    <w:rsid w:val="0009045F"/>
    <w:rsid w:val="0009065C"/>
    <w:rsid w:val="00090F44"/>
    <w:rsid w:val="00091170"/>
    <w:rsid w:val="00091196"/>
    <w:rsid w:val="00091255"/>
    <w:rsid w:val="00092D7B"/>
    <w:rsid w:val="000931EB"/>
    <w:rsid w:val="00093E9D"/>
    <w:rsid w:val="00094205"/>
    <w:rsid w:val="00095BD2"/>
    <w:rsid w:val="00095C6A"/>
    <w:rsid w:val="00096E45"/>
    <w:rsid w:val="00096EEB"/>
    <w:rsid w:val="000971CD"/>
    <w:rsid w:val="000979BF"/>
    <w:rsid w:val="00097B59"/>
    <w:rsid w:val="000A06BB"/>
    <w:rsid w:val="000A1AD2"/>
    <w:rsid w:val="000A2993"/>
    <w:rsid w:val="000A2A00"/>
    <w:rsid w:val="000A3A72"/>
    <w:rsid w:val="000A3C79"/>
    <w:rsid w:val="000A4AE9"/>
    <w:rsid w:val="000A6A5F"/>
    <w:rsid w:val="000A72D9"/>
    <w:rsid w:val="000B02D9"/>
    <w:rsid w:val="000B0548"/>
    <w:rsid w:val="000B0C3A"/>
    <w:rsid w:val="000B2055"/>
    <w:rsid w:val="000B2ABD"/>
    <w:rsid w:val="000B339B"/>
    <w:rsid w:val="000B388B"/>
    <w:rsid w:val="000B4261"/>
    <w:rsid w:val="000B4321"/>
    <w:rsid w:val="000B4A7D"/>
    <w:rsid w:val="000B4BCC"/>
    <w:rsid w:val="000B5711"/>
    <w:rsid w:val="000B6160"/>
    <w:rsid w:val="000B6B62"/>
    <w:rsid w:val="000C0F8D"/>
    <w:rsid w:val="000C19B4"/>
    <w:rsid w:val="000C1CC0"/>
    <w:rsid w:val="000C1F50"/>
    <w:rsid w:val="000C3281"/>
    <w:rsid w:val="000C37A5"/>
    <w:rsid w:val="000C4809"/>
    <w:rsid w:val="000C663B"/>
    <w:rsid w:val="000C6794"/>
    <w:rsid w:val="000C75B9"/>
    <w:rsid w:val="000C76D9"/>
    <w:rsid w:val="000C7A73"/>
    <w:rsid w:val="000C7F18"/>
    <w:rsid w:val="000D0419"/>
    <w:rsid w:val="000D0A6B"/>
    <w:rsid w:val="000D0EED"/>
    <w:rsid w:val="000D1F48"/>
    <w:rsid w:val="000D2537"/>
    <w:rsid w:val="000D28E4"/>
    <w:rsid w:val="000D29E6"/>
    <w:rsid w:val="000D2CF7"/>
    <w:rsid w:val="000D2F9A"/>
    <w:rsid w:val="000D379C"/>
    <w:rsid w:val="000D3A3B"/>
    <w:rsid w:val="000D4E54"/>
    <w:rsid w:val="000D53B8"/>
    <w:rsid w:val="000D542D"/>
    <w:rsid w:val="000D63A8"/>
    <w:rsid w:val="000D678D"/>
    <w:rsid w:val="000D6C27"/>
    <w:rsid w:val="000D6D0E"/>
    <w:rsid w:val="000D7FCF"/>
    <w:rsid w:val="000E08C5"/>
    <w:rsid w:val="000E1801"/>
    <w:rsid w:val="000E1894"/>
    <w:rsid w:val="000E2791"/>
    <w:rsid w:val="000E32A9"/>
    <w:rsid w:val="000E38F8"/>
    <w:rsid w:val="000E3A00"/>
    <w:rsid w:val="000E3BB5"/>
    <w:rsid w:val="000E3DAB"/>
    <w:rsid w:val="000E5320"/>
    <w:rsid w:val="000E5969"/>
    <w:rsid w:val="000E6489"/>
    <w:rsid w:val="000E66D6"/>
    <w:rsid w:val="000F0121"/>
    <w:rsid w:val="000F04B3"/>
    <w:rsid w:val="000F08D7"/>
    <w:rsid w:val="000F1B25"/>
    <w:rsid w:val="000F2010"/>
    <w:rsid w:val="000F2CC7"/>
    <w:rsid w:val="000F3BE5"/>
    <w:rsid w:val="000F569B"/>
    <w:rsid w:val="000F597A"/>
    <w:rsid w:val="000F6526"/>
    <w:rsid w:val="00100ABD"/>
    <w:rsid w:val="00100EA8"/>
    <w:rsid w:val="00101328"/>
    <w:rsid w:val="00101D4A"/>
    <w:rsid w:val="00101D5A"/>
    <w:rsid w:val="00101FD7"/>
    <w:rsid w:val="00102517"/>
    <w:rsid w:val="00102EC8"/>
    <w:rsid w:val="0010344B"/>
    <w:rsid w:val="00103CA2"/>
    <w:rsid w:val="00103EDD"/>
    <w:rsid w:val="001041B1"/>
    <w:rsid w:val="0010473E"/>
    <w:rsid w:val="001063A5"/>
    <w:rsid w:val="00106FF5"/>
    <w:rsid w:val="00107897"/>
    <w:rsid w:val="00110E99"/>
    <w:rsid w:val="00111845"/>
    <w:rsid w:val="001129E7"/>
    <w:rsid w:val="00113D55"/>
    <w:rsid w:val="001154DF"/>
    <w:rsid w:val="00115994"/>
    <w:rsid w:val="0011607C"/>
    <w:rsid w:val="00116C6A"/>
    <w:rsid w:val="00117A3E"/>
    <w:rsid w:val="001207A8"/>
    <w:rsid w:val="00121011"/>
    <w:rsid w:val="001214DE"/>
    <w:rsid w:val="00121CD6"/>
    <w:rsid w:val="001229B1"/>
    <w:rsid w:val="00122B54"/>
    <w:rsid w:val="00122F2F"/>
    <w:rsid w:val="00123D3C"/>
    <w:rsid w:val="00124525"/>
    <w:rsid w:val="001255C7"/>
    <w:rsid w:val="00126E78"/>
    <w:rsid w:val="00130A59"/>
    <w:rsid w:val="00130FDC"/>
    <w:rsid w:val="00131B72"/>
    <w:rsid w:val="001331FD"/>
    <w:rsid w:val="0013331E"/>
    <w:rsid w:val="00133484"/>
    <w:rsid w:val="00133DB8"/>
    <w:rsid w:val="001345E1"/>
    <w:rsid w:val="00135BCA"/>
    <w:rsid w:val="00135EE5"/>
    <w:rsid w:val="00135F7B"/>
    <w:rsid w:val="00136549"/>
    <w:rsid w:val="0014025B"/>
    <w:rsid w:val="0014028B"/>
    <w:rsid w:val="00140E58"/>
    <w:rsid w:val="001433F4"/>
    <w:rsid w:val="001434EF"/>
    <w:rsid w:val="00143840"/>
    <w:rsid w:val="00143D26"/>
    <w:rsid w:val="001453E5"/>
    <w:rsid w:val="00146062"/>
    <w:rsid w:val="001466FE"/>
    <w:rsid w:val="00150C89"/>
    <w:rsid w:val="00150D5C"/>
    <w:rsid w:val="001512C1"/>
    <w:rsid w:val="001522C3"/>
    <w:rsid w:val="001548D1"/>
    <w:rsid w:val="00155DCB"/>
    <w:rsid w:val="001562C4"/>
    <w:rsid w:val="001565FF"/>
    <w:rsid w:val="00156AE3"/>
    <w:rsid w:val="001573CC"/>
    <w:rsid w:val="0016012F"/>
    <w:rsid w:val="0016051C"/>
    <w:rsid w:val="00161631"/>
    <w:rsid w:val="00163CB0"/>
    <w:rsid w:val="00164023"/>
    <w:rsid w:val="00164BE0"/>
    <w:rsid w:val="00166B28"/>
    <w:rsid w:val="00167AEB"/>
    <w:rsid w:val="00167F19"/>
    <w:rsid w:val="00170449"/>
    <w:rsid w:val="001706DE"/>
    <w:rsid w:val="0017154A"/>
    <w:rsid w:val="00171582"/>
    <w:rsid w:val="00171AB2"/>
    <w:rsid w:val="00172425"/>
    <w:rsid w:val="001735A3"/>
    <w:rsid w:val="00173F8E"/>
    <w:rsid w:val="00175676"/>
    <w:rsid w:val="00175B70"/>
    <w:rsid w:val="00176215"/>
    <w:rsid w:val="0018077F"/>
    <w:rsid w:val="00180FD6"/>
    <w:rsid w:val="001811E9"/>
    <w:rsid w:val="00181472"/>
    <w:rsid w:val="001814F7"/>
    <w:rsid w:val="001822E3"/>
    <w:rsid w:val="001831FA"/>
    <w:rsid w:val="00183A46"/>
    <w:rsid w:val="00184019"/>
    <w:rsid w:val="00184117"/>
    <w:rsid w:val="0018412F"/>
    <w:rsid w:val="001842EE"/>
    <w:rsid w:val="00186A1C"/>
    <w:rsid w:val="00186C84"/>
    <w:rsid w:val="00187486"/>
    <w:rsid w:val="00187AD1"/>
    <w:rsid w:val="00190E91"/>
    <w:rsid w:val="001915DC"/>
    <w:rsid w:val="00191FD0"/>
    <w:rsid w:val="00192E9F"/>
    <w:rsid w:val="0019316A"/>
    <w:rsid w:val="00193375"/>
    <w:rsid w:val="00193428"/>
    <w:rsid w:val="001935B4"/>
    <w:rsid w:val="001939E8"/>
    <w:rsid w:val="0019412B"/>
    <w:rsid w:val="00194593"/>
    <w:rsid w:val="001947FA"/>
    <w:rsid w:val="00195619"/>
    <w:rsid w:val="00195939"/>
    <w:rsid w:val="001964B7"/>
    <w:rsid w:val="00197B0D"/>
    <w:rsid w:val="00197BBC"/>
    <w:rsid w:val="00197D2B"/>
    <w:rsid w:val="001A0AFF"/>
    <w:rsid w:val="001A188E"/>
    <w:rsid w:val="001A1BD7"/>
    <w:rsid w:val="001A2250"/>
    <w:rsid w:val="001A3006"/>
    <w:rsid w:val="001A3A04"/>
    <w:rsid w:val="001A3FA7"/>
    <w:rsid w:val="001A4863"/>
    <w:rsid w:val="001A4B6A"/>
    <w:rsid w:val="001A4DE6"/>
    <w:rsid w:val="001A5539"/>
    <w:rsid w:val="001A5632"/>
    <w:rsid w:val="001A5F2A"/>
    <w:rsid w:val="001A668A"/>
    <w:rsid w:val="001A786E"/>
    <w:rsid w:val="001B0E62"/>
    <w:rsid w:val="001B192E"/>
    <w:rsid w:val="001B2633"/>
    <w:rsid w:val="001B2ACD"/>
    <w:rsid w:val="001B3649"/>
    <w:rsid w:val="001B37E0"/>
    <w:rsid w:val="001B4AA3"/>
    <w:rsid w:val="001B5213"/>
    <w:rsid w:val="001B599A"/>
    <w:rsid w:val="001B60C5"/>
    <w:rsid w:val="001B7282"/>
    <w:rsid w:val="001B75A2"/>
    <w:rsid w:val="001B75B6"/>
    <w:rsid w:val="001B75CA"/>
    <w:rsid w:val="001B786E"/>
    <w:rsid w:val="001B7CCA"/>
    <w:rsid w:val="001C1507"/>
    <w:rsid w:val="001C1CEB"/>
    <w:rsid w:val="001C2EB0"/>
    <w:rsid w:val="001C49B6"/>
    <w:rsid w:val="001C4BAB"/>
    <w:rsid w:val="001C57DD"/>
    <w:rsid w:val="001C64D5"/>
    <w:rsid w:val="001C689E"/>
    <w:rsid w:val="001D0CFD"/>
    <w:rsid w:val="001D136F"/>
    <w:rsid w:val="001D1EF9"/>
    <w:rsid w:val="001D2826"/>
    <w:rsid w:val="001D387E"/>
    <w:rsid w:val="001D58AC"/>
    <w:rsid w:val="001D5B3B"/>
    <w:rsid w:val="001D5F76"/>
    <w:rsid w:val="001D64E9"/>
    <w:rsid w:val="001D6E54"/>
    <w:rsid w:val="001D7927"/>
    <w:rsid w:val="001D7AB1"/>
    <w:rsid w:val="001E0159"/>
    <w:rsid w:val="001E1031"/>
    <w:rsid w:val="001E1446"/>
    <w:rsid w:val="001E3003"/>
    <w:rsid w:val="001E34C1"/>
    <w:rsid w:val="001E45B0"/>
    <w:rsid w:val="001E515F"/>
    <w:rsid w:val="001E51A0"/>
    <w:rsid w:val="001E51B4"/>
    <w:rsid w:val="001E5C15"/>
    <w:rsid w:val="001E744B"/>
    <w:rsid w:val="001E76C6"/>
    <w:rsid w:val="001E7C30"/>
    <w:rsid w:val="001E7D7E"/>
    <w:rsid w:val="001F01BE"/>
    <w:rsid w:val="001F01EE"/>
    <w:rsid w:val="001F136B"/>
    <w:rsid w:val="001F198A"/>
    <w:rsid w:val="001F1F96"/>
    <w:rsid w:val="001F2CD2"/>
    <w:rsid w:val="001F4891"/>
    <w:rsid w:val="001F5732"/>
    <w:rsid w:val="00200E10"/>
    <w:rsid w:val="002016C3"/>
    <w:rsid w:val="00201A1E"/>
    <w:rsid w:val="002022FC"/>
    <w:rsid w:val="002030B1"/>
    <w:rsid w:val="0020360A"/>
    <w:rsid w:val="00203706"/>
    <w:rsid w:val="00203C49"/>
    <w:rsid w:val="00203F3C"/>
    <w:rsid w:val="002041E2"/>
    <w:rsid w:val="00204698"/>
    <w:rsid w:val="002047D9"/>
    <w:rsid w:val="00204B15"/>
    <w:rsid w:val="00204E9F"/>
    <w:rsid w:val="00205878"/>
    <w:rsid w:val="002079FB"/>
    <w:rsid w:val="00210B9C"/>
    <w:rsid w:val="00211020"/>
    <w:rsid w:val="00211759"/>
    <w:rsid w:val="00211BB0"/>
    <w:rsid w:val="00212981"/>
    <w:rsid w:val="00212D33"/>
    <w:rsid w:val="00212EB9"/>
    <w:rsid w:val="0021301A"/>
    <w:rsid w:val="00213F27"/>
    <w:rsid w:val="0021418A"/>
    <w:rsid w:val="00215A16"/>
    <w:rsid w:val="00216099"/>
    <w:rsid w:val="002163EC"/>
    <w:rsid w:val="00216FF5"/>
    <w:rsid w:val="00217833"/>
    <w:rsid w:val="00220226"/>
    <w:rsid w:val="00220B62"/>
    <w:rsid w:val="002220AD"/>
    <w:rsid w:val="00222A5B"/>
    <w:rsid w:val="002230E5"/>
    <w:rsid w:val="002241E6"/>
    <w:rsid w:val="002245E1"/>
    <w:rsid w:val="00225B2D"/>
    <w:rsid w:val="00225E3D"/>
    <w:rsid w:val="0022629A"/>
    <w:rsid w:val="002267BC"/>
    <w:rsid w:val="00226E23"/>
    <w:rsid w:val="002271B6"/>
    <w:rsid w:val="00230045"/>
    <w:rsid w:val="00230C7E"/>
    <w:rsid w:val="00231265"/>
    <w:rsid w:val="0023163C"/>
    <w:rsid w:val="00232291"/>
    <w:rsid w:val="00233924"/>
    <w:rsid w:val="00233CC6"/>
    <w:rsid w:val="00234530"/>
    <w:rsid w:val="0023467C"/>
    <w:rsid w:val="002352FA"/>
    <w:rsid w:val="002355C7"/>
    <w:rsid w:val="00236E95"/>
    <w:rsid w:val="00237030"/>
    <w:rsid w:val="002376A4"/>
    <w:rsid w:val="0023776A"/>
    <w:rsid w:val="002377A2"/>
    <w:rsid w:val="00237E83"/>
    <w:rsid w:val="00240344"/>
    <w:rsid w:val="00241771"/>
    <w:rsid w:val="00241A5E"/>
    <w:rsid w:val="00241C65"/>
    <w:rsid w:val="00242405"/>
    <w:rsid w:val="00242610"/>
    <w:rsid w:val="002438F2"/>
    <w:rsid w:val="00244082"/>
    <w:rsid w:val="002442A9"/>
    <w:rsid w:val="002443E4"/>
    <w:rsid w:val="002448AF"/>
    <w:rsid w:val="00245E7E"/>
    <w:rsid w:val="00246761"/>
    <w:rsid w:val="0024680C"/>
    <w:rsid w:val="00246A1C"/>
    <w:rsid w:val="00246CC2"/>
    <w:rsid w:val="00247B27"/>
    <w:rsid w:val="00247C0B"/>
    <w:rsid w:val="00251475"/>
    <w:rsid w:val="0025163B"/>
    <w:rsid w:val="00252E79"/>
    <w:rsid w:val="00253A0F"/>
    <w:rsid w:val="002541E9"/>
    <w:rsid w:val="00254712"/>
    <w:rsid w:val="00256123"/>
    <w:rsid w:val="00256275"/>
    <w:rsid w:val="002569ED"/>
    <w:rsid w:val="00257074"/>
    <w:rsid w:val="002610C1"/>
    <w:rsid w:val="0026113D"/>
    <w:rsid w:val="002617C6"/>
    <w:rsid w:val="00262A4B"/>
    <w:rsid w:val="0026360B"/>
    <w:rsid w:val="00263E0A"/>
    <w:rsid w:val="00263EFF"/>
    <w:rsid w:val="00264EE1"/>
    <w:rsid w:val="00265ACB"/>
    <w:rsid w:val="00265B90"/>
    <w:rsid w:val="00266285"/>
    <w:rsid w:val="00266642"/>
    <w:rsid w:val="002678D0"/>
    <w:rsid w:val="002679C6"/>
    <w:rsid w:val="00267F58"/>
    <w:rsid w:val="00270613"/>
    <w:rsid w:val="00270F86"/>
    <w:rsid w:val="00271296"/>
    <w:rsid w:val="00271DC1"/>
    <w:rsid w:val="0027297B"/>
    <w:rsid w:val="00273A62"/>
    <w:rsid w:val="00274559"/>
    <w:rsid w:val="0027489B"/>
    <w:rsid w:val="0027539C"/>
    <w:rsid w:val="00276C18"/>
    <w:rsid w:val="002770F1"/>
    <w:rsid w:val="00280CF3"/>
    <w:rsid w:val="00282136"/>
    <w:rsid w:val="002837A0"/>
    <w:rsid w:val="00283A20"/>
    <w:rsid w:val="00283B31"/>
    <w:rsid w:val="00283F6F"/>
    <w:rsid w:val="00285584"/>
    <w:rsid w:val="0028581E"/>
    <w:rsid w:val="002867F0"/>
    <w:rsid w:val="002869C7"/>
    <w:rsid w:val="00286F08"/>
    <w:rsid w:val="00287966"/>
    <w:rsid w:val="0029058B"/>
    <w:rsid w:val="00291FCF"/>
    <w:rsid w:val="00292DB2"/>
    <w:rsid w:val="00292FB4"/>
    <w:rsid w:val="002943E7"/>
    <w:rsid w:val="002943ED"/>
    <w:rsid w:val="0029480B"/>
    <w:rsid w:val="0029497F"/>
    <w:rsid w:val="002949E2"/>
    <w:rsid w:val="00295116"/>
    <w:rsid w:val="0029644C"/>
    <w:rsid w:val="00296D1F"/>
    <w:rsid w:val="002A07D0"/>
    <w:rsid w:val="002A15E6"/>
    <w:rsid w:val="002A1CBF"/>
    <w:rsid w:val="002A2605"/>
    <w:rsid w:val="002A3083"/>
    <w:rsid w:val="002A3308"/>
    <w:rsid w:val="002A33C5"/>
    <w:rsid w:val="002A38AB"/>
    <w:rsid w:val="002A3F01"/>
    <w:rsid w:val="002A483D"/>
    <w:rsid w:val="002A49BC"/>
    <w:rsid w:val="002A4A7E"/>
    <w:rsid w:val="002A6534"/>
    <w:rsid w:val="002A68D5"/>
    <w:rsid w:val="002A6E2D"/>
    <w:rsid w:val="002A6EC6"/>
    <w:rsid w:val="002A7197"/>
    <w:rsid w:val="002A7ED2"/>
    <w:rsid w:val="002B0A65"/>
    <w:rsid w:val="002B0EE8"/>
    <w:rsid w:val="002B1384"/>
    <w:rsid w:val="002B1DE1"/>
    <w:rsid w:val="002B246B"/>
    <w:rsid w:val="002B25E1"/>
    <w:rsid w:val="002B368A"/>
    <w:rsid w:val="002B41FA"/>
    <w:rsid w:val="002B44AD"/>
    <w:rsid w:val="002B4BDA"/>
    <w:rsid w:val="002B4F1A"/>
    <w:rsid w:val="002B5335"/>
    <w:rsid w:val="002B6675"/>
    <w:rsid w:val="002C00A3"/>
    <w:rsid w:val="002C0B82"/>
    <w:rsid w:val="002C0E1A"/>
    <w:rsid w:val="002C1993"/>
    <w:rsid w:val="002C1B9D"/>
    <w:rsid w:val="002C20E9"/>
    <w:rsid w:val="002C21F6"/>
    <w:rsid w:val="002C31E5"/>
    <w:rsid w:val="002C35B3"/>
    <w:rsid w:val="002C3AF7"/>
    <w:rsid w:val="002C7420"/>
    <w:rsid w:val="002C7AF3"/>
    <w:rsid w:val="002D0950"/>
    <w:rsid w:val="002D096F"/>
    <w:rsid w:val="002D0A71"/>
    <w:rsid w:val="002D0B1F"/>
    <w:rsid w:val="002D1239"/>
    <w:rsid w:val="002D16DF"/>
    <w:rsid w:val="002D285E"/>
    <w:rsid w:val="002D2F86"/>
    <w:rsid w:val="002D3996"/>
    <w:rsid w:val="002D51CB"/>
    <w:rsid w:val="002D6203"/>
    <w:rsid w:val="002D65CE"/>
    <w:rsid w:val="002D680C"/>
    <w:rsid w:val="002D6B9C"/>
    <w:rsid w:val="002D769F"/>
    <w:rsid w:val="002E0120"/>
    <w:rsid w:val="002E14A3"/>
    <w:rsid w:val="002E1BEB"/>
    <w:rsid w:val="002E2228"/>
    <w:rsid w:val="002E296F"/>
    <w:rsid w:val="002E2E1B"/>
    <w:rsid w:val="002E31A7"/>
    <w:rsid w:val="002E3BC2"/>
    <w:rsid w:val="002E4905"/>
    <w:rsid w:val="002E6B7A"/>
    <w:rsid w:val="002E77AE"/>
    <w:rsid w:val="002E7E80"/>
    <w:rsid w:val="002F0608"/>
    <w:rsid w:val="002F1C20"/>
    <w:rsid w:val="002F3802"/>
    <w:rsid w:val="002F425C"/>
    <w:rsid w:val="002F53E3"/>
    <w:rsid w:val="002F5732"/>
    <w:rsid w:val="002F57A3"/>
    <w:rsid w:val="002F61EE"/>
    <w:rsid w:val="002F624F"/>
    <w:rsid w:val="002F627A"/>
    <w:rsid w:val="002F73AA"/>
    <w:rsid w:val="003001B9"/>
    <w:rsid w:val="00300EFD"/>
    <w:rsid w:val="003011E8"/>
    <w:rsid w:val="003013A3"/>
    <w:rsid w:val="003017BC"/>
    <w:rsid w:val="00302C5F"/>
    <w:rsid w:val="00302CAE"/>
    <w:rsid w:val="003031E3"/>
    <w:rsid w:val="00303751"/>
    <w:rsid w:val="00303D03"/>
    <w:rsid w:val="00303E04"/>
    <w:rsid w:val="003051BB"/>
    <w:rsid w:val="00305401"/>
    <w:rsid w:val="00305545"/>
    <w:rsid w:val="0030555F"/>
    <w:rsid w:val="00305BB6"/>
    <w:rsid w:val="00305C21"/>
    <w:rsid w:val="00306A88"/>
    <w:rsid w:val="003075AE"/>
    <w:rsid w:val="003077E5"/>
    <w:rsid w:val="00307DC0"/>
    <w:rsid w:val="00310250"/>
    <w:rsid w:val="00310822"/>
    <w:rsid w:val="00310D76"/>
    <w:rsid w:val="003121C7"/>
    <w:rsid w:val="00312781"/>
    <w:rsid w:val="00313337"/>
    <w:rsid w:val="00314155"/>
    <w:rsid w:val="00314367"/>
    <w:rsid w:val="00314974"/>
    <w:rsid w:val="00314A64"/>
    <w:rsid w:val="00314E0E"/>
    <w:rsid w:val="00316236"/>
    <w:rsid w:val="00316327"/>
    <w:rsid w:val="00320B4C"/>
    <w:rsid w:val="00321640"/>
    <w:rsid w:val="00321D61"/>
    <w:rsid w:val="003221D7"/>
    <w:rsid w:val="0032312C"/>
    <w:rsid w:val="0032396B"/>
    <w:rsid w:val="003242C6"/>
    <w:rsid w:val="00324788"/>
    <w:rsid w:val="003262A3"/>
    <w:rsid w:val="0033069B"/>
    <w:rsid w:val="003321B2"/>
    <w:rsid w:val="003331B7"/>
    <w:rsid w:val="003339E1"/>
    <w:rsid w:val="00334418"/>
    <w:rsid w:val="003348C2"/>
    <w:rsid w:val="0033496B"/>
    <w:rsid w:val="00335698"/>
    <w:rsid w:val="00337375"/>
    <w:rsid w:val="003379AA"/>
    <w:rsid w:val="00337DFE"/>
    <w:rsid w:val="003423AC"/>
    <w:rsid w:val="00343116"/>
    <w:rsid w:val="00343624"/>
    <w:rsid w:val="00343DCB"/>
    <w:rsid w:val="00343DF8"/>
    <w:rsid w:val="00343F7B"/>
    <w:rsid w:val="003440C1"/>
    <w:rsid w:val="00344696"/>
    <w:rsid w:val="00345DC6"/>
    <w:rsid w:val="0034650B"/>
    <w:rsid w:val="00347027"/>
    <w:rsid w:val="003471A3"/>
    <w:rsid w:val="003472DD"/>
    <w:rsid w:val="00347439"/>
    <w:rsid w:val="003503E5"/>
    <w:rsid w:val="003524A2"/>
    <w:rsid w:val="00353237"/>
    <w:rsid w:val="00353B6E"/>
    <w:rsid w:val="00354E05"/>
    <w:rsid w:val="0035585B"/>
    <w:rsid w:val="00355DCD"/>
    <w:rsid w:val="00357D6F"/>
    <w:rsid w:val="003601A8"/>
    <w:rsid w:val="003601D3"/>
    <w:rsid w:val="00360A0D"/>
    <w:rsid w:val="003634D0"/>
    <w:rsid w:val="00363EA7"/>
    <w:rsid w:val="0036487A"/>
    <w:rsid w:val="003652B0"/>
    <w:rsid w:val="003664BC"/>
    <w:rsid w:val="00366635"/>
    <w:rsid w:val="003668D5"/>
    <w:rsid w:val="003679E2"/>
    <w:rsid w:val="0037169B"/>
    <w:rsid w:val="003719FE"/>
    <w:rsid w:val="00372333"/>
    <w:rsid w:val="00372FC8"/>
    <w:rsid w:val="0037307E"/>
    <w:rsid w:val="003734F7"/>
    <w:rsid w:val="00373E85"/>
    <w:rsid w:val="0037460E"/>
    <w:rsid w:val="0037533C"/>
    <w:rsid w:val="00375A10"/>
    <w:rsid w:val="003776DD"/>
    <w:rsid w:val="00377766"/>
    <w:rsid w:val="00377B51"/>
    <w:rsid w:val="00380C16"/>
    <w:rsid w:val="0038187D"/>
    <w:rsid w:val="00381B04"/>
    <w:rsid w:val="00382D98"/>
    <w:rsid w:val="0038319D"/>
    <w:rsid w:val="00383A2E"/>
    <w:rsid w:val="0038500E"/>
    <w:rsid w:val="003850C3"/>
    <w:rsid w:val="003858B2"/>
    <w:rsid w:val="00385E68"/>
    <w:rsid w:val="003873EE"/>
    <w:rsid w:val="00387CAF"/>
    <w:rsid w:val="00390523"/>
    <w:rsid w:val="003905B1"/>
    <w:rsid w:val="00390629"/>
    <w:rsid w:val="00392DF8"/>
    <w:rsid w:val="00393551"/>
    <w:rsid w:val="00394EEE"/>
    <w:rsid w:val="0039608D"/>
    <w:rsid w:val="003966F1"/>
    <w:rsid w:val="00397545"/>
    <w:rsid w:val="003A00CC"/>
    <w:rsid w:val="003A122A"/>
    <w:rsid w:val="003A257C"/>
    <w:rsid w:val="003A29DE"/>
    <w:rsid w:val="003A36DD"/>
    <w:rsid w:val="003A3B1F"/>
    <w:rsid w:val="003A3DC0"/>
    <w:rsid w:val="003A3FA6"/>
    <w:rsid w:val="003A401E"/>
    <w:rsid w:val="003A41CB"/>
    <w:rsid w:val="003A4583"/>
    <w:rsid w:val="003A575D"/>
    <w:rsid w:val="003B059B"/>
    <w:rsid w:val="003B2137"/>
    <w:rsid w:val="003B28A4"/>
    <w:rsid w:val="003B2E1D"/>
    <w:rsid w:val="003B2F0B"/>
    <w:rsid w:val="003B40F8"/>
    <w:rsid w:val="003B4D58"/>
    <w:rsid w:val="003B4F2F"/>
    <w:rsid w:val="003B52FF"/>
    <w:rsid w:val="003B594F"/>
    <w:rsid w:val="003B5996"/>
    <w:rsid w:val="003B5D5A"/>
    <w:rsid w:val="003B5E68"/>
    <w:rsid w:val="003B6B54"/>
    <w:rsid w:val="003B75B4"/>
    <w:rsid w:val="003B7BAD"/>
    <w:rsid w:val="003C0149"/>
    <w:rsid w:val="003C16CF"/>
    <w:rsid w:val="003C1818"/>
    <w:rsid w:val="003C34A8"/>
    <w:rsid w:val="003C4A1F"/>
    <w:rsid w:val="003C5CDB"/>
    <w:rsid w:val="003C634F"/>
    <w:rsid w:val="003C69F6"/>
    <w:rsid w:val="003C6A73"/>
    <w:rsid w:val="003C6D3D"/>
    <w:rsid w:val="003C7C7D"/>
    <w:rsid w:val="003D0DEC"/>
    <w:rsid w:val="003D0E72"/>
    <w:rsid w:val="003D0F8D"/>
    <w:rsid w:val="003D1006"/>
    <w:rsid w:val="003D10DA"/>
    <w:rsid w:val="003D2DDD"/>
    <w:rsid w:val="003D379F"/>
    <w:rsid w:val="003D4DE1"/>
    <w:rsid w:val="003D5372"/>
    <w:rsid w:val="003D5781"/>
    <w:rsid w:val="003D678A"/>
    <w:rsid w:val="003D6DC9"/>
    <w:rsid w:val="003D7C13"/>
    <w:rsid w:val="003D7EC9"/>
    <w:rsid w:val="003E140E"/>
    <w:rsid w:val="003E1B74"/>
    <w:rsid w:val="003E27A7"/>
    <w:rsid w:val="003E2E42"/>
    <w:rsid w:val="003E3683"/>
    <w:rsid w:val="003E3BB7"/>
    <w:rsid w:val="003E3C76"/>
    <w:rsid w:val="003E4013"/>
    <w:rsid w:val="003E49EC"/>
    <w:rsid w:val="003E4E1C"/>
    <w:rsid w:val="003E5959"/>
    <w:rsid w:val="003E5A0F"/>
    <w:rsid w:val="003E5CFE"/>
    <w:rsid w:val="003E6750"/>
    <w:rsid w:val="003E7262"/>
    <w:rsid w:val="003E7F46"/>
    <w:rsid w:val="003F16C3"/>
    <w:rsid w:val="003F1AB3"/>
    <w:rsid w:val="003F2199"/>
    <w:rsid w:val="003F2936"/>
    <w:rsid w:val="003F4567"/>
    <w:rsid w:val="003F643E"/>
    <w:rsid w:val="003F6F42"/>
    <w:rsid w:val="003F7921"/>
    <w:rsid w:val="004007DF"/>
    <w:rsid w:val="004021B7"/>
    <w:rsid w:val="004041D5"/>
    <w:rsid w:val="0040467A"/>
    <w:rsid w:val="0040508C"/>
    <w:rsid w:val="004050AA"/>
    <w:rsid w:val="004054F0"/>
    <w:rsid w:val="0040596F"/>
    <w:rsid w:val="00405A85"/>
    <w:rsid w:val="00405BE1"/>
    <w:rsid w:val="00406826"/>
    <w:rsid w:val="00406FFF"/>
    <w:rsid w:val="00407704"/>
    <w:rsid w:val="00407840"/>
    <w:rsid w:val="00407DA3"/>
    <w:rsid w:val="00410E0B"/>
    <w:rsid w:val="00411C7E"/>
    <w:rsid w:val="00413A53"/>
    <w:rsid w:val="00414985"/>
    <w:rsid w:val="0041550C"/>
    <w:rsid w:val="00415C18"/>
    <w:rsid w:val="004166A7"/>
    <w:rsid w:val="0041676A"/>
    <w:rsid w:val="0041707F"/>
    <w:rsid w:val="00417367"/>
    <w:rsid w:val="0041792A"/>
    <w:rsid w:val="00417A62"/>
    <w:rsid w:val="00417C3F"/>
    <w:rsid w:val="00420250"/>
    <w:rsid w:val="0042080C"/>
    <w:rsid w:val="0042080F"/>
    <w:rsid w:val="004223E1"/>
    <w:rsid w:val="00422692"/>
    <w:rsid w:val="00424FDD"/>
    <w:rsid w:val="0042597F"/>
    <w:rsid w:val="00425B6F"/>
    <w:rsid w:val="00425BA4"/>
    <w:rsid w:val="004277AB"/>
    <w:rsid w:val="00430A34"/>
    <w:rsid w:val="00430EC2"/>
    <w:rsid w:val="0043110A"/>
    <w:rsid w:val="004315CA"/>
    <w:rsid w:val="004320BB"/>
    <w:rsid w:val="00432443"/>
    <w:rsid w:val="00432517"/>
    <w:rsid w:val="004325A8"/>
    <w:rsid w:val="00433403"/>
    <w:rsid w:val="00434B0F"/>
    <w:rsid w:val="0043541D"/>
    <w:rsid w:val="00436BE7"/>
    <w:rsid w:val="004371C2"/>
    <w:rsid w:val="00437B62"/>
    <w:rsid w:val="004408F5"/>
    <w:rsid w:val="00440CB3"/>
    <w:rsid w:val="0044105C"/>
    <w:rsid w:val="00442429"/>
    <w:rsid w:val="00442452"/>
    <w:rsid w:val="00442A6E"/>
    <w:rsid w:val="00442CC5"/>
    <w:rsid w:val="00442DCA"/>
    <w:rsid w:val="004440D8"/>
    <w:rsid w:val="00445698"/>
    <w:rsid w:val="004457CA"/>
    <w:rsid w:val="00446F97"/>
    <w:rsid w:val="00451CEB"/>
    <w:rsid w:val="00452116"/>
    <w:rsid w:val="00452332"/>
    <w:rsid w:val="004527C7"/>
    <w:rsid w:val="00453A08"/>
    <w:rsid w:val="00453EE3"/>
    <w:rsid w:val="004545E8"/>
    <w:rsid w:val="004549E1"/>
    <w:rsid w:val="004550B7"/>
    <w:rsid w:val="00455D4E"/>
    <w:rsid w:val="0045648F"/>
    <w:rsid w:val="00457018"/>
    <w:rsid w:val="004571C5"/>
    <w:rsid w:val="004604DF"/>
    <w:rsid w:val="00460679"/>
    <w:rsid w:val="004618D5"/>
    <w:rsid w:val="00461B45"/>
    <w:rsid w:val="00461D12"/>
    <w:rsid w:val="00461F49"/>
    <w:rsid w:val="00462427"/>
    <w:rsid w:val="00463558"/>
    <w:rsid w:val="00464CFE"/>
    <w:rsid w:val="00464F56"/>
    <w:rsid w:val="00465D3E"/>
    <w:rsid w:val="00467333"/>
    <w:rsid w:val="004675F7"/>
    <w:rsid w:val="00470458"/>
    <w:rsid w:val="0047077C"/>
    <w:rsid w:val="00474638"/>
    <w:rsid w:val="00475897"/>
    <w:rsid w:val="00476066"/>
    <w:rsid w:val="0047608F"/>
    <w:rsid w:val="00476243"/>
    <w:rsid w:val="00476C02"/>
    <w:rsid w:val="0048007E"/>
    <w:rsid w:val="0048078D"/>
    <w:rsid w:val="00481A13"/>
    <w:rsid w:val="004825E8"/>
    <w:rsid w:val="00482D33"/>
    <w:rsid w:val="00483044"/>
    <w:rsid w:val="00483640"/>
    <w:rsid w:val="004838CE"/>
    <w:rsid w:val="00484454"/>
    <w:rsid w:val="004846F2"/>
    <w:rsid w:val="00484C34"/>
    <w:rsid w:val="00485638"/>
    <w:rsid w:val="00485D25"/>
    <w:rsid w:val="00485E5B"/>
    <w:rsid w:val="00486BC2"/>
    <w:rsid w:val="00487A4F"/>
    <w:rsid w:val="0049038C"/>
    <w:rsid w:val="00490B9B"/>
    <w:rsid w:val="004923D9"/>
    <w:rsid w:val="0049253E"/>
    <w:rsid w:val="00492997"/>
    <w:rsid w:val="00494106"/>
    <w:rsid w:val="004947F2"/>
    <w:rsid w:val="00494C8E"/>
    <w:rsid w:val="004961A4"/>
    <w:rsid w:val="00496AA3"/>
    <w:rsid w:val="004A043E"/>
    <w:rsid w:val="004A08BE"/>
    <w:rsid w:val="004A10B7"/>
    <w:rsid w:val="004A11A2"/>
    <w:rsid w:val="004A11EA"/>
    <w:rsid w:val="004A1B6A"/>
    <w:rsid w:val="004A1D38"/>
    <w:rsid w:val="004A2432"/>
    <w:rsid w:val="004A4EF0"/>
    <w:rsid w:val="004A6DB9"/>
    <w:rsid w:val="004B0170"/>
    <w:rsid w:val="004B0524"/>
    <w:rsid w:val="004B0A98"/>
    <w:rsid w:val="004B21EF"/>
    <w:rsid w:val="004B222A"/>
    <w:rsid w:val="004B292B"/>
    <w:rsid w:val="004B2C42"/>
    <w:rsid w:val="004B3729"/>
    <w:rsid w:val="004B42E9"/>
    <w:rsid w:val="004B5405"/>
    <w:rsid w:val="004B5443"/>
    <w:rsid w:val="004B6B7A"/>
    <w:rsid w:val="004B7108"/>
    <w:rsid w:val="004C0975"/>
    <w:rsid w:val="004C0C19"/>
    <w:rsid w:val="004C1D82"/>
    <w:rsid w:val="004C32FD"/>
    <w:rsid w:val="004C40F6"/>
    <w:rsid w:val="004C4527"/>
    <w:rsid w:val="004C4F90"/>
    <w:rsid w:val="004C564B"/>
    <w:rsid w:val="004C5E45"/>
    <w:rsid w:val="004C624A"/>
    <w:rsid w:val="004C6358"/>
    <w:rsid w:val="004C6AC9"/>
    <w:rsid w:val="004C799E"/>
    <w:rsid w:val="004C7DD9"/>
    <w:rsid w:val="004C7F91"/>
    <w:rsid w:val="004D0465"/>
    <w:rsid w:val="004D0CB0"/>
    <w:rsid w:val="004D10AF"/>
    <w:rsid w:val="004D15DA"/>
    <w:rsid w:val="004D16D4"/>
    <w:rsid w:val="004D475B"/>
    <w:rsid w:val="004D5707"/>
    <w:rsid w:val="004D631D"/>
    <w:rsid w:val="004D6503"/>
    <w:rsid w:val="004D657D"/>
    <w:rsid w:val="004D6953"/>
    <w:rsid w:val="004E0870"/>
    <w:rsid w:val="004E14DB"/>
    <w:rsid w:val="004E2AF5"/>
    <w:rsid w:val="004E38C4"/>
    <w:rsid w:val="004E6119"/>
    <w:rsid w:val="004E61D0"/>
    <w:rsid w:val="004E66A6"/>
    <w:rsid w:val="004E7BD9"/>
    <w:rsid w:val="004F044C"/>
    <w:rsid w:val="004F2137"/>
    <w:rsid w:val="004F2A5B"/>
    <w:rsid w:val="004F3DDC"/>
    <w:rsid w:val="004F4C2D"/>
    <w:rsid w:val="004F545A"/>
    <w:rsid w:val="004F54E5"/>
    <w:rsid w:val="004F5C8E"/>
    <w:rsid w:val="004F5F69"/>
    <w:rsid w:val="0050023A"/>
    <w:rsid w:val="005008A7"/>
    <w:rsid w:val="00501762"/>
    <w:rsid w:val="00501933"/>
    <w:rsid w:val="005028DA"/>
    <w:rsid w:val="00503574"/>
    <w:rsid w:val="00504E44"/>
    <w:rsid w:val="0050642E"/>
    <w:rsid w:val="00506789"/>
    <w:rsid w:val="00507020"/>
    <w:rsid w:val="00507853"/>
    <w:rsid w:val="00507A0D"/>
    <w:rsid w:val="00507C92"/>
    <w:rsid w:val="00510A30"/>
    <w:rsid w:val="005117A7"/>
    <w:rsid w:val="005122F7"/>
    <w:rsid w:val="005128D7"/>
    <w:rsid w:val="00512E76"/>
    <w:rsid w:val="00513237"/>
    <w:rsid w:val="0051396C"/>
    <w:rsid w:val="005142F2"/>
    <w:rsid w:val="00514BD0"/>
    <w:rsid w:val="005158CE"/>
    <w:rsid w:val="00515BF4"/>
    <w:rsid w:val="00516C63"/>
    <w:rsid w:val="00516E71"/>
    <w:rsid w:val="005171AE"/>
    <w:rsid w:val="00520D20"/>
    <w:rsid w:val="00520FD9"/>
    <w:rsid w:val="0052184E"/>
    <w:rsid w:val="00522A04"/>
    <w:rsid w:val="00522B16"/>
    <w:rsid w:val="00522C36"/>
    <w:rsid w:val="00522DB4"/>
    <w:rsid w:val="005239EA"/>
    <w:rsid w:val="00523D01"/>
    <w:rsid w:val="005241AA"/>
    <w:rsid w:val="00524A95"/>
    <w:rsid w:val="00525F3B"/>
    <w:rsid w:val="005268B9"/>
    <w:rsid w:val="005276D8"/>
    <w:rsid w:val="00527BA8"/>
    <w:rsid w:val="00527F4A"/>
    <w:rsid w:val="00530E2A"/>
    <w:rsid w:val="00531179"/>
    <w:rsid w:val="00531E03"/>
    <w:rsid w:val="005329EA"/>
    <w:rsid w:val="005341C6"/>
    <w:rsid w:val="00534635"/>
    <w:rsid w:val="00534B9F"/>
    <w:rsid w:val="00535144"/>
    <w:rsid w:val="005358CA"/>
    <w:rsid w:val="005363A8"/>
    <w:rsid w:val="00536F46"/>
    <w:rsid w:val="00537073"/>
    <w:rsid w:val="00537997"/>
    <w:rsid w:val="00540374"/>
    <w:rsid w:val="00540FE8"/>
    <w:rsid w:val="00541278"/>
    <w:rsid w:val="0054142A"/>
    <w:rsid w:val="00541E4D"/>
    <w:rsid w:val="00541F56"/>
    <w:rsid w:val="00542694"/>
    <w:rsid w:val="00543A70"/>
    <w:rsid w:val="00543BC4"/>
    <w:rsid w:val="00544231"/>
    <w:rsid w:val="0054484E"/>
    <w:rsid w:val="00544BA2"/>
    <w:rsid w:val="005471B9"/>
    <w:rsid w:val="0055030A"/>
    <w:rsid w:val="00550503"/>
    <w:rsid w:val="00550545"/>
    <w:rsid w:val="00550FE3"/>
    <w:rsid w:val="005511E2"/>
    <w:rsid w:val="00551828"/>
    <w:rsid w:val="00552E50"/>
    <w:rsid w:val="00553028"/>
    <w:rsid w:val="00553888"/>
    <w:rsid w:val="00554270"/>
    <w:rsid w:val="00554C3F"/>
    <w:rsid w:val="00555A18"/>
    <w:rsid w:val="00556DBC"/>
    <w:rsid w:val="00557EE9"/>
    <w:rsid w:val="00560503"/>
    <w:rsid w:val="0056087F"/>
    <w:rsid w:val="00560F02"/>
    <w:rsid w:val="00561420"/>
    <w:rsid w:val="0056154D"/>
    <w:rsid w:val="00561939"/>
    <w:rsid w:val="00562869"/>
    <w:rsid w:val="00563CDF"/>
    <w:rsid w:val="0056425B"/>
    <w:rsid w:val="005647E1"/>
    <w:rsid w:val="005648C6"/>
    <w:rsid w:val="00565585"/>
    <w:rsid w:val="005659FA"/>
    <w:rsid w:val="0056630B"/>
    <w:rsid w:val="00567EB1"/>
    <w:rsid w:val="00567F1D"/>
    <w:rsid w:val="005706CC"/>
    <w:rsid w:val="00570B2C"/>
    <w:rsid w:val="00570E40"/>
    <w:rsid w:val="005711CA"/>
    <w:rsid w:val="005716EE"/>
    <w:rsid w:val="00571AEA"/>
    <w:rsid w:val="00572096"/>
    <w:rsid w:val="00572B26"/>
    <w:rsid w:val="005730B0"/>
    <w:rsid w:val="00573191"/>
    <w:rsid w:val="005746FD"/>
    <w:rsid w:val="00575065"/>
    <w:rsid w:val="0057617E"/>
    <w:rsid w:val="005761D0"/>
    <w:rsid w:val="005768C9"/>
    <w:rsid w:val="00576FB0"/>
    <w:rsid w:val="00577626"/>
    <w:rsid w:val="0058042A"/>
    <w:rsid w:val="005813F6"/>
    <w:rsid w:val="00581573"/>
    <w:rsid w:val="005819E3"/>
    <w:rsid w:val="00581BBB"/>
    <w:rsid w:val="00582213"/>
    <w:rsid w:val="005827F6"/>
    <w:rsid w:val="00582BE6"/>
    <w:rsid w:val="00582FE7"/>
    <w:rsid w:val="00583C06"/>
    <w:rsid w:val="005850C4"/>
    <w:rsid w:val="005851B7"/>
    <w:rsid w:val="005854F9"/>
    <w:rsid w:val="00585D1B"/>
    <w:rsid w:val="00586554"/>
    <w:rsid w:val="005874C0"/>
    <w:rsid w:val="005927D3"/>
    <w:rsid w:val="005931D0"/>
    <w:rsid w:val="005934F1"/>
    <w:rsid w:val="00593B3F"/>
    <w:rsid w:val="0059434A"/>
    <w:rsid w:val="005943A0"/>
    <w:rsid w:val="00595AE7"/>
    <w:rsid w:val="005963DC"/>
    <w:rsid w:val="005963F7"/>
    <w:rsid w:val="0059644D"/>
    <w:rsid w:val="00596E99"/>
    <w:rsid w:val="00596F4E"/>
    <w:rsid w:val="0059796D"/>
    <w:rsid w:val="00597F67"/>
    <w:rsid w:val="005A0AA5"/>
    <w:rsid w:val="005A15DB"/>
    <w:rsid w:val="005A1C42"/>
    <w:rsid w:val="005A20D9"/>
    <w:rsid w:val="005A24C3"/>
    <w:rsid w:val="005A29C9"/>
    <w:rsid w:val="005A2E26"/>
    <w:rsid w:val="005A323B"/>
    <w:rsid w:val="005A32A5"/>
    <w:rsid w:val="005A3986"/>
    <w:rsid w:val="005A3AD2"/>
    <w:rsid w:val="005A3E51"/>
    <w:rsid w:val="005A46D8"/>
    <w:rsid w:val="005A485F"/>
    <w:rsid w:val="005A502D"/>
    <w:rsid w:val="005A54D4"/>
    <w:rsid w:val="005A5692"/>
    <w:rsid w:val="005A5D82"/>
    <w:rsid w:val="005A609C"/>
    <w:rsid w:val="005A6EF8"/>
    <w:rsid w:val="005B05C5"/>
    <w:rsid w:val="005B08AE"/>
    <w:rsid w:val="005B0936"/>
    <w:rsid w:val="005B1A22"/>
    <w:rsid w:val="005B2038"/>
    <w:rsid w:val="005B2403"/>
    <w:rsid w:val="005B2C70"/>
    <w:rsid w:val="005B3E8C"/>
    <w:rsid w:val="005B3F93"/>
    <w:rsid w:val="005B419C"/>
    <w:rsid w:val="005B45C6"/>
    <w:rsid w:val="005B59C4"/>
    <w:rsid w:val="005B6657"/>
    <w:rsid w:val="005B6DA2"/>
    <w:rsid w:val="005B70B8"/>
    <w:rsid w:val="005B77FD"/>
    <w:rsid w:val="005B7845"/>
    <w:rsid w:val="005C0E81"/>
    <w:rsid w:val="005C1638"/>
    <w:rsid w:val="005C21A6"/>
    <w:rsid w:val="005C249C"/>
    <w:rsid w:val="005C380E"/>
    <w:rsid w:val="005C57A4"/>
    <w:rsid w:val="005C589D"/>
    <w:rsid w:val="005C59D5"/>
    <w:rsid w:val="005C7554"/>
    <w:rsid w:val="005D12F3"/>
    <w:rsid w:val="005D1557"/>
    <w:rsid w:val="005D1727"/>
    <w:rsid w:val="005D19B2"/>
    <w:rsid w:val="005D1CDC"/>
    <w:rsid w:val="005D31D6"/>
    <w:rsid w:val="005D3EB3"/>
    <w:rsid w:val="005D512E"/>
    <w:rsid w:val="005D6260"/>
    <w:rsid w:val="005D7C69"/>
    <w:rsid w:val="005E040E"/>
    <w:rsid w:val="005E1457"/>
    <w:rsid w:val="005E1835"/>
    <w:rsid w:val="005E1A93"/>
    <w:rsid w:val="005E2193"/>
    <w:rsid w:val="005E3588"/>
    <w:rsid w:val="005E3751"/>
    <w:rsid w:val="005E3882"/>
    <w:rsid w:val="005E3A45"/>
    <w:rsid w:val="005E4B99"/>
    <w:rsid w:val="005E55CF"/>
    <w:rsid w:val="005E5A74"/>
    <w:rsid w:val="005E5CFD"/>
    <w:rsid w:val="005E7738"/>
    <w:rsid w:val="005E7C4E"/>
    <w:rsid w:val="005F0BF4"/>
    <w:rsid w:val="005F1201"/>
    <w:rsid w:val="005F3663"/>
    <w:rsid w:val="005F392C"/>
    <w:rsid w:val="005F4C9A"/>
    <w:rsid w:val="005F4CBA"/>
    <w:rsid w:val="005F5119"/>
    <w:rsid w:val="005F53E0"/>
    <w:rsid w:val="005F5405"/>
    <w:rsid w:val="005F5616"/>
    <w:rsid w:val="005F60D2"/>
    <w:rsid w:val="005F62D1"/>
    <w:rsid w:val="005F6906"/>
    <w:rsid w:val="005F7503"/>
    <w:rsid w:val="00600843"/>
    <w:rsid w:val="00601808"/>
    <w:rsid w:val="00604073"/>
    <w:rsid w:val="006047B8"/>
    <w:rsid w:val="0060527E"/>
    <w:rsid w:val="0060547C"/>
    <w:rsid w:val="006057BC"/>
    <w:rsid w:val="00605E76"/>
    <w:rsid w:val="00606183"/>
    <w:rsid w:val="006076FA"/>
    <w:rsid w:val="006078C4"/>
    <w:rsid w:val="006079DE"/>
    <w:rsid w:val="006102A6"/>
    <w:rsid w:val="0061075F"/>
    <w:rsid w:val="00610760"/>
    <w:rsid w:val="006107D0"/>
    <w:rsid w:val="0061171E"/>
    <w:rsid w:val="00613633"/>
    <w:rsid w:val="00613C10"/>
    <w:rsid w:val="006141BA"/>
    <w:rsid w:val="006148AA"/>
    <w:rsid w:val="00614B9A"/>
    <w:rsid w:val="00614D8E"/>
    <w:rsid w:val="006160A2"/>
    <w:rsid w:val="0062141E"/>
    <w:rsid w:val="00621B86"/>
    <w:rsid w:val="00622825"/>
    <w:rsid w:val="00622A46"/>
    <w:rsid w:val="006234BE"/>
    <w:rsid w:val="00624350"/>
    <w:rsid w:val="00625AD6"/>
    <w:rsid w:val="006266E7"/>
    <w:rsid w:val="00626746"/>
    <w:rsid w:val="00627AB7"/>
    <w:rsid w:val="00627D57"/>
    <w:rsid w:val="00630433"/>
    <w:rsid w:val="0063084D"/>
    <w:rsid w:val="006329C4"/>
    <w:rsid w:val="00632CE1"/>
    <w:rsid w:val="006334F5"/>
    <w:rsid w:val="00633E2A"/>
    <w:rsid w:val="0063419D"/>
    <w:rsid w:val="0063538C"/>
    <w:rsid w:val="0063597D"/>
    <w:rsid w:val="00635D70"/>
    <w:rsid w:val="00636BD5"/>
    <w:rsid w:val="006419A9"/>
    <w:rsid w:val="00641F5A"/>
    <w:rsid w:val="00644239"/>
    <w:rsid w:val="00644A00"/>
    <w:rsid w:val="00644D1B"/>
    <w:rsid w:val="00645065"/>
    <w:rsid w:val="0064540A"/>
    <w:rsid w:val="006455E8"/>
    <w:rsid w:val="0064727A"/>
    <w:rsid w:val="006502FC"/>
    <w:rsid w:val="006512E1"/>
    <w:rsid w:val="0065134F"/>
    <w:rsid w:val="00651954"/>
    <w:rsid w:val="00651A13"/>
    <w:rsid w:val="00651E83"/>
    <w:rsid w:val="00652F2E"/>
    <w:rsid w:val="00653B43"/>
    <w:rsid w:val="00654149"/>
    <w:rsid w:val="0065483F"/>
    <w:rsid w:val="00654AEE"/>
    <w:rsid w:val="00655049"/>
    <w:rsid w:val="00655C34"/>
    <w:rsid w:val="00655D9F"/>
    <w:rsid w:val="006562D4"/>
    <w:rsid w:val="00657CC9"/>
    <w:rsid w:val="0066038F"/>
    <w:rsid w:val="00660A4D"/>
    <w:rsid w:val="00661F04"/>
    <w:rsid w:val="00663163"/>
    <w:rsid w:val="00663917"/>
    <w:rsid w:val="00664029"/>
    <w:rsid w:val="00666113"/>
    <w:rsid w:val="00666D94"/>
    <w:rsid w:val="00671363"/>
    <w:rsid w:val="006714BC"/>
    <w:rsid w:val="00671E35"/>
    <w:rsid w:val="0067309D"/>
    <w:rsid w:val="006748C8"/>
    <w:rsid w:val="00674B8B"/>
    <w:rsid w:val="00674E4E"/>
    <w:rsid w:val="0067529E"/>
    <w:rsid w:val="00676C0D"/>
    <w:rsid w:val="006770C6"/>
    <w:rsid w:val="00677989"/>
    <w:rsid w:val="00680094"/>
    <w:rsid w:val="0068054E"/>
    <w:rsid w:val="00681920"/>
    <w:rsid w:val="00681B0B"/>
    <w:rsid w:val="00682679"/>
    <w:rsid w:val="006828C2"/>
    <w:rsid w:val="00682ACB"/>
    <w:rsid w:val="00684AD7"/>
    <w:rsid w:val="00684B9A"/>
    <w:rsid w:val="00684F9E"/>
    <w:rsid w:val="006858C7"/>
    <w:rsid w:val="00685A73"/>
    <w:rsid w:val="00685B30"/>
    <w:rsid w:val="00687484"/>
    <w:rsid w:val="00687CE4"/>
    <w:rsid w:val="00691885"/>
    <w:rsid w:val="00691B99"/>
    <w:rsid w:val="00692866"/>
    <w:rsid w:val="006928C3"/>
    <w:rsid w:val="006933E3"/>
    <w:rsid w:val="00693C7E"/>
    <w:rsid w:val="00694013"/>
    <w:rsid w:val="006941ED"/>
    <w:rsid w:val="00694FB9"/>
    <w:rsid w:val="00696D48"/>
    <w:rsid w:val="006A0A8B"/>
    <w:rsid w:val="006A1BC4"/>
    <w:rsid w:val="006A1F19"/>
    <w:rsid w:val="006A2230"/>
    <w:rsid w:val="006A39D1"/>
    <w:rsid w:val="006A4256"/>
    <w:rsid w:val="006A4869"/>
    <w:rsid w:val="006A4E54"/>
    <w:rsid w:val="006A6F73"/>
    <w:rsid w:val="006A7A22"/>
    <w:rsid w:val="006B098A"/>
    <w:rsid w:val="006B1149"/>
    <w:rsid w:val="006B180D"/>
    <w:rsid w:val="006B23D1"/>
    <w:rsid w:val="006B3C4A"/>
    <w:rsid w:val="006B437B"/>
    <w:rsid w:val="006B52DB"/>
    <w:rsid w:val="006B55DF"/>
    <w:rsid w:val="006B594B"/>
    <w:rsid w:val="006B5B39"/>
    <w:rsid w:val="006B5D89"/>
    <w:rsid w:val="006B6E6A"/>
    <w:rsid w:val="006B726D"/>
    <w:rsid w:val="006B7837"/>
    <w:rsid w:val="006B7870"/>
    <w:rsid w:val="006B7BE7"/>
    <w:rsid w:val="006C14CD"/>
    <w:rsid w:val="006C19B3"/>
    <w:rsid w:val="006C237E"/>
    <w:rsid w:val="006C258A"/>
    <w:rsid w:val="006C307B"/>
    <w:rsid w:val="006C37E7"/>
    <w:rsid w:val="006C45C1"/>
    <w:rsid w:val="006C4D04"/>
    <w:rsid w:val="006C547F"/>
    <w:rsid w:val="006C5488"/>
    <w:rsid w:val="006C63FD"/>
    <w:rsid w:val="006C6591"/>
    <w:rsid w:val="006C6C1C"/>
    <w:rsid w:val="006C6CFF"/>
    <w:rsid w:val="006C7379"/>
    <w:rsid w:val="006C74E0"/>
    <w:rsid w:val="006C7FE5"/>
    <w:rsid w:val="006C7FF0"/>
    <w:rsid w:val="006D01A6"/>
    <w:rsid w:val="006D0875"/>
    <w:rsid w:val="006D31E3"/>
    <w:rsid w:val="006D39C3"/>
    <w:rsid w:val="006D3AF2"/>
    <w:rsid w:val="006D4E76"/>
    <w:rsid w:val="006D5A52"/>
    <w:rsid w:val="006D6DE2"/>
    <w:rsid w:val="006E02A5"/>
    <w:rsid w:val="006E0E71"/>
    <w:rsid w:val="006E39AC"/>
    <w:rsid w:val="006E3D49"/>
    <w:rsid w:val="006E4E0D"/>
    <w:rsid w:val="006E5071"/>
    <w:rsid w:val="006E5295"/>
    <w:rsid w:val="006F10C8"/>
    <w:rsid w:val="006F1240"/>
    <w:rsid w:val="006F21A5"/>
    <w:rsid w:val="006F28ED"/>
    <w:rsid w:val="006F2C04"/>
    <w:rsid w:val="006F3D8F"/>
    <w:rsid w:val="006F3DA9"/>
    <w:rsid w:val="006F4C0E"/>
    <w:rsid w:val="006F7022"/>
    <w:rsid w:val="006F70E0"/>
    <w:rsid w:val="006F7B40"/>
    <w:rsid w:val="007008F5"/>
    <w:rsid w:val="00700F41"/>
    <w:rsid w:val="00701112"/>
    <w:rsid w:val="00701918"/>
    <w:rsid w:val="00701C09"/>
    <w:rsid w:val="007026C1"/>
    <w:rsid w:val="007027E6"/>
    <w:rsid w:val="00702D5C"/>
    <w:rsid w:val="00703A7A"/>
    <w:rsid w:val="00703E7A"/>
    <w:rsid w:val="007044D9"/>
    <w:rsid w:val="00704736"/>
    <w:rsid w:val="00705022"/>
    <w:rsid w:val="00705A91"/>
    <w:rsid w:val="00706A19"/>
    <w:rsid w:val="00706FE3"/>
    <w:rsid w:val="00707471"/>
    <w:rsid w:val="00710357"/>
    <w:rsid w:val="00710971"/>
    <w:rsid w:val="00710A4B"/>
    <w:rsid w:val="00710B39"/>
    <w:rsid w:val="00710B47"/>
    <w:rsid w:val="00712D86"/>
    <w:rsid w:val="007144B7"/>
    <w:rsid w:val="00714BB8"/>
    <w:rsid w:val="0071536C"/>
    <w:rsid w:val="00716B44"/>
    <w:rsid w:val="00716E22"/>
    <w:rsid w:val="007205FD"/>
    <w:rsid w:val="007206CF"/>
    <w:rsid w:val="007208B7"/>
    <w:rsid w:val="00720E3A"/>
    <w:rsid w:val="007210B8"/>
    <w:rsid w:val="007210B9"/>
    <w:rsid w:val="0072144F"/>
    <w:rsid w:val="00722965"/>
    <w:rsid w:val="00722A6F"/>
    <w:rsid w:val="00722FFA"/>
    <w:rsid w:val="00723362"/>
    <w:rsid w:val="00723C76"/>
    <w:rsid w:val="007247B4"/>
    <w:rsid w:val="00724D43"/>
    <w:rsid w:val="007252E7"/>
    <w:rsid w:val="00725BB0"/>
    <w:rsid w:val="0072646E"/>
    <w:rsid w:val="007265C9"/>
    <w:rsid w:val="00726632"/>
    <w:rsid w:val="007268C6"/>
    <w:rsid w:val="0072696D"/>
    <w:rsid w:val="007273B8"/>
    <w:rsid w:val="007276CA"/>
    <w:rsid w:val="00730503"/>
    <w:rsid w:val="007312C6"/>
    <w:rsid w:val="00731D06"/>
    <w:rsid w:val="00732A7D"/>
    <w:rsid w:val="0073479F"/>
    <w:rsid w:val="00734C06"/>
    <w:rsid w:val="00735777"/>
    <w:rsid w:val="007358EB"/>
    <w:rsid w:val="00736C4A"/>
    <w:rsid w:val="007370FB"/>
    <w:rsid w:val="0073761E"/>
    <w:rsid w:val="00737B34"/>
    <w:rsid w:val="00740D07"/>
    <w:rsid w:val="00741E60"/>
    <w:rsid w:val="00742205"/>
    <w:rsid w:val="0074233D"/>
    <w:rsid w:val="00744095"/>
    <w:rsid w:val="00745767"/>
    <w:rsid w:val="00745D8E"/>
    <w:rsid w:val="0074660B"/>
    <w:rsid w:val="007475E2"/>
    <w:rsid w:val="0074773B"/>
    <w:rsid w:val="00747776"/>
    <w:rsid w:val="00750031"/>
    <w:rsid w:val="00750DC9"/>
    <w:rsid w:val="007512F7"/>
    <w:rsid w:val="007538E9"/>
    <w:rsid w:val="007539CC"/>
    <w:rsid w:val="00754D6B"/>
    <w:rsid w:val="007573D9"/>
    <w:rsid w:val="0076116F"/>
    <w:rsid w:val="007614AE"/>
    <w:rsid w:val="00761EA3"/>
    <w:rsid w:val="00763344"/>
    <w:rsid w:val="0076526E"/>
    <w:rsid w:val="007654A2"/>
    <w:rsid w:val="007659E2"/>
    <w:rsid w:val="007708E7"/>
    <w:rsid w:val="00771AF4"/>
    <w:rsid w:val="00771D71"/>
    <w:rsid w:val="00771EFA"/>
    <w:rsid w:val="00772A36"/>
    <w:rsid w:val="00772EBA"/>
    <w:rsid w:val="007733E4"/>
    <w:rsid w:val="00774148"/>
    <w:rsid w:val="0077459C"/>
    <w:rsid w:val="00774B19"/>
    <w:rsid w:val="00774CAA"/>
    <w:rsid w:val="00776738"/>
    <w:rsid w:val="00776D2B"/>
    <w:rsid w:val="007770A8"/>
    <w:rsid w:val="0077772F"/>
    <w:rsid w:val="00777955"/>
    <w:rsid w:val="007803CB"/>
    <w:rsid w:val="00780D16"/>
    <w:rsid w:val="00782261"/>
    <w:rsid w:val="007834AA"/>
    <w:rsid w:val="0078381F"/>
    <w:rsid w:val="00783990"/>
    <w:rsid w:val="00783D46"/>
    <w:rsid w:val="0078410F"/>
    <w:rsid w:val="00784147"/>
    <w:rsid w:val="007862D2"/>
    <w:rsid w:val="00786E39"/>
    <w:rsid w:val="00792113"/>
    <w:rsid w:val="00792915"/>
    <w:rsid w:val="0079297B"/>
    <w:rsid w:val="0079372A"/>
    <w:rsid w:val="00793A08"/>
    <w:rsid w:val="00793C62"/>
    <w:rsid w:val="0079460F"/>
    <w:rsid w:val="00794C3F"/>
    <w:rsid w:val="00794CCC"/>
    <w:rsid w:val="007952EB"/>
    <w:rsid w:val="0079635B"/>
    <w:rsid w:val="007A0011"/>
    <w:rsid w:val="007A04A0"/>
    <w:rsid w:val="007A0767"/>
    <w:rsid w:val="007A08DB"/>
    <w:rsid w:val="007A0B10"/>
    <w:rsid w:val="007A1E5E"/>
    <w:rsid w:val="007A2B75"/>
    <w:rsid w:val="007A3435"/>
    <w:rsid w:val="007A382D"/>
    <w:rsid w:val="007A39EA"/>
    <w:rsid w:val="007A3B5F"/>
    <w:rsid w:val="007A43DF"/>
    <w:rsid w:val="007A5679"/>
    <w:rsid w:val="007A5A01"/>
    <w:rsid w:val="007A5F1E"/>
    <w:rsid w:val="007A68E4"/>
    <w:rsid w:val="007B0450"/>
    <w:rsid w:val="007B0DB7"/>
    <w:rsid w:val="007B0EF6"/>
    <w:rsid w:val="007B1DE0"/>
    <w:rsid w:val="007B1F0D"/>
    <w:rsid w:val="007B25F6"/>
    <w:rsid w:val="007B26A5"/>
    <w:rsid w:val="007B2806"/>
    <w:rsid w:val="007B3723"/>
    <w:rsid w:val="007B3ACD"/>
    <w:rsid w:val="007B4C58"/>
    <w:rsid w:val="007B5601"/>
    <w:rsid w:val="007B5DFB"/>
    <w:rsid w:val="007B5F64"/>
    <w:rsid w:val="007B634C"/>
    <w:rsid w:val="007B646E"/>
    <w:rsid w:val="007B7248"/>
    <w:rsid w:val="007B7885"/>
    <w:rsid w:val="007C16C3"/>
    <w:rsid w:val="007C21A8"/>
    <w:rsid w:val="007C2CCD"/>
    <w:rsid w:val="007C330E"/>
    <w:rsid w:val="007C37F1"/>
    <w:rsid w:val="007C4EF4"/>
    <w:rsid w:val="007C55DC"/>
    <w:rsid w:val="007C6CB0"/>
    <w:rsid w:val="007C6DC6"/>
    <w:rsid w:val="007C6FCB"/>
    <w:rsid w:val="007C7049"/>
    <w:rsid w:val="007C704E"/>
    <w:rsid w:val="007D07CC"/>
    <w:rsid w:val="007D0DCB"/>
    <w:rsid w:val="007D0FCA"/>
    <w:rsid w:val="007D1411"/>
    <w:rsid w:val="007D1AD9"/>
    <w:rsid w:val="007D2A23"/>
    <w:rsid w:val="007D2ABD"/>
    <w:rsid w:val="007D5915"/>
    <w:rsid w:val="007D5C84"/>
    <w:rsid w:val="007D5D65"/>
    <w:rsid w:val="007D5E29"/>
    <w:rsid w:val="007D68BC"/>
    <w:rsid w:val="007D69C4"/>
    <w:rsid w:val="007D6DC9"/>
    <w:rsid w:val="007D757E"/>
    <w:rsid w:val="007D77B6"/>
    <w:rsid w:val="007D77FF"/>
    <w:rsid w:val="007D78F8"/>
    <w:rsid w:val="007D7964"/>
    <w:rsid w:val="007E00DB"/>
    <w:rsid w:val="007E1EDF"/>
    <w:rsid w:val="007E1EFB"/>
    <w:rsid w:val="007E1F41"/>
    <w:rsid w:val="007E2445"/>
    <w:rsid w:val="007E572E"/>
    <w:rsid w:val="007E5A35"/>
    <w:rsid w:val="007E5FA0"/>
    <w:rsid w:val="007E6425"/>
    <w:rsid w:val="007E6509"/>
    <w:rsid w:val="007E76DB"/>
    <w:rsid w:val="007E7EBB"/>
    <w:rsid w:val="007F0D02"/>
    <w:rsid w:val="007F1721"/>
    <w:rsid w:val="007F2077"/>
    <w:rsid w:val="007F24CD"/>
    <w:rsid w:val="007F2882"/>
    <w:rsid w:val="007F39CC"/>
    <w:rsid w:val="007F3BFC"/>
    <w:rsid w:val="007F46BA"/>
    <w:rsid w:val="007F528E"/>
    <w:rsid w:val="007F58CD"/>
    <w:rsid w:val="007F59B2"/>
    <w:rsid w:val="007F63EB"/>
    <w:rsid w:val="007F7B1A"/>
    <w:rsid w:val="007F7C8C"/>
    <w:rsid w:val="00800417"/>
    <w:rsid w:val="0080044A"/>
    <w:rsid w:val="0080094C"/>
    <w:rsid w:val="008014EF"/>
    <w:rsid w:val="0080224E"/>
    <w:rsid w:val="008022A1"/>
    <w:rsid w:val="00802B5D"/>
    <w:rsid w:val="00802BCB"/>
    <w:rsid w:val="0080383D"/>
    <w:rsid w:val="00804418"/>
    <w:rsid w:val="008101CC"/>
    <w:rsid w:val="008108D1"/>
    <w:rsid w:val="00810ADA"/>
    <w:rsid w:val="00810C35"/>
    <w:rsid w:val="00810FBE"/>
    <w:rsid w:val="00811987"/>
    <w:rsid w:val="00812044"/>
    <w:rsid w:val="00812E22"/>
    <w:rsid w:val="00813C04"/>
    <w:rsid w:val="00815596"/>
    <w:rsid w:val="0081559F"/>
    <w:rsid w:val="0081560A"/>
    <w:rsid w:val="00815CFC"/>
    <w:rsid w:val="0081618C"/>
    <w:rsid w:val="008167C2"/>
    <w:rsid w:val="0081714A"/>
    <w:rsid w:val="00817F36"/>
    <w:rsid w:val="00820A83"/>
    <w:rsid w:val="00821783"/>
    <w:rsid w:val="00825681"/>
    <w:rsid w:val="00825CCB"/>
    <w:rsid w:val="00826586"/>
    <w:rsid w:val="00826AF7"/>
    <w:rsid w:val="0082764B"/>
    <w:rsid w:val="00830044"/>
    <w:rsid w:val="0083019A"/>
    <w:rsid w:val="00831279"/>
    <w:rsid w:val="00831B71"/>
    <w:rsid w:val="00833050"/>
    <w:rsid w:val="008331AE"/>
    <w:rsid w:val="008339A0"/>
    <w:rsid w:val="008358DE"/>
    <w:rsid w:val="00836FA1"/>
    <w:rsid w:val="00837D15"/>
    <w:rsid w:val="00837E50"/>
    <w:rsid w:val="00840068"/>
    <w:rsid w:val="00841013"/>
    <w:rsid w:val="008410A2"/>
    <w:rsid w:val="00841596"/>
    <w:rsid w:val="0084384F"/>
    <w:rsid w:val="008439D4"/>
    <w:rsid w:val="00843FE6"/>
    <w:rsid w:val="00847D32"/>
    <w:rsid w:val="00851BA3"/>
    <w:rsid w:val="00851E3B"/>
    <w:rsid w:val="0085214B"/>
    <w:rsid w:val="008522E7"/>
    <w:rsid w:val="00854367"/>
    <w:rsid w:val="008562DB"/>
    <w:rsid w:val="008564B2"/>
    <w:rsid w:val="00856ED5"/>
    <w:rsid w:val="00857CB1"/>
    <w:rsid w:val="0086096D"/>
    <w:rsid w:val="0086159A"/>
    <w:rsid w:val="00861704"/>
    <w:rsid w:val="00861C1C"/>
    <w:rsid w:val="0086224B"/>
    <w:rsid w:val="008631CA"/>
    <w:rsid w:val="00863696"/>
    <w:rsid w:val="00863A6F"/>
    <w:rsid w:val="0086493E"/>
    <w:rsid w:val="00865117"/>
    <w:rsid w:val="00866390"/>
    <w:rsid w:val="0086690E"/>
    <w:rsid w:val="00867D64"/>
    <w:rsid w:val="008700CD"/>
    <w:rsid w:val="00870509"/>
    <w:rsid w:val="008705AC"/>
    <w:rsid w:val="00870807"/>
    <w:rsid w:val="0087120F"/>
    <w:rsid w:val="00872650"/>
    <w:rsid w:val="00872675"/>
    <w:rsid w:val="00872887"/>
    <w:rsid w:val="00872BDF"/>
    <w:rsid w:val="0087377E"/>
    <w:rsid w:val="00873B7C"/>
    <w:rsid w:val="00873C52"/>
    <w:rsid w:val="008753E4"/>
    <w:rsid w:val="00875A3E"/>
    <w:rsid w:val="00875A63"/>
    <w:rsid w:val="00875AAF"/>
    <w:rsid w:val="00875C5C"/>
    <w:rsid w:val="00876398"/>
    <w:rsid w:val="00876517"/>
    <w:rsid w:val="00876ED1"/>
    <w:rsid w:val="00876EEE"/>
    <w:rsid w:val="0087743C"/>
    <w:rsid w:val="00880032"/>
    <w:rsid w:val="0088052F"/>
    <w:rsid w:val="00880A58"/>
    <w:rsid w:val="00881974"/>
    <w:rsid w:val="00882DF2"/>
    <w:rsid w:val="0088302D"/>
    <w:rsid w:val="00884331"/>
    <w:rsid w:val="00884B69"/>
    <w:rsid w:val="00885AE6"/>
    <w:rsid w:val="00885E1C"/>
    <w:rsid w:val="00886588"/>
    <w:rsid w:val="0088666C"/>
    <w:rsid w:val="008869D4"/>
    <w:rsid w:val="00887D3D"/>
    <w:rsid w:val="00887F7A"/>
    <w:rsid w:val="00887F82"/>
    <w:rsid w:val="008902F1"/>
    <w:rsid w:val="00890396"/>
    <w:rsid w:val="0089162D"/>
    <w:rsid w:val="00892241"/>
    <w:rsid w:val="00892D30"/>
    <w:rsid w:val="00892E34"/>
    <w:rsid w:val="008940FA"/>
    <w:rsid w:val="0089476F"/>
    <w:rsid w:val="0089537C"/>
    <w:rsid w:val="00896252"/>
    <w:rsid w:val="008962AD"/>
    <w:rsid w:val="00897F59"/>
    <w:rsid w:val="008A0D27"/>
    <w:rsid w:val="008A18D5"/>
    <w:rsid w:val="008A1F72"/>
    <w:rsid w:val="008A27D8"/>
    <w:rsid w:val="008A50FF"/>
    <w:rsid w:val="008A6688"/>
    <w:rsid w:val="008A72D6"/>
    <w:rsid w:val="008A7399"/>
    <w:rsid w:val="008A798A"/>
    <w:rsid w:val="008B0123"/>
    <w:rsid w:val="008B032B"/>
    <w:rsid w:val="008B0471"/>
    <w:rsid w:val="008B1F62"/>
    <w:rsid w:val="008B223B"/>
    <w:rsid w:val="008B2956"/>
    <w:rsid w:val="008B30E9"/>
    <w:rsid w:val="008B340E"/>
    <w:rsid w:val="008B3684"/>
    <w:rsid w:val="008B3C93"/>
    <w:rsid w:val="008B3F9C"/>
    <w:rsid w:val="008B45FE"/>
    <w:rsid w:val="008B4AE1"/>
    <w:rsid w:val="008B5825"/>
    <w:rsid w:val="008B6E67"/>
    <w:rsid w:val="008B6FA9"/>
    <w:rsid w:val="008B75AB"/>
    <w:rsid w:val="008B7E2B"/>
    <w:rsid w:val="008C020D"/>
    <w:rsid w:val="008C05BA"/>
    <w:rsid w:val="008C0FF6"/>
    <w:rsid w:val="008C1019"/>
    <w:rsid w:val="008C1BD7"/>
    <w:rsid w:val="008C2A12"/>
    <w:rsid w:val="008C2C82"/>
    <w:rsid w:val="008C3C29"/>
    <w:rsid w:val="008C45F5"/>
    <w:rsid w:val="008C59DC"/>
    <w:rsid w:val="008C5EF9"/>
    <w:rsid w:val="008C7315"/>
    <w:rsid w:val="008C7771"/>
    <w:rsid w:val="008D0E25"/>
    <w:rsid w:val="008D1299"/>
    <w:rsid w:val="008D1ED5"/>
    <w:rsid w:val="008D23F6"/>
    <w:rsid w:val="008D250F"/>
    <w:rsid w:val="008D2C8C"/>
    <w:rsid w:val="008D3708"/>
    <w:rsid w:val="008D41A1"/>
    <w:rsid w:val="008D426D"/>
    <w:rsid w:val="008D444C"/>
    <w:rsid w:val="008D4652"/>
    <w:rsid w:val="008D4B28"/>
    <w:rsid w:val="008D55A3"/>
    <w:rsid w:val="008D55F7"/>
    <w:rsid w:val="008D5763"/>
    <w:rsid w:val="008D5CF2"/>
    <w:rsid w:val="008D6C57"/>
    <w:rsid w:val="008D6CB2"/>
    <w:rsid w:val="008E0A4A"/>
    <w:rsid w:val="008E0D5E"/>
    <w:rsid w:val="008E15E4"/>
    <w:rsid w:val="008E17B7"/>
    <w:rsid w:val="008E2D67"/>
    <w:rsid w:val="008E2EE0"/>
    <w:rsid w:val="008E2EF4"/>
    <w:rsid w:val="008E372A"/>
    <w:rsid w:val="008E3A42"/>
    <w:rsid w:val="008E3AFC"/>
    <w:rsid w:val="008E4E6B"/>
    <w:rsid w:val="008E5CF6"/>
    <w:rsid w:val="008E5D6F"/>
    <w:rsid w:val="008E6009"/>
    <w:rsid w:val="008E6591"/>
    <w:rsid w:val="008E67EF"/>
    <w:rsid w:val="008E7CF9"/>
    <w:rsid w:val="008F168D"/>
    <w:rsid w:val="008F1B89"/>
    <w:rsid w:val="008F26B6"/>
    <w:rsid w:val="008F2D69"/>
    <w:rsid w:val="008F4C03"/>
    <w:rsid w:val="008F4D0D"/>
    <w:rsid w:val="008F66D8"/>
    <w:rsid w:val="008F682B"/>
    <w:rsid w:val="008F72EE"/>
    <w:rsid w:val="008F73E0"/>
    <w:rsid w:val="00900187"/>
    <w:rsid w:val="00900407"/>
    <w:rsid w:val="00900A32"/>
    <w:rsid w:val="00901500"/>
    <w:rsid w:val="0090227D"/>
    <w:rsid w:val="009023BD"/>
    <w:rsid w:val="009038DB"/>
    <w:rsid w:val="00903CE2"/>
    <w:rsid w:val="00905DEB"/>
    <w:rsid w:val="009068E9"/>
    <w:rsid w:val="00906B2F"/>
    <w:rsid w:val="0091000D"/>
    <w:rsid w:val="00910EA8"/>
    <w:rsid w:val="00911CEF"/>
    <w:rsid w:val="00913C16"/>
    <w:rsid w:val="00913FD7"/>
    <w:rsid w:val="00913FDE"/>
    <w:rsid w:val="009147C8"/>
    <w:rsid w:val="00915226"/>
    <w:rsid w:val="0091595F"/>
    <w:rsid w:val="00915C2D"/>
    <w:rsid w:val="0091621C"/>
    <w:rsid w:val="00916956"/>
    <w:rsid w:val="009170F9"/>
    <w:rsid w:val="00917202"/>
    <w:rsid w:val="009173D7"/>
    <w:rsid w:val="00917830"/>
    <w:rsid w:val="0092038A"/>
    <w:rsid w:val="00920B3F"/>
    <w:rsid w:val="00920C19"/>
    <w:rsid w:val="009224F0"/>
    <w:rsid w:val="00922A87"/>
    <w:rsid w:val="00923479"/>
    <w:rsid w:val="00923A66"/>
    <w:rsid w:val="00923EEC"/>
    <w:rsid w:val="00925E37"/>
    <w:rsid w:val="00925EA9"/>
    <w:rsid w:val="0092616A"/>
    <w:rsid w:val="0092622D"/>
    <w:rsid w:val="009270A4"/>
    <w:rsid w:val="009270ED"/>
    <w:rsid w:val="00927322"/>
    <w:rsid w:val="0092741C"/>
    <w:rsid w:val="00927CF0"/>
    <w:rsid w:val="00930138"/>
    <w:rsid w:val="00930F9E"/>
    <w:rsid w:val="009320DF"/>
    <w:rsid w:val="00932584"/>
    <w:rsid w:val="00932CC0"/>
    <w:rsid w:val="0093300E"/>
    <w:rsid w:val="00933903"/>
    <w:rsid w:val="00934116"/>
    <w:rsid w:val="009348B3"/>
    <w:rsid w:val="00935FF3"/>
    <w:rsid w:val="009403CB"/>
    <w:rsid w:val="00940801"/>
    <w:rsid w:val="00941013"/>
    <w:rsid w:val="00941C65"/>
    <w:rsid w:val="00941FF9"/>
    <w:rsid w:val="00942EB5"/>
    <w:rsid w:val="009435C1"/>
    <w:rsid w:val="00943BAF"/>
    <w:rsid w:val="00944B85"/>
    <w:rsid w:val="00944DB3"/>
    <w:rsid w:val="00944FEE"/>
    <w:rsid w:val="00945043"/>
    <w:rsid w:val="00945B74"/>
    <w:rsid w:val="00945D41"/>
    <w:rsid w:val="00947651"/>
    <w:rsid w:val="00947A81"/>
    <w:rsid w:val="00950460"/>
    <w:rsid w:val="009508BD"/>
    <w:rsid w:val="0095113F"/>
    <w:rsid w:val="009518A3"/>
    <w:rsid w:val="00951FB6"/>
    <w:rsid w:val="009528B7"/>
    <w:rsid w:val="009528C6"/>
    <w:rsid w:val="00952ADE"/>
    <w:rsid w:val="00952E81"/>
    <w:rsid w:val="009531DD"/>
    <w:rsid w:val="009538D0"/>
    <w:rsid w:val="00956177"/>
    <w:rsid w:val="00956B9F"/>
    <w:rsid w:val="00956E2B"/>
    <w:rsid w:val="00956EAD"/>
    <w:rsid w:val="00957D78"/>
    <w:rsid w:val="00960333"/>
    <w:rsid w:val="00960989"/>
    <w:rsid w:val="00960CF3"/>
    <w:rsid w:val="00960F3C"/>
    <w:rsid w:val="009639A2"/>
    <w:rsid w:val="00964B0C"/>
    <w:rsid w:val="0096520B"/>
    <w:rsid w:val="0096595C"/>
    <w:rsid w:val="00965BAD"/>
    <w:rsid w:val="00967A0E"/>
    <w:rsid w:val="00967A42"/>
    <w:rsid w:val="009701A1"/>
    <w:rsid w:val="00971484"/>
    <w:rsid w:val="009730BC"/>
    <w:rsid w:val="0097416E"/>
    <w:rsid w:val="009758AA"/>
    <w:rsid w:val="00975EF4"/>
    <w:rsid w:val="00976896"/>
    <w:rsid w:val="0097736C"/>
    <w:rsid w:val="00977731"/>
    <w:rsid w:val="00977EB1"/>
    <w:rsid w:val="00977FA0"/>
    <w:rsid w:val="00980101"/>
    <w:rsid w:val="009803B7"/>
    <w:rsid w:val="00980A9C"/>
    <w:rsid w:val="009820F0"/>
    <w:rsid w:val="00982E3B"/>
    <w:rsid w:val="00983842"/>
    <w:rsid w:val="00983ACB"/>
    <w:rsid w:val="00986776"/>
    <w:rsid w:val="00987229"/>
    <w:rsid w:val="00987A7C"/>
    <w:rsid w:val="00987B63"/>
    <w:rsid w:val="00990023"/>
    <w:rsid w:val="0099081E"/>
    <w:rsid w:val="00993276"/>
    <w:rsid w:val="00993BF6"/>
    <w:rsid w:val="009940CB"/>
    <w:rsid w:val="00994422"/>
    <w:rsid w:val="0099488D"/>
    <w:rsid w:val="00994E7A"/>
    <w:rsid w:val="00995EA0"/>
    <w:rsid w:val="0099615E"/>
    <w:rsid w:val="00996407"/>
    <w:rsid w:val="00996A01"/>
    <w:rsid w:val="00997277"/>
    <w:rsid w:val="009A0123"/>
    <w:rsid w:val="009A0324"/>
    <w:rsid w:val="009A13AA"/>
    <w:rsid w:val="009A252F"/>
    <w:rsid w:val="009A2E09"/>
    <w:rsid w:val="009A38AA"/>
    <w:rsid w:val="009A3B00"/>
    <w:rsid w:val="009A50E7"/>
    <w:rsid w:val="009A57E8"/>
    <w:rsid w:val="009A5B6B"/>
    <w:rsid w:val="009A763A"/>
    <w:rsid w:val="009A798F"/>
    <w:rsid w:val="009A7A36"/>
    <w:rsid w:val="009A7F45"/>
    <w:rsid w:val="009B070D"/>
    <w:rsid w:val="009B0850"/>
    <w:rsid w:val="009B0993"/>
    <w:rsid w:val="009B0DEC"/>
    <w:rsid w:val="009B1299"/>
    <w:rsid w:val="009B1D67"/>
    <w:rsid w:val="009B238E"/>
    <w:rsid w:val="009B2480"/>
    <w:rsid w:val="009B2D33"/>
    <w:rsid w:val="009B3F79"/>
    <w:rsid w:val="009B4280"/>
    <w:rsid w:val="009B4C19"/>
    <w:rsid w:val="009B52FB"/>
    <w:rsid w:val="009B596B"/>
    <w:rsid w:val="009B6B2F"/>
    <w:rsid w:val="009B7379"/>
    <w:rsid w:val="009B750B"/>
    <w:rsid w:val="009B796B"/>
    <w:rsid w:val="009C128A"/>
    <w:rsid w:val="009C1EF3"/>
    <w:rsid w:val="009C2057"/>
    <w:rsid w:val="009C25DE"/>
    <w:rsid w:val="009C283E"/>
    <w:rsid w:val="009C3075"/>
    <w:rsid w:val="009C35AD"/>
    <w:rsid w:val="009C3D76"/>
    <w:rsid w:val="009C3DEB"/>
    <w:rsid w:val="009C446E"/>
    <w:rsid w:val="009C4577"/>
    <w:rsid w:val="009C4BFD"/>
    <w:rsid w:val="009C5C53"/>
    <w:rsid w:val="009C60D1"/>
    <w:rsid w:val="009C68EB"/>
    <w:rsid w:val="009C76B4"/>
    <w:rsid w:val="009C7AB7"/>
    <w:rsid w:val="009D0FE3"/>
    <w:rsid w:val="009D202C"/>
    <w:rsid w:val="009D3A10"/>
    <w:rsid w:val="009D5BEC"/>
    <w:rsid w:val="009D61CB"/>
    <w:rsid w:val="009D723E"/>
    <w:rsid w:val="009D7F23"/>
    <w:rsid w:val="009E0492"/>
    <w:rsid w:val="009E23F0"/>
    <w:rsid w:val="009E37AA"/>
    <w:rsid w:val="009E40B0"/>
    <w:rsid w:val="009E6165"/>
    <w:rsid w:val="009E65CB"/>
    <w:rsid w:val="009E721D"/>
    <w:rsid w:val="009E7E33"/>
    <w:rsid w:val="009E7E7E"/>
    <w:rsid w:val="009F0248"/>
    <w:rsid w:val="009F0D36"/>
    <w:rsid w:val="009F0DC4"/>
    <w:rsid w:val="009F1069"/>
    <w:rsid w:val="009F1AFE"/>
    <w:rsid w:val="009F1F7D"/>
    <w:rsid w:val="009F24BE"/>
    <w:rsid w:val="009F4321"/>
    <w:rsid w:val="009F4341"/>
    <w:rsid w:val="009F43B8"/>
    <w:rsid w:val="009F4A45"/>
    <w:rsid w:val="009F5A5F"/>
    <w:rsid w:val="009F6788"/>
    <w:rsid w:val="009F6AF7"/>
    <w:rsid w:val="009F6DEF"/>
    <w:rsid w:val="00A00141"/>
    <w:rsid w:val="00A009C3"/>
    <w:rsid w:val="00A02495"/>
    <w:rsid w:val="00A0297A"/>
    <w:rsid w:val="00A02E97"/>
    <w:rsid w:val="00A03120"/>
    <w:rsid w:val="00A03F76"/>
    <w:rsid w:val="00A05913"/>
    <w:rsid w:val="00A05BA9"/>
    <w:rsid w:val="00A06643"/>
    <w:rsid w:val="00A07493"/>
    <w:rsid w:val="00A07E48"/>
    <w:rsid w:val="00A11DE2"/>
    <w:rsid w:val="00A11F4E"/>
    <w:rsid w:val="00A12A4D"/>
    <w:rsid w:val="00A12D15"/>
    <w:rsid w:val="00A12DCB"/>
    <w:rsid w:val="00A13261"/>
    <w:rsid w:val="00A1348E"/>
    <w:rsid w:val="00A1487E"/>
    <w:rsid w:val="00A14D58"/>
    <w:rsid w:val="00A163DF"/>
    <w:rsid w:val="00A2011F"/>
    <w:rsid w:val="00A2243E"/>
    <w:rsid w:val="00A23109"/>
    <w:rsid w:val="00A23252"/>
    <w:rsid w:val="00A234D1"/>
    <w:rsid w:val="00A23681"/>
    <w:rsid w:val="00A23DDD"/>
    <w:rsid w:val="00A245E6"/>
    <w:rsid w:val="00A25C7A"/>
    <w:rsid w:val="00A261AA"/>
    <w:rsid w:val="00A262CC"/>
    <w:rsid w:val="00A26604"/>
    <w:rsid w:val="00A266B5"/>
    <w:rsid w:val="00A27D3C"/>
    <w:rsid w:val="00A3072F"/>
    <w:rsid w:val="00A30764"/>
    <w:rsid w:val="00A30AB8"/>
    <w:rsid w:val="00A32ED1"/>
    <w:rsid w:val="00A32F42"/>
    <w:rsid w:val="00A37356"/>
    <w:rsid w:val="00A37653"/>
    <w:rsid w:val="00A3797D"/>
    <w:rsid w:val="00A37CF3"/>
    <w:rsid w:val="00A37EC6"/>
    <w:rsid w:val="00A40082"/>
    <w:rsid w:val="00A403FC"/>
    <w:rsid w:val="00A404D6"/>
    <w:rsid w:val="00A40E82"/>
    <w:rsid w:val="00A4112A"/>
    <w:rsid w:val="00A41759"/>
    <w:rsid w:val="00A41947"/>
    <w:rsid w:val="00A41A75"/>
    <w:rsid w:val="00A41A9D"/>
    <w:rsid w:val="00A425B7"/>
    <w:rsid w:val="00A42E9B"/>
    <w:rsid w:val="00A42F64"/>
    <w:rsid w:val="00A43457"/>
    <w:rsid w:val="00A43E7B"/>
    <w:rsid w:val="00A46F23"/>
    <w:rsid w:val="00A47074"/>
    <w:rsid w:val="00A50D7B"/>
    <w:rsid w:val="00A51275"/>
    <w:rsid w:val="00A5138D"/>
    <w:rsid w:val="00A518AE"/>
    <w:rsid w:val="00A51C63"/>
    <w:rsid w:val="00A52723"/>
    <w:rsid w:val="00A52CB7"/>
    <w:rsid w:val="00A52EA8"/>
    <w:rsid w:val="00A531EB"/>
    <w:rsid w:val="00A5357F"/>
    <w:rsid w:val="00A5491D"/>
    <w:rsid w:val="00A54B9B"/>
    <w:rsid w:val="00A559DB"/>
    <w:rsid w:val="00A55A04"/>
    <w:rsid w:val="00A56DED"/>
    <w:rsid w:val="00A5779E"/>
    <w:rsid w:val="00A57DA6"/>
    <w:rsid w:val="00A605FD"/>
    <w:rsid w:val="00A60934"/>
    <w:rsid w:val="00A60A87"/>
    <w:rsid w:val="00A60CDB"/>
    <w:rsid w:val="00A611AD"/>
    <w:rsid w:val="00A615EA"/>
    <w:rsid w:val="00A63D07"/>
    <w:rsid w:val="00A653C3"/>
    <w:rsid w:val="00A66095"/>
    <w:rsid w:val="00A6611B"/>
    <w:rsid w:val="00A669EB"/>
    <w:rsid w:val="00A66AC8"/>
    <w:rsid w:val="00A66D80"/>
    <w:rsid w:val="00A66F66"/>
    <w:rsid w:val="00A67AF2"/>
    <w:rsid w:val="00A702EC"/>
    <w:rsid w:val="00A7168E"/>
    <w:rsid w:val="00A71AF0"/>
    <w:rsid w:val="00A72E78"/>
    <w:rsid w:val="00A72E7D"/>
    <w:rsid w:val="00A734CF"/>
    <w:rsid w:val="00A73E9C"/>
    <w:rsid w:val="00A740DF"/>
    <w:rsid w:val="00A7585A"/>
    <w:rsid w:val="00A7646E"/>
    <w:rsid w:val="00A7761D"/>
    <w:rsid w:val="00A77FFB"/>
    <w:rsid w:val="00A81818"/>
    <w:rsid w:val="00A82BE0"/>
    <w:rsid w:val="00A83420"/>
    <w:rsid w:val="00A83425"/>
    <w:rsid w:val="00A83DD7"/>
    <w:rsid w:val="00A84034"/>
    <w:rsid w:val="00A84B33"/>
    <w:rsid w:val="00A867CA"/>
    <w:rsid w:val="00A8681F"/>
    <w:rsid w:val="00A86D70"/>
    <w:rsid w:val="00A870D8"/>
    <w:rsid w:val="00A90084"/>
    <w:rsid w:val="00A90325"/>
    <w:rsid w:val="00A9119D"/>
    <w:rsid w:val="00A92DAD"/>
    <w:rsid w:val="00A95360"/>
    <w:rsid w:val="00A95DB9"/>
    <w:rsid w:val="00A96D3F"/>
    <w:rsid w:val="00AA11E3"/>
    <w:rsid w:val="00AA1754"/>
    <w:rsid w:val="00AA2164"/>
    <w:rsid w:val="00AA22DB"/>
    <w:rsid w:val="00AA3719"/>
    <w:rsid w:val="00AA47C5"/>
    <w:rsid w:val="00AA4830"/>
    <w:rsid w:val="00AA4CE7"/>
    <w:rsid w:val="00AA519C"/>
    <w:rsid w:val="00AA7EF5"/>
    <w:rsid w:val="00AB0E82"/>
    <w:rsid w:val="00AB100C"/>
    <w:rsid w:val="00AB1249"/>
    <w:rsid w:val="00AB1C80"/>
    <w:rsid w:val="00AB2670"/>
    <w:rsid w:val="00AB3491"/>
    <w:rsid w:val="00AB3D0A"/>
    <w:rsid w:val="00AB54D9"/>
    <w:rsid w:val="00AB557E"/>
    <w:rsid w:val="00AB6296"/>
    <w:rsid w:val="00AB63C8"/>
    <w:rsid w:val="00AB6F3E"/>
    <w:rsid w:val="00AB7CA5"/>
    <w:rsid w:val="00AC0114"/>
    <w:rsid w:val="00AC1399"/>
    <w:rsid w:val="00AC1B82"/>
    <w:rsid w:val="00AC1FC8"/>
    <w:rsid w:val="00AC2E10"/>
    <w:rsid w:val="00AC51F6"/>
    <w:rsid w:val="00AC7E76"/>
    <w:rsid w:val="00AC7F0A"/>
    <w:rsid w:val="00AD0538"/>
    <w:rsid w:val="00AD1549"/>
    <w:rsid w:val="00AD2637"/>
    <w:rsid w:val="00AD2CD4"/>
    <w:rsid w:val="00AD36DF"/>
    <w:rsid w:val="00AD5351"/>
    <w:rsid w:val="00AD5D9B"/>
    <w:rsid w:val="00AD60B4"/>
    <w:rsid w:val="00AD6650"/>
    <w:rsid w:val="00AD680D"/>
    <w:rsid w:val="00AD6E7F"/>
    <w:rsid w:val="00AD6FBB"/>
    <w:rsid w:val="00AD73E6"/>
    <w:rsid w:val="00AD7888"/>
    <w:rsid w:val="00AE07A4"/>
    <w:rsid w:val="00AE248D"/>
    <w:rsid w:val="00AE293F"/>
    <w:rsid w:val="00AE455F"/>
    <w:rsid w:val="00AE4ACC"/>
    <w:rsid w:val="00AE4DE1"/>
    <w:rsid w:val="00AE5873"/>
    <w:rsid w:val="00AE67C1"/>
    <w:rsid w:val="00AE6988"/>
    <w:rsid w:val="00AE6AE0"/>
    <w:rsid w:val="00AE6C50"/>
    <w:rsid w:val="00AE6DAA"/>
    <w:rsid w:val="00AE7715"/>
    <w:rsid w:val="00AF0101"/>
    <w:rsid w:val="00AF03CA"/>
    <w:rsid w:val="00AF042B"/>
    <w:rsid w:val="00AF0EE7"/>
    <w:rsid w:val="00AF184D"/>
    <w:rsid w:val="00AF2B08"/>
    <w:rsid w:val="00AF366E"/>
    <w:rsid w:val="00AF3C2F"/>
    <w:rsid w:val="00AF5153"/>
    <w:rsid w:val="00AF6060"/>
    <w:rsid w:val="00AF64BB"/>
    <w:rsid w:val="00AF6FFE"/>
    <w:rsid w:val="00AF7047"/>
    <w:rsid w:val="00AF7AFD"/>
    <w:rsid w:val="00AF7D8E"/>
    <w:rsid w:val="00AF7E04"/>
    <w:rsid w:val="00B0115D"/>
    <w:rsid w:val="00B02F52"/>
    <w:rsid w:val="00B046D7"/>
    <w:rsid w:val="00B0492F"/>
    <w:rsid w:val="00B055FB"/>
    <w:rsid w:val="00B063A6"/>
    <w:rsid w:val="00B069E7"/>
    <w:rsid w:val="00B07190"/>
    <w:rsid w:val="00B075E6"/>
    <w:rsid w:val="00B0791B"/>
    <w:rsid w:val="00B07A12"/>
    <w:rsid w:val="00B10122"/>
    <w:rsid w:val="00B102F5"/>
    <w:rsid w:val="00B109BB"/>
    <w:rsid w:val="00B11410"/>
    <w:rsid w:val="00B12111"/>
    <w:rsid w:val="00B13AC3"/>
    <w:rsid w:val="00B14B26"/>
    <w:rsid w:val="00B1507B"/>
    <w:rsid w:val="00B1564B"/>
    <w:rsid w:val="00B16174"/>
    <w:rsid w:val="00B16715"/>
    <w:rsid w:val="00B17C7B"/>
    <w:rsid w:val="00B201F7"/>
    <w:rsid w:val="00B2036A"/>
    <w:rsid w:val="00B21D0D"/>
    <w:rsid w:val="00B22249"/>
    <w:rsid w:val="00B228AB"/>
    <w:rsid w:val="00B232B6"/>
    <w:rsid w:val="00B23373"/>
    <w:rsid w:val="00B23E6A"/>
    <w:rsid w:val="00B24A72"/>
    <w:rsid w:val="00B24CA9"/>
    <w:rsid w:val="00B25207"/>
    <w:rsid w:val="00B2562E"/>
    <w:rsid w:val="00B25C17"/>
    <w:rsid w:val="00B25F9D"/>
    <w:rsid w:val="00B26C9A"/>
    <w:rsid w:val="00B26E4B"/>
    <w:rsid w:val="00B27D1F"/>
    <w:rsid w:val="00B30226"/>
    <w:rsid w:val="00B30A96"/>
    <w:rsid w:val="00B31790"/>
    <w:rsid w:val="00B326E4"/>
    <w:rsid w:val="00B33DD3"/>
    <w:rsid w:val="00B4054B"/>
    <w:rsid w:val="00B42015"/>
    <w:rsid w:val="00B43315"/>
    <w:rsid w:val="00B44573"/>
    <w:rsid w:val="00B458F8"/>
    <w:rsid w:val="00B45A82"/>
    <w:rsid w:val="00B4657D"/>
    <w:rsid w:val="00B4662F"/>
    <w:rsid w:val="00B46AF3"/>
    <w:rsid w:val="00B46D90"/>
    <w:rsid w:val="00B473D4"/>
    <w:rsid w:val="00B47ACA"/>
    <w:rsid w:val="00B50B18"/>
    <w:rsid w:val="00B5111A"/>
    <w:rsid w:val="00B54A3E"/>
    <w:rsid w:val="00B54B11"/>
    <w:rsid w:val="00B552CF"/>
    <w:rsid w:val="00B57572"/>
    <w:rsid w:val="00B57BE9"/>
    <w:rsid w:val="00B60196"/>
    <w:rsid w:val="00B60552"/>
    <w:rsid w:val="00B614F9"/>
    <w:rsid w:val="00B61EF5"/>
    <w:rsid w:val="00B61F89"/>
    <w:rsid w:val="00B6351E"/>
    <w:rsid w:val="00B63767"/>
    <w:rsid w:val="00B642E5"/>
    <w:rsid w:val="00B65FEF"/>
    <w:rsid w:val="00B660D7"/>
    <w:rsid w:val="00B6664D"/>
    <w:rsid w:val="00B66BA1"/>
    <w:rsid w:val="00B67062"/>
    <w:rsid w:val="00B670EE"/>
    <w:rsid w:val="00B67AC2"/>
    <w:rsid w:val="00B70268"/>
    <w:rsid w:val="00B71AD5"/>
    <w:rsid w:val="00B72CA2"/>
    <w:rsid w:val="00B72E48"/>
    <w:rsid w:val="00B73408"/>
    <w:rsid w:val="00B74105"/>
    <w:rsid w:val="00B75EF6"/>
    <w:rsid w:val="00B763B4"/>
    <w:rsid w:val="00B76437"/>
    <w:rsid w:val="00B76703"/>
    <w:rsid w:val="00B77375"/>
    <w:rsid w:val="00B773ED"/>
    <w:rsid w:val="00B7741D"/>
    <w:rsid w:val="00B77597"/>
    <w:rsid w:val="00B8078F"/>
    <w:rsid w:val="00B8251A"/>
    <w:rsid w:val="00B83D20"/>
    <w:rsid w:val="00B840E8"/>
    <w:rsid w:val="00B8501B"/>
    <w:rsid w:val="00B8679E"/>
    <w:rsid w:val="00B86863"/>
    <w:rsid w:val="00B86C72"/>
    <w:rsid w:val="00B87CF8"/>
    <w:rsid w:val="00B904D4"/>
    <w:rsid w:val="00B911B1"/>
    <w:rsid w:val="00B91634"/>
    <w:rsid w:val="00B91B40"/>
    <w:rsid w:val="00B9358A"/>
    <w:rsid w:val="00B93867"/>
    <w:rsid w:val="00B94C56"/>
    <w:rsid w:val="00B95237"/>
    <w:rsid w:val="00B96532"/>
    <w:rsid w:val="00BA0415"/>
    <w:rsid w:val="00BA07B7"/>
    <w:rsid w:val="00BA3900"/>
    <w:rsid w:val="00BA451F"/>
    <w:rsid w:val="00BA454F"/>
    <w:rsid w:val="00BA4555"/>
    <w:rsid w:val="00BA572D"/>
    <w:rsid w:val="00BA5E86"/>
    <w:rsid w:val="00BA6B7F"/>
    <w:rsid w:val="00BB0AF5"/>
    <w:rsid w:val="00BB13D4"/>
    <w:rsid w:val="00BB28D8"/>
    <w:rsid w:val="00BB2D03"/>
    <w:rsid w:val="00BB319F"/>
    <w:rsid w:val="00BB4A65"/>
    <w:rsid w:val="00BB50BC"/>
    <w:rsid w:val="00BC0A83"/>
    <w:rsid w:val="00BC22CA"/>
    <w:rsid w:val="00BC25A9"/>
    <w:rsid w:val="00BC2E38"/>
    <w:rsid w:val="00BC3AA2"/>
    <w:rsid w:val="00BC5664"/>
    <w:rsid w:val="00BC58AB"/>
    <w:rsid w:val="00BC5D43"/>
    <w:rsid w:val="00BC627F"/>
    <w:rsid w:val="00BC62E7"/>
    <w:rsid w:val="00BC7D04"/>
    <w:rsid w:val="00BD0EA2"/>
    <w:rsid w:val="00BD0FDD"/>
    <w:rsid w:val="00BD289F"/>
    <w:rsid w:val="00BD38E6"/>
    <w:rsid w:val="00BD390F"/>
    <w:rsid w:val="00BD3933"/>
    <w:rsid w:val="00BD4886"/>
    <w:rsid w:val="00BD4B6F"/>
    <w:rsid w:val="00BD5745"/>
    <w:rsid w:val="00BD5F6F"/>
    <w:rsid w:val="00BD603E"/>
    <w:rsid w:val="00BD768F"/>
    <w:rsid w:val="00BE080A"/>
    <w:rsid w:val="00BE0956"/>
    <w:rsid w:val="00BE2F68"/>
    <w:rsid w:val="00BE31DC"/>
    <w:rsid w:val="00BE3205"/>
    <w:rsid w:val="00BE3348"/>
    <w:rsid w:val="00BE3A9E"/>
    <w:rsid w:val="00BE47A4"/>
    <w:rsid w:val="00BE547D"/>
    <w:rsid w:val="00BE5ED5"/>
    <w:rsid w:val="00BE5FFC"/>
    <w:rsid w:val="00BE63A6"/>
    <w:rsid w:val="00BE6D18"/>
    <w:rsid w:val="00BE786D"/>
    <w:rsid w:val="00BF143C"/>
    <w:rsid w:val="00BF14D6"/>
    <w:rsid w:val="00BF1ACA"/>
    <w:rsid w:val="00BF1DEE"/>
    <w:rsid w:val="00BF47B9"/>
    <w:rsid w:val="00BF486D"/>
    <w:rsid w:val="00BF51F8"/>
    <w:rsid w:val="00BF58EE"/>
    <w:rsid w:val="00BF6203"/>
    <w:rsid w:val="00BF66F7"/>
    <w:rsid w:val="00BF671F"/>
    <w:rsid w:val="00C00081"/>
    <w:rsid w:val="00C01BB8"/>
    <w:rsid w:val="00C01D2F"/>
    <w:rsid w:val="00C02626"/>
    <w:rsid w:val="00C0277D"/>
    <w:rsid w:val="00C02F42"/>
    <w:rsid w:val="00C04CB3"/>
    <w:rsid w:val="00C05AC9"/>
    <w:rsid w:val="00C06AA3"/>
    <w:rsid w:val="00C06BFE"/>
    <w:rsid w:val="00C07263"/>
    <w:rsid w:val="00C079E0"/>
    <w:rsid w:val="00C1039A"/>
    <w:rsid w:val="00C104C4"/>
    <w:rsid w:val="00C10B04"/>
    <w:rsid w:val="00C111C7"/>
    <w:rsid w:val="00C1123A"/>
    <w:rsid w:val="00C11C59"/>
    <w:rsid w:val="00C1252F"/>
    <w:rsid w:val="00C12813"/>
    <w:rsid w:val="00C13491"/>
    <w:rsid w:val="00C13CF5"/>
    <w:rsid w:val="00C13E6E"/>
    <w:rsid w:val="00C141E1"/>
    <w:rsid w:val="00C14975"/>
    <w:rsid w:val="00C15FDF"/>
    <w:rsid w:val="00C17A01"/>
    <w:rsid w:val="00C207CD"/>
    <w:rsid w:val="00C20E16"/>
    <w:rsid w:val="00C210F0"/>
    <w:rsid w:val="00C22C22"/>
    <w:rsid w:val="00C23065"/>
    <w:rsid w:val="00C2306F"/>
    <w:rsid w:val="00C23EC3"/>
    <w:rsid w:val="00C24D8B"/>
    <w:rsid w:val="00C25438"/>
    <w:rsid w:val="00C25E90"/>
    <w:rsid w:val="00C25EDE"/>
    <w:rsid w:val="00C266AB"/>
    <w:rsid w:val="00C27279"/>
    <w:rsid w:val="00C27303"/>
    <w:rsid w:val="00C273D8"/>
    <w:rsid w:val="00C31881"/>
    <w:rsid w:val="00C31D1E"/>
    <w:rsid w:val="00C3232C"/>
    <w:rsid w:val="00C32F9F"/>
    <w:rsid w:val="00C34275"/>
    <w:rsid w:val="00C34B1D"/>
    <w:rsid w:val="00C34EF8"/>
    <w:rsid w:val="00C353CB"/>
    <w:rsid w:val="00C35C23"/>
    <w:rsid w:val="00C36CB2"/>
    <w:rsid w:val="00C37B25"/>
    <w:rsid w:val="00C37F7F"/>
    <w:rsid w:val="00C4064C"/>
    <w:rsid w:val="00C41A32"/>
    <w:rsid w:val="00C41A4A"/>
    <w:rsid w:val="00C41CA9"/>
    <w:rsid w:val="00C426FF"/>
    <w:rsid w:val="00C43646"/>
    <w:rsid w:val="00C460C8"/>
    <w:rsid w:val="00C46524"/>
    <w:rsid w:val="00C51875"/>
    <w:rsid w:val="00C51D58"/>
    <w:rsid w:val="00C53BEF"/>
    <w:rsid w:val="00C54259"/>
    <w:rsid w:val="00C55D2C"/>
    <w:rsid w:val="00C563BC"/>
    <w:rsid w:val="00C56FC1"/>
    <w:rsid w:val="00C5785E"/>
    <w:rsid w:val="00C60650"/>
    <w:rsid w:val="00C607BF"/>
    <w:rsid w:val="00C611D0"/>
    <w:rsid w:val="00C624A4"/>
    <w:rsid w:val="00C62504"/>
    <w:rsid w:val="00C6331C"/>
    <w:rsid w:val="00C63AE2"/>
    <w:rsid w:val="00C6594A"/>
    <w:rsid w:val="00C65FFE"/>
    <w:rsid w:val="00C664BF"/>
    <w:rsid w:val="00C67B06"/>
    <w:rsid w:val="00C71F6B"/>
    <w:rsid w:val="00C73C46"/>
    <w:rsid w:val="00C74698"/>
    <w:rsid w:val="00C75BAD"/>
    <w:rsid w:val="00C7736D"/>
    <w:rsid w:val="00C77717"/>
    <w:rsid w:val="00C778EF"/>
    <w:rsid w:val="00C80369"/>
    <w:rsid w:val="00C8301A"/>
    <w:rsid w:val="00C837D7"/>
    <w:rsid w:val="00C84616"/>
    <w:rsid w:val="00C860B9"/>
    <w:rsid w:val="00C861C5"/>
    <w:rsid w:val="00C8704B"/>
    <w:rsid w:val="00C87235"/>
    <w:rsid w:val="00C90361"/>
    <w:rsid w:val="00C91AA7"/>
    <w:rsid w:val="00C93381"/>
    <w:rsid w:val="00C944B6"/>
    <w:rsid w:val="00C94ADA"/>
    <w:rsid w:val="00C94EA3"/>
    <w:rsid w:val="00C94F7F"/>
    <w:rsid w:val="00C9535C"/>
    <w:rsid w:val="00C9559D"/>
    <w:rsid w:val="00C95F84"/>
    <w:rsid w:val="00C97BA3"/>
    <w:rsid w:val="00CA270E"/>
    <w:rsid w:val="00CA30C2"/>
    <w:rsid w:val="00CA352F"/>
    <w:rsid w:val="00CA3652"/>
    <w:rsid w:val="00CA37B1"/>
    <w:rsid w:val="00CA3B7C"/>
    <w:rsid w:val="00CA6455"/>
    <w:rsid w:val="00CA6A45"/>
    <w:rsid w:val="00CA758F"/>
    <w:rsid w:val="00CA79E6"/>
    <w:rsid w:val="00CA7B18"/>
    <w:rsid w:val="00CB0818"/>
    <w:rsid w:val="00CB0EA7"/>
    <w:rsid w:val="00CB1972"/>
    <w:rsid w:val="00CB338A"/>
    <w:rsid w:val="00CB3466"/>
    <w:rsid w:val="00CB3FBF"/>
    <w:rsid w:val="00CB41EC"/>
    <w:rsid w:val="00CB4B93"/>
    <w:rsid w:val="00CB665C"/>
    <w:rsid w:val="00CB6710"/>
    <w:rsid w:val="00CB6F25"/>
    <w:rsid w:val="00CB70DE"/>
    <w:rsid w:val="00CB7E0D"/>
    <w:rsid w:val="00CC0F1C"/>
    <w:rsid w:val="00CC11E0"/>
    <w:rsid w:val="00CC1978"/>
    <w:rsid w:val="00CC1C48"/>
    <w:rsid w:val="00CC1F6A"/>
    <w:rsid w:val="00CC334C"/>
    <w:rsid w:val="00CC3435"/>
    <w:rsid w:val="00CC38B6"/>
    <w:rsid w:val="00CC3AAB"/>
    <w:rsid w:val="00CC3D00"/>
    <w:rsid w:val="00CC41F1"/>
    <w:rsid w:val="00CC43CD"/>
    <w:rsid w:val="00CC4BA8"/>
    <w:rsid w:val="00CC507E"/>
    <w:rsid w:val="00CC5EC5"/>
    <w:rsid w:val="00CC61E8"/>
    <w:rsid w:val="00CC678B"/>
    <w:rsid w:val="00CC7582"/>
    <w:rsid w:val="00CC7622"/>
    <w:rsid w:val="00CC7DE5"/>
    <w:rsid w:val="00CD2D66"/>
    <w:rsid w:val="00CD3E98"/>
    <w:rsid w:val="00CD4E98"/>
    <w:rsid w:val="00CD504F"/>
    <w:rsid w:val="00CD5983"/>
    <w:rsid w:val="00CD5C8C"/>
    <w:rsid w:val="00CD7482"/>
    <w:rsid w:val="00CD77C6"/>
    <w:rsid w:val="00CD7CA1"/>
    <w:rsid w:val="00CD7D17"/>
    <w:rsid w:val="00CE0CEE"/>
    <w:rsid w:val="00CE0D51"/>
    <w:rsid w:val="00CE0EB5"/>
    <w:rsid w:val="00CE19B3"/>
    <w:rsid w:val="00CE21FA"/>
    <w:rsid w:val="00CE25F8"/>
    <w:rsid w:val="00CE290F"/>
    <w:rsid w:val="00CE3187"/>
    <w:rsid w:val="00CE362A"/>
    <w:rsid w:val="00CE36F1"/>
    <w:rsid w:val="00CE380E"/>
    <w:rsid w:val="00CE50C7"/>
    <w:rsid w:val="00CE585E"/>
    <w:rsid w:val="00CE64B6"/>
    <w:rsid w:val="00CE66EC"/>
    <w:rsid w:val="00CE6755"/>
    <w:rsid w:val="00CE7230"/>
    <w:rsid w:val="00CF047A"/>
    <w:rsid w:val="00CF09C4"/>
    <w:rsid w:val="00CF0C59"/>
    <w:rsid w:val="00CF0E69"/>
    <w:rsid w:val="00CF18D0"/>
    <w:rsid w:val="00CF1DBA"/>
    <w:rsid w:val="00CF3A2E"/>
    <w:rsid w:val="00CF4459"/>
    <w:rsid w:val="00CF5109"/>
    <w:rsid w:val="00CF584B"/>
    <w:rsid w:val="00CF5887"/>
    <w:rsid w:val="00CF5E12"/>
    <w:rsid w:val="00CF667C"/>
    <w:rsid w:val="00CF7390"/>
    <w:rsid w:val="00CF7736"/>
    <w:rsid w:val="00CF79E5"/>
    <w:rsid w:val="00D005CB"/>
    <w:rsid w:val="00D01DBF"/>
    <w:rsid w:val="00D02438"/>
    <w:rsid w:val="00D03D7E"/>
    <w:rsid w:val="00D03F55"/>
    <w:rsid w:val="00D1119F"/>
    <w:rsid w:val="00D11ADD"/>
    <w:rsid w:val="00D12DD5"/>
    <w:rsid w:val="00D135F0"/>
    <w:rsid w:val="00D13B4F"/>
    <w:rsid w:val="00D13F0F"/>
    <w:rsid w:val="00D16D96"/>
    <w:rsid w:val="00D203F6"/>
    <w:rsid w:val="00D20C5E"/>
    <w:rsid w:val="00D21A37"/>
    <w:rsid w:val="00D21C53"/>
    <w:rsid w:val="00D223E1"/>
    <w:rsid w:val="00D2289D"/>
    <w:rsid w:val="00D22B29"/>
    <w:rsid w:val="00D231BA"/>
    <w:rsid w:val="00D23247"/>
    <w:rsid w:val="00D244EC"/>
    <w:rsid w:val="00D244F0"/>
    <w:rsid w:val="00D2560D"/>
    <w:rsid w:val="00D2564C"/>
    <w:rsid w:val="00D26CE5"/>
    <w:rsid w:val="00D26D22"/>
    <w:rsid w:val="00D26E30"/>
    <w:rsid w:val="00D277BA"/>
    <w:rsid w:val="00D30EA9"/>
    <w:rsid w:val="00D317A1"/>
    <w:rsid w:val="00D32BE8"/>
    <w:rsid w:val="00D32F5C"/>
    <w:rsid w:val="00D33035"/>
    <w:rsid w:val="00D3475F"/>
    <w:rsid w:val="00D35126"/>
    <w:rsid w:val="00D36345"/>
    <w:rsid w:val="00D36580"/>
    <w:rsid w:val="00D37836"/>
    <w:rsid w:val="00D4000D"/>
    <w:rsid w:val="00D4057C"/>
    <w:rsid w:val="00D420A8"/>
    <w:rsid w:val="00D42736"/>
    <w:rsid w:val="00D42FDA"/>
    <w:rsid w:val="00D44198"/>
    <w:rsid w:val="00D44E76"/>
    <w:rsid w:val="00D4615C"/>
    <w:rsid w:val="00D471D8"/>
    <w:rsid w:val="00D47243"/>
    <w:rsid w:val="00D47DDC"/>
    <w:rsid w:val="00D505B9"/>
    <w:rsid w:val="00D51885"/>
    <w:rsid w:val="00D51C84"/>
    <w:rsid w:val="00D51CC7"/>
    <w:rsid w:val="00D536A9"/>
    <w:rsid w:val="00D538F8"/>
    <w:rsid w:val="00D53A19"/>
    <w:rsid w:val="00D53A7F"/>
    <w:rsid w:val="00D53E63"/>
    <w:rsid w:val="00D54332"/>
    <w:rsid w:val="00D544D4"/>
    <w:rsid w:val="00D55D86"/>
    <w:rsid w:val="00D574CA"/>
    <w:rsid w:val="00D57EBF"/>
    <w:rsid w:val="00D608A1"/>
    <w:rsid w:val="00D62B26"/>
    <w:rsid w:val="00D62E87"/>
    <w:rsid w:val="00D62F55"/>
    <w:rsid w:val="00D65595"/>
    <w:rsid w:val="00D70671"/>
    <w:rsid w:val="00D70EF7"/>
    <w:rsid w:val="00D72229"/>
    <w:rsid w:val="00D73500"/>
    <w:rsid w:val="00D73C1B"/>
    <w:rsid w:val="00D73EEB"/>
    <w:rsid w:val="00D7445B"/>
    <w:rsid w:val="00D75781"/>
    <w:rsid w:val="00D7650F"/>
    <w:rsid w:val="00D80788"/>
    <w:rsid w:val="00D80AB4"/>
    <w:rsid w:val="00D80E2B"/>
    <w:rsid w:val="00D81111"/>
    <w:rsid w:val="00D82011"/>
    <w:rsid w:val="00D83E4B"/>
    <w:rsid w:val="00D843A0"/>
    <w:rsid w:val="00D8441E"/>
    <w:rsid w:val="00D857DD"/>
    <w:rsid w:val="00D86B32"/>
    <w:rsid w:val="00D902EB"/>
    <w:rsid w:val="00D90784"/>
    <w:rsid w:val="00D90C43"/>
    <w:rsid w:val="00D94DAB"/>
    <w:rsid w:val="00D96B4B"/>
    <w:rsid w:val="00D972C4"/>
    <w:rsid w:val="00D97442"/>
    <w:rsid w:val="00D978B4"/>
    <w:rsid w:val="00DA056D"/>
    <w:rsid w:val="00DA16AE"/>
    <w:rsid w:val="00DA2F8E"/>
    <w:rsid w:val="00DA3F8A"/>
    <w:rsid w:val="00DA40D1"/>
    <w:rsid w:val="00DA50B3"/>
    <w:rsid w:val="00DA597E"/>
    <w:rsid w:val="00DA5D0A"/>
    <w:rsid w:val="00DA6375"/>
    <w:rsid w:val="00DA722D"/>
    <w:rsid w:val="00DA7FCF"/>
    <w:rsid w:val="00DB0844"/>
    <w:rsid w:val="00DB0CA7"/>
    <w:rsid w:val="00DB0D2E"/>
    <w:rsid w:val="00DB15EF"/>
    <w:rsid w:val="00DB1C48"/>
    <w:rsid w:val="00DB21FC"/>
    <w:rsid w:val="00DB2F61"/>
    <w:rsid w:val="00DB3040"/>
    <w:rsid w:val="00DB356A"/>
    <w:rsid w:val="00DB3878"/>
    <w:rsid w:val="00DB5169"/>
    <w:rsid w:val="00DB5A52"/>
    <w:rsid w:val="00DB7E50"/>
    <w:rsid w:val="00DC07E9"/>
    <w:rsid w:val="00DC0920"/>
    <w:rsid w:val="00DC1109"/>
    <w:rsid w:val="00DC1163"/>
    <w:rsid w:val="00DC192D"/>
    <w:rsid w:val="00DC2B4C"/>
    <w:rsid w:val="00DC2EA6"/>
    <w:rsid w:val="00DC3BEC"/>
    <w:rsid w:val="00DC4B1B"/>
    <w:rsid w:val="00DC4D84"/>
    <w:rsid w:val="00DC5AE6"/>
    <w:rsid w:val="00DC5B5A"/>
    <w:rsid w:val="00DC72AF"/>
    <w:rsid w:val="00DC7469"/>
    <w:rsid w:val="00DD015D"/>
    <w:rsid w:val="00DD0267"/>
    <w:rsid w:val="00DD073E"/>
    <w:rsid w:val="00DD13D5"/>
    <w:rsid w:val="00DD1412"/>
    <w:rsid w:val="00DD165E"/>
    <w:rsid w:val="00DD1F12"/>
    <w:rsid w:val="00DD258D"/>
    <w:rsid w:val="00DD27F1"/>
    <w:rsid w:val="00DD326B"/>
    <w:rsid w:val="00DD3651"/>
    <w:rsid w:val="00DD3D6E"/>
    <w:rsid w:val="00DD479B"/>
    <w:rsid w:val="00DD4D25"/>
    <w:rsid w:val="00DD5AA1"/>
    <w:rsid w:val="00DD5B30"/>
    <w:rsid w:val="00DD622A"/>
    <w:rsid w:val="00DD74CF"/>
    <w:rsid w:val="00DD7E25"/>
    <w:rsid w:val="00DE03F6"/>
    <w:rsid w:val="00DE0DB4"/>
    <w:rsid w:val="00DE17ED"/>
    <w:rsid w:val="00DE2B25"/>
    <w:rsid w:val="00DE375B"/>
    <w:rsid w:val="00DE3CED"/>
    <w:rsid w:val="00DE54EA"/>
    <w:rsid w:val="00DE5554"/>
    <w:rsid w:val="00DE5E0E"/>
    <w:rsid w:val="00DE5FC2"/>
    <w:rsid w:val="00DE73EA"/>
    <w:rsid w:val="00DE755D"/>
    <w:rsid w:val="00DF1B05"/>
    <w:rsid w:val="00DF209B"/>
    <w:rsid w:val="00DF21DA"/>
    <w:rsid w:val="00DF291C"/>
    <w:rsid w:val="00DF2B59"/>
    <w:rsid w:val="00DF2B90"/>
    <w:rsid w:val="00DF2D82"/>
    <w:rsid w:val="00DF350A"/>
    <w:rsid w:val="00DF40B6"/>
    <w:rsid w:val="00DF4B6F"/>
    <w:rsid w:val="00DF53AB"/>
    <w:rsid w:val="00DF5AB3"/>
    <w:rsid w:val="00DF5B20"/>
    <w:rsid w:val="00E0088F"/>
    <w:rsid w:val="00E012C1"/>
    <w:rsid w:val="00E04B3D"/>
    <w:rsid w:val="00E04CEF"/>
    <w:rsid w:val="00E05689"/>
    <w:rsid w:val="00E05E08"/>
    <w:rsid w:val="00E069BA"/>
    <w:rsid w:val="00E072D7"/>
    <w:rsid w:val="00E07C45"/>
    <w:rsid w:val="00E107DA"/>
    <w:rsid w:val="00E10992"/>
    <w:rsid w:val="00E11E1F"/>
    <w:rsid w:val="00E128E1"/>
    <w:rsid w:val="00E13746"/>
    <w:rsid w:val="00E1391C"/>
    <w:rsid w:val="00E14F73"/>
    <w:rsid w:val="00E15312"/>
    <w:rsid w:val="00E15879"/>
    <w:rsid w:val="00E15A3A"/>
    <w:rsid w:val="00E15C41"/>
    <w:rsid w:val="00E17537"/>
    <w:rsid w:val="00E17B62"/>
    <w:rsid w:val="00E22A31"/>
    <w:rsid w:val="00E22ABD"/>
    <w:rsid w:val="00E23A2E"/>
    <w:rsid w:val="00E249F0"/>
    <w:rsid w:val="00E26235"/>
    <w:rsid w:val="00E26352"/>
    <w:rsid w:val="00E27288"/>
    <w:rsid w:val="00E27E63"/>
    <w:rsid w:val="00E324F7"/>
    <w:rsid w:val="00E328D6"/>
    <w:rsid w:val="00E33B81"/>
    <w:rsid w:val="00E34F16"/>
    <w:rsid w:val="00E356B0"/>
    <w:rsid w:val="00E3591A"/>
    <w:rsid w:val="00E362ED"/>
    <w:rsid w:val="00E36855"/>
    <w:rsid w:val="00E36F15"/>
    <w:rsid w:val="00E37DEC"/>
    <w:rsid w:val="00E37FBA"/>
    <w:rsid w:val="00E40414"/>
    <w:rsid w:val="00E40D58"/>
    <w:rsid w:val="00E41520"/>
    <w:rsid w:val="00E42D4C"/>
    <w:rsid w:val="00E43214"/>
    <w:rsid w:val="00E43B06"/>
    <w:rsid w:val="00E43C82"/>
    <w:rsid w:val="00E44096"/>
    <w:rsid w:val="00E45440"/>
    <w:rsid w:val="00E45FC1"/>
    <w:rsid w:val="00E46366"/>
    <w:rsid w:val="00E46DFF"/>
    <w:rsid w:val="00E4726F"/>
    <w:rsid w:val="00E476AD"/>
    <w:rsid w:val="00E515A9"/>
    <w:rsid w:val="00E52550"/>
    <w:rsid w:val="00E5256E"/>
    <w:rsid w:val="00E526F4"/>
    <w:rsid w:val="00E5342E"/>
    <w:rsid w:val="00E54143"/>
    <w:rsid w:val="00E541A5"/>
    <w:rsid w:val="00E5504E"/>
    <w:rsid w:val="00E565D0"/>
    <w:rsid w:val="00E579F2"/>
    <w:rsid w:val="00E61BD1"/>
    <w:rsid w:val="00E61FF3"/>
    <w:rsid w:val="00E62724"/>
    <w:rsid w:val="00E63237"/>
    <w:rsid w:val="00E63871"/>
    <w:rsid w:val="00E64D2D"/>
    <w:rsid w:val="00E6595D"/>
    <w:rsid w:val="00E65CA6"/>
    <w:rsid w:val="00E67BDC"/>
    <w:rsid w:val="00E714AF"/>
    <w:rsid w:val="00E720E5"/>
    <w:rsid w:val="00E721D1"/>
    <w:rsid w:val="00E737D6"/>
    <w:rsid w:val="00E73A8E"/>
    <w:rsid w:val="00E73B17"/>
    <w:rsid w:val="00E73DF3"/>
    <w:rsid w:val="00E74CBC"/>
    <w:rsid w:val="00E7546A"/>
    <w:rsid w:val="00E7618F"/>
    <w:rsid w:val="00E7636E"/>
    <w:rsid w:val="00E763A5"/>
    <w:rsid w:val="00E76417"/>
    <w:rsid w:val="00E765E3"/>
    <w:rsid w:val="00E772DE"/>
    <w:rsid w:val="00E80307"/>
    <w:rsid w:val="00E8033E"/>
    <w:rsid w:val="00E80475"/>
    <w:rsid w:val="00E80517"/>
    <w:rsid w:val="00E8075B"/>
    <w:rsid w:val="00E80E88"/>
    <w:rsid w:val="00E82845"/>
    <w:rsid w:val="00E83D56"/>
    <w:rsid w:val="00E84D12"/>
    <w:rsid w:val="00E86C32"/>
    <w:rsid w:val="00E8743C"/>
    <w:rsid w:val="00E87A16"/>
    <w:rsid w:val="00E87BFA"/>
    <w:rsid w:val="00E903C1"/>
    <w:rsid w:val="00E9104E"/>
    <w:rsid w:val="00E91B68"/>
    <w:rsid w:val="00E92249"/>
    <w:rsid w:val="00E92336"/>
    <w:rsid w:val="00E92F67"/>
    <w:rsid w:val="00E9338F"/>
    <w:rsid w:val="00E93E10"/>
    <w:rsid w:val="00E941BD"/>
    <w:rsid w:val="00E9502A"/>
    <w:rsid w:val="00E963A0"/>
    <w:rsid w:val="00E966C5"/>
    <w:rsid w:val="00E96DA2"/>
    <w:rsid w:val="00E97ABC"/>
    <w:rsid w:val="00EA0004"/>
    <w:rsid w:val="00EA0775"/>
    <w:rsid w:val="00EA09ED"/>
    <w:rsid w:val="00EA10C4"/>
    <w:rsid w:val="00EA1FED"/>
    <w:rsid w:val="00EA28DA"/>
    <w:rsid w:val="00EA319C"/>
    <w:rsid w:val="00EA4B20"/>
    <w:rsid w:val="00EA52C1"/>
    <w:rsid w:val="00EA5662"/>
    <w:rsid w:val="00EA60FA"/>
    <w:rsid w:val="00EA68A3"/>
    <w:rsid w:val="00EA6E4A"/>
    <w:rsid w:val="00EA75EA"/>
    <w:rsid w:val="00EB03A6"/>
    <w:rsid w:val="00EB0DC0"/>
    <w:rsid w:val="00EB1037"/>
    <w:rsid w:val="00EB1F9E"/>
    <w:rsid w:val="00EB3BD4"/>
    <w:rsid w:val="00EB3D27"/>
    <w:rsid w:val="00EB608B"/>
    <w:rsid w:val="00EB7708"/>
    <w:rsid w:val="00EC00A9"/>
    <w:rsid w:val="00EC0A54"/>
    <w:rsid w:val="00EC0CAC"/>
    <w:rsid w:val="00EC13A2"/>
    <w:rsid w:val="00EC1678"/>
    <w:rsid w:val="00EC1E6B"/>
    <w:rsid w:val="00EC2A24"/>
    <w:rsid w:val="00EC2D1D"/>
    <w:rsid w:val="00EC2ECB"/>
    <w:rsid w:val="00EC320A"/>
    <w:rsid w:val="00EC34B0"/>
    <w:rsid w:val="00EC39CE"/>
    <w:rsid w:val="00EC3FDD"/>
    <w:rsid w:val="00EC4119"/>
    <w:rsid w:val="00EC44BD"/>
    <w:rsid w:val="00EC4FC4"/>
    <w:rsid w:val="00EC5352"/>
    <w:rsid w:val="00EC588C"/>
    <w:rsid w:val="00EC5B52"/>
    <w:rsid w:val="00EC72F0"/>
    <w:rsid w:val="00ED016E"/>
    <w:rsid w:val="00ED0261"/>
    <w:rsid w:val="00ED2424"/>
    <w:rsid w:val="00ED2721"/>
    <w:rsid w:val="00ED2F7B"/>
    <w:rsid w:val="00ED36B3"/>
    <w:rsid w:val="00ED4BAD"/>
    <w:rsid w:val="00ED6157"/>
    <w:rsid w:val="00ED692D"/>
    <w:rsid w:val="00ED71FF"/>
    <w:rsid w:val="00ED733F"/>
    <w:rsid w:val="00ED7D53"/>
    <w:rsid w:val="00EE02AA"/>
    <w:rsid w:val="00EE02E3"/>
    <w:rsid w:val="00EE1632"/>
    <w:rsid w:val="00EE1A0A"/>
    <w:rsid w:val="00EE2F2E"/>
    <w:rsid w:val="00EE2F5F"/>
    <w:rsid w:val="00EE3A9D"/>
    <w:rsid w:val="00EE4F9B"/>
    <w:rsid w:val="00EE6337"/>
    <w:rsid w:val="00EE70FC"/>
    <w:rsid w:val="00EE7808"/>
    <w:rsid w:val="00EE7BB0"/>
    <w:rsid w:val="00EF0A83"/>
    <w:rsid w:val="00EF0C89"/>
    <w:rsid w:val="00EF1ACD"/>
    <w:rsid w:val="00EF1E9C"/>
    <w:rsid w:val="00EF2395"/>
    <w:rsid w:val="00EF3367"/>
    <w:rsid w:val="00EF3F99"/>
    <w:rsid w:val="00EF51A6"/>
    <w:rsid w:val="00EF5820"/>
    <w:rsid w:val="00EF5C18"/>
    <w:rsid w:val="00EF7B38"/>
    <w:rsid w:val="00F01181"/>
    <w:rsid w:val="00F016C2"/>
    <w:rsid w:val="00F018FA"/>
    <w:rsid w:val="00F01D53"/>
    <w:rsid w:val="00F040E6"/>
    <w:rsid w:val="00F0465D"/>
    <w:rsid w:val="00F04A0D"/>
    <w:rsid w:val="00F05803"/>
    <w:rsid w:val="00F05ED5"/>
    <w:rsid w:val="00F061C5"/>
    <w:rsid w:val="00F104BC"/>
    <w:rsid w:val="00F107C5"/>
    <w:rsid w:val="00F10AF1"/>
    <w:rsid w:val="00F11BF6"/>
    <w:rsid w:val="00F12375"/>
    <w:rsid w:val="00F147D3"/>
    <w:rsid w:val="00F1525F"/>
    <w:rsid w:val="00F15309"/>
    <w:rsid w:val="00F1575C"/>
    <w:rsid w:val="00F17356"/>
    <w:rsid w:val="00F17787"/>
    <w:rsid w:val="00F2066D"/>
    <w:rsid w:val="00F212FF"/>
    <w:rsid w:val="00F22310"/>
    <w:rsid w:val="00F235C8"/>
    <w:rsid w:val="00F2485C"/>
    <w:rsid w:val="00F258B5"/>
    <w:rsid w:val="00F26542"/>
    <w:rsid w:val="00F2728B"/>
    <w:rsid w:val="00F2744B"/>
    <w:rsid w:val="00F3058D"/>
    <w:rsid w:val="00F30F39"/>
    <w:rsid w:val="00F31D9E"/>
    <w:rsid w:val="00F3236F"/>
    <w:rsid w:val="00F323B1"/>
    <w:rsid w:val="00F352EB"/>
    <w:rsid w:val="00F35404"/>
    <w:rsid w:val="00F35A4B"/>
    <w:rsid w:val="00F36541"/>
    <w:rsid w:val="00F36703"/>
    <w:rsid w:val="00F369FB"/>
    <w:rsid w:val="00F36F10"/>
    <w:rsid w:val="00F37FD3"/>
    <w:rsid w:val="00F447FE"/>
    <w:rsid w:val="00F4696A"/>
    <w:rsid w:val="00F5058A"/>
    <w:rsid w:val="00F51B73"/>
    <w:rsid w:val="00F52769"/>
    <w:rsid w:val="00F52CE8"/>
    <w:rsid w:val="00F53D4A"/>
    <w:rsid w:val="00F547E9"/>
    <w:rsid w:val="00F54D02"/>
    <w:rsid w:val="00F55AE0"/>
    <w:rsid w:val="00F613C5"/>
    <w:rsid w:val="00F6271A"/>
    <w:rsid w:val="00F62FEE"/>
    <w:rsid w:val="00F63360"/>
    <w:rsid w:val="00F63D2F"/>
    <w:rsid w:val="00F64BD9"/>
    <w:rsid w:val="00F65316"/>
    <w:rsid w:val="00F65447"/>
    <w:rsid w:val="00F657C5"/>
    <w:rsid w:val="00F657D0"/>
    <w:rsid w:val="00F65B3D"/>
    <w:rsid w:val="00F67B74"/>
    <w:rsid w:val="00F706D1"/>
    <w:rsid w:val="00F71676"/>
    <w:rsid w:val="00F721A1"/>
    <w:rsid w:val="00F72F99"/>
    <w:rsid w:val="00F74AB8"/>
    <w:rsid w:val="00F74FAF"/>
    <w:rsid w:val="00F75326"/>
    <w:rsid w:val="00F7570A"/>
    <w:rsid w:val="00F75A63"/>
    <w:rsid w:val="00F75BE8"/>
    <w:rsid w:val="00F76288"/>
    <w:rsid w:val="00F76986"/>
    <w:rsid w:val="00F7728F"/>
    <w:rsid w:val="00F8024A"/>
    <w:rsid w:val="00F8029F"/>
    <w:rsid w:val="00F802F6"/>
    <w:rsid w:val="00F808C5"/>
    <w:rsid w:val="00F816B7"/>
    <w:rsid w:val="00F81E5E"/>
    <w:rsid w:val="00F81F53"/>
    <w:rsid w:val="00F822A2"/>
    <w:rsid w:val="00F82AC2"/>
    <w:rsid w:val="00F8357B"/>
    <w:rsid w:val="00F8377A"/>
    <w:rsid w:val="00F83814"/>
    <w:rsid w:val="00F83F0E"/>
    <w:rsid w:val="00F851AB"/>
    <w:rsid w:val="00F859C2"/>
    <w:rsid w:val="00F865B9"/>
    <w:rsid w:val="00F86A78"/>
    <w:rsid w:val="00F86E4E"/>
    <w:rsid w:val="00F87F99"/>
    <w:rsid w:val="00F90445"/>
    <w:rsid w:val="00F90E31"/>
    <w:rsid w:val="00F9105C"/>
    <w:rsid w:val="00F910A2"/>
    <w:rsid w:val="00F9193E"/>
    <w:rsid w:val="00F92540"/>
    <w:rsid w:val="00F92576"/>
    <w:rsid w:val="00F93CA4"/>
    <w:rsid w:val="00F95FE2"/>
    <w:rsid w:val="00F96E82"/>
    <w:rsid w:val="00F973D9"/>
    <w:rsid w:val="00FA0158"/>
    <w:rsid w:val="00FA0BD2"/>
    <w:rsid w:val="00FA1A0D"/>
    <w:rsid w:val="00FA30EE"/>
    <w:rsid w:val="00FA3412"/>
    <w:rsid w:val="00FA348B"/>
    <w:rsid w:val="00FA3DDA"/>
    <w:rsid w:val="00FA47A0"/>
    <w:rsid w:val="00FA5163"/>
    <w:rsid w:val="00FA5524"/>
    <w:rsid w:val="00FA63D1"/>
    <w:rsid w:val="00FA76CE"/>
    <w:rsid w:val="00FA7BF7"/>
    <w:rsid w:val="00FA7E2D"/>
    <w:rsid w:val="00FA7E62"/>
    <w:rsid w:val="00FB1D8B"/>
    <w:rsid w:val="00FB53F7"/>
    <w:rsid w:val="00FB5BEC"/>
    <w:rsid w:val="00FB6B9D"/>
    <w:rsid w:val="00FB6C00"/>
    <w:rsid w:val="00FC0C3C"/>
    <w:rsid w:val="00FC15ED"/>
    <w:rsid w:val="00FC1CA2"/>
    <w:rsid w:val="00FC30C5"/>
    <w:rsid w:val="00FC3695"/>
    <w:rsid w:val="00FC3EBE"/>
    <w:rsid w:val="00FC4EDC"/>
    <w:rsid w:val="00FC5302"/>
    <w:rsid w:val="00FC5645"/>
    <w:rsid w:val="00FC643F"/>
    <w:rsid w:val="00FC6598"/>
    <w:rsid w:val="00FC66FB"/>
    <w:rsid w:val="00FC67A2"/>
    <w:rsid w:val="00FD03A2"/>
    <w:rsid w:val="00FD1974"/>
    <w:rsid w:val="00FD2F40"/>
    <w:rsid w:val="00FD30CF"/>
    <w:rsid w:val="00FD41DC"/>
    <w:rsid w:val="00FD52DB"/>
    <w:rsid w:val="00FD5425"/>
    <w:rsid w:val="00FD56A6"/>
    <w:rsid w:val="00FD57F5"/>
    <w:rsid w:val="00FD5F79"/>
    <w:rsid w:val="00FD653F"/>
    <w:rsid w:val="00FD7FF9"/>
    <w:rsid w:val="00FE041F"/>
    <w:rsid w:val="00FE0950"/>
    <w:rsid w:val="00FE0B0E"/>
    <w:rsid w:val="00FE15B6"/>
    <w:rsid w:val="00FE1899"/>
    <w:rsid w:val="00FE2251"/>
    <w:rsid w:val="00FE34A4"/>
    <w:rsid w:val="00FE4FF0"/>
    <w:rsid w:val="00FE54FF"/>
    <w:rsid w:val="00FE5545"/>
    <w:rsid w:val="00FE5FD3"/>
    <w:rsid w:val="00FE6613"/>
    <w:rsid w:val="00FE689D"/>
    <w:rsid w:val="00FE7B32"/>
    <w:rsid w:val="00FF0454"/>
    <w:rsid w:val="00FF15A5"/>
    <w:rsid w:val="00FF166E"/>
    <w:rsid w:val="00FF2788"/>
    <w:rsid w:val="00FF2C88"/>
    <w:rsid w:val="00FF3B0E"/>
    <w:rsid w:val="00FF52CC"/>
    <w:rsid w:val="00FF652E"/>
    <w:rsid w:val="00FF6DF6"/>
    <w:rsid w:val="00FF7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BA5AB"/>
  <w15:chartTrackingRefBased/>
  <w15:docId w15:val="{326E2024-60B7-4E1B-9D19-2AAEBAD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F41"/>
    <w:rPr>
      <w:color w:val="0563C1" w:themeColor="hyperlink"/>
      <w:u w:val="single"/>
    </w:rPr>
  </w:style>
  <w:style w:type="character" w:customStyle="1" w:styleId="UnresolvedMention1">
    <w:name w:val="Unresolved Mention1"/>
    <w:basedOn w:val="DefaultParagraphFont"/>
    <w:uiPriority w:val="99"/>
    <w:semiHidden/>
    <w:unhideWhenUsed/>
    <w:rsid w:val="007E1F41"/>
    <w:rPr>
      <w:color w:val="605E5C"/>
      <w:shd w:val="clear" w:color="auto" w:fill="E1DFDD"/>
    </w:rPr>
  </w:style>
  <w:style w:type="paragraph" w:styleId="Header">
    <w:name w:val="header"/>
    <w:basedOn w:val="Normal"/>
    <w:link w:val="HeaderChar"/>
    <w:uiPriority w:val="99"/>
    <w:unhideWhenUsed/>
    <w:rsid w:val="00112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E7"/>
  </w:style>
  <w:style w:type="paragraph" w:styleId="Footer">
    <w:name w:val="footer"/>
    <w:basedOn w:val="Normal"/>
    <w:link w:val="FooterChar"/>
    <w:uiPriority w:val="99"/>
    <w:unhideWhenUsed/>
    <w:rsid w:val="00112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E7"/>
  </w:style>
  <w:style w:type="character" w:styleId="UnresolvedMention">
    <w:name w:val="Unresolved Mention"/>
    <w:basedOn w:val="DefaultParagraphFont"/>
    <w:uiPriority w:val="99"/>
    <w:semiHidden/>
    <w:unhideWhenUsed/>
    <w:rsid w:val="00E80E88"/>
    <w:rPr>
      <w:color w:val="605E5C"/>
      <w:shd w:val="clear" w:color="auto" w:fill="E1DFDD"/>
    </w:rPr>
  </w:style>
  <w:style w:type="paragraph" w:styleId="BalloonText">
    <w:name w:val="Balloon Text"/>
    <w:basedOn w:val="Normal"/>
    <w:link w:val="BalloonTextChar"/>
    <w:uiPriority w:val="99"/>
    <w:semiHidden/>
    <w:unhideWhenUsed/>
    <w:rsid w:val="00E80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88"/>
    <w:rPr>
      <w:rFonts w:ascii="Segoe UI" w:hAnsi="Segoe UI" w:cs="Segoe UI"/>
      <w:sz w:val="18"/>
      <w:szCs w:val="18"/>
    </w:rPr>
  </w:style>
  <w:style w:type="character" w:styleId="CommentReference">
    <w:name w:val="annotation reference"/>
    <w:basedOn w:val="DefaultParagraphFont"/>
    <w:uiPriority w:val="99"/>
    <w:semiHidden/>
    <w:unhideWhenUsed/>
    <w:rsid w:val="009E65CB"/>
    <w:rPr>
      <w:sz w:val="16"/>
      <w:szCs w:val="16"/>
    </w:rPr>
  </w:style>
  <w:style w:type="paragraph" w:styleId="CommentText">
    <w:name w:val="annotation text"/>
    <w:basedOn w:val="Normal"/>
    <w:link w:val="CommentTextChar"/>
    <w:uiPriority w:val="99"/>
    <w:unhideWhenUsed/>
    <w:rsid w:val="009E65CB"/>
    <w:pPr>
      <w:spacing w:line="240" w:lineRule="auto"/>
    </w:pPr>
    <w:rPr>
      <w:sz w:val="20"/>
      <w:szCs w:val="20"/>
    </w:rPr>
  </w:style>
  <w:style w:type="character" w:customStyle="1" w:styleId="CommentTextChar">
    <w:name w:val="Comment Text Char"/>
    <w:basedOn w:val="DefaultParagraphFont"/>
    <w:link w:val="CommentText"/>
    <w:uiPriority w:val="99"/>
    <w:rsid w:val="009E65CB"/>
    <w:rPr>
      <w:sz w:val="20"/>
      <w:szCs w:val="20"/>
    </w:rPr>
  </w:style>
  <w:style w:type="paragraph" w:styleId="CommentSubject">
    <w:name w:val="annotation subject"/>
    <w:basedOn w:val="CommentText"/>
    <w:next w:val="CommentText"/>
    <w:link w:val="CommentSubjectChar"/>
    <w:uiPriority w:val="99"/>
    <w:semiHidden/>
    <w:unhideWhenUsed/>
    <w:rsid w:val="009E65CB"/>
    <w:rPr>
      <w:b/>
      <w:bCs/>
    </w:rPr>
  </w:style>
  <w:style w:type="character" w:customStyle="1" w:styleId="CommentSubjectChar">
    <w:name w:val="Comment Subject Char"/>
    <w:basedOn w:val="CommentTextChar"/>
    <w:link w:val="CommentSubject"/>
    <w:uiPriority w:val="99"/>
    <w:semiHidden/>
    <w:rsid w:val="009E65CB"/>
    <w:rPr>
      <w:b/>
      <w:bCs/>
      <w:sz w:val="20"/>
      <w:szCs w:val="20"/>
    </w:rPr>
  </w:style>
  <w:style w:type="paragraph" w:styleId="BodyText">
    <w:name w:val="Body Text"/>
    <w:basedOn w:val="Normal"/>
    <w:link w:val="BodyTextChar"/>
    <w:uiPriority w:val="99"/>
    <w:semiHidden/>
    <w:unhideWhenUsed/>
    <w:rsid w:val="00561420"/>
    <w:pPr>
      <w:spacing w:after="120"/>
    </w:pPr>
  </w:style>
  <w:style w:type="character" w:customStyle="1" w:styleId="BodyTextChar">
    <w:name w:val="Body Text Char"/>
    <w:basedOn w:val="DefaultParagraphFont"/>
    <w:link w:val="BodyText"/>
    <w:uiPriority w:val="99"/>
    <w:semiHidden/>
    <w:rsid w:val="00561420"/>
  </w:style>
  <w:style w:type="paragraph" w:styleId="Revision">
    <w:name w:val="Revision"/>
    <w:hidden/>
    <w:uiPriority w:val="99"/>
    <w:semiHidden/>
    <w:rsid w:val="00A518AE"/>
    <w:pPr>
      <w:spacing w:after="0" w:line="240" w:lineRule="auto"/>
    </w:pPr>
  </w:style>
  <w:style w:type="paragraph" w:customStyle="1" w:styleId="Default">
    <w:name w:val="Default"/>
    <w:rsid w:val="009C3DE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4105C"/>
    <w:rPr>
      <w:color w:val="954F72" w:themeColor="followedHyperlink"/>
      <w:u w:val="single"/>
    </w:rPr>
  </w:style>
  <w:style w:type="paragraph" w:styleId="ListParagraph">
    <w:name w:val="List Paragraph"/>
    <w:basedOn w:val="Normal"/>
    <w:uiPriority w:val="34"/>
    <w:qFormat/>
    <w:rsid w:val="00E86C32"/>
    <w:pPr>
      <w:ind w:left="720"/>
      <w:contextualSpacing/>
    </w:pPr>
  </w:style>
  <w:style w:type="character" w:styleId="PlaceholderText">
    <w:name w:val="Placeholder Text"/>
    <w:basedOn w:val="DefaultParagraphFont"/>
    <w:uiPriority w:val="99"/>
    <w:semiHidden/>
    <w:rsid w:val="009F24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5498">
      <w:bodyDiv w:val="1"/>
      <w:marLeft w:val="0"/>
      <w:marRight w:val="0"/>
      <w:marTop w:val="0"/>
      <w:marBottom w:val="0"/>
      <w:divBdr>
        <w:top w:val="none" w:sz="0" w:space="0" w:color="auto"/>
        <w:left w:val="none" w:sz="0" w:space="0" w:color="auto"/>
        <w:bottom w:val="none" w:sz="0" w:space="0" w:color="auto"/>
        <w:right w:val="none" w:sz="0" w:space="0" w:color="auto"/>
      </w:divBdr>
    </w:div>
    <w:div w:id="648902184">
      <w:bodyDiv w:val="1"/>
      <w:marLeft w:val="0"/>
      <w:marRight w:val="0"/>
      <w:marTop w:val="0"/>
      <w:marBottom w:val="0"/>
      <w:divBdr>
        <w:top w:val="none" w:sz="0" w:space="0" w:color="auto"/>
        <w:left w:val="none" w:sz="0" w:space="0" w:color="auto"/>
        <w:bottom w:val="none" w:sz="0" w:space="0" w:color="auto"/>
        <w:right w:val="none" w:sz="0" w:space="0" w:color="auto"/>
      </w:divBdr>
    </w:div>
    <w:div w:id="833381011">
      <w:bodyDiv w:val="1"/>
      <w:marLeft w:val="0"/>
      <w:marRight w:val="0"/>
      <w:marTop w:val="0"/>
      <w:marBottom w:val="0"/>
      <w:divBdr>
        <w:top w:val="none" w:sz="0" w:space="0" w:color="auto"/>
        <w:left w:val="none" w:sz="0" w:space="0" w:color="auto"/>
        <w:bottom w:val="none" w:sz="0" w:space="0" w:color="auto"/>
        <w:right w:val="none" w:sz="0" w:space="0" w:color="auto"/>
      </w:divBdr>
    </w:div>
    <w:div w:id="1130325248">
      <w:bodyDiv w:val="1"/>
      <w:marLeft w:val="0"/>
      <w:marRight w:val="0"/>
      <w:marTop w:val="0"/>
      <w:marBottom w:val="0"/>
      <w:divBdr>
        <w:top w:val="none" w:sz="0" w:space="0" w:color="auto"/>
        <w:left w:val="none" w:sz="0" w:space="0" w:color="auto"/>
        <w:bottom w:val="none" w:sz="0" w:space="0" w:color="auto"/>
        <w:right w:val="none" w:sz="0" w:space="0" w:color="auto"/>
      </w:divBdr>
      <w:divsChild>
        <w:div w:id="861938258">
          <w:marLeft w:val="0"/>
          <w:marRight w:val="0"/>
          <w:marTop w:val="0"/>
          <w:marBottom w:val="0"/>
          <w:divBdr>
            <w:top w:val="none" w:sz="0" w:space="0" w:color="auto"/>
            <w:left w:val="none" w:sz="0" w:space="0" w:color="auto"/>
            <w:bottom w:val="none" w:sz="0" w:space="0" w:color="auto"/>
            <w:right w:val="none" w:sz="0" w:space="0" w:color="auto"/>
          </w:divBdr>
          <w:divsChild>
            <w:div w:id="4155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ac.uk" TargetMode="External"/><Relationship Id="rId13" Type="http://schemas.openxmlformats.org/officeDocument/2006/relationships/image" Target="media/image4.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heffield.ac.uk/FRAX/tool.aspx?country=50"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6ED0-1789-4748-A64A-F0066CBE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5806</Words>
  <Characters>33095</Characters>
  <Application>Microsoft Office Word</Application>
  <DocSecurity>0</DocSecurity>
  <Lines>275</Lines>
  <Paragraphs>77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John Kanis</cp:lastModifiedBy>
  <cp:revision>4</cp:revision>
  <cp:lastPrinted>2022-08-09T17:59:00Z</cp:lastPrinted>
  <dcterms:created xsi:type="dcterms:W3CDTF">2022-11-23T00:57:00Z</dcterms:created>
  <dcterms:modified xsi:type="dcterms:W3CDTF">2022-11-23T01:01:00Z</dcterms:modified>
</cp:coreProperties>
</file>