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2988" w14:textId="10D01D3C" w:rsidR="0053255E" w:rsidRPr="00AF66F4" w:rsidRDefault="0053255E" w:rsidP="00752583">
      <w:pPr>
        <w:spacing w:line="600" w:lineRule="auto"/>
        <w:jc w:val="center"/>
        <w:rPr>
          <w:rFonts w:ascii="Arial" w:hAnsi="Arial" w:cs="Arial"/>
          <w:b/>
          <w:bCs/>
        </w:rPr>
      </w:pPr>
      <w:bookmarkStart w:id="0" w:name="_Hlk122093786"/>
      <w:r w:rsidRPr="00AF66F4">
        <w:rPr>
          <w:rFonts w:ascii="Arial" w:hAnsi="Arial" w:cs="Arial"/>
          <w:b/>
          <w:bCs/>
        </w:rPr>
        <w:t>Over</w:t>
      </w:r>
      <w:r w:rsidR="00752583" w:rsidRPr="00AF66F4">
        <w:rPr>
          <w:rFonts w:ascii="Arial" w:hAnsi="Arial" w:cs="Arial"/>
          <w:b/>
          <w:bCs/>
        </w:rPr>
        <w:t>-</w:t>
      </w:r>
      <w:r w:rsidRPr="00AF66F4">
        <w:rPr>
          <w:rFonts w:ascii="Arial" w:hAnsi="Arial" w:cs="Arial"/>
          <w:b/>
          <w:bCs/>
        </w:rPr>
        <w:t xml:space="preserve">testing </w:t>
      </w:r>
      <w:r w:rsidR="00514972">
        <w:rPr>
          <w:rFonts w:ascii="Arial" w:hAnsi="Arial" w:cs="Arial"/>
          <w:b/>
          <w:bCs/>
        </w:rPr>
        <w:t xml:space="preserve">and inadequate management </w:t>
      </w:r>
      <w:r w:rsidR="00514972" w:rsidRPr="00AF66F4">
        <w:rPr>
          <w:rFonts w:ascii="Arial" w:hAnsi="Arial" w:cs="Arial"/>
          <w:b/>
          <w:bCs/>
        </w:rPr>
        <w:t xml:space="preserve">of 25-hydroxyvitamin D status </w:t>
      </w:r>
      <w:r w:rsidRPr="00AF66F4">
        <w:rPr>
          <w:rFonts w:ascii="Arial" w:hAnsi="Arial" w:cs="Arial"/>
          <w:b/>
          <w:bCs/>
        </w:rPr>
        <w:t>in</w:t>
      </w:r>
      <w:r w:rsidR="00514972">
        <w:rPr>
          <w:rFonts w:ascii="Arial" w:hAnsi="Arial" w:cs="Arial"/>
          <w:b/>
          <w:bCs/>
        </w:rPr>
        <w:t xml:space="preserve"> </w:t>
      </w:r>
      <w:r w:rsidR="00B82AF9">
        <w:rPr>
          <w:rFonts w:ascii="Arial" w:hAnsi="Arial" w:cs="Arial"/>
          <w:b/>
          <w:bCs/>
        </w:rPr>
        <w:t>paediatric secondary and tertiary care</w:t>
      </w:r>
      <w:r w:rsidRPr="00AF66F4">
        <w:rPr>
          <w:rFonts w:ascii="Arial" w:hAnsi="Arial" w:cs="Arial"/>
          <w:b/>
          <w:bCs/>
        </w:rPr>
        <w:t xml:space="preserve"> </w:t>
      </w:r>
    </w:p>
    <w:p w14:paraId="02AE5019" w14:textId="784243B1" w:rsidR="00752583" w:rsidRPr="00AF66F4" w:rsidRDefault="000327E3" w:rsidP="00752583">
      <w:pPr>
        <w:spacing w:line="276" w:lineRule="auto"/>
        <w:jc w:val="center"/>
        <w:rPr>
          <w:rFonts w:ascii="Arial" w:hAnsi="Arial" w:cs="Arial"/>
          <w:vertAlign w:val="superscript"/>
        </w:rPr>
      </w:pPr>
      <w:r w:rsidRPr="00AF66F4">
        <w:rPr>
          <w:rFonts w:ascii="Arial" w:hAnsi="Arial" w:cs="Arial"/>
        </w:rPr>
        <w:t>Justin H Davies</w:t>
      </w:r>
      <w:r w:rsidRPr="00AF66F4">
        <w:rPr>
          <w:rFonts w:ascii="Arial" w:hAnsi="Arial" w:cs="Arial"/>
          <w:vertAlign w:val="superscript"/>
        </w:rPr>
        <w:t>1,3</w:t>
      </w:r>
      <w:r w:rsidR="009D61C7">
        <w:rPr>
          <w:rFonts w:ascii="Arial" w:hAnsi="Arial" w:cs="Arial"/>
        </w:rPr>
        <w:t>, M</w:t>
      </w:r>
      <w:r w:rsidR="00752583" w:rsidRPr="00AF66F4">
        <w:rPr>
          <w:rFonts w:ascii="Arial" w:hAnsi="Arial" w:cs="Arial"/>
        </w:rPr>
        <w:t>olly Handcock</w:t>
      </w:r>
      <w:r w:rsidR="00752583" w:rsidRPr="00AF66F4">
        <w:rPr>
          <w:rFonts w:ascii="Arial" w:hAnsi="Arial" w:cs="Arial"/>
          <w:vertAlign w:val="superscript"/>
        </w:rPr>
        <w:t>1</w:t>
      </w:r>
      <w:r w:rsidR="00752583" w:rsidRPr="00AF66F4">
        <w:rPr>
          <w:rFonts w:ascii="Arial" w:hAnsi="Arial" w:cs="Arial"/>
        </w:rPr>
        <w:t>, Paul Cook</w:t>
      </w:r>
      <w:r w:rsidR="00752583" w:rsidRPr="00AF66F4">
        <w:rPr>
          <w:rFonts w:ascii="Arial" w:hAnsi="Arial" w:cs="Arial"/>
          <w:vertAlign w:val="superscript"/>
        </w:rPr>
        <w:t>2</w:t>
      </w:r>
      <w:r w:rsidR="00752583" w:rsidRPr="00AF66F4">
        <w:rPr>
          <w:rFonts w:ascii="Arial" w:hAnsi="Arial" w:cs="Arial"/>
        </w:rPr>
        <w:t>, Olivia Kaye</w:t>
      </w:r>
      <w:r w:rsidR="00752583" w:rsidRPr="00AF66F4">
        <w:rPr>
          <w:rFonts w:ascii="Arial" w:hAnsi="Arial" w:cs="Arial"/>
          <w:vertAlign w:val="superscript"/>
        </w:rPr>
        <w:t>2</w:t>
      </w:r>
      <w:r w:rsidR="00752583" w:rsidRPr="00AF66F4">
        <w:rPr>
          <w:rFonts w:ascii="Arial" w:hAnsi="Arial" w:cs="Arial"/>
        </w:rPr>
        <w:t>, Rebecca J Moon</w:t>
      </w:r>
      <w:r w:rsidR="00752583" w:rsidRPr="00AF66F4">
        <w:rPr>
          <w:rFonts w:ascii="Arial" w:hAnsi="Arial" w:cs="Arial"/>
          <w:vertAlign w:val="superscript"/>
        </w:rPr>
        <w:t>3,4</w:t>
      </w:r>
    </w:p>
    <w:bookmarkEnd w:id="0"/>
    <w:p w14:paraId="7443724C" w14:textId="77777777" w:rsidR="00752583" w:rsidRPr="00AF66F4" w:rsidRDefault="00752583" w:rsidP="00752583">
      <w:pPr>
        <w:spacing w:line="276" w:lineRule="auto"/>
        <w:rPr>
          <w:rFonts w:ascii="Arial" w:hAnsi="Arial" w:cs="Arial"/>
        </w:rPr>
      </w:pPr>
    </w:p>
    <w:p w14:paraId="5A84B5B0" w14:textId="77777777" w:rsidR="00752583" w:rsidRPr="00AF66F4" w:rsidRDefault="00752583" w:rsidP="0075258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F66F4">
        <w:rPr>
          <w:rFonts w:ascii="Arial" w:hAnsi="Arial" w:cs="Arial"/>
        </w:rPr>
        <w:t>Faculty of Medicine, University of Southampton</w:t>
      </w:r>
    </w:p>
    <w:p w14:paraId="303AF6E2" w14:textId="77777777" w:rsidR="00752583" w:rsidRPr="00AF66F4" w:rsidRDefault="00752583" w:rsidP="00AF66F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F66F4">
        <w:rPr>
          <w:rFonts w:ascii="Arial" w:hAnsi="Arial" w:cs="Arial"/>
        </w:rPr>
        <w:t>Clinical Biochemistry, University Hospital Southampton NHS Foundation Trust</w:t>
      </w:r>
    </w:p>
    <w:p w14:paraId="611DFCB0" w14:textId="77777777" w:rsidR="00752583" w:rsidRPr="00AF66F4" w:rsidRDefault="00752583" w:rsidP="0075258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F66F4">
        <w:rPr>
          <w:rFonts w:ascii="Arial" w:hAnsi="Arial" w:cs="Arial"/>
        </w:rPr>
        <w:t>Paediatric Endocrinology, University Hospital Southampton NHS Foundation Trust</w:t>
      </w:r>
    </w:p>
    <w:p w14:paraId="5673DBCE" w14:textId="77777777" w:rsidR="00752583" w:rsidRPr="00AF66F4" w:rsidRDefault="00752583" w:rsidP="0075258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F66F4">
        <w:rPr>
          <w:rFonts w:ascii="Arial" w:hAnsi="Arial" w:cs="Arial"/>
        </w:rPr>
        <w:t>MRC Lifecourse Epidemiology Centre, University of Southampton, Southampton UK</w:t>
      </w:r>
    </w:p>
    <w:p w14:paraId="2D324C38" w14:textId="77777777" w:rsidR="00752583" w:rsidRPr="00AF66F4" w:rsidRDefault="00752583" w:rsidP="00752583">
      <w:pPr>
        <w:rPr>
          <w:rFonts w:ascii="Arial" w:hAnsi="Arial" w:cs="Arial"/>
          <w:lang w:val="en-US"/>
        </w:rPr>
      </w:pPr>
    </w:p>
    <w:p w14:paraId="7DA2D935" w14:textId="77777777" w:rsidR="00752583" w:rsidRPr="00AF66F4" w:rsidRDefault="00752583" w:rsidP="00752583">
      <w:pPr>
        <w:spacing w:after="0" w:afterAutospacing="1" w:line="240" w:lineRule="auto"/>
        <w:textAlignment w:val="baseline"/>
        <w:rPr>
          <w:rFonts w:ascii="Arial" w:hAnsi="Arial" w:cs="Arial"/>
          <w:b/>
          <w:bCs/>
          <w:lang w:val="en-US"/>
        </w:rPr>
      </w:pPr>
      <w:r w:rsidRPr="00AF66F4">
        <w:rPr>
          <w:rFonts w:ascii="Arial" w:hAnsi="Arial" w:cs="Arial"/>
          <w:b/>
          <w:bCs/>
          <w:lang w:val="en-US"/>
        </w:rPr>
        <w:t>Corresponding author:</w:t>
      </w:r>
    </w:p>
    <w:p w14:paraId="6B73B06D" w14:textId="77777777" w:rsidR="00752583" w:rsidRPr="00AF66F4" w:rsidRDefault="00752583" w:rsidP="00752583">
      <w:pPr>
        <w:spacing w:after="0" w:afterAutospacing="1" w:line="240" w:lineRule="auto"/>
        <w:textAlignment w:val="baseline"/>
        <w:rPr>
          <w:rFonts w:ascii="Arial" w:hAnsi="Arial" w:cs="Arial"/>
          <w:lang w:val="en-US"/>
        </w:rPr>
      </w:pPr>
      <w:r w:rsidRPr="00AF66F4">
        <w:rPr>
          <w:rFonts w:ascii="Arial" w:hAnsi="Arial" w:cs="Arial"/>
          <w:lang w:val="en-US"/>
        </w:rPr>
        <w:t>Dr Rebecca Moon, MRC Lifecourse Epidemiology Centre, Southampton General Hospital, Tremona Road, Southampton, SO16 6YD; rm@mrc.soton.ac.uk</w:t>
      </w:r>
    </w:p>
    <w:p w14:paraId="50442E46" w14:textId="77777777" w:rsidR="00752583" w:rsidRPr="00AF66F4" w:rsidRDefault="00752583" w:rsidP="00752583">
      <w:pPr>
        <w:spacing w:after="0" w:afterAutospacing="1" w:line="240" w:lineRule="auto"/>
        <w:textAlignment w:val="baseline"/>
        <w:rPr>
          <w:rFonts w:ascii="Arial" w:hAnsi="Arial" w:cs="Arial"/>
          <w:b/>
          <w:bCs/>
          <w:lang w:val="en-US"/>
        </w:rPr>
      </w:pPr>
    </w:p>
    <w:p w14:paraId="44ADCAD3" w14:textId="111D0A88" w:rsidR="00752583" w:rsidRPr="00AF66F4" w:rsidRDefault="00752583" w:rsidP="00752583">
      <w:pPr>
        <w:spacing w:after="0" w:afterAutospacing="1" w:line="240" w:lineRule="auto"/>
        <w:textAlignment w:val="baseline"/>
        <w:rPr>
          <w:rFonts w:ascii="Arial" w:hAnsi="Arial" w:cs="Arial"/>
          <w:b/>
          <w:bCs/>
          <w:lang w:val="en-US"/>
        </w:rPr>
      </w:pPr>
      <w:r w:rsidRPr="00AF66F4">
        <w:rPr>
          <w:rFonts w:ascii="Arial" w:hAnsi="Arial" w:cs="Arial"/>
          <w:b/>
          <w:bCs/>
          <w:lang w:val="en-US"/>
        </w:rPr>
        <w:t>Word count:</w:t>
      </w:r>
      <w:r w:rsidR="00C3432E">
        <w:rPr>
          <w:rFonts w:ascii="Arial" w:hAnsi="Arial" w:cs="Arial"/>
          <w:b/>
          <w:bCs/>
          <w:lang w:val="en-US"/>
        </w:rPr>
        <w:t xml:space="preserve"> </w:t>
      </w:r>
      <w:r w:rsidR="0093139A">
        <w:rPr>
          <w:rFonts w:ascii="Arial" w:hAnsi="Arial" w:cs="Arial"/>
          <w:b/>
          <w:bCs/>
          <w:lang w:val="en-US"/>
        </w:rPr>
        <w:t>500</w:t>
      </w:r>
      <w:r w:rsidRPr="00AF66F4">
        <w:rPr>
          <w:rFonts w:ascii="Arial" w:hAnsi="Arial" w:cs="Arial"/>
          <w:b/>
          <w:bCs/>
          <w:lang w:val="en-US"/>
        </w:rPr>
        <w:t xml:space="preserve"> </w:t>
      </w:r>
    </w:p>
    <w:p w14:paraId="5A4AEC66" w14:textId="2229CAAA" w:rsidR="00752583" w:rsidRPr="00AF66F4" w:rsidRDefault="00752583" w:rsidP="00752583">
      <w:pPr>
        <w:spacing w:after="0" w:afterAutospacing="1" w:line="240" w:lineRule="auto"/>
        <w:textAlignment w:val="baseline"/>
        <w:rPr>
          <w:rFonts w:ascii="Arial" w:hAnsi="Arial" w:cs="Arial"/>
          <w:lang w:val="en-US"/>
        </w:rPr>
      </w:pPr>
      <w:r w:rsidRPr="00AF66F4">
        <w:rPr>
          <w:rFonts w:ascii="Arial" w:hAnsi="Arial" w:cs="Arial"/>
          <w:b/>
          <w:bCs/>
          <w:lang w:val="en-US"/>
        </w:rPr>
        <w:t>Tables</w:t>
      </w:r>
      <w:r w:rsidRPr="00AF66F4">
        <w:rPr>
          <w:rFonts w:ascii="Arial" w:hAnsi="Arial" w:cs="Arial"/>
          <w:lang w:val="en-US"/>
        </w:rPr>
        <w:t xml:space="preserve">: </w:t>
      </w:r>
      <w:r w:rsidR="00C3432E">
        <w:rPr>
          <w:rFonts w:ascii="Arial" w:hAnsi="Arial" w:cs="Arial"/>
          <w:lang w:val="en-US"/>
        </w:rPr>
        <w:t>2</w:t>
      </w:r>
    </w:p>
    <w:p w14:paraId="7EB4385D" w14:textId="77777777" w:rsidR="00861443" w:rsidRDefault="00861443" w:rsidP="00752583">
      <w:pPr>
        <w:spacing w:after="0" w:afterAutospacing="1" w:line="240" w:lineRule="auto"/>
        <w:textAlignment w:val="baseline"/>
        <w:rPr>
          <w:rFonts w:ascii="Arial" w:hAnsi="Arial" w:cs="Arial"/>
          <w:b/>
          <w:bCs/>
          <w:lang w:val="en-US"/>
        </w:rPr>
      </w:pPr>
    </w:p>
    <w:p w14:paraId="266ED086" w14:textId="1C36D5C9" w:rsidR="00752583" w:rsidRDefault="00752583" w:rsidP="00752583">
      <w:pPr>
        <w:spacing w:after="0" w:afterAutospacing="1" w:line="240" w:lineRule="auto"/>
        <w:textAlignment w:val="baseline"/>
        <w:rPr>
          <w:rFonts w:ascii="Arial" w:hAnsi="Arial" w:cs="Arial"/>
          <w:lang w:val="en-US"/>
        </w:rPr>
      </w:pPr>
      <w:r w:rsidRPr="00AF66F4">
        <w:rPr>
          <w:rFonts w:ascii="Arial" w:hAnsi="Arial" w:cs="Arial"/>
          <w:b/>
          <w:bCs/>
          <w:lang w:val="en-US"/>
        </w:rPr>
        <w:t>Keywords:</w:t>
      </w:r>
      <w:r w:rsidRPr="00AF66F4">
        <w:rPr>
          <w:rFonts w:ascii="Arial" w:hAnsi="Arial" w:cs="Arial"/>
          <w:lang w:val="en-US"/>
        </w:rPr>
        <w:t xml:space="preserve"> vitamin D deficiency, supplementation, 25-hydroxyvitamin D</w:t>
      </w:r>
    </w:p>
    <w:p w14:paraId="0C58BBB2" w14:textId="43255B6E" w:rsidR="00AF66F4" w:rsidRDefault="00AF66F4" w:rsidP="00752583">
      <w:pPr>
        <w:spacing w:after="0" w:afterAutospacing="1" w:line="240" w:lineRule="auto"/>
        <w:textAlignment w:val="baseline"/>
        <w:rPr>
          <w:rFonts w:ascii="Arial" w:hAnsi="Arial" w:cs="Arial"/>
          <w:lang w:val="en-US"/>
        </w:rPr>
      </w:pPr>
    </w:p>
    <w:p w14:paraId="7BD33DC0" w14:textId="77777777" w:rsidR="00752583" w:rsidRPr="00AF66F4" w:rsidRDefault="00752583" w:rsidP="0053255E">
      <w:pPr>
        <w:spacing w:line="600" w:lineRule="auto"/>
        <w:rPr>
          <w:rFonts w:ascii="Arial" w:hAnsi="Arial" w:cs="Arial"/>
          <w:b/>
          <w:bCs/>
        </w:rPr>
      </w:pPr>
    </w:p>
    <w:p w14:paraId="053EE3AE" w14:textId="77777777" w:rsidR="0053255E" w:rsidRPr="00AF66F4" w:rsidRDefault="0053255E" w:rsidP="0053255E">
      <w:pPr>
        <w:spacing w:line="600" w:lineRule="auto"/>
        <w:rPr>
          <w:rFonts w:ascii="Arial" w:hAnsi="Arial" w:cs="Arial"/>
        </w:rPr>
      </w:pPr>
    </w:p>
    <w:p w14:paraId="4C542075" w14:textId="77777777" w:rsidR="00752583" w:rsidRPr="00AF66F4" w:rsidRDefault="00752583">
      <w:pPr>
        <w:rPr>
          <w:rFonts w:ascii="Arial" w:hAnsi="Arial" w:cs="Arial"/>
        </w:rPr>
      </w:pPr>
      <w:r w:rsidRPr="00AF66F4">
        <w:rPr>
          <w:rFonts w:ascii="Arial" w:hAnsi="Arial" w:cs="Arial"/>
        </w:rPr>
        <w:br w:type="page"/>
      </w:r>
    </w:p>
    <w:p w14:paraId="23F88C55" w14:textId="7B0E573E" w:rsidR="006014E5" w:rsidRDefault="0053255E" w:rsidP="0053255E">
      <w:pPr>
        <w:spacing w:line="600" w:lineRule="auto"/>
        <w:rPr>
          <w:rFonts w:ascii="Arial" w:hAnsi="Arial" w:cs="Arial"/>
        </w:rPr>
      </w:pPr>
      <w:r w:rsidRPr="00AF66F4">
        <w:rPr>
          <w:rFonts w:ascii="Arial" w:hAnsi="Arial" w:cs="Arial"/>
        </w:rPr>
        <w:lastRenderedPageBreak/>
        <w:t>Vitamin D is essential for bone health</w:t>
      </w:r>
      <w:r w:rsidR="00866B09" w:rsidRPr="00AF66F4">
        <w:rPr>
          <w:rFonts w:ascii="Arial" w:hAnsi="Arial" w:cs="Arial"/>
        </w:rPr>
        <w:t xml:space="preserve"> </w:t>
      </w:r>
      <w:r w:rsidRPr="00AF66F4">
        <w:rPr>
          <w:rFonts w:ascii="Arial" w:hAnsi="Arial" w:cs="Arial"/>
        </w:rPr>
        <w:t xml:space="preserve">and has </w:t>
      </w:r>
      <w:r w:rsidR="00866B09" w:rsidRPr="00AF66F4">
        <w:rPr>
          <w:rFonts w:ascii="Arial" w:hAnsi="Arial" w:cs="Arial"/>
        </w:rPr>
        <w:t>uncertain roles in other health outcomes</w:t>
      </w:r>
      <w:r w:rsidRPr="00AF66F4">
        <w:rPr>
          <w:rFonts w:ascii="Arial" w:hAnsi="Arial" w:cs="Arial"/>
        </w:rPr>
        <w:t>. In the United Kingdom (UK)</w:t>
      </w:r>
      <w:r w:rsidR="00866B09" w:rsidRPr="00AF66F4">
        <w:rPr>
          <w:rFonts w:ascii="Arial" w:hAnsi="Arial" w:cs="Arial"/>
        </w:rPr>
        <w:t>,</w:t>
      </w:r>
      <w:r w:rsidRPr="00AF66F4">
        <w:rPr>
          <w:rFonts w:ascii="Arial" w:hAnsi="Arial" w:cs="Arial"/>
        </w:rPr>
        <w:t xml:space="preserve"> universal supplementation with 400IU/day </w:t>
      </w:r>
      <w:r w:rsidR="002843EE">
        <w:rPr>
          <w:rFonts w:ascii="Arial" w:hAnsi="Arial" w:cs="Arial"/>
        </w:rPr>
        <w:t>vitamin D</w:t>
      </w:r>
      <w:r w:rsidR="002843EE" w:rsidRPr="00AF66F4">
        <w:rPr>
          <w:rFonts w:ascii="Arial" w:hAnsi="Arial" w:cs="Arial"/>
        </w:rPr>
        <w:t xml:space="preserve"> </w:t>
      </w:r>
      <w:r w:rsidRPr="00AF66F4">
        <w:rPr>
          <w:rFonts w:ascii="Arial" w:hAnsi="Arial" w:cs="Arial"/>
        </w:rPr>
        <w:t xml:space="preserve">is </w:t>
      </w:r>
      <w:r w:rsidR="00F10748">
        <w:rPr>
          <w:rFonts w:ascii="Arial" w:hAnsi="Arial" w:cs="Arial"/>
        </w:rPr>
        <w:t>recommended</w:t>
      </w:r>
      <w:r w:rsidR="00F10748" w:rsidRPr="00AF66F4">
        <w:rPr>
          <w:rFonts w:ascii="Arial" w:hAnsi="Arial" w:cs="Arial"/>
        </w:rPr>
        <w:t xml:space="preserve"> </w:t>
      </w:r>
      <w:r w:rsidR="00866B09" w:rsidRPr="00AF66F4">
        <w:rPr>
          <w:rFonts w:ascii="Arial" w:hAnsi="Arial" w:cs="Arial"/>
        </w:rPr>
        <w:t xml:space="preserve">during autumn and winter, and throughout the year for groups at risk of vitamin D deficiency (VDD) </w:t>
      </w:r>
      <w:r w:rsidR="00866B09" w:rsidRPr="00AF66F4">
        <w:rPr>
          <w:rFonts w:ascii="Arial" w:hAnsi="Arial" w:cs="Arial"/>
        </w:rPr>
        <w:fldChar w:fldCharType="begin"/>
      </w:r>
      <w:r w:rsidR="00866B09" w:rsidRPr="00AF66F4">
        <w:rPr>
          <w:rFonts w:ascii="Arial" w:hAnsi="Arial" w:cs="Arial"/>
        </w:rPr>
        <w:instrText xml:space="preserve"> ADDIN EN.CITE &lt;EndNote&gt;&lt;Cite&gt;&lt;Author&gt;Public Health England Press Office&lt;/Author&gt;&lt;Year&gt;2016&lt;/Year&gt;&lt;RecNum&gt;1813&lt;/RecNum&gt;&lt;DisplayText&gt;(1)&lt;/DisplayText&gt;&lt;record&gt;&lt;rec-number&gt;1813&lt;/rec-number&gt;&lt;foreign-keys&gt;&lt;key app="EN" db-id="fx5vfvpf3fa2e8ew2sbp2fd8zesxeepw2add" timestamp="0"&gt;1813&lt;/key&gt;&lt;/foreign-keys&gt;&lt;ref-type name="Web Page"&gt;12&lt;/ref-type&gt;&lt;contributors&gt;&lt;authors&gt;&lt;author&gt;Public Health England Press Office,&lt;/author&gt;&lt;/authors&gt;&lt;/contributors&gt;&lt;titles&gt;&lt;title&gt;PHE publishes new advice on vitamin D&lt;/title&gt;&lt;/titles&gt;&lt;volume&gt;2018&lt;/volume&gt;&lt;number&gt;29/09/2018&lt;/number&gt;&lt;dates&gt;&lt;year&gt;2016&lt;/year&gt;&lt;/dates&gt;&lt;urls&gt;&lt;related-urls&gt;&lt;url&gt;https://www.gov.uk/government/news/phe-publishes-new-advice-on-vitamin-d&lt;/url&gt;&lt;/related-urls&gt;&lt;/urls&gt;&lt;/record&gt;&lt;/Cite&gt;&lt;/EndNote&gt;</w:instrText>
      </w:r>
      <w:r w:rsidR="00866B09" w:rsidRPr="00AF66F4">
        <w:rPr>
          <w:rFonts w:ascii="Arial" w:hAnsi="Arial" w:cs="Arial"/>
        </w:rPr>
        <w:fldChar w:fldCharType="separate"/>
      </w:r>
      <w:r w:rsidR="00866B09" w:rsidRPr="00AF66F4">
        <w:rPr>
          <w:rFonts w:ascii="Arial" w:hAnsi="Arial" w:cs="Arial"/>
          <w:noProof/>
        </w:rPr>
        <w:t>(1)</w:t>
      </w:r>
      <w:r w:rsidR="00866B09" w:rsidRPr="00AF66F4">
        <w:rPr>
          <w:rFonts w:ascii="Arial" w:hAnsi="Arial" w:cs="Arial"/>
        </w:rPr>
        <w:fldChar w:fldCharType="end"/>
      </w:r>
      <w:r w:rsidR="00866B09" w:rsidRPr="00AF66F4">
        <w:rPr>
          <w:rFonts w:ascii="Arial" w:hAnsi="Arial" w:cs="Arial"/>
        </w:rPr>
        <w:t>.</w:t>
      </w:r>
      <w:r w:rsidRPr="00AF66F4">
        <w:rPr>
          <w:rFonts w:ascii="Arial" w:hAnsi="Arial" w:cs="Arial"/>
        </w:rPr>
        <w:t xml:space="preserve"> </w:t>
      </w:r>
      <w:r w:rsidR="00866B09" w:rsidRPr="00AF66F4">
        <w:rPr>
          <w:rFonts w:ascii="Arial" w:hAnsi="Arial" w:cs="Arial"/>
        </w:rPr>
        <w:t>V</w:t>
      </w:r>
      <w:r w:rsidRPr="00AF66F4">
        <w:rPr>
          <w:rFonts w:ascii="Arial" w:hAnsi="Arial" w:cs="Arial"/>
        </w:rPr>
        <w:t>itamin D status can be assessed by serum 25-hydroxyvitamin D [25(OH)D] concentration</w:t>
      </w:r>
      <w:r w:rsidR="00866B09" w:rsidRPr="00AF66F4">
        <w:rPr>
          <w:rFonts w:ascii="Arial" w:hAnsi="Arial" w:cs="Arial"/>
        </w:rPr>
        <w:t>, but</w:t>
      </w:r>
      <w:r w:rsidRPr="00AF66F4">
        <w:rPr>
          <w:rFonts w:ascii="Arial" w:hAnsi="Arial" w:cs="Arial"/>
        </w:rPr>
        <w:t xml:space="preserve"> </w:t>
      </w:r>
      <w:r w:rsidR="00743B3E">
        <w:rPr>
          <w:rFonts w:ascii="Arial" w:hAnsi="Arial" w:cs="Arial"/>
        </w:rPr>
        <w:t xml:space="preserve">national guidance from the </w:t>
      </w:r>
      <w:r w:rsidR="00D731BA">
        <w:rPr>
          <w:rFonts w:ascii="Arial" w:hAnsi="Arial" w:cs="Arial"/>
        </w:rPr>
        <w:t>Royal Osteoporosis Society (ROS) recommend</w:t>
      </w:r>
      <w:r w:rsidR="000E6FDF">
        <w:rPr>
          <w:rFonts w:ascii="Arial" w:hAnsi="Arial" w:cs="Arial"/>
        </w:rPr>
        <w:t>s against</w:t>
      </w:r>
      <w:r w:rsidR="00D731BA">
        <w:rPr>
          <w:rFonts w:ascii="Arial" w:hAnsi="Arial" w:cs="Arial"/>
        </w:rPr>
        <w:t xml:space="preserve"> </w:t>
      </w:r>
      <w:r w:rsidRPr="00AF66F4">
        <w:rPr>
          <w:rFonts w:ascii="Arial" w:hAnsi="Arial" w:cs="Arial"/>
        </w:rPr>
        <w:t>routine testing</w:t>
      </w:r>
      <w:r w:rsidR="008912CC">
        <w:rPr>
          <w:rFonts w:ascii="Arial" w:hAnsi="Arial" w:cs="Arial"/>
        </w:rPr>
        <w:t xml:space="preserve"> in children</w:t>
      </w:r>
      <w:r w:rsidRPr="00AF66F4">
        <w:rPr>
          <w:rFonts w:ascii="Arial" w:hAnsi="Arial" w:cs="Arial"/>
        </w:rPr>
        <w:t xml:space="preserve"> without clinical indication</w:t>
      </w:r>
      <w:r w:rsidR="008912CC">
        <w:rPr>
          <w:rFonts w:ascii="Arial" w:hAnsi="Arial" w:cs="Arial"/>
        </w:rPr>
        <w:t xml:space="preserve"> </w:t>
      </w:r>
      <w:r w:rsidR="00866B09" w:rsidRPr="00AF66F4">
        <w:rPr>
          <w:rFonts w:ascii="Arial" w:hAnsi="Arial" w:cs="Arial"/>
        </w:rPr>
        <w:fldChar w:fldCharType="begin"/>
      </w:r>
      <w:r w:rsidR="00866B09" w:rsidRPr="00AF66F4">
        <w:rPr>
          <w:rFonts w:ascii="Arial" w:hAnsi="Arial" w:cs="Arial"/>
        </w:rPr>
        <w:instrText xml:space="preserve"> ADDIN EN.CITE &lt;EndNote&gt;&lt;Cite&gt;&lt;Author&gt;Arundel&lt;/Author&gt;&lt;Year&gt;2018 &lt;/Year&gt;&lt;RecNum&gt;1833&lt;/RecNum&gt;&lt;DisplayText&gt;(2)&lt;/DisplayText&gt;&lt;record&gt;&lt;rec-number&gt;1833&lt;/rec-number&gt;&lt;foreign-keys&gt;&lt;key app="EN" db-id="fx5vfvpf3fa2e8ew2sbp2fd8zesxeepw2add" timestamp="0"&gt;1833&lt;/key&gt;&lt;/foreign-keys&gt;&lt;ref-type name="Generic"&gt;13&lt;/ref-type&gt;&lt;contributors&gt;&lt;authors&gt;&lt;author&gt;Arundel, P.&lt;/author&gt;&lt;author&gt;Shaw, N.&lt;/author&gt;&lt;/authors&gt;&lt;/contributors&gt;&lt;titles&gt;&lt;title&gt;Vitamin D and Bone Health: A Practical Clinical Guideline for Patient Management in Children and Young People&lt;/title&gt;&lt;/titles&gt;&lt;dates&gt;&lt;year&gt;2018 &lt;/year&gt;&lt;/dates&gt;&lt;publisher&gt;National Osteoporosis Society&lt;/publisher&gt;&lt;urls&gt;&lt;/urls&gt;&lt;/record&gt;&lt;/Cite&gt;&lt;/EndNote&gt;</w:instrText>
      </w:r>
      <w:r w:rsidR="00866B09" w:rsidRPr="00AF66F4">
        <w:rPr>
          <w:rFonts w:ascii="Arial" w:hAnsi="Arial" w:cs="Arial"/>
        </w:rPr>
        <w:fldChar w:fldCharType="separate"/>
      </w:r>
      <w:r w:rsidR="00866B09" w:rsidRPr="00AF66F4">
        <w:rPr>
          <w:rFonts w:ascii="Arial" w:hAnsi="Arial" w:cs="Arial"/>
          <w:noProof/>
        </w:rPr>
        <w:t>(2)</w:t>
      </w:r>
      <w:r w:rsidR="00866B09" w:rsidRPr="00AF66F4">
        <w:rPr>
          <w:rFonts w:ascii="Arial" w:hAnsi="Arial" w:cs="Arial"/>
        </w:rPr>
        <w:fldChar w:fldCharType="end"/>
      </w:r>
      <w:r w:rsidRPr="00AF66F4">
        <w:rPr>
          <w:rFonts w:ascii="Arial" w:hAnsi="Arial" w:cs="Arial"/>
        </w:rPr>
        <w:t>.</w:t>
      </w:r>
      <w:r w:rsidR="00A10B3B">
        <w:rPr>
          <w:rFonts w:ascii="Arial" w:hAnsi="Arial" w:cs="Arial"/>
        </w:rPr>
        <w:t xml:space="preserve">  </w:t>
      </w:r>
      <w:r w:rsidR="00341A24">
        <w:rPr>
          <w:rFonts w:ascii="Arial" w:hAnsi="Arial" w:cs="Arial"/>
        </w:rPr>
        <w:t xml:space="preserve">However, </w:t>
      </w:r>
      <w:r w:rsidR="00AF66F4" w:rsidRPr="00AF66F4">
        <w:rPr>
          <w:rFonts w:ascii="Arial" w:hAnsi="Arial" w:cs="Arial"/>
        </w:rPr>
        <w:t>25(OH)D testing has dramatically increased in the UK</w:t>
      </w:r>
      <w:r w:rsidR="007203CD">
        <w:rPr>
          <w:rFonts w:ascii="Arial" w:hAnsi="Arial" w:cs="Arial"/>
        </w:rPr>
        <w:t xml:space="preserve"> </w:t>
      </w:r>
      <w:r w:rsidR="007203CD">
        <w:rPr>
          <w:rFonts w:ascii="Arial" w:hAnsi="Arial" w:cs="Arial"/>
        </w:rPr>
        <w:fldChar w:fldCharType="begin"/>
      </w:r>
      <w:r w:rsidR="007203CD">
        <w:rPr>
          <w:rFonts w:ascii="Arial" w:hAnsi="Arial" w:cs="Arial"/>
        </w:rPr>
        <w:instrText xml:space="preserve"> ADDIN EN.CITE &lt;EndNote&gt;&lt;Cite&gt;&lt;Author&gt;Bolland&lt;/Author&gt;&lt;Year&gt;2021&lt;/Year&gt;&lt;RecNum&gt;2185&lt;/RecNum&gt;&lt;DisplayText&gt;(3)&lt;/DisplayText&gt;&lt;record&gt;&lt;rec-number&gt;2185&lt;/rec-number&gt;&lt;foreign-keys&gt;&lt;key app="EN" db-id="fx5vfvpf3fa2e8ew2sbp2fd8zesxeepw2add" timestamp="1665172808"&gt;2185&lt;/key&gt;&lt;/foreign-keys&gt;&lt;ref-type name="Journal Article"&gt;17&lt;/ref-type&gt;&lt;contributors&gt;&lt;authors&gt;&lt;author&gt;Bolland, Mark J&lt;/author&gt;&lt;author&gt;Avenell, Alison&lt;/author&gt;&lt;author&gt;Smith, Karen&lt;/author&gt;&lt;author&gt;Witham, Miles D&lt;/author&gt;&lt;author&gt;Grey, Andrew&lt;/author&gt;&lt;/authors&gt;&lt;/contributors&gt;&lt;titles&gt;&lt;title&gt;Vitamin D supplementation and testing in the UK: costly but ineffective?&lt;/title&gt;&lt;secondary-title&gt;BMJ&lt;/secondary-title&gt;&lt;/titles&gt;&lt;periodical&gt;&lt;full-title&gt;BMJ (Clinical research ed.)&lt;/full-title&gt;&lt;abbr-1&gt;BMJ&lt;/abbr-1&gt;&lt;/periodical&gt;&lt;pages&gt;n484&lt;/pages&gt;&lt;volume&gt;372&lt;/volume&gt;&lt;dates&gt;&lt;year&gt;2021&lt;/year&gt;&lt;/dates&gt;&lt;urls&gt;&lt;related-urls&gt;&lt;url&gt;https://www.bmj.com/content/bmj/372/bmj.n484.full.pdf&lt;/url&gt;&lt;/related-urls&gt;&lt;/urls&gt;&lt;electronic-resource-num&gt;10.1136/bmj.n484&lt;/electronic-resource-num&gt;&lt;/record&gt;&lt;/Cite&gt;&lt;/EndNote&gt;</w:instrText>
      </w:r>
      <w:r w:rsidR="007203CD">
        <w:rPr>
          <w:rFonts w:ascii="Arial" w:hAnsi="Arial" w:cs="Arial"/>
        </w:rPr>
        <w:fldChar w:fldCharType="separate"/>
      </w:r>
      <w:r w:rsidR="007203CD">
        <w:rPr>
          <w:rFonts w:ascii="Arial" w:hAnsi="Arial" w:cs="Arial"/>
          <w:noProof/>
        </w:rPr>
        <w:t>(3)</w:t>
      </w:r>
      <w:r w:rsidR="007203CD">
        <w:rPr>
          <w:rFonts w:ascii="Arial" w:hAnsi="Arial" w:cs="Arial"/>
        </w:rPr>
        <w:fldChar w:fldCharType="end"/>
      </w:r>
      <w:r w:rsidR="007203CD">
        <w:rPr>
          <w:rFonts w:ascii="Arial" w:hAnsi="Arial" w:cs="Arial"/>
        </w:rPr>
        <w:t>,</w:t>
      </w:r>
      <w:r w:rsidR="0092110E">
        <w:rPr>
          <w:rFonts w:ascii="Arial" w:hAnsi="Arial" w:cs="Arial"/>
        </w:rPr>
        <w:t xml:space="preserve"> and at our centre from 1136 tests/year in children (2013) to 3898 (2020).</w:t>
      </w:r>
    </w:p>
    <w:p w14:paraId="1E19A8A3" w14:textId="0CA8169C" w:rsidR="0053255E" w:rsidRPr="00AF66F4" w:rsidRDefault="0053255E" w:rsidP="0053255E">
      <w:pPr>
        <w:spacing w:line="600" w:lineRule="auto"/>
        <w:rPr>
          <w:rFonts w:ascii="Arial" w:hAnsi="Arial" w:cs="Arial"/>
        </w:rPr>
      </w:pPr>
      <w:r w:rsidRPr="00AF66F4">
        <w:rPr>
          <w:rFonts w:ascii="Arial" w:hAnsi="Arial" w:cs="Arial"/>
        </w:rPr>
        <w:t xml:space="preserve">We assessed adherence to </w:t>
      </w:r>
      <w:r w:rsidR="00AC7D23">
        <w:rPr>
          <w:rFonts w:ascii="Arial" w:hAnsi="Arial" w:cs="Arial"/>
        </w:rPr>
        <w:t>the ROS</w:t>
      </w:r>
      <w:r w:rsidRPr="00AF66F4">
        <w:rPr>
          <w:rFonts w:ascii="Arial" w:hAnsi="Arial" w:cs="Arial"/>
        </w:rPr>
        <w:t xml:space="preserve"> guidance</w:t>
      </w:r>
      <w:r w:rsidR="000A0A4A">
        <w:rPr>
          <w:rFonts w:ascii="Arial" w:hAnsi="Arial" w:cs="Arial"/>
        </w:rPr>
        <w:t xml:space="preserve"> on indications for 25(OH)D testing</w:t>
      </w:r>
      <w:r w:rsidR="00013AD1">
        <w:rPr>
          <w:rFonts w:ascii="Arial" w:hAnsi="Arial" w:cs="Arial"/>
        </w:rPr>
        <w:t xml:space="preserve"> (</w:t>
      </w:r>
      <w:r w:rsidR="00CF244F">
        <w:rPr>
          <w:rFonts w:ascii="Arial" w:hAnsi="Arial" w:cs="Arial"/>
        </w:rPr>
        <w:t xml:space="preserve">shown in </w:t>
      </w:r>
      <w:r w:rsidR="00013AD1">
        <w:rPr>
          <w:rFonts w:ascii="Arial" w:hAnsi="Arial" w:cs="Arial"/>
        </w:rPr>
        <w:t>Table 1)</w:t>
      </w:r>
      <w:r w:rsidRPr="00AF66F4">
        <w:rPr>
          <w:rFonts w:ascii="Arial" w:hAnsi="Arial" w:cs="Arial"/>
        </w:rPr>
        <w:t xml:space="preserve"> and the management of the result in children within secondary</w:t>
      </w:r>
      <w:r w:rsidR="00FA315A" w:rsidRPr="00AF66F4">
        <w:rPr>
          <w:rFonts w:ascii="Arial" w:hAnsi="Arial" w:cs="Arial"/>
        </w:rPr>
        <w:t xml:space="preserve"> and tertiary</w:t>
      </w:r>
      <w:r w:rsidRPr="00AF66F4">
        <w:rPr>
          <w:rFonts w:ascii="Arial" w:hAnsi="Arial" w:cs="Arial"/>
        </w:rPr>
        <w:t xml:space="preserve"> care</w:t>
      </w:r>
      <w:r w:rsidR="00866B09" w:rsidRPr="00AF66F4">
        <w:rPr>
          <w:rFonts w:ascii="Arial" w:hAnsi="Arial" w:cs="Arial"/>
        </w:rPr>
        <w:t xml:space="preserve"> at</w:t>
      </w:r>
      <w:r w:rsidR="00BE6024">
        <w:rPr>
          <w:rFonts w:ascii="Arial" w:hAnsi="Arial" w:cs="Arial"/>
        </w:rPr>
        <w:t xml:space="preserve"> our </w:t>
      </w:r>
      <w:r w:rsidR="00F32C7C">
        <w:rPr>
          <w:rFonts w:ascii="Arial" w:hAnsi="Arial" w:cs="Arial"/>
        </w:rPr>
        <w:t xml:space="preserve">children’s </w:t>
      </w:r>
      <w:r w:rsidR="00BE6024">
        <w:rPr>
          <w:rFonts w:ascii="Arial" w:hAnsi="Arial" w:cs="Arial"/>
        </w:rPr>
        <w:t>hospital</w:t>
      </w:r>
      <w:r w:rsidR="009121C6" w:rsidRPr="00AF66F4">
        <w:rPr>
          <w:rFonts w:ascii="Arial" w:hAnsi="Arial" w:cs="Arial"/>
        </w:rPr>
        <w:t xml:space="preserve">.  </w:t>
      </w:r>
      <w:r w:rsidR="00FA315A" w:rsidRPr="00AF66F4">
        <w:rPr>
          <w:rFonts w:ascii="Arial" w:hAnsi="Arial" w:cs="Arial"/>
        </w:rPr>
        <w:t>Data were collected retrospectively</w:t>
      </w:r>
      <w:r w:rsidR="00677327">
        <w:rPr>
          <w:rFonts w:ascii="Arial" w:hAnsi="Arial" w:cs="Arial"/>
        </w:rPr>
        <w:t xml:space="preserve"> from full clinical </w:t>
      </w:r>
      <w:r w:rsidR="004C64E9">
        <w:rPr>
          <w:rFonts w:ascii="Arial" w:hAnsi="Arial" w:cs="Arial"/>
        </w:rPr>
        <w:t>records</w:t>
      </w:r>
      <w:r w:rsidR="00677327">
        <w:rPr>
          <w:rFonts w:ascii="Arial" w:hAnsi="Arial" w:cs="Arial"/>
        </w:rPr>
        <w:t xml:space="preserve"> review during November-December 2021</w:t>
      </w:r>
      <w:r w:rsidR="00FA315A" w:rsidRPr="00AF66F4">
        <w:rPr>
          <w:rFonts w:ascii="Arial" w:hAnsi="Arial" w:cs="Arial"/>
        </w:rPr>
        <w:t xml:space="preserve"> </w:t>
      </w:r>
      <w:r w:rsidR="00D81474">
        <w:rPr>
          <w:rFonts w:ascii="Arial" w:hAnsi="Arial" w:cs="Arial"/>
        </w:rPr>
        <w:t xml:space="preserve">for </w:t>
      </w:r>
      <w:r w:rsidR="00DA7786">
        <w:rPr>
          <w:rFonts w:ascii="Arial" w:hAnsi="Arial" w:cs="Arial"/>
        </w:rPr>
        <w:t xml:space="preserve">all </w:t>
      </w:r>
      <w:r w:rsidR="009121C6" w:rsidRPr="00AF66F4">
        <w:rPr>
          <w:rFonts w:ascii="Arial" w:hAnsi="Arial" w:cs="Arial"/>
        </w:rPr>
        <w:t xml:space="preserve">children who had 25(OH)D assessed </w:t>
      </w:r>
      <w:r w:rsidR="00731ED6">
        <w:rPr>
          <w:rFonts w:ascii="Arial" w:hAnsi="Arial" w:cs="Arial"/>
        </w:rPr>
        <w:t>during</w:t>
      </w:r>
      <w:r w:rsidR="009121C6" w:rsidRPr="00AF66F4">
        <w:rPr>
          <w:rFonts w:ascii="Arial" w:hAnsi="Arial" w:cs="Arial"/>
        </w:rPr>
        <w:t xml:space="preserve"> consecutive 14-day periods in January</w:t>
      </w:r>
      <w:r w:rsidR="00471368">
        <w:rPr>
          <w:rFonts w:ascii="Arial" w:hAnsi="Arial" w:cs="Arial"/>
        </w:rPr>
        <w:t xml:space="preserve"> (n=139)</w:t>
      </w:r>
      <w:r w:rsidR="009121C6" w:rsidRPr="00AF66F4">
        <w:rPr>
          <w:rFonts w:ascii="Arial" w:hAnsi="Arial" w:cs="Arial"/>
        </w:rPr>
        <w:t xml:space="preserve"> and July</w:t>
      </w:r>
      <w:r w:rsidR="006174D3">
        <w:rPr>
          <w:rFonts w:ascii="Arial" w:hAnsi="Arial" w:cs="Arial"/>
        </w:rPr>
        <w:t xml:space="preserve"> (n=173)</w:t>
      </w:r>
      <w:r w:rsidR="009121C6" w:rsidRPr="00AF66F4">
        <w:rPr>
          <w:rFonts w:ascii="Arial" w:hAnsi="Arial" w:cs="Arial"/>
        </w:rPr>
        <w:t xml:space="preserve"> 2021</w:t>
      </w:r>
      <w:r w:rsidR="00FA315A" w:rsidRPr="00AF66F4">
        <w:rPr>
          <w:rFonts w:ascii="Arial" w:hAnsi="Arial" w:cs="Arial"/>
        </w:rPr>
        <w:t>.</w:t>
      </w:r>
      <w:r w:rsidR="00731ED6">
        <w:rPr>
          <w:rFonts w:ascii="Arial" w:hAnsi="Arial" w:cs="Arial"/>
        </w:rPr>
        <w:t xml:space="preserve">  </w:t>
      </w:r>
    </w:p>
    <w:p w14:paraId="0BF777DD" w14:textId="0C0F1430" w:rsidR="00F000EF" w:rsidRPr="00AF66F4" w:rsidRDefault="00FA315A" w:rsidP="0053255E">
      <w:pPr>
        <w:spacing w:line="600" w:lineRule="auto"/>
        <w:rPr>
          <w:rFonts w:ascii="Arial" w:hAnsi="Arial" w:cs="Arial"/>
        </w:rPr>
      </w:pPr>
      <w:r w:rsidRPr="00AF66F4">
        <w:rPr>
          <w:rFonts w:ascii="Arial" w:hAnsi="Arial" w:cs="Arial"/>
        </w:rPr>
        <w:t>312</w:t>
      </w:r>
      <w:r w:rsidR="00F000EF" w:rsidRPr="00AF66F4">
        <w:rPr>
          <w:rFonts w:ascii="Arial" w:hAnsi="Arial" w:cs="Arial"/>
        </w:rPr>
        <w:t xml:space="preserve"> </w:t>
      </w:r>
      <w:r w:rsidRPr="00AF66F4">
        <w:rPr>
          <w:rFonts w:ascii="Arial" w:hAnsi="Arial" w:cs="Arial"/>
        </w:rPr>
        <w:t>test requests (68% outpatient, 30% inpatient, 2% emergency department</w:t>
      </w:r>
      <w:r w:rsidR="00F000EF" w:rsidRPr="00AF66F4">
        <w:rPr>
          <w:rFonts w:ascii="Arial" w:hAnsi="Arial" w:cs="Arial"/>
        </w:rPr>
        <w:t>; 56.1% male; median [(IQR) age 10.6 (5.1-14.3) years)</w:t>
      </w:r>
      <w:r w:rsidRPr="00AF66F4">
        <w:rPr>
          <w:rFonts w:ascii="Arial" w:hAnsi="Arial" w:cs="Arial"/>
        </w:rPr>
        <w:t xml:space="preserve"> were reviewed.</w:t>
      </w:r>
      <w:r w:rsidR="009121C6" w:rsidRPr="00AF66F4">
        <w:rPr>
          <w:rFonts w:ascii="Arial" w:hAnsi="Arial" w:cs="Arial"/>
        </w:rPr>
        <w:t xml:space="preserve"> </w:t>
      </w:r>
      <w:r w:rsidRPr="00AF66F4">
        <w:rPr>
          <w:rFonts w:ascii="Arial" w:hAnsi="Arial" w:cs="Arial"/>
        </w:rPr>
        <w:t xml:space="preserve">Only 39% of tests were undertaken for indications </w:t>
      </w:r>
      <w:r w:rsidR="00FF7D57">
        <w:rPr>
          <w:rFonts w:ascii="Arial" w:hAnsi="Arial" w:cs="Arial"/>
        </w:rPr>
        <w:t>recommended</w:t>
      </w:r>
      <w:r w:rsidR="00FF7D57" w:rsidRPr="00AF66F4">
        <w:rPr>
          <w:rFonts w:ascii="Arial" w:hAnsi="Arial" w:cs="Arial"/>
        </w:rPr>
        <w:t xml:space="preserve"> </w:t>
      </w:r>
      <w:r w:rsidRPr="00AF66F4">
        <w:rPr>
          <w:rFonts w:ascii="Arial" w:hAnsi="Arial" w:cs="Arial"/>
        </w:rPr>
        <w:t xml:space="preserve">by the </w:t>
      </w:r>
      <w:r w:rsidR="000327E3">
        <w:rPr>
          <w:rFonts w:ascii="Arial" w:hAnsi="Arial" w:cs="Arial"/>
        </w:rPr>
        <w:t>R</w:t>
      </w:r>
      <w:r w:rsidR="000327E3" w:rsidRPr="00AF66F4">
        <w:rPr>
          <w:rFonts w:ascii="Arial" w:hAnsi="Arial" w:cs="Arial"/>
        </w:rPr>
        <w:t xml:space="preserve">OS </w:t>
      </w:r>
      <w:r w:rsidRPr="00AF66F4">
        <w:rPr>
          <w:rFonts w:ascii="Arial" w:hAnsi="Arial" w:cs="Arial"/>
        </w:rPr>
        <w:t>(Table 1)</w:t>
      </w:r>
      <w:r w:rsidR="009121C6" w:rsidRPr="00AF66F4">
        <w:rPr>
          <w:rFonts w:ascii="Arial" w:hAnsi="Arial" w:cs="Arial"/>
        </w:rPr>
        <w:t xml:space="preserve">.  </w:t>
      </w:r>
      <w:r w:rsidR="00DD6153">
        <w:rPr>
          <w:rFonts w:ascii="Arial" w:hAnsi="Arial" w:cs="Arial"/>
        </w:rPr>
        <w:t>T</w:t>
      </w:r>
      <w:r w:rsidRPr="00AF66F4">
        <w:rPr>
          <w:rFonts w:ascii="Arial" w:hAnsi="Arial" w:cs="Arial"/>
        </w:rPr>
        <w:t>he most common</w:t>
      </w:r>
      <w:r w:rsidR="00DD6153">
        <w:rPr>
          <w:rFonts w:ascii="Arial" w:hAnsi="Arial" w:cs="Arial"/>
        </w:rPr>
        <w:t xml:space="preserve"> other</w:t>
      </w:r>
      <w:r w:rsidRPr="00AF66F4">
        <w:rPr>
          <w:rFonts w:ascii="Arial" w:hAnsi="Arial" w:cs="Arial"/>
        </w:rPr>
        <w:t xml:space="preserve"> reasons</w:t>
      </w:r>
      <w:r w:rsidR="00DD6153">
        <w:rPr>
          <w:rFonts w:ascii="Arial" w:hAnsi="Arial" w:cs="Arial"/>
        </w:rPr>
        <w:t xml:space="preserve"> for testing</w:t>
      </w:r>
      <w:r w:rsidRPr="00AF66F4">
        <w:rPr>
          <w:rFonts w:ascii="Arial" w:hAnsi="Arial" w:cs="Arial"/>
        </w:rPr>
        <w:t xml:space="preserve"> were short stature, atopy and structural renal tract abnormalities without renal impairment</w:t>
      </w:r>
      <w:r w:rsidR="00AF66F4">
        <w:rPr>
          <w:rFonts w:ascii="Arial" w:hAnsi="Arial" w:cs="Arial"/>
        </w:rPr>
        <w:t xml:space="preserve"> (Table 1)</w:t>
      </w:r>
      <w:r w:rsidRPr="00AF66F4">
        <w:rPr>
          <w:rFonts w:ascii="Arial" w:hAnsi="Arial" w:cs="Arial"/>
        </w:rPr>
        <w:t>.</w:t>
      </w:r>
    </w:p>
    <w:p w14:paraId="52282BAD" w14:textId="110FCD06" w:rsidR="00D34411" w:rsidRDefault="00F000EF" w:rsidP="00F000EF">
      <w:pPr>
        <w:spacing w:line="600" w:lineRule="auto"/>
        <w:rPr>
          <w:rFonts w:ascii="Arial" w:hAnsi="Arial" w:cs="Arial"/>
        </w:rPr>
      </w:pPr>
      <w:r w:rsidRPr="00AF66F4">
        <w:rPr>
          <w:rFonts w:ascii="Arial" w:hAnsi="Arial" w:cs="Arial"/>
        </w:rPr>
        <w:t xml:space="preserve">The </w:t>
      </w:r>
      <w:r w:rsidR="000327E3">
        <w:rPr>
          <w:rFonts w:ascii="Arial" w:hAnsi="Arial" w:cs="Arial"/>
        </w:rPr>
        <w:t>R</w:t>
      </w:r>
      <w:r w:rsidR="000327E3" w:rsidRPr="00AF66F4">
        <w:rPr>
          <w:rFonts w:ascii="Arial" w:hAnsi="Arial" w:cs="Arial"/>
        </w:rPr>
        <w:t xml:space="preserve">OS </w:t>
      </w:r>
      <w:r w:rsidRPr="00AF66F4">
        <w:rPr>
          <w:rFonts w:ascii="Arial" w:hAnsi="Arial" w:cs="Arial"/>
        </w:rPr>
        <w:t xml:space="preserve">defines </w:t>
      </w:r>
      <w:r w:rsidR="009040AD" w:rsidRPr="00AF66F4">
        <w:rPr>
          <w:rFonts w:ascii="Arial" w:hAnsi="Arial" w:cs="Arial"/>
        </w:rPr>
        <w:t>VDD</w:t>
      </w:r>
      <w:r w:rsidRPr="00AF66F4">
        <w:rPr>
          <w:rFonts w:ascii="Arial" w:hAnsi="Arial" w:cs="Arial"/>
        </w:rPr>
        <w:t xml:space="preserve"> as &lt;25nmol/l, in</w:t>
      </w:r>
      <w:r w:rsidR="00B11FF8" w:rsidRPr="00AF66F4">
        <w:rPr>
          <w:rFonts w:ascii="Arial" w:hAnsi="Arial" w:cs="Arial"/>
        </w:rPr>
        <w:t>adequate</w:t>
      </w:r>
      <w:r w:rsidRPr="00AF66F4">
        <w:rPr>
          <w:rFonts w:ascii="Arial" w:hAnsi="Arial" w:cs="Arial"/>
        </w:rPr>
        <w:t xml:space="preserve"> as 25–50nmol/l and sufficient as &gt;50nmol/l</w:t>
      </w:r>
      <w:r w:rsidR="009121C6" w:rsidRPr="00AF66F4">
        <w:rPr>
          <w:rFonts w:ascii="Arial" w:hAnsi="Arial" w:cs="Arial"/>
        </w:rPr>
        <w:t xml:space="preserve"> </w:t>
      </w:r>
      <w:r w:rsidR="009121C6" w:rsidRPr="00AF66F4">
        <w:rPr>
          <w:rFonts w:ascii="Arial" w:hAnsi="Arial" w:cs="Arial"/>
        </w:rPr>
        <w:fldChar w:fldCharType="begin"/>
      </w:r>
      <w:r w:rsidR="009121C6" w:rsidRPr="00AF66F4">
        <w:rPr>
          <w:rFonts w:ascii="Arial" w:hAnsi="Arial" w:cs="Arial"/>
        </w:rPr>
        <w:instrText xml:space="preserve"> ADDIN EN.CITE &lt;EndNote&gt;&lt;Cite&gt;&lt;Author&gt;Arundel&lt;/Author&gt;&lt;Year&gt;2018 &lt;/Year&gt;&lt;RecNum&gt;1833&lt;/RecNum&gt;&lt;DisplayText&gt;(2)&lt;/DisplayText&gt;&lt;record&gt;&lt;rec-number&gt;1833&lt;/rec-number&gt;&lt;foreign-keys&gt;&lt;key app="EN" db-id="fx5vfvpf3fa2e8ew2sbp2fd8zesxeepw2add" timestamp="0"&gt;1833&lt;/key&gt;&lt;/foreign-keys&gt;&lt;ref-type name="Generic"&gt;13&lt;/ref-type&gt;&lt;contributors&gt;&lt;authors&gt;&lt;author&gt;Arundel, P.&lt;/author&gt;&lt;author&gt;Shaw, N.&lt;/author&gt;&lt;/authors&gt;&lt;/contributors&gt;&lt;titles&gt;&lt;title&gt;Vitamin D and Bone Health: A Practical Clinical Guideline for Patient Management in Children and Young People&lt;/title&gt;&lt;/titles&gt;&lt;dates&gt;&lt;year&gt;2018 &lt;/year&gt;&lt;/dates&gt;&lt;publisher&gt;National Osteoporosis Society&lt;/publisher&gt;&lt;urls&gt;&lt;/urls&gt;&lt;/record&gt;&lt;/Cite&gt;&lt;/EndNote&gt;</w:instrText>
      </w:r>
      <w:r w:rsidR="009121C6" w:rsidRPr="00AF66F4">
        <w:rPr>
          <w:rFonts w:ascii="Arial" w:hAnsi="Arial" w:cs="Arial"/>
        </w:rPr>
        <w:fldChar w:fldCharType="separate"/>
      </w:r>
      <w:r w:rsidR="009121C6" w:rsidRPr="00AF66F4">
        <w:rPr>
          <w:rFonts w:ascii="Arial" w:hAnsi="Arial" w:cs="Arial"/>
          <w:noProof/>
        </w:rPr>
        <w:t>(2)</w:t>
      </w:r>
      <w:r w:rsidR="009121C6" w:rsidRPr="00AF66F4">
        <w:rPr>
          <w:rFonts w:ascii="Arial" w:hAnsi="Arial" w:cs="Arial"/>
        </w:rPr>
        <w:fldChar w:fldCharType="end"/>
      </w:r>
      <w:r w:rsidRPr="00AF66F4">
        <w:rPr>
          <w:rFonts w:ascii="Arial" w:hAnsi="Arial" w:cs="Arial"/>
        </w:rPr>
        <w:t>.</w:t>
      </w:r>
      <w:r w:rsidR="00624C31">
        <w:rPr>
          <w:rFonts w:ascii="Arial" w:hAnsi="Arial" w:cs="Arial"/>
        </w:rPr>
        <w:t xml:space="preserve">  </w:t>
      </w:r>
      <w:r w:rsidR="007D0CD2">
        <w:rPr>
          <w:rFonts w:ascii="Arial" w:hAnsi="Arial" w:cs="Arial"/>
        </w:rPr>
        <w:t xml:space="preserve">This group of children is not </w:t>
      </w:r>
      <w:r w:rsidR="00300589">
        <w:rPr>
          <w:rFonts w:ascii="Arial" w:hAnsi="Arial" w:cs="Arial"/>
        </w:rPr>
        <w:t>representative of the general population, but</w:t>
      </w:r>
      <w:r w:rsidR="000710E6">
        <w:rPr>
          <w:rFonts w:ascii="Arial" w:hAnsi="Arial" w:cs="Arial"/>
        </w:rPr>
        <w:t xml:space="preserve"> </w:t>
      </w:r>
      <w:r w:rsidR="00777BFA">
        <w:rPr>
          <w:rFonts w:ascii="Arial" w:hAnsi="Arial" w:cs="Arial"/>
        </w:rPr>
        <w:t>4.</w:t>
      </w:r>
      <w:r w:rsidR="00F33E69">
        <w:rPr>
          <w:rFonts w:ascii="Arial" w:hAnsi="Arial" w:cs="Arial"/>
        </w:rPr>
        <w:t>6</w:t>
      </w:r>
      <w:r w:rsidR="00777BFA">
        <w:rPr>
          <w:rFonts w:ascii="Arial" w:hAnsi="Arial" w:cs="Arial"/>
        </w:rPr>
        <w:t>%</w:t>
      </w:r>
      <w:r w:rsidR="00F33E69">
        <w:rPr>
          <w:rFonts w:ascii="Arial" w:hAnsi="Arial" w:cs="Arial"/>
        </w:rPr>
        <w:t xml:space="preserve">, 27.5% and 67.9% had deficient, inadequate and </w:t>
      </w:r>
      <w:r w:rsidR="00CD6F94">
        <w:rPr>
          <w:rFonts w:ascii="Arial" w:hAnsi="Arial" w:cs="Arial"/>
        </w:rPr>
        <w:t>sufficient</w:t>
      </w:r>
      <w:r w:rsidR="00F33E69">
        <w:rPr>
          <w:rFonts w:ascii="Arial" w:hAnsi="Arial" w:cs="Arial"/>
        </w:rPr>
        <w:t xml:space="preserve"> 25(OH)D, respectively</w:t>
      </w:r>
      <w:r w:rsidR="00F00B29">
        <w:rPr>
          <w:rFonts w:ascii="Arial" w:hAnsi="Arial" w:cs="Arial"/>
        </w:rPr>
        <w:t xml:space="preserve">. </w:t>
      </w:r>
      <w:r w:rsidR="00DC4AC9">
        <w:rPr>
          <w:rFonts w:ascii="Arial" w:hAnsi="Arial" w:cs="Arial"/>
        </w:rPr>
        <w:t>More</w:t>
      </w:r>
      <w:r w:rsidR="002311A5">
        <w:rPr>
          <w:rFonts w:ascii="Arial" w:hAnsi="Arial" w:cs="Arial"/>
        </w:rPr>
        <w:t xml:space="preserve"> </w:t>
      </w:r>
      <w:r w:rsidR="00DC4AC9">
        <w:rPr>
          <w:rFonts w:ascii="Arial" w:hAnsi="Arial" w:cs="Arial"/>
        </w:rPr>
        <w:t xml:space="preserve">children in </w:t>
      </w:r>
      <w:r w:rsidR="00DC4AC9">
        <w:rPr>
          <w:rFonts w:ascii="Arial" w:hAnsi="Arial" w:cs="Arial"/>
        </w:rPr>
        <w:lastRenderedPageBreak/>
        <w:t xml:space="preserve">whom testing was indicated </w:t>
      </w:r>
      <w:r w:rsidR="002311A5">
        <w:rPr>
          <w:rFonts w:ascii="Arial" w:hAnsi="Arial" w:cs="Arial"/>
        </w:rPr>
        <w:t xml:space="preserve">had </w:t>
      </w:r>
      <w:r w:rsidR="00611D7A">
        <w:rPr>
          <w:rFonts w:ascii="Arial" w:hAnsi="Arial" w:cs="Arial"/>
        </w:rPr>
        <w:t>sufficient</w:t>
      </w:r>
      <w:r w:rsidR="002311A5">
        <w:rPr>
          <w:rFonts w:ascii="Arial" w:hAnsi="Arial" w:cs="Arial"/>
        </w:rPr>
        <w:t xml:space="preserve"> 25(OH)D levels (</w:t>
      </w:r>
      <w:r w:rsidR="00107EB7">
        <w:rPr>
          <w:rFonts w:ascii="Arial" w:hAnsi="Arial" w:cs="Arial"/>
        </w:rPr>
        <w:t>Supplementary t</w:t>
      </w:r>
      <w:r w:rsidR="002311A5">
        <w:rPr>
          <w:rFonts w:ascii="Arial" w:hAnsi="Arial" w:cs="Arial"/>
        </w:rPr>
        <w:t xml:space="preserve">able </w:t>
      </w:r>
      <w:r w:rsidR="00611D7A">
        <w:rPr>
          <w:rFonts w:ascii="Arial" w:hAnsi="Arial" w:cs="Arial"/>
        </w:rPr>
        <w:t>1</w:t>
      </w:r>
      <w:r w:rsidR="002311A5">
        <w:rPr>
          <w:rFonts w:ascii="Arial" w:hAnsi="Arial" w:cs="Arial"/>
        </w:rPr>
        <w:t>), which might</w:t>
      </w:r>
      <w:r w:rsidR="00A55B44">
        <w:rPr>
          <w:rFonts w:ascii="Arial" w:hAnsi="Arial" w:cs="Arial"/>
        </w:rPr>
        <w:t xml:space="preserve"> reflect </w:t>
      </w:r>
      <w:r w:rsidR="002311A5">
        <w:rPr>
          <w:rFonts w:ascii="Arial" w:hAnsi="Arial" w:cs="Arial"/>
        </w:rPr>
        <w:t>greater</w:t>
      </w:r>
      <w:r w:rsidR="00A55B44">
        <w:rPr>
          <w:rFonts w:ascii="Arial" w:hAnsi="Arial" w:cs="Arial"/>
        </w:rPr>
        <w:t xml:space="preserve"> attention to supplementation </w:t>
      </w:r>
      <w:r w:rsidR="00080019">
        <w:rPr>
          <w:rFonts w:ascii="Arial" w:hAnsi="Arial" w:cs="Arial"/>
        </w:rPr>
        <w:t>in those at higher risk of deficiency</w:t>
      </w:r>
      <w:r w:rsidR="00624C31">
        <w:rPr>
          <w:rFonts w:ascii="Arial" w:hAnsi="Arial" w:cs="Arial"/>
        </w:rPr>
        <w:t>.</w:t>
      </w:r>
      <w:r w:rsidR="00B9233D">
        <w:rPr>
          <w:rFonts w:ascii="Arial" w:hAnsi="Arial" w:cs="Arial"/>
        </w:rPr>
        <w:t xml:space="preserve">  </w:t>
      </w:r>
    </w:p>
    <w:p w14:paraId="316A2F8F" w14:textId="172FF151" w:rsidR="00B11FF8" w:rsidRPr="00AF66F4" w:rsidRDefault="00F000EF" w:rsidP="00F000EF">
      <w:pPr>
        <w:spacing w:line="600" w:lineRule="auto"/>
        <w:rPr>
          <w:rFonts w:ascii="Arial" w:hAnsi="Arial" w:cs="Arial"/>
        </w:rPr>
      </w:pPr>
      <w:r w:rsidRPr="00AF66F4">
        <w:rPr>
          <w:rFonts w:ascii="Arial" w:hAnsi="Arial" w:cs="Arial"/>
        </w:rPr>
        <w:t>Of the 1</w:t>
      </w:r>
      <w:r w:rsidR="009043B0">
        <w:rPr>
          <w:rFonts w:ascii="Arial" w:hAnsi="Arial" w:cs="Arial"/>
        </w:rPr>
        <w:t>2</w:t>
      </w:r>
      <w:r w:rsidRPr="00AF66F4">
        <w:rPr>
          <w:rFonts w:ascii="Arial" w:hAnsi="Arial" w:cs="Arial"/>
        </w:rPr>
        <w:t xml:space="preserve"> children </w:t>
      </w:r>
      <w:r w:rsidR="009040AD" w:rsidRPr="00AF66F4">
        <w:rPr>
          <w:rFonts w:ascii="Arial" w:hAnsi="Arial" w:cs="Arial"/>
        </w:rPr>
        <w:t xml:space="preserve">with </w:t>
      </w:r>
      <w:r w:rsidRPr="00AF66F4">
        <w:rPr>
          <w:rFonts w:ascii="Arial" w:hAnsi="Arial" w:cs="Arial"/>
        </w:rPr>
        <w:t xml:space="preserve">biochemical </w:t>
      </w:r>
      <w:r w:rsidR="009040AD" w:rsidRPr="00AF66F4">
        <w:rPr>
          <w:rFonts w:ascii="Arial" w:hAnsi="Arial" w:cs="Arial"/>
        </w:rPr>
        <w:t>VDD</w:t>
      </w:r>
      <w:r w:rsidR="009043B0">
        <w:rPr>
          <w:rFonts w:ascii="Arial" w:hAnsi="Arial" w:cs="Arial"/>
        </w:rPr>
        <w:t xml:space="preserve"> and accessible clinical records</w:t>
      </w:r>
      <w:r w:rsidRPr="00AF66F4">
        <w:rPr>
          <w:rFonts w:ascii="Arial" w:hAnsi="Arial" w:cs="Arial"/>
        </w:rPr>
        <w:t>,</w:t>
      </w:r>
      <w:r w:rsidR="009040AD" w:rsidRPr="00AF66F4">
        <w:rPr>
          <w:rFonts w:ascii="Arial" w:hAnsi="Arial" w:cs="Arial"/>
        </w:rPr>
        <w:t xml:space="preserve"> 42% </w:t>
      </w:r>
      <w:r w:rsidR="00FA2EFF">
        <w:rPr>
          <w:rFonts w:ascii="Arial" w:hAnsi="Arial" w:cs="Arial"/>
        </w:rPr>
        <w:t>were</w:t>
      </w:r>
      <w:r w:rsidR="00643A54">
        <w:rPr>
          <w:rFonts w:ascii="Arial" w:hAnsi="Arial" w:cs="Arial"/>
        </w:rPr>
        <w:t xml:space="preserve"> </w:t>
      </w:r>
      <w:r w:rsidR="002A3283">
        <w:rPr>
          <w:rFonts w:ascii="Arial" w:hAnsi="Arial" w:cs="Arial"/>
        </w:rPr>
        <w:t>advi</w:t>
      </w:r>
      <w:r w:rsidR="00FA2EFF">
        <w:rPr>
          <w:rFonts w:ascii="Arial" w:hAnsi="Arial" w:cs="Arial"/>
        </w:rPr>
        <w:t>s</w:t>
      </w:r>
      <w:r w:rsidR="002A3283">
        <w:rPr>
          <w:rFonts w:ascii="Arial" w:hAnsi="Arial" w:cs="Arial"/>
        </w:rPr>
        <w:t>e</w:t>
      </w:r>
      <w:r w:rsidR="00FA2EFF">
        <w:rPr>
          <w:rFonts w:ascii="Arial" w:hAnsi="Arial" w:cs="Arial"/>
        </w:rPr>
        <w:t>d</w:t>
      </w:r>
      <w:r w:rsidR="002A3283">
        <w:rPr>
          <w:rFonts w:ascii="Arial" w:hAnsi="Arial" w:cs="Arial"/>
        </w:rPr>
        <w:t xml:space="preserve"> </w:t>
      </w:r>
      <w:r w:rsidR="009D61C7">
        <w:rPr>
          <w:rFonts w:ascii="Arial" w:hAnsi="Arial" w:cs="Arial"/>
        </w:rPr>
        <w:t>on</w:t>
      </w:r>
      <w:r w:rsidR="0070627E" w:rsidRPr="00AF66F4">
        <w:rPr>
          <w:rFonts w:ascii="Arial" w:hAnsi="Arial" w:cs="Arial"/>
        </w:rPr>
        <w:t xml:space="preserve"> </w:t>
      </w:r>
      <w:r w:rsidR="0096341C">
        <w:rPr>
          <w:rFonts w:ascii="Arial" w:hAnsi="Arial" w:cs="Arial"/>
        </w:rPr>
        <w:t>high dose vitamin D supplementation</w:t>
      </w:r>
      <w:r w:rsidR="00FA2EFF">
        <w:rPr>
          <w:rFonts w:ascii="Arial" w:hAnsi="Arial" w:cs="Arial"/>
        </w:rPr>
        <w:t xml:space="preserve">, </w:t>
      </w:r>
      <w:r w:rsidR="00740AF4">
        <w:rPr>
          <w:rFonts w:ascii="Arial" w:hAnsi="Arial" w:cs="Arial"/>
        </w:rPr>
        <w:t xml:space="preserve">as </w:t>
      </w:r>
      <w:r w:rsidR="00FA2EFF">
        <w:rPr>
          <w:rFonts w:ascii="Arial" w:hAnsi="Arial" w:cs="Arial"/>
        </w:rPr>
        <w:t>recommended by the ROS</w:t>
      </w:r>
      <w:r w:rsidR="009040AD" w:rsidRPr="00AF66F4">
        <w:rPr>
          <w:rFonts w:ascii="Arial" w:hAnsi="Arial" w:cs="Arial"/>
        </w:rPr>
        <w:t xml:space="preserve">. An assessment of calcium intake </w:t>
      </w:r>
      <w:r w:rsidR="006555A6" w:rsidRPr="00AF66F4">
        <w:rPr>
          <w:rFonts w:ascii="Arial" w:hAnsi="Arial" w:cs="Arial"/>
        </w:rPr>
        <w:t>is also recommended</w:t>
      </w:r>
      <w:r w:rsidR="0096341C">
        <w:rPr>
          <w:rFonts w:ascii="Arial" w:hAnsi="Arial" w:cs="Arial"/>
        </w:rPr>
        <w:t xml:space="preserve"> </w:t>
      </w:r>
      <w:r w:rsidR="00765EA2">
        <w:rPr>
          <w:rFonts w:ascii="Arial" w:hAnsi="Arial" w:cs="Arial"/>
        </w:rPr>
        <w:t>following confirmed VDD</w:t>
      </w:r>
      <w:r w:rsidR="009040AD" w:rsidRPr="00AF66F4">
        <w:rPr>
          <w:rFonts w:ascii="Arial" w:hAnsi="Arial" w:cs="Arial"/>
        </w:rPr>
        <w:t xml:space="preserve">, which was documented </w:t>
      </w:r>
      <w:r w:rsidR="006555A6" w:rsidRPr="00AF66F4">
        <w:rPr>
          <w:rFonts w:ascii="Arial" w:hAnsi="Arial" w:cs="Arial"/>
        </w:rPr>
        <w:t xml:space="preserve">in </w:t>
      </w:r>
      <w:r w:rsidR="0070627E">
        <w:rPr>
          <w:rFonts w:ascii="Arial" w:hAnsi="Arial" w:cs="Arial"/>
        </w:rPr>
        <w:t xml:space="preserve">only </w:t>
      </w:r>
      <w:r w:rsidR="009040AD" w:rsidRPr="00AF66F4">
        <w:rPr>
          <w:rFonts w:ascii="Arial" w:hAnsi="Arial" w:cs="Arial"/>
        </w:rPr>
        <w:t xml:space="preserve">30%. </w:t>
      </w:r>
      <w:r w:rsidR="0063772F">
        <w:rPr>
          <w:rFonts w:ascii="Arial" w:hAnsi="Arial" w:cs="Arial"/>
        </w:rPr>
        <w:t xml:space="preserve">Advice on </w:t>
      </w:r>
      <w:r w:rsidR="003E44FC">
        <w:rPr>
          <w:rFonts w:ascii="Arial" w:hAnsi="Arial" w:cs="Arial"/>
        </w:rPr>
        <w:t xml:space="preserve">oral vitamin D supplementation was documented for </w:t>
      </w:r>
      <w:r w:rsidR="00FD2015">
        <w:rPr>
          <w:rFonts w:ascii="Arial" w:hAnsi="Arial" w:cs="Arial"/>
        </w:rPr>
        <w:t>30</w:t>
      </w:r>
      <w:r w:rsidR="009040AD" w:rsidRPr="00AF66F4">
        <w:rPr>
          <w:rFonts w:ascii="Arial" w:hAnsi="Arial" w:cs="Arial"/>
        </w:rPr>
        <w:t>% of patients</w:t>
      </w:r>
      <w:r w:rsidR="00B11FF8" w:rsidRPr="00AF66F4">
        <w:rPr>
          <w:rFonts w:ascii="Arial" w:hAnsi="Arial" w:cs="Arial"/>
        </w:rPr>
        <w:t xml:space="preserve"> with an inadequate 25(OH)D level, and 9% of patients with sufficient </w:t>
      </w:r>
      <w:r w:rsidR="00BB3583">
        <w:rPr>
          <w:rFonts w:ascii="Arial" w:hAnsi="Arial" w:cs="Arial"/>
        </w:rPr>
        <w:t>25(OH)D</w:t>
      </w:r>
      <w:r w:rsidR="00B11FF8" w:rsidRPr="00AF66F4">
        <w:rPr>
          <w:rFonts w:ascii="Arial" w:hAnsi="Arial" w:cs="Arial"/>
        </w:rPr>
        <w:t xml:space="preserve"> received feedback on </w:t>
      </w:r>
      <w:r w:rsidR="00BB3583">
        <w:rPr>
          <w:rFonts w:ascii="Arial" w:hAnsi="Arial" w:cs="Arial"/>
        </w:rPr>
        <w:t xml:space="preserve">maintenance of 25(OH)D </w:t>
      </w:r>
      <w:r w:rsidR="00B11FF8" w:rsidRPr="00AF66F4">
        <w:rPr>
          <w:rFonts w:ascii="Arial" w:hAnsi="Arial" w:cs="Arial"/>
        </w:rPr>
        <w:t>through diet and supplement</w:t>
      </w:r>
      <w:r w:rsidR="006555A6" w:rsidRPr="00AF66F4">
        <w:rPr>
          <w:rFonts w:ascii="Arial" w:hAnsi="Arial" w:cs="Arial"/>
        </w:rPr>
        <w:t>ation</w:t>
      </w:r>
      <w:r w:rsidR="008B7646">
        <w:rPr>
          <w:rFonts w:ascii="Arial" w:hAnsi="Arial" w:cs="Arial"/>
        </w:rPr>
        <w:t>.</w:t>
      </w:r>
    </w:p>
    <w:p w14:paraId="6283849F" w14:textId="5BE7D50C" w:rsidR="00EB1982" w:rsidRDefault="008735D8" w:rsidP="00EB1982">
      <w:pPr>
        <w:spacing w:line="600" w:lineRule="auto"/>
        <w:rPr>
          <w:rFonts w:ascii="Arial" w:hAnsi="Arial" w:cs="Arial"/>
        </w:rPr>
      </w:pPr>
      <w:r w:rsidRPr="00AF66F4">
        <w:rPr>
          <w:rFonts w:ascii="Arial" w:hAnsi="Arial" w:cs="Arial"/>
        </w:rPr>
        <w:t>Despite the limitation that our data is based on clinical documentation</w:t>
      </w:r>
      <w:r w:rsidR="00D01A09">
        <w:rPr>
          <w:rFonts w:ascii="Arial" w:hAnsi="Arial" w:cs="Arial"/>
        </w:rPr>
        <w:t>,</w:t>
      </w:r>
      <w:r w:rsidRPr="00AF66F4">
        <w:rPr>
          <w:rFonts w:ascii="Arial" w:hAnsi="Arial" w:cs="Arial"/>
        </w:rPr>
        <w:t xml:space="preserve"> which m</w:t>
      </w:r>
      <w:r w:rsidR="00D01A09">
        <w:rPr>
          <w:rFonts w:ascii="Arial" w:hAnsi="Arial" w:cs="Arial"/>
        </w:rPr>
        <w:t>ay</w:t>
      </w:r>
      <w:r w:rsidRPr="00AF66F4">
        <w:rPr>
          <w:rFonts w:ascii="Arial" w:hAnsi="Arial" w:cs="Arial"/>
        </w:rPr>
        <w:t xml:space="preserve"> not fully </w:t>
      </w:r>
      <w:r w:rsidR="00D01A09">
        <w:rPr>
          <w:rFonts w:ascii="Arial" w:hAnsi="Arial" w:cs="Arial"/>
        </w:rPr>
        <w:t>describe</w:t>
      </w:r>
      <w:r w:rsidRPr="00AF66F4">
        <w:rPr>
          <w:rFonts w:ascii="Arial" w:hAnsi="Arial" w:cs="Arial"/>
        </w:rPr>
        <w:t xml:space="preserve"> clinical decision making or advice given, </w:t>
      </w:r>
      <w:r w:rsidR="00EB1982" w:rsidRPr="00AF66F4">
        <w:rPr>
          <w:rFonts w:ascii="Arial" w:hAnsi="Arial" w:cs="Arial"/>
        </w:rPr>
        <w:t>our review of practice</w:t>
      </w:r>
      <w:r w:rsidRPr="00AF66F4">
        <w:rPr>
          <w:rFonts w:ascii="Arial" w:hAnsi="Arial" w:cs="Arial"/>
        </w:rPr>
        <w:t xml:space="preserve"> suggests</w:t>
      </w:r>
      <w:r w:rsidR="00EB1982" w:rsidRPr="00AF66F4">
        <w:rPr>
          <w:rFonts w:ascii="Arial" w:hAnsi="Arial" w:cs="Arial"/>
        </w:rPr>
        <w:t xml:space="preserve"> that serum 25(OH)D testing was often undertaken without strong clinical indication</w:t>
      </w:r>
      <w:r w:rsidR="008F4134">
        <w:rPr>
          <w:rFonts w:ascii="Arial" w:hAnsi="Arial" w:cs="Arial"/>
        </w:rPr>
        <w:t xml:space="preserve"> as </w:t>
      </w:r>
      <w:r w:rsidR="002C1E43">
        <w:rPr>
          <w:rFonts w:ascii="Arial" w:hAnsi="Arial" w:cs="Arial"/>
        </w:rPr>
        <w:t>recommended</w:t>
      </w:r>
      <w:r w:rsidR="008F4134">
        <w:rPr>
          <w:rFonts w:ascii="Arial" w:hAnsi="Arial" w:cs="Arial"/>
        </w:rPr>
        <w:t xml:space="preserve"> by the ROS guideline.  </w:t>
      </w:r>
      <w:r w:rsidR="00AF3B67">
        <w:rPr>
          <w:rFonts w:ascii="Arial" w:hAnsi="Arial" w:cs="Arial"/>
        </w:rPr>
        <w:t>T</w:t>
      </w:r>
      <w:r w:rsidR="008F4134">
        <w:rPr>
          <w:rFonts w:ascii="Arial" w:hAnsi="Arial" w:cs="Arial"/>
        </w:rPr>
        <w:t xml:space="preserve">here </w:t>
      </w:r>
      <w:r w:rsidR="0003655E">
        <w:rPr>
          <w:rFonts w:ascii="Arial" w:hAnsi="Arial" w:cs="Arial"/>
        </w:rPr>
        <w:t>are</w:t>
      </w:r>
      <w:r w:rsidR="008F4134">
        <w:rPr>
          <w:rFonts w:ascii="Arial" w:hAnsi="Arial" w:cs="Arial"/>
        </w:rPr>
        <w:t xml:space="preserve"> some </w:t>
      </w:r>
      <w:r w:rsidR="00C94E07">
        <w:rPr>
          <w:rFonts w:ascii="Arial" w:hAnsi="Arial" w:cs="Arial"/>
        </w:rPr>
        <w:t>inconsistencies</w:t>
      </w:r>
      <w:r w:rsidR="008F4134">
        <w:rPr>
          <w:rFonts w:ascii="Arial" w:hAnsi="Arial" w:cs="Arial"/>
        </w:rPr>
        <w:t xml:space="preserve"> between guidelines</w:t>
      </w:r>
      <w:r w:rsidR="00335CC4">
        <w:rPr>
          <w:rFonts w:ascii="Arial" w:hAnsi="Arial" w:cs="Arial"/>
        </w:rPr>
        <w:t>, which might account for a small percentage of testing in our cohort being considered appropriate by an alternate guideline</w:t>
      </w:r>
      <w:r w:rsidR="00DF310E">
        <w:rPr>
          <w:rFonts w:ascii="Arial" w:hAnsi="Arial" w:cs="Arial"/>
        </w:rPr>
        <w:t xml:space="preserve"> </w:t>
      </w:r>
      <w:r w:rsidR="0092110E">
        <w:rPr>
          <w:rFonts w:ascii="Arial" w:hAnsi="Arial" w:cs="Arial"/>
        </w:rPr>
        <w:t>e.g.</w:t>
      </w:r>
      <w:r w:rsidR="00AE7AF6">
        <w:rPr>
          <w:rFonts w:ascii="Arial" w:hAnsi="Arial" w:cs="Arial"/>
        </w:rPr>
        <w:t xml:space="preserve"> suspected abusive injuries is </w:t>
      </w:r>
      <w:r w:rsidR="007E15E6">
        <w:rPr>
          <w:rFonts w:ascii="Arial" w:hAnsi="Arial" w:cs="Arial"/>
        </w:rPr>
        <w:t xml:space="preserve">not </w:t>
      </w:r>
      <w:r w:rsidR="00AE7AF6">
        <w:rPr>
          <w:rFonts w:ascii="Arial" w:hAnsi="Arial" w:cs="Arial"/>
        </w:rPr>
        <w:t>an indication in the ROS guidance but is recommended by</w:t>
      </w:r>
      <w:r w:rsidR="008F4134">
        <w:rPr>
          <w:rFonts w:ascii="Arial" w:hAnsi="Arial" w:cs="Arial"/>
        </w:rPr>
        <w:t xml:space="preserve"> the Royal College of </w:t>
      </w:r>
      <w:r w:rsidR="00B067E0">
        <w:rPr>
          <w:rFonts w:ascii="Arial" w:hAnsi="Arial" w:cs="Arial"/>
        </w:rPr>
        <w:t xml:space="preserve">Paediatrics and </w:t>
      </w:r>
      <w:r w:rsidR="008F4134">
        <w:rPr>
          <w:rFonts w:ascii="Arial" w:hAnsi="Arial" w:cs="Arial"/>
        </w:rPr>
        <w:t xml:space="preserve">Child Health </w:t>
      </w:r>
      <w:r w:rsidR="00335CC4">
        <w:rPr>
          <w:rFonts w:ascii="Arial" w:hAnsi="Arial" w:cs="Arial"/>
        </w:rPr>
        <w:fldChar w:fldCharType="begin"/>
      </w:r>
      <w:r w:rsidR="0093139A">
        <w:rPr>
          <w:rFonts w:ascii="Arial" w:hAnsi="Arial" w:cs="Arial"/>
        </w:rPr>
        <w:instrText xml:space="preserve"> ADDIN EN.CITE &lt;EndNote&gt;&lt;Cite&gt;&lt;Author&gt;Royal College of Paediatrics and Child Health&lt;/Author&gt;&lt;Year&gt;Updated December 2021&lt;/Year&gt;&lt;RecNum&gt;2210&lt;/RecNum&gt;&lt;DisplayText&gt;(4)&lt;/DisplayText&gt;&lt;record&gt;&lt;rec-number&gt;2210&lt;/rec-number&gt;&lt;foreign-keys&gt;&lt;key app="EN" db-id="fx5vfvpf3fa2e8ew2sbp2fd8zesxeepw2add" timestamp="1669752574"&gt;2210&lt;/key&gt;&lt;/foreign-keys&gt;&lt;ref-type name="Web Page"&gt;12&lt;/ref-type&gt;&lt;contributors&gt;&lt;authors&gt;&lt;author&gt;Royal College of Paediatrics and Child Health,;&lt;/author&gt;&lt;/authors&gt;&lt;/contributors&gt;&lt;titles&gt;&lt;title&gt;Child Protection Companion. Chapter 9 Recognition of Physical Abuse.&lt;/title&gt;&lt;/titles&gt;&lt;number&gt;29/11/2022&lt;/number&gt;&lt;dates&gt;&lt;year&gt;Updated December 2021&lt;/year&gt;&lt;/dates&gt;&lt;publisher&gt;RCPCH&lt;/publisher&gt;&lt;urls&gt;&lt;related-urls&gt;&lt;url&gt;https://childprotection.rcpch.ac.uk/child-protection-companion-content/chapter-9-recognition-of-physical-abuse/&lt;/url&gt;&lt;/related-urls&gt;&lt;/urls&gt;&lt;/record&gt;&lt;/Cite&gt;&lt;/EndNote&gt;</w:instrText>
      </w:r>
      <w:r w:rsidR="00335CC4">
        <w:rPr>
          <w:rFonts w:ascii="Arial" w:hAnsi="Arial" w:cs="Arial"/>
        </w:rPr>
        <w:fldChar w:fldCharType="separate"/>
      </w:r>
      <w:r w:rsidR="0093139A">
        <w:rPr>
          <w:rFonts w:ascii="Arial" w:hAnsi="Arial" w:cs="Arial"/>
          <w:noProof/>
        </w:rPr>
        <w:t>(4)</w:t>
      </w:r>
      <w:r w:rsidR="00335CC4">
        <w:rPr>
          <w:rFonts w:ascii="Arial" w:hAnsi="Arial" w:cs="Arial"/>
        </w:rPr>
        <w:fldChar w:fldCharType="end"/>
      </w:r>
      <w:r w:rsidR="00D82826">
        <w:rPr>
          <w:rFonts w:ascii="Arial" w:hAnsi="Arial" w:cs="Arial"/>
        </w:rPr>
        <w:t xml:space="preserve">.  </w:t>
      </w:r>
      <w:r w:rsidR="0077173B">
        <w:rPr>
          <w:rFonts w:ascii="Arial" w:hAnsi="Arial" w:cs="Arial"/>
        </w:rPr>
        <w:t>Nonetheless, f</w:t>
      </w:r>
      <w:r w:rsidR="00EB1982" w:rsidRPr="00AF66F4">
        <w:rPr>
          <w:rFonts w:ascii="Arial" w:hAnsi="Arial" w:cs="Arial"/>
        </w:rPr>
        <w:t>ew patients were advised on appropriate supplementation</w:t>
      </w:r>
      <w:r w:rsidR="00773644">
        <w:rPr>
          <w:rFonts w:ascii="Arial" w:hAnsi="Arial" w:cs="Arial"/>
        </w:rPr>
        <w:t>, treatment</w:t>
      </w:r>
      <w:r w:rsidR="00EB1982" w:rsidRPr="00AF66F4">
        <w:rPr>
          <w:rFonts w:ascii="Arial" w:hAnsi="Arial" w:cs="Arial"/>
        </w:rPr>
        <w:t xml:space="preserve"> and lifestyle advice </w:t>
      </w:r>
      <w:r w:rsidRPr="00AF66F4">
        <w:rPr>
          <w:rFonts w:ascii="Arial" w:hAnsi="Arial" w:cs="Arial"/>
        </w:rPr>
        <w:t>based on</w:t>
      </w:r>
      <w:r w:rsidR="00EB1982" w:rsidRPr="00AF66F4">
        <w:rPr>
          <w:rFonts w:ascii="Arial" w:hAnsi="Arial" w:cs="Arial"/>
        </w:rPr>
        <w:t xml:space="preserve"> the biochemical findings.  Improved awareness amongst paediatricians</w:t>
      </w:r>
      <w:r w:rsidR="00693FD2">
        <w:rPr>
          <w:rFonts w:ascii="Arial" w:hAnsi="Arial" w:cs="Arial"/>
        </w:rPr>
        <w:t>, obtained through educational programmes addressing</w:t>
      </w:r>
      <w:r w:rsidR="009624CF">
        <w:rPr>
          <w:rFonts w:ascii="Arial" w:hAnsi="Arial" w:cs="Arial"/>
        </w:rPr>
        <w:t xml:space="preserve"> </w:t>
      </w:r>
      <w:r w:rsidR="00EB1982" w:rsidRPr="00AF66F4">
        <w:rPr>
          <w:rFonts w:ascii="Arial" w:hAnsi="Arial" w:cs="Arial"/>
        </w:rPr>
        <w:t>when to test 25(OH)D</w:t>
      </w:r>
      <w:r w:rsidR="00693FD2">
        <w:rPr>
          <w:rFonts w:ascii="Arial" w:hAnsi="Arial" w:cs="Arial"/>
        </w:rPr>
        <w:t xml:space="preserve">, </w:t>
      </w:r>
      <w:r w:rsidR="00EB1982" w:rsidRPr="00AF66F4">
        <w:rPr>
          <w:rFonts w:ascii="Arial" w:hAnsi="Arial" w:cs="Arial"/>
        </w:rPr>
        <w:t>management of the result</w:t>
      </w:r>
      <w:r w:rsidR="00BA2319">
        <w:rPr>
          <w:rFonts w:ascii="Arial" w:hAnsi="Arial" w:cs="Arial"/>
        </w:rPr>
        <w:t xml:space="preserve"> and the routine use of supplementation without biochemical testing,</w:t>
      </w:r>
      <w:r w:rsidR="00EB1982" w:rsidRPr="00AF66F4">
        <w:rPr>
          <w:rFonts w:ascii="Arial" w:hAnsi="Arial" w:cs="Arial"/>
        </w:rPr>
        <w:t xml:space="preserve"> is needed. </w:t>
      </w:r>
    </w:p>
    <w:p w14:paraId="5679BAE4" w14:textId="58CA87A0" w:rsidR="00AF66F4" w:rsidRDefault="00AF66F4" w:rsidP="00EB1982">
      <w:pPr>
        <w:spacing w:line="600" w:lineRule="auto"/>
        <w:rPr>
          <w:rFonts w:ascii="Arial" w:hAnsi="Arial" w:cs="Arial"/>
        </w:rPr>
      </w:pPr>
    </w:p>
    <w:p w14:paraId="6CC1E541" w14:textId="253058EE" w:rsidR="00AF66F4" w:rsidRDefault="00AF66F4" w:rsidP="00EB1982">
      <w:pPr>
        <w:spacing w:line="60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ETHICAL APPROVAL</w:t>
      </w:r>
    </w:p>
    <w:p w14:paraId="49EEC27E" w14:textId="621A5C8E" w:rsidR="00AF66F4" w:rsidRPr="00AF66F4" w:rsidRDefault="00AF66F4" w:rsidP="00AF66F4">
      <w:pPr>
        <w:spacing w:line="360" w:lineRule="auto"/>
        <w:rPr>
          <w:rFonts w:ascii="Arial" w:hAnsi="Arial" w:cs="Arial"/>
        </w:rPr>
      </w:pPr>
      <w:r w:rsidRPr="00AF66F4">
        <w:rPr>
          <w:rFonts w:ascii="Arial" w:hAnsi="Arial" w:cs="Arial"/>
        </w:rPr>
        <w:lastRenderedPageBreak/>
        <w:t>The study was approved by University of Southampton Faculty</w:t>
      </w:r>
      <w:r>
        <w:rPr>
          <w:rFonts w:ascii="Arial" w:hAnsi="Arial" w:cs="Arial"/>
        </w:rPr>
        <w:t xml:space="preserve"> of Medicine</w:t>
      </w:r>
      <w:r w:rsidRPr="00AF66F4">
        <w:rPr>
          <w:rFonts w:ascii="Arial" w:hAnsi="Arial" w:cs="Arial"/>
        </w:rPr>
        <w:t xml:space="preserve"> Research Ethics Committee (ERGO #</w:t>
      </w:r>
      <w:r>
        <w:rPr>
          <w:rFonts w:ascii="Arial" w:hAnsi="Arial" w:cs="Arial"/>
        </w:rPr>
        <w:t>67130</w:t>
      </w:r>
      <w:r w:rsidRPr="00AF66F4">
        <w:rPr>
          <w:rFonts w:ascii="Arial" w:hAnsi="Arial" w:cs="Arial"/>
        </w:rPr>
        <w:t xml:space="preserve">). </w:t>
      </w:r>
    </w:p>
    <w:p w14:paraId="40D57A88" w14:textId="77777777" w:rsidR="00AF66F4" w:rsidRDefault="00AF66F4" w:rsidP="00AF66F4">
      <w:pPr>
        <w:rPr>
          <w:rFonts w:cstheme="minorHAnsi"/>
          <w:b/>
          <w:bCs/>
          <w:sz w:val="24"/>
          <w:szCs w:val="24"/>
          <w:lang w:val="en-US"/>
        </w:rPr>
      </w:pPr>
    </w:p>
    <w:p w14:paraId="4C13BFA5" w14:textId="25DD9623" w:rsidR="00AF66F4" w:rsidRDefault="00AF66F4" w:rsidP="00AF66F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DISCLOSURES</w:t>
      </w:r>
    </w:p>
    <w:p w14:paraId="2CABF25D" w14:textId="0A68D44D" w:rsidR="00AF66F4" w:rsidRPr="009D61C7" w:rsidRDefault="00AF66F4" w:rsidP="009D61C7">
      <w:pPr>
        <w:spacing w:line="480" w:lineRule="auto"/>
        <w:rPr>
          <w:rFonts w:ascii="Arial" w:hAnsi="Arial" w:cs="Arial"/>
        </w:rPr>
      </w:pPr>
      <w:r w:rsidRPr="009D61C7">
        <w:rPr>
          <w:rFonts w:ascii="Arial" w:hAnsi="Arial" w:cs="Arial"/>
        </w:rPr>
        <w:t>RJM has received travel bursaries from Kyowa Kirin.  JHD has received travel bursaries from Novo Nordisk, honoraria from Kyowa Kirin.</w:t>
      </w:r>
    </w:p>
    <w:p w14:paraId="5B7DA6F6" w14:textId="77777777" w:rsidR="00AF66F4" w:rsidRPr="009D61C7" w:rsidRDefault="00AF66F4" w:rsidP="009D61C7">
      <w:pPr>
        <w:spacing w:line="480" w:lineRule="auto"/>
        <w:rPr>
          <w:rFonts w:ascii="Arial" w:hAnsi="Arial" w:cs="Arial"/>
        </w:rPr>
      </w:pPr>
    </w:p>
    <w:p w14:paraId="7E7B08A6" w14:textId="77777777" w:rsidR="00AF66F4" w:rsidRPr="009D61C7" w:rsidRDefault="00AF66F4" w:rsidP="009D61C7">
      <w:pPr>
        <w:spacing w:line="480" w:lineRule="auto"/>
        <w:rPr>
          <w:rFonts w:ascii="Arial" w:hAnsi="Arial" w:cs="Arial"/>
          <w:b/>
          <w:bCs/>
        </w:rPr>
      </w:pPr>
      <w:r w:rsidRPr="009D61C7">
        <w:rPr>
          <w:rFonts w:ascii="Arial" w:hAnsi="Arial" w:cs="Arial"/>
          <w:b/>
          <w:bCs/>
        </w:rPr>
        <w:t>FUNDING</w:t>
      </w:r>
    </w:p>
    <w:p w14:paraId="5107CDFA" w14:textId="77777777" w:rsidR="00AF66F4" w:rsidRPr="009D61C7" w:rsidRDefault="00AF66F4" w:rsidP="009D61C7">
      <w:pPr>
        <w:spacing w:line="480" w:lineRule="auto"/>
        <w:rPr>
          <w:rFonts w:ascii="Arial" w:hAnsi="Arial" w:cs="Arial"/>
        </w:rPr>
      </w:pPr>
      <w:r w:rsidRPr="009D61C7">
        <w:rPr>
          <w:rFonts w:ascii="Arial" w:hAnsi="Arial" w:cs="Arial"/>
        </w:rPr>
        <w:t xml:space="preserve">No specific funding for this study received.  RJM is funded by an NIHR Academic Clinical Lectureship. </w:t>
      </w:r>
    </w:p>
    <w:p w14:paraId="023BD2D4" w14:textId="77777777" w:rsidR="00AF66F4" w:rsidRPr="00AF66F4" w:rsidRDefault="00AF66F4" w:rsidP="00EB1982">
      <w:pPr>
        <w:spacing w:line="600" w:lineRule="auto"/>
        <w:rPr>
          <w:rFonts w:ascii="Arial" w:hAnsi="Arial" w:cs="Arial"/>
        </w:rPr>
      </w:pPr>
    </w:p>
    <w:p w14:paraId="45CD2558" w14:textId="77777777" w:rsidR="00752583" w:rsidRPr="00AF66F4" w:rsidRDefault="00752583" w:rsidP="00EB1982">
      <w:pPr>
        <w:spacing w:line="600" w:lineRule="auto"/>
        <w:rPr>
          <w:rFonts w:ascii="Arial" w:hAnsi="Arial" w:cs="Arial"/>
        </w:rPr>
      </w:pPr>
    </w:p>
    <w:p w14:paraId="4770DA19" w14:textId="77777777" w:rsidR="00AF66F4" w:rsidRDefault="00AF66F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43522E" w14:textId="48B3695B" w:rsidR="00AF66F4" w:rsidRPr="00AF66F4" w:rsidRDefault="00AF66F4" w:rsidP="00EB1982">
      <w:pPr>
        <w:spacing w:line="60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Tables</w:t>
      </w:r>
    </w:p>
    <w:p w14:paraId="5B4E363C" w14:textId="1FB01A7C" w:rsidR="00EB1982" w:rsidRPr="00AF66F4" w:rsidRDefault="008735D8" w:rsidP="00EB1982">
      <w:pPr>
        <w:spacing w:line="600" w:lineRule="auto"/>
        <w:rPr>
          <w:rFonts w:ascii="Arial" w:hAnsi="Arial" w:cs="Arial"/>
        </w:rPr>
      </w:pPr>
      <w:r w:rsidRPr="00AF66F4">
        <w:rPr>
          <w:rFonts w:ascii="Arial" w:hAnsi="Arial" w:cs="Arial"/>
        </w:rPr>
        <w:t xml:space="preserve">Table 1: Clinical indications for serum 25(OH)D testing in children, as advised by the </w:t>
      </w:r>
      <w:r w:rsidR="009D61C7">
        <w:rPr>
          <w:rFonts w:ascii="Arial" w:hAnsi="Arial" w:cs="Arial"/>
        </w:rPr>
        <w:t>Royal</w:t>
      </w:r>
      <w:r w:rsidRPr="00AF66F4">
        <w:rPr>
          <w:rFonts w:ascii="Arial" w:hAnsi="Arial" w:cs="Arial"/>
        </w:rPr>
        <w:t xml:space="preserve"> Osteoporosis Society guideline</w:t>
      </w:r>
      <w:r w:rsidR="009D61C7">
        <w:rPr>
          <w:rFonts w:ascii="Arial" w:hAnsi="Arial" w:cs="Arial"/>
        </w:rPr>
        <w:t xml:space="preserve"> </w:t>
      </w:r>
      <w:r w:rsidR="009D61C7">
        <w:rPr>
          <w:rFonts w:ascii="Arial" w:hAnsi="Arial" w:cs="Arial"/>
        </w:rPr>
        <w:fldChar w:fldCharType="begin"/>
      </w:r>
      <w:r w:rsidR="009D61C7">
        <w:rPr>
          <w:rFonts w:ascii="Arial" w:hAnsi="Arial" w:cs="Arial"/>
        </w:rPr>
        <w:instrText xml:space="preserve"> ADDIN EN.CITE &lt;EndNote&gt;&lt;Cite&gt;&lt;Author&gt;Arundel&lt;/Author&gt;&lt;Year&gt;2018 &lt;/Year&gt;&lt;RecNum&gt;1833&lt;/RecNum&gt;&lt;DisplayText&gt;(2)&lt;/DisplayText&gt;&lt;record&gt;&lt;rec-number&gt;1833&lt;/rec-number&gt;&lt;foreign-keys&gt;&lt;key app="EN" db-id="fx5vfvpf3fa2e8ew2sbp2fd8zesxeepw2add" timestamp="0"&gt;1833&lt;/key&gt;&lt;/foreign-keys&gt;&lt;ref-type name="Generic"&gt;13&lt;/ref-type&gt;&lt;contributors&gt;&lt;authors&gt;&lt;author&gt;Arundel, P.&lt;/author&gt;&lt;author&gt;Shaw, N.&lt;/author&gt;&lt;/authors&gt;&lt;/contributors&gt;&lt;titles&gt;&lt;title&gt;Vitamin D and Bone Health: A Practical Clinical Guideline for Patient Management in Children and Young People&lt;/title&gt;&lt;/titles&gt;&lt;dates&gt;&lt;year&gt;2018 &lt;/year&gt;&lt;/dates&gt;&lt;publisher&gt;National Osteoporosis Society&lt;/publisher&gt;&lt;urls&gt;&lt;/urls&gt;&lt;/record&gt;&lt;/Cite&gt;&lt;/EndNote&gt;</w:instrText>
      </w:r>
      <w:r w:rsidR="009D61C7">
        <w:rPr>
          <w:rFonts w:ascii="Arial" w:hAnsi="Arial" w:cs="Arial"/>
        </w:rPr>
        <w:fldChar w:fldCharType="separate"/>
      </w:r>
      <w:r w:rsidR="009D61C7">
        <w:rPr>
          <w:rFonts w:ascii="Arial" w:hAnsi="Arial" w:cs="Arial"/>
          <w:noProof/>
        </w:rPr>
        <w:t>(2)</w:t>
      </w:r>
      <w:r w:rsidR="009D61C7">
        <w:rPr>
          <w:rFonts w:ascii="Arial" w:hAnsi="Arial" w:cs="Arial"/>
        </w:rPr>
        <w:fldChar w:fldCharType="end"/>
      </w:r>
      <w:r w:rsidRPr="00AF66F4">
        <w:rPr>
          <w:rFonts w:ascii="Arial" w:hAnsi="Arial" w:cs="Arial"/>
        </w:rPr>
        <w:t>, and the reasons for testing in a sample of 312 children in secondary/tertiary paediatric care.</w:t>
      </w:r>
    </w:p>
    <w:tbl>
      <w:tblPr>
        <w:tblStyle w:val="TableGrid"/>
        <w:tblpPr w:leftFromText="180" w:rightFromText="180" w:vertAnchor="text" w:horzAnchor="margin" w:tblpY="324"/>
        <w:tblW w:w="95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6373"/>
        <w:gridCol w:w="2229"/>
      </w:tblGrid>
      <w:tr w:rsidR="008735D8" w:rsidRPr="00AF66F4" w14:paraId="2A283E15" w14:textId="77777777" w:rsidTr="008735D8">
        <w:trPr>
          <w:trHeight w:val="1224"/>
        </w:trPr>
        <w:tc>
          <w:tcPr>
            <w:tcW w:w="736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A5C3A8C" w14:textId="77777777" w:rsidR="008735D8" w:rsidRPr="00AF66F4" w:rsidRDefault="008735D8" w:rsidP="008735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9" w:type="dxa"/>
            <w:tcBorders>
              <w:top w:val="single" w:sz="12" w:space="0" w:color="auto"/>
              <w:bottom w:val="single" w:sz="12" w:space="0" w:color="auto"/>
            </w:tcBorders>
          </w:tcPr>
          <w:p w14:paraId="7F3EE01A" w14:textId="77777777" w:rsidR="008735D8" w:rsidRPr="00AF66F4" w:rsidRDefault="008735D8" w:rsidP="008735D8">
            <w:pPr>
              <w:rPr>
                <w:rFonts w:ascii="Arial" w:hAnsi="Arial" w:cs="Arial"/>
                <w:b/>
                <w:bCs/>
              </w:rPr>
            </w:pPr>
            <w:r w:rsidRPr="00AF66F4">
              <w:rPr>
                <w:rFonts w:ascii="Arial" w:hAnsi="Arial" w:cs="Arial"/>
                <w:b/>
                <w:bCs/>
              </w:rPr>
              <w:t>Testing undertaken for this indication in children’s hospital sample, n (%)</w:t>
            </w:r>
          </w:p>
        </w:tc>
      </w:tr>
      <w:tr w:rsidR="008735D8" w:rsidRPr="00AF66F4" w14:paraId="5EA37725" w14:textId="77777777" w:rsidTr="008735D8">
        <w:trPr>
          <w:trHeight w:val="618"/>
        </w:trPr>
        <w:tc>
          <w:tcPr>
            <w:tcW w:w="7366" w:type="dxa"/>
            <w:gridSpan w:val="2"/>
            <w:tcBorders>
              <w:top w:val="single" w:sz="12" w:space="0" w:color="auto"/>
            </w:tcBorders>
          </w:tcPr>
          <w:p w14:paraId="64E27030" w14:textId="67E520AC" w:rsidR="008735D8" w:rsidRPr="00AF66F4" w:rsidRDefault="008735D8" w:rsidP="008735D8">
            <w:pPr>
              <w:rPr>
                <w:rFonts w:ascii="Arial" w:hAnsi="Arial" w:cs="Arial"/>
                <w:b/>
                <w:bCs/>
              </w:rPr>
            </w:pPr>
            <w:r w:rsidRPr="00AF66F4">
              <w:rPr>
                <w:rFonts w:ascii="Arial" w:hAnsi="Arial" w:cs="Arial"/>
                <w:b/>
                <w:bCs/>
              </w:rPr>
              <w:t xml:space="preserve">Clinical indications for 25(OH)D assessment as recommended by the </w:t>
            </w:r>
            <w:r w:rsidR="00817579">
              <w:rPr>
                <w:rFonts w:ascii="Arial" w:hAnsi="Arial" w:cs="Arial"/>
                <w:b/>
                <w:bCs/>
              </w:rPr>
              <w:t xml:space="preserve">Royal </w:t>
            </w:r>
            <w:r w:rsidRPr="00AF66F4">
              <w:rPr>
                <w:rFonts w:ascii="Arial" w:hAnsi="Arial" w:cs="Arial"/>
                <w:b/>
                <w:bCs/>
              </w:rPr>
              <w:t>Osteoporosis Society</w:t>
            </w:r>
          </w:p>
        </w:tc>
        <w:tc>
          <w:tcPr>
            <w:tcW w:w="2229" w:type="dxa"/>
            <w:tcBorders>
              <w:top w:val="single" w:sz="12" w:space="0" w:color="auto"/>
            </w:tcBorders>
          </w:tcPr>
          <w:p w14:paraId="5DF6C2FE" w14:textId="23137412" w:rsidR="008735D8" w:rsidRPr="00AF66F4" w:rsidRDefault="008735D8" w:rsidP="008735D8">
            <w:pPr>
              <w:jc w:val="center"/>
              <w:rPr>
                <w:rFonts w:ascii="Arial" w:hAnsi="Arial" w:cs="Arial"/>
                <w:b/>
                <w:bCs/>
              </w:rPr>
            </w:pPr>
            <w:r w:rsidRPr="00AF66F4">
              <w:rPr>
                <w:rFonts w:ascii="Arial" w:hAnsi="Arial" w:cs="Arial"/>
                <w:b/>
                <w:bCs/>
              </w:rPr>
              <w:t>121 (38.8)</w:t>
            </w:r>
          </w:p>
        </w:tc>
      </w:tr>
      <w:tr w:rsidR="008735D8" w:rsidRPr="00AF66F4" w14:paraId="7B336BAA" w14:textId="77777777" w:rsidTr="008735D8">
        <w:trPr>
          <w:trHeight w:val="618"/>
        </w:trPr>
        <w:tc>
          <w:tcPr>
            <w:tcW w:w="993" w:type="dxa"/>
          </w:tcPr>
          <w:p w14:paraId="3400C034" w14:textId="4B92F3F0" w:rsidR="008735D8" w:rsidRPr="00AF66F4" w:rsidRDefault="008735D8" w:rsidP="008735D8">
            <w:pPr>
              <w:rPr>
                <w:rFonts w:ascii="Arial" w:hAnsi="Arial" w:cs="Arial"/>
              </w:rPr>
            </w:pPr>
          </w:p>
        </w:tc>
        <w:tc>
          <w:tcPr>
            <w:tcW w:w="6373" w:type="dxa"/>
          </w:tcPr>
          <w:p w14:paraId="74E438C0" w14:textId="77777777" w:rsidR="008735D8" w:rsidRDefault="008735D8" w:rsidP="008735D8">
            <w:pPr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Symptoms and signs of rickets (e.g. leg bowing, knock knees, rachitic rosary, wrist swelling, craniotabes, delayed tooth eruption)</w:t>
            </w:r>
          </w:p>
          <w:p w14:paraId="401E9D5C" w14:textId="14289B8D" w:rsidR="009D61C7" w:rsidRPr="00AF66F4" w:rsidRDefault="009D61C7" w:rsidP="008735D8">
            <w:pPr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14:paraId="7187A0DE" w14:textId="77777777" w:rsidR="008735D8" w:rsidRPr="00AF66F4" w:rsidRDefault="008735D8" w:rsidP="008735D8">
            <w:pPr>
              <w:jc w:val="center"/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3 (1.0)</w:t>
            </w:r>
          </w:p>
        </w:tc>
      </w:tr>
      <w:tr w:rsidR="008735D8" w:rsidRPr="00AF66F4" w14:paraId="4556BA09" w14:textId="77777777" w:rsidTr="008735D8">
        <w:trPr>
          <w:trHeight w:val="915"/>
        </w:trPr>
        <w:tc>
          <w:tcPr>
            <w:tcW w:w="993" w:type="dxa"/>
          </w:tcPr>
          <w:p w14:paraId="1CB831F7" w14:textId="3640E0C4" w:rsidR="008735D8" w:rsidRPr="00AF66F4" w:rsidRDefault="008735D8" w:rsidP="008735D8">
            <w:pPr>
              <w:rPr>
                <w:rFonts w:ascii="Arial" w:hAnsi="Arial" w:cs="Arial"/>
              </w:rPr>
            </w:pPr>
          </w:p>
        </w:tc>
        <w:tc>
          <w:tcPr>
            <w:tcW w:w="6373" w:type="dxa"/>
          </w:tcPr>
          <w:p w14:paraId="218BBD5A" w14:textId="77777777" w:rsidR="008735D8" w:rsidRPr="00AF66F4" w:rsidRDefault="008735D8" w:rsidP="008735D8">
            <w:pPr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Other symptoms associated with vitamin D deficiency (e.g. more than 3 months of unexplained bone pain, muscular weakness, tetany or seizures due to low plasma calcium, infantile cardiomyopathy)</w:t>
            </w:r>
          </w:p>
          <w:p w14:paraId="7EB6653F" w14:textId="7CC5614C" w:rsidR="008735D8" w:rsidRPr="00AF66F4" w:rsidRDefault="008735D8" w:rsidP="008735D8">
            <w:pPr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14:paraId="365711E8" w14:textId="77777777" w:rsidR="008735D8" w:rsidRPr="00AF66F4" w:rsidRDefault="008735D8" w:rsidP="008735D8">
            <w:pPr>
              <w:jc w:val="center"/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19 (6.1)</w:t>
            </w:r>
          </w:p>
        </w:tc>
      </w:tr>
      <w:tr w:rsidR="008735D8" w:rsidRPr="00AF66F4" w14:paraId="6E24FCF9" w14:textId="77777777" w:rsidTr="008735D8">
        <w:trPr>
          <w:trHeight w:val="927"/>
        </w:trPr>
        <w:tc>
          <w:tcPr>
            <w:tcW w:w="993" w:type="dxa"/>
          </w:tcPr>
          <w:p w14:paraId="1B83C956" w14:textId="77777777" w:rsidR="008735D8" w:rsidRPr="00AF66F4" w:rsidRDefault="008735D8" w:rsidP="008735D8">
            <w:pPr>
              <w:rPr>
                <w:rFonts w:ascii="Arial" w:hAnsi="Arial" w:cs="Arial"/>
              </w:rPr>
            </w:pPr>
          </w:p>
        </w:tc>
        <w:tc>
          <w:tcPr>
            <w:tcW w:w="6373" w:type="dxa"/>
          </w:tcPr>
          <w:p w14:paraId="08EBD9B3" w14:textId="77777777" w:rsidR="008735D8" w:rsidRPr="00AF66F4" w:rsidRDefault="008735D8" w:rsidP="008735D8">
            <w:pPr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Abnormal investigations suggestive of vitamin D deficiency (e.g. low plasma calcium or phosphate, raised alkaline phosphatase, radiographic evidence of rickets)</w:t>
            </w:r>
          </w:p>
          <w:p w14:paraId="2B2BD36C" w14:textId="71F9E99B" w:rsidR="008735D8" w:rsidRPr="00AF66F4" w:rsidRDefault="008735D8" w:rsidP="008735D8">
            <w:pPr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14:paraId="4B5A9C24" w14:textId="77777777" w:rsidR="008735D8" w:rsidRPr="00AF66F4" w:rsidRDefault="008735D8" w:rsidP="008735D8">
            <w:pPr>
              <w:jc w:val="center"/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4 (1.3)</w:t>
            </w:r>
          </w:p>
        </w:tc>
      </w:tr>
      <w:tr w:rsidR="008735D8" w:rsidRPr="00AF66F4" w14:paraId="12F8CAEE" w14:textId="77777777" w:rsidTr="008735D8">
        <w:trPr>
          <w:trHeight w:val="927"/>
        </w:trPr>
        <w:tc>
          <w:tcPr>
            <w:tcW w:w="993" w:type="dxa"/>
          </w:tcPr>
          <w:p w14:paraId="62FF29F8" w14:textId="77777777" w:rsidR="008735D8" w:rsidRPr="00AF66F4" w:rsidRDefault="008735D8" w:rsidP="008735D8">
            <w:pPr>
              <w:rPr>
                <w:rFonts w:ascii="Arial" w:hAnsi="Arial" w:cs="Arial"/>
              </w:rPr>
            </w:pPr>
          </w:p>
        </w:tc>
        <w:tc>
          <w:tcPr>
            <w:tcW w:w="6373" w:type="dxa"/>
          </w:tcPr>
          <w:p w14:paraId="1C09CBE1" w14:textId="5B0B5DC0" w:rsidR="008735D8" w:rsidRPr="00AF66F4" w:rsidRDefault="008735D8" w:rsidP="008735D8">
            <w:pPr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Chronic disease that may increase the risk of vitamin D deficiency (chronic renal disease, chronic kidney disease, coeliac disease, Crohn’s disease, cystic fibrosis)</w:t>
            </w:r>
          </w:p>
        </w:tc>
        <w:tc>
          <w:tcPr>
            <w:tcW w:w="2229" w:type="dxa"/>
          </w:tcPr>
          <w:p w14:paraId="3EDF2E1C" w14:textId="77777777" w:rsidR="008735D8" w:rsidRPr="00AF66F4" w:rsidRDefault="008735D8" w:rsidP="008735D8">
            <w:pPr>
              <w:jc w:val="center"/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82 (26.2)</w:t>
            </w:r>
          </w:p>
        </w:tc>
      </w:tr>
      <w:tr w:rsidR="008735D8" w:rsidRPr="00AF66F4" w14:paraId="218DA5CA" w14:textId="77777777" w:rsidTr="008735D8">
        <w:trPr>
          <w:trHeight w:val="297"/>
        </w:trPr>
        <w:tc>
          <w:tcPr>
            <w:tcW w:w="993" w:type="dxa"/>
          </w:tcPr>
          <w:p w14:paraId="3E2D0017" w14:textId="77777777" w:rsidR="008735D8" w:rsidRPr="00AF66F4" w:rsidRDefault="008735D8" w:rsidP="008735D8">
            <w:pPr>
              <w:rPr>
                <w:rFonts w:ascii="Arial" w:hAnsi="Arial" w:cs="Arial"/>
              </w:rPr>
            </w:pPr>
          </w:p>
        </w:tc>
        <w:tc>
          <w:tcPr>
            <w:tcW w:w="6373" w:type="dxa"/>
          </w:tcPr>
          <w:p w14:paraId="6ACD0AE0" w14:textId="77777777" w:rsidR="008735D8" w:rsidRPr="00AF66F4" w:rsidRDefault="008735D8" w:rsidP="008735D8">
            <w:pPr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Bone-targeted drugs (e.g. bisphosphonates)</w:t>
            </w:r>
          </w:p>
          <w:p w14:paraId="6D8DCF5F" w14:textId="0D01C512" w:rsidR="008735D8" w:rsidRPr="00AF66F4" w:rsidRDefault="008735D8" w:rsidP="008735D8">
            <w:pPr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14:paraId="74595137" w14:textId="77777777" w:rsidR="008735D8" w:rsidRPr="00AF66F4" w:rsidRDefault="008735D8" w:rsidP="008735D8">
            <w:pPr>
              <w:jc w:val="center"/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12 (3.8)</w:t>
            </w:r>
          </w:p>
        </w:tc>
      </w:tr>
      <w:tr w:rsidR="008735D8" w:rsidRPr="00AF66F4" w14:paraId="783B26CE" w14:textId="77777777" w:rsidTr="008735D8">
        <w:trPr>
          <w:trHeight w:val="618"/>
        </w:trPr>
        <w:tc>
          <w:tcPr>
            <w:tcW w:w="993" w:type="dxa"/>
          </w:tcPr>
          <w:p w14:paraId="62460EF8" w14:textId="77777777" w:rsidR="008735D8" w:rsidRPr="00AF66F4" w:rsidRDefault="008735D8" w:rsidP="008735D8">
            <w:pPr>
              <w:rPr>
                <w:rFonts w:ascii="Arial" w:hAnsi="Arial" w:cs="Arial"/>
              </w:rPr>
            </w:pPr>
          </w:p>
        </w:tc>
        <w:tc>
          <w:tcPr>
            <w:tcW w:w="6373" w:type="dxa"/>
          </w:tcPr>
          <w:p w14:paraId="521E0522" w14:textId="2008409F" w:rsidR="008735D8" w:rsidRPr="00AF66F4" w:rsidRDefault="008735D8" w:rsidP="008735D8">
            <w:pPr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Reassessment of vitamin D status following treatment of vitamin D deficiency</w:t>
            </w:r>
          </w:p>
        </w:tc>
        <w:tc>
          <w:tcPr>
            <w:tcW w:w="2229" w:type="dxa"/>
          </w:tcPr>
          <w:p w14:paraId="64B7BF84" w14:textId="77777777" w:rsidR="008735D8" w:rsidRPr="00AF66F4" w:rsidRDefault="008735D8" w:rsidP="008735D8">
            <w:pPr>
              <w:jc w:val="center"/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1 (0.3)</w:t>
            </w:r>
          </w:p>
        </w:tc>
      </w:tr>
      <w:tr w:rsidR="008735D8" w:rsidRPr="00AF66F4" w14:paraId="1BBA27A0" w14:textId="77777777" w:rsidTr="008735D8">
        <w:trPr>
          <w:trHeight w:val="309"/>
        </w:trPr>
        <w:tc>
          <w:tcPr>
            <w:tcW w:w="7366" w:type="dxa"/>
            <w:gridSpan w:val="2"/>
          </w:tcPr>
          <w:p w14:paraId="104CB6B5" w14:textId="5C23553A" w:rsidR="008735D8" w:rsidRPr="00AF66F4" w:rsidRDefault="008735D8" w:rsidP="008735D8">
            <w:pPr>
              <w:rPr>
                <w:rFonts w:ascii="Arial" w:hAnsi="Arial" w:cs="Arial"/>
                <w:b/>
                <w:bCs/>
              </w:rPr>
            </w:pPr>
            <w:r w:rsidRPr="00AF66F4">
              <w:rPr>
                <w:rFonts w:ascii="Arial" w:hAnsi="Arial" w:cs="Arial"/>
                <w:b/>
                <w:bCs/>
              </w:rPr>
              <w:t xml:space="preserve">Other indication without recommendation by the </w:t>
            </w:r>
            <w:r w:rsidR="00817579">
              <w:rPr>
                <w:rFonts w:ascii="Arial" w:hAnsi="Arial" w:cs="Arial"/>
                <w:b/>
                <w:bCs/>
              </w:rPr>
              <w:t>Royal</w:t>
            </w:r>
            <w:r w:rsidR="00817579" w:rsidRPr="00AF66F4">
              <w:rPr>
                <w:rFonts w:ascii="Arial" w:hAnsi="Arial" w:cs="Arial"/>
                <w:b/>
                <w:bCs/>
              </w:rPr>
              <w:t xml:space="preserve"> </w:t>
            </w:r>
            <w:r w:rsidRPr="00AF66F4">
              <w:rPr>
                <w:rFonts w:ascii="Arial" w:hAnsi="Arial" w:cs="Arial"/>
                <w:b/>
                <w:bCs/>
              </w:rPr>
              <w:t>Osteoporosis Society</w:t>
            </w:r>
          </w:p>
        </w:tc>
        <w:tc>
          <w:tcPr>
            <w:tcW w:w="2229" w:type="dxa"/>
          </w:tcPr>
          <w:p w14:paraId="6A09F99F" w14:textId="77777777" w:rsidR="008735D8" w:rsidRPr="00AF66F4" w:rsidRDefault="008735D8" w:rsidP="008735D8">
            <w:pPr>
              <w:jc w:val="center"/>
              <w:rPr>
                <w:rFonts w:ascii="Arial" w:hAnsi="Arial" w:cs="Arial"/>
                <w:b/>
                <w:bCs/>
              </w:rPr>
            </w:pPr>
            <w:r w:rsidRPr="00AF66F4">
              <w:rPr>
                <w:rFonts w:ascii="Arial" w:hAnsi="Arial" w:cs="Arial"/>
                <w:b/>
                <w:bCs/>
              </w:rPr>
              <w:t>191 (61.2)</w:t>
            </w:r>
          </w:p>
        </w:tc>
      </w:tr>
      <w:tr w:rsidR="008735D8" w:rsidRPr="00AF66F4" w14:paraId="1C40FB1B" w14:textId="77777777" w:rsidTr="008735D8">
        <w:trPr>
          <w:trHeight w:val="309"/>
        </w:trPr>
        <w:tc>
          <w:tcPr>
            <w:tcW w:w="993" w:type="dxa"/>
          </w:tcPr>
          <w:p w14:paraId="0EF49CFF" w14:textId="77777777" w:rsidR="008735D8" w:rsidRPr="00AF66F4" w:rsidRDefault="008735D8" w:rsidP="008735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3" w:type="dxa"/>
          </w:tcPr>
          <w:p w14:paraId="40409437" w14:textId="7C65FFF6" w:rsidR="008735D8" w:rsidRPr="00AF66F4" w:rsidRDefault="008735D8" w:rsidP="008735D8">
            <w:pPr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Short stature/poor growth</w:t>
            </w:r>
          </w:p>
        </w:tc>
        <w:tc>
          <w:tcPr>
            <w:tcW w:w="2229" w:type="dxa"/>
          </w:tcPr>
          <w:p w14:paraId="0882C80B" w14:textId="04271F22" w:rsidR="008735D8" w:rsidRPr="00AF66F4" w:rsidRDefault="008735D8" w:rsidP="008735D8">
            <w:pPr>
              <w:jc w:val="center"/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14</w:t>
            </w:r>
            <w:r w:rsidR="00752583" w:rsidRPr="00AF66F4">
              <w:rPr>
                <w:rFonts w:ascii="Arial" w:hAnsi="Arial" w:cs="Arial"/>
              </w:rPr>
              <w:t xml:space="preserve"> (4.5)</w:t>
            </w:r>
          </w:p>
        </w:tc>
      </w:tr>
      <w:tr w:rsidR="008735D8" w:rsidRPr="00AF66F4" w14:paraId="71E8F720" w14:textId="77777777" w:rsidTr="008735D8">
        <w:trPr>
          <w:trHeight w:val="309"/>
        </w:trPr>
        <w:tc>
          <w:tcPr>
            <w:tcW w:w="993" w:type="dxa"/>
          </w:tcPr>
          <w:p w14:paraId="2F728F36" w14:textId="77777777" w:rsidR="008735D8" w:rsidRPr="00AF66F4" w:rsidRDefault="008735D8" w:rsidP="008735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3" w:type="dxa"/>
          </w:tcPr>
          <w:p w14:paraId="76FD29BA" w14:textId="0B224FED" w:rsidR="008735D8" w:rsidRPr="00AF66F4" w:rsidRDefault="008735D8" w:rsidP="008735D8">
            <w:pPr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Atopy</w:t>
            </w:r>
          </w:p>
        </w:tc>
        <w:tc>
          <w:tcPr>
            <w:tcW w:w="2229" w:type="dxa"/>
          </w:tcPr>
          <w:p w14:paraId="6936AF1E" w14:textId="78561B2F" w:rsidR="008735D8" w:rsidRPr="00AF66F4" w:rsidRDefault="008735D8" w:rsidP="008735D8">
            <w:pPr>
              <w:jc w:val="center"/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12</w:t>
            </w:r>
            <w:r w:rsidR="00752583" w:rsidRPr="00AF66F4">
              <w:rPr>
                <w:rFonts w:ascii="Arial" w:hAnsi="Arial" w:cs="Arial"/>
              </w:rPr>
              <w:t xml:space="preserve"> (3.8)</w:t>
            </w:r>
          </w:p>
        </w:tc>
      </w:tr>
      <w:tr w:rsidR="00752583" w:rsidRPr="00AF66F4" w14:paraId="5885244D" w14:textId="77777777" w:rsidTr="008735D8">
        <w:trPr>
          <w:trHeight w:val="309"/>
        </w:trPr>
        <w:tc>
          <w:tcPr>
            <w:tcW w:w="993" w:type="dxa"/>
          </w:tcPr>
          <w:p w14:paraId="5C14C517" w14:textId="77777777" w:rsidR="00752583" w:rsidRPr="00AF66F4" w:rsidRDefault="00752583" w:rsidP="007525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3" w:type="dxa"/>
          </w:tcPr>
          <w:p w14:paraId="23D9DB06" w14:textId="2B7646E7" w:rsidR="00752583" w:rsidRPr="00AF66F4" w:rsidRDefault="00752583" w:rsidP="00752583">
            <w:pPr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Patient on total parenteral nutrition</w:t>
            </w:r>
          </w:p>
        </w:tc>
        <w:tc>
          <w:tcPr>
            <w:tcW w:w="2229" w:type="dxa"/>
          </w:tcPr>
          <w:p w14:paraId="77B43C95" w14:textId="3AEE0752" w:rsidR="00752583" w:rsidRPr="00AF66F4" w:rsidRDefault="00752583" w:rsidP="00752583">
            <w:pPr>
              <w:jc w:val="center"/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12 (3.8)</w:t>
            </w:r>
          </w:p>
        </w:tc>
      </w:tr>
      <w:tr w:rsidR="00752583" w:rsidRPr="00AF66F4" w14:paraId="19E3592A" w14:textId="77777777" w:rsidTr="008735D8">
        <w:trPr>
          <w:trHeight w:val="309"/>
        </w:trPr>
        <w:tc>
          <w:tcPr>
            <w:tcW w:w="993" w:type="dxa"/>
          </w:tcPr>
          <w:p w14:paraId="6413000A" w14:textId="77777777" w:rsidR="00752583" w:rsidRPr="00AF66F4" w:rsidRDefault="00752583" w:rsidP="007525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3" w:type="dxa"/>
          </w:tcPr>
          <w:p w14:paraId="2601DCDB" w14:textId="2482645E" w:rsidR="00752583" w:rsidRPr="00AF66F4" w:rsidRDefault="00752583" w:rsidP="00752583">
            <w:pPr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 xml:space="preserve">Renal conditions without chronic kidney disease </w:t>
            </w:r>
          </w:p>
        </w:tc>
        <w:tc>
          <w:tcPr>
            <w:tcW w:w="2229" w:type="dxa"/>
          </w:tcPr>
          <w:p w14:paraId="308282DE" w14:textId="6C4A2282" w:rsidR="00752583" w:rsidRPr="00AF66F4" w:rsidRDefault="00752583" w:rsidP="00752583">
            <w:pPr>
              <w:jc w:val="center"/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10 (3.2)</w:t>
            </w:r>
          </w:p>
        </w:tc>
      </w:tr>
      <w:tr w:rsidR="00752583" w:rsidRPr="00AF66F4" w14:paraId="375F06E3" w14:textId="77777777" w:rsidTr="008735D8">
        <w:trPr>
          <w:trHeight w:val="309"/>
        </w:trPr>
        <w:tc>
          <w:tcPr>
            <w:tcW w:w="993" w:type="dxa"/>
          </w:tcPr>
          <w:p w14:paraId="36E32682" w14:textId="77777777" w:rsidR="00752583" w:rsidRPr="00AF66F4" w:rsidRDefault="00752583" w:rsidP="007525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3" w:type="dxa"/>
          </w:tcPr>
          <w:p w14:paraId="5D756FDD" w14:textId="51EF2595" w:rsidR="00752583" w:rsidRPr="00AF66F4" w:rsidRDefault="00752583" w:rsidP="00752583">
            <w:pPr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Abdominal pain and/or constipation</w:t>
            </w:r>
          </w:p>
        </w:tc>
        <w:tc>
          <w:tcPr>
            <w:tcW w:w="2229" w:type="dxa"/>
          </w:tcPr>
          <w:p w14:paraId="7D516A11" w14:textId="2D2DDF0D" w:rsidR="00752583" w:rsidRPr="00AF66F4" w:rsidRDefault="00752583" w:rsidP="00752583">
            <w:pPr>
              <w:jc w:val="center"/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10 (3.2)</w:t>
            </w:r>
          </w:p>
        </w:tc>
      </w:tr>
      <w:tr w:rsidR="00752583" w:rsidRPr="00AF66F4" w14:paraId="4979A6BB" w14:textId="77777777" w:rsidTr="00752583">
        <w:trPr>
          <w:trHeight w:val="309"/>
        </w:trPr>
        <w:tc>
          <w:tcPr>
            <w:tcW w:w="993" w:type="dxa"/>
          </w:tcPr>
          <w:p w14:paraId="1A6C9AEE" w14:textId="77777777" w:rsidR="00752583" w:rsidRPr="00AF66F4" w:rsidRDefault="00752583" w:rsidP="007525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3" w:type="dxa"/>
          </w:tcPr>
          <w:p w14:paraId="53804A2B" w14:textId="60C5ABB5" w:rsidR="00752583" w:rsidRPr="00AF66F4" w:rsidRDefault="00752583" w:rsidP="00752583">
            <w:pPr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Iron deficiency and/or anaemia</w:t>
            </w:r>
          </w:p>
        </w:tc>
        <w:tc>
          <w:tcPr>
            <w:tcW w:w="2229" w:type="dxa"/>
          </w:tcPr>
          <w:p w14:paraId="7BAA25D0" w14:textId="240E189D" w:rsidR="00752583" w:rsidRPr="00AF66F4" w:rsidRDefault="00752583" w:rsidP="00752583">
            <w:pPr>
              <w:jc w:val="center"/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6 (1.9)</w:t>
            </w:r>
          </w:p>
        </w:tc>
      </w:tr>
      <w:tr w:rsidR="00752583" w:rsidRPr="00AF66F4" w14:paraId="48793250" w14:textId="77777777" w:rsidTr="00752583">
        <w:trPr>
          <w:trHeight w:val="309"/>
        </w:trPr>
        <w:tc>
          <w:tcPr>
            <w:tcW w:w="993" w:type="dxa"/>
          </w:tcPr>
          <w:p w14:paraId="79F64AF7" w14:textId="77777777" w:rsidR="00752583" w:rsidRPr="00AF66F4" w:rsidRDefault="00752583" w:rsidP="007525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3" w:type="dxa"/>
          </w:tcPr>
          <w:p w14:paraId="78A6CD47" w14:textId="01D1F47A" w:rsidR="00752583" w:rsidRPr="00AF66F4" w:rsidRDefault="00752583" w:rsidP="00752583">
            <w:pPr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Acute infection</w:t>
            </w:r>
          </w:p>
        </w:tc>
        <w:tc>
          <w:tcPr>
            <w:tcW w:w="2229" w:type="dxa"/>
          </w:tcPr>
          <w:p w14:paraId="321E1E32" w14:textId="5A4583CD" w:rsidR="00752583" w:rsidRPr="00AF66F4" w:rsidRDefault="00752583" w:rsidP="00752583">
            <w:pPr>
              <w:jc w:val="center"/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6 (1.9)</w:t>
            </w:r>
          </w:p>
        </w:tc>
      </w:tr>
      <w:tr w:rsidR="00752583" w:rsidRPr="00AF66F4" w14:paraId="0084FB19" w14:textId="77777777" w:rsidTr="00752583">
        <w:trPr>
          <w:trHeight w:val="309"/>
        </w:trPr>
        <w:tc>
          <w:tcPr>
            <w:tcW w:w="993" w:type="dxa"/>
          </w:tcPr>
          <w:p w14:paraId="5C6CD4E1" w14:textId="77777777" w:rsidR="00752583" w:rsidRPr="00AF66F4" w:rsidRDefault="00752583" w:rsidP="007525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3" w:type="dxa"/>
          </w:tcPr>
          <w:p w14:paraId="562F9640" w14:textId="088139C6" w:rsidR="00752583" w:rsidRPr="00AF66F4" w:rsidRDefault="00752583" w:rsidP="00752583">
            <w:pPr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Obesity</w:t>
            </w:r>
          </w:p>
        </w:tc>
        <w:tc>
          <w:tcPr>
            <w:tcW w:w="2229" w:type="dxa"/>
          </w:tcPr>
          <w:p w14:paraId="7AA3FF45" w14:textId="64B4F41D" w:rsidR="00752583" w:rsidRPr="00AF66F4" w:rsidRDefault="00752583" w:rsidP="00752583">
            <w:pPr>
              <w:jc w:val="center"/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4 (1.3)</w:t>
            </w:r>
          </w:p>
        </w:tc>
      </w:tr>
      <w:tr w:rsidR="00752583" w:rsidRPr="00AF66F4" w14:paraId="2EFEEDC9" w14:textId="77777777" w:rsidTr="00752583">
        <w:trPr>
          <w:trHeight w:val="309"/>
        </w:trPr>
        <w:tc>
          <w:tcPr>
            <w:tcW w:w="993" w:type="dxa"/>
          </w:tcPr>
          <w:p w14:paraId="122A19A2" w14:textId="77777777" w:rsidR="00752583" w:rsidRPr="00AF66F4" w:rsidRDefault="00752583" w:rsidP="007525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3" w:type="dxa"/>
          </w:tcPr>
          <w:p w14:paraId="7426073B" w14:textId="7812C602" w:rsidR="00752583" w:rsidRPr="00AF66F4" w:rsidRDefault="00752583" w:rsidP="00752583">
            <w:pPr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 xml:space="preserve">Safeguarding </w:t>
            </w:r>
          </w:p>
        </w:tc>
        <w:tc>
          <w:tcPr>
            <w:tcW w:w="2229" w:type="dxa"/>
          </w:tcPr>
          <w:p w14:paraId="71F06927" w14:textId="1E7648C3" w:rsidR="00752583" w:rsidRPr="00AF66F4" w:rsidRDefault="00752583" w:rsidP="00752583">
            <w:pPr>
              <w:jc w:val="center"/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3 (1.0)</w:t>
            </w:r>
          </w:p>
        </w:tc>
      </w:tr>
      <w:tr w:rsidR="00752583" w:rsidRPr="00AF66F4" w14:paraId="7B48BDDD" w14:textId="77777777" w:rsidTr="00752583">
        <w:trPr>
          <w:trHeight w:val="309"/>
        </w:trPr>
        <w:tc>
          <w:tcPr>
            <w:tcW w:w="993" w:type="dxa"/>
          </w:tcPr>
          <w:p w14:paraId="395EBF6D" w14:textId="77777777" w:rsidR="00752583" w:rsidRPr="00AF66F4" w:rsidRDefault="00752583" w:rsidP="007525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3" w:type="dxa"/>
          </w:tcPr>
          <w:p w14:paraId="02E27D29" w14:textId="1B5BBB16" w:rsidR="00752583" w:rsidRPr="00AF66F4" w:rsidRDefault="00752583" w:rsidP="00752583">
            <w:pPr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Fatigue</w:t>
            </w:r>
          </w:p>
        </w:tc>
        <w:tc>
          <w:tcPr>
            <w:tcW w:w="2229" w:type="dxa"/>
          </w:tcPr>
          <w:p w14:paraId="45E84916" w14:textId="7371B665" w:rsidR="00752583" w:rsidRPr="00AF66F4" w:rsidRDefault="00752583" w:rsidP="00752583">
            <w:pPr>
              <w:jc w:val="center"/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3 (1.0)</w:t>
            </w:r>
          </w:p>
        </w:tc>
      </w:tr>
      <w:tr w:rsidR="00752583" w:rsidRPr="00AF66F4" w14:paraId="00C9CE15" w14:textId="77777777" w:rsidTr="008735D8">
        <w:trPr>
          <w:trHeight w:val="309"/>
        </w:trPr>
        <w:tc>
          <w:tcPr>
            <w:tcW w:w="993" w:type="dxa"/>
            <w:tcBorders>
              <w:bottom w:val="single" w:sz="12" w:space="0" w:color="auto"/>
            </w:tcBorders>
          </w:tcPr>
          <w:p w14:paraId="4B7E51D6" w14:textId="77777777" w:rsidR="00752583" w:rsidRPr="00AF66F4" w:rsidRDefault="00752583" w:rsidP="007525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3" w:type="dxa"/>
            <w:tcBorders>
              <w:bottom w:val="single" w:sz="12" w:space="0" w:color="auto"/>
            </w:tcBorders>
          </w:tcPr>
          <w:p w14:paraId="481653A3" w14:textId="5EA620F9" w:rsidR="00752583" w:rsidRPr="00AF66F4" w:rsidRDefault="00752583" w:rsidP="00752583">
            <w:pPr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Other</w:t>
            </w:r>
          </w:p>
        </w:tc>
        <w:tc>
          <w:tcPr>
            <w:tcW w:w="2229" w:type="dxa"/>
            <w:tcBorders>
              <w:bottom w:val="single" w:sz="12" w:space="0" w:color="auto"/>
            </w:tcBorders>
          </w:tcPr>
          <w:p w14:paraId="1B936657" w14:textId="29BD14EF" w:rsidR="00752583" w:rsidRPr="00AF66F4" w:rsidRDefault="00752583" w:rsidP="00752583">
            <w:pPr>
              <w:jc w:val="center"/>
              <w:rPr>
                <w:rFonts w:ascii="Arial" w:hAnsi="Arial" w:cs="Arial"/>
              </w:rPr>
            </w:pPr>
            <w:r w:rsidRPr="00AF66F4">
              <w:rPr>
                <w:rFonts w:ascii="Arial" w:hAnsi="Arial" w:cs="Arial"/>
              </w:rPr>
              <w:t>111 (35.6)</w:t>
            </w:r>
          </w:p>
        </w:tc>
      </w:tr>
    </w:tbl>
    <w:p w14:paraId="64E85863" w14:textId="77777777" w:rsidR="00EB1982" w:rsidRPr="00AF66F4" w:rsidRDefault="00EB1982" w:rsidP="00F000EF">
      <w:pPr>
        <w:spacing w:line="600" w:lineRule="auto"/>
        <w:rPr>
          <w:rFonts w:ascii="Arial" w:hAnsi="Arial" w:cs="Arial"/>
          <w:noProof/>
        </w:rPr>
      </w:pPr>
    </w:p>
    <w:p w14:paraId="7AFAEE86" w14:textId="39B0D6F3" w:rsidR="009121C6" w:rsidRPr="00AF66F4" w:rsidRDefault="009121C6" w:rsidP="00F000EF">
      <w:pPr>
        <w:spacing w:line="600" w:lineRule="auto"/>
        <w:rPr>
          <w:rFonts w:ascii="Arial" w:hAnsi="Arial" w:cs="Arial"/>
          <w:b/>
          <w:bCs/>
        </w:rPr>
      </w:pPr>
    </w:p>
    <w:p w14:paraId="5032FD2C" w14:textId="77777777" w:rsidR="009121C6" w:rsidRPr="00AF66F4" w:rsidRDefault="009121C6" w:rsidP="00F000EF">
      <w:pPr>
        <w:spacing w:line="600" w:lineRule="auto"/>
        <w:rPr>
          <w:rFonts w:ascii="Arial" w:hAnsi="Arial" w:cs="Arial"/>
          <w:b/>
          <w:bCs/>
        </w:rPr>
      </w:pPr>
    </w:p>
    <w:p w14:paraId="006DBBD2" w14:textId="10B6FB5A" w:rsidR="00615B07" w:rsidRPr="001A439D" w:rsidRDefault="00AC794D" w:rsidP="001A439D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615B07">
        <w:rPr>
          <w:rFonts w:ascii="Arial" w:hAnsi="Arial" w:cs="Arial"/>
          <w:b/>
          <w:bCs/>
        </w:rPr>
        <w:lastRenderedPageBreak/>
        <w:t>References</w:t>
      </w:r>
    </w:p>
    <w:p w14:paraId="6797D9D2" w14:textId="77777777" w:rsidR="00615B07" w:rsidRDefault="00615B07" w:rsidP="009D61C7">
      <w:pPr>
        <w:pStyle w:val="EndNoteBibliography"/>
        <w:spacing w:after="0"/>
        <w:rPr>
          <w:rFonts w:ascii="Arial" w:hAnsi="Arial" w:cs="Arial"/>
        </w:rPr>
      </w:pPr>
    </w:p>
    <w:p w14:paraId="249F3DCB" w14:textId="0F762317" w:rsidR="00AF116D" w:rsidRPr="00AF116D" w:rsidRDefault="00866B09" w:rsidP="00AF116D">
      <w:pPr>
        <w:pStyle w:val="EndNoteBibliography"/>
        <w:spacing w:after="0"/>
      </w:pPr>
      <w:r w:rsidRPr="00AF66F4">
        <w:rPr>
          <w:rFonts w:ascii="Arial" w:hAnsi="Arial" w:cs="Arial"/>
        </w:rPr>
        <w:fldChar w:fldCharType="begin"/>
      </w:r>
      <w:r w:rsidRPr="00AF66F4">
        <w:rPr>
          <w:rFonts w:ascii="Arial" w:hAnsi="Arial" w:cs="Arial"/>
        </w:rPr>
        <w:instrText xml:space="preserve"> ADDIN EN.REFLIST </w:instrText>
      </w:r>
      <w:r w:rsidRPr="00AF66F4">
        <w:rPr>
          <w:rFonts w:ascii="Arial" w:hAnsi="Arial" w:cs="Arial"/>
        </w:rPr>
        <w:fldChar w:fldCharType="separate"/>
      </w:r>
      <w:r w:rsidR="00AF116D" w:rsidRPr="00AF116D">
        <w:t>1.</w:t>
      </w:r>
      <w:r w:rsidR="00AF116D" w:rsidRPr="00AF116D">
        <w:tab/>
        <w:t xml:space="preserve">Public Health England Press Office. PHE publishes new advice on vitamin D 2016 [Available from: </w:t>
      </w:r>
      <w:hyperlink r:id="rId7" w:history="1">
        <w:r w:rsidR="00AF116D" w:rsidRPr="00AF116D">
          <w:rPr>
            <w:rStyle w:val="Hyperlink"/>
          </w:rPr>
          <w:t>https://www.gov.uk/government/news/phe-publishes-new-advice-on-vitamin-d</w:t>
        </w:r>
      </w:hyperlink>
      <w:r w:rsidR="00AF116D" w:rsidRPr="00AF116D">
        <w:t>.</w:t>
      </w:r>
    </w:p>
    <w:p w14:paraId="13E8ADE6" w14:textId="77777777" w:rsidR="00AF116D" w:rsidRPr="00AF116D" w:rsidRDefault="00AF116D" w:rsidP="00AF116D">
      <w:pPr>
        <w:pStyle w:val="EndNoteBibliography"/>
        <w:spacing w:after="0"/>
      </w:pPr>
      <w:r w:rsidRPr="00AF116D">
        <w:t>2.</w:t>
      </w:r>
      <w:r w:rsidRPr="00AF116D">
        <w:tab/>
        <w:t xml:space="preserve">Arundel P, Shaw N. Vitamin D and Bone Health: A Practical Clinical Guideline for Patient Management in Children and Young People. National Osteoporosis Society; 2018 </w:t>
      </w:r>
    </w:p>
    <w:p w14:paraId="77A53C74" w14:textId="77777777" w:rsidR="00AF116D" w:rsidRPr="00AF116D" w:rsidRDefault="00AF116D" w:rsidP="00AF116D">
      <w:pPr>
        <w:pStyle w:val="EndNoteBibliography"/>
        <w:spacing w:after="0"/>
      </w:pPr>
      <w:r w:rsidRPr="00AF116D">
        <w:t>3.</w:t>
      </w:r>
      <w:r w:rsidRPr="00AF116D">
        <w:tab/>
        <w:t>Bolland MJ, Avenell A, Smith K, Witham MD, Grey A. Vitamin D supplementation and testing in the UK: costly but ineffective? BMJ. 2021;372:n484.</w:t>
      </w:r>
    </w:p>
    <w:p w14:paraId="44A4231C" w14:textId="5110CC36" w:rsidR="00AF116D" w:rsidRPr="00AF116D" w:rsidRDefault="00AF116D" w:rsidP="00AF116D">
      <w:pPr>
        <w:pStyle w:val="EndNoteBibliography"/>
      </w:pPr>
      <w:r w:rsidRPr="00AF116D">
        <w:t>4.</w:t>
      </w:r>
      <w:r w:rsidRPr="00AF116D">
        <w:tab/>
        <w:t xml:space="preserve">Royal College of Paediatrics and Child Health. Child Protection Companion. Chapter 9 Recognition of Physical Abuse.: RCPCH; Updated December 2021 [Available from: </w:t>
      </w:r>
      <w:hyperlink r:id="rId8" w:history="1">
        <w:r w:rsidRPr="00AF116D">
          <w:rPr>
            <w:rStyle w:val="Hyperlink"/>
          </w:rPr>
          <w:t>https://childprotection.rcpch.ac.uk/child-protection-companion-content/chapter-9-recognition-of-physical-abuse/</w:t>
        </w:r>
      </w:hyperlink>
      <w:r w:rsidRPr="00AF116D">
        <w:t>.</w:t>
      </w:r>
    </w:p>
    <w:p w14:paraId="1364DCBA" w14:textId="39F0A9F9" w:rsidR="00A64657" w:rsidRPr="00AF66F4" w:rsidRDefault="00866B09" w:rsidP="0053255E">
      <w:pPr>
        <w:spacing w:line="600" w:lineRule="auto"/>
        <w:rPr>
          <w:rFonts w:ascii="Arial" w:hAnsi="Arial" w:cs="Arial"/>
        </w:rPr>
      </w:pPr>
      <w:r w:rsidRPr="00AF66F4">
        <w:rPr>
          <w:rFonts w:ascii="Arial" w:hAnsi="Arial" w:cs="Arial"/>
        </w:rPr>
        <w:fldChar w:fldCharType="end"/>
      </w:r>
    </w:p>
    <w:sectPr w:rsidR="00A64657" w:rsidRPr="00AF66F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FDBD9" w14:textId="77777777" w:rsidR="00E62AAD" w:rsidRDefault="00E62AAD" w:rsidP="00752583">
      <w:pPr>
        <w:spacing w:after="0" w:line="240" w:lineRule="auto"/>
      </w:pPr>
      <w:r>
        <w:separator/>
      </w:r>
    </w:p>
  </w:endnote>
  <w:endnote w:type="continuationSeparator" w:id="0">
    <w:p w14:paraId="77C0B857" w14:textId="77777777" w:rsidR="00E62AAD" w:rsidRDefault="00E62AAD" w:rsidP="0075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891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904E0" w14:textId="76922342" w:rsidR="00752583" w:rsidRDefault="007525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385906" w14:textId="77777777" w:rsidR="00752583" w:rsidRDefault="00752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B55A0" w14:textId="77777777" w:rsidR="00E62AAD" w:rsidRDefault="00E62AAD" w:rsidP="00752583">
      <w:pPr>
        <w:spacing w:after="0" w:line="240" w:lineRule="auto"/>
      </w:pPr>
      <w:r>
        <w:separator/>
      </w:r>
    </w:p>
  </w:footnote>
  <w:footnote w:type="continuationSeparator" w:id="0">
    <w:p w14:paraId="61021755" w14:textId="77777777" w:rsidR="00E62AAD" w:rsidRDefault="00E62AAD" w:rsidP="00752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C08BA"/>
    <w:multiLevelType w:val="hybridMultilevel"/>
    <w:tmpl w:val="CAB87C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x5vfvpf3fa2e8ew2sbp2fd8zesxeepw2add&quot;&gt;Vitamin D 2 - saved-Saved-Saved-Saved&lt;record-ids&gt;&lt;item&gt;1813&lt;/item&gt;&lt;item&gt;1833&lt;/item&gt;&lt;item&gt;2185&lt;/item&gt;&lt;item&gt;2210&lt;/item&gt;&lt;/record-ids&gt;&lt;/item&gt;&lt;/Libraries&gt;"/>
  </w:docVars>
  <w:rsids>
    <w:rsidRoot w:val="0053255E"/>
    <w:rsid w:val="000134B0"/>
    <w:rsid w:val="00013AD1"/>
    <w:rsid w:val="00017265"/>
    <w:rsid w:val="000322EF"/>
    <w:rsid w:val="000327E3"/>
    <w:rsid w:val="0003655E"/>
    <w:rsid w:val="00036BB7"/>
    <w:rsid w:val="00040900"/>
    <w:rsid w:val="000578C8"/>
    <w:rsid w:val="00063420"/>
    <w:rsid w:val="000710E6"/>
    <w:rsid w:val="00073C46"/>
    <w:rsid w:val="00080019"/>
    <w:rsid w:val="000A0A4A"/>
    <w:rsid w:val="000A1E1E"/>
    <w:rsid w:val="000B3CAE"/>
    <w:rsid w:val="000B57F0"/>
    <w:rsid w:val="000B70E7"/>
    <w:rsid w:val="000B7DDD"/>
    <w:rsid w:val="000C39AD"/>
    <w:rsid w:val="000C6A0D"/>
    <w:rsid w:val="000C72C3"/>
    <w:rsid w:val="000E4028"/>
    <w:rsid w:val="000E6FDF"/>
    <w:rsid w:val="00107EB7"/>
    <w:rsid w:val="001367EA"/>
    <w:rsid w:val="00163AEF"/>
    <w:rsid w:val="001840C6"/>
    <w:rsid w:val="001907E3"/>
    <w:rsid w:val="0019104E"/>
    <w:rsid w:val="00195358"/>
    <w:rsid w:val="001A35A4"/>
    <w:rsid w:val="001A439D"/>
    <w:rsid w:val="001B493D"/>
    <w:rsid w:val="001B69AE"/>
    <w:rsid w:val="001C3656"/>
    <w:rsid w:val="001C661A"/>
    <w:rsid w:val="001D1664"/>
    <w:rsid w:val="001E63DA"/>
    <w:rsid w:val="001F09B2"/>
    <w:rsid w:val="001F296F"/>
    <w:rsid w:val="00206A29"/>
    <w:rsid w:val="00207EF0"/>
    <w:rsid w:val="00211249"/>
    <w:rsid w:val="002311A5"/>
    <w:rsid w:val="0023788C"/>
    <w:rsid w:val="002425F3"/>
    <w:rsid w:val="00244357"/>
    <w:rsid w:val="002456DD"/>
    <w:rsid w:val="00245EE2"/>
    <w:rsid w:val="002478B8"/>
    <w:rsid w:val="00254074"/>
    <w:rsid w:val="00260700"/>
    <w:rsid w:val="00260B35"/>
    <w:rsid w:val="00262F4A"/>
    <w:rsid w:val="00262F72"/>
    <w:rsid w:val="00263538"/>
    <w:rsid w:val="00274996"/>
    <w:rsid w:val="00277169"/>
    <w:rsid w:val="002843EE"/>
    <w:rsid w:val="002A3283"/>
    <w:rsid w:val="002B089A"/>
    <w:rsid w:val="002B5503"/>
    <w:rsid w:val="002C1E43"/>
    <w:rsid w:val="002C5A7E"/>
    <w:rsid w:val="002C5ACA"/>
    <w:rsid w:val="002E2D63"/>
    <w:rsid w:val="002F1C10"/>
    <w:rsid w:val="00300589"/>
    <w:rsid w:val="00306E40"/>
    <w:rsid w:val="00312834"/>
    <w:rsid w:val="00313ED9"/>
    <w:rsid w:val="00332DA4"/>
    <w:rsid w:val="00335CC4"/>
    <w:rsid w:val="00341A24"/>
    <w:rsid w:val="00341ABC"/>
    <w:rsid w:val="00356599"/>
    <w:rsid w:val="00393526"/>
    <w:rsid w:val="00395E23"/>
    <w:rsid w:val="0039654F"/>
    <w:rsid w:val="003B2367"/>
    <w:rsid w:val="003E13DA"/>
    <w:rsid w:val="003E44FC"/>
    <w:rsid w:val="00401A3B"/>
    <w:rsid w:val="00405739"/>
    <w:rsid w:val="00412E6D"/>
    <w:rsid w:val="00414408"/>
    <w:rsid w:val="0042708B"/>
    <w:rsid w:val="0043735C"/>
    <w:rsid w:val="004426C6"/>
    <w:rsid w:val="00446DD0"/>
    <w:rsid w:val="00471368"/>
    <w:rsid w:val="004967E9"/>
    <w:rsid w:val="004A2779"/>
    <w:rsid w:val="004B753C"/>
    <w:rsid w:val="004C3A1C"/>
    <w:rsid w:val="004C64E9"/>
    <w:rsid w:val="004D046E"/>
    <w:rsid w:val="004D5A7B"/>
    <w:rsid w:val="004E60BD"/>
    <w:rsid w:val="00514972"/>
    <w:rsid w:val="00521DBC"/>
    <w:rsid w:val="005231BA"/>
    <w:rsid w:val="005276BD"/>
    <w:rsid w:val="005305E4"/>
    <w:rsid w:val="0053237F"/>
    <w:rsid w:val="005323B2"/>
    <w:rsid w:val="0053255E"/>
    <w:rsid w:val="00535584"/>
    <w:rsid w:val="00536A6D"/>
    <w:rsid w:val="00541DE2"/>
    <w:rsid w:val="0055768A"/>
    <w:rsid w:val="00565898"/>
    <w:rsid w:val="00565FD0"/>
    <w:rsid w:val="00592D94"/>
    <w:rsid w:val="005A31E3"/>
    <w:rsid w:val="005B0501"/>
    <w:rsid w:val="005B0DD3"/>
    <w:rsid w:val="005C42DE"/>
    <w:rsid w:val="005C5F20"/>
    <w:rsid w:val="005D2817"/>
    <w:rsid w:val="005E06C0"/>
    <w:rsid w:val="005F2657"/>
    <w:rsid w:val="005F651A"/>
    <w:rsid w:val="00600CA4"/>
    <w:rsid w:val="006014E5"/>
    <w:rsid w:val="00603161"/>
    <w:rsid w:val="00611D7A"/>
    <w:rsid w:val="00615B07"/>
    <w:rsid w:val="006174D3"/>
    <w:rsid w:val="00624C31"/>
    <w:rsid w:val="00630D57"/>
    <w:rsid w:val="0063772F"/>
    <w:rsid w:val="00640387"/>
    <w:rsid w:val="00643A54"/>
    <w:rsid w:val="00655513"/>
    <w:rsid w:val="006555A6"/>
    <w:rsid w:val="00657A7F"/>
    <w:rsid w:val="00677327"/>
    <w:rsid w:val="00684245"/>
    <w:rsid w:val="00693FD2"/>
    <w:rsid w:val="006D3AEA"/>
    <w:rsid w:val="006D757B"/>
    <w:rsid w:val="006E5A36"/>
    <w:rsid w:val="006F2FA4"/>
    <w:rsid w:val="006F34D0"/>
    <w:rsid w:val="007051AA"/>
    <w:rsid w:val="00705425"/>
    <w:rsid w:val="0070627E"/>
    <w:rsid w:val="0071487E"/>
    <w:rsid w:val="007203CD"/>
    <w:rsid w:val="00720B6E"/>
    <w:rsid w:val="00726E72"/>
    <w:rsid w:val="00731ED6"/>
    <w:rsid w:val="00740AF4"/>
    <w:rsid w:val="00743B3E"/>
    <w:rsid w:val="0074582C"/>
    <w:rsid w:val="00752583"/>
    <w:rsid w:val="00755E41"/>
    <w:rsid w:val="00765EA2"/>
    <w:rsid w:val="00770119"/>
    <w:rsid w:val="0077173B"/>
    <w:rsid w:val="0077247D"/>
    <w:rsid w:val="00773644"/>
    <w:rsid w:val="00777BFA"/>
    <w:rsid w:val="00780D6C"/>
    <w:rsid w:val="00781491"/>
    <w:rsid w:val="007A4F49"/>
    <w:rsid w:val="007B4C46"/>
    <w:rsid w:val="007B76A4"/>
    <w:rsid w:val="007C4EEA"/>
    <w:rsid w:val="007C6E0F"/>
    <w:rsid w:val="007D0867"/>
    <w:rsid w:val="007D0CD2"/>
    <w:rsid w:val="007D239F"/>
    <w:rsid w:val="007D6A3C"/>
    <w:rsid w:val="007E15E6"/>
    <w:rsid w:val="00817579"/>
    <w:rsid w:val="0084517A"/>
    <w:rsid w:val="00845FDC"/>
    <w:rsid w:val="0084792A"/>
    <w:rsid w:val="00861443"/>
    <w:rsid w:val="008614DC"/>
    <w:rsid w:val="008658B4"/>
    <w:rsid w:val="00866001"/>
    <w:rsid w:val="00866B09"/>
    <w:rsid w:val="008735D8"/>
    <w:rsid w:val="00883591"/>
    <w:rsid w:val="008912CC"/>
    <w:rsid w:val="008A0AA3"/>
    <w:rsid w:val="008A1CEE"/>
    <w:rsid w:val="008A44CB"/>
    <w:rsid w:val="008A4EF4"/>
    <w:rsid w:val="008B0A5B"/>
    <w:rsid w:val="008B53C8"/>
    <w:rsid w:val="008B7646"/>
    <w:rsid w:val="008C2FF1"/>
    <w:rsid w:val="008C545F"/>
    <w:rsid w:val="008D1B0E"/>
    <w:rsid w:val="008D4681"/>
    <w:rsid w:val="008D7055"/>
    <w:rsid w:val="008E3F07"/>
    <w:rsid w:val="008F4134"/>
    <w:rsid w:val="009040AD"/>
    <w:rsid w:val="009043B0"/>
    <w:rsid w:val="009121C6"/>
    <w:rsid w:val="00915D9B"/>
    <w:rsid w:val="00920573"/>
    <w:rsid w:val="0092110E"/>
    <w:rsid w:val="0093139A"/>
    <w:rsid w:val="0093284A"/>
    <w:rsid w:val="009376AC"/>
    <w:rsid w:val="0094756D"/>
    <w:rsid w:val="00954526"/>
    <w:rsid w:val="009624CF"/>
    <w:rsid w:val="0096341C"/>
    <w:rsid w:val="009635C0"/>
    <w:rsid w:val="009731FD"/>
    <w:rsid w:val="00977257"/>
    <w:rsid w:val="0097727E"/>
    <w:rsid w:val="009806EB"/>
    <w:rsid w:val="009A20F1"/>
    <w:rsid w:val="009C084D"/>
    <w:rsid w:val="009C1A61"/>
    <w:rsid w:val="009D105D"/>
    <w:rsid w:val="009D465A"/>
    <w:rsid w:val="009D61C7"/>
    <w:rsid w:val="009D70E6"/>
    <w:rsid w:val="009E1752"/>
    <w:rsid w:val="009E1EA4"/>
    <w:rsid w:val="009E3B43"/>
    <w:rsid w:val="009E3F92"/>
    <w:rsid w:val="009E601A"/>
    <w:rsid w:val="009F11CB"/>
    <w:rsid w:val="00A10B3B"/>
    <w:rsid w:val="00A154C9"/>
    <w:rsid w:val="00A217EB"/>
    <w:rsid w:val="00A25072"/>
    <w:rsid w:val="00A263F8"/>
    <w:rsid w:val="00A3188E"/>
    <w:rsid w:val="00A529D3"/>
    <w:rsid w:val="00A55B44"/>
    <w:rsid w:val="00A5777B"/>
    <w:rsid w:val="00A60756"/>
    <w:rsid w:val="00A64657"/>
    <w:rsid w:val="00A66B34"/>
    <w:rsid w:val="00A77AC9"/>
    <w:rsid w:val="00A81D0A"/>
    <w:rsid w:val="00A8289D"/>
    <w:rsid w:val="00A91D75"/>
    <w:rsid w:val="00A91F50"/>
    <w:rsid w:val="00AA7564"/>
    <w:rsid w:val="00AC794D"/>
    <w:rsid w:val="00AC7D23"/>
    <w:rsid w:val="00AD2BB7"/>
    <w:rsid w:val="00AD3768"/>
    <w:rsid w:val="00AD6446"/>
    <w:rsid w:val="00AE0568"/>
    <w:rsid w:val="00AE296D"/>
    <w:rsid w:val="00AE7AF6"/>
    <w:rsid w:val="00AF116D"/>
    <w:rsid w:val="00AF3B67"/>
    <w:rsid w:val="00AF66F4"/>
    <w:rsid w:val="00B02ED2"/>
    <w:rsid w:val="00B067E0"/>
    <w:rsid w:val="00B11FF8"/>
    <w:rsid w:val="00B208D0"/>
    <w:rsid w:val="00B24C35"/>
    <w:rsid w:val="00B45B72"/>
    <w:rsid w:val="00B62D03"/>
    <w:rsid w:val="00B63FE3"/>
    <w:rsid w:val="00B81901"/>
    <w:rsid w:val="00B82AF9"/>
    <w:rsid w:val="00B9233D"/>
    <w:rsid w:val="00BA1BDF"/>
    <w:rsid w:val="00BA2319"/>
    <w:rsid w:val="00BB3583"/>
    <w:rsid w:val="00BD2CAA"/>
    <w:rsid w:val="00BE103C"/>
    <w:rsid w:val="00BE6024"/>
    <w:rsid w:val="00BF2403"/>
    <w:rsid w:val="00BF5A34"/>
    <w:rsid w:val="00C00FA3"/>
    <w:rsid w:val="00C02C22"/>
    <w:rsid w:val="00C3432E"/>
    <w:rsid w:val="00C4595F"/>
    <w:rsid w:val="00C53311"/>
    <w:rsid w:val="00C60D64"/>
    <w:rsid w:val="00C74845"/>
    <w:rsid w:val="00C75A8C"/>
    <w:rsid w:val="00C90CDC"/>
    <w:rsid w:val="00C94E07"/>
    <w:rsid w:val="00CA48CB"/>
    <w:rsid w:val="00CA6884"/>
    <w:rsid w:val="00CB50F9"/>
    <w:rsid w:val="00CB5C66"/>
    <w:rsid w:val="00CC4C41"/>
    <w:rsid w:val="00CD4991"/>
    <w:rsid w:val="00CD5CE7"/>
    <w:rsid w:val="00CD6428"/>
    <w:rsid w:val="00CD6F94"/>
    <w:rsid w:val="00CE26C1"/>
    <w:rsid w:val="00CF09FE"/>
    <w:rsid w:val="00CF244F"/>
    <w:rsid w:val="00D01A09"/>
    <w:rsid w:val="00D2610F"/>
    <w:rsid w:val="00D31A81"/>
    <w:rsid w:val="00D34411"/>
    <w:rsid w:val="00D4382F"/>
    <w:rsid w:val="00D731BA"/>
    <w:rsid w:val="00D81474"/>
    <w:rsid w:val="00D82826"/>
    <w:rsid w:val="00D97C03"/>
    <w:rsid w:val="00DA2ECD"/>
    <w:rsid w:val="00DA7786"/>
    <w:rsid w:val="00DB0835"/>
    <w:rsid w:val="00DB379A"/>
    <w:rsid w:val="00DC4AC9"/>
    <w:rsid w:val="00DD0B32"/>
    <w:rsid w:val="00DD6153"/>
    <w:rsid w:val="00DF310E"/>
    <w:rsid w:val="00DF7E65"/>
    <w:rsid w:val="00E02942"/>
    <w:rsid w:val="00E05B4B"/>
    <w:rsid w:val="00E142E2"/>
    <w:rsid w:val="00E14FFF"/>
    <w:rsid w:val="00E21C65"/>
    <w:rsid w:val="00E25A8F"/>
    <w:rsid w:val="00E327C9"/>
    <w:rsid w:val="00E37C02"/>
    <w:rsid w:val="00E40286"/>
    <w:rsid w:val="00E40D07"/>
    <w:rsid w:val="00E55EDC"/>
    <w:rsid w:val="00E62AAD"/>
    <w:rsid w:val="00E664A3"/>
    <w:rsid w:val="00E943F9"/>
    <w:rsid w:val="00E94A68"/>
    <w:rsid w:val="00E9777C"/>
    <w:rsid w:val="00EA2A2A"/>
    <w:rsid w:val="00EA5DF7"/>
    <w:rsid w:val="00EB1982"/>
    <w:rsid w:val="00EB3510"/>
    <w:rsid w:val="00EB53A2"/>
    <w:rsid w:val="00EB609C"/>
    <w:rsid w:val="00EC1ECA"/>
    <w:rsid w:val="00ED3836"/>
    <w:rsid w:val="00EE2695"/>
    <w:rsid w:val="00EF39C0"/>
    <w:rsid w:val="00EF77B2"/>
    <w:rsid w:val="00F000EF"/>
    <w:rsid w:val="00F00932"/>
    <w:rsid w:val="00F00B29"/>
    <w:rsid w:val="00F014BE"/>
    <w:rsid w:val="00F01CBB"/>
    <w:rsid w:val="00F06279"/>
    <w:rsid w:val="00F10748"/>
    <w:rsid w:val="00F126AD"/>
    <w:rsid w:val="00F1739C"/>
    <w:rsid w:val="00F3121F"/>
    <w:rsid w:val="00F32C7C"/>
    <w:rsid w:val="00F33E69"/>
    <w:rsid w:val="00F34B70"/>
    <w:rsid w:val="00F35B57"/>
    <w:rsid w:val="00F4236A"/>
    <w:rsid w:val="00F42A53"/>
    <w:rsid w:val="00F479C9"/>
    <w:rsid w:val="00F50A13"/>
    <w:rsid w:val="00F65A96"/>
    <w:rsid w:val="00F702E5"/>
    <w:rsid w:val="00F70D8B"/>
    <w:rsid w:val="00F72AC8"/>
    <w:rsid w:val="00F73CDB"/>
    <w:rsid w:val="00F920B5"/>
    <w:rsid w:val="00F93444"/>
    <w:rsid w:val="00F97D9C"/>
    <w:rsid w:val="00FA2EFF"/>
    <w:rsid w:val="00FA315A"/>
    <w:rsid w:val="00FB0CDF"/>
    <w:rsid w:val="00FB7EE5"/>
    <w:rsid w:val="00FD2015"/>
    <w:rsid w:val="00FE7E97"/>
    <w:rsid w:val="00FF1B9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62FF6"/>
  <w15:chartTrackingRefBased/>
  <w15:docId w15:val="{F1F0F48B-0961-4753-955D-52668127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866B0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66B0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66B0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66B09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866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B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12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5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5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583"/>
  </w:style>
  <w:style w:type="paragraph" w:styleId="Footer">
    <w:name w:val="footer"/>
    <w:basedOn w:val="Normal"/>
    <w:link w:val="FooterChar"/>
    <w:uiPriority w:val="99"/>
    <w:unhideWhenUsed/>
    <w:rsid w:val="007525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583"/>
  </w:style>
  <w:style w:type="character" w:styleId="CommentReference">
    <w:name w:val="annotation reference"/>
    <w:basedOn w:val="DefaultParagraphFont"/>
    <w:uiPriority w:val="99"/>
    <w:semiHidden/>
    <w:unhideWhenUsed/>
    <w:rsid w:val="00AF6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6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6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6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0A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protection.rcpch.ac.uk/child-protection-companion-content/chapter-9-recognition-of-physical-abu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news/phe-publishes-new-advice-on-vitamin-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1782</Words>
  <Characters>10162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Moon</dc:creator>
  <cp:keywords/>
  <dc:description/>
  <cp:lastModifiedBy>Karen Drake</cp:lastModifiedBy>
  <cp:revision>2</cp:revision>
  <dcterms:created xsi:type="dcterms:W3CDTF">2023-03-07T12:50:00Z</dcterms:created>
  <dcterms:modified xsi:type="dcterms:W3CDTF">2023-03-07T12:50:00Z</dcterms:modified>
</cp:coreProperties>
</file>