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F6553" w14:textId="014EFF23" w:rsidR="00AF4A71" w:rsidRPr="004F3B77" w:rsidRDefault="005D1157" w:rsidP="00A80C63">
      <w:pPr>
        <w:jc w:val="center"/>
        <w:rPr>
          <w:rFonts w:ascii="Times New Roman" w:hAnsi="Times New Roman" w:cs="Times New Roman"/>
          <w:b/>
          <w:bCs/>
          <w:sz w:val="28"/>
          <w:szCs w:val="28"/>
        </w:rPr>
      </w:pPr>
      <w:r w:rsidRPr="004F3B77">
        <w:rPr>
          <w:rFonts w:ascii="Times New Roman" w:hAnsi="Times New Roman" w:cs="Times New Roman"/>
          <w:b/>
          <w:bCs/>
          <w:sz w:val="28"/>
          <w:szCs w:val="28"/>
        </w:rPr>
        <w:t>Political</w:t>
      </w:r>
      <w:r w:rsidR="00F278DA" w:rsidRPr="004F3B77">
        <w:rPr>
          <w:rFonts w:ascii="Times New Roman" w:hAnsi="Times New Roman" w:cs="Times New Roman"/>
          <w:b/>
          <w:bCs/>
          <w:sz w:val="28"/>
          <w:szCs w:val="28"/>
        </w:rPr>
        <w:t xml:space="preserve"> trust in the first year of the COVID-19 pandemic: </w:t>
      </w:r>
      <w:r w:rsidR="005A19E1" w:rsidRPr="004F3B77">
        <w:rPr>
          <w:rFonts w:ascii="Times New Roman" w:hAnsi="Times New Roman" w:cs="Times New Roman"/>
          <w:b/>
          <w:bCs/>
          <w:sz w:val="28"/>
          <w:szCs w:val="28"/>
        </w:rPr>
        <w:t>a meta-analysis</w:t>
      </w:r>
      <w:r w:rsidR="00F278DA" w:rsidRPr="004F3B77">
        <w:rPr>
          <w:rFonts w:ascii="Times New Roman" w:hAnsi="Times New Roman" w:cs="Times New Roman"/>
          <w:b/>
          <w:bCs/>
          <w:sz w:val="28"/>
          <w:szCs w:val="28"/>
        </w:rPr>
        <w:t xml:space="preserve"> </w:t>
      </w:r>
      <w:r w:rsidR="005A19E1" w:rsidRPr="004F3B77">
        <w:rPr>
          <w:rFonts w:ascii="Times New Roman" w:hAnsi="Times New Roman" w:cs="Times New Roman"/>
          <w:b/>
          <w:bCs/>
          <w:sz w:val="28"/>
          <w:szCs w:val="28"/>
        </w:rPr>
        <w:t xml:space="preserve">of </w:t>
      </w:r>
      <w:r w:rsidR="00F278DA" w:rsidRPr="004F3B77">
        <w:rPr>
          <w:rFonts w:ascii="Times New Roman" w:hAnsi="Times New Roman" w:cs="Times New Roman"/>
          <w:b/>
          <w:bCs/>
          <w:sz w:val="28"/>
          <w:szCs w:val="28"/>
        </w:rPr>
        <w:t>6</w:t>
      </w:r>
      <w:r w:rsidR="007962A3" w:rsidRPr="004F3B77">
        <w:rPr>
          <w:rFonts w:ascii="Times New Roman" w:hAnsi="Times New Roman" w:cs="Times New Roman"/>
          <w:b/>
          <w:bCs/>
          <w:sz w:val="28"/>
          <w:szCs w:val="28"/>
        </w:rPr>
        <w:t>7</w:t>
      </w:r>
      <w:r w:rsidR="00F278DA" w:rsidRPr="004F3B77">
        <w:rPr>
          <w:rFonts w:ascii="Times New Roman" w:hAnsi="Times New Roman" w:cs="Times New Roman"/>
          <w:b/>
          <w:bCs/>
          <w:sz w:val="28"/>
          <w:szCs w:val="28"/>
        </w:rPr>
        <w:t xml:space="preserve"> studies</w:t>
      </w:r>
    </w:p>
    <w:p w14:paraId="6ECFF536" w14:textId="4215DE47" w:rsidR="00E2336B" w:rsidRPr="004F3B77" w:rsidRDefault="00E2336B" w:rsidP="00E2336B">
      <w:pPr>
        <w:jc w:val="center"/>
        <w:rPr>
          <w:rFonts w:ascii="Times New Roman" w:hAnsi="Times New Roman" w:cs="Times New Roman"/>
        </w:rPr>
      </w:pPr>
    </w:p>
    <w:p w14:paraId="179AC30E" w14:textId="6A42FDE3" w:rsidR="00A80C63" w:rsidRPr="004F3B77" w:rsidRDefault="00A80C63" w:rsidP="00A80C63">
      <w:pPr>
        <w:jc w:val="center"/>
        <w:rPr>
          <w:rFonts w:ascii="Times New Roman" w:hAnsi="Times New Roman" w:cs="Times New Roman"/>
        </w:rPr>
      </w:pPr>
      <w:r w:rsidRPr="004F3B77">
        <w:rPr>
          <w:rFonts w:ascii="Times New Roman" w:hAnsi="Times New Roman" w:cs="Times New Roman"/>
        </w:rPr>
        <w:t>Daniel Devine</w:t>
      </w:r>
      <w:r w:rsidRPr="004F3B77">
        <w:rPr>
          <w:rStyle w:val="FootnoteReference"/>
          <w:rFonts w:ascii="Times New Roman" w:hAnsi="Times New Roman" w:cs="Times New Roman"/>
        </w:rPr>
        <w:footnoteReference w:id="1"/>
      </w:r>
      <w:r w:rsidRPr="004F3B77">
        <w:rPr>
          <w:rFonts w:ascii="Times New Roman" w:hAnsi="Times New Roman" w:cs="Times New Roman"/>
        </w:rPr>
        <w:t xml:space="preserve">, Viktor </w:t>
      </w:r>
      <w:proofErr w:type="spellStart"/>
      <w:r w:rsidRPr="004F3B77">
        <w:rPr>
          <w:rFonts w:ascii="Times New Roman" w:hAnsi="Times New Roman" w:cs="Times New Roman"/>
        </w:rPr>
        <w:t>Valgar</w:t>
      </w:r>
      <w:r w:rsidR="00FF739C" w:rsidRPr="004F3B77">
        <w:rPr>
          <w:rFonts w:ascii="Times New Roman" w:hAnsi="Times New Roman" w:cs="Times New Roman"/>
        </w:rPr>
        <w:t>ð</w:t>
      </w:r>
      <w:r w:rsidRPr="004F3B77">
        <w:rPr>
          <w:rFonts w:ascii="Times New Roman" w:hAnsi="Times New Roman" w:cs="Times New Roman"/>
        </w:rPr>
        <w:t>sson</w:t>
      </w:r>
      <w:proofErr w:type="spellEnd"/>
      <w:r w:rsidRPr="004F3B77">
        <w:rPr>
          <w:rStyle w:val="FootnoteReference"/>
          <w:rFonts w:ascii="Times New Roman" w:hAnsi="Times New Roman" w:cs="Times New Roman"/>
        </w:rPr>
        <w:footnoteReference w:id="2"/>
      </w:r>
      <w:r w:rsidRPr="004F3B77">
        <w:rPr>
          <w:rFonts w:ascii="Times New Roman" w:hAnsi="Times New Roman" w:cs="Times New Roman"/>
        </w:rPr>
        <w:t>,  Jessica Smith</w:t>
      </w:r>
      <w:r w:rsidRPr="004F3B77">
        <w:rPr>
          <w:rStyle w:val="FootnoteReference"/>
          <w:rFonts w:ascii="Times New Roman" w:hAnsi="Times New Roman" w:cs="Times New Roman"/>
        </w:rPr>
        <w:footnoteReference w:id="3"/>
      </w:r>
      <w:r w:rsidRPr="004F3B77">
        <w:rPr>
          <w:rFonts w:ascii="Times New Roman" w:hAnsi="Times New Roman" w:cs="Times New Roman"/>
        </w:rPr>
        <w:t>, Will Jennings</w:t>
      </w:r>
      <w:r w:rsidRPr="004F3B77">
        <w:rPr>
          <w:rStyle w:val="FootnoteReference"/>
          <w:rFonts w:ascii="Times New Roman" w:hAnsi="Times New Roman" w:cs="Times New Roman"/>
        </w:rPr>
        <w:footnoteReference w:id="4"/>
      </w:r>
      <w:r w:rsidRPr="004F3B77">
        <w:rPr>
          <w:rFonts w:ascii="Times New Roman" w:hAnsi="Times New Roman" w:cs="Times New Roman"/>
        </w:rPr>
        <w:t xml:space="preserve">, Michele Scotto di </w:t>
      </w:r>
      <w:proofErr w:type="spellStart"/>
      <w:r w:rsidRPr="004F3B77">
        <w:rPr>
          <w:rFonts w:ascii="Times New Roman" w:hAnsi="Times New Roman" w:cs="Times New Roman"/>
        </w:rPr>
        <w:t>Vettimo</w:t>
      </w:r>
      <w:proofErr w:type="spellEnd"/>
      <w:r w:rsidRPr="004F3B77">
        <w:rPr>
          <w:rStyle w:val="FootnoteReference"/>
          <w:rFonts w:ascii="Times New Roman" w:hAnsi="Times New Roman" w:cs="Times New Roman"/>
        </w:rPr>
        <w:footnoteReference w:id="5"/>
      </w:r>
      <w:r w:rsidRPr="004F3B77">
        <w:rPr>
          <w:rFonts w:ascii="Times New Roman" w:hAnsi="Times New Roman" w:cs="Times New Roman"/>
        </w:rPr>
        <w:t>, Hannah Bunting</w:t>
      </w:r>
      <w:r w:rsidRPr="004F3B77">
        <w:rPr>
          <w:rStyle w:val="FootnoteReference"/>
          <w:rFonts w:ascii="Times New Roman" w:hAnsi="Times New Roman" w:cs="Times New Roman"/>
        </w:rPr>
        <w:footnoteReference w:id="6"/>
      </w:r>
      <w:r w:rsidRPr="004F3B77">
        <w:rPr>
          <w:rFonts w:ascii="Times New Roman" w:hAnsi="Times New Roman" w:cs="Times New Roman"/>
        </w:rPr>
        <w:t>, and Lawrence McKay</w:t>
      </w:r>
      <w:r w:rsidRPr="004F3B77">
        <w:rPr>
          <w:rStyle w:val="FootnoteReference"/>
          <w:rFonts w:ascii="Times New Roman" w:hAnsi="Times New Roman" w:cs="Times New Roman"/>
        </w:rPr>
        <w:footnoteReference w:id="7"/>
      </w:r>
    </w:p>
    <w:p w14:paraId="5BFD1851" w14:textId="77777777" w:rsidR="00A80C63" w:rsidRPr="004F3B77" w:rsidRDefault="00A80C63" w:rsidP="00E2336B">
      <w:pPr>
        <w:jc w:val="center"/>
        <w:rPr>
          <w:rFonts w:ascii="Times New Roman" w:hAnsi="Times New Roman" w:cs="Times New Roman"/>
        </w:rPr>
      </w:pPr>
    </w:p>
    <w:p w14:paraId="669ECB16" w14:textId="7DF6C097" w:rsidR="00E2336B" w:rsidRPr="004F3B77" w:rsidRDefault="00E2336B" w:rsidP="00E2336B">
      <w:pPr>
        <w:jc w:val="center"/>
        <w:rPr>
          <w:rFonts w:ascii="Times New Roman" w:hAnsi="Times New Roman" w:cs="Times New Roman"/>
        </w:rPr>
      </w:pPr>
    </w:p>
    <w:p w14:paraId="7E47604E" w14:textId="39FB0C37" w:rsidR="006B6D9D" w:rsidRPr="004F3B77" w:rsidRDefault="006B6D9D" w:rsidP="00E2336B">
      <w:pPr>
        <w:jc w:val="center"/>
        <w:rPr>
          <w:rFonts w:ascii="Times New Roman" w:hAnsi="Times New Roman" w:cs="Times New Roman"/>
          <w:b/>
          <w:bCs/>
        </w:rPr>
      </w:pPr>
      <w:r w:rsidRPr="004F3B77">
        <w:rPr>
          <w:rFonts w:ascii="Times New Roman" w:hAnsi="Times New Roman" w:cs="Times New Roman"/>
          <w:b/>
          <w:bCs/>
        </w:rPr>
        <w:t>Abstract</w:t>
      </w:r>
    </w:p>
    <w:p w14:paraId="6F106881" w14:textId="77777777" w:rsidR="00520549" w:rsidRPr="004F3B77" w:rsidRDefault="00520549" w:rsidP="00E2336B">
      <w:pPr>
        <w:jc w:val="center"/>
        <w:rPr>
          <w:rFonts w:ascii="Times New Roman" w:hAnsi="Times New Roman" w:cs="Times New Roman"/>
          <w:b/>
          <w:bCs/>
        </w:rPr>
      </w:pPr>
    </w:p>
    <w:p w14:paraId="72B08A5B" w14:textId="5D1B5D62" w:rsidR="000431CB" w:rsidRPr="004F3B77" w:rsidRDefault="005D1157" w:rsidP="000431CB">
      <w:pPr>
        <w:jc w:val="both"/>
        <w:rPr>
          <w:rFonts w:ascii="Times New Roman" w:hAnsi="Times New Roman" w:cs="Times New Roman"/>
        </w:rPr>
      </w:pPr>
      <w:r w:rsidRPr="004F3B77">
        <w:rPr>
          <w:rFonts w:ascii="Times New Roman" w:hAnsi="Times New Roman" w:cs="Times New Roman"/>
        </w:rPr>
        <w:t xml:space="preserve">Trust in political actors and institutions has long been seen as essential for effective democratic governance. During the COVID-19 pandemic, trust was widely identified as key for mitigation of the crisis through its influence on compliance with public policy, vaccination and many other social attitudes and behaviours. We study whether trust did indeed predict these outcomes through a meta-analysis of 67 studies and 426 individual effect sizes derived from nearly 1.5 million observations worldwide. Political trust as an explanatory variable has small to moderate correlations with outcomes such as vaccine uptake, belief in conspiracy theories, and compliance. These correlations are heterogenous, and we show that trust in health authorities is more strongly related to vaccination than trust in government; but compliance is more strongly related to government than other institutions. Moreover, the unique case of the United States indicates that trust in President Trump had negative effects across all observed outcomes, except in increasing conspiracy beliefs. Our analysis also shows that research design features (such as response scales) and publication bias do not importantly change the results. These results indicate that trust was important for the management of the pandemic and supports existing work highlighting the importance of political trust.  </w:t>
      </w:r>
    </w:p>
    <w:p w14:paraId="417FC0FC" w14:textId="77777777" w:rsidR="000431CB" w:rsidRPr="004F3B77" w:rsidRDefault="000431CB" w:rsidP="000431CB">
      <w:pPr>
        <w:jc w:val="both"/>
        <w:rPr>
          <w:rFonts w:ascii="Times New Roman" w:hAnsi="Times New Roman" w:cs="Times New Roman"/>
        </w:rPr>
      </w:pPr>
    </w:p>
    <w:p w14:paraId="2BFFBC55" w14:textId="48420A3D" w:rsidR="007E7E40" w:rsidRDefault="0047380D">
      <w:pPr>
        <w:rPr>
          <w:rFonts w:ascii="Times New Roman" w:hAnsi="Times New Roman" w:cs="Times New Roman"/>
        </w:rPr>
      </w:pPr>
      <w:r w:rsidRPr="004F3B77">
        <w:rPr>
          <w:rFonts w:ascii="Times New Roman" w:hAnsi="Times New Roman" w:cs="Times New Roman"/>
          <w:b/>
          <w:bCs/>
        </w:rPr>
        <w:t xml:space="preserve">Keywords: </w:t>
      </w:r>
      <w:r w:rsidRPr="004F3B77">
        <w:rPr>
          <w:rFonts w:ascii="Times New Roman" w:hAnsi="Times New Roman" w:cs="Times New Roman"/>
        </w:rPr>
        <w:t>political trust; COVID-19; meta-analysis</w:t>
      </w:r>
    </w:p>
    <w:p w14:paraId="288F98CF" w14:textId="27E5FE17" w:rsidR="00125EF8" w:rsidRDefault="00125EF8">
      <w:pPr>
        <w:rPr>
          <w:rFonts w:ascii="Times New Roman" w:hAnsi="Times New Roman" w:cs="Times New Roman"/>
        </w:rPr>
      </w:pPr>
    </w:p>
    <w:p w14:paraId="3D51775F" w14:textId="795D4822" w:rsidR="00125EF8" w:rsidRDefault="00125EF8">
      <w:pPr>
        <w:rPr>
          <w:rFonts w:ascii="Times New Roman" w:hAnsi="Times New Roman" w:cs="Times New Roman"/>
        </w:rPr>
      </w:pPr>
    </w:p>
    <w:p w14:paraId="0AA52B47" w14:textId="7D79FE0F" w:rsidR="00125EF8" w:rsidRDefault="00125EF8">
      <w:pPr>
        <w:rPr>
          <w:rFonts w:ascii="Times New Roman" w:hAnsi="Times New Roman" w:cs="Times New Roman"/>
        </w:rPr>
      </w:pPr>
    </w:p>
    <w:p w14:paraId="4C14794A" w14:textId="487DDED4" w:rsidR="00125EF8" w:rsidRDefault="00125EF8">
      <w:pPr>
        <w:rPr>
          <w:rFonts w:ascii="Times New Roman" w:hAnsi="Times New Roman" w:cs="Times New Roman"/>
        </w:rPr>
      </w:pPr>
    </w:p>
    <w:p w14:paraId="1FDA47C7" w14:textId="77777777" w:rsidR="00125EF8" w:rsidRPr="004F3B77" w:rsidRDefault="00125EF8">
      <w:pPr>
        <w:rPr>
          <w:rFonts w:ascii="Times New Roman" w:hAnsi="Times New Roman" w:cs="Times New Roman"/>
        </w:rPr>
      </w:pPr>
    </w:p>
    <w:p w14:paraId="5B577525" w14:textId="77777777" w:rsidR="007E7E40" w:rsidRPr="004F3B77" w:rsidRDefault="007E7E40">
      <w:pPr>
        <w:rPr>
          <w:rFonts w:ascii="Times New Roman" w:hAnsi="Times New Roman" w:cs="Times New Roman"/>
        </w:rPr>
      </w:pPr>
    </w:p>
    <w:p w14:paraId="51B6A179" w14:textId="77777777" w:rsidR="007E7E40" w:rsidRPr="00125EF8" w:rsidRDefault="007E7E40" w:rsidP="007E7E40">
      <w:pPr>
        <w:jc w:val="center"/>
        <w:rPr>
          <w:rFonts w:ascii="Times New Roman" w:hAnsi="Times New Roman" w:cs="Times New Roman"/>
          <w:b/>
          <w:bCs/>
          <w:i/>
          <w:iCs/>
          <w:sz w:val="32"/>
          <w:szCs w:val="32"/>
        </w:rPr>
      </w:pPr>
      <w:r w:rsidRPr="00125EF8">
        <w:rPr>
          <w:rFonts w:ascii="Times New Roman" w:hAnsi="Times New Roman" w:cs="Times New Roman"/>
          <w:i/>
          <w:iCs/>
          <w:sz w:val="32"/>
          <w:szCs w:val="32"/>
        </w:rPr>
        <w:t>Forthcoming at the Journal of European Public Policy</w:t>
      </w:r>
    </w:p>
    <w:p w14:paraId="2B6016BD" w14:textId="77777777" w:rsidR="007E7E40" w:rsidRPr="004F3B77" w:rsidRDefault="007E7E40" w:rsidP="007E7E40">
      <w:pPr>
        <w:jc w:val="center"/>
        <w:rPr>
          <w:rFonts w:ascii="Times New Roman" w:hAnsi="Times New Roman" w:cs="Times New Roman"/>
          <w:b/>
          <w:bCs/>
          <w:i/>
          <w:iCs/>
        </w:rPr>
      </w:pPr>
    </w:p>
    <w:p w14:paraId="7D242F7D" w14:textId="77777777" w:rsidR="007E7E40" w:rsidRPr="004F3B77" w:rsidRDefault="007E7E40">
      <w:pPr>
        <w:rPr>
          <w:rFonts w:ascii="Times New Roman" w:hAnsi="Times New Roman" w:cs="Times New Roman"/>
          <w:b/>
          <w:bCs/>
          <w:i/>
          <w:iCs/>
        </w:rPr>
      </w:pPr>
      <w:r w:rsidRPr="004F3B77">
        <w:rPr>
          <w:rFonts w:ascii="Times New Roman" w:hAnsi="Times New Roman" w:cs="Times New Roman"/>
          <w:b/>
          <w:bCs/>
          <w:i/>
          <w:iCs/>
        </w:rPr>
        <w:br w:type="page"/>
      </w:r>
    </w:p>
    <w:p w14:paraId="04B73E3C" w14:textId="205522C9" w:rsidR="006B6D9D" w:rsidRPr="004F3B77" w:rsidRDefault="00B179EF" w:rsidP="007E7E40">
      <w:pPr>
        <w:rPr>
          <w:rFonts w:ascii="Times New Roman" w:hAnsi="Times New Roman" w:cs="Times New Roman"/>
          <w:b/>
          <w:bCs/>
          <w:i/>
          <w:iCs/>
        </w:rPr>
      </w:pPr>
      <w:r w:rsidRPr="004F3B77">
        <w:rPr>
          <w:rFonts w:ascii="Times New Roman" w:hAnsi="Times New Roman" w:cs="Times New Roman"/>
          <w:b/>
          <w:bCs/>
        </w:rPr>
        <w:lastRenderedPageBreak/>
        <w:t>Introduction</w:t>
      </w:r>
    </w:p>
    <w:p w14:paraId="46E8F974" w14:textId="5614DCD3" w:rsidR="00381ED9" w:rsidRPr="004F3B77" w:rsidRDefault="00381ED9" w:rsidP="00381ED9">
      <w:pPr>
        <w:rPr>
          <w:rFonts w:ascii="Times New Roman" w:hAnsi="Times New Roman" w:cs="Times New Roman"/>
        </w:rPr>
      </w:pPr>
    </w:p>
    <w:p w14:paraId="16AF3C83" w14:textId="318770DC" w:rsidR="00F93E88" w:rsidRPr="004F3B77" w:rsidRDefault="0022323A" w:rsidP="00381ED9">
      <w:pPr>
        <w:rPr>
          <w:rFonts w:ascii="Times New Roman" w:hAnsi="Times New Roman" w:cs="Times New Roman"/>
        </w:rPr>
      </w:pPr>
      <w:r w:rsidRPr="004F3B77">
        <w:rPr>
          <w:rFonts w:ascii="Times New Roman" w:hAnsi="Times New Roman" w:cs="Times New Roman"/>
        </w:rPr>
        <w:t xml:space="preserve">Trust </w:t>
      </w:r>
      <w:r w:rsidR="00381ED9" w:rsidRPr="004F3B77">
        <w:rPr>
          <w:rFonts w:ascii="Times New Roman" w:hAnsi="Times New Roman" w:cs="Times New Roman"/>
        </w:rPr>
        <w:t xml:space="preserve">in political actors and institutions </w:t>
      </w:r>
      <w:r w:rsidR="00F93E88" w:rsidRPr="004F3B77">
        <w:rPr>
          <w:rFonts w:ascii="Times New Roman" w:hAnsi="Times New Roman" w:cs="Times New Roman"/>
        </w:rPr>
        <w:t>is</w:t>
      </w:r>
      <w:r w:rsidR="00381ED9" w:rsidRPr="004F3B77">
        <w:rPr>
          <w:rFonts w:ascii="Times New Roman" w:hAnsi="Times New Roman" w:cs="Times New Roman"/>
        </w:rPr>
        <w:t xml:space="preserve"> </w:t>
      </w:r>
      <w:r w:rsidR="00156707" w:rsidRPr="004F3B77">
        <w:rPr>
          <w:rFonts w:ascii="Times New Roman" w:hAnsi="Times New Roman" w:cs="Times New Roman"/>
        </w:rPr>
        <w:t xml:space="preserve">seen as </w:t>
      </w:r>
      <w:r w:rsidR="00381ED9" w:rsidRPr="004F3B77">
        <w:rPr>
          <w:rFonts w:ascii="Times New Roman" w:hAnsi="Times New Roman" w:cs="Times New Roman"/>
        </w:rPr>
        <w:t xml:space="preserve">a fundamental resource </w:t>
      </w:r>
      <w:r w:rsidR="00682F88" w:rsidRPr="004F3B77">
        <w:rPr>
          <w:rFonts w:ascii="Times New Roman" w:hAnsi="Times New Roman" w:cs="Times New Roman"/>
        </w:rPr>
        <w:t>for</w:t>
      </w:r>
      <w:r w:rsidR="00F93E88" w:rsidRPr="004F3B77">
        <w:rPr>
          <w:rFonts w:ascii="Times New Roman" w:hAnsi="Times New Roman" w:cs="Times New Roman"/>
        </w:rPr>
        <w:t xml:space="preserve"> democratic governance and social cooperation.</w:t>
      </w:r>
      <w:r w:rsidRPr="004F3B77">
        <w:rPr>
          <w:rFonts w:ascii="Times New Roman" w:hAnsi="Times New Roman" w:cs="Times New Roman"/>
        </w:rPr>
        <w:t xml:space="preserve"> </w:t>
      </w:r>
      <w:r w:rsidR="000D526A" w:rsidRPr="004F3B77">
        <w:rPr>
          <w:rFonts w:ascii="Times New Roman" w:hAnsi="Times New Roman" w:cs="Times New Roman"/>
        </w:rPr>
        <w:t xml:space="preserve">In the </w:t>
      </w:r>
      <w:r w:rsidR="0012102C" w:rsidRPr="004F3B77">
        <w:rPr>
          <w:rFonts w:ascii="Times New Roman" w:hAnsi="Times New Roman" w:cs="Times New Roman"/>
        </w:rPr>
        <w:t>foundational</w:t>
      </w:r>
      <w:r w:rsidR="000D526A" w:rsidRPr="004F3B77">
        <w:rPr>
          <w:rFonts w:ascii="Times New Roman" w:hAnsi="Times New Roman" w:cs="Times New Roman"/>
        </w:rPr>
        <w:t xml:space="preserve"> </w:t>
      </w:r>
      <w:r w:rsidR="00FE3FF9" w:rsidRPr="004F3B77">
        <w:rPr>
          <w:rFonts w:ascii="Times New Roman" w:hAnsi="Times New Roman" w:cs="Times New Roman"/>
        </w:rPr>
        <w:t xml:space="preserve">political </w:t>
      </w:r>
      <w:r w:rsidR="000D526A" w:rsidRPr="004F3B77">
        <w:rPr>
          <w:rFonts w:ascii="Times New Roman" w:hAnsi="Times New Roman" w:cs="Times New Roman"/>
        </w:rPr>
        <w:t xml:space="preserve">science literature, it was argued that </w:t>
      </w:r>
      <w:r w:rsidR="00CD5F82" w:rsidRPr="004F3B77">
        <w:rPr>
          <w:rFonts w:ascii="Times New Roman" w:hAnsi="Times New Roman" w:cs="Times New Roman"/>
        </w:rPr>
        <w:t xml:space="preserve">‘no set of incumbent authorities in modern mass societies’ could make decisions or implement policy without trust – and ‘few systems [were] able to survive long’ without it </w:t>
      </w:r>
      <w:r w:rsidR="00CD5F82"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{"citationID":"1tkMCFjc","properties":{"formattedCitation":"(Easton, 1975)","plainCitation":"(Easton, 1975)","noteIndex":0},"citationItems":[{"id":2833,"uris":["http://zotero.org/users/2674438/items/2F8JCWNG"],"itemData":{"id":2833,"type":"article-journal","container-title":"British Journal of Political Science","ISSN":"0007-1234","issue":"4","page":"435-457","source":"JSTOR","title":"A Re-Assessment of the Concept of Political Support","volume":"5","author":[{"family":"Easton","given":"David"}],"issued":{"date-parts":[["1975"]]}}}],"schema":"https://github.com/citation-style-language/schema/raw/master/csl-citation.json"} </w:instrText>
      </w:r>
      <w:r w:rsidR="00CD5F82" w:rsidRPr="004F3B77">
        <w:rPr>
          <w:rFonts w:ascii="Times New Roman" w:hAnsi="Times New Roman" w:cs="Times New Roman"/>
        </w:rPr>
        <w:fldChar w:fldCharType="separate"/>
      </w:r>
      <w:r w:rsidR="00AF206A" w:rsidRPr="004F3B77">
        <w:rPr>
          <w:rFonts w:ascii="Times New Roman" w:hAnsi="Times New Roman" w:cs="Times New Roman"/>
          <w:noProof/>
        </w:rPr>
        <w:t>(Easton, 1975)</w:t>
      </w:r>
      <w:r w:rsidR="00CD5F82" w:rsidRPr="004F3B77">
        <w:rPr>
          <w:rFonts w:ascii="Times New Roman" w:hAnsi="Times New Roman" w:cs="Times New Roman"/>
        </w:rPr>
        <w:fldChar w:fldCharType="end"/>
      </w:r>
      <w:r w:rsidR="00CD5F82" w:rsidRPr="004F3B77">
        <w:rPr>
          <w:rFonts w:ascii="Times New Roman" w:hAnsi="Times New Roman" w:cs="Times New Roman"/>
        </w:rPr>
        <w:t>.</w:t>
      </w:r>
      <w:r w:rsidR="00510E34" w:rsidRPr="004F3B77">
        <w:rPr>
          <w:rFonts w:ascii="Times New Roman" w:hAnsi="Times New Roman" w:cs="Times New Roman"/>
        </w:rPr>
        <w:t xml:space="preserve"> Social trust, a distinct but related concept</w:t>
      </w:r>
      <w:r w:rsidR="000A6A07" w:rsidRPr="004F3B77">
        <w:rPr>
          <w:rFonts w:ascii="Times New Roman" w:hAnsi="Times New Roman" w:cs="Times New Roman"/>
        </w:rPr>
        <w:t xml:space="preserve"> which refers to trust in other people rather than in political actors in particular</w:t>
      </w:r>
      <w:r w:rsidR="00510E34" w:rsidRPr="004F3B77">
        <w:rPr>
          <w:rFonts w:ascii="Times New Roman" w:hAnsi="Times New Roman" w:cs="Times New Roman"/>
        </w:rPr>
        <w:t xml:space="preserve">, has long been studied as a core ingredient for social cooperation, democratic development and economic growth </w:t>
      </w:r>
      <w:r w:rsidR="00510E34"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{"citationID":"OlOSMojl","properties":{"formattedCitation":"(Putnam, 2000)","plainCitation":"(Putnam, 2000)","noteIndex":0},"citationItems":[{"id":3367,"uris":["http://zotero.org/users/2674438/items/P84ERTSZ"],"itemData":{"id":3367,"type":"book","event-place":"New York","publisher":"Simon and Schuster","publisher-place":"New York","title":"Bowling Alone: The Collapse and Revival of American Community","author":[{"family":"Putnam","given":"Robert D."}],"issued":{"date-parts":[["2000"]]}}}],"schema":"https://github.com/citation-style-language/schema/raw/master/csl-citation.json"} </w:instrText>
      </w:r>
      <w:r w:rsidR="00510E34" w:rsidRPr="004F3B77">
        <w:rPr>
          <w:rFonts w:ascii="Times New Roman" w:hAnsi="Times New Roman" w:cs="Times New Roman"/>
        </w:rPr>
        <w:fldChar w:fldCharType="separate"/>
      </w:r>
      <w:r w:rsidR="00AF206A" w:rsidRPr="004F3B77">
        <w:rPr>
          <w:rFonts w:ascii="Times New Roman" w:hAnsi="Times New Roman" w:cs="Times New Roman"/>
          <w:noProof/>
        </w:rPr>
        <w:t>(Putnam, 2000)</w:t>
      </w:r>
      <w:r w:rsidR="00510E34" w:rsidRPr="004F3B77">
        <w:rPr>
          <w:rFonts w:ascii="Times New Roman" w:hAnsi="Times New Roman" w:cs="Times New Roman"/>
        </w:rPr>
        <w:fldChar w:fldCharType="end"/>
      </w:r>
      <w:r w:rsidR="00510E34" w:rsidRPr="004F3B77">
        <w:rPr>
          <w:rFonts w:ascii="Times New Roman" w:hAnsi="Times New Roman" w:cs="Times New Roman"/>
        </w:rPr>
        <w:t>.</w:t>
      </w:r>
      <w:r w:rsidR="00CA4CA3" w:rsidRPr="004F3B77">
        <w:rPr>
          <w:rFonts w:ascii="Times New Roman" w:hAnsi="Times New Roman" w:cs="Times New Roman"/>
        </w:rPr>
        <w:t xml:space="preserve"> Empirical research since has argued that political trust is related to important outcomes such as policy preferences, </w:t>
      </w:r>
      <w:r w:rsidR="001E3267" w:rsidRPr="004F3B77">
        <w:rPr>
          <w:rFonts w:ascii="Times New Roman" w:hAnsi="Times New Roman" w:cs="Times New Roman"/>
        </w:rPr>
        <w:t>vote</w:t>
      </w:r>
      <w:r w:rsidR="00CA4CA3" w:rsidRPr="004F3B77">
        <w:rPr>
          <w:rFonts w:ascii="Times New Roman" w:hAnsi="Times New Roman" w:cs="Times New Roman"/>
        </w:rPr>
        <w:t xml:space="preserve"> choice, and </w:t>
      </w:r>
      <w:r w:rsidR="001E638B" w:rsidRPr="004F3B77">
        <w:rPr>
          <w:rFonts w:ascii="Times New Roman" w:hAnsi="Times New Roman" w:cs="Times New Roman"/>
        </w:rPr>
        <w:t xml:space="preserve">social </w:t>
      </w:r>
      <w:r w:rsidR="00CA4CA3" w:rsidRPr="004F3B77">
        <w:rPr>
          <w:rFonts w:ascii="Times New Roman" w:hAnsi="Times New Roman" w:cs="Times New Roman"/>
        </w:rPr>
        <w:t xml:space="preserve">compliance </w:t>
      </w:r>
      <w:r w:rsidR="00CA4CA3"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{"citationID":"AdxUzSrx","properties":{"formattedCitation":"(Citrin and Stoker 2018; Zmerli and Meer 2017)","plainCitation":"(Citrin and Stoker 2018; Zmerli and Meer 2017)","dontUpdate":true,"noteIndex":0},"citationItems":[{"id":3990,"uris":["http://zotero.org/users/2674438/items/FAHPHFJZ"],"itemData":{"id":3990,"type":"article-journal","abstract":"This article reviews recent survey-based research on citizens’ trust in government, focusing particularly on the United States. It addresses the long-term decline in trust and potential causes for this decline, with an emphasis on the effects of partisanship, polarization, performance, process, and media priming. While dispositions can anchor trust levels, the dominant research findings show that the sources of variation and change in trust are political, if multifaceted, in nature. We discuss new versions of standard measures, call for a renewed look at the distinction between trust in authorities and trust in the regime, review ongoing work on how and why trust matters, and recommend broadening the foci of mistrust to include antiestablishment sentiments and attacks on electoral integrity. How trust intervenes between perceptions of political processes and compliance with authoritative commands is a critical domain for additional research. We conclude with a caveat against confidence that the decline in trust can be quickly or easily reversed.","container-title":"Annual Review of Political Science","DOI":"10.1146/annurev-polisci-050316-092550","ISSN":"1094-2939","issue":"1","journalAbbreviation":"Annu. Rev. Polit. Sci.","page":"49-70","source":"annualreviews.org (Atypon)","title":"Political Trust in a Cynical Age","volume":"21","author":[{"family":"Citrin","given":"Jack"},{"family":"Stoker","given":"Laura"}],"issued":{"date-parts":[["2018",5,11]]}}},{"id":4368,"uris":["http://zotero.org/users/2674438/items/UJTAIZG6"],"itemData":{"id":4368,"type":"book","event-place":"Cheltenham, UK ; Northampton, MA","language":"en","number-of-pages":"539","publisher":"Edward Elgar Publishing","publisher-place":"Cheltenham, UK ; Northampton, MA","source":"Library of Congress ISBN","title":"Handbook on political trust","editor":[{"family":"Zmerli","given":"Sonja"},{"family":"Meer","given":"Tom","non-dropping-particle":"van der"}],"issued":{"date-parts":[["2017"]]}}}],"schema":"https://github.com/citation-style-language/schema/raw/master/csl-citation.json"} </w:instrText>
      </w:r>
      <w:r w:rsidR="00CA4CA3" w:rsidRPr="004F3B77">
        <w:rPr>
          <w:rFonts w:ascii="Times New Roman" w:hAnsi="Times New Roman" w:cs="Times New Roman"/>
        </w:rPr>
        <w:fldChar w:fldCharType="separate"/>
      </w:r>
      <w:r w:rsidR="00187121" w:rsidRPr="004F3B77">
        <w:rPr>
          <w:rFonts w:ascii="Times New Roman" w:hAnsi="Times New Roman" w:cs="Times New Roman"/>
          <w:noProof/>
        </w:rPr>
        <w:t>(</w:t>
      </w:r>
      <w:r w:rsidR="00BF75F3" w:rsidRPr="004F3B77">
        <w:rPr>
          <w:rFonts w:ascii="Times New Roman" w:hAnsi="Times New Roman" w:cs="Times New Roman"/>
          <w:noProof/>
        </w:rPr>
        <w:t xml:space="preserve">for reviews, see: </w:t>
      </w:r>
      <w:r w:rsidR="00187121" w:rsidRPr="004F3B77">
        <w:rPr>
          <w:rFonts w:ascii="Times New Roman" w:hAnsi="Times New Roman" w:cs="Times New Roman"/>
          <w:noProof/>
        </w:rPr>
        <w:t xml:space="preserve">Citrin and Stoker 2018; Zmerli and </w:t>
      </w:r>
      <w:r w:rsidR="00161091" w:rsidRPr="004F3B77">
        <w:rPr>
          <w:rFonts w:ascii="Times New Roman" w:hAnsi="Times New Roman" w:cs="Times New Roman"/>
          <w:noProof/>
        </w:rPr>
        <w:t xml:space="preserve">Van der </w:t>
      </w:r>
      <w:r w:rsidR="00187121" w:rsidRPr="004F3B77">
        <w:rPr>
          <w:rFonts w:ascii="Times New Roman" w:hAnsi="Times New Roman" w:cs="Times New Roman"/>
          <w:noProof/>
        </w:rPr>
        <w:t>Meer 2017)</w:t>
      </w:r>
      <w:r w:rsidR="00CA4CA3" w:rsidRPr="004F3B77">
        <w:rPr>
          <w:rFonts w:ascii="Times New Roman" w:hAnsi="Times New Roman" w:cs="Times New Roman"/>
        </w:rPr>
        <w:fldChar w:fldCharType="end"/>
      </w:r>
      <w:r w:rsidR="00315EA6" w:rsidRPr="004F3B77">
        <w:rPr>
          <w:rFonts w:ascii="Times New Roman" w:hAnsi="Times New Roman" w:cs="Times New Roman"/>
        </w:rPr>
        <w:t xml:space="preserve">, and trust-building has been a core component of governance within the OECD </w:t>
      </w:r>
      <w:r w:rsidR="00315EA6"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{"citationID":"RYeV9tC9","properties":{"formattedCitation":"(Bouckaert, 2012; Brezzi et al., 2021; OECD, 2017)","plainCitation":"(Bouckaert, 2012; Brezzi et al., 2021; OECD, 2017)","noteIndex":0},"citationItems":[{"id":3770,"uris":["http://zotero.org/users/2674438/items/EAZTVQ8D"],"itemData":{"id":3770,"type":"book","collection-title":"OECD Public Governance Reviews","event-place":"OECD Publishing","publisher":"Paris","publisher-place":"OECD Publishing","title":"Trust and Public Policy: How Better Governance Can Help Rebuild Public Trust","author":[{"family":"OECD","given":""}],"issued":{"date-parts":[["2017"]]}}},{"id":15083,"uris":["http://zotero.org/users/2674438/items/G4M4WU2C"],"itemData":{"id":15083,"type":"article-journal","container-title":"OECD Working Papers on Public Governance","title":"An updated OECD framework on drivers of trust in public institutions to meet current and future challenges","volume":"48","author":[{"family":"Brezzi","given":"Monica"},{"family":"Gonzalez","given":"Santiago"},{"family":"Nguyen","given":"David"},{"family":"Prats","given":"Mariana"}],"issued":{"date-parts":[["2021"]]}}},{"id":15082,"uris":["http://zotero.org/users/2674438/items/UG65P36Z"],"itemData":{"id":15082,"type":"article-journal","abstract":"Within the public sector of OECD countries trust is increasingly becoming a crucial element of performance and for a performing public sector, especially with the current financial crisis. Reform strategies have been driven by agendas to increase trust in the public sector. Three clusters of trust are defined: from society in the public sector (T1), from the public sector in society (T2) and within the public sector (T3). However, there are some paradoxes in these strategies. For example, the New Public Management model is partly based on distrust, in that the public sector expects to be trusted but does not necessarily trust its citizens or other public sector agents. Trust levels are culturally determined and differ significantly within the OECD. This has an implication for public sector reform policies, which are linked to trust regimes. Taking trust regimes into account should contribute to trust building and trust keeping.","container-title":"Administration","issue":"1","language":"en","page":"91-115","source":"Zotero","title":"Trust and public administration","volume":"60","author":[{"family":"Bouckaert","given":"Geert"}],"issued":{"date-parts":[["2012"]]}}}],"schema":"https://github.com/citation-style-language/schema/raw/master/csl-citation.json"} </w:instrText>
      </w:r>
      <w:r w:rsidR="00315EA6" w:rsidRPr="004F3B77">
        <w:rPr>
          <w:rFonts w:ascii="Times New Roman" w:hAnsi="Times New Roman" w:cs="Times New Roman"/>
        </w:rPr>
        <w:fldChar w:fldCharType="separate"/>
      </w:r>
      <w:r w:rsidR="00AF206A" w:rsidRPr="004F3B77">
        <w:rPr>
          <w:rFonts w:ascii="Times New Roman" w:hAnsi="Times New Roman" w:cs="Times New Roman"/>
          <w:noProof/>
        </w:rPr>
        <w:t>(Bouckaert, 2012; Brezzi et al., 2021; OECD, 2017)</w:t>
      </w:r>
      <w:r w:rsidR="00315EA6" w:rsidRPr="004F3B77">
        <w:rPr>
          <w:rFonts w:ascii="Times New Roman" w:hAnsi="Times New Roman" w:cs="Times New Roman"/>
        </w:rPr>
        <w:fldChar w:fldCharType="end"/>
      </w:r>
      <w:r w:rsidR="00315EA6" w:rsidRPr="004F3B77">
        <w:rPr>
          <w:rFonts w:ascii="Times New Roman" w:hAnsi="Times New Roman" w:cs="Times New Roman"/>
        </w:rPr>
        <w:t>.</w:t>
      </w:r>
    </w:p>
    <w:p w14:paraId="350F1DB2" w14:textId="77777777" w:rsidR="00F93E88" w:rsidRPr="004F3B77" w:rsidRDefault="00F93E88" w:rsidP="00381ED9">
      <w:pPr>
        <w:rPr>
          <w:rFonts w:ascii="Times New Roman" w:hAnsi="Times New Roman" w:cs="Times New Roman"/>
        </w:rPr>
      </w:pPr>
    </w:p>
    <w:p w14:paraId="09C6A8B6" w14:textId="6A35545C" w:rsidR="00A67A99" w:rsidRPr="004F3B77" w:rsidRDefault="001E638B" w:rsidP="00381ED9">
      <w:pPr>
        <w:rPr>
          <w:rFonts w:ascii="Times New Roman" w:hAnsi="Times New Roman" w:cs="Times New Roman"/>
        </w:rPr>
      </w:pPr>
      <w:r w:rsidRPr="004F3B77">
        <w:rPr>
          <w:rFonts w:ascii="Times New Roman" w:hAnsi="Times New Roman" w:cs="Times New Roman"/>
        </w:rPr>
        <w:t xml:space="preserve">The COVID-19 pandemic </w:t>
      </w:r>
      <w:r w:rsidR="000F5BCC" w:rsidRPr="004F3B77">
        <w:rPr>
          <w:rFonts w:ascii="Times New Roman" w:hAnsi="Times New Roman" w:cs="Times New Roman"/>
        </w:rPr>
        <w:t>led many</w:t>
      </w:r>
      <w:r w:rsidRPr="004F3B77">
        <w:rPr>
          <w:rFonts w:ascii="Times New Roman" w:hAnsi="Times New Roman" w:cs="Times New Roman"/>
        </w:rPr>
        <w:t xml:space="preserve"> governments to </w:t>
      </w:r>
      <w:r w:rsidR="00682F88" w:rsidRPr="004F3B77">
        <w:rPr>
          <w:rFonts w:ascii="Times New Roman" w:hAnsi="Times New Roman" w:cs="Times New Roman"/>
        </w:rPr>
        <w:t xml:space="preserve">rapidly </w:t>
      </w:r>
      <w:r w:rsidRPr="004F3B77">
        <w:rPr>
          <w:rFonts w:ascii="Times New Roman" w:hAnsi="Times New Roman" w:cs="Times New Roman"/>
        </w:rPr>
        <w:t xml:space="preserve">implement stringent policies, </w:t>
      </w:r>
      <w:r w:rsidR="000F5BCC" w:rsidRPr="004F3B77">
        <w:rPr>
          <w:rFonts w:ascii="Times New Roman" w:hAnsi="Times New Roman" w:cs="Times New Roman"/>
        </w:rPr>
        <w:t>mostly</w:t>
      </w:r>
      <w:r w:rsidRPr="004F3B77">
        <w:rPr>
          <w:rFonts w:ascii="Times New Roman" w:hAnsi="Times New Roman" w:cs="Times New Roman"/>
        </w:rPr>
        <w:t xml:space="preserve"> </w:t>
      </w:r>
      <w:r w:rsidR="000F5BCC" w:rsidRPr="004F3B77">
        <w:rPr>
          <w:rFonts w:ascii="Times New Roman" w:hAnsi="Times New Roman" w:cs="Times New Roman"/>
        </w:rPr>
        <w:t xml:space="preserve">with limited </w:t>
      </w:r>
      <w:r w:rsidRPr="004F3B77">
        <w:rPr>
          <w:rFonts w:ascii="Times New Roman" w:hAnsi="Times New Roman" w:cs="Times New Roman"/>
        </w:rPr>
        <w:t xml:space="preserve">scrutiny from the public or legislatures; these policies placed unprecedent restrictions on individuals’ lives and relied fundamentally on </w:t>
      </w:r>
      <w:r w:rsidR="001E3267" w:rsidRPr="004F3B77">
        <w:rPr>
          <w:rFonts w:ascii="Times New Roman" w:hAnsi="Times New Roman" w:cs="Times New Roman"/>
        </w:rPr>
        <w:t xml:space="preserve">collective action and broad </w:t>
      </w:r>
      <w:r w:rsidRPr="004F3B77">
        <w:rPr>
          <w:rFonts w:ascii="Times New Roman" w:hAnsi="Times New Roman" w:cs="Times New Roman"/>
        </w:rPr>
        <w:t xml:space="preserve">compliance. </w:t>
      </w:r>
      <w:r w:rsidR="00084207" w:rsidRPr="004F3B77">
        <w:rPr>
          <w:rFonts w:ascii="Times New Roman" w:hAnsi="Times New Roman" w:cs="Times New Roman"/>
        </w:rPr>
        <w:t>I</w:t>
      </w:r>
      <w:r w:rsidRPr="004F3B77">
        <w:rPr>
          <w:rFonts w:ascii="Times New Roman" w:hAnsi="Times New Roman" w:cs="Times New Roman"/>
        </w:rPr>
        <w:t xml:space="preserve">t </w:t>
      </w:r>
      <w:r w:rsidR="00867046" w:rsidRPr="004F3B77">
        <w:rPr>
          <w:rFonts w:ascii="Times New Roman" w:hAnsi="Times New Roman" w:cs="Times New Roman"/>
        </w:rPr>
        <w:t>has been</w:t>
      </w:r>
      <w:r w:rsidRPr="004F3B77">
        <w:rPr>
          <w:rFonts w:ascii="Times New Roman" w:hAnsi="Times New Roman" w:cs="Times New Roman"/>
        </w:rPr>
        <w:t xml:space="preserve"> commonplace</w:t>
      </w:r>
      <w:r w:rsidR="001E3267" w:rsidRPr="004F3B77">
        <w:rPr>
          <w:rFonts w:ascii="Times New Roman" w:hAnsi="Times New Roman" w:cs="Times New Roman"/>
        </w:rPr>
        <w:t xml:space="preserve"> to assert</w:t>
      </w:r>
      <w:r w:rsidRPr="004F3B77">
        <w:rPr>
          <w:rFonts w:ascii="Times New Roman" w:hAnsi="Times New Roman" w:cs="Times New Roman"/>
        </w:rPr>
        <w:t xml:space="preserve"> that political trust </w:t>
      </w:r>
      <w:r w:rsidR="00867046" w:rsidRPr="004F3B77">
        <w:rPr>
          <w:rFonts w:ascii="Times New Roman" w:hAnsi="Times New Roman" w:cs="Times New Roman"/>
        </w:rPr>
        <w:t>is</w:t>
      </w:r>
      <w:r w:rsidRPr="004F3B77">
        <w:rPr>
          <w:rFonts w:ascii="Times New Roman" w:hAnsi="Times New Roman" w:cs="Times New Roman"/>
        </w:rPr>
        <w:t xml:space="preserve"> a key variable in explaining governments’ variable success in fighting the pandemic.</w:t>
      </w:r>
      <w:r w:rsidR="00867046" w:rsidRPr="004F3B77">
        <w:rPr>
          <w:rFonts w:ascii="Times New Roman" w:hAnsi="Times New Roman" w:cs="Times New Roman"/>
        </w:rPr>
        <w:t xml:space="preserve"> </w:t>
      </w:r>
      <w:r w:rsidR="00E30A6E" w:rsidRPr="004F3B77">
        <w:rPr>
          <w:rFonts w:ascii="Times New Roman" w:hAnsi="Times New Roman" w:cs="Times New Roman"/>
        </w:rPr>
        <w:t xml:space="preserve">In a </w:t>
      </w:r>
      <w:r w:rsidR="003B770F" w:rsidRPr="004F3B77">
        <w:rPr>
          <w:rFonts w:ascii="Times New Roman" w:hAnsi="Times New Roman" w:cs="Times New Roman"/>
        </w:rPr>
        <w:t xml:space="preserve">highly </w:t>
      </w:r>
      <w:r w:rsidR="00E30A6E" w:rsidRPr="004F3B77">
        <w:rPr>
          <w:rFonts w:ascii="Times New Roman" w:hAnsi="Times New Roman" w:cs="Times New Roman"/>
        </w:rPr>
        <w:t xml:space="preserve">cited paper </w:t>
      </w:r>
      <w:r w:rsidR="00F91C47" w:rsidRPr="004F3B77">
        <w:rPr>
          <w:rFonts w:ascii="Times New Roman" w:hAnsi="Times New Roman" w:cs="Times New Roman"/>
        </w:rPr>
        <w:t xml:space="preserve">published </w:t>
      </w:r>
      <w:r w:rsidR="00E30A6E" w:rsidRPr="004F3B77">
        <w:rPr>
          <w:rFonts w:ascii="Times New Roman" w:hAnsi="Times New Roman" w:cs="Times New Roman"/>
        </w:rPr>
        <w:t xml:space="preserve">early in the pandemic, </w:t>
      </w:r>
      <w:proofErr w:type="spellStart"/>
      <w:r w:rsidR="00E30A6E" w:rsidRPr="004F3B77">
        <w:rPr>
          <w:rFonts w:ascii="Times New Roman" w:hAnsi="Times New Roman" w:cs="Times New Roman"/>
        </w:rPr>
        <w:t>Bavel</w:t>
      </w:r>
      <w:proofErr w:type="spellEnd"/>
      <w:r w:rsidR="00E30A6E" w:rsidRPr="004F3B77">
        <w:rPr>
          <w:rFonts w:ascii="Times New Roman" w:hAnsi="Times New Roman" w:cs="Times New Roman"/>
        </w:rPr>
        <w:t xml:space="preserve"> et al (2020) highlighted the role of political trust in relation to outcomes as diverse as vaccine uptake, compliance and behaviour change, risk assessment, belief in conspiracy theories, and much else. </w:t>
      </w:r>
      <w:r w:rsidR="00187121" w:rsidRPr="004F3B77">
        <w:rPr>
          <w:rFonts w:ascii="Times New Roman" w:hAnsi="Times New Roman" w:cs="Times New Roman"/>
        </w:rPr>
        <w:t>Two years into the pandemic,</w:t>
      </w:r>
      <w:r w:rsidR="009426D3" w:rsidRPr="004F3B77">
        <w:rPr>
          <w:rFonts w:ascii="Times New Roman" w:hAnsi="Times New Roman" w:cs="Times New Roman"/>
        </w:rPr>
        <w:t xml:space="preserve"> </w:t>
      </w:r>
      <w:r w:rsidR="009426D3" w:rsidRPr="004F3B77">
        <w:rPr>
          <w:rFonts w:ascii="Times New Roman" w:hAnsi="Times New Roman" w:cs="Times New Roman"/>
        </w:rPr>
        <w:fldChar w:fldCharType="begin"/>
      </w:r>
      <w:r w:rsidR="006A61A1" w:rsidRPr="004F3B77">
        <w:rPr>
          <w:rFonts w:ascii="Times New Roman" w:hAnsi="Times New Roman" w:cs="Times New Roman"/>
        </w:rPr>
        <w:instrText xml:space="preserve"> ADDIN ZOTERO_ITEM CSL_CITATION {"citationID":"2SRKgARi","properties":{"formattedCitation":"(Bollyky et al. 2022)","plainCitation":"(Bollyky et al. 2022)","dontUpdate":true,"noteIndex":0},"citationItems":[{"id":15080,"uris":["http://zotero.org/users/2674438/items/29Y5W5AZ"],"itemData":{"id":15080,"type":"article-journal","abstract":"Background National rates of COVID-19 infection and fatality have varied dramatically since the onset of the pandemic. Understanding the conditions associated with this cross-country variation is essential to guiding investment in more effective preparedness and response for future pandemics.","container-title":"The Lancet","DOI":"10.1016/S0140-6736(22)00172-6","ISSN":"01406736","issue":"10334","journalAbbreviation":"The Lancet","language":"en","page":"1489-1512","source":"DOI.org (Crossref)","title":"Pandemic preparedness and COVID-19: an exploratory analysis of infection and fatality rates, and contextual factors associated with preparedness in 177 countries, from Jan 1, 2020, to Sept 30, 2021","title-short":"Pandemic preparedness and COVID-19","volume":"399","author":[{"family":"Bollyky","given":"Thomas J"},{"family":"Hulland","given":"Erin N"},{"family":"Barber","given":"Ryan M"},{"family":"Collins","given":"James K"},{"family":"Kiernan","given":"Samantha"},{"family":"Moses","given":"Mark"},{"family":"Pigott","given":"David M"},{"family":"Reiner Jr","given":"Robert C"},{"family":"Sorensen","given":"Reed J D"},{"family":"Abbafati","given":"Cristiana"},{"family":"Adolph","given":"Christopher"},{"family":"Allorant","given":"Adrien"},{"family":"Amlag","given":"Joanne O"},{"family":"Aravkin","given":"Aleksandr Y"},{"family":"Bang-Jensen","given":"Bree"},{"family":"Carter","given":"Austin"},{"family":"Castellano","given":"Rachel"},{"family":"Castro","given":"Emma"},{"family":"Chakrabarti","given":"Suman"},{"family":"Combs","given":"Emily"},{"family":"Dai","given":"Xiaochen"},{"family":"Dangel","given":"William James"},{"family":"Dapper","given":"Carolyn"},{"family":"Deen","given":"Amanda"},{"family":"Duncan","given":"Bruce B"},{"family":"Earl","given":"Lucas"},{"family":"Erickson","given":"Megan"},{"family":"Ewald","given":"Samuel B"},{"family":"Fedosseeva","given":"Tatiana"},{"family":"Ferrari","given":"Alize J"},{"family":"Flaxman","given":"Abraham D"},{"family":"Fullman","given":"Nancy"},{"family":"Gakidou","given":"Emmanuela"},{"family":"Galal","given":"Bayan"},{"family":"Gallagher","given":"John"},{"family":"Giles","given":"John R"},{"family":"Guo","given":"Gaorui"},{"family":"He","given":"Jiawei"},{"family":"Helak","given":"Monika"},{"family":"Huntley","given":"Bethany M"},{"family":"Idrisov","given":"Bulat"},{"family":"Johanns","given":"Casey"},{"family":"LeGrand","given":"Kate E"},{"family":"Letourneau","given":"Ian D"},{"family":"Lindstrom","given":"Akiaja"},{"family":"Linebarger","given":"Emily"},{"family":"Lotufo","given":"Paulo A"},{"family":"Lozano","given":"Rafael"},{"family":"Magistro","given":"Beatrice"},{"family":"Malta","given":"Deborah Carvalho"},{"family":"Månsson","given":"Johan"},{"family":"Mantilla Herrera","given":"Ana M"},{"family":"Marinho","given":"Fatima"},{"family":"Mirkuzie","given":"Alemnesh H"},{"family":"Mokdad","given":"Ali H"},{"family":"Monasta","given":"Lorenzo"},{"family":"Naik","given":"Paulami"},{"family":"Nomura","given":"Shuhei"},{"family":"O'Halloran","given":"James Kevin"},{"family":"Odell","given":"Christopher M"},{"family":"Olana","given":"Latera Tesfaye"},{"family":"Ostroff","given":"Samuel M"},{"family":"Pasovic","given":"Maja"},{"family":"Passos","given":"Valeria Maria de Azeredo"},{"family":"Penberthy","given":"Louise"},{"family":"Reinke","given":"Grace"},{"family":"Santomauro","given":"Damian Francesco"},{"family":"Schmidt","given":"Maria Inês"},{"family":"Sholokhov","given":"Aleksei"},{"family":"Spurlock","given":"Emma"},{"family":"Troeger","given":"Christopher E"},{"family":"Varavikova","given":"Elena"},{"family":"Vo","given":"Anh T"},{"family":"Vos","given":"Theo"},{"family":"Walcott","given":"Rebecca"},{"family":"Walker","given":"Ally"},{"family":"Wigley","given":"Simon D"},{"family":"Wiysonge","given":"Charles Shey"},{"family":"Worku","given":"Nahom Alemseged"},{"family":"Wu","given":"Yifan"},{"family":"Wulf Hanson","given":"Sarah"},{"family":"Zheng","given":"Peng"},{"family":"Hay","given":"Simon I"},{"family":"Murray","given":"Christopher J L"},{"family":"Dieleman","given":"Joseph L"}],"issued":{"date-parts":[["2022",4]]}}}],"schema":"https://github.com/citation-style-language/schema/raw/master/csl-citation.json"} </w:instrText>
      </w:r>
      <w:r w:rsidR="009426D3" w:rsidRPr="004F3B77">
        <w:rPr>
          <w:rFonts w:ascii="Times New Roman" w:hAnsi="Times New Roman" w:cs="Times New Roman"/>
        </w:rPr>
        <w:fldChar w:fldCharType="separate"/>
      </w:r>
      <w:r w:rsidR="009426D3" w:rsidRPr="004F3B77">
        <w:rPr>
          <w:rFonts w:ascii="Times New Roman" w:hAnsi="Times New Roman" w:cs="Times New Roman"/>
          <w:noProof/>
        </w:rPr>
        <w:t>Bollyky et al. (2022)</w:t>
      </w:r>
      <w:r w:rsidR="009426D3" w:rsidRPr="004F3B77">
        <w:rPr>
          <w:rFonts w:ascii="Times New Roman" w:hAnsi="Times New Roman" w:cs="Times New Roman"/>
        </w:rPr>
        <w:fldChar w:fldCharType="end"/>
      </w:r>
      <w:r w:rsidR="009426D3" w:rsidRPr="004F3B77">
        <w:rPr>
          <w:rFonts w:ascii="Times New Roman" w:hAnsi="Times New Roman" w:cs="Times New Roman"/>
        </w:rPr>
        <w:t xml:space="preserve"> argued in </w:t>
      </w:r>
      <w:r w:rsidR="009426D3" w:rsidRPr="004F3B77">
        <w:rPr>
          <w:rFonts w:ascii="Times New Roman" w:hAnsi="Times New Roman" w:cs="Times New Roman"/>
          <w:i/>
          <w:iCs/>
        </w:rPr>
        <w:t xml:space="preserve">The Lancet </w:t>
      </w:r>
      <w:r w:rsidR="009426D3" w:rsidRPr="004F3B77">
        <w:rPr>
          <w:rFonts w:ascii="Times New Roman" w:hAnsi="Times New Roman" w:cs="Times New Roman"/>
        </w:rPr>
        <w:t xml:space="preserve">that political trust was the only social factor correlated with (lower) infection rates, leading to the </w:t>
      </w:r>
      <w:r w:rsidR="009426D3" w:rsidRPr="004F3B77">
        <w:rPr>
          <w:rFonts w:ascii="Times New Roman" w:hAnsi="Times New Roman" w:cs="Times New Roman"/>
          <w:i/>
          <w:iCs/>
        </w:rPr>
        <w:t xml:space="preserve">Wall Street Journal </w:t>
      </w:r>
      <w:r w:rsidR="009426D3" w:rsidRPr="004F3B77">
        <w:rPr>
          <w:rFonts w:ascii="Times New Roman" w:hAnsi="Times New Roman" w:cs="Times New Roman"/>
        </w:rPr>
        <w:t>headline that ‘COVID is less deadly where there is trust’ (</w:t>
      </w:r>
      <w:r w:rsidR="009426D3" w:rsidRPr="004F3B77">
        <w:rPr>
          <w:rFonts w:ascii="Times New Roman" w:hAnsi="Times New Roman" w:cs="Times New Roman"/>
        </w:rPr>
        <w:fldChar w:fldCharType="begin"/>
      </w:r>
      <w:r w:rsidR="006A61A1" w:rsidRPr="004F3B77">
        <w:rPr>
          <w:rFonts w:ascii="Times New Roman" w:hAnsi="Times New Roman" w:cs="Times New Roman"/>
        </w:rPr>
        <w:instrText xml:space="preserve"> ADDIN ZOTERO_ITEM CSL_CITATION {"citationID":"JnK7DSug","properties":{"formattedCitation":"(Bollyky, Dieleman, and Hulland 2022)","plainCitation":"(Bollyky, Dieleman, and Hulland 2022)","dontUpdate":true,"noteIndex":0},"citationItems":[{"id":15078,"uris":["http://zotero.org/users/2674438/items/PWEL7EWE"],"itemData":{"id":15078,"type":"article-newspaper","container-title":"Wall Street Journal","title":"Covid Is Less Deadly Where There Is Trust","URL":"https://www.wsj.com/articles/covid-is-less-deadly-where-there-is-trust-11643906663","author":[{"family":"Bollyky","given":"Thomas J"},{"family":"Dieleman","given":"Joseph L"},{"family":"Hulland","given":"Erin N"}],"issued":{"date-parts":[["2022"]]}}}],"schema":"https://github.com/citation-style-language/schema/raw/master/csl-citation.json"} </w:instrText>
      </w:r>
      <w:r w:rsidR="009426D3" w:rsidRPr="004F3B77">
        <w:rPr>
          <w:rFonts w:ascii="Times New Roman" w:hAnsi="Times New Roman" w:cs="Times New Roman"/>
        </w:rPr>
        <w:fldChar w:fldCharType="separate"/>
      </w:r>
      <w:r w:rsidR="009426D3" w:rsidRPr="004F3B77">
        <w:rPr>
          <w:rFonts w:ascii="Times New Roman" w:hAnsi="Times New Roman" w:cs="Times New Roman"/>
          <w:noProof/>
        </w:rPr>
        <w:t>Bollyky, Dieleman, and Hulland, 2022)</w:t>
      </w:r>
      <w:r w:rsidR="009426D3" w:rsidRPr="004F3B77">
        <w:rPr>
          <w:rFonts w:ascii="Times New Roman" w:hAnsi="Times New Roman" w:cs="Times New Roman"/>
        </w:rPr>
        <w:fldChar w:fldCharType="end"/>
      </w:r>
      <w:r w:rsidR="009426D3" w:rsidRPr="004F3B77">
        <w:rPr>
          <w:rFonts w:ascii="Times New Roman" w:hAnsi="Times New Roman" w:cs="Times New Roman"/>
        </w:rPr>
        <w:t>.</w:t>
      </w:r>
      <w:r w:rsidR="00C03FE7" w:rsidRPr="004F3B77">
        <w:rPr>
          <w:rFonts w:ascii="Times New Roman" w:hAnsi="Times New Roman" w:cs="Times New Roman"/>
        </w:rPr>
        <w:t xml:space="preserve"> And this has political consequences; i</w:t>
      </w:r>
      <w:r w:rsidR="00653795" w:rsidRPr="004F3B77">
        <w:rPr>
          <w:rFonts w:ascii="Times New Roman" w:hAnsi="Times New Roman" w:cs="Times New Roman"/>
        </w:rPr>
        <w:t xml:space="preserve">n the UK House of Commons, </w:t>
      </w:r>
      <w:r w:rsidR="003A24FC" w:rsidRPr="004F3B77">
        <w:rPr>
          <w:rFonts w:ascii="Times New Roman" w:hAnsi="Times New Roman" w:cs="Times New Roman"/>
        </w:rPr>
        <w:t>then-</w:t>
      </w:r>
      <w:r w:rsidR="00653795" w:rsidRPr="004F3B77">
        <w:rPr>
          <w:rFonts w:ascii="Times New Roman" w:hAnsi="Times New Roman" w:cs="Times New Roman"/>
        </w:rPr>
        <w:t>Prime Minister Boris Johnson stated</w:t>
      </w:r>
      <w:r w:rsidR="00C03FE7" w:rsidRPr="004F3B77">
        <w:rPr>
          <w:rFonts w:ascii="Times New Roman" w:hAnsi="Times New Roman" w:cs="Times New Roman"/>
        </w:rPr>
        <w:t xml:space="preserve"> in defence of his government’s </w:t>
      </w:r>
      <w:r w:rsidR="002A13FB" w:rsidRPr="004F3B77">
        <w:rPr>
          <w:rFonts w:ascii="Times New Roman" w:hAnsi="Times New Roman" w:cs="Times New Roman"/>
        </w:rPr>
        <w:t>policies</w:t>
      </w:r>
      <w:r w:rsidR="00C03FE7" w:rsidRPr="004F3B77">
        <w:rPr>
          <w:rFonts w:ascii="Times New Roman" w:hAnsi="Times New Roman" w:cs="Times New Roman"/>
        </w:rPr>
        <w:t xml:space="preserve"> that</w:t>
      </w:r>
      <w:r w:rsidR="00653795" w:rsidRPr="004F3B77">
        <w:rPr>
          <w:rFonts w:ascii="Times New Roman" w:hAnsi="Times New Roman" w:cs="Times New Roman"/>
        </w:rPr>
        <w:t xml:space="preserve"> ‘the single biggest index of that trust </w:t>
      </w:r>
      <w:r w:rsidR="00C03FE7" w:rsidRPr="004F3B77">
        <w:rPr>
          <w:rFonts w:ascii="Times New Roman" w:hAnsi="Times New Roman" w:cs="Times New Roman"/>
        </w:rPr>
        <w:t xml:space="preserve">[in government] </w:t>
      </w:r>
      <w:r w:rsidR="00653795" w:rsidRPr="004F3B77">
        <w:rPr>
          <w:rFonts w:ascii="Times New Roman" w:hAnsi="Times New Roman" w:cs="Times New Roman"/>
        </w:rPr>
        <w:t xml:space="preserve">has been </w:t>
      </w:r>
      <w:r w:rsidR="00C03FE7" w:rsidRPr="004F3B77">
        <w:rPr>
          <w:rFonts w:ascii="Times New Roman" w:hAnsi="Times New Roman" w:cs="Times New Roman"/>
        </w:rPr>
        <w:t>[the public’s]</w:t>
      </w:r>
      <w:r w:rsidR="00653795" w:rsidRPr="004F3B77">
        <w:rPr>
          <w:rFonts w:ascii="Times New Roman" w:hAnsi="Times New Roman" w:cs="Times New Roman"/>
        </w:rPr>
        <w:t xml:space="preserve"> willingness to come forward voluntarily […] to get vaccinated’ </w:t>
      </w:r>
      <w:r w:rsidR="00653795"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{"citationID":"wduwNNP2","properties":{"formattedCitation":"({\\i{}HC Deb}, 2022)","plainCitation":"(HC Deb, 2022)","noteIndex":0},"citationItems":[{"id":15074,"uris":["http://zotero.org/users/2674438/items/ZPVDZ6YY"],"itemData":{"id":15074,"type":"document","publisher":"House of Commons Vol 707","title":"HC Deb","URL":"https://hansard.parliament.uk/Commons/2022-01-19/debates/9E134503-624C-465D-870C-DFBCC1A0E4D2/Engagements?highlight=trust%20vaccine#contribution-2186D8CD-FFD7-4244-9E8B-9DA500D34C24","issued":{"date-parts":[["2022",1,19]]}}}],"schema":"https://github.com/citation-style-language/schema/raw/master/csl-citation.json"} </w:instrText>
      </w:r>
      <w:r w:rsidR="00653795" w:rsidRPr="004F3B77">
        <w:rPr>
          <w:rFonts w:ascii="Times New Roman" w:hAnsi="Times New Roman" w:cs="Times New Roman"/>
        </w:rPr>
        <w:fldChar w:fldCharType="separate"/>
      </w:r>
      <w:r w:rsidR="00AF206A" w:rsidRPr="004F3B77">
        <w:rPr>
          <w:rFonts w:ascii="Times New Roman" w:hAnsi="Times New Roman" w:cs="Times New Roman"/>
        </w:rPr>
        <w:t>(</w:t>
      </w:r>
      <w:r w:rsidR="00AF206A" w:rsidRPr="004F3B77">
        <w:rPr>
          <w:rFonts w:ascii="Times New Roman" w:hAnsi="Times New Roman" w:cs="Times New Roman"/>
          <w:i/>
          <w:iCs/>
        </w:rPr>
        <w:t>HC Deb</w:t>
      </w:r>
      <w:r w:rsidR="00AF206A" w:rsidRPr="004F3B77">
        <w:rPr>
          <w:rFonts w:ascii="Times New Roman" w:hAnsi="Times New Roman" w:cs="Times New Roman"/>
        </w:rPr>
        <w:t>, 2022)</w:t>
      </w:r>
      <w:r w:rsidR="00653795" w:rsidRPr="004F3B77">
        <w:rPr>
          <w:rFonts w:ascii="Times New Roman" w:hAnsi="Times New Roman" w:cs="Times New Roman"/>
        </w:rPr>
        <w:fldChar w:fldCharType="end"/>
      </w:r>
      <w:r w:rsidR="008F340F" w:rsidRPr="004F3B77">
        <w:rPr>
          <w:rFonts w:ascii="Times New Roman" w:hAnsi="Times New Roman" w:cs="Times New Roman"/>
        </w:rPr>
        <w:t>.</w:t>
      </w:r>
      <w:r w:rsidR="00884D6B" w:rsidRPr="004F3B77">
        <w:rPr>
          <w:rFonts w:ascii="Times New Roman" w:hAnsi="Times New Roman" w:cs="Times New Roman"/>
        </w:rPr>
        <w:t xml:space="preserve"> </w:t>
      </w:r>
    </w:p>
    <w:p w14:paraId="180285FC" w14:textId="77777777" w:rsidR="00A67A99" w:rsidRPr="004F3B77" w:rsidRDefault="00A67A99" w:rsidP="00381ED9">
      <w:pPr>
        <w:rPr>
          <w:rFonts w:ascii="Times New Roman" w:hAnsi="Times New Roman" w:cs="Times New Roman"/>
        </w:rPr>
      </w:pPr>
    </w:p>
    <w:p w14:paraId="579A93F6" w14:textId="16F50305" w:rsidR="00B93E0C" w:rsidRPr="004F3B77" w:rsidRDefault="00313F17" w:rsidP="00381ED9">
      <w:pPr>
        <w:rPr>
          <w:rFonts w:ascii="Times New Roman" w:hAnsi="Times New Roman" w:cs="Times New Roman"/>
        </w:rPr>
      </w:pPr>
      <w:r w:rsidRPr="004F3B77">
        <w:rPr>
          <w:rFonts w:ascii="Times New Roman" w:hAnsi="Times New Roman" w:cs="Times New Roman"/>
        </w:rPr>
        <w:t xml:space="preserve">Despite </w:t>
      </w:r>
      <w:r w:rsidR="00B93E0C" w:rsidRPr="004F3B77">
        <w:rPr>
          <w:rFonts w:ascii="Times New Roman" w:hAnsi="Times New Roman" w:cs="Times New Roman"/>
        </w:rPr>
        <w:t>an enormous amount of research produced on the relationship between political trust and COVID-related outcomes, there has been no systematic accumulation of this research</w:t>
      </w:r>
      <w:r w:rsidRPr="004F3B77">
        <w:rPr>
          <w:rFonts w:ascii="Times New Roman" w:hAnsi="Times New Roman" w:cs="Times New Roman"/>
        </w:rPr>
        <w:t xml:space="preserve">. </w:t>
      </w:r>
      <w:r w:rsidR="007852B6" w:rsidRPr="004F3B77">
        <w:rPr>
          <w:rFonts w:ascii="Times New Roman" w:hAnsi="Times New Roman" w:cs="Times New Roman"/>
        </w:rPr>
        <w:t xml:space="preserve">It is not clear that trust matters in ways we expect, nor the magnitude of any potential effect, and this is likely to have importance consequences for policy framing and academic research. </w:t>
      </w:r>
      <w:r w:rsidR="00884D6B" w:rsidRPr="004F3B77">
        <w:rPr>
          <w:rFonts w:ascii="Times New Roman" w:hAnsi="Times New Roman" w:cs="Times New Roman"/>
        </w:rPr>
        <w:t>Whilst it is commonplace to assert that political trust is important in driving outcomes such as vaccine uptake, t</w:t>
      </w:r>
      <w:r w:rsidR="00084207" w:rsidRPr="004F3B77">
        <w:rPr>
          <w:rFonts w:ascii="Times New Roman" w:hAnsi="Times New Roman" w:cs="Times New Roman"/>
        </w:rPr>
        <w:t>he</w:t>
      </w:r>
      <w:r w:rsidRPr="004F3B77">
        <w:rPr>
          <w:rFonts w:ascii="Times New Roman" w:hAnsi="Times New Roman" w:cs="Times New Roman"/>
        </w:rPr>
        <w:t xml:space="preserve"> </w:t>
      </w:r>
      <w:r w:rsidR="00884D6B" w:rsidRPr="004F3B77">
        <w:rPr>
          <w:rFonts w:ascii="Times New Roman" w:hAnsi="Times New Roman" w:cs="Times New Roman"/>
        </w:rPr>
        <w:t xml:space="preserve">extant </w:t>
      </w:r>
      <w:r w:rsidRPr="004F3B77">
        <w:rPr>
          <w:rFonts w:ascii="Times New Roman" w:hAnsi="Times New Roman" w:cs="Times New Roman"/>
        </w:rPr>
        <w:t>political trust literature and evidence from other epidemics</w:t>
      </w:r>
      <w:r w:rsidR="00180327" w:rsidRPr="004F3B77">
        <w:rPr>
          <w:rFonts w:ascii="Times New Roman" w:hAnsi="Times New Roman" w:cs="Times New Roman"/>
        </w:rPr>
        <w:t xml:space="preserve"> provide a more complex account.</w:t>
      </w:r>
      <w:r w:rsidRPr="004F3B77">
        <w:rPr>
          <w:rFonts w:ascii="Times New Roman" w:hAnsi="Times New Roman" w:cs="Times New Roman"/>
        </w:rPr>
        <w:t xml:space="preserve"> </w:t>
      </w:r>
      <w:r w:rsidR="00180327" w:rsidRPr="004F3B77">
        <w:rPr>
          <w:rFonts w:ascii="Times New Roman" w:hAnsi="Times New Roman" w:cs="Times New Roman"/>
        </w:rPr>
        <w:t>W</w:t>
      </w:r>
      <w:r w:rsidR="00527E07" w:rsidRPr="004F3B77">
        <w:rPr>
          <w:rFonts w:ascii="Times New Roman" w:hAnsi="Times New Roman" w:cs="Times New Roman"/>
        </w:rPr>
        <w:t xml:space="preserve">hilst </w:t>
      </w:r>
      <w:r w:rsidR="003B770F" w:rsidRPr="004F3B77">
        <w:rPr>
          <w:rFonts w:ascii="Times New Roman" w:hAnsi="Times New Roman" w:cs="Times New Roman"/>
        </w:rPr>
        <w:t xml:space="preserve">trust can </w:t>
      </w:r>
      <w:r w:rsidR="00F91C47" w:rsidRPr="004F3B77">
        <w:rPr>
          <w:rFonts w:ascii="Times New Roman" w:hAnsi="Times New Roman" w:cs="Times New Roman"/>
        </w:rPr>
        <w:t>reduce outcomes like vaccine hesitancy</w:t>
      </w:r>
      <w:r w:rsidR="00527E07" w:rsidRPr="004F3B77">
        <w:rPr>
          <w:rFonts w:ascii="Times New Roman" w:hAnsi="Times New Roman" w:cs="Times New Roman"/>
        </w:rPr>
        <w:t xml:space="preserve"> and drive compliance</w:t>
      </w:r>
      <w:r w:rsidR="00F91C47" w:rsidRPr="004F3B77">
        <w:rPr>
          <w:rFonts w:ascii="Times New Roman" w:hAnsi="Times New Roman" w:cs="Times New Roman"/>
        </w:rPr>
        <w:t xml:space="preserve"> in some contexts</w:t>
      </w:r>
      <w:r w:rsidR="00527E07" w:rsidRPr="004F3B77">
        <w:rPr>
          <w:rFonts w:ascii="Times New Roman" w:hAnsi="Times New Roman" w:cs="Times New Roman"/>
        </w:rPr>
        <w:t xml:space="preserve">, it can also reduce the perceived risk COVID poses, reducing compliance and vaccine uptake </w:t>
      </w:r>
      <w:r w:rsidR="000F2E71" w:rsidRPr="004F3B77">
        <w:rPr>
          <w:rFonts w:ascii="Times New Roman" w:hAnsi="Times New Roman" w:cs="Times New Roman"/>
        </w:rPr>
        <w:fldChar w:fldCharType="begin"/>
      </w:r>
      <w:r w:rsidR="00505F8A" w:rsidRPr="004F3B77">
        <w:rPr>
          <w:rFonts w:ascii="Times New Roman" w:hAnsi="Times New Roman" w:cs="Times New Roman"/>
        </w:rPr>
        <w:instrText xml:space="preserve"> ADDIN ZOTERO_ITEM CSL_CITATION {"citationID":"H8hZfxDl","properties":{"formattedCitation":"(Devine et al., 2021; Jennings et al., 2021; Wong &amp; Jensen, 2020; Yue et al., 2022)","plainCitation":"(Devine et al., 2021; Jennings et al., 2021; Wong &amp; Jensen, 2020; Yue et al., 2022)","noteIndex":0},"citationItems":[{"id":4681,"uris":["http://zotero.org/users/2674438/items/QZY87M6Y"],"itemData":{"id":4681,"type":"article-journal","abstract":"Trust between governors and the governed is seen as essential to facilitating good governance. This claim has become a prominent contention during the coronavirus pandemic. The crisis also presents a unique test of key hypotheses in the trust literature. Moreover, understanding the dynamics of trust, how it facilitates and hinders policy responses, and also the likely effects of these responses on trust are going to be fundamental questions in policy and trust research in the future. In this article, we review the early literature on the coronavirus pandemic and political and social trust, summarise their findings and highlight key challenges for future research. We show how the studies shed light on trust's association with implementation of government measures, public compliance with them, mortality rates and the effect of government action on levels of trust. We also urge caution given the varying ways of measuring trust and operationalising the impact of the pandemic, the existence of common issues with quantitative studies and the relatively limited geographical scope of studies to date. We argue that it is going to be important to have a holistic understanding of these dynamics, using mixed-methods research as well as the quantitative studies we review here.","container-title":"Political Studies Review","DOI":"10.1177/1478929920948684","ISSN":"1478-9299","issue":"2","note":"WOS:000559312500001","page":"274-285","title":"Trust and the Coronavirus Pandemic: What are the Consequences of and for Trust? An Early Review of the Literature","volume":"19","author":[{"family":"Devine","given":"Daniel"},{"family":"Gaskell","given":"Jennifer"},{"family":"Jennings","given":"Will"},{"family":"Stoker","given":"Gerry"}],"issued":{"date-parts":[["2021",5]]}}},{"id":242,"uris":["http://zotero.org/users/2674438/items/29EHCBRI"],"itemData":{"id":242,"type":"article-journal","abstract":"It is commonplace to claim that trust is essential to effective governance in many contexts, including that of a public health crisis such as the COVID-19 pandemic. We argue that trust is better understood as a family of concepts – trust, mistrust and distrust – and each of these may have different implications for the governance of COVID-19. Drawing on original measures tested through nationally representative surveys conducted in Australia, Italy, the UK and the USA between May and June 2020, we explore how these distinct types of trust are associated with citizens’ perceptions of the threat posed by COVID-19, and their behavioural responses to it. We show how public policy dynamics around the COVID-19 crisis are driven by each of the trust family members and that policymakers might gain more from promoting an information-seeking and mistrusting society, rather than a trusting one.","container-title":"Journal of European Public Policy","DOI":"http://dx.doi.org/10.1080/13501763.2021.1942151","ISSN":"1350-1763","issue":"8","note":"Citation Key: Jennings2021\ntex.city: London\nPMID: 2550962584\npublisher: Taylor &amp; Francis Ltd.","page":"1174-1196","title":"How trust, mistrust and distrust shape the governance of the COVID-19 crisis","volume":"28","author":[{"family":"Jennings","given":"Will"},{"family":"Stoker","given":"Gerry"},{"family":"Valgarðsson","given":"Viktor"},{"family":"Devine","given":"Daniel"},{"family":"Gaskell","given":"Jennifer"}],"issued":{"date-parts":[["2021",8]]}}},{"id":4300,"uris":["http://zotero.org/users/2674438/items/LPBUUJPK"],"itemData":{"id":4300,"type":"article-journal","abstract":"Public trust in the authorities has been recognised in risk research as a crucial component of effective and efficient risk management. But in a pandemic, where the primary responsibility of risk management is not centralised within institutional actors but defused across society, trust can become a double-edged sword. Under these conditions, public trust based on a perception of government competence, care and openness may in fact lead people to underestimate risks and thus reduce their belief in the need to take individual action to control the risks. In this paper, we examine the interaction between trust in government, risk perceptions and public compliance in Singapore in the period between January and April 2020. Using social media tracking and online focus group discussions, we present a preliminary assessment of public responses to government risk communication and risk management measures. We highlight the unique deployment of risk communication in Singapore based on the narrative of ‘defensive pessimism’ to heighten rather than lower levels perceived risk. But the persistence of low public risk perceptions and concomitant low levels of compliance with government risk management measures bring to light the paradox of trust. This calls for further reflection on another dimension of trust which focuses on the role of the public; and further investigation into other social and cultural factors that may have stronger influence over individual belief in the need to take personal actions to control the risks.","container-title":"Journal of Risk Research","DOI":"10.1080/13669877.2020.1756386","ISSN":"1366-9877, 1466-4461","issue":"7-8","language":"en","page":"1021-1030","source":"Crossref","title":"The paradox of trust: perceived risk and public compliance during the COVID-19 pandemic in Singapore","title-short":"The paradox of trust","volume":"23","author":[{"family":"Wong","given":"Catherine Mei Ling"},{"family":"Jensen","given":"Olivia"}],"issued":{"date-parts":[["2020",4,28]]}}},{"id":4956,"uris":["http://zotero.org/users/2674438/items/IQLJ9TUT"],"itemData":{"id":4956,"type":"article-journal","abstract":"The emphasis of risk has been recognized as a crucial component to effective and successful policy compliance amidst a crisis. Yet, during the COVID-19 pandemic, when the impact of risk may fluctuate with the severity of the prolonged pandemic, and that the public consider not only public health factors when they choose but also whether to follow a COVID-19-related policy, perceived risk may not always lead to policy compliance. Two cross-sectional online surveys (during almost zero case period in late April to May, 2020 (Wave 2) and during the biggest outbreak in July, 2020 (Wave 3)) with convenient sampling were conducted to examine the dichotomous role of perceived severity and perceived susceptibility in influencing policy compliance in Hong Kong. A total of 1816 responses from local adults were collected (Wave 2: N = 564; Female % = 69.7%; Mean age = 39.4; Wave 3: N = 1252; Female %=68.8%; Mean age = 40.2). Although policy compliance is found to increase with the scale of the outbreak, results from path analyses showed that perceived susceptibility and perceived severity have an indirect role in policy complying behaviour when the objective risk is low. Risk variables, including attitude, knowledge, benefit and trust, have directly shaped policy compliance. More importantly, perceived severity boosts policy compliance but perceived susceptibility was associated with disobedience to public health policies. Meanwhile, Hong Kong citizens have a selective and conscious preference regarding the stringency of public health policy: They welcome more law and order, with increasing magnitude of penalty, but reject lockdown measures such as a curfew. Regression results implied that demography had a mild contribution to the acceptance of public health policies, with only the female gender being statistically related to higher policy acceptance. The findings of this study imply that boosting attitude, knowledge, benefit and trust would come more directly helpful in promoting public health policy compliance than emphasizing on risks alone. This study calls for further reflection on the traditional role of risk, especially perceived susceptibility, in mobilizing policy compliance to COVID-19-related measures.","container-title":"Journal of Risk Research","DOI":"10.1080/13669877.2021.1936612","ISSN":"1366-9877","issue":"9","note":"WOS:000662135000001","page":"1131-1145","title":"Risk perception as a double-edged sword in policy compliance in COVID-19 pandemic? A two-phase evaluation from Hong Kong","volume":"25","author":[{"family":"Yue","given":"Ricci P. H."},{"family":"Lau","given":"Bobo H. P."},{"family":"Chan","given":"Cecilia L. W."},{"family":"Ng","given":"Siu-Man"}],"issued":{"date-parts":[["2022"]]}}}],"schema":"https://github.com/citation-style-language/schema/raw/master/csl-citation.json"} </w:instrText>
      </w:r>
      <w:r w:rsidR="000F2E71" w:rsidRPr="004F3B77">
        <w:rPr>
          <w:rFonts w:ascii="Times New Roman" w:hAnsi="Times New Roman" w:cs="Times New Roman"/>
        </w:rPr>
        <w:fldChar w:fldCharType="separate"/>
      </w:r>
      <w:r w:rsidR="00505F8A" w:rsidRPr="004F3B77">
        <w:rPr>
          <w:rFonts w:ascii="Times New Roman" w:hAnsi="Times New Roman" w:cs="Times New Roman"/>
          <w:noProof/>
        </w:rPr>
        <w:t>(Devine et al., 2021; Jennings et al., 2021; Wong &amp; Jensen, 2020; Yue et al., 2022)</w:t>
      </w:r>
      <w:r w:rsidR="000F2E71" w:rsidRPr="004F3B77">
        <w:rPr>
          <w:rFonts w:ascii="Times New Roman" w:hAnsi="Times New Roman" w:cs="Times New Roman"/>
        </w:rPr>
        <w:fldChar w:fldCharType="end"/>
      </w:r>
      <w:r w:rsidR="00F91C47" w:rsidRPr="004F3B77">
        <w:rPr>
          <w:rFonts w:ascii="Times New Roman" w:hAnsi="Times New Roman" w:cs="Times New Roman"/>
        </w:rPr>
        <w:t>.</w:t>
      </w:r>
      <w:r w:rsidRPr="004F3B77">
        <w:rPr>
          <w:rFonts w:ascii="Times New Roman" w:hAnsi="Times New Roman" w:cs="Times New Roman"/>
        </w:rPr>
        <w:t xml:space="preserve"> </w:t>
      </w:r>
      <w:r w:rsidR="00180327" w:rsidRPr="004F3B77">
        <w:rPr>
          <w:rFonts w:ascii="Times New Roman" w:hAnsi="Times New Roman" w:cs="Times New Roman"/>
        </w:rPr>
        <w:t>Moreover, trust can lead governments to act more slowly in imposing hard restrictions, instead relying on recommendations or soft law, leading to higher overall deaths</w:t>
      </w:r>
      <w:r w:rsidR="00225CC1" w:rsidRPr="004F3B77">
        <w:rPr>
          <w:rFonts w:ascii="Times New Roman" w:hAnsi="Times New Roman" w:cs="Times New Roman"/>
        </w:rPr>
        <w:t xml:space="preserve"> </w:t>
      </w:r>
      <w:r w:rsidR="00225CC1" w:rsidRPr="004F3B77">
        <w:rPr>
          <w:rFonts w:ascii="Times New Roman" w:hAnsi="Times New Roman" w:cs="Times New Roman"/>
        </w:rPr>
        <w:fldChar w:fldCharType="begin"/>
      </w:r>
      <w:r w:rsidR="009E3B4E" w:rsidRPr="004F3B77">
        <w:rPr>
          <w:rFonts w:ascii="Times New Roman" w:hAnsi="Times New Roman" w:cs="Times New Roman"/>
        </w:rPr>
        <w:instrText xml:space="preserve"> ADDIN ZOTERO_ITEM CSL_CITATION {"citationID":"4OKMY4Mf","properties":{"formattedCitation":"(Toshkov et al., 2021)","plainCitation":"(Toshkov et al., 2021)","noteIndex":0},"citationItems":[{"id":1809,"uris":["http://zotero.org/users/2674438/items/QU58YU6I"],"itemData":{"id":1809,"type":"article-journal","abstract":"European states responded to the rapid spread of the COVID-19 pandemic in 2020 with a variety of public policy measures. In this article we ask what can account for this variation in policy responses, and we identify a number of factors related to institutions, general governance and specific health-sector related capacities, societal trust, government type, and party preferences as possible determinants. Using multivariate regression and survival analysis, we model the speed with which school closures and national lockdowns were imposed. The models suggest a number of significant and often counterintuitive relationships: more centralized countries with lower government effectiveness, freedom and societal trust, but with separate ministries of health and health ministers with medical background acted faster and more decisively. High perceived capacity might have provided false confidence to the governments, resulting in a delayed response to the early stages of the pandemic. Furthermore, more right-wing and authoritarian governments responded faster.","container-title":"Journal of European Public Policy","DOI":"10.1080/13501763.2021.1928270","ISSN":"1350-1763","issue":"7","note":"WOS:000651314600001","page":"1009-1028","title":"Government capacity, societal trust or party preferences: what accounts for the variety of national policy responses to the COVID-19 pandemic in Europe?","volume":"29","author":[{"family":"Toshkov","given":"Dimiter"},{"family":"Carroll","given":"Brendan"},{"family":"Yesilkagit","given":"Kutsal"}],"issued":{"date-parts":[["2021"]]}}}],"schema":"https://github.com/citation-style-language/schema/raw/master/csl-citation.json"} </w:instrText>
      </w:r>
      <w:r w:rsidR="00225CC1" w:rsidRPr="004F3B77">
        <w:rPr>
          <w:rFonts w:ascii="Times New Roman" w:hAnsi="Times New Roman" w:cs="Times New Roman"/>
        </w:rPr>
        <w:fldChar w:fldCharType="separate"/>
      </w:r>
      <w:r w:rsidR="009E3B4E" w:rsidRPr="004F3B77">
        <w:rPr>
          <w:rFonts w:ascii="Times New Roman" w:hAnsi="Times New Roman" w:cs="Times New Roman"/>
          <w:noProof/>
        </w:rPr>
        <w:t>(Toshkov et al., 2021)</w:t>
      </w:r>
      <w:r w:rsidR="00225CC1" w:rsidRPr="004F3B77">
        <w:rPr>
          <w:rFonts w:ascii="Times New Roman" w:hAnsi="Times New Roman" w:cs="Times New Roman"/>
        </w:rPr>
        <w:fldChar w:fldCharType="end"/>
      </w:r>
      <w:r w:rsidR="00225CC1" w:rsidRPr="004F3B77">
        <w:rPr>
          <w:rFonts w:ascii="Times New Roman" w:hAnsi="Times New Roman" w:cs="Times New Roman"/>
        </w:rPr>
        <w:t xml:space="preserve">. </w:t>
      </w:r>
      <w:r w:rsidR="005D1157" w:rsidRPr="004F3B77">
        <w:rPr>
          <w:rFonts w:ascii="Times New Roman" w:hAnsi="Times New Roman" w:cs="Times New Roman"/>
        </w:rPr>
        <w:t xml:space="preserve">Trust seemingly matters for public policy during crises like the pandemic, but more systematic analysis is required to inform decision-makers and researchers alike. </w:t>
      </w:r>
    </w:p>
    <w:p w14:paraId="70CB2D94" w14:textId="77777777" w:rsidR="00B93E0C" w:rsidRPr="004F3B77" w:rsidRDefault="00B93E0C" w:rsidP="00381ED9">
      <w:pPr>
        <w:rPr>
          <w:rFonts w:ascii="Times New Roman" w:hAnsi="Times New Roman" w:cs="Times New Roman"/>
        </w:rPr>
      </w:pPr>
    </w:p>
    <w:p w14:paraId="7772AF90" w14:textId="3D122E7A" w:rsidR="00386C2E" w:rsidRPr="004F3B77" w:rsidRDefault="002D698F" w:rsidP="00381ED9">
      <w:pPr>
        <w:rPr>
          <w:rFonts w:ascii="Times New Roman" w:hAnsi="Times New Roman" w:cs="Times New Roman"/>
        </w:rPr>
      </w:pPr>
      <w:r w:rsidRPr="004F3B77">
        <w:rPr>
          <w:rFonts w:ascii="Times New Roman" w:hAnsi="Times New Roman" w:cs="Times New Roman"/>
        </w:rPr>
        <w:t xml:space="preserve">To understand how, where and whether trust was important during the pandemic, we report </w:t>
      </w:r>
      <w:r w:rsidR="008C54F3" w:rsidRPr="004F3B77">
        <w:rPr>
          <w:rFonts w:ascii="Times New Roman" w:hAnsi="Times New Roman" w:cs="Times New Roman"/>
        </w:rPr>
        <w:t>the first systematic review and meta-analysis on the consequences of trust for COVID-related outcomes</w:t>
      </w:r>
      <w:r w:rsidR="005537A8" w:rsidRPr="004F3B77">
        <w:rPr>
          <w:rFonts w:ascii="Times New Roman" w:hAnsi="Times New Roman" w:cs="Times New Roman"/>
        </w:rPr>
        <w:t xml:space="preserve">. Our analysis is </w:t>
      </w:r>
      <w:r w:rsidR="00EA5114" w:rsidRPr="004F3B77">
        <w:rPr>
          <w:rFonts w:ascii="Times New Roman" w:hAnsi="Times New Roman" w:cs="Times New Roman"/>
        </w:rPr>
        <w:t>based on 6</w:t>
      </w:r>
      <w:r w:rsidR="00D013A1" w:rsidRPr="004F3B77">
        <w:rPr>
          <w:rFonts w:ascii="Times New Roman" w:hAnsi="Times New Roman" w:cs="Times New Roman"/>
        </w:rPr>
        <w:t>7</w:t>
      </w:r>
      <w:r w:rsidR="00EA5114" w:rsidRPr="004F3B77">
        <w:rPr>
          <w:rFonts w:ascii="Times New Roman" w:hAnsi="Times New Roman" w:cs="Times New Roman"/>
        </w:rPr>
        <w:t xml:space="preserve"> </w:t>
      </w:r>
      <w:r w:rsidR="003937DD" w:rsidRPr="004F3B77">
        <w:rPr>
          <w:rFonts w:ascii="Times New Roman" w:hAnsi="Times New Roman" w:cs="Times New Roman"/>
        </w:rPr>
        <w:t>studies</w:t>
      </w:r>
      <w:r w:rsidR="00EA5114" w:rsidRPr="004F3B77">
        <w:rPr>
          <w:rFonts w:ascii="Times New Roman" w:hAnsi="Times New Roman" w:cs="Times New Roman"/>
        </w:rPr>
        <w:t xml:space="preserve"> </w:t>
      </w:r>
      <w:r w:rsidRPr="004F3B77">
        <w:rPr>
          <w:rFonts w:ascii="Times New Roman" w:hAnsi="Times New Roman" w:cs="Times New Roman"/>
        </w:rPr>
        <w:t>that use trust as an explanatory variable</w:t>
      </w:r>
      <w:r w:rsidR="005537A8" w:rsidRPr="004F3B77">
        <w:rPr>
          <w:rFonts w:ascii="Times New Roman" w:hAnsi="Times New Roman" w:cs="Times New Roman"/>
        </w:rPr>
        <w:t xml:space="preserve">, leading to </w:t>
      </w:r>
      <w:r w:rsidR="00EA5114" w:rsidRPr="004F3B77">
        <w:rPr>
          <w:rFonts w:ascii="Times New Roman" w:hAnsi="Times New Roman" w:cs="Times New Roman"/>
        </w:rPr>
        <w:t>42</w:t>
      </w:r>
      <w:r w:rsidR="00FD4230" w:rsidRPr="004F3B77">
        <w:rPr>
          <w:rFonts w:ascii="Times New Roman" w:hAnsi="Times New Roman" w:cs="Times New Roman"/>
        </w:rPr>
        <w:t>6</w:t>
      </w:r>
      <w:r w:rsidR="00EA5114" w:rsidRPr="004F3B77">
        <w:rPr>
          <w:rFonts w:ascii="Times New Roman" w:hAnsi="Times New Roman" w:cs="Times New Roman"/>
        </w:rPr>
        <w:t xml:space="preserve"> coefficients</w:t>
      </w:r>
      <w:r w:rsidRPr="004F3B77">
        <w:rPr>
          <w:rFonts w:ascii="Times New Roman" w:hAnsi="Times New Roman" w:cs="Times New Roman"/>
        </w:rPr>
        <w:t xml:space="preserve"> </w:t>
      </w:r>
      <w:r w:rsidR="000F5BCC" w:rsidRPr="004F3B77">
        <w:rPr>
          <w:rFonts w:ascii="Times New Roman" w:hAnsi="Times New Roman" w:cs="Times New Roman"/>
        </w:rPr>
        <w:t>encompassing</w:t>
      </w:r>
      <w:r w:rsidR="000A6A07" w:rsidRPr="004F3B77">
        <w:rPr>
          <w:rFonts w:ascii="Times New Roman" w:hAnsi="Times New Roman" w:cs="Times New Roman"/>
        </w:rPr>
        <w:t xml:space="preserve"> nearly one and a half million observations</w:t>
      </w:r>
      <w:r w:rsidR="000F5BCC" w:rsidRPr="004F3B77">
        <w:rPr>
          <w:rFonts w:ascii="Times New Roman" w:hAnsi="Times New Roman" w:cs="Times New Roman"/>
        </w:rPr>
        <w:t xml:space="preserve"> </w:t>
      </w:r>
      <w:r w:rsidR="000F2E71" w:rsidRPr="004F3B77">
        <w:rPr>
          <w:rFonts w:ascii="Times New Roman" w:hAnsi="Times New Roman" w:cs="Times New Roman"/>
        </w:rPr>
        <w:t>from across the world</w:t>
      </w:r>
      <w:r w:rsidR="002F38E7" w:rsidRPr="004F3B77">
        <w:rPr>
          <w:rFonts w:ascii="Times New Roman" w:hAnsi="Times New Roman" w:cs="Times New Roman"/>
        </w:rPr>
        <w:t xml:space="preserve"> in the first year of the pandemic</w:t>
      </w:r>
      <w:r w:rsidR="008C54F3" w:rsidRPr="004F3B77">
        <w:rPr>
          <w:rFonts w:ascii="Times New Roman" w:hAnsi="Times New Roman" w:cs="Times New Roman"/>
        </w:rPr>
        <w:t>.</w:t>
      </w:r>
      <w:r w:rsidR="00386C2E" w:rsidRPr="004F3B77">
        <w:rPr>
          <w:rStyle w:val="EndnoteReference"/>
          <w:rFonts w:ascii="Times New Roman" w:hAnsi="Times New Roman" w:cs="Times New Roman"/>
        </w:rPr>
        <w:endnoteReference w:id="1"/>
      </w:r>
      <w:r w:rsidR="00386C2E" w:rsidRPr="004F3B77">
        <w:rPr>
          <w:rFonts w:ascii="Times New Roman" w:hAnsi="Times New Roman" w:cs="Times New Roman"/>
        </w:rPr>
        <w:t xml:space="preserve"> Our results indicate that trust had a small </w:t>
      </w:r>
      <w:r w:rsidR="00386C2E" w:rsidRPr="004F3B77">
        <w:rPr>
          <w:rFonts w:ascii="Times New Roman" w:hAnsi="Times New Roman" w:cs="Times New Roman"/>
        </w:rPr>
        <w:lastRenderedPageBreak/>
        <w:t xml:space="preserve">to moderate correlation with outcomes such as belief in conspiracy theories, vaccine hesitancy and compliance with public health measures. The only outcome studied which trust was not consistently related to was risk perceptions of COVID, for which effect sizes were heterogenous but centred over zero. Yet, we also show that correlations are to a degree dependent on the object of trust (e.g., parliament or government) and its outcome (e.g., vaccine uptake or conspiracy beliefs). For instance, trust in public health authorities has a large effect on vaccine hesitancy but not compliance, and the reverse is true for trust in government. Meanwhile, trust in President Trump had a negative correlation across all included outcomes, except for conspiracy beliefs, which had a positive correlation. We also show that the effect sizes are not substantively moderated by research design considerations such as region, question response scales or length of time since the pandemic began. </w:t>
      </w:r>
    </w:p>
    <w:p w14:paraId="3F01F995" w14:textId="49D0982E" w:rsidR="00386C2E" w:rsidRPr="004F3B77" w:rsidRDefault="00386C2E" w:rsidP="00381ED9">
      <w:pPr>
        <w:rPr>
          <w:rFonts w:ascii="Times New Roman" w:hAnsi="Times New Roman" w:cs="Times New Roman"/>
        </w:rPr>
      </w:pPr>
    </w:p>
    <w:p w14:paraId="3C355FEE" w14:textId="6253FAA3" w:rsidR="00386C2E" w:rsidRPr="004F3B77" w:rsidRDefault="00386C2E" w:rsidP="00B26512">
      <w:pPr>
        <w:rPr>
          <w:rFonts w:ascii="Times New Roman" w:hAnsi="Times New Roman" w:cs="Times New Roman"/>
        </w:rPr>
      </w:pPr>
      <w:r w:rsidRPr="004F3B77">
        <w:rPr>
          <w:rFonts w:ascii="Times New Roman" w:hAnsi="Times New Roman" w:cs="Times New Roman"/>
        </w:rPr>
        <w:t xml:space="preserve">Our paper has four important contributions. First, we provide the first systematic overview of the consequences of political trust during the COVID-19 pandemic. This is a topic that has inspired a vast amount of research and has had important public and political consequences. We believe rigorously summarising existing knowledge is an important contribution to understanding societal responses to the pandemic. This also contributes to the wider study of political trust. Work on the consequences of political trust is relatively sparce; indeed, it is the ‘biggest deficiency’ in the trust literature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{"citationID":"FJ6RsPCO","properties":{"formattedCitation":"(T. van der Meer &amp; Zmerli, 2017)","plainCitation":"(T. van der Meer &amp; Zmerli, 2017)","noteIndex":0},"citationItems":[{"id":3834,"uris":["http://zotero.org/users/2674438/items/R2X6LXEJ"],"itemData":{"id":3834,"type":"chapter","container-title":"The Handbook on Political Trust","event-place":"Cheltenham","publisher":"Edward Elgar Publishing","publisher-place":"Cheltenham","title":"The deeply rooted concern with political trust","author":[{"family":"Meer","given":"Tom","non-dropping-particle":"van der"},{"family":"Zmerli","given":"Sonja"}],"editor":[{"family":"Zmerli","given":"Sonja"},{"family":"Meer","given":"Tom","non-dropping-particle":"van der"}],"issued":{"date-parts":[["2017"]]}}}],"schema":"https://github.com/citation-style-language/schema/raw/master/csl-citation.json"}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(T. van der Meer &amp; Zmerli, 2017)</w:t>
      </w:r>
      <w:r w:rsidRPr="004F3B77">
        <w:rPr>
          <w:rFonts w:ascii="Times New Roman" w:hAnsi="Times New Roman" w:cs="Times New Roman"/>
        </w:rPr>
        <w:fldChar w:fldCharType="end"/>
      </w:r>
      <w:r w:rsidRPr="004F3B77">
        <w:rPr>
          <w:rFonts w:ascii="Times New Roman" w:hAnsi="Times New Roman" w:cs="Times New Roman"/>
        </w:rPr>
        <w:t xml:space="preserve"> in which there is relatively little ‘reliable knowledge’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{"citationID":"q2c2zmvc","properties":{"formattedCitation":"(Marien &amp; Hooghe, 2011)","plainCitation":"(Marien &amp; Hooghe, 2011)","noteIndex":0},"citationItems":[{"id":3462,"uris":["http://zotero.org/users/2674438/items/FZMIUNPV"],"itemData":{"id":3462,"type":"article-journal","abstract":"Scholars have repeatedly expressed concern about the consequences low levels of political trust might have for the stability of democratic political systems. Empirical support and the identification of causal mechanisms for this concern, however, are often lacking. In this article, the relation between political trust and law-abiding attitudes is investigated. It is expected that citizens with low levels of trust in the institutions of the political system will find it more acceptable to break the law. As a result, low levels of political trust might undermine the effectiveness and legitimacy of government action and its ability to implement legislation. Based on survey data from 33 European countries using the 1999–2001 European Values Study (N = 41,125), the relation between political trust and legal permissiveness is examined using a multilevel ordered logistic regression analysis. The results show that respondents with low levels of political trust are significantly more likely to accept illegal behaviour such as tax fraud than respondents with high levels of political trust. Since it is known from earlier research that actors who are permissive towards law-breaking behaviour are more likely to commit these acts themselves, the hypothesis that low levels of political trust will be associated with less law compliance within a society is supported.","container-title":"European Journal of Political Research","DOI":"10.1111/j.1475-6765.2010.01930.x","ISSN":"1475-6765","issue":"2","language":"en","page":"267-291","source":"Wiley Online Library","title":"Does political trust matter? An empirical investigation into the relation between political trust and support for law compliance","title-short":"Does political trust matter?","volume":"50","author":[{"family":"Marien","given":"Sofie"},{"family":"Hooghe","given":"Marc"}],"issued":{"date-parts":[["2011",3,1]]}}}],"schema":"https://github.com/citation-style-language/schema/raw/master/csl-citation.json"}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(Marien &amp; Hooghe, 2011)</w:t>
      </w:r>
      <w:r w:rsidRPr="004F3B77">
        <w:rPr>
          <w:rFonts w:ascii="Times New Roman" w:hAnsi="Times New Roman" w:cs="Times New Roman"/>
        </w:rPr>
        <w:fldChar w:fldCharType="end"/>
      </w:r>
      <w:r w:rsidRPr="004F3B77">
        <w:rPr>
          <w:rFonts w:ascii="Times New Roman" w:hAnsi="Times New Roman" w:cs="Times New Roman"/>
        </w:rPr>
        <w:t>, despite being of fundamental and long-standing interest in political science. The number of relevant studies of the importance of trust during the pandemic is already so vast that this context offers a unique case for assessing the consequences of trust and its moderators. Thirdly, our analysis provides some theoretical nuance to existing studies on the consequences of trust, insofar as it shows that (</w:t>
      </w:r>
      <w:proofErr w:type="spellStart"/>
      <w:r w:rsidRPr="004F3B77">
        <w:rPr>
          <w:rFonts w:ascii="Times New Roman" w:hAnsi="Times New Roman" w:cs="Times New Roman"/>
        </w:rPr>
        <w:t>i</w:t>
      </w:r>
      <w:proofErr w:type="spellEnd"/>
      <w:r w:rsidRPr="004F3B77">
        <w:rPr>
          <w:rFonts w:ascii="Times New Roman" w:hAnsi="Times New Roman" w:cs="Times New Roman"/>
        </w:rPr>
        <w:t>) the consequences of trust are dependent on both the object of trust and its outcome and (ii) trust’s consequences depend at least in part on the message of the trusted, such that President Trump undermined vaccine uptake, compliance, and increased conspiracy beliefs. Finally, our empirical contribution also lies in our method; meta-analyses are rarely used in political</w:t>
      </w:r>
      <w:r w:rsidRPr="004F3B77">
        <w:rPr>
          <w:rStyle w:val="EndnoteReference"/>
          <w:rFonts w:ascii="Times New Roman" w:hAnsi="Times New Roman" w:cs="Times New Roman"/>
        </w:rPr>
        <w:endnoteReference w:id="2"/>
      </w:r>
      <w:r w:rsidRPr="004F3B77">
        <w:rPr>
          <w:rFonts w:ascii="Times New Roman" w:hAnsi="Times New Roman" w:cs="Times New Roman"/>
        </w:rPr>
        <w:t xml:space="preserve"> or social science more generally yet are important for knowledge accumulation. We provide a transparent, </w:t>
      </w:r>
      <w:proofErr w:type="gramStart"/>
      <w:r w:rsidRPr="004F3B77">
        <w:rPr>
          <w:rFonts w:ascii="Times New Roman" w:hAnsi="Times New Roman" w:cs="Times New Roman"/>
        </w:rPr>
        <w:t>robust</w:t>
      </w:r>
      <w:proofErr w:type="gramEnd"/>
      <w:r w:rsidRPr="004F3B77">
        <w:rPr>
          <w:rFonts w:ascii="Times New Roman" w:hAnsi="Times New Roman" w:cs="Times New Roman"/>
        </w:rPr>
        <w:t xml:space="preserve"> and scholarly useful example of meta-analysis that can be built on for future work.</w:t>
      </w:r>
    </w:p>
    <w:p w14:paraId="15569E13" w14:textId="36FAF06E" w:rsidR="00386C2E" w:rsidRPr="004F3B77" w:rsidRDefault="00386C2E" w:rsidP="00B26512">
      <w:pPr>
        <w:rPr>
          <w:rFonts w:ascii="Times New Roman" w:hAnsi="Times New Roman" w:cs="Times New Roman"/>
        </w:rPr>
      </w:pPr>
    </w:p>
    <w:p w14:paraId="53E68846" w14:textId="0D145657" w:rsidR="00386C2E" w:rsidRPr="004F3B77" w:rsidRDefault="00386C2E" w:rsidP="00B26512">
      <w:pPr>
        <w:rPr>
          <w:rFonts w:ascii="Times New Roman" w:hAnsi="Times New Roman" w:cs="Times New Roman"/>
        </w:rPr>
      </w:pPr>
      <w:r w:rsidRPr="004F3B77">
        <w:rPr>
          <w:rFonts w:ascii="Times New Roman" w:hAnsi="Times New Roman" w:cs="Times New Roman"/>
        </w:rPr>
        <w:t xml:space="preserve">In the next section, we briefly outline the dominant theoretical mechanism that links political trust to a variety of outcomes, including those related to the COVID pandemic. We do so to outline the expected direction of the relationship between trust and our studied outcomes, but also to problematise the narrative that political trust has been a universal good in fighting the pandemic. We next turn to our methods and data, describing our data collection process. We then describe our results, before concluding with a discussion of their academic and policy implications. </w:t>
      </w:r>
    </w:p>
    <w:p w14:paraId="67E37BBF" w14:textId="334B2661" w:rsidR="00386C2E" w:rsidRPr="004F3B77" w:rsidRDefault="00386C2E" w:rsidP="00B26512">
      <w:pPr>
        <w:rPr>
          <w:rFonts w:ascii="Times New Roman" w:hAnsi="Times New Roman" w:cs="Times New Roman"/>
        </w:rPr>
      </w:pPr>
      <w:r w:rsidRPr="004F3B77">
        <w:rPr>
          <w:rFonts w:ascii="Times New Roman" w:hAnsi="Times New Roman" w:cs="Times New Roman"/>
        </w:rPr>
        <w:br w:type="page"/>
      </w:r>
    </w:p>
    <w:p w14:paraId="7071247C" w14:textId="77777777" w:rsidR="00386C2E" w:rsidRPr="004F3B77" w:rsidRDefault="00386C2E" w:rsidP="00381ED9">
      <w:pPr>
        <w:rPr>
          <w:rFonts w:ascii="Times New Roman" w:hAnsi="Times New Roman" w:cs="Times New Roman"/>
        </w:rPr>
      </w:pPr>
    </w:p>
    <w:p w14:paraId="17842BA6" w14:textId="26401EF8" w:rsidR="00386C2E" w:rsidRPr="004F3B77" w:rsidRDefault="00386C2E" w:rsidP="008A1398">
      <w:pPr>
        <w:rPr>
          <w:rFonts w:ascii="Times New Roman" w:hAnsi="Times New Roman" w:cs="Times New Roman"/>
          <w:b/>
          <w:bCs/>
        </w:rPr>
      </w:pPr>
      <w:r w:rsidRPr="004F3B77">
        <w:rPr>
          <w:rFonts w:ascii="Times New Roman" w:hAnsi="Times New Roman" w:cs="Times New Roman"/>
          <w:b/>
          <w:bCs/>
        </w:rPr>
        <w:t>Political trust and the COVID pandemic</w:t>
      </w:r>
    </w:p>
    <w:p w14:paraId="5483E1E7" w14:textId="24CE1655" w:rsidR="00386C2E" w:rsidRPr="004F3B77" w:rsidRDefault="00386C2E" w:rsidP="002E2C29">
      <w:pPr>
        <w:rPr>
          <w:rFonts w:ascii="Times New Roman" w:hAnsi="Times New Roman" w:cs="Times New Roman"/>
          <w:b/>
          <w:bCs/>
        </w:rPr>
      </w:pPr>
    </w:p>
    <w:p w14:paraId="113B6F08" w14:textId="4BCD40BE" w:rsidR="00386C2E" w:rsidRPr="004F3B77" w:rsidRDefault="00386C2E" w:rsidP="002E2C29">
      <w:pPr>
        <w:rPr>
          <w:rFonts w:ascii="Times New Roman" w:hAnsi="Times New Roman" w:cs="Times New Roman"/>
        </w:rPr>
      </w:pPr>
      <w:r w:rsidRPr="004F3B77">
        <w:rPr>
          <w:rFonts w:ascii="Times New Roman" w:hAnsi="Times New Roman" w:cs="Times New Roman"/>
        </w:rPr>
        <w:t xml:space="preserve">Before we can resolve the question of how trust mattered for fundamental outcomes during the pandemic, we need to consider how trust is theorised – why would trust be relevant in the first place? Conceptually, we consider trust to be the belief that an object of trust (a person or institution) would produce positive outcomes even if you cannot ensure it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{"citationID":"oI9Xzgn7","properties":{"formattedCitation":"(Easton, 1975)","plainCitation":"(Easton, 1975)","noteIndex":0},"citationItems":[{"id":2833,"uris":["http://zotero.org/users/2674438/items/2F8JCWNG"],"itemData":{"id":2833,"type":"article-journal","container-title":"British Journal of Political Science","ISSN":"0007-1234","issue":"4","page":"435-457","source":"JSTOR","title":"A Re-Assessment of the Concept of Political Support","volume":"5","author":[{"family":"Easton","given":"David"}],"issued":{"date-parts":[["1975"]]}}}],"schema":"https://github.com/citation-style-language/schema/raw/master/csl-citation.json"}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(Easton, 1975)</w:t>
      </w:r>
      <w:r w:rsidRPr="004F3B77">
        <w:rPr>
          <w:rFonts w:ascii="Times New Roman" w:hAnsi="Times New Roman" w:cs="Times New Roman"/>
        </w:rPr>
        <w:fldChar w:fldCharType="end"/>
      </w:r>
      <w:r w:rsidRPr="004F3B77">
        <w:rPr>
          <w:rFonts w:ascii="Times New Roman" w:hAnsi="Times New Roman" w:cs="Times New Roman"/>
        </w:rPr>
        <w:t xml:space="preserve">. It is, more precisely, the willingness to make oneself vulnerable in the expectation that an action will be performed without monitoring or control; it is making oneself vulnerable to an object (person or institution) that could do you some harm. Whilst there is no clearly established definition of trust, most current accounts consider acceptance of risk when faced with uncertain outcomes as central to trust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{"citationID":"BoNT7NFr","properties":{"formattedCitation":"(Citrin &amp; Stoker, 2018; Hardin, 2002; Robbins, 2016; T. W. G. van der Meer, 2017)","plainCitation":"(Citrin &amp; Stoker, 2018; Hardin, 2002; Robbins, 2016; T. W. G. van der Meer, 2017)","noteIndex":0},"citationItems":[{"id":4182,"uris":["http://zotero.org/users/2674438/items/HYQAG4VR"],"itemData":{"id":4182,"type":"book","event-place":"New York","publisher":"Russell Sage","publisher-place":"New York","title":"Trust and Trustworthiness","author":[{"family":"Hardin","given":"Russell"}],"issued":{"date-parts":[["2002"]]}}},{"id":3990,"uris":["http://zotero.org/users/2674438/items/FAHPHFJZ"],"itemData":{"id":3990,"type":"article-journal","abstract":"This article reviews recent survey-based research on citizens’ trust in government, focusing particularly on the United States. It addresses the long-term decline in trust and potential causes for this decline, with an emphasis on the effects of partisanship, polarization, performance, process, and media priming. While dispositions can anchor trust levels, the dominant research findings show that the sources of variation and change in trust are political, if multifaceted, in nature. We discuss new versions of standard measures, call for a renewed look at the distinction between trust in authorities and trust in the regime, review ongoing work on how and why trust matters, and recommend broadening the foci of mistrust to include antiestablishment sentiments and attacks on electoral integrity. How trust intervenes between perceptions of political processes and compliance with authoritative commands is a critical domain for additional research. We conclude with a caveat against confidence that the decline in trust can be quickly or easily reversed.","container-title":"Annual Review of Political Science","DOI":"10.1146/annurev-polisci-050316-092550","ISSN":"1094-2939","issue":"1","journalAbbreviation":"Annu. Rev. Polit. Sci.","page":"49-70","source":"annualreviews.org (Atypon)","title":"Political Trust in a Cynical Age","volume":"21","author":[{"family":"Citrin","given":"Jack"},{"family":"Stoker","given":"Laura"}],"issued":{"date-parts":[["2018",5,11]]}}},{"id":4085,"uris":["http://zotero.org/users/2674438/items/4MP3T787"],"itemData":{"id":4085,"type":"chapter","container-title":"Oxford Research Encyclopedia of Politics","ISBN":"978-0-19-022863-7","language":"en","note":"DOI: 10.1093/acrefore/9780190228637.013.77","publisher":"Oxford University Press","source":"Crossref","title":"Political Trust and the “Crisis of Democracy”","URL":"https://oxfordre.com/politics/view/10.1093/acrefore/9780190228637.001.0001/acrefore-9780190228637-e-77","container-author":[{"family":"Meer","given":"Tom W. G.","non-dropping-particle":"van der"}],"author":[{"family":"Meer","given":"Tom W. G.","non-dropping-particle":"van der"}],"accessed":{"date-parts":[["2019",12,15]]},"issued":{"date-parts":[["2017",1,25]]}}},{"id":6218,"uris":["http://zotero.org/users/2674438/items/L8BMX3WV"],"itemData":{"id":6218,"type":"article-journal","abstract":"Despite decades of interdisciplinary research on trust, the literature remains fragmented and balkanized with little consensus regarding its origins. This review documents how this came to be and attempts to offer a solution. Specifically, it evaluates issues of conceptualization found in the trust literature. I recommend that we move away from varieties of trust - multidimensional conceptualizations of trust - and toward a single trust concept built around four essential properties: actor A's beliefs, actor B's trustworthiness, the matter(s) at hand, and unknown outcomes. I finish the article by proposing a synthetic structural-cognitive theoretical framework for investigating the causes and consequences of trust in everyday life.","container-title":"Sociology Compass","DOI":"10.1111/soc4.12391","ISSN":"1751-9020","issue":"10","note":"WOS:000385711500011","page":"972-986","title":"What is Trust? A Multidisciplinary Review, Critique, and Synthesis","volume":"10","author":[{"family":"Robbins","given":"Blaine G."}],"issued":{"date-parts":[["2016",10]]}}}],"schema":"https://github.com/citation-style-language/schema/raw/master/csl-citation.json"}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(Citrin &amp; Stoker, 2018; Hardin, 2002; Robbins, 2016; T. W. G. van der Meer, 2017)</w:t>
      </w:r>
      <w:r w:rsidRPr="004F3B77">
        <w:rPr>
          <w:rFonts w:ascii="Times New Roman" w:hAnsi="Times New Roman" w:cs="Times New Roman"/>
        </w:rPr>
        <w:fldChar w:fldCharType="end"/>
      </w:r>
      <w:r w:rsidRPr="004F3B77">
        <w:rPr>
          <w:rFonts w:ascii="Times New Roman" w:hAnsi="Times New Roman" w:cs="Times New Roman"/>
        </w:rPr>
        <w:t xml:space="preserve">. We also consider trust to be relational, that “A trusts B to do X”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{"citationID":"zQ5BvGEW","properties":{"formattedCitation":"(Hardin, 2002)","plainCitation":"(Hardin, 2002)","noteIndex":0},"citationItems":[{"id":4182,"uris":["http://zotero.org/users/2674438/items/HYQAG4VR"],"itemData":{"id":4182,"type":"book","event-place":"New York","publisher":"Russell Sage","publisher-place":"New York","title":"Trust and Trustworthiness","author":[{"family":"Hardin","given":"Russell"}],"issued":{"date-parts":[["2002"]]}}}],"schema":"https://github.com/citation-style-language/schema/raw/master/csl-citation.json"}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(Hardin, 2002)</w:t>
      </w:r>
      <w:r w:rsidRPr="004F3B77">
        <w:rPr>
          <w:rFonts w:ascii="Times New Roman" w:hAnsi="Times New Roman" w:cs="Times New Roman"/>
        </w:rPr>
        <w:fldChar w:fldCharType="end"/>
      </w:r>
      <w:r w:rsidRPr="004F3B77">
        <w:rPr>
          <w:rFonts w:ascii="Times New Roman" w:hAnsi="Times New Roman" w:cs="Times New Roman"/>
        </w:rPr>
        <w:t xml:space="preserve">; there is both an object (B) and action (X). We do believe that trust doesn’t </w:t>
      </w:r>
      <w:r w:rsidRPr="004F3B77">
        <w:rPr>
          <w:rFonts w:ascii="Times New Roman" w:hAnsi="Times New Roman" w:cs="Times New Roman"/>
          <w:i/>
          <w:iCs/>
        </w:rPr>
        <w:t xml:space="preserve">have </w:t>
      </w:r>
      <w:r w:rsidRPr="004F3B77">
        <w:rPr>
          <w:rFonts w:ascii="Times New Roman" w:hAnsi="Times New Roman" w:cs="Times New Roman"/>
        </w:rPr>
        <w:t xml:space="preserve">to involve an action: people can trust </w:t>
      </w:r>
      <w:r w:rsidRPr="004F3B77">
        <w:rPr>
          <w:rFonts w:ascii="Times New Roman" w:hAnsi="Times New Roman" w:cs="Times New Roman"/>
          <w:i/>
          <w:iCs/>
        </w:rPr>
        <w:t xml:space="preserve">in general, </w:t>
      </w:r>
      <w:r w:rsidRPr="004F3B77">
        <w:rPr>
          <w:rFonts w:ascii="Times New Roman" w:hAnsi="Times New Roman" w:cs="Times New Roman"/>
        </w:rPr>
        <w:t xml:space="preserve">which may be a weighted average of all relevant actions. It is conceptually possible, then, to state: “A trusts B” as well as “A trusts B to do X”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{"citationID":"lCwvVeF5","properties":{"formattedCitation":"(Faulkner &amp; Simpson, 2017)","plainCitation":"(Faulkner &amp; Simpson, 2017)","noteIndex":0},"citationItems":[{"id":4181,"uris":["http://zotero.org/users/2674438/items/9KLEA7YE"],"itemData":{"id":4181,"type":"book","event-place":"Oxford","publisher":"Oxford University Press","publisher-place":"Oxford","title":"The Philosophy of Trust","author":[{"family":"Faulkner","given":"Paul"},{"family":"Simpson","given":"Thomas"}],"issued":{"date-parts":[["2017"]]}}}],"schema":"https://github.com/citation-style-language/schema/raw/master/csl-citation.json"}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(Faulkner &amp; Simpson, 2017)</w:t>
      </w:r>
      <w:r w:rsidRPr="004F3B77">
        <w:rPr>
          <w:rFonts w:ascii="Times New Roman" w:hAnsi="Times New Roman" w:cs="Times New Roman"/>
        </w:rPr>
        <w:fldChar w:fldCharType="end"/>
      </w:r>
      <w:r w:rsidRPr="004F3B77">
        <w:rPr>
          <w:rFonts w:ascii="Times New Roman" w:hAnsi="Times New Roman" w:cs="Times New Roman"/>
        </w:rPr>
        <w:t>. The ‘political’ aspect of political trust enters primarily at the ‘B’, by which we mean political institutions, such as government, parties, political leaders, legislatures, and so on. In our analysis, we include the object of trust and outcome to understand whether trust varies across these two dimensions.</w:t>
      </w:r>
    </w:p>
    <w:p w14:paraId="4EB2BB6E" w14:textId="39CD53A3" w:rsidR="00386C2E" w:rsidRPr="004F3B77" w:rsidRDefault="00386C2E" w:rsidP="002E2C29">
      <w:pPr>
        <w:rPr>
          <w:rFonts w:ascii="Times New Roman" w:hAnsi="Times New Roman" w:cs="Times New Roman"/>
        </w:rPr>
      </w:pPr>
    </w:p>
    <w:p w14:paraId="150E648A" w14:textId="2099617D" w:rsidR="00386C2E" w:rsidRPr="004F3B77" w:rsidRDefault="00386C2E" w:rsidP="002E2C29">
      <w:pPr>
        <w:rPr>
          <w:rFonts w:ascii="Times New Roman" w:hAnsi="Times New Roman" w:cs="Times New Roman"/>
        </w:rPr>
      </w:pPr>
      <w:r w:rsidRPr="004F3B77">
        <w:rPr>
          <w:rFonts w:ascii="Times New Roman" w:hAnsi="Times New Roman" w:cs="Times New Roman"/>
        </w:rPr>
        <w:t xml:space="preserve">In this section, we briefly review the literature on trust as an </w:t>
      </w:r>
      <w:r w:rsidRPr="004F3B77">
        <w:rPr>
          <w:rFonts w:ascii="Times New Roman" w:hAnsi="Times New Roman" w:cs="Times New Roman"/>
          <w:i/>
          <w:iCs/>
        </w:rPr>
        <w:t xml:space="preserve">outcome </w:t>
      </w:r>
      <w:r w:rsidRPr="004F3B77">
        <w:rPr>
          <w:rFonts w:ascii="Times New Roman" w:hAnsi="Times New Roman" w:cs="Times New Roman"/>
        </w:rPr>
        <w:t xml:space="preserve">variable during the pandemic. We then turn to our primary focus, trust as an </w:t>
      </w:r>
      <w:r w:rsidRPr="004F3B77">
        <w:rPr>
          <w:rFonts w:ascii="Times New Roman" w:hAnsi="Times New Roman" w:cs="Times New Roman"/>
          <w:i/>
          <w:iCs/>
        </w:rPr>
        <w:t xml:space="preserve">explanatory </w:t>
      </w:r>
      <w:r w:rsidRPr="004F3B77">
        <w:rPr>
          <w:rFonts w:ascii="Times New Roman" w:hAnsi="Times New Roman" w:cs="Times New Roman"/>
        </w:rPr>
        <w:t>variable. We provide a narrative review of the theory linking political trust with various outcomes present in the literature.</w:t>
      </w:r>
    </w:p>
    <w:p w14:paraId="6101D0F0" w14:textId="77777777" w:rsidR="00386C2E" w:rsidRPr="004F3B77" w:rsidRDefault="00386C2E" w:rsidP="00AA622E">
      <w:pPr>
        <w:rPr>
          <w:rFonts w:ascii="Times New Roman" w:hAnsi="Times New Roman" w:cs="Times New Roman"/>
          <w:b/>
          <w:bCs/>
        </w:rPr>
      </w:pPr>
    </w:p>
    <w:p w14:paraId="214B2BAA" w14:textId="78A06E09" w:rsidR="00386C2E" w:rsidRPr="004F3B77" w:rsidRDefault="00386C2E" w:rsidP="008A1398">
      <w:pPr>
        <w:rPr>
          <w:rFonts w:ascii="Times New Roman" w:hAnsi="Times New Roman" w:cs="Times New Roman"/>
          <w:b/>
          <w:bCs/>
          <w:i/>
          <w:iCs/>
        </w:rPr>
      </w:pPr>
      <w:r w:rsidRPr="004F3B77">
        <w:rPr>
          <w:rFonts w:ascii="Times New Roman" w:hAnsi="Times New Roman" w:cs="Times New Roman"/>
          <w:b/>
          <w:bCs/>
          <w:i/>
          <w:iCs/>
        </w:rPr>
        <w:t>Trust as an outcome variable</w:t>
      </w:r>
    </w:p>
    <w:p w14:paraId="3DAA420F" w14:textId="3861BF6A" w:rsidR="00386C2E" w:rsidRPr="004F3B77" w:rsidRDefault="00386C2E" w:rsidP="002F38E7">
      <w:pPr>
        <w:rPr>
          <w:rFonts w:ascii="Times New Roman" w:hAnsi="Times New Roman" w:cs="Times New Roman"/>
          <w:b/>
          <w:bCs/>
          <w:i/>
          <w:iCs/>
        </w:rPr>
      </w:pPr>
    </w:p>
    <w:p w14:paraId="2905BC85" w14:textId="4390E417" w:rsidR="00386C2E" w:rsidRPr="004F3B77" w:rsidRDefault="00386C2E" w:rsidP="008C274D">
      <w:pPr>
        <w:rPr>
          <w:rFonts w:ascii="Times New Roman" w:hAnsi="Times New Roman" w:cs="Times New Roman"/>
        </w:rPr>
      </w:pPr>
      <w:r w:rsidRPr="004F3B77">
        <w:rPr>
          <w:rFonts w:ascii="Times New Roman" w:hAnsi="Times New Roman" w:cs="Times New Roman"/>
        </w:rPr>
        <w:t xml:space="preserve">In the early stages of the pandemic, studies argued that the crisis caused a ‘rally-round-the-flag’ effect, as defined by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{"citationID":"S23bdoTj","properties":{"formattedCitation":"(Mueller, 1970)","plainCitation":"(Mueller, 1970)","noteIndex":0},"citationItems":[{"id":4309,"uris":["http://zotero.org/users/2674438/items/ZQPG6MVW"],"itemData":{"id":4309,"type":"article-journal","container-title":"American Political Science Review","DOI":"10.2307/1955610","ISSN":"0003-0554, 1537-5943","issue":"1","language":"en","page":"18-34","source":"Crossref","title":"Presidential Popularity from Truman to Johnson","volume":"64","author":[{"family":"Mueller","given":"John E."}],"issued":{"date-parts":[["1970",3]]}}}],"schema":"https://github.com/citation-style-language/schema/raw/master/csl-citation.json"}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(Mueller, 1970)</w:t>
      </w:r>
      <w:r w:rsidRPr="004F3B77">
        <w:rPr>
          <w:rFonts w:ascii="Times New Roman" w:hAnsi="Times New Roman" w:cs="Times New Roman"/>
        </w:rPr>
        <w:fldChar w:fldCharType="end"/>
      </w:r>
      <w:r w:rsidRPr="004F3B77">
        <w:rPr>
          <w:rFonts w:ascii="Times New Roman" w:hAnsi="Times New Roman" w:cs="Times New Roman"/>
        </w:rPr>
        <w:t xml:space="preserve">: a surge in support for the governing institutions and leaders in response to an event which is international, involves the country and particularly the leader directly, and is ‘specific, dramatic, and sharply focused’. The outbreak of COVID is a good match for such a rallying effect. As such, various authors documented these rallies in trust </w:t>
      </w:r>
      <w:r w:rsidRPr="004F3B77">
        <w:rPr>
          <w:rFonts w:ascii="Times New Roman" w:hAnsi="Times New Roman" w:cs="Times New Roman"/>
        </w:rPr>
        <w:fldChar w:fldCharType="begin"/>
      </w:r>
      <w:r w:rsidR="00505F8A" w:rsidRPr="004F3B77">
        <w:rPr>
          <w:rFonts w:ascii="Times New Roman" w:hAnsi="Times New Roman" w:cs="Times New Roman"/>
        </w:rPr>
        <w:instrText xml:space="preserve"> ADDIN ZOTERO_ITEM CSL_CITATION {"citationID":"5gQdU7V2","properties":{"formattedCitation":"(Bol et al., 2021; De Vries et al., 2021; Esaiasson et al., 2021; Groeniger et al., 2021; Kritzinger et al., 2021; Sibley et al., 2020)","plainCitation":"(Bol et al., 2021; De Vries et al., 2021; Esaiasson et al., 2021; Groeniger et al., 2021; Kritzinger et al., 2021; Sibley et al., 2020)","noteIndex":0},"citationItems":[{"id":4312,"uris":["http://zotero.org/users/2674438/items/UDQA8R74"],"itemData":{"id":4312,"type":"article-journal","abstract":"Major crises can act as critical junctures or reinforce the political status quo, depending on how citizens view the performance of central institutions. We use an interrupted time series to study the political effect of the enforcement of a strict conﬁnement policy in response to the COVID-19 pandemic. Speciﬁcally, we take advantage of a unique representative web-based survey that was ﬁelded in March and April 2020 in Western Europe to compare the political support of those who took the survey right before and right after the start of the lockdown in their country. We ﬁnd that lockdowns have increased vote intentions for the party of the Prime Minister/President, trust in government and satisfaction with democracy. Furthermore, we ﬁnd that, while rallying individuals around current leaders and institutions, they have had no effect on traditional left–right attitudes.","container-title":"European Journal of Political Research","DOI":"10.1111/1475-6765.12401","ISSN":"0304-4130, 1475-6765","issue":"2","language":"en","page":"497-505","source":"Crossref","title":"The effect of COVID‐19 lockdowns on political support: Some good news for democracy?","title-short":"The effect of COVID‐19 lockdowns on political support","volume":"60","author":[{"family":"Bol","given":"Damien"},{"family":"Giani","given":"Marco"},{"family":"Blais","given":"André"},{"family":"Loewen","given":"Peter John"}],"issued":{"date-parts":[["2021"]]}}},{"id":4303,"uris":["http://zotero.org/users/2674438/items/WHNNG7WJ"],"itemData":{"id":4303,"type":"article-journal","abstract":"The COVID-19 pandemic is an unparalleled global crisis. Yet, despite the grave adversity faced by citizens, incumbents around the world experienced a boost in popularity during the onset of the outbreak. In this study, we examine how the response to the COVID-19 outbreak in one country has affected incumbent support in other countries. Speciﬁcally, we leverage the fact that the ﬁrst country-wide lockdown on European soil, in Italy on March 9, 2020, happened during the ﬁeldwork of online surveys conducted in four other European countries, France, Germany, Poland and Spain. This allows us to examine how an event abroad that alerted citizens to an imminent crisis – prior to a similar domestic government response –nonetheless inﬂuenced incumbent support. Our results suggest a crisis signal effect of Italy’s COVID-19 lockdown, as support for the incumbent increased in other European countries after the Italian lockdown. Importantly, these ﬁndings suggest that incumbents can beneﬁt from a crisis, even when their own performance in response to the crisis is not yet fully clear. As such our ﬁndings cast some doubt on the assumption underlying classic models of accountability that ordinary citizens can disentangle performance signals from exogenous shocks, i.e. events largely outside of the control of incumbents.","container-title":"Political Science Research and Methods","DOI":"10.2139/ssrn.3606149","ISSN":"1556-5068","issue":"3","language":"en","page":"451–467","source":"Crossref","title":"Crisis Signaling: How Italy's Coronavirus Lockdown Affected Incumbent Support in Other European Countries","title-short":"Crisis Signaling","volume":"9","author":[{"family":"De Vries","given":"Catherine E."},{"family":"Bakker","given":"Bert N."},{"family":"Hobolt","given":"Sara"},{"family":"Arceneaux","given":"Kevin"}],"issued":{"date-parts":[["2021"]]}}},{"id":15662,"uris":["http://zotero.org/users/2674438/items/NIGJZLMJ"],"itemData":{"id":15662,"type":"article-journal","abstract":"We study how Swedish citizens updated their institutional and interpersonal trust as the corona crisis evolved from an initial phase to an acute phase in the spring of 2020. The study is based on a large web-survey panel with adult Swedes (n = 11,406) in which the same individuals were asked the same set of questions at two different time points during the coronavirus pandemic (t0 and t1). The sample was self-selected but diverse (a smaller subsample, n = 1,464, was pre-stratiﬁed to be representative of the Swedish population on key demographics). We ﬁnd support for the view that the corona crisis led to higher levels of institutional and interpersonal trust. Moreover, reactions were largely homogeneous across those groups that could potentially relate distantly to government authorities.","container-title":"European Journal of Political Research","DOI":"10.1111/1475-6765.12419","ISSN":"0304-4130, 1475-6765","issue":"3","journalAbbreviation":"European Journal of Political Research","language":"en","page":"748-760","source":"DOI.org (Crossref)","title":"How the coronavirus crisis affects citizen trust in institutions and in unknown others: Evidence from ‘the Swedish experiment’","title-short":"How the coronavirus crisis affects citizen trust in institutions and in unknown others","volume":"60","author":[{"family":"Esaiasson","given":"Peter"},{"family":"Sohlberg","given":"Jacob"},{"family":"Ghersetti","given":"Marina"},{"family":"Johansson","given":"Bengt"}],"issued":{"date-parts":[["2021",8]]}}},{"id":2629,"uris":["http://zotero.org/users/2674438/items/VPDCTGLL"],"itemData":{"id":2629,"type":"article-journal","container-title":"Social Science &amp; Medicine","DOI":"10.1016/j.socscimed.2021.113819","ISSN":"02779536","journalAbbreviation":"Social Science &amp; Medicine","language":"en","page":"1-8","source":"DOI.org (Crossref)","title":"Dutch COVID-19 lockdown measures increased trust in government and trust in science: A difference-in-differences analysis","title-short":"Dutch COVID-19 lockdown measures increased trust in government and trust in science","volume":"275","author":[{"family":"Groeniger","given":"Joost Oude"},{"family":"Noordzij","given":"Kjell"},{"family":"Waal","given":"Jeroen","non-dropping-particle":"van der"},{"family":"Koster","given":"Willem","non-dropping-particle":"de"}],"issued":{"date-parts":[["2021"]]}}},{"id":122,"uris":["http://zotero.org/users/2674438/items/S5G3SKZZ"],"itemData":{"id":122,"type":"article-journal","abstract":"During international crises, trust in government is expected to increase irrespective of the wisdom of the policies it pursues. This has been called a ‘rally-round-the-flag’ effect. This article examines whether the COVID-19 crisis has resulted in such a rally effect. Using multi-wave panel surveys conducted in Austria and France starting from March 2020, in the article it is examined how government trust was affected by the perceived threats to the nation’s health and economy created by the pandemic as well as by the perceived appropriateness of the government’s crisis response. A strong rally effect is shown in Austria, where trust was closely tied to perceived health risks, but faded away quickly over time. Perceptions of government measures mattered, too, while perceived economic threat only played a minor role. In France, in contrast, a strong partisan divide is found and no rally effect.Supplemental data for this article can be accessed online at: https://doi.org/10.1080/01402382.2021.1925017 .","container-title":"West European Politics","DOI":"http://dx.doi.org/10.1080/01402382.2021.1925017","ISSN":"01402382","issue":"5-6","note":"Citation Key: Kritzinger2021\nPMID: 2548484547\npublisher: Taylor &amp; Francis Ltd.\ntex.city: London","page":"1205-1231","title":"‘Rally round the flag’: the COVID-19 crisis and trust in the national government","volume":"44","author":[{"family":"Kritzinger","given":"Sylvia"},{"family":"Foucault","given":"Martial"},{"family":"Lachat","given":"Romain"},{"family":"Partheymüller","given":"Julia"},{"family":"Plescia","given":"Carolina"},{"family":"Brouard","given":"Sylvain"}],"issued":{"date-parts":[["2021",7]]}}},{"id":15664,"uris":["http://zotero.org/users/2674438/items/GXFLNEYM"],"itemData":{"id":15664,"type":"article-journal","container-title":"American Psychologist","DOI":"10.1037/amp0000662","ISSN":"1935-990X, 0003-066X","issue":"5","journalAbbreviation":"American Psychologist","language":"en","page":"618-630","source":"DOI.org (Crossref)","title":"Effects of the COVID-19 pandemic and nationwide lockdown on trust, attitudes toward government, and well-being.","volume":"75","author":[{"family":"Sibley","given":"Chris G."},{"family":"Greaves","given":"Lara M."},{"family":"Satherley","given":"Nicole"},{"family":"Wilson","given":"Marc S."},{"family":"Overall","given":"Nickola C."},{"family":"Lee","given":"Carol H. J."},{"family":"Milojev","given":"Petar"},{"family":"Bulbulia","given":"Joseph"},{"family":"Osborne","given":"Danny"},{"family":"Milfont","given":"Taciano L."},{"family":"Houkamau","given":"Carla A."},{"family":"Duck","given":"Isabelle M."},{"family":"Vickers-Jones","given":"Raine"},{"family":"Barlow","given":"Fiona Kate"}],"issued":{"date-parts":[["2020",7]]}}}],"schema":"https://github.com/citation-style-language/schema/raw/master/csl-citation.json"} </w:instrText>
      </w:r>
      <w:r w:rsidRPr="004F3B77">
        <w:rPr>
          <w:rFonts w:ascii="Times New Roman" w:hAnsi="Times New Roman" w:cs="Times New Roman"/>
        </w:rPr>
        <w:fldChar w:fldCharType="separate"/>
      </w:r>
      <w:r w:rsidR="00505F8A" w:rsidRPr="004F3B77">
        <w:rPr>
          <w:rFonts w:ascii="Times New Roman" w:hAnsi="Times New Roman" w:cs="Times New Roman"/>
          <w:noProof/>
        </w:rPr>
        <w:t>(Bol et al., 2021; De Vries et al., 2021; Esaiasson et al., 2021; Groeniger et al., 2021; Kritzinger et al., 2021; Sibley et al., 2020)</w:t>
      </w:r>
      <w:r w:rsidRPr="004F3B77">
        <w:rPr>
          <w:rFonts w:ascii="Times New Roman" w:hAnsi="Times New Roman" w:cs="Times New Roman"/>
        </w:rPr>
        <w:fldChar w:fldCharType="end"/>
      </w:r>
      <w:r w:rsidRPr="004F3B77">
        <w:rPr>
          <w:rFonts w:ascii="Times New Roman" w:hAnsi="Times New Roman" w:cs="Times New Roman"/>
        </w:rPr>
        <w:t xml:space="preserve">, even in the UK, whose response was contested and trust at a record low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{"citationID":"Va3YTtZ8","properties":{"formattedCitation":"(Davies et al., 2021)","plainCitation":"(Davies et al., 2021)","noteIndex":0},"citationItems":[{"id":5391,"uris":["http://zotero.org/users/2674438/items/HMTQQ5SN"],"itemData":{"id":5391,"type":"article-journal","abstract":"In this paper, we document changes in political trust in the UK throughout 2020 so as to consider wider implications for the ongoing handling of the COVID-19 pandemic. We analysed data from 18 survey organisations with measures on political trust (general, leadership, and COVID-19-related) spanning the period December 2019-October 2020. We examined the percentage of trust and distrust across time, identifying where significant changes coincide with national events. Levels of political trust were low following the 2019 UK General Election. They rose at the onset of UK lockdown imposed in March 2020 but showed persistent gradual decline throughout the remainder of the year, falling to pre-COVID levels by October 2020. Inability to sustain the elevated political trust achieved at the onset of the pandemic is likely to have made the management of public confidence and behaviour increasingly challenging, pointing to the need for strategies to sustain trust levels when handling future crises.","container-title":"Humanities &amp; Social Sciences Communications","DOI":"10.1057/s41599-021-00850-6","issue":"1","note":"WOS:000672635200001","page":"166","title":"Changes in political trust in Britain during the COVID-19 pandemic in 2020: integrated public opinion evidence and implications","volume":"8","author":[{"family":"Davies","given":"Ben"},{"family":"Lalot","given":"Fanny"},{"family":"Peitz","given":"Linus"},{"family":"Heering","given":"Maria S."},{"family":"Ozkececi","given":"Hilal"},{"family":"Babaian","given":"Jacinta"},{"family":"Davies Hayon","given":"Kaya"},{"family":"Broadwood","given":"Jo"},{"family":"Abrams","given":"Dominic"}],"issued":{"date-parts":[["2021",7,9]]}}}],"schema":"https://github.com/citation-style-language/schema/raw/master/csl-citation.json"}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(Davies et al., 2021)</w:t>
      </w:r>
      <w:r w:rsidRPr="004F3B77">
        <w:rPr>
          <w:rFonts w:ascii="Times New Roman" w:hAnsi="Times New Roman" w:cs="Times New Roman"/>
        </w:rPr>
        <w:fldChar w:fldCharType="end"/>
      </w:r>
      <w:r w:rsidRPr="004F3B77">
        <w:rPr>
          <w:rFonts w:ascii="Times New Roman" w:hAnsi="Times New Roman" w:cs="Times New Roman"/>
        </w:rPr>
        <w:t>.</w:t>
      </w:r>
      <w:r w:rsidR="00673E46" w:rsidRPr="004F3B77">
        <w:rPr>
          <w:rFonts w:ascii="Times New Roman" w:hAnsi="Times New Roman" w:cs="Times New Roman"/>
        </w:rPr>
        <w:t xml:space="preserve"> </w:t>
      </w:r>
      <w:r w:rsidRPr="004F3B77">
        <w:rPr>
          <w:rFonts w:ascii="Times New Roman" w:hAnsi="Times New Roman" w:cs="Times New Roman"/>
        </w:rPr>
        <w:t xml:space="preserve">However the </w:t>
      </w:r>
      <w:r w:rsidRPr="004F3B77">
        <w:rPr>
          <w:rFonts w:ascii="Times New Roman" w:hAnsi="Times New Roman" w:cs="Times New Roman"/>
          <w:i/>
          <w:iCs/>
        </w:rPr>
        <w:t xml:space="preserve">determinants </w:t>
      </w:r>
      <w:r w:rsidRPr="004F3B77">
        <w:rPr>
          <w:rFonts w:ascii="Times New Roman" w:hAnsi="Times New Roman" w:cs="Times New Roman"/>
        </w:rPr>
        <w:t xml:space="preserve">of this rally were not clear; whilst it may have been the implementation of lockdown, it may also have been increasing death rates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{"citationID":"UVgP2svQ","properties":{"formattedCitation":"(Schraff, 2021)","plainCitation":"(Schraff, 2021)","noteIndex":0},"citationItems":[{"id":15551,"uris":["http://zotero.org/users/2674438/items/SMNI8Z4A"],"itemData":{"id":15551,"type":"article-journal","abstract":"How can we explain the rise in diffuse political support during the Covid-19 pandemic? Recent research has argued that the lockdown measures generated political support. In contrast, I argue that the intensity of the pandemic rallied people around political institutions. Collective angst in the face of exponentially rising Covid-19 cases depresses the usual cognitive evaluations of institutions and leads citizens to rally around existing intuitions as a lifebuoy. Using a representative Dutch household survey conducted over March 2020, I compare the lockdown effect to the dynamic of the pandemic. I ﬁnd that the lockdown effect is driven by pre-existing time trends. Accounting for non-linearities in time makes the lockdown effect disappear. In contrast, more ﬂexible modelling techniques reveal a robust effect of Covid-19 infections on political trust. In line with an anxiety effect, I ﬁnd that standard determinants of political trust – such as economic evaluations and social trust – lose explanatory power as the pandemic spreads. This speaks to an emotionally driven rally effect that pushes cognitive evaluations to the background.","container-title":"European Journal of Political Research","DOI":"10.1111/1475-6765.12425","ISSN":"0304-4130, 1475-6765","issue":"4","journalAbbreviation":"European Journal of Political Research","language":"en","page":"1007-1017","source":"DOI.org (Crossref)","title":"Political trust during the Covid‐19 pandemic: Rally around the flag or lockdown effects?","title-short":"Political trust during the Covid‐19 pandemic","volume":"60","author":[{"family":"Schraff","given":"Dominik"}],"issued":{"date-parts":[["2021",11]]}}}],"schema":"https://github.com/citation-style-language/schema/raw/master/csl-citation.json"}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(Schraff, 2021)</w:t>
      </w:r>
      <w:r w:rsidRPr="004F3B77">
        <w:rPr>
          <w:rFonts w:ascii="Times New Roman" w:hAnsi="Times New Roman" w:cs="Times New Roman"/>
        </w:rPr>
        <w:fldChar w:fldCharType="end"/>
      </w:r>
      <w:r w:rsidRPr="004F3B77">
        <w:rPr>
          <w:rFonts w:ascii="Times New Roman" w:hAnsi="Times New Roman" w:cs="Times New Roman"/>
        </w:rPr>
        <w:t>.</w:t>
      </w:r>
      <w:r w:rsidR="00673E46" w:rsidRPr="004F3B77">
        <w:rPr>
          <w:rFonts w:ascii="Times New Roman" w:hAnsi="Times New Roman" w:cs="Times New Roman"/>
        </w:rPr>
        <w:t xml:space="preserve"> </w:t>
      </w:r>
      <w:r w:rsidRPr="004F3B77">
        <w:rPr>
          <w:rFonts w:ascii="Times New Roman" w:hAnsi="Times New Roman" w:cs="Times New Roman"/>
        </w:rPr>
        <w:t xml:space="preserve">Increases in trust were also heterogenous across the public, with some people changing trust judgements more than others, if they changed at all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{"citationID":"gN0EXDTQ","properties":{"formattedCitation":"(Hegewald &amp; Schraff, 2022)","plainCitation":"(Hegewald &amp; Schraff, 2022)","noteIndex":0},"citationItems":[{"id":15552,"uris":["http://zotero.org/users/2674438/items/T4RMWKY6"],"itemData":{"id":15552,"type":"article-journal","abstract":"Recent studies on political trust during the Covid-19 pandemic diagnosed a rally-around-the-ﬂag eﬀect leading to exceptionally high levels of trust in politics. While this ﬁnding has been established over various country contexts, our understanding of the precise dynamics behind the rally eﬀect remains limited. In this paper, we argue that socio-demographic characteristics, in particular age diﬀerences, as well as pre-existing trust levels moderate the extent of the rally eﬀect. Using individual-level panel data from the Netherlands, covering the time before and during the ﬁrst Covid-19 wave, we show that the rally eﬀect is particularly pronounced among older individuals, while it is absent among the young. Furthermore, we ﬁnd a catch-up eﬀect among the more distrusting parts of the population, such as populist supporters and low-income earners, who seem to largely drive the rally eﬀect during the initial stage of the pandemic. This shows that the extent of the rally eﬀect is conditional on socio-demographic characteristics, pointing towards the role of group risks and pre-crisis trust diﬀerentials in shaping people’s response to an existential threat.","container-title":"Journal of Elections, Public Opinion and Parties","DOI":"10.1080/17457289.2022.2120886","ISSN":"1745-7289, 1745-7297","journalAbbreviation":"Journal of Elections, Public Opinion and Parties","language":"en","page":"1-22","source":"DOI.org (Crossref)","title":"Who rallies around the flag? Evidence from panel data during the Covid-19 pandemic","title-short":"Who rallies around the flag?","author":[{"family":"Hegewald","given":"Sven"},{"family":"Schraff","given":"Dominik"}],"issued":{"date-parts":[["2022",9,15]]}}}],"schema":"https://github.com/citation-style-language/schema/raw/master/csl-citation.json"}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(Hegewald &amp; Schraff, 2022)</w:t>
      </w:r>
      <w:r w:rsidRPr="004F3B77">
        <w:rPr>
          <w:rFonts w:ascii="Times New Roman" w:hAnsi="Times New Roman" w:cs="Times New Roman"/>
        </w:rPr>
        <w:fldChar w:fldCharType="end"/>
      </w:r>
      <w:r w:rsidRPr="004F3B77">
        <w:rPr>
          <w:rFonts w:ascii="Times New Roman" w:hAnsi="Times New Roman" w:cs="Times New Roman"/>
        </w:rPr>
        <w:t xml:space="preserve">. </w:t>
      </w:r>
      <w:r w:rsidR="00673E46" w:rsidRPr="004F3B77">
        <w:rPr>
          <w:rFonts w:ascii="Times New Roman" w:hAnsi="Times New Roman" w:cs="Times New Roman"/>
        </w:rPr>
        <w:t xml:space="preserve">Indeed, some authors have also argued that the pandemic led to lower trust in government. </w:t>
      </w:r>
      <w:r w:rsidR="00673E46" w:rsidRPr="004F3B77">
        <w:rPr>
          <w:rFonts w:ascii="Times New Roman" w:hAnsi="Times New Roman" w:cs="Times New Roman"/>
        </w:rPr>
        <w:fldChar w:fldCharType="begin"/>
      </w:r>
      <w:r w:rsidR="00673E46" w:rsidRPr="004F3B77">
        <w:rPr>
          <w:rFonts w:ascii="Times New Roman" w:hAnsi="Times New Roman" w:cs="Times New Roman"/>
        </w:rPr>
        <w:instrText xml:space="preserve"> ADDIN ZOTERO_ITEM CSL_CITATION {"citationID":"cU5ZR0lc","properties":{"formattedCitation":"(Bernardi &amp; Gotlib, 2023)","plainCitation":"(Bernardi &amp; Gotlib, 2023)","noteIndex":0},"citationItems":[{"id":15660,"uris":["http://zotero.org/users/2674438/items/P4LZZGSB"],"itemData":{"id":15660,"type":"article-journal","abstract":"The effects of COVID-19 on democracy and mental health are still under investigation. In this article, it is considered that, on average, higher COVID-19 stressors and symptoms of distress are associated with lower political support and that higher COVID-19 stressors are associated with higher symptoms of mental/emotional distress. This formulation was tested by conducting two online surveys in Britain in August 2020 and March 2021. Strong support was found for this hypothesis. Greater worry about COVID-19 life changes is associated with a lower evaluation of government performance on the pandemic and with a lower perceived responsiveness of the political system; higher COVID-19 stress resulting from anti-pandemic measures is associated with a poorer evaluation of government performance and, subsequently, with less trust in government. It was also found that higher COVID-19 worry and stress were associated with more symptoms of mental/emotional distress. These findings highlight that pandemic-related stressors may influence people’s political engagement and mental health.","container-title":"West European Politics","DOI":"10.1080/01402382.2022.2055372","ISSN":"0140-2382, 1743-9655","issue":"2","journalAbbreviation":"West European Politics","language":"en","page":"425-436","source":"DOI.org (Crossref)","title":"COVID-19 stressors, mental/emotional distress and political support","volume":"46","author":[{"family":"Bernardi","given":"Luca"},{"family":"Gotlib","given":"Ian H."}],"issued":{"date-parts":[["2023",2,23]]}}}],"schema":"https://github.com/citation-style-language/schema/raw/master/csl-citation.json"} </w:instrText>
      </w:r>
      <w:r w:rsidR="00673E46" w:rsidRPr="004F3B77">
        <w:rPr>
          <w:rFonts w:ascii="Times New Roman" w:hAnsi="Times New Roman" w:cs="Times New Roman"/>
        </w:rPr>
        <w:fldChar w:fldCharType="separate"/>
      </w:r>
      <w:r w:rsidR="009E3B4E" w:rsidRPr="004F3B77">
        <w:rPr>
          <w:rFonts w:ascii="Times New Roman" w:hAnsi="Times New Roman" w:cs="Times New Roman"/>
          <w:noProof/>
        </w:rPr>
        <w:t>(Bernardi &amp; Gotlib, 2023)</w:t>
      </w:r>
      <w:r w:rsidR="00673E46" w:rsidRPr="004F3B77">
        <w:rPr>
          <w:rFonts w:ascii="Times New Roman" w:hAnsi="Times New Roman" w:cs="Times New Roman"/>
        </w:rPr>
        <w:fldChar w:fldCharType="end"/>
      </w:r>
      <w:r w:rsidR="00673E46" w:rsidRPr="004F3B77">
        <w:rPr>
          <w:rFonts w:ascii="Times New Roman" w:hAnsi="Times New Roman" w:cs="Times New Roman"/>
        </w:rPr>
        <w:t xml:space="preserve"> for instance argue that higher reported stress leads to lower evaluations of government performance and trust. </w:t>
      </w:r>
    </w:p>
    <w:p w14:paraId="0028AEF5" w14:textId="0408AC08" w:rsidR="00386C2E" w:rsidRPr="004F3B77" w:rsidRDefault="00386C2E" w:rsidP="002F38E7">
      <w:pPr>
        <w:rPr>
          <w:rFonts w:ascii="Times New Roman" w:hAnsi="Times New Roman" w:cs="Times New Roman"/>
        </w:rPr>
      </w:pPr>
    </w:p>
    <w:p w14:paraId="4DC4EE61" w14:textId="26B58149" w:rsidR="00386C2E" w:rsidRPr="004F3B77" w:rsidRDefault="00386C2E" w:rsidP="002F38E7">
      <w:pPr>
        <w:rPr>
          <w:rFonts w:ascii="Times New Roman" w:hAnsi="Times New Roman" w:cs="Times New Roman"/>
        </w:rPr>
      </w:pPr>
      <w:r w:rsidRPr="004F3B77">
        <w:rPr>
          <w:rFonts w:ascii="Times New Roman" w:hAnsi="Times New Roman" w:cs="Times New Roman"/>
        </w:rPr>
        <w:t xml:space="preserve">This and other ‘rallies’ are seen as beneficial in a crisis: it allows government to get on with the job of dealing with the crisis and increases compliance with the measures required to do so. Put in the nomenclature of our conceptual definition of trust, in the face of very uncertain and possibly very risky outcomes, a ‘rally’ allows governments considerable capital to achieve otherwise unworkable policy outcomes. Our focus is on whether this is indeed the case. </w:t>
      </w:r>
    </w:p>
    <w:p w14:paraId="4CBA01A9" w14:textId="77777777" w:rsidR="00386C2E" w:rsidRPr="004F3B77" w:rsidRDefault="00386C2E" w:rsidP="002F38E7">
      <w:pPr>
        <w:rPr>
          <w:rFonts w:ascii="Times New Roman" w:hAnsi="Times New Roman" w:cs="Times New Roman"/>
          <w:b/>
          <w:bCs/>
        </w:rPr>
      </w:pPr>
    </w:p>
    <w:p w14:paraId="0CA39EA8" w14:textId="061CFE0F" w:rsidR="00386C2E" w:rsidRPr="004F3B77" w:rsidRDefault="00386C2E" w:rsidP="008A1398">
      <w:pPr>
        <w:rPr>
          <w:rFonts w:ascii="Times New Roman" w:hAnsi="Times New Roman" w:cs="Times New Roman"/>
          <w:b/>
          <w:bCs/>
          <w:i/>
          <w:iCs/>
        </w:rPr>
      </w:pPr>
      <w:r w:rsidRPr="004F3B77">
        <w:rPr>
          <w:rFonts w:ascii="Times New Roman" w:hAnsi="Times New Roman" w:cs="Times New Roman"/>
          <w:b/>
          <w:bCs/>
          <w:i/>
          <w:iCs/>
        </w:rPr>
        <w:lastRenderedPageBreak/>
        <w:t>Trust as an explanatory variable</w:t>
      </w:r>
    </w:p>
    <w:p w14:paraId="6241DC69" w14:textId="77777777" w:rsidR="00386C2E" w:rsidRPr="004F3B77" w:rsidRDefault="00386C2E" w:rsidP="00C96D5B">
      <w:pPr>
        <w:rPr>
          <w:rFonts w:ascii="Times New Roman" w:hAnsi="Times New Roman" w:cs="Times New Roman"/>
        </w:rPr>
      </w:pPr>
    </w:p>
    <w:p w14:paraId="2DF8D4EE" w14:textId="7AFD7DC3" w:rsidR="00386C2E" w:rsidRPr="004F3B77" w:rsidRDefault="00386C2E" w:rsidP="00C96D5B">
      <w:pPr>
        <w:rPr>
          <w:rFonts w:ascii="Times New Roman" w:hAnsi="Times New Roman" w:cs="Times New Roman"/>
        </w:rPr>
      </w:pPr>
      <w:r w:rsidRPr="004F3B77">
        <w:rPr>
          <w:rFonts w:ascii="Times New Roman" w:hAnsi="Times New Roman" w:cs="Times New Roman"/>
        </w:rPr>
        <w:t xml:space="preserve">Why would we expect trust to matter for other important outcomes? The now-dominant theoretical mechanism linking trust and various outcomes is that trust is a </w:t>
      </w:r>
      <w:r w:rsidRPr="004F3B77">
        <w:rPr>
          <w:rFonts w:ascii="Times New Roman" w:hAnsi="Times New Roman" w:cs="Times New Roman"/>
          <w:i/>
          <w:iCs/>
        </w:rPr>
        <w:t>heuristic</w:t>
      </w:r>
      <w:r w:rsidRPr="004F3B77">
        <w:rPr>
          <w:rFonts w:ascii="Times New Roman" w:hAnsi="Times New Roman" w:cs="Times New Roman"/>
        </w:rPr>
        <w:t xml:space="preserve"> citizens use to make judgements about politics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{"citationID":"BuDVJ1ff","properties":{"formattedCitation":"(Hetherington, 2005; Rudolph et al., 2017)","plainCitation":"(Hetherington, 2005; Rudolph et al., 2017)","noteIndex":0},"citationItems":[{"id":15175,"uris":["http://zotero.org/users/2674438/items/WPTH439E"],"itemData":{"id":15175,"type":"chapter","container-title":"Handbook on Political Trust","publisher":"Edward Elgar Publishing","title":"Political trust as a heuristic","author":[{"family":"Rudolph","given":"Thomas J."},{"family":"Zmerli","given":"Sonja"},{"family":"Van Der Meer","given":"Tom W. G."}],"issued":{"date-parts":[["2017"]]}}},{"id":2683,"uris":["http://zotero.org/users/2674438/items/AJU2PSEW"],"itemData":{"id":2683,"type":"book","publisher":"Princeton University Press","title":"Why trust matters","author":[{"family":"Hetherington","given":"Marc J."}],"issued":{"date-parts":[["2005"]]}}}],"schema":"https://github.com/citation-style-language/schema/raw/master/csl-citation.json"}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(Hetherington, 2005; Rudolph et al., 2017)</w:t>
      </w:r>
      <w:r w:rsidRPr="004F3B77">
        <w:rPr>
          <w:rFonts w:ascii="Times New Roman" w:hAnsi="Times New Roman" w:cs="Times New Roman"/>
        </w:rPr>
        <w:fldChar w:fldCharType="end"/>
      </w:r>
      <w:r w:rsidRPr="004F3B77">
        <w:rPr>
          <w:rFonts w:ascii="Times New Roman" w:hAnsi="Times New Roman" w:cs="Times New Roman"/>
        </w:rPr>
        <w:t xml:space="preserve">. In an absence of perfect information or the desire to obtain it, citizens rely on information and cues from political actors to make their judgements. This leads to the basic and intuitive hypothesis that trust is positively related to state-organised policy generally: if one trusts the government (or another actor), and they are advocating a policy, one is more likely to support that policy. Scholars have extended this logic on the basis that trust is primarily about uncertainty, as noted above: trust is not necessary if an outcome is guaranteed. Trust, it is argued, explains policy preferences and compliance to a greater degree if there is greater risk and uncertainty, such as when the time-horizon of the policy is very long (like climate change or social investment policy) or comes with high costs (such as tax increases or significant behaviour change)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{"citationID":"DbUHro5K","properties":{"formattedCitation":"(Hetherington, 2005; Jacobs &amp; Matthews, 2017; Rudolph et al., 2017)","plainCitation":"(Hetherington, 2005; Jacobs &amp; Matthews, 2017; Rudolph et al., 2017)","noteIndex":0},"citationItems":[{"id":15175,"uris":["http://zotero.org/users/2674438/items/WPTH439E"],"itemData":{"id":15175,"type":"chapter","container-title":"Handbook on Political Trust","publisher":"Edward Elgar Publishing","title":"Political trust as a heuristic","author":[{"family":"Rudolph","given":"Thomas J."},{"family":"Zmerli","given":"Sonja"},{"family":"Van Der Meer","given":"Tom W. G."}],"issued":{"date-parts":[["2017"]]}}},{"id":8687,"uris":["http://zotero.org/users/2674438/items/3B4I9DL9"],"itemData":{"id":8687,"type":"article-journal","abstract":"This article examines the link between citizens' policy attitudes and the institutional context in which policies are carried out. The article develops a theory of opinion formation toward policies that impose costs on citizens in order to invest in broadly valued social goods. In this framework, problems of agency loss and time inconsistency leave citizens uncertain about whether promised policy benefits will be delivered. Citizen support for public investments thus depends on whether the institutional context makes elites' policy promises credible. We consider hypotheses about how the institutional allocation of authority and the institutional rules governing implementation affect citizen support for public investment, and we find broad support for the framework in three survey experiments administered to representative samples of U.S. citizens. The results shed light on the link between political institutions and citizens' attitudes, the capacities of voters for substantive political reasoning, and the political prospects for public investment.","container-title":"American Journal of Political Science","DOI":"10.1111/ajps.12209","ISSN":"0092-5853","issue":"1","page":"194-207","title":"Policy Attitudes in Institutional Context: Rules, Uncertainty, and the Mass Politics of Public Investment","volume":"61","author":[{"family":"Jacobs","given":"Alan M."},{"family":"Matthews","given":"J. Scott"}],"issued":{"date-parts":[["2017",1]]}}},{"id":2683,"uris":["http://zotero.org/users/2674438/items/AJU2PSEW"],"itemData":{"id":2683,"type":"book","publisher":"Princeton University Press","title":"Why trust matters","author":[{"family":"Hetherington","given":"Marc J."}],"issued":{"date-parts":[["2005"]]}}}],"schema":"https://github.com/citation-style-language/schema/raw/master/csl-citation.json"}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(Hetherington, 2005; Jacobs &amp; Matthews, 2017; Rudolph et al., 2017)</w:t>
      </w:r>
      <w:r w:rsidRPr="004F3B77">
        <w:rPr>
          <w:rFonts w:ascii="Times New Roman" w:hAnsi="Times New Roman" w:cs="Times New Roman"/>
        </w:rPr>
        <w:fldChar w:fldCharType="end"/>
      </w:r>
      <w:r w:rsidRPr="004F3B77">
        <w:rPr>
          <w:rFonts w:ascii="Times New Roman" w:hAnsi="Times New Roman" w:cs="Times New Roman"/>
        </w:rPr>
        <w:t>.</w:t>
      </w:r>
    </w:p>
    <w:p w14:paraId="285B9393" w14:textId="5C393941" w:rsidR="00386C2E" w:rsidRPr="004F3B77" w:rsidRDefault="00386C2E" w:rsidP="00884D6B">
      <w:pPr>
        <w:rPr>
          <w:rFonts w:ascii="Times New Roman" w:hAnsi="Times New Roman" w:cs="Times New Roman"/>
        </w:rPr>
      </w:pPr>
    </w:p>
    <w:p w14:paraId="7C39EB95" w14:textId="0248DAF2" w:rsidR="00386C2E" w:rsidRPr="004F3B77" w:rsidRDefault="00386C2E" w:rsidP="00A027AE">
      <w:pPr>
        <w:rPr>
          <w:rFonts w:ascii="Times New Roman" w:hAnsi="Times New Roman" w:cs="Times New Roman"/>
        </w:rPr>
      </w:pPr>
      <w:r w:rsidRPr="004F3B77">
        <w:rPr>
          <w:rFonts w:ascii="Times New Roman" w:hAnsi="Times New Roman" w:cs="Times New Roman"/>
        </w:rPr>
        <w:t>During the pandemic, citizens in almost all democracies faced a situation with high uncertainty and potentially high costs for themselves, family, friends, and society. There was also low information due to the rarity of severe health crises and the rapidly changing circumstances. In this context, citizens were asked to modify their behaviour in response to government policies, including isolating to varying degrees (meaning full stay-at-home orders in most countries), mask-wearing, social distancing, and rigorous hygiene. Further into the pandemic, citizens were also required to go back to work or similar when they may not have felt it safe to do so. These abrupt changes under conditions of uncertainty necessitate a rare application of trust in policymaking government and its institutions. Those who believe that the government can be trusted to serve them well should be more willing to follow their rules and guidance, and less likely to believe that they are out to (for example) enslave the population through manufacturing a pandemic or willingly administering dangerous vaccines.</w:t>
      </w:r>
    </w:p>
    <w:p w14:paraId="1151ADE6" w14:textId="05891A83" w:rsidR="00386C2E" w:rsidRPr="004F3B77" w:rsidRDefault="00386C2E" w:rsidP="008C274D">
      <w:pPr>
        <w:rPr>
          <w:rFonts w:ascii="Times New Roman" w:hAnsi="Times New Roman" w:cs="Times New Roman"/>
        </w:rPr>
      </w:pPr>
    </w:p>
    <w:p w14:paraId="77CAD1C7" w14:textId="69C9FF7C" w:rsidR="00386C2E" w:rsidRPr="004F3B77" w:rsidRDefault="00386C2E" w:rsidP="008C274D">
      <w:pPr>
        <w:rPr>
          <w:rFonts w:ascii="Times New Roman" w:hAnsi="Times New Roman" w:cs="Times New Roman"/>
        </w:rPr>
      </w:pPr>
      <w:r w:rsidRPr="004F3B77">
        <w:rPr>
          <w:rFonts w:ascii="Times New Roman" w:hAnsi="Times New Roman" w:cs="Times New Roman"/>
        </w:rPr>
        <w:t xml:space="preserve">As the pandemic progressed, citizens were also asked to trust in vaccinations that were developed with historic speed, and in their roll-out through government (or government-adjacent) institutions. All the while, conspiracy theories circulated about the true source of the virus, and whether governments had nefarious intentions in keeping people at home and through vaccination programs. This arguably counter-acted the perhaps positive impact of increased information due to parallel increases in misinformation. The trust-as-heuristic mechanism provides straightforward predictions for these outcomes: trust is positively related to vaccination (intent and uptake) and compliance, but negatively related to beliefs in conspiracy theories. </w:t>
      </w:r>
    </w:p>
    <w:p w14:paraId="486F7AF7" w14:textId="77CD2FDE" w:rsidR="00386C2E" w:rsidRPr="004F3B77" w:rsidRDefault="00386C2E" w:rsidP="00884D6B">
      <w:pPr>
        <w:rPr>
          <w:rFonts w:ascii="Times New Roman" w:hAnsi="Times New Roman" w:cs="Times New Roman"/>
        </w:rPr>
      </w:pPr>
    </w:p>
    <w:p w14:paraId="77961099" w14:textId="7CA1A325" w:rsidR="00386C2E" w:rsidRPr="004F3B77" w:rsidRDefault="00386C2E" w:rsidP="00EA70E2">
      <w:pPr>
        <w:rPr>
          <w:rFonts w:ascii="Times New Roman" w:hAnsi="Times New Roman" w:cs="Times New Roman"/>
        </w:rPr>
      </w:pPr>
      <w:r w:rsidRPr="004F3B77">
        <w:rPr>
          <w:rFonts w:ascii="Times New Roman" w:hAnsi="Times New Roman" w:cs="Times New Roman"/>
        </w:rPr>
        <w:t xml:space="preserve">Whilst this perspective is intuitive, the relationship between trust and the perceived seriousness and risk of COVID is less clear. It is plausible that trust in institutions reduces anxiety and risk: if we expect that institutions have the capacity to address the pandemic, we may feel less concerned about it. However, it is also possible that trust drives information-seeking and since most governments were highlighting the serious societal and public health risk of COVID, may lead to perceptions of greater anxiety and risk </w:t>
      </w:r>
      <w:r w:rsidRPr="004F3B77">
        <w:rPr>
          <w:rFonts w:ascii="Times New Roman" w:hAnsi="Times New Roman" w:cs="Times New Roman"/>
        </w:rPr>
        <w:fldChar w:fldCharType="begin"/>
      </w:r>
      <w:r w:rsidR="00505F8A" w:rsidRPr="004F3B77">
        <w:rPr>
          <w:rFonts w:ascii="Times New Roman" w:hAnsi="Times New Roman" w:cs="Times New Roman"/>
        </w:rPr>
        <w:instrText xml:space="preserve"> ADDIN ZOTERO_ITEM CSL_CITATION {"citationID":"gOExjXea","properties":{"formattedCitation":"(Srol et al., 2021; Surina et al., 2021)","plainCitation":"(Srol et al., 2021; Surina et al., 2021)","noteIndex":0},"citationItems":[{"id":11511,"uris":["http://zotero.org/users/2674438/items/5IBWLCVR"],"itemData":{"id":11511,"type":"article-journal","abstract":"Societal crises and stressful events are associated with an upsurge of conspiracy beliefs that may help people to tackle feelings of lack of control. In our study (N = 783), we examined whether people with higher feelings of anxiety and lack of control early in the COVID-19 pandemic endorse more conspiracy theories. Our results show that a higher perception of risk of COVID-19 and lower trust in institutions' response to the pandemic were related to feelings of anxiety and lack of control. Feeling the lack of control, but not anxiety, independently predicted COVID-19 conspiracy theory endorsement. Importantly, COVID-19 conspiracy beliefs were strongly correlated with generic conspiracy and pseudoscientific beliefs, which were likewise associated with the feeling of lack of control and lower trust in institutions. The results highlight that considering people's emotional responses to the COVID-19 pandemic is crucial for our understanding of the spread of conspiracy and pseudoscientific beliefs.","container-title":"Applied Cognitive Psychology","DOI":"10.1002/acp.3798","ISSN":"0888-4080","issue":"3","note":"Citation Key: Srol2021\ntex.ids= srol_when_2021, srol_when_2021-1, srol_when_2021-2, srol_when_2021-3\ntex.city: Bognor Regis\nPMID: WOS:000616599900001\npublisher: Wiley, Available from: John Wiley &amp; Sons, Inc. 111 River Street, Hoboken, NJ 07030","page":"720-729","title":"When we are worried, what are we thinking? Anxiety, lack of control, and conspiracy beliefs amidst the COVID-19 pandemic","volume":"35","author":[{"family":"Srol","given":"J"},{"family":"Mikuskova","given":"E B"},{"family":"Cavojova","given":"V"}],"issued":{"date-parts":[["2021"]]}}},{"id":46,"uris":["http://zotero.org/users/2674438/items/F2ZT8JPJ"],"itemData":{"id":46,"type":"article-journal","abstract":"Background: While COVID-19 has rapidly spread around the world, and vaccines are not widely available to the general population, the World Health Organization outlines preventive behavior as the most effective way to limit the rapid spread of the virus. Preventive behavior is associated with a number of factors that both encourage and discourage prevention. Aim: The aim of this research was to study COVID-19 threat appraisal, fear of COVID-19, trust in COVID-19 information sources, COVID-19 conspiracy beliefs and the relationship of socio-demographic variables (gender, age, level of education, place of residence, and employment status) to COVID-19 preventive behavior. Methods: The data originate from a national cross-sectional online survey (N = 2,608) undertaken in July 2020. The data were analyzed using structural equation modeling. Results: COVID-19 threat appraisal, trust in COVID-19 information sources, and fear of COVID-19 are all significant predictors of COVID-19 preventive behaviors. Together they explain 26.7% of the variance of this variable. COVID-19 conspiracy beliefs significantly negatively predict COVID-19 threat appraisal (R-2 = 0.206) and trust in COVID-19 information sources (R-2 = 0.190). COVID-19 threat appraisal contributes significantly and directly to the explanation of the fear of COVID-19 (R-2 = 0.134). Directly, as well as mediated by COVID-19 conspiracy beliefs, threat appraisal predicts trust in COVID-19 information sources (R-2 = 0.190). The relationship between COVID-19 threat appraisal and COVID-19 preventive behaviors is partially mediated by fear of COVID-19 (indirect effect 28.6%) and trust in information sources (15.8%). Socio-demographic variables add very little in prediction of COVID-19 preventive behavior. Conclusions: The study results demonstrate that COVID-19 threat appraisal is the most important factor associated with COVID-19 preventive behavior. Those Latvian residents with higher COVID-19 threat appraisal, experienced higher levels of fear of COVID-19, had more trust in COVID-19 information sources, and were more actively involved in following COVID-19 preventive behaviors. COVID-19 conspiracy beliefs negatively predict COVID-19 threat appraisal and trust in COVID-19 information sources, but not the COVID-19 preventive behaviors. Socio-demographic factors do not play an important role here.","container-title":"Frontiers in Psychology","DOI":"10.3389/fpsyg.2021.676521","ISSN":"1664-1078","note":"Citation Key: Surina2021\nPMID: WOS:000674377000001","title":"Factors related to COVID-19 preventive behaviors: A structural equation model","volume":"12","author":[{"family":"Surina","given":"S"},{"family":"Martinsone","given":"K"},{"family":"Perepjolkina","given":"V"},{"family":"Kolesnikova","given":"J"},{"family":"Vainik","given":"U"},{"family":"Ruza","given":"A"},{"family":"Vrublevska","given":"J"},{"family":"Smirnova","given":"D"},{"family":"Fountoulakis","given":"K N"},{"family":"Rancans","given":"E"}],"issued":{"date-parts":[["2021"]]}}}],"schema":"https://github.com/citation-style-language/schema/raw/master/csl-citation.json"}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(Srol et al., 2021; Surina et al., 2021)</w:t>
      </w:r>
      <w:r w:rsidRPr="004F3B77">
        <w:rPr>
          <w:rFonts w:ascii="Times New Roman" w:hAnsi="Times New Roman" w:cs="Times New Roman"/>
        </w:rPr>
        <w:fldChar w:fldCharType="end"/>
      </w:r>
      <w:r w:rsidRPr="004F3B77">
        <w:rPr>
          <w:rFonts w:ascii="Times New Roman" w:hAnsi="Times New Roman" w:cs="Times New Roman"/>
        </w:rPr>
        <w:t>.</w:t>
      </w:r>
      <w:r w:rsidRPr="004F3B77">
        <w:rPr>
          <w:rStyle w:val="EndnoteReference"/>
          <w:rFonts w:ascii="Times New Roman" w:hAnsi="Times New Roman" w:cs="Times New Roman"/>
        </w:rPr>
        <w:endnoteReference w:id="3"/>
      </w:r>
      <w:r w:rsidRPr="004F3B77">
        <w:rPr>
          <w:rFonts w:ascii="Times New Roman" w:hAnsi="Times New Roman" w:cs="Times New Roman"/>
        </w:rPr>
        <w:t xml:space="preserve"> Still others expect that trust plays a minimal role in risk perceptions, given the relevance of other predictors (such as having experienced COVID)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{"citationID":"MHNNP9iv","properties":{"formattedCitation":"(Dryhurst et al., 2020)","plainCitation":"(Dryhurst et al., 2020)","noteIndex":0},"citationItems":[{"id":5813,"uris":["http://zotero.org/users/2674438/items/SQUJX2IV"],"itemData":{"id":5813,"type":"article-journal","abstract":"The World Health Organization has declared the rapid spread of COVID-19 around the world a global public health emergency. It is well-known that the spread of the disease is influenced by people's willingness to adopt preventative public health behaviors, which are often associated with public risk perception. In this study, we present the first assessment of public risk perception of COVID-19 around the world using national samples (total N = 6,991) in ten countries across Europe, America, and Asia. We find that although levels of concern are relatively high, they are highest in the UK compared to all other sampled countries. Pooled across countries, personal experience with the virus, individualistic and prosocial values, hearing about the virus from friends and family, trust in government, science, and medical professionals, personal knowledge of government strategy, and personal and collective efficacy were all significant predictors of risk perception. Although there was substantial variability across cultures, individualistic worldviews, personal experience, prosocial values, and social amplification through friends and family in particular were found to be significant determinants in more than half of the countries examined. Risk perception correlated significantly with reported adoption of preventative health behaviors in all ten countries. Implications for effective risk communication are discussed.","container-title":"Journal of Risk Research","DOI":"10.1080/13669877.2020.1758193","ISSN":"1366-9877","issue":"7-8","note":"WOS:000532426400001","page":"994-1006","title":"Risk perceptions of COVID-19 around the world","volume":"23","author":[{"family":"Dryhurst","given":"Sarah"},{"family":"Schneider","given":"Claudia R."},{"family":"Kerr","given":"John"},{"family":"Freeman","given":"Alexandra L. J."},{"family":"Recchia","given":"Gabriel"},{"family":"Bles","given":"Anne Marthe","non-dropping-particle":"van der"},{"family":"Spiegelhalter","given":"David"},{"family":"Linden","given":"Sander","non-dropping-particle":"van der"}],"issued":{"date-parts":[["2020",8,2]]}}}],"schema":"https://github.com/citation-style-language/schema/raw/master/csl-citation.json"}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(Dryhurst et al., 2020)</w:t>
      </w:r>
      <w:r w:rsidRPr="004F3B77">
        <w:rPr>
          <w:rFonts w:ascii="Times New Roman" w:hAnsi="Times New Roman" w:cs="Times New Roman"/>
        </w:rPr>
        <w:fldChar w:fldCharType="end"/>
      </w:r>
      <w:r w:rsidRPr="004F3B77">
        <w:rPr>
          <w:rFonts w:ascii="Times New Roman" w:hAnsi="Times New Roman" w:cs="Times New Roman"/>
        </w:rPr>
        <w:t xml:space="preserve">. The expectations for risk and seriousness are mixed. </w:t>
      </w:r>
    </w:p>
    <w:p w14:paraId="74095BF4" w14:textId="3B04A9BA" w:rsidR="00386C2E" w:rsidRPr="004F3B77" w:rsidRDefault="00386C2E" w:rsidP="00EA70E2">
      <w:pPr>
        <w:rPr>
          <w:rFonts w:ascii="Times New Roman" w:hAnsi="Times New Roman" w:cs="Times New Roman"/>
        </w:rPr>
      </w:pPr>
      <w:r w:rsidRPr="004F3B77">
        <w:rPr>
          <w:rFonts w:ascii="Times New Roman" w:hAnsi="Times New Roman" w:cs="Times New Roman"/>
        </w:rPr>
        <w:t xml:space="preserve"> </w:t>
      </w:r>
    </w:p>
    <w:p w14:paraId="1D457827" w14:textId="71C45E66" w:rsidR="00386C2E" w:rsidRPr="004F3B77" w:rsidRDefault="00386C2E" w:rsidP="00884D6B">
      <w:pPr>
        <w:rPr>
          <w:rFonts w:ascii="Times New Roman" w:hAnsi="Times New Roman" w:cs="Times New Roman"/>
        </w:rPr>
      </w:pPr>
      <w:r w:rsidRPr="004F3B77">
        <w:rPr>
          <w:rFonts w:ascii="Times New Roman" w:hAnsi="Times New Roman" w:cs="Times New Roman"/>
        </w:rPr>
        <w:lastRenderedPageBreak/>
        <w:t xml:space="preserve">In addition, if the trust as heuristic argument is correct, then it follows that the consequences of trust depend on the messaging or policy position of the object of trust. If, for instance, trust in government is high but that government is explicitly anti-vaccination or espousing conspiracy theories, one would expect that trust to be detrimental rather than helpful for driving vaccination. This becomes more complicated once we consider that different objects of trust may take conflicting positions within the same country; for instance, government may </w:t>
      </w:r>
      <w:r w:rsidRPr="004F3B77">
        <w:rPr>
          <w:rFonts w:ascii="Times New Roman" w:hAnsi="Times New Roman" w:cs="Times New Roman"/>
          <w:i/>
          <w:iCs/>
        </w:rPr>
        <w:t>not</w:t>
      </w:r>
      <w:r w:rsidRPr="004F3B77">
        <w:rPr>
          <w:rFonts w:ascii="Times New Roman" w:hAnsi="Times New Roman" w:cs="Times New Roman"/>
        </w:rPr>
        <w:t xml:space="preserve"> encourage behaviour change like social distancing, but public health authorities may do, and parties may cue their supporters differently. More broadly, different countries and governments met the challenge of the pandemic in different ways, with different measures and messaging adopted, meaning that the effects of trust may well vary between countries and regions. It is not at all clear how these tensions play out, and something the present study aims to shed light on. </w:t>
      </w:r>
    </w:p>
    <w:p w14:paraId="039A3946" w14:textId="77777777" w:rsidR="00386C2E" w:rsidRPr="004F3B77" w:rsidRDefault="00386C2E" w:rsidP="00884D6B">
      <w:pPr>
        <w:rPr>
          <w:rFonts w:ascii="Times New Roman" w:hAnsi="Times New Roman" w:cs="Times New Roman"/>
        </w:rPr>
      </w:pPr>
    </w:p>
    <w:p w14:paraId="79883903" w14:textId="6EB36E89" w:rsidR="00386C2E" w:rsidRPr="004F3B77" w:rsidRDefault="00386C2E" w:rsidP="00884D6B">
      <w:pPr>
        <w:rPr>
          <w:rFonts w:ascii="Times New Roman" w:hAnsi="Times New Roman" w:cs="Times New Roman"/>
        </w:rPr>
      </w:pPr>
      <w:r w:rsidRPr="004F3B77">
        <w:rPr>
          <w:rFonts w:ascii="Times New Roman" w:hAnsi="Times New Roman" w:cs="Times New Roman"/>
        </w:rPr>
        <w:t xml:space="preserve">Finally, there are a vast range of methodological decisions which may influence results, such as the measurement of trust, the region of study, time period of the study, and much else – such as apparently random variation in approaches </w:t>
      </w:r>
      <w:r w:rsidRPr="004F3B77">
        <w:rPr>
          <w:rFonts w:ascii="Times New Roman" w:hAnsi="Times New Roman" w:cs="Times New Roman"/>
        </w:rPr>
        <w:fldChar w:fldCharType="begin"/>
      </w:r>
      <w:r w:rsidR="00505F8A" w:rsidRPr="004F3B77">
        <w:rPr>
          <w:rFonts w:ascii="Times New Roman" w:hAnsi="Times New Roman" w:cs="Times New Roman"/>
        </w:rPr>
        <w:instrText xml:space="preserve"> ADDIN ZOTERO_ITEM CSL_CITATION {"citationID":"DZPQkGCt","properties":{"formattedCitation":"(Breznau et al., 2022)","plainCitation":"(Breznau et al., 2022)","noteIndex":0},"citationItems":[{"id":14963,"uris":["http://zotero.org/users/2674438/items/RHPGQP7R"],"itemData":{"id":14963,"type":"article-journal","abstract":"This study explores how analytical choices of researchers affect the reliability of scientific findings. Current lack-of-reliability discussions focus on systematic biases. We broaden the lens to include idiosyncratic decisions in data analysis that lead researchers to diverging results and conclusions. We coordinated and observed decisions among 73 research-teams as they independently tested the same hypothesis using the same data. Results show that in this typical secondary data research situation, the universe of pathways from data to results is so vast that each analysis was unique in some way. Teams reported divergent findings with contradictory substantive implications that could not be explained by differences in researchers’ expertise, prior beliefs, and expectations. This calls for greater humility and clarity in presentation of scientific findings. Idiosyncratic variation may also be a cause for why many hypotheses remain highly contested, particularly in large-scale social and behavioral research.","container-title":"Proceedings of the National Academy of Sciences","DOI":"https://doi.org/10.31222/osf.io/cd5j9","issue":"44","language":"en","page":"1-8","source":"Zotero","title":"Observing Many Researchers Using the Same Data and Hypothesis Reveals a Hidden Universe of Uncertainty","volume":"119","author":[{"family":"Breznau","given":"Nate"},{"family":"Rinke","given":"Eike Mark"},{"family":"Wuttke","given":"Alexander"},{"family":"Nguyen","given":"Hung H V"},{"family":"Adem","given":"Muna"},{"family":"Adriaans","given":"Jule"},{"family":"Alvarez-Benjumea","given":"Amalia"},{"family":"Andersen","given":"Henrik K"},{"family":"Azevedo","given":"Flavio"},{"family":"Bahnsen","given":"Oke"},{"family":"Balzer","given":"Dave"},{"family":"Bauer","given":"Gerrit"},{"family":"Bauer","given":"Paul C"},{"family":"Baumann","given":"Markus"},{"family":"Baute","given":"Sharon"},{"family":"Benoit","given":"Verena"},{"family":"Bernauer","given":"Julian"},{"family":"Berning","given":"Carl"},{"family":"Bethke","given":"Felix S"},{"family":"Biegert","given":"Thomas"},{"family":"Blinzler","given":"Katharina"},{"family":"Bobzien","given":"Licia"},{"family":"Bohman","given":"Andrea"},{"family":"Bol","given":"Thijs"},{"family":"Bostic","given":"Amie"},{"family":"Burgdorf","given":"Katharina"},{"family":"Burger","given":"Kaspar"},{"family":"Busch","given":"Kathrin"},{"family":"Carlos","given":"Juan"},{"family":"Chan","given":"Nathan"},{"family":"Christmann","given":"Pablo"},{"family":"Connelly","given":"Roxanne"},{"family":"Czymara","given":"Christian S"},{"family":"Damian","given":"Elena"},{"family":"Ecker","given":"Alejandro"},{"family":"Edelmann","given":"Achim"},{"family":"Eger","given":"Maureen A"},{"family":"Ellerbrock","given":"Simon"},{"family":"Forke","given":"Anna"},{"family":"Forster","given":"Andrea"},{"family":"Gaasendam","given":"Chris"},{"family":"Gavras","given":"Konstantin"},{"family":"Gayle","given":"Vernon"},{"family":"Gessler","given":"Theresa"},{"family":"Gnambs","given":"Timo"},{"family":"Godefroidt","given":"Amélie"},{"family":"Grömping","given":"Max"},{"family":"Groß","given":"Martin"},{"family":"Gruber","given":"Stefan"},{"family":"Gummer","given":"Tobias"},{"family":"Hadjar","given":"Andreas"},{"family":"Heisig","given":"Jan Paul"},{"family":"Hellmeier","given":"Sebastian"},{"family":"Heyne","given":"Stefanie"},{"family":"Hirsch","given":"Magdalena"},{"family":"Hjerm","given":"Mikael"},{"family":"Hochman","given":"Oshrat"},{"family":"Hunger","given":"Sophia"},{"family":"Hunkler","given":"Christian"},{"family":"Huth","given":"Nora"},{"family":"Ignácz","given":"Zsófia S"},{"family":"Jacobsen","given":"Jannes"},{"family":"Jaeger","given":"Bastian"},{"family":"Jungkunz","given":"Sebastian"},{"family":"Jungmann","given":"Nils"},{"family":"Kauff","given":"Mathias"},{"family":"Kleinert","given":"Manuel"},{"family":"Klinger","given":"Julia"},{"family":"Kolb","given":"Jan-Philipp"},{"family":"Kołczyńska","given":"Marta"},{"family":"Kuk","given":"John"},{"family":"Kunißen","given":"Katharina"},{"family":"Sinatra","given":"Dafina Kurti"},{"family":"Langenkamp","given":"Alexander"},{"family":"Löbel","given":"Lea-Maria"},{"family":"Lutscher","given":"Philipp"},{"family":"Mader","given":"Matthias"},{"family":"Madia","given":"Joan E"},{"family":"Maldonado","given":"Luis"},{"family":"Marahrens","given":"Helge-Johannes"},{"family":"Martin","given":"Nicole"},{"family":"Martinez","given":"Paul"},{"family":"Mayerl","given":"Jochen"},{"family":"Mayorga","given":"Oscar J"},{"family":"McManus","given":"Patricia"},{"family":"McWagner","given":"Kyle"},{"family":"Meeusen","given":"Cecil"},{"family":"Meierrieks","given":"Daniel"},{"family":"Mellon","given":"Jonathan"},{"family":"Merhout","given":"Friedolin"},{"family":"Merk","given":"Samuel"},{"family":"Meyer","given":"Daniel"},{"family":"Micheli","given":"Leticia"},{"family":"Mijs","given":"Jonathan"},{"family":"Moya","given":"Cristóbal"},{"family":"Neunhoeffer","given":"Marcel"},{"family":"Nüst","given":"Daniel"},{"family":"Nygård","given":"Olav"},{"family":"Ochsenfeld","given":"Fabian"},{"family":"Otte","given":"Gunnar"},{"family":"Pechenkina","given":"Anna"},{"family":"Prosser","given":"Christopher"},{"family":"Raes","given":"Louis"},{"family":"Ralston","given":"Kevin"},{"family":"Ramos","given":"Miguel"},{"family":"Roets","given":"Arne"},{"family":"Rogers","given":"Jonathan"},{"family":"Samuel","given":"Robin"},{"family":"Sand","given":"Gregor"},{"family":"Schachter","given":"Ariela"},{"family":"Schaeffer","given":"Merlin"},{"family":"Schlueter","given":"Elmar"},{"family":"Schmidt","given":"Regine"},{"family":"Schmidt","given":"Katja M"},{"family":"Schmidt","given":"Alexander"},{"family":"Schmiedeberg","given":"Claudia"},{"family":"Schneider","given":"Jürgen"},{"family":"Schoonvelde","given":"Martijn"},{"family":"Schulte","given":"Julia"},{"family":"Schumann","given":"Sandy"},{"family":"Schunck","given":"Reinhard"},{"family":"Schupp","given":"Jürgen"},{"family":"Seuring","given":"Julian"},{"family":"Sleegers","given":"Willem"},{"family":"Sonnta","given":"Nico"},{"family":"Staudt","given":"Alexander"},{"family":"Steiber","given":"Nadia"},{"family":"Steiner","given":"Nils"},{"family":"Sternberg","given":"Sebastian"},{"family":"Stiers","given":"Dieter"},{"family":"Stojmenovska","given":"Dragana"},{"family":"Storz","given":"Nora"},{"family":"Striessnig","given":"Erich"},{"family":"Stroppe","given":"Anne-Kathrin"},{"family":"Teltemann","given":"Janna"},{"family":"Tibajev","given":"Andrey"},{"family":"Tung","given":"Brian"},{"family":"Vagni","given":"Giacomo"},{"family":"Assche","given":"Jasper Van"},{"family":"Vogtenhuber","given":"Stefan"},{"family":"Voicu","given":"Bogdan"},{"family":"Wagemans","given":"Fieke"},{"family":"Wehl","given":"Nadja"},{"family":"Wiernik","given":"Brenton M"},{"family":"Winter","given":"Fabian"},{"family":"Wolf","given":"Christof"},{"family":"Yamada","given":"Yuki"},{"family":"Ziller","given":"Conrad"},{"family":"Zins","given":"Stefan"},{"family":"Żółtak","given":"Tomasz"}],"issued":{"date-parts":[["2022"]]}}}],"schema":"https://github.com/citation-style-language/schema/raw/master/csl-citation.json"} </w:instrText>
      </w:r>
      <w:r w:rsidRPr="004F3B77">
        <w:rPr>
          <w:rFonts w:ascii="Times New Roman" w:hAnsi="Times New Roman" w:cs="Times New Roman"/>
        </w:rPr>
        <w:fldChar w:fldCharType="separate"/>
      </w:r>
      <w:r w:rsidR="00505F8A" w:rsidRPr="004F3B77">
        <w:rPr>
          <w:rFonts w:ascii="Times New Roman" w:hAnsi="Times New Roman" w:cs="Times New Roman"/>
          <w:noProof/>
        </w:rPr>
        <w:t>(Breznau et al., 2022)</w:t>
      </w:r>
      <w:r w:rsidRPr="004F3B77">
        <w:rPr>
          <w:rFonts w:ascii="Times New Roman" w:hAnsi="Times New Roman" w:cs="Times New Roman"/>
        </w:rPr>
        <w:fldChar w:fldCharType="end"/>
      </w:r>
      <w:r w:rsidRPr="004F3B77">
        <w:rPr>
          <w:rFonts w:ascii="Times New Roman" w:hAnsi="Times New Roman" w:cs="Times New Roman"/>
        </w:rPr>
        <w:t xml:space="preserve">. As such, the proposed direction and consequences of trust seem far less clear than currently presented in the literature and policy debate. </w:t>
      </w:r>
    </w:p>
    <w:p w14:paraId="4EA9839F" w14:textId="582B5C47" w:rsidR="00386C2E" w:rsidRPr="004F3B77" w:rsidRDefault="00386C2E" w:rsidP="00884D6B">
      <w:pPr>
        <w:rPr>
          <w:rFonts w:ascii="Times New Roman" w:hAnsi="Times New Roman" w:cs="Times New Roman"/>
        </w:rPr>
      </w:pPr>
    </w:p>
    <w:p w14:paraId="73C27C9B" w14:textId="56C1D676" w:rsidR="00386C2E" w:rsidRPr="004F3B77" w:rsidRDefault="00386C2E" w:rsidP="00884D6B">
      <w:pPr>
        <w:rPr>
          <w:rFonts w:ascii="Times New Roman" w:hAnsi="Times New Roman" w:cs="Times New Roman"/>
        </w:rPr>
      </w:pPr>
      <w:r w:rsidRPr="004F3B77">
        <w:rPr>
          <w:rFonts w:ascii="Times New Roman" w:hAnsi="Times New Roman" w:cs="Times New Roman"/>
        </w:rPr>
        <w:t xml:space="preserve">In what follows, we provide a broad analysis of the relationship between political trust and COVID-related outcomes, synthesising the existing quantitative literature. Our intention is not to test every possible permutation of the relationship between trust and these outcomes but to test the broader claim that trust is helpful in mitigating the pandemic or in supporting public health measures. </w:t>
      </w:r>
    </w:p>
    <w:p w14:paraId="22FD580B" w14:textId="77777777" w:rsidR="00386C2E" w:rsidRPr="004F3B77" w:rsidRDefault="00386C2E" w:rsidP="00884D6B">
      <w:pPr>
        <w:rPr>
          <w:rFonts w:ascii="Times New Roman" w:hAnsi="Times New Roman" w:cs="Times New Roman"/>
        </w:rPr>
      </w:pPr>
    </w:p>
    <w:p w14:paraId="403E97CE" w14:textId="000F3437" w:rsidR="00386C2E" w:rsidRPr="004F3B77" w:rsidRDefault="00386C2E" w:rsidP="008A1398">
      <w:pPr>
        <w:rPr>
          <w:rFonts w:ascii="Times New Roman" w:hAnsi="Times New Roman" w:cs="Times New Roman"/>
          <w:b/>
          <w:bCs/>
        </w:rPr>
      </w:pPr>
      <w:r w:rsidRPr="004F3B77">
        <w:rPr>
          <w:rFonts w:ascii="Times New Roman" w:hAnsi="Times New Roman" w:cs="Times New Roman"/>
          <w:b/>
          <w:bCs/>
        </w:rPr>
        <w:t>Methods and Data</w:t>
      </w:r>
    </w:p>
    <w:p w14:paraId="329EFBF2" w14:textId="77777777" w:rsidR="00386C2E" w:rsidRPr="004F3B77" w:rsidRDefault="00386C2E" w:rsidP="001425E9">
      <w:pPr>
        <w:pStyle w:val="ListParagraph"/>
        <w:rPr>
          <w:rFonts w:ascii="Times New Roman" w:hAnsi="Times New Roman" w:cs="Times New Roman"/>
          <w:b/>
          <w:bCs/>
        </w:rPr>
      </w:pPr>
    </w:p>
    <w:p w14:paraId="75755DDE" w14:textId="3A1B4FBF" w:rsidR="00386C2E" w:rsidRPr="004F3B77" w:rsidRDefault="00386C2E" w:rsidP="001425E9">
      <w:pPr>
        <w:rPr>
          <w:rFonts w:ascii="Times New Roman" w:hAnsi="Times New Roman" w:cs="Times New Roman"/>
        </w:rPr>
      </w:pPr>
      <w:r w:rsidRPr="004F3B77">
        <w:rPr>
          <w:rFonts w:ascii="Times New Roman" w:hAnsi="Times New Roman" w:cs="Times New Roman"/>
        </w:rPr>
        <w:t xml:space="preserve">To test this, we use meta-analysis, which is a ‘systematic literature review supported by statistical methods where the goal is to aggregate and contrast the findings from several related studies’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{"citationID":"8HntZkcM","properties":{"formattedCitation":"(Viechtbauer, 2010)","plainCitation":"(Viechtbauer, 2010)","noteIndex":0},"citationItems":[{"id":14945,"uris":["http://zotero.org/users/2674438/items/95MBM6VW"],"itemData":{"id":14945,"type":"article-journal","abstract":"The metafor package provides functions for conducting meta-analyses in R. The package includes functions for ﬁtting the meta-analytic ﬁxed- and random-eﬀects models and allows for the inclusion of moderators variables (study-level covariates) in these models. Meta-regression analyses with continuous and categorical moderators can be conducted in this way. Functions for the Mantel-Haenszel and Peto’s one-step method for metaanalyses of 2 × 2 table data are also available. Finally, the package provides various plot functions (for example, for forest, funnel, and radial plots) and functions for assessing the model ﬁt, for obtaining case diagnostics, and for tests of publication bias.","container-title":"Journal of Statistical Software","DOI":"10.18637/jss.v036.i03","ISSN":"1548-7660","issue":"3","journalAbbreviation":"J. Stat. Soft.","language":"en","source":"DOI.org (Crossref)","title":"Conducting Meta-Analyses in R with the metafor Package","URL":"http://www.jstatsoft.org/v36/i03/","volume":"36","author":[{"family":"Viechtbauer","given":"Wolfgang"}],"accessed":{"date-parts":[["2021",11,26]]},"issued":{"date-parts":[["2010"]]}}}],"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(Viechtbauer, 2010)</w:t>
      </w:r>
      <w:r w:rsidRPr="004F3B77">
        <w:rPr>
          <w:rFonts w:ascii="Times New Roman" w:hAnsi="Times New Roman" w:cs="Times New Roman"/>
        </w:rPr>
        <w:fldChar w:fldCharType="end"/>
      </w:r>
      <w:r w:rsidRPr="004F3B77">
        <w:rPr>
          <w:rFonts w:ascii="Times New Roman" w:hAnsi="Times New Roman" w:cs="Times New Roman"/>
        </w:rPr>
        <w:t>. A meta-analysis requires three core steps. First, the data collection and coding of existing literature; second, the standardisation of quantities of interest across these studies; third, the modelling of these derived effect sizes. In this section, we describe each of these steps.</w:t>
      </w:r>
    </w:p>
    <w:p w14:paraId="7E4E4761" w14:textId="77777777" w:rsidR="00386C2E" w:rsidRPr="004F3B77" w:rsidRDefault="00386C2E" w:rsidP="00C705BA">
      <w:pPr>
        <w:pStyle w:val="ListParagraph"/>
        <w:rPr>
          <w:rFonts w:ascii="Times New Roman" w:hAnsi="Times New Roman" w:cs="Times New Roman"/>
        </w:rPr>
      </w:pPr>
    </w:p>
    <w:p w14:paraId="26FB80D2" w14:textId="09C6BF8F" w:rsidR="00386C2E" w:rsidRPr="004F3B77" w:rsidRDefault="00386C2E" w:rsidP="008A1398">
      <w:pPr>
        <w:rPr>
          <w:rFonts w:ascii="Times New Roman" w:hAnsi="Times New Roman" w:cs="Times New Roman"/>
          <w:b/>
          <w:bCs/>
          <w:i/>
          <w:iCs/>
        </w:rPr>
      </w:pPr>
      <w:r w:rsidRPr="004F3B77">
        <w:rPr>
          <w:rFonts w:ascii="Times New Roman" w:hAnsi="Times New Roman" w:cs="Times New Roman"/>
          <w:b/>
          <w:bCs/>
          <w:i/>
          <w:iCs/>
        </w:rPr>
        <w:t>Data collection and coding</w:t>
      </w:r>
    </w:p>
    <w:p w14:paraId="193C43BE" w14:textId="37FF80E1" w:rsidR="00386C2E" w:rsidRPr="004F3B77" w:rsidRDefault="00386C2E" w:rsidP="00406551">
      <w:pPr>
        <w:rPr>
          <w:rFonts w:ascii="Times New Roman" w:hAnsi="Times New Roman" w:cs="Times New Roman"/>
        </w:rPr>
      </w:pPr>
    </w:p>
    <w:p w14:paraId="60000733" w14:textId="7FB7D1F0" w:rsidR="00386C2E" w:rsidRPr="004F3B77" w:rsidRDefault="00386C2E" w:rsidP="00406551">
      <w:pPr>
        <w:rPr>
          <w:rFonts w:ascii="Times New Roman" w:hAnsi="Times New Roman" w:cs="Times New Roman"/>
        </w:rPr>
      </w:pPr>
      <w:r w:rsidRPr="004F3B77">
        <w:rPr>
          <w:rFonts w:ascii="Times New Roman" w:hAnsi="Times New Roman" w:cs="Times New Roman"/>
        </w:rPr>
        <w:t>To collect studies on the relationship between trust and COVID-related outcomes, we searched ProQuest and Web of Science, limiting the search to ‘Title, Abstract and Key Words’, and date of publication between January 2020 and the date of the search (20</w:t>
      </w:r>
      <w:r w:rsidRPr="004F3B77">
        <w:rPr>
          <w:rFonts w:ascii="Times New Roman" w:hAnsi="Times New Roman" w:cs="Times New Roman"/>
          <w:vertAlign w:val="superscript"/>
        </w:rPr>
        <w:t>th</w:t>
      </w:r>
      <w:r w:rsidRPr="004F3B77">
        <w:rPr>
          <w:rFonts w:ascii="Times New Roman" w:hAnsi="Times New Roman" w:cs="Times New Roman"/>
        </w:rPr>
        <w:t xml:space="preserve"> August 2021), with the following search terms:</w:t>
      </w:r>
    </w:p>
    <w:p w14:paraId="699830B5" w14:textId="0E9180C0" w:rsidR="00386C2E" w:rsidRPr="004F3B77" w:rsidRDefault="00386C2E" w:rsidP="00406551">
      <w:pPr>
        <w:rPr>
          <w:rFonts w:ascii="Times New Roman" w:hAnsi="Times New Roman" w:cs="Times New Roman"/>
        </w:rPr>
      </w:pPr>
    </w:p>
    <w:p w14:paraId="631A0216" w14:textId="77777777" w:rsidR="00386C2E" w:rsidRPr="004F3B77" w:rsidRDefault="00386C2E" w:rsidP="00E46642">
      <w:pPr>
        <w:rPr>
          <w:rFonts w:ascii="Times New Roman" w:hAnsi="Times New Roman" w:cs="Times New Roman"/>
        </w:rPr>
      </w:pPr>
      <w:r w:rsidRPr="004F3B77">
        <w:rPr>
          <w:rFonts w:ascii="Times New Roman" w:hAnsi="Times New Roman" w:cs="Times New Roman"/>
        </w:rPr>
        <w:t>(</w:t>
      </w:r>
      <w:proofErr w:type="gramStart"/>
      <w:r w:rsidRPr="004F3B77">
        <w:rPr>
          <w:rFonts w:ascii="Times New Roman" w:hAnsi="Times New Roman" w:cs="Times New Roman"/>
        </w:rPr>
        <w:t>trust</w:t>
      </w:r>
      <w:proofErr w:type="gramEnd"/>
      <w:r w:rsidRPr="004F3B77">
        <w:rPr>
          <w:rFonts w:ascii="Times New Roman" w:hAnsi="Times New Roman" w:cs="Times New Roman"/>
        </w:rPr>
        <w:t xml:space="preserve"> OR "political trust" OR "trust in politics" OR "political distrust" OR distrust) AND</w:t>
      </w:r>
    </w:p>
    <w:p w14:paraId="6FFA14A3" w14:textId="05B1C58B" w:rsidR="00386C2E" w:rsidRPr="004F3B77" w:rsidRDefault="00386C2E" w:rsidP="00E46642">
      <w:pPr>
        <w:rPr>
          <w:rFonts w:ascii="Times New Roman" w:hAnsi="Times New Roman" w:cs="Times New Roman"/>
        </w:rPr>
      </w:pPr>
      <w:r w:rsidRPr="004F3B77">
        <w:rPr>
          <w:rFonts w:ascii="Times New Roman" w:hAnsi="Times New Roman" w:cs="Times New Roman"/>
        </w:rPr>
        <w:t>(</w:t>
      </w:r>
      <w:proofErr w:type="gramStart"/>
      <w:r w:rsidRPr="004F3B77">
        <w:rPr>
          <w:rFonts w:ascii="Times New Roman" w:hAnsi="Times New Roman" w:cs="Times New Roman"/>
        </w:rPr>
        <w:t>policy</w:t>
      </w:r>
      <w:proofErr w:type="gramEnd"/>
      <w:r w:rsidRPr="004F3B77">
        <w:rPr>
          <w:rFonts w:ascii="Times New Roman" w:hAnsi="Times New Roman" w:cs="Times New Roman"/>
        </w:rPr>
        <w:t xml:space="preserve"> OR "policy preferences" OR "turnout" OR "voting" OR "voter turnout" OR participation OR "political participation" OR "political </w:t>
      </w:r>
      <w:proofErr w:type="spellStart"/>
      <w:r w:rsidRPr="004F3B77">
        <w:rPr>
          <w:rFonts w:ascii="Times New Roman" w:hAnsi="Times New Roman" w:cs="Times New Roman"/>
        </w:rPr>
        <w:t>behavio$r</w:t>
      </w:r>
      <w:proofErr w:type="spellEnd"/>
      <w:r w:rsidRPr="004F3B77">
        <w:rPr>
          <w:rFonts w:ascii="Times New Roman" w:hAnsi="Times New Roman" w:cs="Times New Roman"/>
        </w:rPr>
        <w:t xml:space="preserve">" OR </w:t>
      </w:r>
      <w:proofErr w:type="spellStart"/>
      <w:r w:rsidRPr="004F3B77">
        <w:rPr>
          <w:rFonts w:ascii="Times New Roman" w:hAnsi="Times New Roman" w:cs="Times New Roman"/>
        </w:rPr>
        <w:t>behavio$r</w:t>
      </w:r>
      <w:proofErr w:type="spellEnd"/>
      <w:r w:rsidRPr="004F3B77">
        <w:rPr>
          <w:rFonts w:ascii="Times New Roman" w:hAnsi="Times New Roman" w:cs="Times New Roman"/>
        </w:rPr>
        <w:t xml:space="preserve"> OR compliance OR "public opinion" OR opinion OR consequence* OR conspiracy OR "</w:t>
      </w:r>
      <w:proofErr w:type="spellStart"/>
      <w:r w:rsidRPr="004F3B77">
        <w:rPr>
          <w:rFonts w:ascii="Times New Roman" w:hAnsi="Times New Roman" w:cs="Times New Roman"/>
        </w:rPr>
        <w:t>vaccin</w:t>
      </w:r>
      <w:proofErr w:type="spellEnd"/>
      <w:r w:rsidRPr="004F3B77">
        <w:rPr>
          <w:rFonts w:ascii="Times New Roman" w:hAnsi="Times New Roman" w:cs="Times New Roman"/>
        </w:rPr>
        <w:t>*") AND (COVID” OR "COVID-19" OR "coronavirus" OR pandemic).</w:t>
      </w:r>
      <w:r w:rsidRPr="004F3B77">
        <w:rPr>
          <w:rStyle w:val="EndnoteReference"/>
          <w:rFonts w:ascii="Times New Roman" w:hAnsi="Times New Roman" w:cs="Times New Roman"/>
        </w:rPr>
        <w:endnoteReference w:id="4"/>
      </w:r>
      <w:r w:rsidRPr="004F3B77">
        <w:rPr>
          <w:rFonts w:ascii="Times New Roman" w:hAnsi="Times New Roman" w:cs="Times New Roman"/>
        </w:rPr>
        <w:t xml:space="preserve"> </w:t>
      </w:r>
    </w:p>
    <w:p w14:paraId="2CAE2B85" w14:textId="30C85061" w:rsidR="00386C2E" w:rsidRPr="004F3B77" w:rsidRDefault="00386C2E" w:rsidP="00E46642">
      <w:pPr>
        <w:rPr>
          <w:rFonts w:ascii="Times New Roman" w:hAnsi="Times New Roman" w:cs="Times New Roman"/>
        </w:rPr>
      </w:pPr>
    </w:p>
    <w:p w14:paraId="71D338AB" w14:textId="0DAC3885" w:rsidR="00386C2E" w:rsidRPr="004F3B77" w:rsidRDefault="00386C2E" w:rsidP="00406551">
      <w:pPr>
        <w:rPr>
          <w:rFonts w:ascii="Times New Roman" w:hAnsi="Times New Roman" w:cs="Times New Roman"/>
        </w:rPr>
      </w:pPr>
      <w:r w:rsidRPr="004F3B77">
        <w:rPr>
          <w:rFonts w:ascii="Times New Roman" w:hAnsi="Times New Roman" w:cs="Times New Roman"/>
        </w:rPr>
        <w:t xml:space="preserve">Our search terms were intentionally broad to obtain results for numerous outcomes that are prevalent within the early literature on political trust during COVID, such as compliance and vaccination. We were also motivated by the existing trust literature; these are core outcomes </w:t>
      </w:r>
      <w:r w:rsidRPr="004F3B77">
        <w:rPr>
          <w:rFonts w:ascii="Times New Roman" w:hAnsi="Times New Roman" w:cs="Times New Roman"/>
        </w:rPr>
        <w:lastRenderedPageBreak/>
        <w:t xml:space="preserve">identified by existing reviews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{"citationID":"A27jCbNq","properties":{"formattedCitation":"(Citrin &amp; Stoker, 2018; Uslaner, 2018; T. van der Meer &amp; Zmerli, 2017)","plainCitation":"(Citrin &amp; Stoker, 2018; Uslaner, 2018; T. van der Meer &amp; Zmerli, 2017)","noteIndex":0},"citationItems":[{"id":3834,"uris":["http://zotero.org/users/2674438/items/R2X6LXEJ"],"itemData":{"id":3834,"type":"chapter","container-title":"The Handbook on Political Trust","event-place":"Cheltenham","publisher":"Edward Elgar Publishing","publisher-place":"Cheltenham","title":"The deeply rooted concern with political trust","author":[{"family":"Meer","given":"Tom","non-dropping-particle":"van der"},{"family":"Zmerli","given":"Sonja"}],"editor":[{"family":"Zmerli","given":"Sonja"},{"family":"Meer","given":"Tom","non-dropping-particle":"van der"}],"issued":{"date-parts":[["2017"]]}}},{"id":3990,"uris":["http://zotero.org/users/2674438/items/FAHPHFJZ"],"itemData":{"id":3990,"type":"article-journal","abstract":"This article reviews recent survey-based research on citizens’ trust in government, focusing particularly on the United States. It addresses the long-term decline in trust and potential causes for this decline, with an emphasis on the effects of partisanship, polarization, performance, process, and media priming. While dispositions can anchor trust levels, the dominant research findings show that the sources of variation and change in trust are political, if multifaceted, in nature. We discuss new versions of standard measures, call for a renewed look at the distinction between trust in authorities and trust in the regime, review ongoing work on how and why trust matters, and recommend broadening the foci of mistrust to include antiestablishment sentiments and attacks on electoral integrity. How trust intervenes between perceptions of political processes and compliance with authoritative commands is a critical domain for additional research. We conclude with a caveat against confidence that the decline in trust can be quickly or easily reversed.","container-title":"Annual Review of Political Science","DOI":"10.1146/annurev-polisci-050316-092550","ISSN":"1094-2939","issue":"1","journalAbbreviation":"Annu. Rev. Polit. Sci.","page":"49-70","source":"annualreviews.org (Atypon)","title":"Political Trust in a Cynical Age","volume":"21","author":[{"family":"Citrin","given":"Jack"},{"family":"Stoker","given":"Laura"}],"issued":{"date-parts":[["2018",5,11]]}}},{"id":4233,"uris":["http://zotero.org/users/2674438/items/8X97IR68"],"itemData":{"id":4233,"type":"chapter","container-title":"The Oxford Handbook of Social and Political Trust","event-place":"Oxford","page":"1-12","publisher":"Oxford University Press","publisher-place":"Oxford","title":"The Study of Trust","author":[{"family":"Uslaner","given":"Eric M."}],"editor":[{"family":"Uslaner","given":"Eric M."}],"issued":{"date-parts":[["2018"]]}}}],"schema":"https://github.com/citation-style-language/schema/raw/master/csl-citation.json"}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(Citrin &amp; Stoker, 2018; Uslaner, 2018; T. van der Meer &amp; Zmerli, 2017)</w:t>
      </w:r>
      <w:r w:rsidRPr="004F3B77">
        <w:rPr>
          <w:rFonts w:ascii="Times New Roman" w:hAnsi="Times New Roman" w:cs="Times New Roman"/>
        </w:rPr>
        <w:fldChar w:fldCharType="end"/>
      </w:r>
      <w:r w:rsidRPr="004F3B77">
        <w:rPr>
          <w:rFonts w:ascii="Times New Roman" w:hAnsi="Times New Roman" w:cs="Times New Roman"/>
        </w:rPr>
        <w:t xml:space="preserve"> and therefore maximise our ability to contribute beyond the context of COVID. We could not plausibly address all potential outcomes, and indeed our search did not return substantial numbers of important outcomes, such as excess deaths. However, we do believe that our search returned many outcomes of interest at the time (such as conspiracy beliefs and vaccination) and those of relevance to the broader literature on political trust.</w:t>
      </w:r>
      <w:r w:rsidRPr="004F3B77">
        <w:rPr>
          <w:rStyle w:val="EndnoteReference"/>
          <w:rFonts w:ascii="Times New Roman" w:hAnsi="Times New Roman" w:cs="Times New Roman"/>
        </w:rPr>
        <w:endnoteReference w:id="5"/>
      </w:r>
    </w:p>
    <w:p w14:paraId="2B012543" w14:textId="65FF4870" w:rsidR="00386C2E" w:rsidRPr="004F3B77" w:rsidRDefault="00386C2E" w:rsidP="00406551">
      <w:pPr>
        <w:rPr>
          <w:rFonts w:ascii="Times New Roman" w:hAnsi="Times New Roman" w:cs="Times New Roman"/>
        </w:rPr>
      </w:pPr>
    </w:p>
    <w:p w14:paraId="194FED38" w14:textId="40231CAC" w:rsidR="00386C2E" w:rsidRPr="004F3B77" w:rsidRDefault="00386C2E" w:rsidP="00406551">
      <w:pPr>
        <w:rPr>
          <w:rFonts w:ascii="Times New Roman" w:hAnsi="Times New Roman" w:cs="Times New Roman"/>
        </w:rPr>
      </w:pPr>
      <w:r w:rsidRPr="004F3B77">
        <w:rPr>
          <w:rFonts w:ascii="Times New Roman" w:hAnsi="Times New Roman" w:cs="Times New Roman"/>
        </w:rPr>
        <w:t xml:space="preserve">The initial search returned 1,823 texts. One author screened the titles and abstracts, leading to 1,611 excluded, with 113 duplicates and 1,498 deemed irrelevant. These were </w:t>
      </w:r>
      <w:r w:rsidRPr="004F3B77">
        <w:rPr>
          <w:rFonts w:ascii="Times New Roman" w:hAnsi="Times New Roman" w:cs="Times New Roman"/>
          <w:i/>
          <w:iCs/>
        </w:rPr>
        <w:t xml:space="preserve">only </w:t>
      </w:r>
      <w:r w:rsidRPr="004F3B77">
        <w:rPr>
          <w:rFonts w:ascii="Times New Roman" w:hAnsi="Times New Roman" w:cs="Times New Roman"/>
        </w:rPr>
        <w:t>excluded at this stage if they were fundamentally incompatible with the meta-analysis, such as not studying the link between trust and some COVID-related outcome, not conducted during the pandemic, or similar. We then searched 212 returns for full texts, and 3 were not possible to locate. We screened the full texts of 209 returns, excluding 142. Reasons for these exclusions are available in Figure 1 (‘Reports excluded’), and broadly include issues such as the independent variable not being political trust and it not being possible to extract the effect size. At this stage, the final papers were distributed to seven coders, with 12 (18%) double coded. We then harmonised and coded the final dataset.</w:t>
      </w:r>
      <w:r w:rsidRPr="004F3B77">
        <w:rPr>
          <w:rStyle w:val="EndnoteReference"/>
          <w:rFonts w:ascii="Times New Roman" w:hAnsi="Times New Roman" w:cs="Times New Roman"/>
        </w:rPr>
        <w:endnoteReference w:id="6"/>
      </w:r>
      <w:r w:rsidRPr="004F3B77">
        <w:rPr>
          <w:rFonts w:ascii="Times New Roman" w:hAnsi="Times New Roman" w:cs="Times New Roman"/>
        </w:rPr>
        <w:t xml:space="preserve">  We coded and therefore included a total of 67 texts. We describe our search process in Figure 1.</w:t>
      </w:r>
      <w:r w:rsidRPr="004F3B77">
        <w:rPr>
          <w:rStyle w:val="EndnoteReference"/>
          <w:rFonts w:ascii="Times New Roman" w:hAnsi="Times New Roman" w:cs="Times New Roman"/>
        </w:rPr>
        <w:endnoteReference w:id="7"/>
      </w:r>
    </w:p>
    <w:p w14:paraId="270FEAFF" w14:textId="625790C8" w:rsidR="00386C2E" w:rsidRPr="004F3B77" w:rsidRDefault="00386C2E">
      <w:pPr>
        <w:rPr>
          <w:rFonts w:ascii="Times New Roman" w:hAnsi="Times New Roman" w:cs="Times New Roman"/>
        </w:rPr>
      </w:pPr>
      <w:r w:rsidRPr="004F3B77">
        <w:rPr>
          <w:rFonts w:ascii="Times New Roman" w:hAnsi="Times New Roman" w:cs="Times New Roman"/>
        </w:rPr>
        <w:br w:type="page"/>
      </w:r>
    </w:p>
    <w:p w14:paraId="545A2AA9" w14:textId="77777777" w:rsidR="00386C2E" w:rsidRPr="004F3B77" w:rsidRDefault="00386C2E" w:rsidP="00406551">
      <w:pPr>
        <w:rPr>
          <w:rFonts w:ascii="Times New Roman" w:hAnsi="Times New Roman" w:cs="Times New Roman"/>
        </w:rPr>
      </w:pPr>
    </w:p>
    <w:p w14:paraId="708029FF" w14:textId="77777777" w:rsidR="00386C2E" w:rsidRPr="004F3B77" w:rsidRDefault="00386C2E" w:rsidP="006D17C5">
      <w:pPr>
        <w:rPr>
          <w:rFonts w:ascii="Times New Roman" w:hAnsi="Times New Roman" w:cs="Times New Roman"/>
        </w:rPr>
      </w:pPr>
    </w:p>
    <w:p w14:paraId="7FD80176"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0C45412F" wp14:editId="57E2667D">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646C44C" w14:textId="77777777" w:rsidR="00386C2E" w:rsidRPr="001502CF" w:rsidRDefault="00386C2E" w:rsidP="006D17C5">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5412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" fillcolor="#ffc000 [3207]" strokecolor="#7f5f00 [1607]" strokeweight="1pt">
                <v:textbox>
                  <w:txbxContent>
                    <w:p w14:paraId="5646C44C" w14:textId="77777777" w:rsidR="00386C2E" w:rsidRPr="001502CF" w:rsidRDefault="00386C2E" w:rsidP="006D17C5">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w:t>
                      </w:r>
                    </w:p>
                  </w:txbxContent>
                </v:textbox>
              </v:shape>
            </w:pict>
          </mc:Fallback>
        </mc:AlternateContent>
      </w:r>
    </w:p>
    <w:p w14:paraId="1CBD0661" w14:textId="77777777" w:rsidR="00386C2E" w:rsidRPr="004F3B77" w:rsidRDefault="00386C2E" w:rsidP="006D17C5">
      <w:pPr>
        <w:rPr>
          <w:rFonts w:ascii="Times New Roman" w:hAnsi="Times New Roman" w:cs="Times New Roman"/>
        </w:rPr>
      </w:pPr>
    </w:p>
    <w:p w14:paraId="1AAA6A1E"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2382AF04" wp14:editId="6780EB9E">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7A86B" w14:textId="77777777" w:rsidR="00386C2E" w:rsidRDefault="00386C2E" w:rsidP="006D17C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17D4DB21" w14:textId="64D9AB7B" w:rsidR="00386C2E" w:rsidRDefault="00386C2E" w:rsidP="006D17C5">
                            <w:pPr>
                              <w:ind w:left="284"/>
                              <w:rPr>
                                <w:rFonts w:ascii="Arial" w:hAnsi="Arial" w:cs="Arial"/>
                                <w:color w:val="000000" w:themeColor="text1"/>
                                <w:sz w:val="18"/>
                                <w:szCs w:val="20"/>
                              </w:rPr>
                            </w:pPr>
                            <w:r>
                              <w:rPr>
                                <w:rFonts w:ascii="Arial" w:hAnsi="Arial" w:cs="Arial"/>
                                <w:color w:val="000000" w:themeColor="text1"/>
                                <w:sz w:val="18"/>
                                <w:szCs w:val="20"/>
                              </w:rPr>
                              <w:t>Web of Science (n = 995)</w:t>
                            </w:r>
                          </w:p>
                          <w:p w14:paraId="5BE734B0" w14:textId="1043FAB1" w:rsidR="00386C2E" w:rsidRDefault="00386C2E" w:rsidP="006D17C5">
                            <w:pPr>
                              <w:ind w:left="284"/>
                              <w:rPr>
                                <w:rFonts w:ascii="Arial" w:hAnsi="Arial" w:cs="Arial"/>
                                <w:color w:val="000000" w:themeColor="text1"/>
                                <w:sz w:val="18"/>
                                <w:szCs w:val="20"/>
                              </w:rPr>
                            </w:pPr>
                            <w:r>
                              <w:rPr>
                                <w:rFonts w:ascii="Arial" w:hAnsi="Arial" w:cs="Arial"/>
                                <w:color w:val="000000" w:themeColor="text1"/>
                                <w:sz w:val="18"/>
                                <w:szCs w:val="20"/>
                              </w:rPr>
                              <w:t>ProQuest (n = 828)</w:t>
                            </w:r>
                          </w:p>
                          <w:p w14:paraId="4FDD2A84" w14:textId="77777777" w:rsidR="00386C2E" w:rsidRPr="00560609" w:rsidRDefault="00386C2E" w:rsidP="006D17C5">
                            <w:pPr>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2AF04" id="Rectangle 1" o:spid="_x0000_s1027" style="position:absolute;margin-left:44.05pt;margin-top:6.05pt;width:148.6pt;height:97.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" filled="f" strokecolor="black [3213]" strokeweight="1pt">
                <v:textbox>
                  <w:txbxContent>
                    <w:p w14:paraId="4307A86B" w14:textId="77777777" w:rsidR="00386C2E" w:rsidRDefault="00386C2E" w:rsidP="006D17C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17D4DB21" w14:textId="64D9AB7B" w:rsidR="00386C2E" w:rsidRDefault="00386C2E" w:rsidP="006D17C5">
                      <w:pPr>
                        <w:ind w:left="284"/>
                        <w:rPr>
                          <w:rFonts w:ascii="Arial" w:hAnsi="Arial" w:cs="Arial"/>
                          <w:color w:val="000000" w:themeColor="text1"/>
                          <w:sz w:val="18"/>
                          <w:szCs w:val="20"/>
                        </w:rPr>
                      </w:pPr>
                      <w:r>
                        <w:rPr>
                          <w:rFonts w:ascii="Arial" w:hAnsi="Arial" w:cs="Arial"/>
                          <w:color w:val="000000" w:themeColor="text1"/>
                          <w:sz w:val="18"/>
                          <w:szCs w:val="20"/>
                        </w:rPr>
                        <w:t>Web of Science (n = 995)</w:t>
                      </w:r>
                    </w:p>
                    <w:p w14:paraId="5BE734B0" w14:textId="1043FAB1" w:rsidR="00386C2E" w:rsidRDefault="00386C2E" w:rsidP="006D17C5">
                      <w:pPr>
                        <w:ind w:left="284"/>
                        <w:rPr>
                          <w:rFonts w:ascii="Arial" w:hAnsi="Arial" w:cs="Arial"/>
                          <w:color w:val="000000" w:themeColor="text1"/>
                          <w:sz w:val="18"/>
                          <w:szCs w:val="20"/>
                        </w:rPr>
                      </w:pPr>
                      <w:r>
                        <w:rPr>
                          <w:rFonts w:ascii="Arial" w:hAnsi="Arial" w:cs="Arial"/>
                          <w:color w:val="000000" w:themeColor="text1"/>
                          <w:sz w:val="18"/>
                          <w:szCs w:val="20"/>
                        </w:rPr>
                        <w:t>ProQuest (n = 828)</w:t>
                      </w:r>
                    </w:p>
                    <w:p w14:paraId="4FDD2A84" w14:textId="77777777" w:rsidR="00386C2E" w:rsidRPr="00560609" w:rsidRDefault="00386C2E" w:rsidP="006D17C5">
                      <w:pPr>
                        <w:ind w:left="284"/>
                        <w:rPr>
                          <w:rFonts w:ascii="Arial" w:hAnsi="Arial" w:cs="Arial"/>
                          <w:color w:val="000000" w:themeColor="text1"/>
                          <w:sz w:val="18"/>
                          <w:szCs w:val="20"/>
                        </w:rPr>
                      </w:pPr>
                    </w:p>
                  </w:txbxContent>
                </v:textbox>
              </v:rect>
            </w:pict>
          </mc:Fallback>
        </mc:AlternateContent>
      </w:r>
    </w:p>
    <w:p w14:paraId="16B5C131" w14:textId="77777777" w:rsidR="00386C2E" w:rsidRPr="004F3B77" w:rsidRDefault="00386C2E" w:rsidP="006D17C5">
      <w:pPr>
        <w:rPr>
          <w:rFonts w:ascii="Times New Roman" w:hAnsi="Times New Roman" w:cs="Times New Roman"/>
        </w:rPr>
      </w:pPr>
    </w:p>
    <w:p w14:paraId="55C1226E"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57DBEAF5" wp14:editId="2AD19BB0">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EA82A89" w14:textId="77777777" w:rsidR="00386C2E" w:rsidRPr="001502CF" w:rsidRDefault="00386C2E" w:rsidP="006D17C5">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BEAF5" id="Flowchart: Alternate Process 31" o:spid="_x0000_s1028" type="#_x0000_t176" style="position:absolute;margin-left:-31.8pt;margin-top:17.5pt;width:100.55pt;height:20.7pt;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" fillcolor="#9cc2e5 [1944]" strokecolor="black [3213]" strokeweight="1pt">
                <v:textbox>
                  <w:txbxContent>
                    <w:p w14:paraId="1EA82A89" w14:textId="77777777" w:rsidR="00386C2E" w:rsidRPr="001502CF" w:rsidRDefault="00386C2E" w:rsidP="006D17C5">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6D52C78D" w14:textId="77777777" w:rsidR="00386C2E" w:rsidRPr="004F3B77" w:rsidRDefault="00386C2E" w:rsidP="006D17C5">
      <w:pPr>
        <w:rPr>
          <w:rFonts w:ascii="Times New Roman" w:hAnsi="Times New Roman" w:cs="Times New Roman"/>
        </w:rPr>
      </w:pPr>
    </w:p>
    <w:p w14:paraId="1BBE5427" w14:textId="77777777" w:rsidR="00386C2E" w:rsidRPr="004F3B77" w:rsidRDefault="00386C2E" w:rsidP="006D17C5">
      <w:pPr>
        <w:rPr>
          <w:rFonts w:ascii="Times New Roman" w:hAnsi="Times New Roman" w:cs="Times New Roman"/>
        </w:rPr>
      </w:pPr>
    </w:p>
    <w:p w14:paraId="6FAF0D3E" w14:textId="77777777" w:rsidR="00386C2E" w:rsidRPr="004F3B77" w:rsidRDefault="00386C2E" w:rsidP="006D17C5">
      <w:pPr>
        <w:rPr>
          <w:rFonts w:ascii="Times New Roman" w:hAnsi="Times New Roman" w:cs="Times New Roman"/>
        </w:rPr>
      </w:pPr>
    </w:p>
    <w:p w14:paraId="299C02C1" w14:textId="77777777" w:rsidR="00386C2E" w:rsidRPr="004F3B77" w:rsidRDefault="00386C2E" w:rsidP="006D17C5">
      <w:pPr>
        <w:rPr>
          <w:rFonts w:ascii="Times New Roman" w:hAnsi="Times New Roman" w:cs="Times New Roman"/>
        </w:rPr>
      </w:pPr>
    </w:p>
    <w:p w14:paraId="61226A12"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464E6AE1" wp14:editId="49671F91">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741579" id="_x0000_t32" coordsize="21600,21600" o:spt="32" o:oned="t" path="m,l21600,21600e" filled="f">
                <v:path arrowok="t" fillok="f" o:connecttype="none"/>
                <o:lock v:ext="edit" shapetype="t"/>
              </v:shapetype>
              <v:shape id="Straight Arrow Connector 27" o:spid="_x0000_s1026" type="#_x0000_t32" style="position:absolute;margin-left:110.25pt;margin-top:10.15pt;width:0;height:22.1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" strokecolor="black [3213]" strokeweight=".5pt">
                <v:stroke endarrow="block" joinstyle="miter"/>
              </v:shape>
            </w:pict>
          </mc:Fallback>
        </mc:AlternateContent>
      </w:r>
    </w:p>
    <w:p w14:paraId="004C2B14"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26848" behindDoc="0" locked="0" layoutInCell="1" allowOverlap="1" wp14:anchorId="1432D1C0" wp14:editId="7CA55E94">
                <wp:simplePos x="0" y="0"/>
                <wp:positionH relativeFrom="column">
                  <wp:posOffset>3048000</wp:posOffset>
                </wp:positionH>
                <wp:positionV relativeFrom="paragraph">
                  <wp:posOffset>153670</wp:posOffset>
                </wp:positionV>
                <wp:extent cx="1887220" cy="635000"/>
                <wp:effectExtent l="0" t="0" r="17780" b="12700"/>
                <wp:wrapNone/>
                <wp:docPr id="4" name="Rectangle 4"/>
                <wp:cNvGraphicFramePr/>
                <a:graphic xmlns:a="http://schemas.openxmlformats.org/drawingml/2006/main">
                  <a:graphicData uri="http://schemas.microsoft.com/office/word/2010/wordprocessingShape">
                    <wps:wsp>
                      <wps:cNvSpPr/>
                      <wps:spPr>
                        <a:xfrm>
                          <a:off x="0" y="0"/>
                          <a:ext cx="1887220" cy="635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0693C2" w14:textId="2C33210E" w:rsidR="00386C2E" w:rsidRDefault="00386C2E" w:rsidP="006D17C5">
                            <w:pPr>
                              <w:rPr>
                                <w:rFonts w:ascii="Arial" w:hAnsi="Arial" w:cs="Arial"/>
                                <w:color w:val="000000" w:themeColor="text1"/>
                                <w:sz w:val="18"/>
                                <w:szCs w:val="20"/>
                              </w:rPr>
                            </w:pPr>
                            <w:r>
                              <w:rPr>
                                <w:rFonts w:ascii="Arial" w:hAnsi="Arial" w:cs="Arial"/>
                                <w:color w:val="000000" w:themeColor="text1"/>
                                <w:sz w:val="18"/>
                                <w:szCs w:val="20"/>
                              </w:rPr>
                              <w:t>Ineligible (n = 1498)</w:t>
                            </w:r>
                          </w:p>
                          <w:p w14:paraId="755F8238" w14:textId="77777777" w:rsidR="00386C2E" w:rsidRDefault="00386C2E" w:rsidP="006D17C5">
                            <w:pPr>
                              <w:rPr>
                                <w:rFonts w:ascii="Arial" w:hAnsi="Arial" w:cs="Arial"/>
                                <w:color w:val="000000" w:themeColor="text1"/>
                                <w:sz w:val="18"/>
                                <w:szCs w:val="20"/>
                              </w:rPr>
                            </w:pPr>
                            <w:r>
                              <w:rPr>
                                <w:rFonts w:ascii="Arial" w:hAnsi="Arial" w:cs="Arial"/>
                                <w:color w:val="000000" w:themeColor="text1"/>
                                <w:sz w:val="18"/>
                                <w:szCs w:val="20"/>
                              </w:rPr>
                              <w:t>Duplicates* (n = 113)</w:t>
                            </w:r>
                          </w:p>
                          <w:p w14:paraId="6C138B36" w14:textId="35913C5F" w:rsidR="00386C2E" w:rsidRDefault="00386C2E" w:rsidP="006D17C5">
                            <w:pPr>
                              <w:rPr>
                                <w:rFonts w:ascii="Arial" w:hAnsi="Arial" w:cs="Arial"/>
                                <w:color w:val="000000" w:themeColor="text1"/>
                                <w:sz w:val="18"/>
                                <w:szCs w:val="20"/>
                              </w:rPr>
                            </w:pPr>
                            <w:r>
                              <w:rPr>
                                <w:rFonts w:ascii="Arial" w:hAnsi="Arial" w:cs="Arial"/>
                                <w:color w:val="000000" w:themeColor="text1"/>
                                <w:sz w:val="18"/>
                                <w:szCs w:val="20"/>
                              </w:rPr>
                              <w:t>Total excluded (n = 1611)</w:t>
                            </w:r>
                          </w:p>
                          <w:p w14:paraId="44D093F9" w14:textId="77777777" w:rsidR="00386C2E" w:rsidRDefault="00386C2E" w:rsidP="006D17C5">
                            <w:pPr>
                              <w:rPr>
                                <w:rFonts w:ascii="Arial" w:hAnsi="Arial" w:cs="Arial"/>
                                <w:color w:val="000000" w:themeColor="text1"/>
                                <w:sz w:val="18"/>
                                <w:szCs w:val="20"/>
                              </w:rPr>
                            </w:pPr>
                          </w:p>
                          <w:p w14:paraId="10C98CF4" w14:textId="77777777" w:rsidR="00386C2E" w:rsidRPr="00560609" w:rsidRDefault="00386C2E" w:rsidP="006D17C5">
                            <w:pPr>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2D1C0" id="Rectangle 4" o:spid="_x0000_s1029" style="position:absolute;margin-left:240pt;margin-top:12.1pt;width:148.6pt;height:5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" filled="f" strokecolor="black [3213]" strokeweight="1pt">
                <v:textbox>
                  <w:txbxContent>
                    <w:p w14:paraId="760693C2" w14:textId="2C33210E" w:rsidR="00386C2E" w:rsidRDefault="00386C2E" w:rsidP="006D17C5">
                      <w:pPr>
                        <w:rPr>
                          <w:rFonts w:ascii="Arial" w:hAnsi="Arial" w:cs="Arial"/>
                          <w:color w:val="000000" w:themeColor="text1"/>
                          <w:sz w:val="18"/>
                          <w:szCs w:val="20"/>
                        </w:rPr>
                      </w:pPr>
                      <w:r>
                        <w:rPr>
                          <w:rFonts w:ascii="Arial" w:hAnsi="Arial" w:cs="Arial"/>
                          <w:color w:val="000000" w:themeColor="text1"/>
                          <w:sz w:val="18"/>
                          <w:szCs w:val="20"/>
                        </w:rPr>
                        <w:t>Ineligible (n = 1498)</w:t>
                      </w:r>
                    </w:p>
                    <w:p w14:paraId="755F8238" w14:textId="77777777" w:rsidR="00386C2E" w:rsidRDefault="00386C2E" w:rsidP="006D17C5">
                      <w:pPr>
                        <w:rPr>
                          <w:rFonts w:ascii="Arial" w:hAnsi="Arial" w:cs="Arial"/>
                          <w:color w:val="000000" w:themeColor="text1"/>
                          <w:sz w:val="18"/>
                          <w:szCs w:val="20"/>
                        </w:rPr>
                      </w:pPr>
                      <w:r>
                        <w:rPr>
                          <w:rFonts w:ascii="Arial" w:hAnsi="Arial" w:cs="Arial"/>
                          <w:color w:val="000000" w:themeColor="text1"/>
                          <w:sz w:val="18"/>
                          <w:szCs w:val="20"/>
                        </w:rPr>
                        <w:t>Duplicates* (n = 113)</w:t>
                      </w:r>
                    </w:p>
                    <w:p w14:paraId="6C138B36" w14:textId="35913C5F" w:rsidR="00386C2E" w:rsidRDefault="00386C2E" w:rsidP="006D17C5">
                      <w:pPr>
                        <w:rPr>
                          <w:rFonts w:ascii="Arial" w:hAnsi="Arial" w:cs="Arial"/>
                          <w:color w:val="000000" w:themeColor="text1"/>
                          <w:sz w:val="18"/>
                          <w:szCs w:val="20"/>
                        </w:rPr>
                      </w:pPr>
                      <w:r>
                        <w:rPr>
                          <w:rFonts w:ascii="Arial" w:hAnsi="Arial" w:cs="Arial"/>
                          <w:color w:val="000000" w:themeColor="text1"/>
                          <w:sz w:val="18"/>
                          <w:szCs w:val="20"/>
                        </w:rPr>
                        <w:t>Total excluded (n = 1611)</w:t>
                      </w:r>
                    </w:p>
                    <w:p w14:paraId="44D093F9" w14:textId="77777777" w:rsidR="00386C2E" w:rsidRDefault="00386C2E" w:rsidP="006D17C5">
                      <w:pPr>
                        <w:rPr>
                          <w:rFonts w:ascii="Arial" w:hAnsi="Arial" w:cs="Arial"/>
                          <w:color w:val="000000" w:themeColor="text1"/>
                          <w:sz w:val="18"/>
                          <w:szCs w:val="20"/>
                        </w:rPr>
                      </w:pPr>
                    </w:p>
                    <w:p w14:paraId="10C98CF4" w14:textId="77777777" w:rsidR="00386C2E" w:rsidRPr="00560609" w:rsidRDefault="00386C2E" w:rsidP="006D17C5">
                      <w:pPr>
                        <w:rPr>
                          <w:rFonts w:ascii="Arial" w:hAnsi="Arial" w:cs="Arial"/>
                          <w:color w:val="000000" w:themeColor="text1"/>
                          <w:sz w:val="18"/>
                          <w:szCs w:val="20"/>
                        </w:rPr>
                      </w:pPr>
                    </w:p>
                  </w:txbxContent>
                </v:textbox>
              </v:rect>
            </w:pict>
          </mc:Fallback>
        </mc:AlternateContent>
      </w:r>
    </w:p>
    <w:p w14:paraId="051D5F62"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6F2A5DEE" wp14:editId="47627191">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DF8B14" id="Straight Arrow Connector 15" o:spid="_x0000_s1026" type="#_x0000_t32" style="position:absolute;margin-left:193.2pt;margin-top:25.85pt;width:44.35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" strokecolor="black [3213]" strokeweight=".5pt">
                <v:stroke endarrow="block" joinstyle="miter"/>
              </v:shape>
            </w:pict>
          </mc:Fallback>
        </mc:AlternateContent>
      </w:r>
      <w:r w:rsidRPr="004F3B77">
        <w:rPr>
          <w:rFonts w:ascii="Times New Roman" w:hAnsi="Times New Roman" w:cs="Times New Roman"/>
          <w:noProof/>
        </w:rPr>
        <mc:AlternateContent>
          <mc:Choice Requires="wps">
            <w:drawing>
              <wp:anchor distT="0" distB="0" distL="114300" distR="114300" simplePos="0" relativeHeight="251725824" behindDoc="0" locked="0" layoutInCell="1" allowOverlap="1" wp14:anchorId="26AB9621" wp14:editId="1FAB2A49">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1CBFE3" w14:textId="13179D0D" w:rsidR="00386C2E" w:rsidRPr="00560609" w:rsidRDefault="00386C2E" w:rsidP="006D17C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 based on title and abstract (n = 1823)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B9621" id="Rectangle 3" o:spid="_x0000_s1030" style="position:absolute;margin-left:44.05pt;margin-top:5.9pt;width:148.6pt;height:41.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" filled="f" strokecolor="black [3213]" strokeweight="1pt">
                <v:textbox>
                  <w:txbxContent>
                    <w:p w14:paraId="3C1CBFE3" w14:textId="13179D0D" w:rsidR="00386C2E" w:rsidRPr="00560609" w:rsidRDefault="00386C2E" w:rsidP="006D17C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 based on title and abstract (n = 1823)</w:t>
                      </w:r>
                    </w:p>
                  </w:txbxContent>
                </v:textbox>
              </v:rect>
            </w:pict>
          </mc:Fallback>
        </mc:AlternateContent>
      </w:r>
    </w:p>
    <w:p w14:paraId="52E0E029" w14:textId="77777777" w:rsidR="00386C2E" w:rsidRPr="004F3B77" w:rsidRDefault="00386C2E" w:rsidP="006D17C5">
      <w:pPr>
        <w:rPr>
          <w:rFonts w:ascii="Times New Roman" w:hAnsi="Times New Roman" w:cs="Times New Roman"/>
        </w:rPr>
      </w:pPr>
    </w:p>
    <w:p w14:paraId="18045787" w14:textId="77777777" w:rsidR="00386C2E" w:rsidRPr="004F3B77" w:rsidRDefault="00386C2E" w:rsidP="006D17C5">
      <w:pPr>
        <w:rPr>
          <w:rFonts w:ascii="Times New Roman" w:hAnsi="Times New Roman" w:cs="Times New Roman"/>
        </w:rPr>
      </w:pPr>
    </w:p>
    <w:p w14:paraId="799EA670"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0481F223" wp14:editId="0832E45D">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D1A799" id="Straight Arrow Connector 35" o:spid="_x0000_s1026" type="#_x0000_t32" style="position:absolute;margin-left:110.25pt;margin-top:7.85pt;width:0;height:22.1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" strokecolor="black [3213]" strokeweight=".5pt">
                <v:stroke endarrow="block" joinstyle="miter"/>
              </v:shape>
            </w:pict>
          </mc:Fallback>
        </mc:AlternateContent>
      </w:r>
    </w:p>
    <w:p w14:paraId="56641311" w14:textId="77777777" w:rsidR="00386C2E" w:rsidRPr="004F3B77" w:rsidRDefault="00386C2E" w:rsidP="006D17C5">
      <w:pPr>
        <w:rPr>
          <w:rFonts w:ascii="Times New Roman" w:hAnsi="Times New Roman" w:cs="Times New Roman"/>
        </w:rPr>
      </w:pPr>
    </w:p>
    <w:p w14:paraId="583C6118"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236F6761" wp14:editId="03DDB26F">
                <wp:simplePos x="0" y="0"/>
                <wp:positionH relativeFrom="column">
                  <wp:posOffset>3049570</wp:posOffset>
                </wp:positionH>
                <wp:positionV relativeFrom="paragraph">
                  <wp:posOffset>165735</wp:posOffset>
                </wp:positionV>
                <wp:extent cx="1887220" cy="267118"/>
                <wp:effectExtent l="0" t="0" r="17780" b="12700"/>
                <wp:wrapNone/>
                <wp:docPr id="2" name="Rectangle 2"/>
                <wp:cNvGraphicFramePr/>
                <a:graphic xmlns:a="http://schemas.openxmlformats.org/drawingml/2006/main">
                  <a:graphicData uri="http://schemas.microsoft.com/office/word/2010/wordprocessingShape">
                    <wps:wsp>
                      <wps:cNvSpPr/>
                      <wps:spPr>
                        <a:xfrm>
                          <a:off x="0" y="0"/>
                          <a:ext cx="1887220" cy="2671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68B657" w14:textId="77777777" w:rsidR="00386C2E" w:rsidRDefault="00386C2E" w:rsidP="006D17C5">
                            <w:pPr>
                              <w:rPr>
                                <w:rFonts w:ascii="Arial" w:hAnsi="Arial" w:cs="Arial"/>
                                <w:color w:val="000000" w:themeColor="text1"/>
                                <w:sz w:val="18"/>
                                <w:szCs w:val="20"/>
                              </w:rPr>
                            </w:pPr>
                            <w:r>
                              <w:rPr>
                                <w:rFonts w:ascii="Arial" w:hAnsi="Arial" w:cs="Arial"/>
                                <w:color w:val="000000" w:themeColor="text1"/>
                                <w:sz w:val="18"/>
                                <w:szCs w:val="20"/>
                              </w:rPr>
                              <w:t>Unable to access (n = 3)</w:t>
                            </w:r>
                          </w:p>
                          <w:p w14:paraId="15281FCB" w14:textId="77777777" w:rsidR="00386C2E" w:rsidRPr="00560609" w:rsidRDefault="00386C2E" w:rsidP="006D17C5">
                            <w:pPr>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F6761" id="Rectangle 2" o:spid="_x0000_s1031" style="position:absolute;margin-left:240.1pt;margin-top:13.05pt;width:148.6pt;height:21.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" filled="f" strokecolor="black [3213]" strokeweight="1pt">
                <v:textbox>
                  <w:txbxContent>
                    <w:p w14:paraId="5D68B657" w14:textId="77777777" w:rsidR="00386C2E" w:rsidRDefault="00386C2E" w:rsidP="006D17C5">
                      <w:pPr>
                        <w:rPr>
                          <w:rFonts w:ascii="Arial" w:hAnsi="Arial" w:cs="Arial"/>
                          <w:color w:val="000000" w:themeColor="text1"/>
                          <w:sz w:val="18"/>
                          <w:szCs w:val="20"/>
                        </w:rPr>
                      </w:pPr>
                      <w:r>
                        <w:rPr>
                          <w:rFonts w:ascii="Arial" w:hAnsi="Arial" w:cs="Arial"/>
                          <w:color w:val="000000" w:themeColor="text1"/>
                          <w:sz w:val="18"/>
                          <w:szCs w:val="20"/>
                        </w:rPr>
                        <w:t>Unable to access (n = 3)</w:t>
                      </w:r>
                    </w:p>
                    <w:p w14:paraId="15281FCB" w14:textId="77777777" w:rsidR="00386C2E" w:rsidRPr="00560609" w:rsidRDefault="00386C2E" w:rsidP="006D17C5">
                      <w:pPr>
                        <w:rPr>
                          <w:rFonts w:ascii="Arial" w:hAnsi="Arial" w:cs="Arial"/>
                          <w:color w:val="000000" w:themeColor="text1"/>
                          <w:sz w:val="18"/>
                          <w:szCs w:val="20"/>
                        </w:rPr>
                      </w:pPr>
                    </w:p>
                  </w:txbxContent>
                </v:textbox>
              </v:rect>
            </w:pict>
          </mc:Fallback>
        </mc:AlternateContent>
      </w:r>
      <w:r w:rsidRPr="004F3B77">
        <w:rPr>
          <w:rFonts w:ascii="Times New Roman" w:hAnsi="Times New Roman" w:cs="Times New Roman"/>
          <w:noProof/>
        </w:rPr>
        <mc:AlternateContent>
          <mc:Choice Requires="wps">
            <w:drawing>
              <wp:anchor distT="0" distB="0" distL="114300" distR="114300" simplePos="0" relativeHeight="251727872" behindDoc="0" locked="0" layoutInCell="1" allowOverlap="1" wp14:anchorId="6B12F6A8" wp14:editId="518D7CEC">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25F1A" w14:textId="77777777" w:rsidR="00386C2E" w:rsidRDefault="00386C2E" w:rsidP="006D17C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41C734F3" w14:textId="581AD7BE" w:rsidR="00386C2E" w:rsidRPr="00560609" w:rsidRDefault="00386C2E" w:rsidP="006D17C5">
                            <w:pPr>
                              <w:rPr>
                                <w:rFonts w:ascii="Arial" w:hAnsi="Arial" w:cs="Arial"/>
                                <w:color w:val="000000" w:themeColor="text1"/>
                                <w:sz w:val="18"/>
                                <w:szCs w:val="20"/>
                              </w:rPr>
                            </w:pPr>
                            <w:r>
                              <w:rPr>
                                <w:rFonts w:ascii="Arial" w:hAnsi="Arial" w:cs="Arial"/>
                                <w:color w:val="000000" w:themeColor="text1"/>
                                <w:sz w:val="18"/>
                                <w:szCs w:val="20"/>
                              </w:rPr>
                              <w:t>(n = 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2F6A8" id="Rectangle 5" o:spid="_x0000_s1032" style="position:absolute;margin-left:44.15pt;margin-top:3.75pt;width:148.6pt;height:41.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" filled="f" strokecolor="black [3213]" strokeweight="1pt">
                <v:textbox>
                  <w:txbxContent>
                    <w:p w14:paraId="3EC25F1A" w14:textId="77777777" w:rsidR="00386C2E" w:rsidRDefault="00386C2E" w:rsidP="006D17C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41C734F3" w14:textId="581AD7BE" w:rsidR="00386C2E" w:rsidRPr="00560609" w:rsidRDefault="00386C2E" w:rsidP="006D17C5">
                      <w:pPr>
                        <w:rPr>
                          <w:rFonts w:ascii="Arial" w:hAnsi="Arial" w:cs="Arial"/>
                          <w:color w:val="000000" w:themeColor="text1"/>
                          <w:sz w:val="18"/>
                          <w:szCs w:val="20"/>
                        </w:rPr>
                      </w:pPr>
                      <w:r>
                        <w:rPr>
                          <w:rFonts w:ascii="Arial" w:hAnsi="Arial" w:cs="Arial"/>
                          <w:color w:val="000000" w:themeColor="text1"/>
                          <w:sz w:val="18"/>
                          <w:szCs w:val="20"/>
                        </w:rPr>
                        <w:t>(n = 212)</w:t>
                      </w:r>
                    </w:p>
                  </w:txbxContent>
                </v:textbox>
              </v:rect>
            </w:pict>
          </mc:Fallback>
        </mc:AlternateContent>
      </w:r>
    </w:p>
    <w:p w14:paraId="1F65C178"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43232" behindDoc="0" locked="0" layoutInCell="1" allowOverlap="1" wp14:anchorId="3BFE472C" wp14:editId="24FD29DE">
                <wp:simplePos x="0" y="0"/>
                <wp:positionH relativeFrom="column">
                  <wp:posOffset>2471357</wp:posOffset>
                </wp:positionH>
                <wp:positionV relativeFrom="paragraph">
                  <wp:posOffset>136497</wp:posOffset>
                </wp:positionV>
                <wp:extent cx="563245" cy="0"/>
                <wp:effectExtent l="0" t="76200" r="27305" b="95250"/>
                <wp:wrapNone/>
                <wp:docPr id="6" name="Straight Arrow Connector 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F9E06F" id="Straight Arrow Connector 6" o:spid="_x0000_s1026" type="#_x0000_t32" style="position:absolute;margin-left:194.6pt;margin-top:10.75pt;width:44.35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" strokecolor="black [3213]" strokeweight=".5pt">
                <v:stroke endarrow="block" joinstyle="miter"/>
              </v:shape>
            </w:pict>
          </mc:Fallback>
        </mc:AlternateContent>
      </w:r>
    </w:p>
    <w:p w14:paraId="1DBBD3B7"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1F3BFD0C" wp14:editId="5B676F34">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BB8DCA7" w14:textId="77777777" w:rsidR="00386C2E" w:rsidRDefault="00386C2E" w:rsidP="006D17C5">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DF5CAF0" w14:textId="77777777" w:rsidR="00386C2E" w:rsidRPr="001502CF" w:rsidRDefault="00386C2E" w:rsidP="006D17C5">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BFD0C" id="Flowchart: Alternate Process 32" o:spid="_x0000_s1033" type="#_x0000_t176" style="position:absolute;margin-left:-91.4pt;margin-top:11.05pt;width:219.5pt;height:20.7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" fillcolor="#9cc2e5 [1944]" strokecolor="black [3213]" strokeweight="1pt">
                <v:textbox>
                  <w:txbxContent>
                    <w:p w14:paraId="4BB8DCA7" w14:textId="77777777" w:rsidR="00386C2E" w:rsidRDefault="00386C2E" w:rsidP="006D17C5">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DF5CAF0" w14:textId="77777777" w:rsidR="00386C2E" w:rsidRPr="001502CF" w:rsidRDefault="00386C2E" w:rsidP="006D17C5">
                      <w:pPr>
                        <w:rPr>
                          <w:rFonts w:ascii="Arial" w:hAnsi="Arial" w:cs="Arial"/>
                          <w:b/>
                          <w:color w:val="000000" w:themeColor="text1"/>
                          <w:sz w:val="18"/>
                          <w:szCs w:val="18"/>
                        </w:rPr>
                      </w:pPr>
                    </w:p>
                  </w:txbxContent>
                </v:textbox>
              </v:shape>
            </w:pict>
          </mc:Fallback>
        </mc:AlternateContent>
      </w:r>
    </w:p>
    <w:p w14:paraId="49B5D305"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2A22006C" wp14:editId="7577039A">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608F0A" id="Straight Arrow Connector 36" o:spid="_x0000_s1026" type="#_x0000_t32" style="position:absolute;margin-left:111pt;margin-top:4.45pt;width:0;height:22.1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" strokecolor="black [3213]" strokeweight=".5pt">
                <v:stroke endarrow="block" joinstyle="miter"/>
              </v:shape>
            </w:pict>
          </mc:Fallback>
        </mc:AlternateContent>
      </w:r>
    </w:p>
    <w:p w14:paraId="5F6D41DA"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71D21903" wp14:editId="241681DA">
                <wp:simplePos x="0" y="0"/>
                <wp:positionH relativeFrom="column">
                  <wp:posOffset>3036455</wp:posOffset>
                </wp:positionH>
                <wp:positionV relativeFrom="paragraph">
                  <wp:posOffset>151996</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5693D" w14:textId="77777777" w:rsidR="00386C2E" w:rsidRDefault="00386C2E" w:rsidP="006D17C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(total n = 142):</w:t>
                            </w:r>
                          </w:p>
                          <w:p w14:paraId="05A335E3" w14:textId="3A307D9A" w:rsidR="00386C2E" w:rsidRDefault="00386C2E" w:rsidP="006D17C5">
                            <w:pPr>
                              <w:ind w:left="284"/>
                              <w:rPr>
                                <w:rFonts w:ascii="Arial" w:hAnsi="Arial" w:cs="Arial"/>
                                <w:color w:val="000000" w:themeColor="text1"/>
                                <w:sz w:val="18"/>
                                <w:szCs w:val="20"/>
                              </w:rPr>
                            </w:pPr>
                            <w:r>
                              <w:rPr>
                                <w:rFonts w:ascii="Arial" w:hAnsi="Arial" w:cs="Arial"/>
                                <w:color w:val="000000" w:themeColor="text1"/>
                                <w:sz w:val="18"/>
                                <w:szCs w:val="20"/>
                              </w:rPr>
                              <w:t>Ineligible construct (n = 70)</w:t>
                            </w:r>
                          </w:p>
                          <w:p w14:paraId="6156E814" w14:textId="344AED01" w:rsidR="00386C2E" w:rsidRDefault="00386C2E" w:rsidP="006D17C5">
                            <w:pPr>
                              <w:ind w:left="284"/>
                              <w:rPr>
                                <w:rFonts w:ascii="Arial" w:hAnsi="Arial" w:cs="Arial"/>
                                <w:color w:val="000000" w:themeColor="text1"/>
                                <w:sz w:val="18"/>
                                <w:szCs w:val="20"/>
                              </w:rPr>
                            </w:pPr>
                            <w:r>
                              <w:rPr>
                                <w:rFonts w:ascii="Arial" w:hAnsi="Arial" w:cs="Arial"/>
                                <w:color w:val="000000" w:themeColor="text1"/>
                                <w:sz w:val="18"/>
                                <w:szCs w:val="20"/>
                              </w:rPr>
                              <w:t>Ineligible analysis (n = 48)</w:t>
                            </w:r>
                          </w:p>
                          <w:p w14:paraId="5E124452" w14:textId="7CA2A5C2" w:rsidR="00386C2E" w:rsidRDefault="00386C2E" w:rsidP="006D17C5">
                            <w:pPr>
                              <w:ind w:left="284"/>
                              <w:rPr>
                                <w:rFonts w:ascii="Arial" w:hAnsi="Arial" w:cs="Arial"/>
                                <w:color w:val="000000" w:themeColor="text1"/>
                                <w:sz w:val="18"/>
                                <w:szCs w:val="20"/>
                              </w:rPr>
                            </w:pPr>
                            <w:r>
                              <w:rPr>
                                <w:rFonts w:ascii="Arial" w:hAnsi="Arial" w:cs="Arial"/>
                                <w:color w:val="000000" w:themeColor="text1"/>
                                <w:sz w:val="18"/>
                                <w:szCs w:val="20"/>
                              </w:rPr>
                              <w:t>Ineligible design (n = 15)</w:t>
                            </w:r>
                          </w:p>
                          <w:p w14:paraId="7DD3DDB2" w14:textId="039FFEE2" w:rsidR="00386C2E" w:rsidRDefault="00386C2E" w:rsidP="006D17C5">
                            <w:pPr>
                              <w:ind w:left="284"/>
                              <w:rPr>
                                <w:rFonts w:ascii="Arial" w:hAnsi="Arial" w:cs="Arial"/>
                                <w:color w:val="000000" w:themeColor="text1"/>
                                <w:sz w:val="18"/>
                                <w:szCs w:val="20"/>
                              </w:rPr>
                            </w:pPr>
                            <w:r>
                              <w:rPr>
                                <w:rFonts w:ascii="Arial" w:hAnsi="Arial" w:cs="Arial"/>
                                <w:color w:val="000000" w:themeColor="text1"/>
                                <w:sz w:val="18"/>
                                <w:szCs w:val="20"/>
                              </w:rPr>
                              <w:t>Ineligible units (n = 5)</w:t>
                            </w:r>
                          </w:p>
                          <w:p w14:paraId="71C13880" w14:textId="071E3836" w:rsidR="00386C2E" w:rsidRDefault="00386C2E" w:rsidP="007E6C8B">
                            <w:pPr>
                              <w:ind w:left="284"/>
                              <w:rPr>
                                <w:rFonts w:ascii="Arial" w:hAnsi="Arial" w:cs="Arial"/>
                                <w:color w:val="000000" w:themeColor="text1"/>
                                <w:sz w:val="18"/>
                                <w:szCs w:val="20"/>
                              </w:rPr>
                            </w:pPr>
                            <w:r>
                              <w:rPr>
                                <w:rFonts w:ascii="Arial" w:hAnsi="Arial" w:cs="Arial"/>
                                <w:color w:val="000000" w:themeColor="text1"/>
                                <w:sz w:val="18"/>
                                <w:szCs w:val="20"/>
                              </w:rPr>
                              <w:t>Ineligible language (n = 3)</w:t>
                            </w:r>
                          </w:p>
                          <w:p w14:paraId="2D5F3108" w14:textId="72B0B773" w:rsidR="00386C2E" w:rsidRPr="00560609" w:rsidRDefault="00386C2E" w:rsidP="007E6C8B">
                            <w:pPr>
                              <w:ind w:left="284"/>
                              <w:rPr>
                                <w:rFonts w:ascii="Arial" w:hAnsi="Arial" w:cs="Arial"/>
                                <w:color w:val="000000" w:themeColor="text1"/>
                                <w:sz w:val="18"/>
                                <w:szCs w:val="20"/>
                              </w:rPr>
                            </w:pPr>
                            <w:r>
                              <w:rPr>
                                <w:rFonts w:ascii="Arial" w:hAnsi="Arial" w:cs="Arial"/>
                                <w:color w:val="000000" w:themeColor="text1"/>
                                <w:sz w:val="18"/>
                                <w:szCs w:val="20"/>
                              </w:rPr>
                              <w:t>Other (n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21903" id="Rectangle 9" o:spid="_x0000_s1034" style="position:absolute;margin-left:239.1pt;margin-top:11.95pt;width:148.6pt;height:89.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" filled="f" strokecolor="black [3213]" strokeweight="1pt">
                <v:textbox>
                  <w:txbxContent>
                    <w:p w14:paraId="5705693D" w14:textId="77777777" w:rsidR="00386C2E" w:rsidRDefault="00386C2E" w:rsidP="006D17C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(total n = 142):</w:t>
                      </w:r>
                    </w:p>
                    <w:p w14:paraId="05A335E3" w14:textId="3A307D9A" w:rsidR="00386C2E" w:rsidRDefault="00386C2E" w:rsidP="006D17C5">
                      <w:pPr>
                        <w:ind w:left="284"/>
                        <w:rPr>
                          <w:rFonts w:ascii="Arial" w:hAnsi="Arial" w:cs="Arial"/>
                          <w:color w:val="000000" w:themeColor="text1"/>
                          <w:sz w:val="18"/>
                          <w:szCs w:val="20"/>
                        </w:rPr>
                      </w:pPr>
                      <w:r>
                        <w:rPr>
                          <w:rFonts w:ascii="Arial" w:hAnsi="Arial" w:cs="Arial"/>
                          <w:color w:val="000000" w:themeColor="text1"/>
                          <w:sz w:val="18"/>
                          <w:szCs w:val="20"/>
                        </w:rPr>
                        <w:t>Ineligible construct (n = 70)</w:t>
                      </w:r>
                    </w:p>
                    <w:p w14:paraId="6156E814" w14:textId="344AED01" w:rsidR="00386C2E" w:rsidRDefault="00386C2E" w:rsidP="006D17C5">
                      <w:pPr>
                        <w:ind w:left="284"/>
                        <w:rPr>
                          <w:rFonts w:ascii="Arial" w:hAnsi="Arial" w:cs="Arial"/>
                          <w:color w:val="000000" w:themeColor="text1"/>
                          <w:sz w:val="18"/>
                          <w:szCs w:val="20"/>
                        </w:rPr>
                      </w:pPr>
                      <w:r>
                        <w:rPr>
                          <w:rFonts w:ascii="Arial" w:hAnsi="Arial" w:cs="Arial"/>
                          <w:color w:val="000000" w:themeColor="text1"/>
                          <w:sz w:val="18"/>
                          <w:szCs w:val="20"/>
                        </w:rPr>
                        <w:t>Ineligible analysis (n = 48)</w:t>
                      </w:r>
                    </w:p>
                    <w:p w14:paraId="5E124452" w14:textId="7CA2A5C2" w:rsidR="00386C2E" w:rsidRDefault="00386C2E" w:rsidP="006D17C5">
                      <w:pPr>
                        <w:ind w:left="284"/>
                        <w:rPr>
                          <w:rFonts w:ascii="Arial" w:hAnsi="Arial" w:cs="Arial"/>
                          <w:color w:val="000000" w:themeColor="text1"/>
                          <w:sz w:val="18"/>
                          <w:szCs w:val="20"/>
                        </w:rPr>
                      </w:pPr>
                      <w:r>
                        <w:rPr>
                          <w:rFonts w:ascii="Arial" w:hAnsi="Arial" w:cs="Arial"/>
                          <w:color w:val="000000" w:themeColor="text1"/>
                          <w:sz w:val="18"/>
                          <w:szCs w:val="20"/>
                        </w:rPr>
                        <w:t>Ineligible design (n = 15)</w:t>
                      </w:r>
                    </w:p>
                    <w:p w14:paraId="7DD3DDB2" w14:textId="039FFEE2" w:rsidR="00386C2E" w:rsidRDefault="00386C2E" w:rsidP="006D17C5">
                      <w:pPr>
                        <w:ind w:left="284"/>
                        <w:rPr>
                          <w:rFonts w:ascii="Arial" w:hAnsi="Arial" w:cs="Arial"/>
                          <w:color w:val="000000" w:themeColor="text1"/>
                          <w:sz w:val="18"/>
                          <w:szCs w:val="20"/>
                        </w:rPr>
                      </w:pPr>
                      <w:r>
                        <w:rPr>
                          <w:rFonts w:ascii="Arial" w:hAnsi="Arial" w:cs="Arial"/>
                          <w:color w:val="000000" w:themeColor="text1"/>
                          <w:sz w:val="18"/>
                          <w:szCs w:val="20"/>
                        </w:rPr>
                        <w:t>Ineligible units (n = 5)</w:t>
                      </w:r>
                    </w:p>
                    <w:p w14:paraId="71C13880" w14:textId="071E3836" w:rsidR="00386C2E" w:rsidRDefault="00386C2E" w:rsidP="007E6C8B">
                      <w:pPr>
                        <w:ind w:left="284"/>
                        <w:rPr>
                          <w:rFonts w:ascii="Arial" w:hAnsi="Arial" w:cs="Arial"/>
                          <w:color w:val="000000" w:themeColor="text1"/>
                          <w:sz w:val="18"/>
                          <w:szCs w:val="20"/>
                        </w:rPr>
                      </w:pPr>
                      <w:r>
                        <w:rPr>
                          <w:rFonts w:ascii="Arial" w:hAnsi="Arial" w:cs="Arial"/>
                          <w:color w:val="000000" w:themeColor="text1"/>
                          <w:sz w:val="18"/>
                          <w:szCs w:val="20"/>
                        </w:rPr>
                        <w:t>Ineligible language (n = 3)</w:t>
                      </w:r>
                    </w:p>
                    <w:p w14:paraId="2D5F3108" w14:textId="72B0B773" w:rsidR="00386C2E" w:rsidRPr="00560609" w:rsidRDefault="00386C2E" w:rsidP="007E6C8B">
                      <w:pPr>
                        <w:ind w:left="284"/>
                        <w:rPr>
                          <w:rFonts w:ascii="Arial" w:hAnsi="Arial" w:cs="Arial"/>
                          <w:color w:val="000000" w:themeColor="text1"/>
                          <w:sz w:val="18"/>
                          <w:szCs w:val="20"/>
                        </w:rPr>
                      </w:pPr>
                      <w:r>
                        <w:rPr>
                          <w:rFonts w:ascii="Arial" w:hAnsi="Arial" w:cs="Arial"/>
                          <w:color w:val="000000" w:themeColor="text1"/>
                          <w:sz w:val="18"/>
                          <w:szCs w:val="20"/>
                        </w:rPr>
                        <w:t>Other (n = 1)</w:t>
                      </w:r>
                    </w:p>
                  </w:txbxContent>
                </v:textbox>
              </v:rect>
            </w:pict>
          </mc:Fallback>
        </mc:AlternateContent>
      </w:r>
    </w:p>
    <w:p w14:paraId="7D843CA1"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0E80421E" wp14:editId="69753C08">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202D73" id="Straight Arrow Connector 17" o:spid="_x0000_s1026" type="#_x0000_t32" style="position:absolute;margin-left:195pt;margin-top:23.2pt;width:44.35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" strokecolor="black [3213]" strokeweight=".5pt">
                <v:stroke endarrow="block" joinstyle="miter"/>
              </v:shape>
            </w:pict>
          </mc:Fallback>
        </mc:AlternateContent>
      </w:r>
      <w:r w:rsidRPr="004F3B77">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518CF584" wp14:editId="27B3B766">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D3AF11" w14:textId="77777777" w:rsidR="00386C2E" w:rsidRDefault="00386C2E" w:rsidP="006D17C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48F00C6C" w14:textId="663692EF" w:rsidR="00386C2E" w:rsidRPr="00560609" w:rsidRDefault="00386C2E" w:rsidP="006D17C5">
                            <w:pPr>
                              <w:rPr>
                                <w:rFonts w:ascii="Arial" w:hAnsi="Arial" w:cs="Arial"/>
                                <w:color w:val="000000" w:themeColor="text1"/>
                                <w:sz w:val="18"/>
                                <w:szCs w:val="20"/>
                              </w:rPr>
                            </w:pPr>
                            <w:r>
                              <w:rPr>
                                <w:rFonts w:ascii="Arial" w:hAnsi="Arial" w:cs="Arial"/>
                                <w:color w:val="000000" w:themeColor="text1"/>
                                <w:sz w:val="18"/>
                                <w:szCs w:val="20"/>
                              </w:rPr>
                              <w:t>(n = 209)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CF584" id="Rectangle 8" o:spid="_x0000_s1035" style="position:absolute;margin-left:44.25pt;margin-top:1.05pt;width:148.6pt;height:41.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" filled="f" strokecolor="black [3213]" strokeweight="1pt">
                <v:textbox>
                  <w:txbxContent>
                    <w:p w14:paraId="79D3AF11" w14:textId="77777777" w:rsidR="00386C2E" w:rsidRDefault="00386C2E" w:rsidP="006D17C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48F00C6C" w14:textId="663692EF" w:rsidR="00386C2E" w:rsidRPr="00560609" w:rsidRDefault="00386C2E" w:rsidP="006D17C5">
                      <w:pPr>
                        <w:rPr>
                          <w:rFonts w:ascii="Arial" w:hAnsi="Arial" w:cs="Arial"/>
                          <w:color w:val="000000" w:themeColor="text1"/>
                          <w:sz w:val="18"/>
                          <w:szCs w:val="20"/>
                        </w:rPr>
                      </w:pPr>
                      <w:r>
                        <w:rPr>
                          <w:rFonts w:ascii="Arial" w:hAnsi="Arial" w:cs="Arial"/>
                          <w:color w:val="000000" w:themeColor="text1"/>
                          <w:sz w:val="18"/>
                          <w:szCs w:val="20"/>
                        </w:rPr>
                        <w:t>(n = 209)</w:t>
                      </w:r>
                    </w:p>
                  </w:txbxContent>
                </v:textbox>
              </v:rect>
            </w:pict>
          </mc:Fallback>
        </mc:AlternateContent>
      </w:r>
    </w:p>
    <w:p w14:paraId="5516F708" w14:textId="77777777" w:rsidR="00386C2E" w:rsidRPr="004F3B77" w:rsidRDefault="00386C2E" w:rsidP="006D17C5">
      <w:pPr>
        <w:rPr>
          <w:rFonts w:ascii="Times New Roman" w:hAnsi="Times New Roman" w:cs="Times New Roman"/>
        </w:rPr>
      </w:pPr>
    </w:p>
    <w:p w14:paraId="6D0FC233" w14:textId="77777777" w:rsidR="00386C2E" w:rsidRPr="004F3B77" w:rsidRDefault="00386C2E" w:rsidP="006D17C5">
      <w:pPr>
        <w:rPr>
          <w:rFonts w:ascii="Times New Roman" w:hAnsi="Times New Roman" w:cs="Times New Roman"/>
        </w:rPr>
      </w:pPr>
    </w:p>
    <w:p w14:paraId="109A05A2"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348F93DB" wp14:editId="0327FD32">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7AC233" id="Straight Arrow Connector 19" o:spid="_x0000_s1026" type="#_x0000_t32" style="position:absolute;margin-left:110.3pt;margin-top:2.35pt;width:0;height:58.7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" strokecolor="black [3213]" strokeweight=".5pt">
                <v:stroke endarrow="block" joinstyle="miter"/>
              </v:shape>
            </w:pict>
          </mc:Fallback>
        </mc:AlternateContent>
      </w:r>
    </w:p>
    <w:p w14:paraId="7FD6C8ED" w14:textId="77777777" w:rsidR="00386C2E" w:rsidRPr="004F3B77" w:rsidRDefault="00386C2E" w:rsidP="006D17C5">
      <w:pPr>
        <w:rPr>
          <w:rFonts w:ascii="Times New Roman" w:hAnsi="Times New Roman" w:cs="Times New Roman"/>
        </w:rPr>
      </w:pPr>
    </w:p>
    <w:p w14:paraId="6DE72B53" w14:textId="77777777" w:rsidR="00386C2E" w:rsidRPr="004F3B77" w:rsidRDefault="00386C2E" w:rsidP="006D17C5">
      <w:pPr>
        <w:rPr>
          <w:rFonts w:ascii="Times New Roman" w:hAnsi="Times New Roman" w:cs="Times New Roman"/>
        </w:rPr>
      </w:pPr>
    </w:p>
    <w:p w14:paraId="5875F979" w14:textId="77777777" w:rsidR="00386C2E" w:rsidRPr="004F3B77" w:rsidRDefault="00386C2E" w:rsidP="006D17C5">
      <w:pPr>
        <w:rPr>
          <w:rFonts w:ascii="Times New Roman" w:hAnsi="Times New Roman" w:cs="Times New Roman"/>
        </w:rPr>
      </w:pPr>
    </w:p>
    <w:p w14:paraId="40F08D92" w14:textId="7F0EF1F6"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30292954" wp14:editId="5876490D">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5E670" w14:textId="77777777" w:rsidR="00386C2E" w:rsidRDefault="00386C2E" w:rsidP="006D17C5">
                            <w:pPr>
                              <w:rPr>
                                <w:rFonts w:ascii="Arial" w:hAnsi="Arial" w:cs="Arial"/>
                                <w:color w:val="000000" w:themeColor="text1"/>
                                <w:sz w:val="18"/>
                                <w:szCs w:val="20"/>
                              </w:rPr>
                            </w:pPr>
                            <w:r>
                              <w:rPr>
                                <w:rFonts w:ascii="Arial" w:hAnsi="Arial" w:cs="Arial"/>
                                <w:color w:val="000000" w:themeColor="text1"/>
                                <w:sz w:val="18"/>
                                <w:szCs w:val="20"/>
                              </w:rPr>
                              <w:t>Studies included in review</w:t>
                            </w:r>
                          </w:p>
                          <w:p w14:paraId="5E7630F9" w14:textId="5F1758D9" w:rsidR="00386C2E" w:rsidRPr="00560609" w:rsidRDefault="00386C2E" w:rsidP="006D17C5">
                            <w:pPr>
                              <w:rPr>
                                <w:rFonts w:ascii="Arial" w:hAnsi="Arial" w:cs="Arial"/>
                                <w:color w:val="000000" w:themeColor="text1"/>
                                <w:sz w:val="18"/>
                                <w:szCs w:val="20"/>
                              </w:rPr>
                            </w:pPr>
                            <w:r>
                              <w:rPr>
                                <w:rFonts w:ascii="Arial" w:hAnsi="Arial" w:cs="Arial"/>
                                <w:color w:val="000000" w:themeColor="text1"/>
                                <w:sz w:val="18"/>
                                <w:szCs w:val="20"/>
                              </w:rPr>
                              <w:t>(n = 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92954" id="Rectangle 13" o:spid="_x0000_s1036" style="position:absolute;margin-left:42.55pt;margin-top:8.7pt;width:148.6pt;height: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" filled="f" strokecolor="black [3213]" strokeweight="1pt">
                <v:textbox>
                  <w:txbxContent>
                    <w:p w14:paraId="3455E670" w14:textId="77777777" w:rsidR="00386C2E" w:rsidRDefault="00386C2E" w:rsidP="006D17C5">
                      <w:pPr>
                        <w:rPr>
                          <w:rFonts w:ascii="Arial" w:hAnsi="Arial" w:cs="Arial"/>
                          <w:color w:val="000000" w:themeColor="text1"/>
                          <w:sz w:val="18"/>
                          <w:szCs w:val="20"/>
                        </w:rPr>
                      </w:pPr>
                      <w:r>
                        <w:rPr>
                          <w:rFonts w:ascii="Arial" w:hAnsi="Arial" w:cs="Arial"/>
                          <w:color w:val="000000" w:themeColor="text1"/>
                          <w:sz w:val="18"/>
                          <w:szCs w:val="20"/>
                        </w:rPr>
                        <w:t>Studies included in review</w:t>
                      </w:r>
                    </w:p>
                    <w:p w14:paraId="5E7630F9" w14:textId="5F1758D9" w:rsidR="00386C2E" w:rsidRPr="00560609" w:rsidRDefault="00386C2E" w:rsidP="006D17C5">
                      <w:pPr>
                        <w:rPr>
                          <w:rFonts w:ascii="Arial" w:hAnsi="Arial" w:cs="Arial"/>
                          <w:color w:val="000000" w:themeColor="text1"/>
                          <w:sz w:val="18"/>
                          <w:szCs w:val="20"/>
                        </w:rPr>
                      </w:pPr>
                      <w:r>
                        <w:rPr>
                          <w:rFonts w:ascii="Arial" w:hAnsi="Arial" w:cs="Arial"/>
                          <w:color w:val="000000" w:themeColor="text1"/>
                          <w:sz w:val="18"/>
                          <w:szCs w:val="20"/>
                        </w:rPr>
                        <w:t>(n = 67)</w:t>
                      </w:r>
                    </w:p>
                  </w:txbxContent>
                </v:textbox>
              </v:rect>
            </w:pict>
          </mc:Fallback>
        </mc:AlternateContent>
      </w:r>
    </w:p>
    <w:p w14:paraId="6773E21E" w14:textId="77777777" w:rsidR="00386C2E" w:rsidRPr="004F3B77" w:rsidRDefault="00386C2E" w:rsidP="006D17C5">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010AB537" wp14:editId="12D6C0D8">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FD3CD37" w14:textId="77777777" w:rsidR="00386C2E" w:rsidRPr="001502CF" w:rsidRDefault="00386C2E" w:rsidP="006D17C5">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AB537" id="Flowchart: Alternate Process 33" o:spid="_x0000_s1037" type="#_x0000_t176" style="position:absolute;margin-left:-10.5pt;margin-top:13.45pt;width:60.2pt;height:20.7pt;rotation:-9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" fillcolor="#9cc2e5 [1944]" strokecolor="black [3213]" strokeweight="1pt">
                <v:textbox>
                  <w:txbxContent>
                    <w:p w14:paraId="2FD3CD37" w14:textId="77777777" w:rsidR="00386C2E" w:rsidRPr="001502CF" w:rsidRDefault="00386C2E" w:rsidP="006D17C5">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63B68F0F" w14:textId="77777777" w:rsidR="00386C2E" w:rsidRPr="004F3B77" w:rsidRDefault="00386C2E" w:rsidP="006D17C5">
      <w:pPr>
        <w:rPr>
          <w:rFonts w:ascii="Times New Roman" w:hAnsi="Times New Roman" w:cs="Times New Roman"/>
        </w:rPr>
      </w:pPr>
    </w:p>
    <w:p w14:paraId="6D9B1D72" w14:textId="77777777" w:rsidR="00386C2E" w:rsidRPr="004F3B77" w:rsidRDefault="00386C2E" w:rsidP="006D17C5">
      <w:pPr>
        <w:rPr>
          <w:rFonts w:ascii="Times New Roman" w:hAnsi="Times New Roman" w:cs="Times New Roman"/>
        </w:rPr>
      </w:pPr>
    </w:p>
    <w:p w14:paraId="2812E76D" w14:textId="6F055F15" w:rsidR="00386C2E" w:rsidRPr="004F3B77" w:rsidRDefault="00386C2E" w:rsidP="006D17C5">
      <w:pPr>
        <w:pStyle w:val="CommentText"/>
        <w:rPr>
          <w:rFonts w:ascii="Times New Roman" w:hAnsi="Times New Roman" w:cs="Times New Roman"/>
        </w:rPr>
      </w:pPr>
    </w:p>
    <w:p w14:paraId="52731CAD" w14:textId="5F84B7AA" w:rsidR="00386C2E" w:rsidRPr="004F3B77" w:rsidRDefault="00386C2E" w:rsidP="001B340C">
      <w:pPr>
        <w:pStyle w:val="CommentText"/>
        <w:rPr>
          <w:rFonts w:ascii="Times New Roman" w:hAnsi="Times New Roman" w:cs="Times New Roman"/>
          <w:sz w:val="18"/>
          <w:szCs w:val="18"/>
        </w:rPr>
      </w:pPr>
      <w:bookmarkStart w:id="0" w:name="_Hlk67299547"/>
      <w:r w:rsidRPr="004F3B77">
        <w:rPr>
          <w:rFonts w:ascii="Times New Roman" w:hAnsi="Times New Roman" w:cs="Times New Roman"/>
          <w:sz w:val="18"/>
          <w:szCs w:val="18"/>
        </w:rPr>
        <w:t xml:space="preserve"> * Duplicates assessed after first screening of abstract and title. </w:t>
      </w:r>
      <w:bookmarkEnd w:id="0"/>
    </w:p>
    <w:p w14:paraId="389BF662" w14:textId="77777777" w:rsidR="00386C2E" w:rsidRPr="004F3B77" w:rsidRDefault="00386C2E" w:rsidP="00406551">
      <w:pPr>
        <w:rPr>
          <w:rFonts w:ascii="Times New Roman" w:hAnsi="Times New Roman" w:cs="Times New Roman"/>
        </w:rPr>
      </w:pPr>
    </w:p>
    <w:p w14:paraId="162F7A0A" w14:textId="37E3C8D2" w:rsidR="00386C2E" w:rsidRPr="004F3B77" w:rsidRDefault="00386C2E" w:rsidP="00406551">
      <w:pPr>
        <w:rPr>
          <w:rFonts w:ascii="Times New Roman" w:hAnsi="Times New Roman" w:cs="Times New Roman"/>
        </w:rPr>
      </w:pPr>
      <w:r w:rsidRPr="004F3B77">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6528C7AD" wp14:editId="6D230A96">
                <wp:simplePos x="0" y="0"/>
                <wp:positionH relativeFrom="column">
                  <wp:posOffset>1470660</wp:posOffset>
                </wp:positionH>
                <wp:positionV relativeFrom="paragraph">
                  <wp:posOffset>5080</wp:posOffset>
                </wp:positionV>
                <wp:extent cx="3657600" cy="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3657600" cy="635"/>
                        </a:xfrm>
                        <a:prstGeom prst="rect">
                          <a:avLst/>
                        </a:prstGeom>
                        <a:solidFill>
                          <a:prstClr val="white"/>
                        </a:solidFill>
                        <a:ln>
                          <a:noFill/>
                        </a:ln>
                      </wps:spPr>
                      <wps:txbx>
                        <w:txbxContent>
                          <w:p w14:paraId="636BFC44" w14:textId="704CAAD1" w:rsidR="00386C2E" w:rsidRPr="00F25C7D" w:rsidRDefault="00386C2E" w:rsidP="00F25C7D">
                            <w:pPr>
                              <w:pStyle w:val="Caption"/>
                              <w:rPr>
                                <w:rFonts w:ascii="Times New Roman" w:hAnsi="Times New Roman" w:cs="Times New Roman"/>
                                <w:i w:val="0"/>
                                <w:iCs w:val="0"/>
                                <w:noProof/>
                                <w:color w:val="auto"/>
                                <w:sz w:val="24"/>
                                <w:szCs w:val="24"/>
                              </w:rPr>
                            </w:pPr>
                            <w:r w:rsidRPr="00F25C7D">
                              <w:rPr>
                                <w:rFonts w:ascii="Times New Roman" w:hAnsi="Times New Roman" w:cs="Times New Roman"/>
                                <w:i w:val="0"/>
                                <w:iCs w:val="0"/>
                                <w:color w:val="auto"/>
                                <w:sz w:val="24"/>
                                <w:szCs w:val="24"/>
                              </w:rPr>
                              <w:t xml:space="preserve">Figure </w:t>
                            </w:r>
                            <w:r w:rsidRPr="00F25C7D">
                              <w:rPr>
                                <w:rFonts w:ascii="Times New Roman" w:hAnsi="Times New Roman" w:cs="Times New Roman"/>
                                <w:i w:val="0"/>
                                <w:iCs w:val="0"/>
                                <w:color w:val="auto"/>
                                <w:sz w:val="24"/>
                                <w:szCs w:val="24"/>
                              </w:rPr>
                              <w:fldChar w:fldCharType="begin"/>
                            </w:r>
                            <w:r w:rsidRPr="00F25C7D">
                              <w:rPr>
                                <w:rFonts w:ascii="Times New Roman" w:hAnsi="Times New Roman" w:cs="Times New Roman"/>
                                <w:i w:val="0"/>
                                <w:iCs w:val="0"/>
                                <w:color w:val="auto"/>
                                <w:sz w:val="24"/>
                                <w:szCs w:val="24"/>
                              </w:rPr>
                              <w:instrText xml:space="preserve"> SEQ Figure \* ARABIC </w:instrText>
                            </w:r>
                            <w:r w:rsidRPr="00F25C7D">
                              <w:rPr>
                                <w:rFonts w:ascii="Times New Roman" w:hAnsi="Times New Roman" w:cs="Times New Roman"/>
                                <w:i w:val="0"/>
                                <w:iCs w:val="0"/>
                                <w:color w:val="auto"/>
                                <w:sz w:val="24"/>
                                <w:szCs w:val="24"/>
                              </w:rPr>
                              <w:fldChar w:fldCharType="separate"/>
                            </w:r>
                            <w:r w:rsidR="00125EF8">
                              <w:rPr>
                                <w:rFonts w:ascii="Times New Roman" w:hAnsi="Times New Roman" w:cs="Times New Roman"/>
                                <w:i w:val="0"/>
                                <w:iCs w:val="0"/>
                                <w:noProof/>
                                <w:color w:val="auto"/>
                                <w:sz w:val="24"/>
                                <w:szCs w:val="24"/>
                              </w:rPr>
                              <w:t>1</w:t>
                            </w:r>
                            <w:r w:rsidRPr="00F25C7D">
                              <w:rPr>
                                <w:rFonts w:ascii="Times New Roman" w:hAnsi="Times New Roman" w:cs="Times New Roman"/>
                                <w:i w:val="0"/>
                                <w:iCs w:val="0"/>
                                <w:color w:val="auto"/>
                                <w:sz w:val="24"/>
                                <w:szCs w:val="24"/>
                              </w:rPr>
                              <w:fldChar w:fldCharType="end"/>
                            </w:r>
                            <w:r w:rsidRPr="00F25C7D">
                              <w:rPr>
                                <w:rFonts w:ascii="Times New Roman" w:hAnsi="Times New Roman" w:cs="Times New Roman"/>
                                <w:i w:val="0"/>
                                <w:iCs w:val="0"/>
                                <w:color w:val="auto"/>
                                <w:sz w:val="24"/>
                                <w:szCs w:val="24"/>
                              </w:rPr>
                              <w:t>: PRISMA diagram of data collection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528C7AD" id="_x0000_t202" coordsize="21600,21600" o:spt="202" path="m,l,21600r21600,l21600,xe">
                <v:stroke joinstyle="miter"/>
                <v:path gradientshapeok="t" o:connecttype="rect"/>
              </v:shapetype>
              <v:shape id="Text Box 7" o:spid="_x0000_s1038" type="#_x0000_t202" style="position:absolute;margin-left:115.8pt;margin-top:.4pt;width:4in;height:.0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" stroked="f">
                <v:textbox style="mso-fit-shape-to-text:t" inset="0,0,0,0">
                  <w:txbxContent>
                    <w:p w14:paraId="636BFC44" w14:textId="704CAAD1" w:rsidR="00386C2E" w:rsidRPr="00F25C7D" w:rsidRDefault="00386C2E" w:rsidP="00F25C7D">
                      <w:pPr>
                        <w:pStyle w:val="Caption"/>
                        <w:rPr>
                          <w:rFonts w:ascii="Times New Roman" w:hAnsi="Times New Roman" w:cs="Times New Roman"/>
                          <w:i w:val="0"/>
                          <w:iCs w:val="0"/>
                          <w:noProof/>
                          <w:color w:val="auto"/>
                          <w:sz w:val="24"/>
                          <w:szCs w:val="24"/>
                        </w:rPr>
                      </w:pPr>
                      <w:r w:rsidRPr="00F25C7D">
                        <w:rPr>
                          <w:rFonts w:ascii="Times New Roman" w:hAnsi="Times New Roman" w:cs="Times New Roman"/>
                          <w:i w:val="0"/>
                          <w:iCs w:val="0"/>
                          <w:color w:val="auto"/>
                          <w:sz w:val="24"/>
                          <w:szCs w:val="24"/>
                        </w:rPr>
                        <w:t xml:space="preserve">Figure </w:t>
                      </w:r>
                      <w:r w:rsidRPr="00F25C7D">
                        <w:rPr>
                          <w:rFonts w:ascii="Times New Roman" w:hAnsi="Times New Roman" w:cs="Times New Roman"/>
                          <w:i w:val="0"/>
                          <w:iCs w:val="0"/>
                          <w:color w:val="auto"/>
                          <w:sz w:val="24"/>
                          <w:szCs w:val="24"/>
                        </w:rPr>
                        <w:fldChar w:fldCharType="begin"/>
                      </w:r>
                      <w:r w:rsidRPr="00F25C7D">
                        <w:rPr>
                          <w:rFonts w:ascii="Times New Roman" w:hAnsi="Times New Roman" w:cs="Times New Roman"/>
                          <w:i w:val="0"/>
                          <w:iCs w:val="0"/>
                          <w:color w:val="auto"/>
                          <w:sz w:val="24"/>
                          <w:szCs w:val="24"/>
                        </w:rPr>
                        <w:instrText xml:space="preserve"> SEQ Figure \* ARABIC </w:instrText>
                      </w:r>
                      <w:r w:rsidRPr="00F25C7D">
                        <w:rPr>
                          <w:rFonts w:ascii="Times New Roman" w:hAnsi="Times New Roman" w:cs="Times New Roman"/>
                          <w:i w:val="0"/>
                          <w:iCs w:val="0"/>
                          <w:color w:val="auto"/>
                          <w:sz w:val="24"/>
                          <w:szCs w:val="24"/>
                        </w:rPr>
                        <w:fldChar w:fldCharType="separate"/>
                      </w:r>
                      <w:r w:rsidR="00125EF8">
                        <w:rPr>
                          <w:rFonts w:ascii="Times New Roman" w:hAnsi="Times New Roman" w:cs="Times New Roman"/>
                          <w:i w:val="0"/>
                          <w:iCs w:val="0"/>
                          <w:noProof/>
                          <w:color w:val="auto"/>
                          <w:sz w:val="24"/>
                          <w:szCs w:val="24"/>
                        </w:rPr>
                        <w:t>1</w:t>
                      </w:r>
                      <w:r w:rsidRPr="00F25C7D">
                        <w:rPr>
                          <w:rFonts w:ascii="Times New Roman" w:hAnsi="Times New Roman" w:cs="Times New Roman"/>
                          <w:i w:val="0"/>
                          <w:iCs w:val="0"/>
                          <w:color w:val="auto"/>
                          <w:sz w:val="24"/>
                          <w:szCs w:val="24"/>
                        </w:rPr>
                        <w:fldChar w:fldCharType="end"/>
                      </w:r>
                      <w:r w:rsidRPr="00F25C7D">
                        <w:rPr>
                          <w:rFonts w:ascii="Times New Roman" w:hAnsi="Times New Roman" w:cs="Times New Roman"/>
                          <w:i w:val="0"/>
                          <w:iCs w:val="0"/>
                          <w:color w:val="auto"/>
                          <w:sz w:val="24"/>
                          <w:szCs w:val="24"/>
                        </w:rPr>
                        <w:t>: PRISMA diagram of data collection</w:t>
                      </w:r>
                    </w:p>
                  </w:txbxContent>
                </v:textbox>
              </v:shape>
            </w:pict>
          </mc:Fallback>
        </mc:AlternateContent>
      </w:r>
    </w:p>
    <w:p w14:paraId="4C8DD2BD" w14:textId="77DA6A48" w:rsidR="00386C2E" w:rsidRPr="004F3B77" w:rsidRDefault="00386C2E" w:rsidP="00406551">
      <w:pPr>
        <w:rPr>
          <w:rFonts w:ascii="Times New Roman" w:hAnsi="Times New Roman" w:cs="Times New Roman"/>
        </w:rPr>
      </w:pPr>
    </w:p>
    <w:p w14:paraId="112C5341" w14:textId="6C82AB45" w:rsidR="00386C2E" w:rsidRPr="004F3B77" w:rsidRDefault="00386C2E" w:rsidP="00406551">
      <w:pPr>
        <w:rPr>
          <w:rFonts w:ascii="Times New Roman" w:hAnsi="Times New Roman" w:cs="Times New Roman"/>
        </w:rPr>
      </w:pPr>
    </w:p>
    <w:p w14:paraId="6BF15AEB" w14:textId="2539D618" w:rsidR="00386C2E" w:rsidRPr="004F3B77" w:rsidRDefault="00386C2E" w:rsidP="00406551">
      <w:pPr>
        <w:rPr>
          <w:rFonts w:ascii="Times New Roman" w:hAnsi="Times New Roman" w:cs="Times New Roman"/>
        </w:rPr>
      </w:pPr>
    </w:p>
    <w:p w14:paraId="36D71FC6" w14:textId="75EACC96" w:rsidR="00386C2E" w:rsidRPr="004F3B77" w:rsidRDefault="00386C2E" w:rsidP="00406551">
      <w:pPr>
        <w:rPr>
          <w:rFonts w:ascii="Times New Roman" w:hAnsi="Times New Roman" w:cs="Times New Roman"/>
        </w:rPr>
      </w:pPr>
    </w:p>
    <w:p w14:paraId="4BB798A4" w14:textId="5D67B90C" w:rsidR="00386C2E" w:rsidRPr="004F3B77" w:rsidRDefault="00386C2E" w:rsidP="00406551">
      <w:pPr>
        <w:rPr>
          <w:rFonts w:ascii="Times New Roman" w:hAnsi="Times New Roman" w:cs="Times New Roman"/>
        </w:rPr>
      </w:pPr>
    </w:p>
    <w:p w14:paraId="6F32E9A8" w14:textId="0F3ACC3E" w:rsidR="00386C2E" w:rsidRPr="004F3B77" w:rsidRDefault="00386C2E" w:rsidP="00406551">
      <w:pPr>
        <w:rPr>
          <w:rFonts w:ascii="Times New Roman" w:hAnsi="Times New Roman" w:cs="Times New Roman"/>
        </w:rPr>
      </w:pPr>
    </w:p>
    <w:p w14:paraId="5DBA23E3" w14:textId="5247DC20" w:rsidR="00386C2E" w:rsidRPr="004F3B77" w:rsidRDefault="00386C2E" w:rsidP="00406551">
      <w:pPr>
        <w:rPr>
          <w:rFonts w:ascii="Times New Roman" w:hAnsi="Times New Roman" w:cs="Times New Roman"/>
        </w:rPr>
      </w:pPr>
    </w:p>
    <w:p w14:paraId="29D49F41" w14:textId="77777777" w:rsidR="00386C2E" w:rsidRPr="004F3B77" w:rsidRDefault="00386C2E" w:rsidP="00406551">
      <w:pPr>
        <w:rPr>
          <w:rFonts w:ascii="Times New Roman" w:hAnsi="Times New Roman" w:cs="Times New Roman"/>
        </w:rPr>
      </w:pPr>
    </w:p>
    <w:p w14:paraId="14739072" w14:textId="77777777" w:rsidR="00386C2E" w:rsidRPr="004F3B77" w:rsidRDefault="00386C2E" w:rsidP="00406551">
      <w:pPr>
        <w:rPr>
          <w:rFonts w:ascii="Times New Roman" w:hAnsi="Times New Roman" w:cs="Times New Roman"/>
        </w:rPr>
      </w:pPr>
    </w:p>
    <w:p w14:paraId="64E7CF22" w14:textId="7A8FBFFC" w:rsidR="00386C2E" w:rsidRPr="004F3B77" w:rsidRDefault="00386C2E" w:rsidP="008A1398">
      <w:pPr>
        <w:rPr>
          <w:rFonts w:ascii="Times New Roman" w:hAnsi="Times New Roman" w:cs="Times New Roman"/>
          <w:b/>
          <w:bCs/>
          <w:i/>
          <w:iCs/>
        </w:rPr>
      </w:pPr>
      <w:r w:rsidRPr="004F3B77">
        <w:rPr>
          <w:rFonts w:ascii="Times New Roman" w:hAnsi="Times New Roman" w:cs="Times New Roman"/>
          <w:b/>
          <w:bCs/>
          <w:i/>
          <w:iCs/>
        </w:rPr>
        <w:t>Effect size calculation</w:t>
      </w:r>
    </w:p>
    <w:p w14:paraId="77C52D1D" w14:textId="1743A771" w:rsidR="00386C2E" w:rsidRPr="004F3B77" w:rsidRDefault="00386C2E" w:rsidP="00575D96">
      <w:pPr>
        <w:rPr>
          <w:rFonts w:ascii="Times New Roman" w:hAnsi="Times New Roman" w:cs="Times New Roman"/>
        </w:rPr>
      </w:pPr>
    </w:p>
    <w:p w14:paraId="348557F2" w14:textId="2271B9E2" w:rsidR="00386C2E" w:rsidRPr="004F3B77" w:rsidRDefault="00386C2E" w:rsidP="00575D96">
      <w:pPr>
        <w:rPr>
          <w:rFonts w:ascii="Times New Roman" w:hAnsi="Times New Roman" w:cs="Times New Roman"/>
        </w:rPr>
      </w:pPr>
      <w:r w:rsidRPr="004F3B77">
        <w:rPr>
          <w:rFonts w:ascii="Times New Roman" w:hAnsi="Times New Roman" w:cs="Times New Roman"/>
        </w:rPr>
        <w:lastRenderedPageBreak/>
        <w:t xml:space="preserve">We took all relevant estimates directly from the texts; for instance, if a text reported an association between trust and some COVID-related outcome and fulfilled our inclusion/exclusion criteria, it was included. Standard errors and coefficients were calculated for all outcomes. For instance, papers which reported odds ratios or confidence intervals were converted to standard error and log odds. In most instances, these were obtained through replication data or author contact (N = 326) but where this was not </w:t>
      </w:r>
      <w:proofErr w:type="gramStart"/>
      <w:r w:rsidRPr="004F3B77">
        <w:rPr>
          <w:rFonts w:ascii="Times New Roman" w:hAnsi="Times New Roman" w:cs="Times New Roman"/>
        </w:rPr>
        <w:t>possible</w:t>
      </w:r>
      <w:proofErr w:type="gramEnd"/>
      <w:r w:rsidRPr="004F3B77">
        <w:rPr>
          <w:rFonts w:ascii="Times New Roman" w:hAnsi="Times New Roman" w:cs="Times New Roman"/>
        </w:rPr>
        <w:t xml:space="preserve"> they were calculated by hand (N = 65). From these, a t-statistic was calculated and standardised into z-transformed (partial) correlation coefficients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{"citationID":"DS6lMhfy","properties":{"formattedCitation":"(Aloe, 2014; Dinesen et al., 2020)","plainCitation":"(Aloe, 2014; Dinesen et al., 2020)","noteIndex":0},"citationItems":[{"id":14959,"uris":["http://zotero.org/users/2674438/items/BWRAGLYG"],"itemData":{"id":14959,"type":"article-journal","abstract":"The partial correlation and the semi-partial correlation can be seen as measures of partial effect sizes for the correlational family. Thus, both indices have been used in the meta-analysis literature to represent the relationship between an outcome and a predictor of interest, controlling for the effect of other variables in the model. This article evaluates the accuracy of synthesizing these two indices under different situations. Both partial correlation and the semi-partial correlation appear to behave as expected with respect to bias and root mean squared error (RMSE). However, the partial correlation seems to outperform the semi-partial correlation regarding Type I error of the homogeneity test (Q statistic). Although further investigation is needed to fully understand the impact of meta-analyzing partial effect sizes, the current study demonstrates the accuracy of both indices.","container-title":"The Journal of General Psychology","DOI":"10.1080/00221309.2013.853021","ISSN":"0022-1309, 1940-0888","issue":"1","journalAbbreviation":"The Journal of General Psychology","language":"en","page":"47-64","source":"DOI.org (Crossref)","title":"An Empirical Investigation of Partial Effect Sizes in Meta-Analysis of Correlational Data","volume":"141","author":[{"family":"Aloe","given":"Ariel M."}],"issued":{"date-parts":[["2014",1]]}}},{"id":4319,"uris":["http://zotero.org/users/2674438/items/DCCF27HI"],"itemData":{"id":4319,"type":"article-journal","abstract":"Does ethnic diversity erode social trust? Continued immigration and corresponding growing ethnic diversity have prompted this essential question for modern societies, but few clear answers have been reached in the sprawling literature. This article reviews the literature on the relationship between ethnic diversity and social trust through a narrative review and a meta-analysis of 1,001 estimates from 87 studies. The review clarifies the core concepts, highlights pertinent debates, and tests core claims from the literature on the relationship between ethnic diversity and social trust. Several results stand out from the meta-analysis. We find a statistically significant negative relationship between ethnic diversity and social trust across all studies. The relationship is stronger for trust in neighbors and when ethnic diversity is measured more locally. Covariate conditioning generally changes the relationship only slightly. The review concludes by discussing avenues for future research.","container-title":"Annual Review of Political Science","DOI":"10.1146/annurev-polisci-052918-020708","ISSN":"1094-2939, 1545-1577","issue":"1","language":"en","page":"441-465","source":"Crossref","title":"Ethnic Diversity and Social Trust: A Narrative and Meta-Analytical Review","title-short":"Ethnic Diversity and Social Trust","volume":"23","author":[{"family":"Dinesen","given":"Peter Thisted"},{"family":"Schaeffer","given":"Merlin"},{"family":"Sønderskov","given":"Kim Mannemar"}],"issued":{"date-parts":[["2020",5,11]]}}}],"schema":"https://github.com/citation-style-language/schema/raw/master/csl-citation.json"}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rPr>
        <w:t>(Aloe, 2014; Dinesen et al., 2020)</w:t>
      </w:r>
      <w:r w:rsidRPr="004F3B77">
        <w:rPr>
          <w:rFonts w:ascii="Times New Roman" w:hAnsi="Times New Roman" w:cs="Times New Roman"/>
        </w:rPr>
        <w:fldChar w:fldCharType="end"/>
      </w:r>
      <w:r w:rsidRPr="004F3B77">
        <w:rPr>
          <w:rFonts w:ascii="Times New Roman" w:hAnsi="Times New Roman" w:cs="Times New Roman"/>
        </w:rPr>
        <w:t>.</w:t>
      </w:r>
      <w:r w:rsidRPr="004F3B77">
        <w:rPr>
          <w:rStyle w:val="EndnoteReference"/>
          <w:rFonts w:ascii="Times New Roman" w:hAnsi="Times New Roman" w:cs="Times New Roman"/>
        </w:rPr>
        <w:endnoteReference w:id="8"/>
      </w:r>
      <w:r w:rsidRPr="004F3B77">
        <w:rPr>
          <w:rFonts w:ascii="Times New Roman" w:hAnsi="Times New Roman" w:cs="Times New Roman"/>
        </w:rPr>
        <w:t xml:space="preserve"> Whilst some coefficients (N = 92) are raw bivariate correlations, all others are the outcomes of models controlling for other factors. These observations are transformed into partial correlations which </w:t>
      </w:r>
      <w:proofErr w:type="gramStart"/>
      <w:r w:rsidRPr="004F3B77">
        <w:rPr>
          <w:rFonts w:ascii="Times New Roman" w:hAnsi="Times New Roman" w:cs="Times New Roman"/>
        </w:rPr>
        <w:t>take into account</w:t>
      </w:r>
      <w:proofErr w:type="gramEnd"/>
      <w:r w:rsidRPr="004F3B77">
        <w:rPr>
          <w:rFonts w:ascii="Times New Roman" w:hAnsi="Times New Roman" w:cs="Times New Roman"/>
        </w:rPr>
        <w:t xml:space="preserve"> the sample size and degrees of freedom of the model. We report these together in the main text but separately in Appendix Figure A1. The interpretation of the Fisher’s Z is identical to that of the more familiar correlation coefficient.</w:t>
      </w:r>
    </w:p>
    <w:p w14:paraId="03C96212" w14:textId="77777777" w:rsidR="00386C2E" w:rsidRPr="004F3B77" w:rsidRDefault="00386C2E" w:rsidP="00575D96">
      <w:pPr>
        <w:rPr>
          <w:rFonts w:ascii="Times New Roman" w:hAnsi="Times New Roman" w:cs="Times New Roman"/>
        </w:rPr>
      </w:pPr>
    </w:p>
    <w:p w14:paraId="56614F3F" w14:textId="2823A578" w:rsidR="00386C2E" w:rsidRPr="004F3B77" w:rsidRDefault="00386C2E" w:rsidP="008A1398">
      <w:pPr>
        <w:rPr>
          <w:rFonts w:ascii="Times New Roman" w:hAnsi="Times New Roman" w:cs="Times New Roman"/>
          <w:b/>
          <w:bCs/>
          <w:i/>
          <w:iCs/>
        </w:rPr>
      </w:pPr>
      <w:r w:rsidRPr="004F3B77">
        <w:rPr>
          <w:rFonts w:ascii="Times New Roman" w:hAnsi="Times New Roman" w:cs="Times New Roman"/>
          <w:b/>
          <w:bCs/>
          <w:i/>
          <w:iCs/>
        </w:rPr>
        <w:t>Modelling approach</w:t>
      </w:r>
    </w:p>
    <w:p w14:paraId="6CE26116" w14:textId="77777777" w:rsidR="00386C2E" w:rsidRPr="004F3B77" w:rsidRDefault="00386C2E" w:rsidP="00406551">
      <w:pPr>
        <w:rPr>
          <w:rFonts w:ascii="Times New Roman" w:hAnsi="Times New Roman" w:cs="Times New Roman"/>
        </w:rPr>
      </w:pPr>
    </w:p>
    <w:p w14:paraId="1052BAC2" w14:textId="51E71D86" w:rsidR="00386C2E" w:rsidRPr="004F3B77" w:rsidRDefault="00386C2E" w:rsidP="00406551">
      <w:pPr>
        <w:rPr>
          <w:rFonts w:ascii="Times New Roman" w:hAnsi="Times New Roman" w:cs="Times New Roman"/>
        </w:rPr>
      </w:pPr>
      <w:r w:rsidRPr="004F3B77">
        <w:rPr>
          <w:rFonts w:ascii="Times New Roman" w:hAnsi="Times New Roman" w:cs="Times New Roman"/>
        </w:rPr>
        <w:t xml:space="preserve">Our primary modelling strategy is a random effects model. For most outcomes, this includes a level for the study (such that estimates from the same study will be correlated) and, where relevant, we also include a level for the data source (such that observations from the same data source will be correlated). The observations are weighted by their precision (standard error) and the amount of residual model heterogeneity, as is standard in meta-analysis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{"citationID":"KEjFFG9F","properties":{"formattedCitation":"(Viechtbauer, 2010)","plainCitation":"(Viechtbauer, 2010)","noteIndex":0},"citationItems":[{"id":14945,"uris":["http://zotero.org/users/2674438/items/95MBM6VW"],"itemData":{"id":14945,"type":"article-journal","abstract":"The metafor package provides functions for conducting meta-analyses in R. The package includes functions for ﬁtting the meta-analytic ﬁxed- and random-eﬀects models and allows for the inclusion of moderators variables (study-level covariates) in these models. Meta-regression analyses with continuous and categorical moderators can be conducted in this way. Functions for the Mantel-Haenszel and Peto’s one-step method for metaanalyses of 2 × 2 table data are also available. Finally, the package provides various plot functions (for example, for forest, funnel, and radial plots) and functions for assessing the model ﬁt, for obtaining case diagnostics, and for tests of publication bias.","container-title":"Journal of Statistical Software","DOI":"10.18637/jss.v036.i03","ISSN":"1548-7660","issue":"3","journalAbbreviation":"J. Stat. Soft.","language":"en","source":"DOI.org (Crossref)","title":"Conducting Meta-Analyses in R with the metafor Package","URL":"http://www.jstatsoft.org/v36/i03/","volume":"36","author":[{"family":"Viechtbauer","given":"Wolfgang"}],"accessed":{"date-parts":[["2021",11,26]]},"issued":{"date-parts":[["2010"]]}}}],"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(Viechtbauer, 2010)</w:t>
      </w:r>
      <w:r w:rsidRPr="004F3B77">
        <w:rPr>
          <w:rFonts w:ascii="Times New Roman" w:hAnsi="Times New Roman" w:cs="Times New Roman"/>
        </w:rPr>
        <w:fldChar w:fldCharType="end"/>
      </w:r>
      <w:r w:rsidRPr="004F3B77">
        <w:rPr>
          <w:rFonts w:ascii="Times New Roman" w:hAnsi="Times New Roman" w:cs="Times New Roman"/>
        </w:rPr>
        <w:t>. The primary alternative is the fixed effects model. This assumes that the true effect is the same across all countries and time periods which is not a credible assumption here; instead, the random effects model assumes there is a common distribution of effects but allows the effect to vary. We report study-pooled analyses in Appendix Figure A1.</w:t>
      </w:r>
    </w:p>
    <w:p w14:paraId="17308E0E" w14:textId="77777777" w:rsidR="00386C2E" w:rsidRPr="004F3B77" w:rsidRDefault="00386C2E" w:rsidP="00406551">
      <w:pPr>
        <w:rPr>
          <w:rFonts w:ascii="Times New Roman" w:hAnsi="Times New Roman" w:cs="Times New Roman"/>
        </w:rPr>
      </w:pPr>
    </w:p>
    <w:p w14:paraId="0A665AF8" w14:textId="7DE85CDA" w:rsidR="00386C2E" w:rsidRPr="004F3B77" w:rsidRDefault="00386C2E" w:rsidP="008A1398">
      <w:pPr>
        <w:rPr>
          <w:rFonts w:ascii="Times New Roman" w:hAnsi="Times New Roman" w:cs="Times New Roman"/>
          <w:b/>
          <w:bCs/>
        </w:rPr>
      </w:pPr>
      <w:r w:rsidRPr="004F3B77">
        <w:rPr>
          <w:rFonts w:ascii="Times New Roman" w:hAnsi="Times New Roman" w:cs="Times New Roman"/>
          <w:b/>
          <w:bCs/>
        </w:rPr>
        <w:t xml:space="preserve">Results </w:t>
      </w:r>
    </w:p>
    <w:p w14:paraId="6416F6EE" w14:textId="77777777" w:rsidR="00386C2E" w:rsidRPr="004F3B77" w:rsidRDefault="00386C2E" w:rsidP="00153A2D">
      <w:pPr>
        <w:rPr>
          <w:rFonts w:ascii="Times New Roman" w:hAnsi="Times New Roman" w:cs="Times New Roman"/>
        </w:rPr>
      </w:pPr>
    </w:p>
    <w:p w14:paraId="63205244" w14:textId="0B2888CF" w:rsidR="00386C2E" w:rsidRPr="004F3B77" w:rsidRDefault="00386C2E" w:rsidP="008A1398">
      <w:pPr>
        <w:rPr>
          <w:rFonts w:ascii="Times New Roman" w:hAnsi="Times New Roman" w:cs="Times New Roman"/>
          <w:b/>
          <w:bCs/>
          <w:i/>
          <w:iCs/>
        </w:rPr>
      </w:pPr>
      <w:r w:rsidRPr="004F3B77">
        <w:rPr>
          <w:rFonts w:ascii="Times New Roman" w:hAnsi="Times New Roman" w:cs="Times New Roman"/>
          <w:b/>
          <w:bCs/>
          <w:i/>
          <w:iCs/>
        </w:rPr>
        <w:t>Descriptive statistics</w:t>
      </w:r>
    </w:p>
    <w:p w14:paraId="1C5643AA" w14:textId="67F580BF" w:rsidR="00386C2E" w:rsidRPr="004F3B77" w:rsidRDefault="00386C2E" w:rsidP="003B6B02">
      <w:pPr>
        <w:rPr>
          <w:rFonts w:ascii="Times New Roman" w:hAnsi="Times New Roman" w:cs="Times New Roman"/>
        </w:rPr>
      </w:pPr>
    </w:p>
    <w:p w14:paraId="3278F331" w14:textId="3648CB6F" w:rsidR="00386C2E" w:rsidRPr="004F3B77" w:rsidRDefault="00386C2E" w:rsidP="003B6B02">
      <w:pPr>
        <w:rPr>
          <w:rFonts w:ascii="Times New Roman" w:hAnsi="Times New Roman" w:cs="Times New Roman"/>
        </w:rPr>
      </w:pPr>
      <w:r w:rsidRPr="004F3B77">
        <w:rPr>
          <w:rFonts w:ascii="Times New Roman" w:hAnsi="Times New Roman" w:cs="Times New Roman"/>
        </w:rPr>
        <w:t xml:space="preserve">Beginning with descriptive statistics, Figure 2 reports four research design features of the data: country of study, region of study, dependent variable (i.e., outcome), and the object of trust. Most of the studies are cross-national (three or more countries within the sample) and most single-country studies are from the US, </w:t>
      </w:r>
      <w:proofErr w:type="gramStart"/>
      <w:r w:rsidRPr="004F3B77">
        <w:rPr>
          <w:rFonts w:ascii="Times New Roman" w:hAnsi="Times New Roman" w:cs="Times New Roman"/>
        </w:rPr>
        <w:t>Germany</w:t>
      </w:r>
      <w:proofErr w:type="gramEnd"/>
      <w:r w:rsidRPr="004F3B77">
        <w:rPr>
          <w:rFonts w:ascii="Times New Roman" w:hAnsi="Times New Roman" w:cs="Times New Roman"/>
        </w:rPr>
        <w:t xml:space="preserve"> and the UK. There is a relatively even distribution over other countries including Japan, </w:t>
      </w:r>
      <w:proofErr w:type="gramStart"/>
      <w:r w:rsidRPr="004F3B77">
        <w:rPr>
          <w:rFonts w:ascii="Times New Roman" w:hAnsi="Times New Roman" w:cs="Times New Roman"/>
        </w:rPr>
        <w:t>Greece</w:t>
      </w:r>
      <w:proofErr w:type="gramEnd"/>
      <w:r w:rsidRPr="004F3B77">
        <w:rPr>
          <w:rFonts w:ascii="Times New Roman" w:hAnsi="Times New Roman" w:cs="Times New Roman"/>
        </w:rPr>
        <w:t xml:space="preserve"> and Australia. Whilst there appears to be reasonable country coverage, approximately half of the observations are from European countries; in terms of regions, a clear omission in the literature is Africa, for which we have no observations. The object of trust – </w:t>
      </w:r>
      <w:r w:rsidRPr="004F3B77">
        <w:rPr>
          <w:rFonts w:ascii="Times New Roman" w:hAnsi="Times New Roman" w:cs="Times New Roman"/>
          <w:i/>
          <w:iCs/>
        </w:rPr>
        <w:t xml:space="preserve">what </w:t>
      </w:r>
      <w:r w:rsidRPr="004F3B77">
        <w:rPr>
          <w:rFonts w:ascii="Times New Roman" w:hAnsi="Times New Roman" w:cs="Times New Roman"/>
        </w:rPr>
        <w:t xml:space="preserve">the respondent is asked whether they trust – is most often the government in general, followed by ‘Other’, which typically means an index of different institutions, and then politicians/parties and public health authorities (which we restricted to explicitly political authorities, such as the Department of Health). 14 observations refer to a specific incumbent, that is, a particular political actor such as the President.  </w:t>
      </w:r>
    </w:p>
    <w:p w14:paraId="78497CE1" w14:textId="77777777" w:rsidR="00386C2E" w:rsidRPr="004F3B77" w:rsidRDefault="00386C2E" w:rsidP="003B6B02">
      <w:pPr>
        <w:rPr>
          <w:rFonts w:ascii="Times New Roman" w:hAnsi="Times New Roman" w:cs="Times New Roman"/>
        </w:rPr>
      </w:pPr>
    </w:p>
    <w:p w14:paraId="27253F86" w14:textId="3E60CC56" w:rsidR="00386C2E" w:rsidRPr="004F3B77" w:rsidRDefault="00386C2E" w:rsidP="003B6B02">
      <w:pPr>
        <w:rPr>
          <w:rFonts w:ascii="Times New Roman" w:hAnsi="Times New Roman" w:cs="Times New Roman"/>
        </w:rPr>
      </w:pPr>
      <w:r w:rsidRPr="004F3B77">
        <w:rPr>
          <w:rFonts w:ascii="Times New Roman" w:hAnsi="Times New Roman" w:cs="Times New Roman"/>
        </w:rPr>
        <w:t xml:space="preserve">The figure also shows our nine different outcomes. A plurality of papers concerned vaccine-related outcomes (such as hesitancy or willingness), followed by compliance; the next most common are seriousness/risk and conspiracy beliefs. In our main analyses, we use only those outcomes that have more than 10 separate papers: vaccination, compliance, risk and seriousness, and conspiracy beliefs. All but one of these outcomes are at the individual-level </w:t>
      </w:r>
      <w:r w:rsidRPr="004F3B77">
        <w:rPr>
          <w:rFonts w:ascii="Times New Roman" w:hAnsi="Times New Roman" w:cs="Times New Roman"/>
        </w:rPr>
        <w:lastRenderedPageBreak/>
        <w:t>(i.e., are not country or region aggregates); aggregate studies looking at death rates for instance were collected but are so few in our final data (indeed, our least populated category) that meta-analysis was not suitable.</w:t>
      </w:r>
    </w:p>
    <w:p w14:paraId="54EBC3C4" w14:textId="5D7A2082" w:rsidR="00386C2E" w:rsidRPr="004F3B77" w:rsidRDefault="00386C2E" w:rsidP="003B6B02">
      <w:pPr>
        <w:rPr>
          <w:rFonts w:ascii="Times New Roman" w:hAnsi="Times New Roman" w:cs="Times New Roman"/>
        </w:rPr>
      </w:pPr>
    </w:p>
    <w:p w14:paraId="0DB9101B" w14:textId="4DBB3916" w:rsidR="00386C2E" w:rsidRPr="004F3B77" w:rsidRDefault="00386C2E" w:rsidP="008366D4">
      <w:pPr>
        <w:keepNext/>
        <w:rPr>
          <w:rFonts w:ascii="Times New Roman" w:hAnsi="Times New Roman" w:cs="Times New Roman"/>
        </w:rPr>
      </w:pPr>
    </w:p>
    <w:p w14:paraId="22D525E9" w14:textId="52A38A5E" w:rsidR="00386C2E" w:rsidRPr="004F3B77" w:rsidRDefault="00386C2E" w:rsidP="008366D4">
      <w:pPr>
        <w:pStyle w:val="Caption"/>
        <w:jc w:val="center"/>
        <w:rPr>
          <w:rFonts w:ascii="Times New Roman" w:hAnsi="Times New Roman" w:cs="Times New Roman"/>
          <w:i w:val="0"/>
          <w:iCs w:val="0"/>
          <w:color w:val="auto"/>
          <w:sz w:val="24"/>
          <w:szCs w:val="24"/>
        </w:rPr>
      </w:pPr>
      <w:r w:rsidRPr="004F3B77">
        <w:rPr>
          <w:rFonts w:ascii="Times New Roman" w:hAnsi="Times New Roman" w:cs="Times New Roman"/>
          <w:noProof/>
          <w:color w:val="auto"/>
        </w:rPr>
        <w:drawing>
          <wp:inline distT="0" distB="0" distL="0" distR="0" wp14:anchorId="67000972" wp14:editId="5849F3E5">
            <wp:extent cx="6107679" cy="3982916"/>
            <wp:effectExtent l="0" t="0" r="127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4673" cy="3987477"/>
                    </a:xfrm>
                    <a:prstGeom prst="rect">
                      <a:avLst/>
                    </a:prstGeom>
                  </pic:spPr>
                </pic:pic>
              </a:graphicData>
            </a:graphic>
          </wp:inline>
        </w:drawing>
      </w:r>
    </w:p>
    <w:p w14:paraId="313DF79D" w14:textId="2CAFC295" w:rsidR="00386C2E" w:rsidRPr="004F3B77" w:rsidRDefault="00386C2E" w:rsidP="008366D4">
      <w:pPr>
        <w:pStyle w:val="Caption"/>
        <w:jc w:val="center"/>
        <w:rPr>
          <w:rFonts w:ascii="Times New Roman" w:hAnsi="Times New Roman" w:cs="Times New Roman"/>
          <w:i w:val="0"/>
          <w:iCs w:val="0"/>
          <w:color w:val="auto"/>
          <w:sz w:val="24"/>
          <w:szCs w:val="24"/>
        </w:rPr>
      </w:pPr>
      <w:r w:rsidRPr="004F3B77">
        <w:rPr>
          <w:rFonts w:ascii="Times New Roman" w:hAnsi="Times New Roman" w:cs="Times New Roman"/>
          <w:i w:val="0"/>
          <w:iCs w:val="0"/>
          <w:color w:val="auto"/>
          <w:sz w:val="24"/>
          <w:szCs w:val="24"/>
        </w:rPr>
        <w:t xml:space="preserve">Figure </w:t>
      </w:r>
      <w:r w:rsidRPr="004F3B77">
        <w:rPr>
          <w:rFonts w:ascii="Times New Roman" w:hAnsi="Times New Roman" w:cs="Times New Roman"/>
          <w:i w:val="0"/>
          <w:iCs w:val="0"/>
          <w:color w:val="auto"/>
          <w:sz w:val="24"/>
          <w:szCs w:val="24"/>
        </w:rPr>
        <w:fldChar w:fldCharType="begin"/>
      </w:r>
      <w:r w:rsidRPr="004F3B77">
        <w:rPr>
          <w:rFonts w:ascii="Times New Roman" w:hAnsi="Times New Roman" w:cs="Times New Roman"/>
          <w:i w:val="0"/>
          <w:iCs w:val="0"/>
          <w:color w:val="auto"/>
          <w:sz w:val="24"/>
          <w:szCs w:val="24"/>
        </w:rPr>
        <w:instrText xml:space="preserve"> SEQ Figure \* ARABIC </w:instrText>
      </w:r>
      <w:r w:rsidRPr="004F3B77">
        <w:rPr>
          <w:rFonts w:ascii="Times New Roman" w:hAnsi="Times New Roman" w:cs="Times New Roman"/>
          <w:i w:val="0"/>
          <w:iCs w:val="0"/>
          <w:color w:val="auto"/>
          <w:sz w:val="24"/>
          <w:szCs w:val="24"/>
        </w:rPr>
        <w:fldChar w:fldCharType="separate"/>
      </w:r>
      <w:r w:rsidR="00125EF8">
        <w:rPr>
          <w:rFonts w:ascii="Times New Roman" w:hAnsi="Times New Roman" w:cs="Times New Roman"/>
          <w:i w:val="0"/>
          <w:iCs w:val="0"/>
          <w:noProof/>
          <w:color w:val="auto"/>
          <w:sz w:val="24"/>
          <w:szCs w:val="24"/>
        </w:rPr>
        <w:t>2</w:t>
      </w:r>
      <w:r w:rsidRPr="004F3B77">
        <w:rPr>
          <w:rFonts w:ascii="Times New Roman" w:hAnsi="Times New Roman" w:cs="Times New Roman"/>
          <w:i w:val="0"/>
          <w:iCs w:val="0"/>
          <w:color w:val="auto"/>
          <w:sz w:val="24"/>
          <w:szCs w:val="24"/>
        </w:rPr>
        <w:fldChar w:fldCharType="end"/>
      </w:r>
      <w:r w:rsidRPr="004F3B77">
        <w:rPr>
          <w:rFonts w:ascii="Times New Roman" w:hAnsi="Times New Roman" w:cs="Times New Roman"/>
          <w:i w:val="0"/>
          <w:iCs w:val="0"/>
          <w:color w:val="auto"/>
          <w:sz w:val="24"/>
          <w:szCs w:val="24"/>
        </w:rPr>
        <w:t>: Descriptive statistics of the data</w:t>
      </w:r>
    </w:p>
    <w:p w14:paraId="5C5D827A" w14:textId="0570C789" w:rsidR="00386C2E" w:rsidRPr="004F3B77" w:rsidRDefault="00386C2E" w:rsidP="003B6B02">
      <w:pPr>
        <w:rPr>
          <w:rFonts w:ascii="Times New Roman" w:hAnsi="Times New Roman" w:cs="Times New Roman"/>
        </w:rPr>
      </w:pPr>
    </w:p>
    <w:p w14:paraId="2039EB83" w14:textId="07699DF3" w:rsidR="00386C2E" w:rsidRPr="004F3B77" w:rsidRDefault="00386C2E" w:rsidP="008A1398">
      <w:pPr>
        <w:rPr>
          <w:rFonts w:ascii="Times New Roman" w:hAnsi="Times New Roman" w:cs="Times New Roman"/>
          <w:b/>
          <w:bCs/>
          <w:i/>
          <w:iCs/>
        </w:rPr>
      </w:pPr>
      <w:r w:rsidRPr="004F3B77">
        <w:rPr>
          <w:rFonts w:ascii="Times New Roman" w:hAnsi="Times New Roman" w:cs="Times New Roman"/>
          <w:b/>
          <w:bCs/>
          <w:i/>
          <w:iCs/>
        </w:rPr>
        <w:t xml:space="preserve">Main finding: small-to-moderate correlations </w:t>
      </w:r>
    </w:p>
    <w:p w14:paraId="66EC17AC" w14:textId="77777777" w:rsidR="00386C2E" w:rsidRPr="004F3B77" w:rsidRDefault="00386C2E" w:rsidP="00490997">
      <w:pPr>
        <w:pStyle w:val="ListParagraph"/>
        <w:ind w:left="1440"/>
        <w:rPr>
          <w:rFonts w:ascii="Times New Roman" w:hAnsi="Times New Roman" w:cs="Times New Roman"/>
        </w:rPr>
      </w:pPr>
    </w:p>
    <w:p w14:paraId="0BBE0751" w14:textId="5971E836" w:rsidR="00386C2E" w:rsidRPr="004F3B77" w:rsidRDefault="00386C2E" w:rsidP="003B6B02">
      <w:pPr>
        <w:rPr>
          <w:rFonts w:ascii="Times New Roman" w:hAnsi="Times New Roman" w:cs="Times New Roman"/>
        </w:rPr>
      </w:pPr>
      <w:r w:rsidRPr="004F3B77">
        <w:rPr>
          <w:rFonts w:ascii="Times New Roman" w:hAnsi="Times New Roman" w:cs="Times New Roman"/>
        </w:rPr>
        <w:t xml:space="preserve">Turning to the primary results of the meta-analytic results of the relationship between trust and COVID-related outcomes, Figure 3 reports the results from our random-effects meta-analysis (full table in Appendix 9). The point estimate and 95% confidence intervals represent the average estimate; the underlying points represent individual coefficients with their size the overall weight they contribute to the final estimate. Our results indicate that trust has a significant effect size across all outcomes except for risk and seriousness attitudes. The correlation of trust with compliance is, in Z-transformed Pearson correlations, </w:t>
      </w:r>
      <w:proofErr w:type="spellStart"/>
      <w:r w:rsidRPr="004F3B77">
        <w:rPr>
          <w:rFonts w:ascii="Times New Roman" w:hAnsi="Times New Roman" w:cs="Times New Roman"/>
          <w:i/>
          <w:iCs/>
        </w:rPr>
        <w:t>r</w:t>
      </w:r>
      <w:r w:rsidRPr="004F3B77">
        <w:rPr>
          <w:rFonts w:ascii="Times New Roman" w:hAnsi="Times New Roman" w:cs="Times New Roman"/>
          <w:i/>
          <w:iCs/>
          <w:vertAlign w:val="subscript"/>
        </w:rPr>
        <w:t>z</w:t>
      </w:r>
      <w:proofErr w:type="spellEnd"/>
      <w:r w:rsidRPr="004F3B77">
        <w:rPr>
          <w:rFonts w:ascii="Times New Roman" w:hAnsi="Times New Roman" w:cs="Times New Roman"/>
          <w:i/>
          <w:iCs/>
        </w:rPr>
        <w:t xml:space="preserve"> </w:t>
      </w:r>
      <w:r w:rsidRPr="004F3B77">
        <w:rPr>
          <w:rFonts w:ascii="Times New Roman" w:hAnsi="Times New Roman" w:cs="Times New Roman"/>
        </w:rPr>
        <w:t>=</w:t>
      </w:r>
      <w:r w:rsidRPr="004F3B77">
        <w:rPr>
          <w:rFonts w:ascii="Times New Roman" w:hAnsi="Times New Roman" w:cs="Times New Roman"/>
          <w:i/>
          <w:iCs/>
        </w:rPr>
        <w:t xml:space="preserve"> </w:t>
      </w:r>
      <w:r w:rsidRPr="004F3B77">
        <w:rPr>
          <w:rFonts w:ascii="Times New Roman" w:hAnsi="Times New Roman" w:cs="Times New Roman"/>
        </w:rPr>
        <w:t xml:space="preserve">0.11 (95% CI = [0.03, 0.19]) for vaccination it is </w:t>
      </w:r>
      <w:proofErr w:type="spellStart"/>
      <w:r w:rsidRPr="004F3B77">
        <w:rPr>
          <w:rFonts w:ascii="Times New Roman" w:hAnsi="Times New Roman" w:cs="Times New Roman"/>
          <w:i/>
          <w:iCs/>
        </w:rPr>
        <w:t>r</w:t>
      </w:r>
      <w:r w:rsidRPr="004F3B77">
        <w:rPr>
          <w:rFonts w:ascii="Times New Roman" w:hAnsi="Times New Roman" w:cs="Times New Roman"/>
          <w:i/>
          <w:iCs/>
          <w:vertAlign w:val="subscript"/>
        </w:rPr>
        <w:t>z</w:t>
      </w:r>
      <w:proofErr w:type="spellEnd"/>
      <w:r w:rsidRPr="004F3B77">
        <w:rPr>
          <w:rFonts w:ascii="Times New Roman" w:hAnsi="Times New Roman" w:cs="Times New Roman"/>
          <w:i/>
          <w:iCs/>
        </w:rPr>
        <w:t xml:space="preserve"> </w:t>
      </w:r>
      <w:r w:rsidRPr="004F3B77">
        <w:rPr>
          <w:rFonts w:ascii="Times New Roman" w:hAnsi="Times New Roman" w:cs="Times New Roman"/>
        </w:rPr>
        <w:t>=</w:t>
      </w:r>
      <w:r w:rsidRPr="004F3B77">
        <w:rPr>
          <w:rFonts w:ascii="Times New Roman" w:hAnsi="Times New Roman" w:cs="Times New Roman"/>
          <w:i/>
          <w:iCs/>
        </w:rPr>
        <w:t xml:space="preserve"> </w:t>
      </w:r>
      <w:r w:rsidRPr="004F3B77">
        <w:rPr>
          <w:rFonts w:ascii="Times New Roman" w:hAnsi="Times New Roman" w:cs="Times New Roman"/>
        </w:rPr>
        <w:t xml:space="preserve">0.10 (95% CI = [0.064, 0.14]) and for conspiracy beliefs </w:t>
      </w:r>
      <w:proofErr w:type="spellStart"/>
      <w:r w:rsidRPr="004F3B77">
        <w:rPr>
          <w:rFonts w:ascii="Times New Roman" w:hAnsi="Times New Roman" w:cs="Times New Roman"/>
          <w:i/>
          <w:iCs/>
        </w:rPr>
        <w:t>r</w:t>
      </w:r>
      <w:r w:rsidRPr="004F3B77">
        <w:rPr>
          <w:rFonts w:ascii="Times New Roman" w:hAnsi="Times New Roman" w:cs="Times New Roman"/>
          <w:i/>
          <w:iCs/>
          <w:vertAlign w:val="subscript"/>
        </w:rPr>
        <w:t>z</w:t>
      </w:r>
      <w:proofErr w:type="spellEnd"/>
      <w:r w:rsidRPr="004F3B77">
        <w:rPr>
          <w:rFonts w:ascii="Times New Roman" w:hAnsi="Times New Roman" w:cs="Times New Roman"/>
          <w:i/>
          <w:iCs/>
        </w:rPr>
        <w:t xml:space="preserve"> </w:t>
      </w:r>
      <w:r w:rsidRPr="004F3B77">
        <w:rPr>
          <w:rFonts w:ascii="Times New Roman" w:hAnsi="Times New Roman" w:cs="Times New Roman"/>
        </w:rPr>
        <w:t>=</w:t>
      </w:r>
      <w:r w:rsidRPr="004F3B77">
        <w:rPr>
          <w:rFonts w:ascii="Times New Roman" w:hAnsi="Times New Roman" w:cs="Times New Roman"/>
          <w:i/>
          <w:iCs/>
        </w:rPr>
        <w:t xml:space="preserve"> </w:t>
      </w:r>
      <w:r w:rsidRPr="004F3B77">
        <w:rPr>
          <w:rFonts w:ascii="Times New Roman" w:hAnsi="Times New Roman" w:cs="Times New Roman"/>
        </w:rPr>
        <w:t>-0.23 (95% CI = [-0.32, -0.12]) (</w:t>
      </w:r>
      <w:proofErr w:type="gramStart"/>
      <w:r w:rsidRPr="004F3B77">
        <w:rPr>
          <w:rFonts w:ascii="Times New Roman" w:hAnsi="Times New Roman" w:cs="Times New Roman"/>
        </w:rPr>
        <w:t>i.e.</w:t>
      </w:r>
      <w:proofErr w:type="gramEnd"/>
      <w:r w:rsidRPr="004F3B77">
        <w:rPr>
          <w:rFonts w:ascii="Times New Roman" w:hAnsi="Times New Roman" w:cs="Times New Roman"/>
        </w:rPr>
        <w:t xml:space="preserve"> negatively related to conspiracy beliefs). Trust has a small and non-significant relationship with risk and seriousness attitudes (</w:t>
      </w:r>
      <w:proofErr w:type="spellStart"/>
      <w:r w:rsidRPr="004F3B77">
        <w:rPr>
          <w:rFonts w:ascii="Times New Roman" w:hAnsi="Times New Roman" w:cs="Times New Roman"/>
          <w:i/>
          <w:iCs/>
        </w:rPr>
        <w:t>r</w:t>
      </w:r>
      <w:r w:rsidRPr="004F3B77">
        <w:rPr>
          <w:rFonts w:ascii="Times New Roman" w:hAnsi="Times New Roman" w:cs="Times New Roman"/>
          <w:i/>
          <w:iCs/>
          <w:vertAlign w:val="subscript"/>
        </w:rPr>
        <w:t>z</w:t>
      </w:r>
      <w:proofErr w:type="spellEnd"/>
      <w:r w:rsidRPr="004F3B77">
        <w:rPr>
          <w:rFonts w:ascii="Times New Roman" w:hAnsi="Times New Roman" w:cs="Times New Roman"/>
          <w:i/>
          <w:iCs/>
        </w:rPr>
        <w:t xml:space="preserve"> </w:t>
      </w:r>
      <w:r w:rsidRPr="004F3B77">
        <w:rPr>
          <w:rFonts w:ascii="Times New Roman" w:hAnsi="Times New Roman" w:cs="Times New Roman"/>
        </w:rPr>
        <w:t>=</w:t>
      </w:r>
      <w:r w:rsidRPr="004F3B77">
        <w:rPr>
          <w:rFonts w:ascii="Times New Roman" w:hAnsi="Times New Roman" w:cs="Times New Roman"/>
          <w:i/>
          <w:iCs/>
        </w:rPr>
        <w:t xml:space="preserve"> </w:t>
      </w:r>
      <w:r w:rsidRPr="004F3B77">
        <w:rPr>
          <w:rFonts w:ascii="Times New Roman" w:hAnsi="Times New Roman" w:cs="Times New Roman"/>
        </w:rPr>
        <w:t xml:space="preserve">0.04, 95% CI = [-0.033, 0.12]). We also provide the absolute effect size for all outcomes which shows that trust has an overall correlation of </w:t>
      </w:r>
      <w:proofErr w:type="spellStart"/>
      <w:r w:rsidRPr="004F3B77">
        <w:rPr>
          <w:rFonts w:ascii="Times New Roman" w:hAnsi="Times New Roman" w:cs="Times New Roman"/>
          <w:i/>
          <w:iCs/>
        </w:rPr>
        <w:t>r</w:t>
      </w:r>
      <w:r w:rsidRPr="004F3B77">
        <w:rPr>
          <w:rFonts w:ascii="Times New Roman" w:hAnsi="Times New Roman" w:cs="Times New Roman"/>
          <w:i/>
          <w:iCs/>
          <w:vertAlign w:val="subscript"/>
        </w:rPr>
        <w:t>z</w:t>
      </w:r>
      <w:proofErr w:type="spellEnd"/>
      <w:r w:rsidRPr="004F3B77">
        <w:rPr>
          <w:rFonts w:ascii="Times New Roman" w:hAnsi="Times New Roman" w:cs="Times New Roman"/>
          <w:i/>
          <w:iCs/>
        </w:rPr>
        <w:t xml:space="preserve"> </w:t>
      </w:r>
      <w:r w:rsidRPr="004F3B77">
        <w:rPr>
          <w:rFonts w:ascii="Times New Roman" w:hAnsi="Times New Roman" w:cs="Times New Roman"/>
        </w:rPr>
        <w:t>=</w:t>
      </w:r>
      <w:r w:rsidRPr="004F3B77">
        <w:rPr>
          <w:rFonts w:ascii="Times New Roman" w:hAnsi="Times New Roman" w:cs="Times New Roman"/>
          <w:i/>
          <w:iCs/>
        </w:rPr>
        <w:t xml:space="preserve"> </w:t>
      </w:r>
      <w:r w:rsidRPr="004F3B77">
        <w:rPr>
          <w:rFonts w:ascii="Times New Roman" w:hAnsi="Times New Roman" w:cs="Times New Roman"/>
        </w:rPr>
        <w:t xml:space="preserve">0.14 (95% CI = [0.12, 0.17]). To be clear, this ‘overall’ correlation is the </w:t>
      </w:r>
      <w:r w:rsidRPr="004F3B77">
        <w:rPr>
          <w:rFonts w:ascii="Times New Roman" w:hAnsi="Times New Roman" w:cs="Times New Roman"/>
          <w:i/>
          <w:iCs/>
        </w:rPr>
        <w:t>absolute</w:t>
      </w:r>
      <w:r w:rsidRPr="004F3B77">
        <w:rPr>
          <w:rFonts w:ascii="Times New Roman" w:hAnsi="Times New Roman" w:cs="Times New Roman"/>
        </w:rPr>
        <w:t xml:space="preserve"> correlation so cannot be interpreted directionally; it is the average correlation to indicate the overall importance of trust. To be explicit, these estimates therefore indicate that trust is importantly related to a variety of fundamental outcomes during the COVID pandemic.</w:t>
      </w:r>
    </w:p>
    <w:p w14:paraId="5700880F" w14:textId="77777777" w:rsidR="00386C2E" w:rsidRPr="004F3B77" w:rsidRDefault="00386C2E" w:rsidP="003B6B02">
      <w:pPr>
        <w:rPr>
          <w:rFonts w:ascii="Times New Roman" w:hAnsi="Times New Roman" w:cs="Times New Roman"/>
        </w:rPr>
      </w:pPr>
    </w:p>
    <w:p w14:paraId="2E46FDD6" w14:textId="5B291A15" w:rsidR="00386C2E" w:rsidRPr="004F3B77" w:rsidRDefault="00386C2E" w:rsidP="003B6B02">
      <w:pPr>
        <w:rPr>
          <w:rFonts w:ascii="Times New Roman" w:hAnsi="Times New Roman" w:cs="Times New Roman"/>
        </w:rPr>
      </w:pPr>
      <w:r w:rsidRPr="004F3B77">
        <w:rPr>
          <w:rFonts w:ascii="Times New Roman" w:hAnsi="Times New Roman" w:cs="Times New Roman"/>
        </w:rPr>
        <w:lastRenderedPageBreak/>
        <w:t xml:space="preserve">Putting these estimates in context, they are consistent with other meta-analyses in political science on topics such as terrorism, ethnic diversity, and globalisation </w:t>
      </w:r>
      <w:r w:rsidRPr="004F3B77">
        <w:rPr>
          <w:rFonts w:ascii="Times New Roman" w:hAnsi="Times New Roman" w:cs="Times New Roman"/>
        </w:rPr>
        <w:fldChar w:fldCharType="begin"/>
      </w:r>
      <w:r w:rsidR="00505F8A" w:rsidRPr="004F3B77">
        <w:rPr>
          <w:rFonts w:ascii="Times New Roman" w:hAnsi="Times New Roman" w:cs="Times New Roman"/>
        </w:rPr>
        <w:instrText xml:space="preserve"> ADDIN ZOTERO_ITEM CSL_CITATION {"citationID":"ZEDgVRHg","properties":{"formattedCitation":"(Devine, 2022; Dinesen et al., 2020; Godefroidt, 2023; Heimberger, 2021)","plainCitation":"(Devine, 2022; Dinesen et al., 2020; Godefroidt, 2023; Heimberger, 2021)","noteIndex":0},"citationItems":[{"id":15075,"uris":["http://zotero.org/users/2674438/items/CSP2BUG9"],"itemData":{"id":15075,"type":"article-journal","container-title":"OSF Preprints","DOI":"https://osf.io/qtdwj","title":"Trust Matters: a meta-analysis on the consequences of trust","author":[{"family":"Devine","given":"Daniel"}],"issued":{"date-parts":[["2022"]]}}},{"id":14937,"uris":["http://zotero.org/users/2674438/items/X6KD6MFZ"],"itemData":{"id":14937,"type":"article-journal","container-title":"American Journal of Political Science","issue":"1","page":"22-38","title":"How Terrorism Does (and Does Not) Affect Citizens’ Political Attitudes: A Meta-Analysis","volume":"67","author":[{"family":"Godefroidt","given":"Amélie"}],"issued":{"date-parts":[["2023"]]}}},{"id":4319,"uris":["http://zotero.org/users/2674438/items/DCCF27HI"],"itemData":{"id":4319,"type":"article-journal","abstract":"Does ethnic diversity erode social trust? Continued immigration and corresponding growing ethnic diversity have prompted this essential question for modern societies, but few clear answers have been reached in the sprawling literature. This article reviews the literature on the relationship between ethnic diversity and social trust through a narrative review and a meta-analysis of 1,001 estimates from 87 studies. The review clarifies the core concepts, highlights pertinent debates, and tests core claims from the literature on the relationship between ethnic diversity and social trust. Several results stand out from the meta-analysis. We find a statistically significant negative relationship between ethnic diversity and social trust across all studies. The relationship is stronger for trust in neighbors and when ethnic diversity is measured more locally. Covariate conditioning generally changes the relationship only slightly. The review concludes by discussing avenues for future research.","container-title":"Annual Review of Political Science","DOI":"10.1146/annurev-polisci-052918-020708","ISSN":"1094-2939, 1545-1577","issue":"1","language":"en","page":"441-465","source":"Crossref","title":"Ethnic Diversity and Social Trust: A Narrative and Meta-Analytical Review","title-short":"Ethnic Diversity and Social Trust","volume":"23","author":[{"family":"Dinesen","given":"Peter Thisted"},{"family":"Schaeffer","given":"Merlin"},{"family":"Sønderskov","given":"Kim Mannemar"}],"issued":{"date-parts":[["2020",5,11]]}}},{"id":4090,"uris":["http://zotero.org/users/2674438/items/KI4RPSHX"],"itemData":{"id":4090,"type":"article-journal","abstract":"Despite extensive econometric testing, the research literature has been unable to draw firm conclusions regarding the effect of economic globalization on government spending. This paper explores various dimensions of the wide variation in existing estimates of the globalization-spending relationship. By applying meta-analysis and meta-regression methods to a unique data set consisting of 1182 observations from 79 peer-reviewed articles, we find that the evidence rejects theoretical views predicting strong unidirectional effects of economic globalization on government spending. Once we account for publication selection bias, no evidence of a non-zero average empirical effect is found. More importantly, however, the type of government spending matters: while the results are consistent with the view that economic globalization exerts small-to-moderate downward pressure on government spending for social protection and welfare, other spending components are affected less significantly. The meta-regression analysis shows further that several factors influence the globalization-spending estimates reported in the literature, including the choice of the economic globalization indicator, details of the econometric specifications, and publication characteristics.","container-title":"Public Choice","DOI":"10.1007/s11127-020-00784-8","ISSN":"0048-5829, 1573-7101","language":"en","page":"349–374","source":"Crossref","title":"Does economic globalization affect government spending? A meta-analysis","title-short":"Does economic globalization affect government spending?","volume":"187","author":[{"family":"Heimberger","given":"Philipp"}],"issued":{"date-parts":[["2021"]]}}}],"schema":"https://github.com/citation-style-language/schema/raw/master/csl-citation.json"} </w:instrText>
      </w:r>
      <w:r w:rsidRPr="004F3B77">
        <w:rPr>
          <w:rFonts w:ascii="Times New Roman" w:hAnsi="Times New Roman" w:cs="Times New Roman"/>
        </w:rPr>
        <w:fldChar w:fldCharType="separate"/>
      </w:r>
      <w:r w:rsidR="00505F8A" w:rsidRPr="004F3B77">
        <w:rPr>
          <w:rFonts w:ascii="Times New Roman" w:hAnsi="Times New Roman" w:cs="Times New Roman"/>
        </w:rPr>
        <w:t>(Devine, 2022; Dinesen et al., 2020; Godefroidt, 2023; Heimberger, 2021)</w:t>
      </w:r>
      <w:r w:rsidRPr="004F3B77">
        <w:rPr>
          <w:rFonts w:ascii="Times New Roman" w:hAnsi="Times New Roman" w:cs="Times New Roman"/>
        </w:rPr>
        <w:fldChar w:fldCharType="end"/>
      </w:r>
      <w:r w:rsidRPr="004F3B77">
        <w:rPr>
          <w:rFonts w:ascii="Times New Roman" w:hAnsi="Times New Roman" w:cs="Times New Roman"/>
        </w:rPr>
        <w:t xml:space="preserve">. For instance, </w:t>
      </w:r>
      <w:proofErr w:type="spellStart"/>
      <w:r w:rsidRPr="004F3B77">
        <w:rPr>
          <w:rFonts w:ascii="Times New Roman" w:hAnsi="Times New Roman" w:cs="Times New Roman"/>
        </w:rPr>
        <w:t>Godefroidt</w:t>
      </w:r>
      <w:proofErr w:type="spellEnd"/>
      <w:r w:rsidRPr="004F3B77">
        <w:rPr>
          <w:rFonts w:ascii="Times New Roman" w:hAnsi="Times New Roman" w:cs="Times New Roman"/>
        </w:rPr>
        <w:t xml:space="preserve"> (2021) estimates that terror attacks have an overall effect on a conservative ideological shift amongst the public of 0.132; our estimates suggest that political trust has a similar correlation with compliance, vaccination, and a larger, negative correlation with conspiracy beliefs. </w:t>
      </w:r>
    </w:p>
    <w:p w14:paraId="121F2AD1" w14:textId="77777777" w:rsidR="00386C2E" w:rsidRPr="004F3B77" w:rsidRDefault="00386C2E" w:rsidP="003B6B02">
      <w:pPr>
        <w:rPr>
          <w:rFonts w:ascii="Times New Roman" w:hAnsi="Times New Roman" w:cs="Times New Roman"/>
        </w:rPr>
      </w:pPr>
    </w:p>
    <w:p w14:paraId="2E086510" w14:textId="6869F214" w:rsidR="00386C2E" w:rsidRPr="004F3B77" w:rsidRDefault="00386C2E" w:rsidP="008366D4">
      <w:pPr>
        <w:keepNext/>
        <w:rPr>
          <w:rFonts w:ascii="Times New Roman" w:hAnsi="Times New Roman" w:cs="Times New Roman"/>
        </w:rPr>
      </w:pPr>
      <w:r w:rsidRPr="004F3B77">
        <w:rPr>
          <w:rFonts w:ascii="Times New Roman" w:hAnsi="Times New Roman" w:cs="Times New Roman"/>
          <w:noProof/>
        </w:rPr>
        <w:drawing>
          <wp:inline distT="0" distB="0" distL="0" distR="0" wp14:anchorId="4378D683" wp14:editId="5D344AFC">
            <wp:extent cx="5731510" cy="4908550"/>
            <wp:effectExtent l="0" t="0" r="0" b="0"/>
            <wp:docPr id="24" name="Picture 2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908550"/>
                    </a:xfrm>
                    <a:prstGeom prst="rect">
                      <a:avLst/>
                    </a:prstGeom>
                  </pic:spPr>
                </pic:pic>
              </a:graphicData>
            </a:graphic>
          </wp:inline>
        </w:drawing>
      </w:r>
    </w:p>
    <w:p w14:paraId="7FD50DC1" w14:textId="2C6F3A31" w:rsidR="00386C2E" w:rsidRPr="004F3B77" w:rsidRDefault="00386C2E" w:rsidP="008366D4">
      <w:pPr>
        <w:pStyle w:val="Caption"/>
        <w:jc w:val="center"/>
        <w:rPr>
          <w:rFonts w:ascii="Times New Roman" w:hAnsi="Times New Roman" w:cs="Times New Roman"/>
          <w:i w:val="0"/>
          <w:iCs w:val="0"/>
          <w:color w:val="auto"/>
          <w:sz w:val="24"/>
          <w:szCs w:val="24"/>
        </w:rPr>
      </w:pPr>
      <w:r w:rsidRPr="004F3B77">
        <w:rPr>
          <w:rFonts w:ascii="Times New Roman" w:hAnsi="Times New Roman" w:cs="Times New Roman"/>
          <w:i w:val="0"/>
          <w:iCs w:val="0"/>
          <w:color w:val="auto"/>
          <w:sz w:val="24"/>
          <w:szCs w:val="24"/>
        </w:rPr>
        <w:t xml:space="preserve">Figure </w:t>
      </w:r>
      <w:r w:rsidRPr="004F3B77">
        <w:rPr>
          <w:rFonts w:ascii="Times New Roman" w:hAnsi="Times New Roman" w:cs="Times New Roman"/>
          <w:i w:val="0"/>
          <w:iCs w:val="0"/>
          <w:color w:val="auto"/>
          <w:sz w:val="24"/>
          <w:szCs w:val="24"/>
        </w:rPr>
        <w:fldChar w:fldCharType="begin"/>
      </w:r>
      <w:r w:rsidRPr="004F3B77">
        <w:rPr>
          <w:rFonts w:ascii="Times New Roman" w:hAnsi="Times New Roman" w:cs="Times New Roman"/>
          <w:i w:val="0"/>
          <w:iCs w:val="0"/>
          <w:color w:val="auto"/>
          <w:sz w:val="24"/>
          <w:szCs w:val="24"/>
        </w:rPr>
        <w:instrText xml:space="preserve"> SEQ Figure \* ARABIC </w:instrText>
      </w:r>
      <w:r w:rsidRPr="004F3B77">
        <w:rPr>
          <w:rFonts w:ascii="Times New Roman" w:hAnsi="Times New Roman" w:cs="Times New Roman"/>
          <w:i w:val="0"/>
          <w:iCs w:val="0"/>
          <w:color w:val="auto"/>
          <w:sz w:val="24"/>
          <w:szCs w:val="24"/>
        </w:rPr>
        <w:fldChar w:fldCharType="separate"/>
      </w:r>
      <w:r w:rsidR="00125EF8">
        <w:rPr>
          <w:rFonts w:ascii="Times New Roman" w:hAnsi="Times New Roman" w:cs="Times New Roman"/>
          <w:i w:val="0"/>
          <w:iCs w:val="0"/>
          <w:noProof/>
          <w:color w:val="auto"/>
          <w:sz w:val="24"/>
          <w:szCs w:val="24"/>
        </w:rPr>
        <w:t>3</w:t>
      </w:r>
      <w:r w:rsidRPr="004F3B77">
        <w:rPr>
          <w:rFonts w:ascii="Times New Roman" w:hAnsi="Times New Roman" w:cs="Times New Roman"/>
          <w:i w:val="0"/>
          <w:iCs w:val="0"/>
          <w:color w:val="auto"/>
          <w:sz w:val="24"/>
          <w:szCs w:val="24"/>
        </w:rPr>
        <w:fldChar w:fldCharType="end"/>
      </w:r>
      <w:r w:rsidRPr="004F3B77">
        <w:rPr>
          <w:rFonts w:ascii="Times New Roman" w:hAnsi="Times New Roman" w:cs="Times New Roman"/>
          <w:i w:val="0"/>
          <w:iCs w:val="0"/>
          <w:color w:val="auto"/>
          <w:sz w:val="24"/>
          <w:szCs w:val="24"/>
        </w:rPr>
        <w:t>: Meta-analytic estimates</w:t>
      </w:r>
    </w:p>
    <w:p w14:paraId="0FEDF2B9" w14:textId="542D836E" w:rsidR="00386C2E" w:rsidRPr="004F3B77" w:rsidRDefault="00386C2E" w:rsidP="00247DD1">
      <w:pPr>
        <w:jc w:val="center"/>
        <w:rPr>
          <w:rFonts w:ascii="Times New Roman" w:hAnsi="Times New Roman" w:cs="Times New Roman"/>
        </w:rPr>
      </w:pPr>
    </w:p>
    <w:p w14:paraId="351BE095" w14:textId="262F8ACA" w:rsidR="00386C2E" w:rsidRPr="004F3B77" w:rsidRDefault="00386C2E" w:rsidP="0035723C">
      <w:pPr>
        <w:jc w:val="center"/>
        <w:rPr>
          <w:rFonts w:ascii="Times New Roman" w:hAnsi="Times New Roman" w:cs="Times New Roman"/>
        </w:rPr>
      </w:pPr>
    </w:p>
    <w:p w14:paraId="4D91C54E" w14:textId="6C4B15B4" w:rsidR="00386C2E" w:rsidRPr="004F3B77" w:rsidRDefault="00386C2E" w:rsidP="00921254">
      <w:pPr>
        <w:rPr>
          <w:rFonts w:ascii="Times New Roman" w:hAnsi="Times New Roman" w:cs="Times New Roman"/>
        </w:rPr>
      </w:pPr>
    </w:p>
    <w:p w14:paraId="02732AD5" w14:textId="5459A1FA" w:rsidR="00386C2E" w:rsidRPr="004F3B77" w:rsidRDefault="00386C2E" w:rsidP="00921254">
      <w:pPr>
        <w:rPr>
          <w:rFonts w:ascii="Times New Roman" w:hAnsi="Times New Roman" w:cs="Times New Roman"/>
        </w:rPr>
      </w:pPr>
      <w:r w:rsidRPr="004F3B77">
        <w:rPr>
          <w:rFonts w:ascii="Times New Roman" w:hAnsi="Times New Roman" w:cs="Times New Roman"/>
        </w:rPr>
        <w:t>In Appendix Figure A1, we provide separate estimates for study pooled and partial or raw correlations. These show slightly larger correlations for non-partial correlations (</w:t>
      </w:r>
      <w:proofErr w:type="gramStart"/>
      <w:r w:rsidRPr="004F3B77">
        <w:rPr>
          <w:rFonts w:ascii="Times New Roman" w:hAnsi="Times New Roman" w:cs="Times New Roman"/>
        </w:rPr>
        <w:t>i.e.</w:t>
      </w:r>
      <w:proofErr w:type="gramEnd"/>
      <w:r w:rsidRPr="004F3B77">
        <w:rPr>
          <w:rFonts w:ascii="Times New Roman" w:hAnsi="Times New Roman" w:cs="Times New Roman"/>
        </w:rPr>
        <w:t xml:space="preserve"> those without any controls) and wider confidence intervals for study-pooled estimates. We also remove outliers from each of the models and show that the results do not change; the overall correlation is weaker (</w:t>
      </w:r>
      <w:proofErr w:type="spellStart"/>
      <w:r w:rsidRPr="004F3B77">
        <w:rPr>
          <w:rFonts w:ascii="Times New Roman" w:hAnsi="Times New Roman" w:cs="Times New Roman"/>
          <w:i/>
          <w:iCs/>
        </w:rPr>
        <w:t>r</w:t>
      </w:r>
      <w:r w:rsidRPr="004F3B77">
        <w:rPr>
          <w:rFonts w:ascii="Times New Roman" w:hAnsi="Times New Roman" w:cs="Times New Roman"/>
          <w:i/>
          <w:iCs/>
          <w:vertAlign w:val="subscript"/>
        </w:rPr>
        <w:t>z</w:t>
      </w:r>
      <w:proofErr w:type="spellEnd"/>
      <w:r w:rsidRPr="004F3B77">
        <w:rPr>
          <w:rFonts w:ascii="Times New Roman" w:hAnsi="Times New Roman" w:cs="Times New Roman"/>
          <w:i/>
          <w:iCs/>
        </w:rPr>
        <w:t xml:space="preserve"> </w:t>
      </w:r>
      <w:r w:rsidRPr="004F3B77">
        <w:rPr>
          <w:rFonts w:ascii="Times New Roman" w:hAnsi="Times New Roman" w:cs="Times New Roman"/>
        </w:rPr>
        <w:t>=</w:t>
      </w:r>
      <w:r w:rsidRPr="004F3B77">
        <w:rPr>
          <w:rFonts w:ascii="Times New Roman" w:hAnsi="Times New Roman" w:cs="Times New Roman"/>
          <w:i/>
          <w:iCs/>
        </w:rPr>
        <w:t xml:space="preserve"> </w:t>
      </w:r>
      <w:r w:rsidRPr="004F3B77">
        <w:rPr>
          <w:rFonts w:ascii="Times New Roman" w:hAnsi="Times New Roman" w:cs="Times New Roman"/>
        </w:rPr>
        <w:t xml:space="preserve">0.07 (95% CI = [0.04, 0.10]) but this does not change estimates for the core outcomes. For presentational purposes, we also provide forest plots for the study-pooled estimates (A2-A5) to show results for different studies and how much they contribute to the overall estimate. </w:t>
      </w:r>
    </w:p>
    <w:p w14:paraId="38151855" w14:textId="1C53461B" w:rsidR="00386C2E" w:rsidRPr="004F3B77" w:rsidRDefault="00386C2E" w:rsidP="00DD43F4">
      <w:pPr>
        <w:rPr>
          <w:rFonts w:ascii="Times New Roman" w:hAnsi="Times New Roman" w:cs="Times New Roman"/>
        </w:rPr>
      </w:pPr>
    </w:p>
    <w:p w14:paraId="41B52963" w14:textId="5B3DFFD2" w:rsidR="00386C2E" w:rsidRPr="004F3B77" w:rsidRDefault="00386C2E" w:rsidP="008A1398">
      <w:pPr>
        <w:rPr>
          <w:rFonts w:ascii="Times New Roman" w:hAnsi="Times New Roman" w:cs="Times New Roman"/>
          <w:b/>
          <w:bCs/>
          <w:i/>
          <w:iCs/>
        </w:rPr>
      </w:pPr>
      <w:r w:rsidRPr="004F3B77">
        <w:rPr>
          <w:rFonts w:ascii="Times New Roman" w:hAnsi="Times New Roman" w:cs="Times New Roman"/>
          <w:b/>
          <w:bCs/>
          <w:i/>
          <w:iCs/>
        </w:rPr>
        <w:t>Meta-regression analysis</w:t>
      </w:r>
    </w:p>
    <w:p w14:paraId="126ECB49" w14:textId="77777777" w:rsidR="00386C2E" w:rsidRPr="004F3B77" w:rsidRDefault="00386C2E" w:rsidP="00723C50">
      <w:pPr>
        <w:pStyle w:val="ListParagraph"/>
        <w:ind w:left="1440"/>
        <w:rPr>
          <w:rFonts w:ascii="Times New Roman" w:hAnsi="Times New Roman" w:cs="Times New Roman"/>
        </w:rPr>
      </w:pPr>
    </w:p>
    <w:p w14:paraId="7FF7475C" w14:textId="682F796A" w:rsidR="00386C2E" w:rsidRPr="004F3B77" w:rsidRDefault="00386C2E" w:rsidP="00C06FBC">
      <w:pPr>
        <w:rPr>
          <w:rFonts w:ascii="Times New Roman" w:hAnsi="Times New Roman" w:cs="Times New Roman"/>
        </w:rPr>
      </w:pPr>
      <w:r w:rsidRPr="004F3B77">
        <w:rPr>
          <w:rFonts w:ascii="Times New Roman" w:hAnsi="Times New Roman" w:cs="Times New Roman"/>
        </w:rPr>
        <w:t>The models indicate that almost all the variance is due to genuine heterogeneity in effect sizes rather than chance.</w:t>
      </w:r>
      <w:r w:rsidRPr="004F3B77">
        <w:rPr>
          <w:rStyle w:val="EndnoteReference"/>
          <w:rFonts w:ascii="Times New Roman" w:hAnsi="Times New Roman" w:cs="Times New Roman"/>
        </w:rPr>
        <w:endnoteReference w:id="9"/>
      </w:r>
      <w:r w:rsidRPr="004F3B77">
        <w:rPr>
          <w:rFonts w:ascii="Times New Roman" w:hAnsi="Times New Roman" w:cs="Times New Roman"/>
        </w:rPr>
        <w:t xml:space="preserve"> It is therefore possible that this heterogeneity can be explained, and so we turn to exploratory (non-registered) meta-regression analyses to identify possible sources of heterogeneity. Meta-regression analyses assume that effect sizes are influenced by variables other than the sampling error generated by the underlying studies. As we discuss in the literature review, there are also good theoretical reasons to believe trust may vary, such as due to the object of trust and region. There are also a variety of research design decisions that may influence the results </w:t>
      </w:r>
      <w:r w:rsidRPr="004F3B77">
        <w:rPr>
          <w:rFonts w:ascii="Times New Roman" w:hAnsi="Times New Roman" w:cs="Times New Roman"/>
        </w:rPr>
        <w:fldChar w:fldCharType="begin"/>
      </w:r>
      <w:r w:rsidR="00505F8A" w:rsidRPr="004F3B77">
        <w:rPr>
          <w:rFonts w:ascii="Times New Roman" w:hAnsi="Times New Roman" w:cs="Times New Roman"/>
        </w:rPr>
        <w:instrText xml:space="preserve"> ADDIN ZOTERO_ITEM CSL_CITATION {"citationID":"aiW6PYb7","properties":{"formattedCitation":"(Breznau et al., 2022)","plainCitation":"(Breznau et al., 2022)","noteIndex":0},"citationItems":[{"id":14963,"uris":["http://zotero.org/users/2674438/items/RHPGQP7R"],"itemData":{"id":14963,"type":"article-journal","abstract":"This study explores how analytical choices of researchers affect the reliability of scientific findings. Current lack-of-reliability discussions focus on systematic biases. We broaden the lens to include idiosyncratic decisions in data analysis that lead researchers to diverging results and conclusions. We coordinated and observed decisions among 73 research-teams as they independently tested the same hypothesis using the same data. Results show that in this typical secondary data research situation, the universe of pathways from data to results is so vast that each analysis was unique in some way. Teams reported divergent findings with contradictory substantive implications that could not be explained by differences in researchers’ expertise, prior beliefs, and expectations. This calls for greater humility and clarity in presentation of scientific findings. Idiosyncratic variation may also be a cause for why many hypotheses remain highly contested, particularly in large-scale social and behavioral research.","container-title":"Proceedings of the National Academy of Sciences","DOI":"https://doi.org/10.31222/osf.io/cd5j9","issue":"44","language":"en","page":"1-8","source":"Zotero","title":"Observing Many Researchers Using the Same Data and Hypothesis Reveals a Hidden Universe of Uncertainty","volume":"119","author":[{"family":"Breznau","given":"Nate"},{"family":"Rinke","given":"Eike Mark"},{"family":"Wuttke","given":"Alexander"},{"family":"Nguyen","given":"Hung H V"},{"family":"Adem","given":"Muna"},{"family":"Adriaans","given":"Jule"},{"family":"Alvarez-Benjumea","given":"Amalia"},{"family":"Andersen","given":"Henrik K"},{"family":"Azevedo","given":"Flavio"},{"family":"Bahnsen","given":"Oke"},{"family":"Balzer","given":"Dave"},{"family":"Bauer","given":"Gerrit"},{"family":"Bauer","given":"Paul C"},{"family":"Baumann","given":"Markus"},{"family":"Baute","given":"Sharon"},{"family":"Benoit","given":"Verena"},{"family":"Bernauer","given":"Julian"},{"family":"Berning","given":"Carl"},{"family":"Bethke","given":"Felix S"},{"family":"Biegert","given":"Thomas"},{"family":"Blinzler","given":"Katharina"},{"family":"Bobzien","given":"Licia"},{"family":"Bohman","given":"Andrea"},{"family":"Bol","given":"Thijs"},{"family":"Bostic","given":"Amie"},{"family":"Burgdorf","given":"Katharina"},{"family":"Burger","given":"Kaspar"},{"family":"Busch","given":"Kathrin"},{"family":"Carlos","given":"Juan"},{"family":"Chan","given":"Nathan"},{"family":"Christmann","given":"Pablo"},{"family":"Connelly","given":"Roxanne"},{"family":"Czymara","given":"Christian S"},{"family":"Damian","given":"Elena"},{"family":"Ecker","given":"Alejandro"},{"family":"Edelmann","given":"Achim"},{"family":"Eger","given":"Maureen A"},{"family":"Ellerbrock","given":"Simon"},{"family":"Forke","given":"Anna"},{"family":"Forster","given":"Andrea"},{"family":"Gaasendam","given":"Chris"},{"family":"Gavras","given":"Konstantin"},{"family":"Gayle","given":"Vernon"},{"family":"Gessler","given":"Theresa"},{"family":"Gnambs","given":"Timo"},{"family":"Godefroidt","given":"Amélie"},{"family":"Grömping","given":"Max"},{"family":"Groß","given":"Martin"},{"family":"Gruber","given":"Stefan"},{"family":"Gummer","given":"Tobias"},{"family":"Hadjar","given":"Andreas"},{"family":"Heisig","given":"Jan Paul"},{"family":"Hellmeier","given":"Sebastian"},{"family":"Heyne","given":"Stefanie"},{"family":"Hirsch","given":"Magdalena"},{"family":"Hjerm","given":"Mikael"},{"family":"Hochman","given":"Oshrat"},{"family":"Hunger","given":"Sophia"},{"family":"Hunkler","given":"Christian"},{"family":"Huth","given":"Nora"},{"family":"Ignácz","given":"Zsófia S"},{"family":"Jacobsen","given":"Jannes"},{"family":"Jaeger","given":"Bastian"},{"family":"Jungkunz","given":"Sebastian"},{"family":"Jungmann","given":"Nils"},{"family":"Kauff","given":"Mathias"},{"family":"Kleinert","given":"Manuel"},{"family":"Klinger","given":"Julia"},{"family":"Kolb","given":"Jan-Philipp"},{"family":"Kołczyńska","given":"Marta"},{"family":"Kuk","given":"John"},{"family":"Kunißen","given":"Katharina"},{"family":"Sinatra","given":"Dafina Kurti"},{"family":"Langenkamp","given":"Alexander"},{"family":"Löbel","given":"Lea-Maria"},{"family":"Lutscher","given":"Philipp"},{"family":"Mader","given":"Matthias"},{"family":"Madia","given":"Joan E"},{"family":"Maldonado","given":"Luis"},{"family":"Marahrens","given":"Helge-Johannes"},{"family":"Martin","given":"Nicole"},{"family":"Martinez","given":"Paul"},{"family":"Mayerl","given":"Jochen"},{"family":"Mayorga","given":"Oscar J"},{"family":"McManus","given":"Patricia"},{"family":"McWagner","given":"Kyle"},{"family":"Meeusen","given":"Cecil"},{"family":"Meierrieks","given":"Daniel"},{"family":"Mellon","given":"Jonathan"},{"family":"Merhout","given":"Friedolin"},{"family":"Merk","given":"Samuel"},{"family":"Meyer","given":"Daniel"},{"family":"Micheli","given":"Leticia"},{"family":"Mijs","given":"Jonathan"},{"family":"Moya","given":"Cristóbal"},{"family":"Neunhoeffer","given":"Marcel"},{"family":"Nüst","given":"Daniel"},{"family":"Nygård","given":"Olav"},{"family":"Ochsenfeld","given":"Fabian"},{"family":"Otte","given":"Gunnar"},{"family":"Pechenkina","given":"Anna"},{"family":"Prosser","given":"Christopher"},{"family":"Raes","given":"Louis"},{"family":"Ralston","given":"Kevin"},{"family":"Ramos","given":"Miguel"},{"family":"Roets","given":"Arne"},{"family":"Rogers","given":"Jonathan"},{"family":"Samuel","given":"Robin"},{"family":"Sand","given":"Gregor"},{"family":"Schachter","given":"Ariela"},{"family":"Schaeffer","given":"Merlin"},{"family":"Schlueter","given":"Elmar"},{"family":"Schmidt","given":"Regine"},{"family":"Schmidt","given":"Katja M"},{"family":"Schmidt","given":"Alexander"},{"family":"Schmiedeberg","given":"Claudia"},{"family":"Schneider","given":"Jürgen"},{"family":"Schoonvelde","given":"Martijn"},{"family":"Schulte","given":"Julia"},{"family":"Schumann","given":"Sandy"},{"family":"Schunck","given":"Reinhard"},{"family":"Schupp","given":"Jürgen"},{"family":"Seuring","given":"Julian"},{"family":"Sleegers","given":"Willem"},{"family":"Sonnta","given":"Nico"},{"family":"Staudt","given":"Alexander"},{"family":"Steiber","given":"Nadia"},{"family":"Steiner","given":"Nils"},{"family":"Sternberg","given":"Sebastian"},{"family":"Stiers","given":"Dieter"},{"family":"Stojmenovska","given":"Dragana"},{"family":"Storz","given":"Nora"},{"family":"Striessnig","given":"Erich"},{"family":"Stroppe","given":"Anne-Kathrin"},{"family":"Teltemann","given":"Janna"},{"family":"Tibajev","given":"Andrey"},{"family":"Tung","given":"Brian"},{"family":"Vagni","given":"Giacomo"},{"family":"Assche","given":"Jasper Van"},{"family":"Vogtenhuber","given":"Stefan"},{"family":"Voicu","given":"Bogdan"},{"family":"Wagemans","given":"Fieke"},{"family":"Wehl","given":"Nadja"},{"family":"Wiernik","given":"Brenton M"},{"family":"Winter","given":"Fabian"},{"family":"Wolf","given":"Christof"},{"family":"Yamada","given":"Yuki"},{"family":"Ziller","given":"Conrad"},{"family":"Zins","given":"Stefan"},{"family":"Żółtak","given":"Tomasz"}],"issued":{"date-parts":[["2022"]]}}}],"schema":"https://github.com/citation-style-language/schema/raw/master/csl-citation.json"} </w:instrText>
      </w:r>
      <w:r w:rsidRPr="004F3B77">
        <w:rPr>
          <w:rFonts w:ascii="Times New Roman" w:hAnsi="Times New Roman" w:cs="Times New Roman"/>
        </w:rPr>
        <w:fldChar w:fldCharType="separate"/>
      </w:r>
      <w:r w:rsidR="00505F8A" w:rsidRPr="004F3B77">
        <w:rPr>
          <w:rFonts w:ascii="Times New Roman" w:hAnsi="Times New Roman" w:cs="Times New Roman"/>
          <w:noProof/>
        </w:rPr>
        <w:t>(Breznau et al., 2022)</w:t>
      </w:r>
      <w:r w:rsidRPr="004F3B77">
        <w:rPr>
          <w:rFonts w:ascii="Times New Roman" w:hAnsi="Times New Roman" w:cs="Times New Roman"/>
        </w:rPr>
        <w:fldChar w:fldCharType="end"/>
      </w:r>
      <w:r w:rsidRPr="004F3B77">
        <w:rPr>
          <w:rFonts w:ascii="Times New Roman" w:hAnsi="Times New Roman" w:cs="Times New Roman"/>
        </w:rPr>
        <w:t>. To test for this, we use random-effects meta-regression, which includes explanatory variables when predicting the effect sizes. Our formula is:</w:t>
      </w:r>
    </w:p>
    <w:p w14:paraId="3AA4AB7B" w14:textId="5A535FCE" w:rsidR="00386C2E" w:rsidRPr="004F3B77" w:rsidRDefault="00386C2E" w:rsidP="00C06FBC">
      <w:pPr>
        <w:rPr>
          <w:rFonts w:ascii="Times New Roman" w:hAnsi="Times New Roman" w:cs="Times New Roman"/>
        </w:rPr>
      </w:pPr>
    </w:p>
    <w:p w14:paraId="4B8F3EAC" w14:textId="069E449D" w:rsidR="00386C2E" w:rsidRPr="004F3B77" w:rsidRDefault="00000000" w:rsidP="00C06FBC">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x</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ij</m:t>
              </m:r>
            </m:sub>
          </m:sSub>
          <m:r>
            <w:rPr>
              <w:rFonts w:ascii="Cambria Math" w:hAnsi="Cambria Math" w:cs="Times New Roman"/>
            </w:rPr>
            <m:t xml:space="preserve"> </m:t>
          </m:r>
        </m:oMath>
      </m:oMathPara>
    </w:p>
    <w:p w14:paraId="64B679B5" w14:textId="77777777" w:rsidR="00386C2E" w:rsidRPr="004F3B77" w:rsidRDefault="00386C2E" w:rsidP="00C06FBC">
      <w:pPr>
        <w:rPr>
          <w:rFonts w:ascii="Times New Roman" w:hAnsi="Times New Roman" w:cs="Times New Roman"/>
        </w:rPr>
      </w:pPr>
    </w:p>
    <w:p w14:paraId="3852D610" w14:textId="58CC6664" w:rsidR="00386C2E" w:rsidRPr="004F3B77" w:rsidRDefault="00386C2E" w:rsidP="00C06FBC">
      <w:pPr>
        <w:rPr>
          <w:rFonts w:ascii="Times New Roman" w:hAnsi="Times New Roman" w:cs="Times New Roman"/>
          <w:iCs/>
        </w:rPr>
      </w:pPr>
      <w:r w:rsidRPr="004F3B77">
        <w:rPr>
          <w:rFonts w:ascii="Times New Roman" w:hAnsi="Times New Roman" w:cs="Times New Roman"/>
        </w:rPr>
        <w:t xml:space="preserve">This is very similar to the familiar regression equation, in which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m:t>
            </m:r>
          </m:sub>
        </m:sSub>
      </m:oMath>
      <w:r w:rsidRPr="004F3B77">
        <w:rPr>
          <w:rFonts w:ascii="Times New Roman" w:eastAsiaTheme="minorEastAsia" w:hAnsi="Times New Roman" w:cs="Times New Roman"/>
        </w:rPr>
        <w:t xml:space="preserve"> is the effect size </w:t>
      </w:r>
      <w:proofErr w:type="spellStart"/>
      <w:r w:rsidRPr="004F3B77">
        <w:rPr>
          <w:rFonts w:ascii="Times New Roman" w:eastAsiaTheme="minorEastAsia" w:hAnsi="Times New Roman" w:cs="Times New Roman"/>
          <w:i/>
          <w:iCs/>
        </w:rPr>
        <w:t>i</w:t>
      </w:r>
      <w:proofErr w:type="spellEnd"/>
      <w:r w:rsidRPr="004F3B77">
        <w:rPr>
          <w:rFonts w:ascii="Times New Roman" w:eastAsiaTheme="minorEastAsia" w:hAnsi="Times New Roman" w:cs="Times New Roman"/>
          <w:i/>
          <w:iCs/>
        </w:rPr>
        <w:t xml:space="preserve"> </w:t>
      </w:r>
      <w:r w:rsidRPr="004F3B77">
        <w:rPr>
          <w:rFonts w:ascii="Times New Roman" w:eastAsiaTheme="minorEastAsia" w:hAnsi="Times New Roman" w:cs="Times New Roman"/>
        </w:rPr>
        <w:t xml:space="preserve">in study </w:t>
      </w:r>
      <w:r w:rsidRPr="004F3B77">
        <w:rPr>
          <w:rFonts w:ascii="Times New Roman" w:eastAsiaTheme="minorEastAsia" w:hAnsi="Times New Roman" w:cs="Times New Roman"/>
          <w:i/>
          <w:iCs/>
        </w:rPr>
        <w:t xml:space="preserve">j;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x</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oMath>
      <w:r w:rsidRPr="004F3B77">
        <w:rPr>
          <w:rFonts w:ascii="Times New Roman" w:eastAsiaTheme="minorEastAsia" w:hAnsi="Times New Roman" w:cs="Times New Roman"/>
        </w:rPr>
        <w:t xml:space="preserve"> is the vector of ‘moderator’ variables (the variables we expect to influence, or moderate, the effect sizes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m:t>
            </m:r>
          </m:sub>
        </m:sSub>
      </m:oMath>
      <w:r w:rsidRPr="004F3B77">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j</m:t>
            </m:r>
          </m:sub>
        </m:sSub>
      </m:oMath>
      <w:r w:rsidRPr="004F3B77">
        <w:rPr>
          <w:rFonts w:ascii="Times New Roman" w:eastAsiaTheme="minorEastAsia" w:hAnsi="Times New Roman" w:cs="Times New Roman"/>
        </w:rPr>
        <w:t xml:space="preserve"> is our intercept for the individual studies;</w:t>
      </w:r>
      <w:r w:rsidR="006D7E1D" w:rsidRPr="004F3B77">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k</m:t>
            </m:r>
          </m:sub>
        </m:sSub>
      </m:oMath>
      <w:r w:rsidR="006D7E1D" w:rsidRPr="004F3B77">
        <w:rPr>
          <w:rFonts w:ascii="Times New Roman" w:eastAsiaTheme="minorEastAsia" w:hAnsi="Times New Roman" w:cs="Times New Roman"/>
        </w:rPr>
        <w:t xml:space="preserve"> is the intercept for the data source of the estimate; </w:t>
      </w:r>
      <w:r w:rsidRPr="004F3B77">
        <w:rPr>
          <w:rFonts w:ascii="Times New Roman" w:eastAsiaTheme="minorEastAsia"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ij</m:t>
            </m:r>
          </m:sub>
        </m:sSub>
      </m:oMath>
      <w:r w:rsidRPr="004F3B77">
        <w:rPr>
          <w:rFonts w:ascii="Times New Roman" w:eastAsiaTheme="minorEastAsia" w:hAnsi="Times New Roman" w:cs="Times New Roman"/>
        </w:rPr>
        <w:t xml:space="preserve"> is the residual error. An important point for interpretation here is that we have removed the fixed intercept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sidRPr="004F3B77">
        <w:rPr>
          <w:rFonts w:ascii="Times New Roman" w:eastAsiaTheme="minorEastAsia" w:hAnsi="Times New Roman" w:cs="Times New Roman"/>
        </w:rPr>
        <w:t xml:space="preserve"> so all the categories of the moderating variable can be used (i.e., we do not have to remove one category to avoid collinearity); the interpretation of the coefficient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x</m:t>
            </m:r>
          </m:sub>
        </m:sSub>
        <m:r>
          <w:rPr>
            <w:rFonts w:ascii="Cambria Math" w:hAnsi="Cambria Math" w:cs="Times New Roman"/>
          </w:rPr>
          <m:t>)</m:t>
        </m:r>
      </m:oMath>
      <w:r w:rsidRPr="004F3B77">
        <w:rPr>
          <w:rFonts w:ascii="Times New Roman" w:eastAsiaTheme="minorEastAsia" w:hAnsi="Times New Roman" w:cs="Times New Roman"/>
        </w:rPr>
        <w:t xml:space="preserve">  is the estimated coefficient for a particular level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m:t>
        </m:r>
      </m:oMath>
      <w:r w:rsidRPr="004F3B77">
        <w:rPr>
          <w:rFonts w:ascii="Times New Roman" w:eastAsiaTheme="minorEastAsia" w:hAnsi="Times New Roman" w:cs="Times New Roman"/>
        </w:rPr>
        <w:t>.</w:t>
      </w:r>
      <w:r w:rsidRPr="004F3B77">
        <w:rPr>
          <w:rFonts w:ascii="Times New Roman" w:hAnsi="Times New Roman" w:cs="Times New Roman"/>
          <w:iCs/>
        </w:rPr>
        <w:t xml:space="preserve"> </w:t>
      </w:r>
      <w:r w:rsidRPr="004F3B77">
        <w:rPr>
          <w:rFonts w:ascii="Times New Roman" w:hAnsi="Times New Roman" w:cs="Times New Roman"/>
        </w:rPr>
        <w:t xml:space="preserve">We tested for five variables: the object of trust, region, the response scales of predictor and outcome variables, and time since the pandemic began. We tested these for each of the primary outcomes (vaccines, conspiracy, </w:t>
      </w:r>
      <w:proofErr w:type="gramStart"/>
      <w:r w:rsidRPr="004F3B77">
        <w:rPr>
          <w:rFonts w:ascii="Times New Roman" w:hAnsi="Times New Roman" w:cs="Times New Roman"/>
        </w:rPr>
        <w:t>compliance</w:t>
      </w:r>
      <w:proofErr w:type="gramEnd"/>
      <w:r w:rsidRPr="004F3B77">
        <w:rPr>
          <w:rFonts w:ascii="Times New Roman" w:hAnsi="Times New Roman" w:cs="Times New Roman"/>
        </w:rPr>
        <w:t xml:space="preserve"> and risk) separately. </w:t>
      </w:r>
    </w:p>
    <w:p w14:paraId="0F0FAC8A" w14:textId="1530821D" w:rsidR="00386C2E" w:rsidRPr="004F3B77" w:rsidRDefault="00386C2E" w:rsidP="00C06FBC">
      <w:pPr>
        <w:rPr>
          <w:rFonts w:ascii="Times New Roman" w:hAnsi="Times New Roman" w:cs="Times New Roman"/>
        </w:rPr>
      </w:pPr>
    </w:p>
    <w:p w14:paraId="2DF9E2B7" w14:textId="053C6B7D" w:rsidR="00386C2E" w:rsidRPr="004F3B77" w:rsidRDefault="00386C2E" w:rsidP="00C06FBC">
      <w:pPr>
        <w:rPr>
          <w:rFonts w:ascii="Times New Roman" w:hAnsi="Times New Roman" w:cs="Times New Roman"/>
        </w:rPr>
      </w:pPr>
      <w:r w:rsidRPr="004F3B77">
        <w:rPr>
          <w:rFonts w:ascii="Times New Roman" w:hAnsi="Times New Roman" w:cs="Times New Roman"/>
        </w:rPr>
        <w:t xml:space="preserve">For theoretical reasons outlined, we focus on the object of trust, which is a significant moderator in all cases (an omnibus F test of moderators ranging from p = 0.01 to p &lt; 0.0001). The tensions and differences in effects of trust identified in an early review of the literature are evident in the extant body of work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{"citationID":"O89O0Dfk","properties":{"formattedCitation":"(Devine et al., 2021)","plainCitation":"(Devine et al., 2021)","noteIndex":0},"citationItems":[{"id":4681,"uris":["http://zotero.org/users/2674438/items/QZY87M6Y"],"itemData":{"id":4681,"type":"article-journal","abstract":"Trust between governors and the governed is seen as essential to facilitating good governance. This claim has become a prominent contention during the coronavirus pandemic. The crisis also presents a unique test of key hypotheses in the trust literature. Moreover, understanding the dynamics of trust, how it facilitates and hinders policy responses, and also the likely effects of these responses on trust are going to be fundamental questions in policy and trust research in the future. In this article, we review the early literature on the coronavirus pandemic and political and social trust, summarise their findings and highlight key challenges for future research. We show how the studies shed light on trust's association with implementation of government measures, public compliance with them, mortality rates and the effect of government action on levels of trust. We also urge caution given the varying ways of measuring trust and operationalising the impact of the pandemic, the existence of common issues with quantitative studies and the relatively limited geographical scope of studies to date. We argue that it is going to be important to have a holistic understanding of these dynamics, using mixed-methods research as well as the quantitative studies we review here.","container-title":"Political Studies Review","DOI":"10.1177/1478929920948684","ISSN":"1478-9299","issue":"2","note":"WOS:000559312500001","page":"274-285","title":"Trust and the Coronavirus Pandemic: What are the Consequences of and for Trust? An Early Review of the Literature","volume":"19","author":[{"family":"Devine","given":"Daniel"},{"family":"Gaskell","given":"Jennifer"},{"family":"Jennings","given":"Will"},{"family":"Stoker","given":"Gerry"}],"issued":{"date-parts":[["2021",5]]}}}],"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(Devine et al., 2021)</w:t>
      </w:r>
      <w:r w:rsidRPr="004F3B77">
        <w:rPr>
          <w:rFonts w:ascii="Times New Roman" w:hAnsi="Times New Roman" w:cs="Times New Roman"/>
        </w:rPr>
        <w:fldChar w:fldCharType="end"/>
      </w:r>
      <w:r w:rsidRPr="004F3B77">
        <w:rPr>
          <w:rFonts w:ascii="Times New Roman" w:hAnsi="Times New Roman" w:cs="Times New Roman"/>
        </w:rPr>
        <w:t>. For instance, the correlation of trust in public health authorities with compliance is insignificant and relatively small (</w:t>
      </w:r>
      <w:proofErr w:type="spellStart"/>
      <w:r w:rsidRPr="004F3B77">
        <w:rPr>
          <w:rFonts w:ascii="Times New Roman" w:hAnsi="Times New Roman" w:cs="Times New Roman"/>
          <w:i/>
          <w:iCs/>
        </w:rPr>
        <w:t>r</w:t>
      </w:r>
      <w:r w:rsidRPr="004F3B77">
        <w:rPr>
          <w:rFonts w:ascii="Times New Roman" w:hAnsi="Times New Roman" w:cs="Times New Roman"/>
          <w:i/>
          <w:iCs/>
          <w:vertAlign w:val="subscript"/>
        </w:rPr>
        <w:t>z</w:t>
      </w:r>
      <w:proofErr w:type="spellEnd"/>
      <w:r w:rsidRPr="004F3B77">
        <w:rPr>
          <w:rFonts w:ascii="Times New Roman" w:hAnsi="Times New Roman" w:cs="Times New Roman"/>
          <w:i/>
          <w:iCs/>
        </w:rPr>
        <w:t xml:space="preserve"> </w:t>
      </w:r>
      <w:r w:rsidRPr="004F3B77">
        <w:rPr>
          <w:rFonts w:ascii="Times New Roman" w:hAnsi="Times New Roman" w:cs="Times New Roman"/>
        </w:rPr>
        <w:t>=</w:t>
      </w:r>
      <w:r w:rsidRPr="004F3B77">
        <w:rPr>
          <w:rFonts w:ascii="Times New Roman" w:hAnsi="Times New Roman" w:cs="Times New Roman"/>
          <w:i/>
          <w:iCs/>
        </w:rPr>
        <w:t xml:space="preserve"> </w:t>
      </w:r>
      <w:r w:rsidRPr="004F3B77">
        <w:rPr>
          <w:rFonts w:ascii="Times New Roman" w:hAnsi="Times New Roman" w:cs="Times New Roman"/>
        </w:rPr>
        <w:t>0.06) but significant and substantial for vaccination (</w:t>
      </w:r>
      <w:proofErr w:type="spellStart"/>
      <w:r w:rsidRPr="004F3B77">
        <w:rPr>
          <w:rFonts w:ascii="Times New Roman" w:hAnsi="Times New Roman" w:cs="Times New Roman"/>
          <w:i/>
          <w:iCs/>
        </w:rPr>
        <w:t>r</w:t>
      </w:r>
      <w:r w:rsidRPr="004F3B77">
        <w:rPr>
          <w:rFonts w:ascii="Times New Roman" w:hAnsi="Times New Roman" w:cs="Times New Roman"/>
          <w:i/>
          <w:iCs/>
          <w:vertAlign w:val="subscript"/>
        </w:rPr>
        <w:t>z</w:t>
      </w:r>
      <w:proofErr w:type="spellEnd"/>
      <w:r w:rsidRPr="004F3B77">
        <w:rPr>
          <w:rFonts w:ascii="Times New Roman" w:hAnsi="Times New Roman" w:cs="Times New Roman"/>
          <w:i/>
          <w:iCs/>
        </w:rPr>
        <w:t xml:space="preserve"> </w:t>
      </w:r>
      <w:r w:rsidRPr="004F3B77">
        <w:rPr>
          <w:rFonts w:ascii="Times New Roman" w:hAnsi="Times New Roman" w:cs="Times New Roman"/>
        </w:rPr>
        <w:t>=</w:t>
      </w:r>
      <w:r w:rsidRPr="004F3B77">
        <w:rPr>
          <w:rFonts w:ascii="Times New Roman" w:hAnsi="Times New Roman" w:cs="Times New Roman"/>
          <w:i/>
          <w:iCs/>
        </w:rPr>
        <w:t xml:space="preserve"> </w:t>
      </w:r>
      <w:r w:rsidRPr="004F3B77">
        <w:rPr>
          <w:rFonts w:ascii="Times New Roman" w:hAnsi="Times New Roman" w:cs="Times New Roman"/>
        </w:rPr>
        <w:t xml:space="preserve">0.18); on the other hand, trust in government is </w:t>
      </w:r>
      <w:proofErr w:type="spellStart"/>
      <w:r w:rsidRPr="004F3B77">
        <w:rPr>
          <w:rFonts w:ascii="Times New Roman" w:hAnsi="Times New Roman" w:cs="Times New Roman"/>
          <w:i/>
          <w:iCs/>
        </w:rPr>
        <w:t>r</w:t>
      </w:r>
      <w:r w:rsidRPr="004F3B77">
        <w:rPr>
          <w:rFonts w:ascii="Times New Roman" w:hAnsi="Times New Roman" w:cs="Times New Roman"/>
          <w:i/>
          <w:iCs/>
          <w:vertAlign w:val="subscript"/>
        </w:rPr>
        <w:t>z</w:t>
      </w:r>
      <w:proofErr w:type="spellEnd"/>
      <w:r w:rsidRPr="004F3B77">
        <w:rPr>
          <w:rFonts w:ascii="Times New Roman" w:hAnsi="Times New Roman" w:cs="Times New Roman"/>
          <w:i/>
          <w:iCs/>
        </w:rPr>
        <w:t xml:space="preserve"> </w:t>
      </w:r>
      <w:r w:rsidRPr="004F3B77">
        <w:rPr>
          <w:rFonts w:ascii="Times New Roman" w:hAnsi="Times New Roman" w:cs="Times New Roman"/>
        </w:rPr>
        <w:t>=</w:t>
      </w:r>
      <w:r w:rsidRPr="004F3B77">
        <w:rPr>
          <w:rFonts w:ascii="Times New Roman" w:hAnsi="Times New Roman" w:cs="Times New Roman"/>
          <w:i/>
          <w:iCs/>
        </w:rPr>
        <w:t xml:space="preserve"> </w:t>
      </w:r>
      <w:r w:rsidRPr="004F3B77">
        <w:rPr>
          <w:rFonts w:ascii="Times New Roman" w:hAnsi="Times New Roman" w:cs="Times New Roman"/>
        </w:rPr>
        <w:t xml:space="preserve">0.12 for compliance, but only </w:t>
      </w:r>
      <w:proofErr w:type="spellStart"/>
      <w:r w:rsidRPr="004F3B77">
        <w:rPr>
          <w:rFonts w:ascii="Times New Roman" w:hAnsi="Times New Roman" w:cs="Times New Roman"/>
          <w:i/>
          <w:iCs/>
        </w:rPr>
        <w:t>r</w:t>
      </w:r>
      <w:r w:rsidRPr="004F3B77">
        <w:rPr>
          <w:rFonts w:ascii="Times New Roman" w:hAnsi="Times New Roman" w:cs="Times New Roman"/>
          <w:i/>
          <w:iCs/>
          <w:vertAlign w:val="subscript"/>
        </w:rPr>
        <w:t>z</w:t>
      </w:r>
      <w:proofErr w:type="spellEnd"/>
      <w:r w:rsidRPr="004F3B77">
        <w:rPr>
          <w:rFonts w:ascii="Times New Roman" w:hAnsi="Times New Roman" w:cs="Times New Roman"/>
          <w:i/>
          <w:iCs/>
        </w:rPr>
        <w:t xml:space="preserve"> </w:t>
      </w:r>
      <w:r w:rsidRPr="004F3B77">
        <w:rPr>
          <w:rFonts w:ascii="Times New Roman" w:hAnsi="Times New Roman" w:cs="Times New Roman"/>
        </w:rPr>
        <w:t>=</w:t>
      </w:r>
      <w:r w:rsidRPr="004F3B77">
        <w:rPr>
          <w:rFonts w:ascii="Times New Roman" w:hAnsi="Times New Roman" w:cs="Times New Roman"/>
          <w:i/>
          <w:iCs/>
        </w:rPr>
        <w:t xml:space="preserve"> </w:t>
      </w:r>
      <w:r w:rsidRPr="004F3B77">
        <w:rPr>
          <w:rFonts w:ascii="Times New Roman" w:hAnsi="Times New Roman" w:cs="Times New Roman"/>
        </w:rPr>
        <w:t xml:space="preserve">0.07 for vaccination. Interestingly, trust in the incumbent has a non-significant correlation across all outcomes. Trust in any political authority, </w:t>
      </w:r>
      <w:proofErr w:type="gramStart"/>
      <w:r w:rsidRPr="004F3B77">
        <w:rPr>
          <w:rFonts w:ascii="Times New Roman" w:hAnsi="Times New Roman" w:cs="Times New Roman"/>
        </w:rPr>
        <w:t>with the exception of</w:t>
      </w:r>
      <w:proofErr w:type="gramEnd"/>
      <w:r w:rsidRPr="004F3B77">
        <w:rPr>
          <w:rFonts w:ascii="Times New Roman" w:hAnsi="Times New Roman" w:cs="Times New Roman"/>
        </w:rPr>
        <w:t xml:space="preserve"> a specific incumbent, has a negative and sizeable correlation with conspiracy beliefs. These results are presented in Figure 4. What these indicate most pertinently is that trust in public health authorities (which means a health department, rather than ‘doctors’) is a powerful predictor of a positive stance towards vaccinations, above and beyond explicitly political institutions. Compliance, meanwhile, is more likely to be achieved through trust in government.</w:t>
      </w:r>
    </w:p>
    <w:p w14:paraId="49A641CF" w14:textId="3B630E2C" w:rsidR="00386C2E" w:rsidRPr="004F3B77" w:rsidRDefault="00386C2E" w:rsidP="0088205E">
      <w:pPr>
        <w:keepNext/>
        <w:rPr>
          <w:rFonts w:ascii="Times New Roman" w:hAnsi="Times New Roman" w:cs="Times New Roman"/>
        </w:rPr>
      </w:pPr>
      <w:r w:rsidRPr="004F3B77">
        <w:rPr>
          <w:rFonts w:ascii="Times New Roman" w:hAnsi="Times New Roman" w:cs="Times New Roman"/>
          <w:noProof/>
        </w:rPr>
        <w:lastRenderedPageBreak/>
        <w:drawing>
          <wp:inline distT="0" distB="0" distL="0" distR="0" wp14:anchorId="62238B32" wp14:editId="6E4ED3D8">
            <wp:extent cx="5731510" cy="4908550"/>
            <wp:effectExtent l="0" t="0" r="0" b="0"/>
            <wp:docPr id="48" name="Picture 4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iagram, schematic&#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908550"/>
                    </a:xfrm>
                    <a:prstGeom prst="rect">
                      <a:avLst/>
                    </a:prstGeom>
                  </pic:spPr>
                </pic:pic>
              </a:graphicData>
            </a:graphic>
          </wp:inline>
        </w:drawing>
      </w:r>
    </w:p>
    <w:p w14:paraId="73D7117D" w14:textId="7DFCD63E" w:rsidR="00386C2E" w:rsidRPr="004F3B77" w:rsidRDefault="00386C2E" w:rsidP="00830925">
      <w:pPr>
        <w:pStyle w:val="Caption"/>
        <w:jc w:val="center"/>
        <w:rPr>
          <w:rFonts w:ascii="Times New Roman" w:hAnsi="Times New Roman" w:cs="Times New Roman"/>
          <w:i w:val="0"/>
          <w:iCs w:val="0"/>
          <w:color w:val="auto"/>
          <w:sz w:val="24"/>
          <w:szCs w:val="24"/>
        </w:rPr>
      </w:pPr>
      <w:r w:rsidRPr="004F3B77">
        <w:rPr>
          <w:rFonts w:ascii="Times New Roman" w:hAnsi="Times New Roman" w:cs="Times New Roman"/>
          <w:i w:val="0"/>
          <w:iCs w:val="0"/>
          <w:color w:val="auto"/>
          <w:sz w:val="24"/>
          <w:szCs w:val="24"/>
        </w:rPr>
        <w:t xml:space="preserve">Figure </w:t>
      </w:r>
      <w:r w:rsidRPr="004F3B77">
        <w:rPr>
          <w:rFonts w:ascii="Times New Roman" w:hAnsi="Times New Roman" w:cs="Times New Roman"/>
          <w:i w:val="0"/>
          <w:iCs w:val="0"/>
          <w:color w:val="auto"/>
          <w:sz w:val="24"/>
          <w:szCs w:val="24"/>
        </w:rPr>
        <w:fldChar w:fldCharType="begin"/>
      </w:r>
      <w:r w:rsidRPr="004F3B77">
        <w:rPr>
          <w:rFonts w:ascii="Times New Roman" w:hAnsi="Times New Roman" w:cs="Times New Roman"/>
          <w:i w:val="0"/>
          <w:iCs w:val="0"/>
          <w:color w:val="auto"/>
          <w:sz w:val="24"/>
          <w:szCs w:val="24"/>
        </w:rPr>
        <w:instrText xml:space="preserve"> SEQ Figure \* ARABIC </w:instrText>
      </w:r>
      <w:r w:rsidRPr="004F3B77">
        <w:rPr>
          <w:rFonts w:ascii="Times New Roman" w:hAnsi="Times New Roman" w:cs="Times New Roman"/>
          <w:i w:val="0"/>
          <w:iCs w:val="0"/>
          <w:color w:val="auto"/>
          <w:sz w:val="24"/>
          <w:szCs w:val="24"/>
        </w:rPr>
        <w:fldChar w:fldCharType="separate"/>
      </w:r>
      <w:r w:rsidR="00125EF8">
        <w:rPr>
          <w:rFonts w:ascii="Times New Roman" w:hAnsi="Times New Roman" w:cs="Times New Roman"/>
          <w:i w:val="0"/>
          <w:iCs w:val="0"/>
          <w:noProof/>
          <w:color w:val="auto"/>
          <w:sz w:val="24"/>
          <w:szCs w:val="24"/>
        </w:rPr>
        <w:t>4</w:t>
      </w:r>
      <w:r w:rsidRPr="004F3B77">
        <w:rPr>
          <w:rFonts w:ascii="Times New Roman" w:hAnsi="Times New Roman" w:cs="Times New Roman"/>
          <w:i w:val="0"/>
          <w:iCs w:val="0"/>
          <w:color w:val="auto"/>
          <w:sz w:val="24"/>
          <w:szCs w:val="24"/>
        </w:rPr>
        <w:fldChar w:fldCharType="end"/>
      </w:r>
      <w:r w:rsidRPr="004F3B77">
        <w:rPr>
          <w:rFonts w:ascii="Times New Roman" w:hAnsi="Times New Roman" w:cs="Times New Roman"/>
          <w:i w:val="0"/>
          <w:iCs w:val="0"/>
          <w:color w:val="auto"/>
          <w:sz w:val="24"/>
          <w:szCs w:val="24"/>
        </w:rPr>
        <w:t>: Meta-regressions with object of trust as a predictor</w:t>
      </w:r>
    </w:p>
    <w:p w14:paraId="0EEFF7C6" w14:textId="77777777" w:rsidR="00386C2E" w:rsidRPr="004F3B77" w:rsidRDefault="00386C2E" w:rsidP="00C06FBC">
      <w:pPr>
        <w:rPr>
          <w:rFonts w:ascii="Times New Roman" w:hAnsi="Times New Roman" w:cs="Times New Roman"/>
        </w:rPr>
      </w:pPr>
    </w:p>
    <w:p w14:paraId="1406FFD5" w14:textId="74FA2518" w:rsidR="00386C2E" w:rsidRPr="004F3B77" w:rsidRDefault="00386C2E" w:rsidP="00C06FBC">
      <w:pPr>
        <w:rPr>
          <w:rFonts w:ascii="Times New Roman" w:hAnsi="Times New Roman" w:cs="Times New Roman"/>
        </w:rPr>
      </w:pPr>
      <w:r w:rsidRPr="004F3B77">
        <w:rPr>
          <w:rFonts w:ascii="Times New Roman" w:hAnsi="Times New Roman" w:cs="Times New Roman"/>
        </w:rPr>
        <w:t>In terms of research design features, we find that the effect of region was a significant moderator for conspiracy beliefs (p = 0.03), compliance (p = 0.001) and vaccines (p &lt; 0.0001), but not risk (p = 0.24), with a notable difference that the correlation of trust and compliance is twice the size in North America (</w:t>
      </w:r>
      <w:proofErr w:type="spellStart"/>
      <w:r w:rsidRPr="004F3B77">
        <w:rPr>
          <w:rFonts w:ascii="Times New Roman" w:hAnsi="Times New Roman" w:cs="Times New Roman"/>
          <w:i/>
          <w:iCs/>
        </w:rPr>
        <w:t>r</w:t>
      </w:r>
      <w:r w:rsidRPr="004F3B77">
        <w:rPr>
          <w:rFonts w:ascii="Times New Roman" w:hAnsi="Times New Roman" w:cs="Times New Roman"/>
          <w:i/>
          <w:iCs/>
          <w:vertAlign w:val="subscript"/>
        </w:rPr>
        <w:t>z</w:t>
      </w:r>
      <w:proofErr w:type="spellEnd"/>
      <w:r w:rsidRPr="004F3B77">
        <w:rPr>
          <w:rFonts w:ascii="Times New Roman" w:hAnsi="Times New Roman" w:cs="Times New Roman"/>
          <w:i/>
          <w:iCs/>
        </w:rPr>
        <w:t xml:space="preserve"> </w:t>
      </w:r>
      <w:r w:rsidRPr="004F3B77">
        <w:rPr>
          <w:rFonts w:ascii="Times New Roman" w:hAnsi="Times New Roman" w:cs="Times New Roman"/>
        </w:rPr>
        <w:t>=</w:t>
      </w:r>
      <w:r w:rsidRPr="004F3B77">
        <w:rPr>
          <w:rFonts w:ascii="Times New Roman" w:hAnsi="Times New Roman" w:cs="Times New Roman"/>
          <w:i/>
          <w:iCs/>
        </w:rPr>
        <w:t xml:space="preserve"> </w:t>
      </w:r>
      <w:r w:rsidRPr="004F3B77">
        <w:rPr>
          <w:rFonts w:ascii="Times New Roman" w:hAnsi="Times New Roman" w:cs="Times New Roman"/>
        </w:rPr>
        <w:t>0.34) as in Europe (</w:t>
      </w:r>
      <w:proofErr w:type="spellStart"/>
      <w:r w:rsidRPr="004F3B77">
        <w:rPr>
          <w:rFonts w:ascii="Times New Roman" w:hAnsi="Times New Roman" w:cs="Times New Roman"/>
          <w:i/>
          <w:iCs/>
        </w:rPr>
        <w:t>r</w:t>
      </w:r>
      <w:r w:rsidRPr="004F3B77">
        <w:rPr>
          <w:rFonts w:ascii="Times New Roman" w:hAnsi="Times New Roman" w:cs="Times New Roman"/>
          <w:i/>
          <w:iCs/>
          <w:vertAlign w:val="subscript"/>
        </w:rPr>
        <w:t>z</w:t>
      </w:r>
      <w:proofErr w:type="spellEnd"/>
      <w:r w:rsidRPr="004F3B77">
        <w:rPr>
          <w:rFonts w:ascii="Times New Roman" w:hAnsi="Times New Roman" w:cs="Times New Roman"/>
          <w:i/>
          <w:iCs/>
        </w:rPr>
        <w:t xml:space="preserve"> </w:t>
      </w:r>
      <w:r w:rsidRPr="004F3B77">
        <w:rPr>
          <w:rFonts w:ascii="Times New Roman" w:hAnsi="Times New Roman" w:cs="Times New Roman"/>
        </w:rPr>
        <w:t>=</w:t>
      </w:r>
      <w:r w:rsidRPr="004F3B77">
        <w:rPr>
          <w:rFonts w:ascii="Times New Roman" w:hAnsi="Times New Roman" w:cs="Times New Roman"/>
          <w:i/>
          <w:iCs/>
        </w:rPr>
        <w:t xml:space="preserve"> </w:t>
      </w:r>
      <w:r w:rsidRPr="004F3B77">
        <w:rPr>
          <w:rFonts w:ascii="Times New Roman" w:hAnsi="Times New Roman" w:cs="Times New Roman"/>
        </w:rPr>
        <w:t>0.15). Moreover, trust is only related to compliance in Europe and North America, with all other regions insignificant and centred over zero; trust and vaccination are related similarly in all regions. It is unclear from our data why this is the case, but these variations may be indicative of different cultural settings, the politicisation of public health guidelines in different countries, or more prosaically the fewer number of studies.</w:t>
      </w:r>
    </w:p>
    <w:p w14:paraId="5CBADE14" w14:textId="07E69297" w:rsidR="00386C2E" w:rsidRPr="004F3B77" w:rsidRDefault="00386C2E" w:rsidP="00C06FBC">
      <w:pPr>
        <w:rPr>
          <w:rFonts w:ascii="Times New Roman" w:hAnsi="Times New Roman" w:cs="Times New Roman"/>
        </w:rPr>
      </w:pPr>
    </w:p>
    <w:p w14:paraId="5E198B45" w14:textId="1E5FC77C" w:rsidR="008564CC" w:rsidRPr="004F3B77" w:rsidRDefault="00386C2E" w:rsidP="008564CC">
      <w:pPr>
        <w:rPr>
          <w:rFonts w:ascii="Times New Roman" w:hAnsi="Times New Roman" w:cs="Times New Roman"/>
        </w:rPr>
      </w:pPr>
      <w:r w:rsidRPr="004F3B77">
        <w:rPr>
          <w:rFonts w:ascii="Times New Roman" w:hAnsi="Times New Roman" w:cs="Times New Roman"/>
        </w:rPr>
        <w:t>Finally, whilst the moderation effect of the response scales of the dependent and independent variables are significant, the substantive differences are small. Importantly, the time since the pandemic began is a significant moderator for the vaccine outcomes only (p = 0.02) but the substantive difference is negligible, indicating that the correlation of trust did not change over the pandemic</w:t>
      </w:r>
      <w:r w:rsidRPr="004F3B77">
        <w:rPr>
          <w:rStyle w:val="EndnoteReference"/>
          <w:rFonts w:ascii="Times New Roman" w:hAnsi="Times New Roman" w:cs="Times New Roman"/>
        </w:rPr>
        <w:endnoteReference w:id="10"/>
      </w:r>
      <w:r w:rsidRPr="004F3B77">
        <w:rPr>
          <w:rFonts w:ascii="Times New Roman" w:hAnsi="Times New Roman" w:cs="Times New Roman"/>
        </w:rPr>
        <w:t>,</w:t>
      </w:r>
      <w:r w:rsidR="008564CC" w:rsidRPr="004F3B77">
        <w:rPr>
          <w:rFonts w:ascii="Times New Roman" w:hAnsi="Times New Roman" w:cs="Times New Roman"/>
        </w:rPr>
        <w:t xml:space="preserve"> at least up to 17 months after the pandemic began. </w:t>
      </w:r>
    </w:p>
    <w:p w14:paraId="0E5C2235" w14:textId="7F9901B9" w:rsidR="008564CC" w:rsidRPr="004F3B77" w:rsidRDefault="008564CC" w:rsidP="008564CC">
      <w:pPr>
        <w:rPr>
          <w:rFonts w:ascii="Times New Roman" w:hAnsi="Times New Roman" w:cs="Times New Roman"/>
        </w:rPr>
      </w:pPr>
    </w:p>
    <w:p w14:paraId="2BE4186F" w14:textId="4ADC7437" w:rsidR="008564CC" w:rsidRPr="004F3B77" w:rsidRDefault="008564CC" w:rsidP="008564CC">
      <w:pPr>
        <w:rPr>
          <w:rFonts w:ascii="Times New Roman" w:hAnsi="Times New Roman" w:cs="Times New Roman"/>
        </w:rPr>
      </w:pPr>
      <w:r w:rsidRPr="004F3B77">
        <w:rPr>
          <w:rFonts w:ascii="Times New Roman" w:hAnsi="Times New Roman" w:cs="Times New Roman"/>
        </w:rPr>
        <w:t xml:space="preserve">Collectively, these results indicate interesting and substantively important variation in the </w:t>
      </w:r>
      <w:r w:rsidR="00114D80" w:rsidRPr="004F3B77">
        <w:rPr>
          <w:rFonts w:ascii="Times New Roman" w:hAnsi="Times New Roman" w:cs="Times New Roman"/>
        </w:rPr>
        <w:t xml:space="preserve">correlation </w:t>
      </w:r>
      <w:r w:rsidRPr="004F3B77">
        <w:rPr>
          <w:rFonts w:ascii="Times New Roman" w:hAnsi="Times New Roman" w:cs="Times New Roman"/>
        </w:rPr>
        <w:t>of trust across regions and objects of trust, and that these differences are unlikely to be driven by</w:t>
      </w:r>
      <w:r w:rsidR="005402B8" w:rsidRPr="004F3B77">
        <w:rPr>
          <w:rFonts w:ascii="Times New Roman" w:hAnsi="Times New Roman" w:cs="Times New Roman"/>
        </w:rPr>
        <w:t xml:space="preserve"> prosaic design features such as response scales. </w:t>
      </w:r>
    </w:p>
    <w:p w14:paraId="6E67D31A" w14:textId="06DCAAEF" w:rsidR="00004686" w:rsidRPr="004F3B77" w:rsidRDefault="00004686" w:rsidP="00004686">
      <w:pPr>
        <w:rPr>
          <w:rFonts w:ascii="Times New Roman" w:hAnsi="Times New Roman" w:cs="Times New Roman"/>
        </w:rPr>
      </w:pPr>
    </w:p>
    <w:p w14:paraId="1EA9654C" w14:textId="51AC1D9A" w:rsidR="00F53FB9" w:rsidRPr="004F3B77" w:rsidRDefault="00880D28" w:rsidP="003B6B02">
      <w:pPr>
        <w:rPr>
          <w:rFonts w:ascii="Times New Roman" w:hAnsi="Times New Roman" w:cs="Times New Roman"/>
        </w:rPr>
      </w:pPr>
      <w:r w:rsidRPr="004F3B77">
        <w:rPr>
          <w:rFonts w:ascii="Times New Roman" w:hAnsi="Times New Roman" w:cs="Times New Roman"/>
        </w:rPr>
        <w:t xml:space="preserve">A major obstacle for meta-analyses is reporting bias, in which our data only includes studies with large effects or that are statistically significant. This </w:t>
      </w:r>
      <w:r w:rsidR="00F53FB9" w:rsidRPr="004F3B77">
        <w:rPr>
          <w:rFonts w:ascii="Times New Roman" w:hAnsi="Times New Roman" w:cs="Times New Roman"/>
        </w:rPr>
        <w:t xml:space="preserve">can arise for a range of reasons: because </w:t>
      </w:r>
      <w:r w:rsidRPr="004F3B77">
        <w:rPr>
          <w:rFonts w:ascii="Times New Roman" w:hAnsi="Times New Roman" w:cs="Times New Roman"/>
        </w:rPr>
        <w:t>studies</w:t>
      </w:r>
      <w:r w:rsidR="00F53FB9" w:rsidRPr="004F3B77">
        <w:rPr>
          <w:rFonts w:ascii="Times New Roman" w:hAnsi="Times New Roman" w:cs="Times New Roman"/>
        </w:rPr>
        <w:t xml:space="preserve"> are not published (publication bias), authors do not report them (selective outcome reporting), or authors only report the largest effect or most significant result (selective analysis reporting) </w:t>
      </w:r>
      <w:r w:rsidR="00F53FB9" w:rsidRPr="004F3B77">
        <w:rPr>
          <w:rFonts w:ascii="Times New Roman" w:hAnsi="Times New Roman" w:cs="Times New Roman"/>
        </w:rPr>
        <w:fldChar w:fldCharType="begin"/>
      </w:r>
      <w:r w:rsidR="00505F8A" w:rsidRPr="004F3B77">
        <w:rPr>
          <w:rFonts w:ascii="Times New Roman" w:hAnsi="Times New Roman" w:cs="Times New Roman"/>
        </w:rPr>
        <w:instrText xml:space="preserve"> ADDIN ZOTERO_ITEM CSL_CITATION {"citationID":"NxKuQcWm","properties":{"formattedCitation":"(Sterne et al., 2011)","plainCitation":"(Sterne et al., 2011)","noteIndex":0},"citationItems":[{"id":14943,"uris":["http://zotero.org/users/2674438/items/S2PBRZJ5"],"itemData":{"id":14943,"type":"article-journal","container-title":"BMJ","DOI":"10.1136/bmj.d4002","ISSN":"0959-8138, 1468-5833","issue":"1","journalAbbreviation":"BMJ","language":"en","page":"1-8","source":"DOI.org (Crossref)","title":"Recommendations for examining and interpreting funnel plot asymmetry in meta-analyses of randomised controlled trials","volume":"343","author":[{"family":"Sterne","given":"J. A. C."},{"family":"Sutton","given":"A. J."},{"family":"Ioannidis","given":"J. P. A."},{"family":"Terrin","given":"N."},{"family":"Jones","given":"D. R."},{"family":"Lau","given":"J."},{"family":"Carpenter","given":"J."},{"family":"Rucker","given":"G."},{"family":"Harbord","given":"R. M."},{"family":"Schmid","given":"C. H."},{"family":"Tetzlaff","given":"J."},{"family":"Deeks","given":"J. J."},{"family":"Peters","given":"J."},{"family":"Macaskill","given":"P."},{"family":"Schwarzer","given":"G."},{"family":"Duval","given":"S."},{"family":"Altman","given":"D. G."},{"family":"Moher","given":"D."},{"family":"Higgins","given":"J. P. T."}],"issued":{"date-parts":[["2011"]]}}}],"schema":"https://github.com/citation-style-language/schema/raw/master/csl-citation.json"} </w:instrText>
      </w:r>
      <w:r w:rsidR="00F53FB9" w:rsidRPr="004F3B77">
        <w:rPr>
          <w:rFonts w:ascii="Times New Roman" w:hAnsi="Times New Roman" w:cs="Times New Roman"/>
        </w:rPr>
        <w:fldChar w:fldCharType="separate"/>
      </w:r>
      <w:r w:rsidR="00AF206A" w:rsidRPr="004F3B77">
        <w:rPr>
          <w:rFonts w:ascii="Times New Roman" w:hAnsi="Times New Roman" w:cs="Times New Roman"/>
          <w:noProof/>
        </w:rPr>
        <w:t>(Sterne et al., 2011)</w:t>
      </w:r>
      <w:r w:rsidR="00F53FB9" w:rsidRPr="004F3B77">
        <w:rPr>
          <w:rFonts w:ascii="Times New Roman" w:hAnsi="Times New Roman" w:cs="Times New Roman"/>
        </w:rPr>
        <w:fldChar w:fldCharType="end"/>
      </w:r>
      <w:r w:rsidR="00F53FB9" w:rsidRPr="004F3B77">
        <w:rPr>
          <w:rFonts w:ascii="Times New Roman" w:hAnsi="Times New Roman" w:cs="Times New Roman"/>
        </w:rPr>
        <w:t xml:space="preserve">. Whatever the cause, </w:t>
      </w:r>
      <w:r w:rsidRPr="004F3B77">
        <w:rPr>
          <w:rFonts w:ascii="Times New Roman" w:hAnsi="Times New Roman" w:cs="Times New Roman"/>
        </w:rPr>
        <w:t xml:space="preserve">the presence of reporting bias </w:t>
      </w:r>
      <w:r w:rsidR="001461FD" w:rsidRPr="004F3B77">
        <w:rPr>
          <w:rFonts w:ascii="Times New Roman" w:hAnsi="Times New Roman" w:cs="Times New Roman"/>
        </w:rPr>
        <w:t>can attenuate</w:t>
      </w:r>
      <w:r w:rsidR="00F53FB9" w:rsidRPr="004F3B77">
        <w:rPr>
          <w:rFonts w:ascii="Times New Roman" w:hAnsi="Times New Roman" w:cs="Times New Roman"/>
        </w:rPr>
        <w:t xml:space="preserve"> our conclusions.</w:t>
      </w:r>
      <w:r w:rsidRPr="004F3B77">
        <w:rPr>
          <w:rFonts w:ascii="Times New Roman" w:hAnsi="Times New Roman" w:cs="Times New Roman"/>
        </w:rPr>
        <w:t xml:space="preserve"> In Appendix </w:t>
      </w:r>
      <w:r w:rsidR="005938C4" w:rsidRPr="004F3B77">
        <w:rPr>
          <w:rFonts w:ascii="Times New Roman" w:hAnsi="Times New Roman" w:cs="Times New Roman"/>
        </w:rPr>
        <w:t>section 4</w:t>
      </w:r>
      <w:r w:rsidRPr="004F3B77">
        <w:rPr>
          <w:rFonts w:ascii="Times New Roman" w:hAnsi="Times New Roman" w:cs="Times New Roman"/>
        </w:rPr>
        <w:t>, we</w:t>
      </w:r>
      <w:r w:rsidR="00B151E0" w:rsidRPr="004F3B77">
        <w:rPr>
          <w:rFonts w:ascii="Times New Roman" w:hAnsi="Times New Roman" w:cs="Times New Roman"/>
        </w:rPr>
        <w:t xml:space="preserve"> present results from essentially all common tests of publication bias</w:t>
      </w:r>
      <w:r w:rsidRPr="004F3B77">
        <w:rPr>
          <w:rFonts w:ascii="Times New Roman" w:hAnsi="Times New Roman" w:cs="Times New Roman"/>
        </w:rPr>
        <w:t xml:space="preserve"> </w:t>
      </w:r>
      <w:r w:rsidR="00B151E0"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{"citationID":"4j6B3pig","properties":{"formattedCitation":"(Citkowicz &amp; Vevea, 2017; Mavridis &amp; Salanti, 2014)","plainCitation":"(Citkowicz &amp; Vevea, 2017; Mavridis &amp; Salanti, 2014)","noteIndex":0},"citationItems":[{"id":15619,"uris":["http://zotero.org/users/2674438/items/83AE2ELJ"],"itemData":{"id":15619,"type":"article-journal","abstract":"Quantitative research literature is often biased because studies that fail to find a significant effect (or that demonstrate effects in an undesired or unexpected direction) are less likely to be published. This phenomenon, termed publication bias, can cause problems when researchers attempt to synthesize results using metaanalytic methods. Various techniques exist that attempt to estimate and correct meta-analyses for publication bias. However, there is no single method that can (a) account for continuous moderators by including them within the model, (b) allow for substantial data heterogeneity, (c) produce an adjusted mean effect size, (d) include a formal test for publication bias, and (e) allow for correction when only a small number of effects is included in the analysis. This article describes a method that we believe helps fill that gap. The model uses the beta density as a weight function that represents the selection process and provides adjusted parameter estimates that account for publication bias. Use of the beta density allows us to represent selection using fewer parameters than similar models so that the proposed model is suitable for meta-analyses that include relatively few studies. We explain the model and its rationale, illustrate its use with a real data set, and describe the results of a simulation study that shows the model’s utility.","container-title":"Psychological Methods","DOI":"10.1037/met0000119","ISSN":"1939-1463, 1082-989X","issue":"1","journalAbbreviation":"Psychological Methods","language":"en","page":"28-41","source":"DOI.org (Crossref)","title":"A parsimonious weight function for modeling publication bias.","volume":"22","author":[{"family":"Citkowicz","given":"Martyna"},{"family":"Vevea","given":"Jack L."}],"issued":{"date-parts":[["2017"]]}}},{"id":15617,"uris":["http://zotero.org/users/2674438/items/B2GSZPKK"],"itemData":{"id":15617,"type":"article-journal","container-title":"Evidence Based Mental Health","DOI":"10.1136/eb-2013-101699","ISSN":"1362-0347, 1468-960X","issue":"1","journalAbbreviation":"Evid Based Mental Health","language":"en","page":"30-30","source":"DOI.org (Crossref)","title":"How to assess publication bias: funnel plot, trim-and-fill method and selection models","title-short":"How to assess publication bias","volume":"17","author":[{"family":"Mavridis","given":"Dimitris"},{"family":"Salanti","given":"Georgia"}],"issued":{"date-parts":[["2014",2]]}}}],"schema":"https://github.com/citation-style-language/schema/raw/master/csl-citation.json"} </w:instrText>
      </w:r>
      <w:r w:rsidR="00B151E0" w:rsidRPr="004F3B77">
        <w:rPr>
          <w:rFonts w:ascii="Times New Roman" w:hAnsi="Times New Roman" w:cs="Times New Roman"/>
        </w:rPr>
        <w:fldChar w:fldCharType="separate"/>
      </w:r>
      <w:r w:rsidR="00AF206A" w:rsidRPr="004F3B77">
        <w:rPr>
          <w:rFonts w:ascii="Times New Roman" w:hAnsi="Times New Roman" w:cs="Times New Roman"/>
          <w:noProof/>
        </w:rPr>
        <w:t>(Citkowicz &amp; Vevea, 2017; Mavridis &amp; Salanti, 2014)</w:t>
      </w:r>
      <w:r w:rsidR="00B151E0" w:rsidRPr="004F3B77">
        <w:rPr>
          <w:rFonts w:ascii="Times New Roman" w:hAnsi="Times New Roman" w:cs="Times New Roman"/>
        </w:rPr>
        <w:fldChar w:fldCharType="end"/>
      </w:r>
      <w:r w:rsidR="00B151E0" w:rsidRPr="004F3B77">
        <w:rPr>
          <w:rFonts w:ascii="Times New Roman" w:hAnsi="Times New Roman" w:cs="Times New Roman"/>
        </w:rPr>
        <w:t xml:space="preserve">. </w:t>
      </w:r>
      <w:r w:rsidRPr="004F3B77">
        <w:rPr>
          <w:rFonts w:ascii="Times New Roman" w:hAnsi="Times New Roman" w:cs="Times New Roman"/>
        </w:rPr>
        <w:t>W</w:t>
      </w:r>
      <w:r w:rsidR="00B151E0" w:rsidRPr="004F3B77">
        <w:rPr>
          <w:rFonts w:ascii="Times New Roman" w:hAnsi="Times New Roman" w:cs="Times New Roman"/>
        </w:rPr>
        <w:t xml:space="preserve">e </w:t>
      </w:r>
      <w:r w:rsidRPr="004F3B77">
        <w:rPr>
          <w:rFonts w:ascii="Times New Roman" w:hAnsi="Times New Roman" w:cs="Times New Roman"/>
        </w:rPr>
        <w:t xml:space="preserve">start with </w:t>
      </w:r>
      <w:r w:rsidR="00B151E0" w:rsidRPr="004F3B77">
        <w:rPr>
          <w:rFonts w:ascii="Times New Roman" w:hAnsi="Times New Roman" w:cs="Times New Roman"/>
        </w:rPr>
        <w:t>funnel plots supplemented with trim-and-fill analyses</w:t>
      </w:r>
      <w:r w:rsidR="00FD3D08" w:rsidRPr="004F3B77">
        <w:rPr>
          <w:rFonts w:ascii="Times New Roman" w:hAnsi="Times New Roman" w:cs="Times New Roman"/>
        </w:rPr>
        <w:t xml:space="preserve"> and Eggers’ regression</w:t>
      </w:r>
      <w:r w:rsidR="00B151E0" w:rsidRPr="004F3B77">
        <w:rPr>
          <w:rFonts w:ascii="Times New Roman" w:hAnsi="Times New Roman" w:cs="Times New Roman"/>
        </w:rPr>
        <w:t>; these graph</w:t>
      </w:r>
      <w:r w:rsidR="00FD3D08" w:rsidRPr="004F3B77">
        <w:rPr>
          <w:rFonts w:ascii="Times New Roman" w:hAnsi="Times New Roman" w:cs="Times New Roman"/>
        </w:rPr>
        <w:t xml:space="preserve"> and quantify the relationship between</w:t>
      </w:r>
      <w:r w:rsidR="00B151E0" w:rsidRPr="004F3B77">
        <w:rPr>
          <w:rFonts w:ascii="Times New Roman" w:hAnsi="Times New Roman" w:cs="Times New Roman"/>
        </w:rPr>
        <w:t xml:space="preserve"> effect sizes and the precision estimate (standard error)</w:t>
      </w:r>
      <w:r w:rsidR="00FD3D08" w:rsidRPr="004F3B77">
        <w:rPr>
          <w:rFonts w:ascii="Times New Roman" w:hAnsi="Times New Roman" w:cs="Times New Roman"/>
        </w:rPr>
        <w:t xml:space="preserve"> and provide an estimate of publication bias. Typically, publication bias is presumed to exist if the funnel is asymmetric (</w:t>
      </w:r>
      <w:r w:rsidR="001461FD" w:rsidRPr="004F3B77">
        <w:rPr>
          <w:rFonts w:ascii="Times New Roman" w:hAnsi="Times New Roman" w:cs="Times New Roman"/>
        </w:rPr>
        <w:t xml:space="preserve">where </w:t>
      </w:r>
      <w:r w:rsidR="00FD3D08" w:rsidRPr="004F3B77">
        <w:rPr>
          <w:rFonts w:ascii="Times New Roman" w:hAnsi="Times New Roman" w:cs="Times New Roman"/>
        </w:rPr>
        <w:t>less precise studies have large point estimates).</w:t>
      </w:r>
      <w:r w:rsidRPr="004F3B77">
        <w:rPr>
          <w:rFonts w:ascii="Times New Roman" w:hAnsi="Times New Roman" w:cs="Times New Roman"/>
        </w:rPr>
        <w:t xml:space="preserve"> These indicate no reporting bias in our data. </w:t>
      </w:r>
      <w:r w:rsidR="001461FD" w:rsidRPr="004F3B77">
        <w:rPr>
          <w:rFonts w:ascii="Times New Roman" w:hAnsi="Times New Roman" w:cs="Times New Roman"/>
        </w:rPr>
        <w:t>We then move to s</w:t>
      </w:r>
      <w:r w:rsidR="00FD3D08" w:rsidRPr="004F3B77">
        <w:rPr>
          <w:rFonts w:ascii="Times New Roman" w:hAnsi="Times New Roman" w:cs="Times New Roman"/>
        </w:rPr>
        <w:t>election models</w:t>
      </w:r>
      <w:r w:rsidR="001461FD" w:rsidRPr="004F3B77">
        <w:rPr>
          <w:rFonts w:ascii="Times New Roman" w:hAnsi="Times New Roman" w:cs="Times New Roman"/>
        </w:rPr>
        <w:t>, which</w:t>
      </w:r>
      <w:r w:rsidR="00FD3D08" w:rsidRPr="004F3B77">
        <w:rPr>
          <w:rFonts w:ascii="Times New Roman" w:hAnsi="Times New Roman" w:cs="Times New Roman"/>
        </w:rPr>
        <w:t xml:space="preserve"> </w:t>
      </w:r>
      <w:r w:rsidRPr="004F3B77">
        <w:rPr>
          <w:rFonts w:ascii="Times New Roman" w:hAnsi="Times New Roman" w:cs="Times New Roman"/>
        </w:rPr>
        <w:t>essentially weights studies by their significance values on the assumption that non-significant values are under-represented in the data, and provides an estimate adjusted for this over-representation.</w:t>
      </w:r>
      <w:r w:rsidR="001461FD" w:rsidRPr="004F3B77">
        <w:rPr>
          <w:rFonts w:ascii="Times New Roman" w:hAnsi="Times New Roman" w:cs="Times New Roman"/>
        </w:rPr>
        <w:t xml:space="preserve"> </w:t>
      </w:r>
      <w:r w:rsidRPr="004F3B77">
        <w:rPr>
          <w:rFonts w:ascii="Times New Roman" w:hAnsi="Times New Roman" w:cs="Times New Roman"/>
        </w:rPr>
        <w:t xml:space="preserve">Our results from these tests show </w:t>
      </w:r>
      <w:r w:rsidR="00A82540" w:rsidRPr="004F3B77">
        <w:rPr>
          <w:rFonts w:ascii="Times New Roman" w:hAnsi="Times New Roman" w:cs="Times New Roman"/>
        </w:rPr>
        <w:t>(</w:t>
      </w:r>
      <w:proofErr w:type="spellStart"/>
      <w:r w:rsidRPr="004F3B77">
        <w:rPr>
          <w:rFonts w:ascii="Times New Roman" w:hAnsi="Times New Roman" w:cs="Times New Roman"/>
        </w:rPr>
        <w:t>i</w:t>
      </w:r>
      <w:proofErr w:type="spellEnd"/>
      <w:r w:rsidRPr="004F3B77">
        <w:rPr>
          <w:rFonts w:ascii="Times New Roman" w:hAnsi="Times New Roman" w:cs="Times New Roman"/>
        </w:rPr>
        <w:t xml:space="preserve">) overall, minimal evidence of reporting bias across our core outcomes; </w:t>
      </w:r>
      <w:r w:rsidR="00A82540" w:rsidRPr="004F3B77">
        <w:rPr>
          <w:rFonts w:ascii="Times New Roman" w:hAnsi="Times New Roman" w:cs="Times New Roman"/>
        </w:rPr>
        <w:t>(</w:t>
      </w:r>
      <w:r w:rsidRPr="004F3B77">
        <w:rPr>
          <w:rFonts w:ascii="Times New Roman" w:hAnsi="Times New Roman" w:cs="Times New Roman"/>
        </w:rPr>
        <w:t xml:space="preserve">ii) if there is reporting bias, this is only for </w:t>
      </w:r>
      <w:r w:rsidRPr="004F3B77">
        <w:rPr>
          <w:rFonts w:ascii="Times New Roman" w:hAnsi="Times New Roman" w:cs="Times New Roman"/>
          <w:i/>
          <w:iCs/>
        </w:rPr>
        <w:t xml:space="preserve">compliance </w:t>
      </w:r>
      <w:r w:rsidRPr="004F3B77">
        <w:rPr>
          <w:rFonts w:ascii="Times New Roman" w:hAnsi="Times New Roman" w:cs="Times New Roman"/>
        </w:rPr>
        <w:t xml:space="preserve">outcomes; and </w:t>
      </w:r>
      <w:r w:rsidR="00A82540" w:rsidRPr="004F3B77">
        <w:rPr>
          <w:rFonts w:ascii="Times New Roman" w:hAnsi="Times New Roman" w:cs="Times New Roman"/>
        </w:rPr>
        <w:t>(</w:t>
      </w:r>
      <w:r w:rsidRPr="004F3B77">
        <w:rPr>
          <w:rFonts w:ascii="Times New Roman" w:hAnsi="Times New Roman" w:cs="Times New Roman"/>
        </w:rPr>
        <w:t xml:space="preserve">iii) our estimates are robust to moderate but not severe reporting bias. As such, we are confident our results are robust under most realistic scenarios.   </w:t>
      </w:r>
    </w:p>
    <w:p w14:paraId="4D7B818C" w14:textId="77777777" w:rsidR="00880D28" w:rsidRPr="004F3B77" w:rsidRDefault="005402B8" w:rsidP="003B6B02">
      <w:pPr>
        <w:rPr>
          <w:rFonts w:ascii="Times New Roman" w:hAnsi="Times New Roman" w:cs="Times New Roman"/>
        </w:rPr>
      </w:pPr>
      <w:r w:rsidRPr="004F3B77">
        <w:rPr>
          <w:rFonts w:ascii="Times New Roman" w:hAnsi="Times New Roman" w:cs="Times New Roman"/>
        </w:rPr>
        <w:t xml:space="preserve"> </w:t>
      </w:r>
    </w:p>
    <w:p w14:paraId="15B6A29B" w14:textId="1F20EEF2" w:rsidR="003B6B02" w:rsidRPr="004F3B77" w:rsidRDefault="00026356" w:rsidP="003B6B02">
      <w:pPr>
        <w:rPr>
          <w:rFonts w:ascii="Times New Roman" w:hAnsi="Times New Roman" w:cs="Times New Roman"/>
        </w:rPr>
      </w:pPr>
      <w:r w:rsidRPr="004F3B77">
        <w:rPr>
          <w:rFonts w:ascii="Times New Roman" w:hAnsi="Times New Roman" w:cs="Times New Roman"/>
        </w:rPr>
        <w:t xml:space="preserve">We also </w:t>
      </w:r>
      <w:r w:rsidR="00004686" w:rsidRPr="004F3B77">
        <w:rPr>
          <w:rFonts w:ascii="Times New Roman" w:hAnsi="Times New Roman" w:cs="Times New Roman"/>
        </w:rPr>
        <w:t>provide a small case-study of the United States</w:t>
      </w:r>
      <w:r w:rsidR="006D66D1" w:rsidRPr="004F3B77">
        <w:rPr>
          <w:rFonts w:ascii="Times New Roman" w:hAnsi="Times New Roman" w:cs="Times New Roman"/>
        </w:rPr>
        <w:t xml:space="preserve"> in Appendix Section 7,</w:t>
      </w:r>
      <w:r w:rsidR="00004686" w:rsidRPr="004F3B77">
        <w:rPr>
          <w:rFonts w:ascii="Times New Roman" w:hAnsi="Times New Roman" w:cs="Times New Roman"/>
        </w:rPr>
        <w:t xml:space="preserve"> which is in the unique situation of trust in President Trump having a</w:t>
      </w:r>
      <w:r w:rsidR="00114D80" w:rsidRPr="004F3B77">
        <w:rPr>
          <w:rFonts w:ascii="Times New Roman" w:hAnsi="Times New Roman" w:cs="Times New Roman"/>
        </w:rPr>
        <w:t xml:space="preserve"> negative relationship to desirable outcomes like compliance</w:t>
      </w:r>
      <w:r w:rsidR="00004686" w:rsidRPr="004F3B77">
        <w:rPr>
          <w:rFonts w:ascii="Times New Roman" w:hAnsi="Times New Roman" w:cs="Times New Roman"/>
        </w:rPr>
        <w:t xml:space="preserve">, but trust in other institutions </w:t>
      </w:r>
      <w:r w:rsidR="00F15D16" w:rsidRPr="004F3B77">
        <w:rPr>
          <w:rFonts w:ascii="Times New Roman" w:hAnsi="Times New Roman" w:cs="Times New Roman"/>
        </w:rPr>
        <w:t>has</w:t>
      </w:r>
      <w:r w:rsidR="001C7E16" w:rsidRPr="004F3B77">
        <w:rPr>
          <w:rFonts w:ascii="Times New Roman" w:hAnsi="Times New Roman" w:cs="Times New Roman"/>
        </w:rPr>
        <w:t xml:space="preserve"> a</w:t>
      </w:r>
      <w:r w:rsidR="00004686" w:rsidRPr="004F3B77">
        <w:rPr>
          <w:rFonts w:ascii="Times New Roman" w:hAnsi="Times New Roman" w:cs="Times New Roman"/>
        </w:rPr>
        <w:t xml:space="preserve"> generally positive </w:t>
      </w:r>
      <w:r w:rsidR="00114D80" w:rsidRPr="004F3B77">
        <w:rPr>
          <w:rFonts w:ascii="Times New Roman" w:hAnsi="Times New Roman" w:cs="Times New Roman"/>
        </w:rPr>
        <w:t xml:space="preserve">relationship with </w:t>
      </w:r>
      <w:r w:rsidR="00004686" w:rsidRPr="004F3B77">
        <w:rPr>
          <w:rFonts w:ascii="Times New Roman" w:hAnsi="Times New Roman" w:cs="Times New Roman"/>
        </w:rPr>
        <w:t>all outcomes.</w:t>
      </w:r>
      <w:r w:rsidRPr="004F3B77">
        <w:rPr>
          <w:rFonts w:ascii="Times New Roman" w:hAnsi="Times New Roman" w:cs="Times New Roman"/>
        </w:rPr>
        <w:t xml:space="preserve"> As we note in the following section, this underlines the importance of the object of trust for the relationship between trust and COVID-related outcomes. </w:t>
      </w:r>
    </w:p>
    <w:p w14:paraId="0F2B3BC0" w14:textId="30F39842" w:rsidR="003B6B02" w:rsidRPr="004F3B77" w:rsidRDefault="003B6B02" w:rsidP="003B6B02">
      <w:pPr>
        <w:rPr>
          <w:rFonts w:ascii="Times New Roman" w:hAnsi="Times New Roman" w:cs="Times New Roman"/>
        </w:rPr>
      </w:pPr>
    </w:p>
    <w:p w14:paraId="53CF3C2C" w14:textId="6D9D3768" w:rsidR="00381ED9" w:rsidRPr="004F3B77" w:rsidRDefault="007054DA" w:rsidP="008A1398">
      <w:pPr>
        <w:rPr>
          <w:rFonts w:ascii="Times New Roman" w:hAnsi="Times New Roman" w:cs="Times New Roman"/>
          <w:b/>
          <w:bCs/>
        </w:rPr>
      </w:pPr>
      <w:r w:rsidRPr="004F3B77">
        <w:rPr>
          <w:rFonts w:ascii="Times New Roman" w:hAnsi="Times New Roman" w:cs="Times New Roman"/>
          <w:b/>
          <w:bCs/>
        </w:rPr>
        <w:t>Discussion</w:t>
      </w:r>
    </w:p>
    <w:p w14:paraId="79FB094C" w14:textId="25968505" w:rsidR="00B51589" w:rsidRPr="004F3B77" w:rsidRDefault="00B51589" w:rsidP="00B51589">
      <w:pPr>
        <w:rPr>
          <w:rFonts w:ascii="Times New Roman" w:hAnsi="Times New Roman" w:cs="Times New Roman"/>
        </w:rPr>
      </w:pPr>
    </w:p>
    <w:p w14:paraId="52D4291F" w14:textId="4F8E3678" w:rsidR="00A24120" w:rsidRPr="004F3B77" w:rsidRDefault="00A24120" w:rsidP="00A24120">
      <w:pPr>
        <w:rPr>
          <w:rFonts w:ascii="Times New Roman" w:hAnsi="Times New Roman" w:cs="Times New Roman"/>
        </w:rPr>
      </w:pPr>
      <w:r w:rsidRPr="004F3B77">
        <w:rPr>
          <w:rFonts w:ascii="Times New Roman" w:hAnsi="Times New Roman" w:cs="Times New Roman"/>
        </w:rPr>
        <w:t xml:space="preserve">Throughout the pandemic, scholarly and public debate argued that political trust is a key resource for combating COVID-19. Whilst this generated a large amount of academic research, there have been no systematic efforts to summarise current quantitative evidence, and it has remained unclear whether this interest in political trust is warranted, or how trust’s effect varies. Despite the rather unique context of the pandemic, this debate speaks directly to the concern in the foundational political science literature that regards trust in politics as fundamental for the sound, legitimate working and, indeed, survival of (democratic) societies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{"citationID":"pcsOZUJA","properties":{"formattedCitation":"(Cole, 1973; Easton, 1975; Miller, 1974)","plainCitation":"(Cole, 1973; Easton, 1975; Miller, 1974)","noteIndex":0},"citationItems":[{"id":2833,"uris":["http://zotero.org/users/2674438/items/2F8JCWNG"],"itemData":{"id":2833,"type":"article-journal","container-title":"British Journal of Political Science","ISSN":"0007-1234","issue":"4","page":"435-457","source":"JSTOR","title":"A Re-Assessment of the Concept of Political Support","volume":"5","author":[{"family":"Easton","given":"David"}],"issued":{"date-parts":[["1975"]]}}},{"id":3384,"uris":["http://zotero.org/users/2674438/items/NS3NZ48F"],"itemData":{"id":3384,"type":"article-journal","container-title":"The American Political Science Review","DOI":"10.2307/1959140","ISSN":"0003-0554","issue":"3","page":"951-972","source":"JSTOR","title":"Political Issues and Trust in Government: 1964-1970","title-short":"Political Issues and Trust in Government","volume":"68","author":[{"family":"Miller","given":"Arthur H."}],"issued":{"date-parts":[["1974"]]}}},{"id":2705,"uris":["http://zotero.org/users/2674438/items/8DQA2RZH"],"itemData":{"id":2705,"type":"article-journal","container-title":"American Journal of Political Science","DOI":"10.2307/2110610","ISSN":"00925853","issue":"4","language":"en","page":"809","source":"Crossref","title":"Toward as Model of Political Trust: A Causal Analysis","title-short":"Toward as Model of Political Trust","volume":"17","author":[{"family":"Cole","given":"Richard L."}],"issued":{"date-parts":[["1973",11]]}}}],"schema":"https://github.com/citation-style-language/schema/raw/master/csl-citation.json"}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(Cole, 1973; Easton, 1975; Miller, 1974)</w:t>
      </w:r>
      <w:r w:rsidRPr="004F3B77">
        <w:rPr>
          <w:rFonts w:ascii="Times New Roman" w:hAnsi="Times New Roman" w:cs="Times New Roman"/>
        </w:rPr>
        <w:fldChar w:fldCharType="end"/>
      </w:r>
      <w:r w:rsidRPr="004F3B77">
        <w:rPr>
          <w:rFonts w:ascii="Times New Roman" w:hAnsi="Times New Roman" w:cs="Times New Roman"/>
        </w:rPr>
        <w:t xml:space="preserve">. </w:t>
      </w:r>
    </w:p>
    <w:p w14:paraId="17E4DD80" w14:textId="77777777" w:rsidR="00432F00" w:rsidRPr="004F3B77" w:rsidRDefault="00432F00" w:rsidP="00B51589">
      <w:pPr>
        <w:rPr>
          <w:rFonts w:ascii="Times New Roman" w:hAnsi="Times New Roman" w:cs="Times New Roman"/>
        </w:rPr>
      </w:pPr>
    </w:p>
    <w:p w14:paraId="4BEAB6D7" w14:textId="6D01E534" w:rsidR="00645A9C" w:rsidRPr="004F3B77" w:rsidRDefault="001D3A22" w:rsidP="00645A9C">
      <w:pPr>
        <w:rPr>
          <w:rFonts w:ascii="Times New Roman" w:hAnsi="Times New Roman" w:cs="Times New Roman"/>
        </w:rPr>
      </w:pPr>
      <w:r w:rsidRPr="004F3B77">
        <w:rPr>
          <w:rFonts w:ascii="Times New Roman" w:hAnsi="Times New Roman" w:cs="Times New Roman"/>
        </w:rPr>
        <w:t>T</w:t>
      </w:r>
      <w:r w:rsidR="00645A9C" w:rsidRPr="004F3B77">
        <w:rPr>
          <w:rFonts w:ascii="Times New Roman" w:hAnsi="Times New Roman" w:cs="Times New Roman"/>
        </w:rPr>
        <w:t xml:space="preserve">his </w:t>
      </w:r>
      <w:r w:rsidR="00D13E7F" w:rsidRPr="004F3B77">
        <w:rPr>
          <w:rFonts w:ascii="Times New Roman" w:hAnsi="Times New Roman" w:cs="Times New Roman"/>
        </w:rPr>
        <w:t>paper</w:t>
      </w:r>
      <w:r w:rsidR="00645A9C" w:rsidRPr="004F3B77">
        <w:rPr>
          <w:rFonts w:ascii="Times New Roman" w:hAnsi="Times New Roman" w:cs="Times New Roman"/>
        </w:rPr>
        <w:t xml:space="preserve"> has reported a systematic review and meta-analysis of effect sizes from 6</w:t>
      </w:r>
      <w:r w:rsidR="00D013A1" w:rsidRPr="004F3B77">
        <w:rPr>
          <w:rFonts w:ascii="Times New Roman" w:hAnsi="Times New Roman" w:cs="Times New Roman"/>
        </w:rPr>
        <w:t>7</w:t>
      </w:r>
      <w:r w:rsidR="00645A9C" w:rsidRPr="004F3B77">
        <w:rPr>
          <w:rFonts w:ascii="Times New Roman" w:hAnsi="Times New Roman" w:cs="Times New Roman"/>
        </w:rPr>
        <w:t xml:space="preserve"> </w:t>
      </w:r>
      <w:r w:rsidR="00F15D16" w:rsidRPr="004F3B77">
        <w:rPr>
          <w:rFonts w:ascii="Times New Roman" w:hAnsi="Times New Roman" w:cs="Times New Roman"/>
        </w:rPr>
        <w:t>texts</w:t>
      </w:r>
      <w:r w:rsidR="00682F88" w:rsidRPr="004F3B77">
        <w:rPr>
          <w:rFonts w:ascii="Times New Roman" w:hAnsi="Times New Roman" w:cs="Times New Roman"/>
        </w:rPr>
        <w:t xml:space="preserve">, </w:t>
      </w:r>
      <w:r w:rsidR="00645A9C" w:rsidRPr="004F3B77">
        <w:rPr>
          <w:rFonts w:ascii="Times New Roman" w:hAnsi="Times New Roman" w:cs="Times New Roman"/>
        </w:rPr>
        <w:t>42</w:t>
      </w:r>
      <w:r w:rsidR="00FD4230" w:rsidRPr="004F3B77">
        <w:rPr>
          <w:rFonts w:ascii="Times New Roman" w:hAnsi="Times New Roman" w:cs="Times New Roman"/>
        </w:rPr>
        <w:t>6</w:t>
      </w:r>
      <w:r w:rsidR="00645A9C" w:rsidRPr="004F3B77">
        <w:rPr>
          <w:rFonts w:ascii="Times New Roman" w:hAnsi="Times New Roman" w:cs="Times New Roman"/>
        </w:rPr>
        <w:t xml:space="preserve"> coefficients</w:t>
      </w:r>
      <w:r w:rsidR="00682F88" w:rsidRPr="004F3B77">
        <w:rPr>
          <w:rFonts w:ascii="Times New Roman" w:hAnsi="Times New Roman" w:cs="Times New Roman"/>
        </w:rPr>
        <w:t>, and 1,479,154 observations</w:t>
      </w:r>
      <w:r w:rsidR="00645A9C" w:rsidRPr="004F3B77">
        <w:rPr>
          <w:rFonts w:ascii="Times New Roman" w:hAnsi="Times New Roman" w:cs="Times New Roman"/>
        </w:rPr>
        <w:t xml:space="preserve"> from studies conducted around the world</w:t>
      </w:r>
      <w:r w:rsidRPr="004F3B77">
        <w:rPr>
          <w:rFonts w:ascii="Times New Roman" w:hAnsi="Times New Roman" w:cs="Times New Roman"/>
        </w:rPr>
        <w:t>. T</w:t>
      </w:r>
      <w:r w:rsidR="00645A9C" w:rsidRPr="004F3B77">
        <w:rPr>
          <w:rFonts w:ascii="Times New Roman" w:hAnsi="Times New Roman" w:cs="Times New Roman"/>
        </w:rPr>
        <w:t>rust has had an important and heterogenous correlation with important outcomes during the COVID</w:t>
      </w:r>
      <w:r w:rsidR="00952D4D" w:rsidRPr="004F3B77">
        <w:rPr>
          <w:rFonts w:ascii="Times New Roman" w:hAnsi="Times New Roman" w:cs="Times New Roman"/>
        </w:rPr>
        <w:t>-19</w:t>
      </w:r>
      <w:r w:rsidR="00645A9C" w:rsidRPr="004F3B77">
        <w:rPr>
          <w:rFonts w:ascii="Times New Roman" w:hAnsi="Times New Roman" w:cs="Times New Roman"/>
        </w:rPr>
        <w:t xml:space="preserve"> pandemic. </w:t>
      </w:r>
      <w:r w:rsidR="00A66201" w:rsidRPr="004F3B77">
        <w:rPr>
          <w:rFonts w:ascii="Times New Roman" w:hAnsi="Times New Roman" w:cs="Times New Roman"/>
        </w:rPr>
        <w:t>Notwithstanding concerns of causality, p</w:t>
      </w:r>
      <w:r w:rsidR="00645A9C" w:rsidRPr="004F3B77">
        <w:rPr>
          <w:rFonts w:ascii="Times New Roman" w:hAnsi="Times New Roman" w:cs="Times New Roman"/>
        </w:rPr>
        <w:t xml:space="preserve">olitical trust </w:t>
      </w:r>
      <w:r w:rsidR="00A66201" w:rsidRPr="004F3B77">
        <w:rPr>
          <w:rFonts w:ascii="Times New Roman" w:hAnsi="Times New Roman" w:cs="Times New Roman"/>
        </w:rPr>
        <w:t>may have</w:t>
      </w:r>
      <w:r w:rsidR="00645A9C" w:rsidRPr="004F3B77">
        <w:rPr>
          <w:rFonts w:ascii="Times New Roman" w:hAnsi="Times New Roman" w:cs="Times New Roman"/>
        </w:rPr>
        <w:t xml:space="preserve"> been particularly important for combating conspiracy beliefs </w:t>
      </w:r>
      <w:r w:rsidR="00A66201" w:rsidRPr="004F3B77">
        <w:rPr>
          <w:rFonts w:ascii="Times New Roman" w:hAnsi="Times New Roman" w:cs="Times New Roman"/>
        </w:rPr>
        <w:t xml:space="preserve">and </w:t>
      </w:r>
      <w:r w:rsidR="00081661" w:rsidRPr="004F3B77">
        <w:rPr>
          <w:rFonts w:ascii="Times New Roman" w:hAnsi="Times New Roman" w:cs="Times New Roman"/>
        </w:rPr>
        <w:t xml:space="preserve">a lesser extent </w:t>
      </w:r>
      <w:r w:rsidR="00645A9C" w:rsidRPr="004F3B77">
        <w:rPr>
          <w:rFonts w:ascii="Times New Roman" w:hAnsi="Times New Roman" w:cs="Times New Roman"/>
        </w:rPr>
        <w:t xml:space="preserve">in encouraging compliance with public health measures and vaccine uptake. </w:t>
      </w:r>
      <w:r w:rsidR="00F154F7" w:rsidRPr="004F3B77">
        <w:rPr>
          <w:rFonts w:ascii="Times New Roman" w:hAnsi="Times New Roman" w:cs="Times New Roman"/>
        </w:rPr>
        <w:t>Our analysis revealed two important nuances. The object of trust – such as government, public health authority, or incumbent – is important in moderating the correlation with different outcomes; whilst government and similar institutions are important for maintaining compliance, public health authorities</w:t>
      </w:r>
      <w:r w:rsidR="00AB7065" w:rsidRPr="004F3B77">
        <w:rPr>
          <w:rFonts w:ascii="Times New Roman" w:hAnsi="Times New Roman" w:cs="Times New Roman"/>
        </w:rPr>
        <w:t xml:space="preserve"> are equally as fundamental for supporting vaccination. We also show important regional differences: </w:t>
      </w:r>
      <w:r w:rsidR="00EF1C1B" w:rsidRPr="004F3B77">
        <w:rPr>
          <w:rFonts w:ascii="Times New Roman" w:hAnsi="Times New Roman" w:cs="Times New Roman"/>
        </w:rPr>
        <w:t xml:space="preserve">region is a significant moderator for all outcomes except risk, and is most important for compliance, which is </w:t>
      </w:r>
      <w:r w:rsidR="00A63B8D" w:rsidRPr="004F3B77">
        <w:rPr>
          <w:rFonts w:ascii="Times New Roman" w:hAnsi="Times New Roman" w:cs="Times New Roman"/>
        </w:rPr>
        <w:t xml:space="preserve">only significant in </w:t>
      </w:r>
      <w:r w:rsidR="00EF1C1B" w:rsidRPr="004F3B77">
        <w:rPr>
          <w:rFonts w:ascii="Times New Roman" w:hAnsi="Times New Roman" w:cs="Times New Roman"/>
        </w:rPr>
        <w:t>North America and Europe</w:t>
      </w:r>
      <w:r w:rsidR="00A63B8D" w:rsidRPr="004F3B77">
        <w:rPr>
          <w:rFonts w:ascii="Times New Roman" w:hAnsi="Times New Roman" w:cs="Times New Roman"/>
        </w:rPr>
        <w:t xml:space="preserve"> and is </w:t>
      </w:r>
      <w:r w:rsidR="00A63B8D" w:rsidRPr="004F3B77">
        <w:rPr>
          <w:rFonts w:ascii="Times New Roman" w:hAnsi="Times New Roman" w:cs="Times New Roman"/>
        </w:rPr>
        <w:lastRenderedPageBreak/>
        <w:t>twice the size in the former than latter. Descriptively however,</w:t>
      </w:r>
      <w:r w:rsidR="00645A9C" w:rsidRPr="004F3B77">
        <w:rPr>
          <w:rFonts w:ascii="Times New Roman" w:hAnsi="Times New Roman" w:cs="Times New Roman"/>
        </w:rPr>
        <w:t xml:space="preserve"> </w:t>
      </w:r>
      <w:r w:rsidR="00A63B8D" w:rsidRPr="004F3B77">
        <w:rPr>
          <w:rFonts w:ascii="Times New Roman" w:hAnsi="Times New Roman" w:cs="Times New Roman"/>
        </w:rPr>
        <w:t>o</w:t>
      </w:r>
      <w:r w:rsidR="00645A9C" w:rsidRPr="004F3B77">
        <w:rPr>
          <w:rFonts w:ascii="Times New Roman" w:hAnsi="Times New Roman" w:cs="Times New Roman"/>
        </w:rPr>
        <w:t>ur data show a strong regional skew towards Europe and North America</w:t>
      </w:r>
      <w:r w:rsidR="00A66201" w:rsidRPr="004F3B77">
        <w:rPr>
          <w:rFonts w:ascii="Times New Roman" w:hAnsi="Times New Roman" w:cs="Times New Roman"/>
        </w:rPr>
        <w:t xml:space="preserve"> in terms of the prevalence of studies</w:t>
      </w:r>
      <w:r w:rsidR="00645A9C" w:rsidRPr="004F3B77">
        <w:rPr>
          <w:rFonts w:ascii="Times New Roman" w:hAnsi="Times New Roman" w:cs="Times New Roman"/>
        </w:rPr>
        <w:t xml:space="preserve">, with a complete absence of studies from Africa. </w:t>
      </w:r>
      <w:r w:rsidR="00A63B8D" w:rsidRPr="004F3B77">
        <w:rPr>
          <w:rFonts w:ascii="Times New Roman" w:hAnsi="Times New Roman" w:cs="Times New Roman"/>
        </w:rPr>
        <w:t xml:space="preserve">Our core </w:t>
      </w:r>
      <w:r w:rsidR="00645A9C" w:rsidRPr="004F3B77">
        <w:rPr>
          <w:rFonts w:ascii="Times New Roman" w:hAnsi="Times New Roman" w:cs="Times New Roman"/>
        </w:rPr>
        <w:t>results are robust to outlier removal, whether they are raw or partial correlations, and study pooling.</w:t>
      </w:r>
    </w:p>
    <w:p w14:paraId="06753D36" w14:textId="575918FE" w:rsidR="00645A9C" w:rsidRPr="004F3B77" w:rsidRDefault="00645A9C" w:rsidP="00645A9C">
      <w:pPr>
        <w:rPr>
          <w:rFonts w:ascii="Times New Roman" w:hAnsi="Times New Roman" w:cs="Times New Roman"/>
        </w:rPr>
      </w:pPr>
    </w:p>
    <w:p w14:paraId="5076B9A9" w14:textId="5EFE30C7" w:rsidR="00E0262B" w:rsidRPr="004F3B77" w:rsidRDefault="001679B1" w:rsidP="00645A9C">
      <w:pPr>
        <w:rPr>
          <w:rFonts w:ascii="Times New Roman" w:hAnsi="Times New Roman" w:cs="Times New Roman"/>
        </w:rPr>
      </w:pPr>
      <w:r w:rsidRPr="004F3B77">
        <w:rPr>
          <w:rFonts w:ascii="Times New Roman" w:hAnsi="Times New Roman" w:cs="Times New Roman"/>
        </w:rPr>
        <w:t xml:space="preserve">Our results have important implications for the academic literature on the consequences of trust. </w:t>
      </w:r>
      <w:r w:rsidR="00A82540" w:rsidRPr="004F3B77">
        <w:rPr>
          <w:rFonts w:ascii="Times New Roman" w:hAnsi="Times New Roman" w:cs="Times New Roman"/>
        </w:rPr>
        <w:t>Further, they</w:t>
      </w:r>
      <w:r w:rsidR="00E0262B" w:rsidRPr="004F3B77">
        <w:rPr>
          <w:rFonts w:ascii="Times New Roman" w:hAnsi="Times New Roman" w:cs="Times New Roman"/>
        </w:rPr>
        <w:t xml:space="preserve"> are consistent with the general hypotheses advanced by existing literature. T</w:t>
      </w:r>
      <w:r w:rsidR="00645A9C" w:rsidRPr="004F3B77">
        <w:rPr>
          <w:rFonts w:ascii="Times New Roman" w:hAnsi="Times New Roman" w:cs="Times New Roman"/>
        </w:rPr>
        <w:t xml:space="preserve">he </w:t>
      </w:r>
      <w:r w:rsidR="00E0262B" w:rsidRPr="004F3B77">
        <w:rPr>
          <w:rFonts w:ascii="Times New Roman" w:hAnsi="Times New Roman" w:cs="Times New Roman"/>
        </w:rPr>
        <w:t>foundational</w:t>
      </w:r>
      <w:r w:rsidR="00645A9C" w:rsidRPr="004F3B77">
        <w:rPr>
          <w:rFonts w:ascii="Times New Roman" w:hAnsi="Times New Roman" w:cs="Times New Roman"/>
        </w:rPr>
        <w:t xml:space="preserve"> </w:t>
      </w:r>
      <w:r w:rsidR="00E0262B" w:rsidRPr="004F3B77">
        <w:rPr>
          <w:rFonts w:ascii="Times New Roman" w:hAnsi="Times New Roman" w:cs="Times New Roman"/>
        </w:rPr>
        <w:t>work</w:t>
      </w:r>
      <w:r w:rsidR="00645A9C" w:rsidRPr="004F3B77">
        <w:rPr>
          <w:rFonts w:ascii="Times New Roman" w:hAnsi="Times New Roman" w:cs="Times New Roman"/>
        </w:rPr>
        <w:t xml:space="preserve"> characterised trust as essential to the sound working of democracy, and the empirical literature since has suggested trust is important for outcomes such as compliance with tax law,</w:t>
      </w:r>
      <w:r w:rsidR="00161091" w:rsidRPr="004F3B77">
        <w:rPr>
          <w:rFonts w:ascii="Times New Roman" w:hAnsi="Times New Roman" w:cs="Times New Roman"/>
        </w:rPr>
        <w:t xml:space="preserve"> </w:t>
      </w:r>
      <w:r w:rsidR="00645A9C" w:rsidRPr="004F3B77">
        <w:rPr>
          <w:rFonts w:ascii="Times New Roman" w:hAnsi="Times New Roman" w:cs="Times New Roman"/>
        </w:rPr>
        <w:t xml:space="preserve">policy preferences, and voter turnout </w:t>
      </w:r>
      <w:r w:rsidR="00645A9C"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{"citationID":"lQDxxoLA","properties":{"formattedCitation":"(Hetherington, 2005; Hooghe &amp; Marien, 2013; Letki, 2006; Scholz &amp; Lubell, 1998)","plainCitation":"(Hetherington, 2005; Hooghe &amp; Marien, 2013; Letki, 2006; Scholz &amp; Lubell, 1998)","noteIndex":0},"citationItems":[{"id":3838,"uris":["http://zotero.org/users/2674438/items/HCEZR8SQ"],"itemData":{"id":3838,"type":"article-journal","abstract":"Theory: Trust is a critical attitude that extends the duty heuristic developed in Scholz and Pinney (1995). The \"trust heuristic\" can provide the basis for a contingent compliance strategy capable of sustaining cooperative solutions to collective action problems of governance if two conditions are met. First, compliance with laws must be conditional on levels of trust in specific legal arenas. Second, a citizen's trust in government and trust in other citizens' willingness to obey the law must reflect the costs and benefits associated with obeying laws. Hypothesis: This article tests the first hypothesis in the tax arena: trust in government and in other citizens increase compliance over and above the levels expected from an internalized sense of duty to obey laws and the fear of getting caught by enforcement agencies like the IRS. Method: We test the hypotheses with regression analysis of survey and tax return data from a stratified sample of 299 middle- and upper-income taxpayers, using the newly-developed two-stage conditional maximum likelihood analysis to control for endogeneity. We extend this approach to the analysis of multi-categorical ordered dependent variables. Findings: Both dimensions of trust significantly increase the likelihood of tax compliance, even after controlling for duty, fear, selection bias, and potential endogeneity effects.","container-title":"American Journal of Political Science","DOI":"10.2307/2991764","ISSN":"0092-5853","issue":"2","page":"398-417","source":"JSTOR","title":"Trust and Taxpaying: Testing the Heuristic Approach to Collective Action","title-short":"Trust and Taxpaying","volume":"42","author":[{"family":"Scholz","given":"John T."},{"family":"Lubell","given":"Mark"}],"issued":{"date-parts":[["1998"]]}}},{"id":11407,"uris":["http://zotero.org/users/2674438/items/HYQSQL8K"],"itemData":{"id":11407,"type":"article-journal","abstract":"In the last decade considerable research in social sciences has focused on interpersonal trust, treating it as a remedy for most maladies modern democracies suffer from. Yet, if others act dishonestly, trust is turned into gullibility, thus mechanisms linking interpersonal trust with institutional success refer implicitly to honesty and civic morality. This paper investigates the roots of civic morality. It applies hierarchical models to data from 38 countries, and tests the individual, community and structural explanatory factors. The results of the analysis point to the relevance of an institutional dimension, both in the form of individuals’ perceptions as well as the quality of governance: conﬁdence in political institutions and their objective quality are the strongest predictors of civic morality. At the same time, the ﬁndings show that the recently popular claims about the importance of social capital for citizens’ moral standards are largely unfounded.","container-title":"Political Behavior","DOI":"10.1007/s11109-006-9013-6","ISSN":"0190-9320, 1573-6687","issue":"4","journalAbbreviation":"Polit Behav","language":"en","page":"305-325","source":"DOI.org (Crossref)","title":"Investigating the Roots of Civic Morality: Trust, Social Capital, and Institutional Performance","title-short":"Investigating the Roots of Civic Morality","volume":"28","author":[{"family":"Letki","given":"Natalia"}],"issued":{"date-parts":[["2006",11,15]]}}},{"id":3311,"uris":["http://zotero.org/users/2674438/items/WVI9ZMCM"],"itemData":{"id":3311,"type":"article-journal","abstract":"In the literature, two competing claims can be found on the relationship between political trust and political participation. While some authors argue that trust is a prerequisite for any form of participation to occur, others claim that distrust can be a motivating factor for participation in non-institutionalised forms of participation. The social movement literature suggests that political trust will only have these behavioural consequences if it is associated with sufficiently high levels of political efficacy. In this article, we rely on the results of the 2006 European Social Survey for an in-depth analysis of the relationship between political trust and participation in 25 countries. The multilevel regression shows that while political trust is positively associated with institutionalised participation, it is negatively associated with non-institutionalised participation. Moreover, the effect of political trust on institutionalised participation is dependent on self-confidence about one's capability to understand politics.","container-title":"European Societies","DOI":"10.1080/14616696.2012.692807","ISSN":"1461-6696","issue":"1","page":"131-152","source":"Taylor and Francis+NEJM","title":"A Comparative Analysis of the Relation Between Political Trust and Forms of Political Participation in Europe","volume":"15","author":[{"family":"Hooghe","given":"Marc"},{"family":"Marien","given":"Sofie"}],"issued":{"date-parts":[["2013",2,1]]}}},{"id":2683,"uris":["http://zotero.org/users/2674438/items/AJU2PSEW"],"itemData":{"id":2683,"type":"book","publisher":"Princeton University Press","title":"Why trust matters","author":[{"family":"Hetherington","given":"Marc J."}],"issued":{"date-parts":[["2005"]]}}}],"schema":"https://github.com/citation-style-language/schema/raw/master/csl-citation.json"} </w:instrText>
      </w:r>
      <w:r w:rsidR="00645A9C" w:rsidRPr="004F3B77">
        <w:rPr>
          <w:rFonts w:ascii="Times New Roman" w:hAnsi="Times New Roman" w:cs="Times New Roman"/>
        </w:rPr>
        <w:fldChar w:fldCharType="separate"/>
      </w:r>
      <w:r w:rsidR="00AF206A" w:rsidRPr="004F3B77">
        <w:rPr>
          <w:rFonts w:ascii="Times New Roman" w:hAnsi="Times New Roman" w:cs="Times New Roman"/>
          <w:noProof/>
        </w:rPr>
        <w:t>(Hetherington, 2005; Hooghe &amp; Marien, 2013; Letki, 2006; Scholz &amp; Lubell, 1998)</w:t>
      </w:r>
      <w:r w:rsidR="00645A9C" w:rsidRPr="004F3B77">
        <w:rPr>
          <w:rFonts w:ascii="Times New Roman" w:hAnsi="Times New Roman" w:cs="Times New Roman"/>
        </w:rPr>
        <w:fldChar w:fldCharType="end"/>
      </w:r>
      <w:r w:rsidR="00A66201" w:rsidRPr="004F3B77">
        <w:rPr>
          <w:rFonts w:ascii="Times New Roman" w:hAnsi="Times New Roman" w:cs="Times New Roman"/>
        </w:rPr>
        <w:t>, though there is a relative dea</w:t>
      </w:r>
      <w:r w:rsidR="00541537" w:rsidRPr="004F3B77">
        <w:rPr>
          <w:rFonts w:ascii="Times New Roman" w:hAnsi="Times New Roman" w:cs="Times New Roman"/>
        </w:rPr>
        <w:t>r</w:t>
      </w:r>
      <w:r w:rsidR="00A66201" w:rsidRPr="004F3B77">
        <w:rPr>
          <w:rFonts w:ascii="Times New Roman" w:hAnsi="Times New Roman" w:cs="Times New Roman"/>
        </w:rPr>
        <w:t xml:space="preserve">th of evidence given the importance and popularity of the topic </w:t>
      </w:r>
      <w:r w:rsidR="00A66201"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{"citationID":"2AdvUy0h","properties":{"formattedCitation":"(T. van der Meer &amp; Zmerli, 2017)","plainCitation":"(T. van der Meer &amp; Zmerli, 2017)","noteIndex":0},"citationItems":[{"id":3834,"uris":["http://zotero.org/users/2674438/items/R2X6LXEJ"],"itemData":{"id":3834,"type":"chapter","container-title":"The Handbook on Political Trust","event-place":"Cheltenham","publisher":"Edward Elgar Publishing","publisher-place":"Cheltenham","title":"The deeply rooted concern with political trust","author":[{"family":"Meer","given":"Tom","non-dropping-particle":"van der"},{"family":"Zmerli","given":"Sonja"}],"editor":[{"family":"Zmerli","given":"Sonja"},{"family":"Meer","given":"Tom","non-dropping-particle":"van der"}],"issued":{"date-parts":[["2017"]]}}}],"schema":"https://github.com/citation-style-language/schema/raw/master/csl-citation.json"} </w:instrText>
      </w:r>
      <w:r w:rsidR="00A66201" w:rsidRPr="004F3B77">
        <w:rPr>
          <w:rFonts w:ascii="Times New Roman" w:hAnsi="Times New Roman" w:cs="Times New Roman"/>
        </w:rPr>
        <w:fldChar w:fldCharType="separate"/>
      </w:r>
      <w:r w:rsidR="00AF206A" w:rsidRPr="004F3B77">
        <w:rPr>
          <w:rFonts w:ascii="Times New Roman" w:hAnsi="Times New Roman" w:cs="Times New Roman"/>
          <w:noProof/>
        </w:rPr>
        <w:t>(T. van der Meer &amp; Zmerli, 2017)</w:t>
      </w:r>
      <w:r w:rsidR="00A66201" w:rsidRPr="004F3B77">
        <w:rPr>
          <w:rFonts w:ascii="Times New Roman" w:hAnsi="Times New Roman" w:cs="Times New Roman"/>
        </w:rPr>
        <w:fldChar w:fldCharType="end"/>
      </w:r>
      <w:r w:rsidR="00645A9C" w:rsidRPr="004F3B77">
        <w:rPr>
          <w:rFonts w:ascii="Times New Roman" w:hAnsi="Times New Roman" w:cs="Times New Roman"/>
        </w:rPr>
        <w:t xml:space="preserve">. Our results </w:t>
      </w:r>
      <w:r w:rsidR="00E0262B" w:rsidRPr="004F3B77">
        <w:rPr>
          <w:rFonts w:ascii="Times New Roman" w:hAnsi="Times New Roman" w:cs="Times New Roman"/>
        </w:rPr>
        <w:t xml:space="preserve">help address this, systematising existing studies concerning a specific event, </w:t>
      </w:r>
      <w:r w:rsidR="00BB53A3" w:rsidRPr="004F3B77">
        <w:rPr>
          <w:rFonts w:ascii="Times New Roman" w:hAnsi="Times New Roman" w:cs="Times New Roman"/>
        </w:rPr>
        <w:t xml:space="preserve">and </w:t>
      </w:r>
      <w:r w:rsidR="00645A9C" w:rsidRPr="004F3B77">
        <w:rPr>
          <w:rFonts w:ascii="Times New Roman" w:hAnsi="Times New Roman" w:cs="Times New Roman"/>
        </w:rPr>
        <w:t xml:space="preserve">are consistent with </w:t>
      </w:r>
      <w:r w:rsidR="00BB53A3" w:rsidRPr="004F3B77">
        <w:rPr>
          <w:rFonts w:ascii="Times New Roman" w:hAnsi="Times New Roman" w:cs="Times New Roman"/>
        </w:rPr>
        <w:t xml:space="preserve">existing </w:t>
      </w:r>
      <w:r w:rsidR="00645A9C" w:rsidRPr="004F3B77">
        <w:rPr>
          <w:rFonts w:ascii="Times New Roman" w:hAnsi="Times New Roman" w:cs="Times New Roman"/>
        </w:rPr>
        <w:t xml:space="preserve">conclusions: trust </w:t>
      </w:r>
      <w:r w:rsidR="001D6A8D" w:rsidRPr="004F3B77">
        <w:rPr>
          <w:rFonts w:ascii="Times New Roman" w:hAnsi="Times New Roman" w:cs="Times New Roman"/>
        </w:rPr>
        <w:t>is related to</w:t>
      </w:r>
      <w:r w:rsidR="00645A9C" w:rsidRPr="004F3B77">
        <w:rPr>
          <w:rFonts w:ascii="Times New Roman" w:hAnsi="Times New Roman" w:cs="Times New Roman"/>
        </w:rPr>
        <w:t xml:space="preserve"> important societal outcomes. </w:t>
      </w:r>
    </w:p>
    <w:p w14:paraId="7DDE846C" w14:textId="77777777" w:rsidR="00E0262B" w:rsidRPr="004F3B77" w:rsidRDefault="00E0262B" w:rsidP="00645A9C">
      <w:pPr>
        <w:rPr>
          <w:rFonts w:ascii="Times New Roman" w:hAnsi="Times New Roman" w:cs="Times New Roman"/>
        </w:rPr>
      </w:pPr>
    </w:p>
    <w:p w14:paraId="71A4D1DF" w14:textId="4829A4BF" w:rsidR="00252DC9" w:rsidRPr="004F3B77" w:rsidRDefault="00252DC9" w:rsidP="00252DC9">
      <w:pPr>
        <w:rPr>
          <w:rFonts w:ascii="Times New Roman" w:hAnsi="Times New Roman" w:cs="Times New Roman"/>
        </w:rPr>
      </w:pPr>
      <w:r w:rsidRPr="004F3B77">
        <w:rPr>
          <w:rFonts w:ascii="Times New Roman" w:hAnsi="Times New Roman" w:cs="Times New Roman"/>
        </w:rPr>
        <w:t xml:space="preserve">At the same time, our results indicate important variation. There is substantial variation in our results depending on the object and area of trust – the B and X of the ‘A trusts B to do X’ statement – which is rarely addressed, to our knowledge, in the political science literature. At least with respect to compliance and vaccination during the pandemic, the effect of trust varies depending on </w:t>
      </w:r>
      <w:r w:rsidRPr="004F3B77">
        <w:rPr>
          <w:rFonts w:ascii="Times New Roman" w:hAnsi="Times New Roman" w:cs="Times New Roman"/>
          <w:i/>
          <w:iCs/>
        </w:rPr>
        <w:t>who</w:t>
      </w:r>
      <w:r w:rsidRPr="004F3B77">
        <w:rPr>
          <w:rFonts w:ascii="Times New Roman" w:hAnsi="Times New Roman" w:cs="Times New Roman"/>
        </w:rPr>
        <w:t xml:space="preserve"> is trusted. Moreover, this suggests that citizens do indeed differentiate meaningfully between trust objects, at least as far as the consequences of trust are concerned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{"citationID":"ub64cvtZ","properties":{"formattedCitation":"(Fisher et al., 2010)","plainCitation":"(Fisher et al., 2010)","noteIndex":0},"citationItems":[{"id":3820,"uris":["http://zotero.org/users/2674438/items/PTHTTL5E"],"itemData":{"id":3820,"type":"article-journal","container-title":"British Journal of Politics and International Relations","issue":"2","page":"161-188","title":"Does One Trust Judgement Fit All? Linking Theory and Empirics","volume":"12","author":[{"family":"Fisher","given":"Justin"},{"family":"Van Heerde","given":"Jennifer"},{"family":"Tucker","given":"Andrew"}],"issued":{"date-parts":[["2010"]]}}}],"schema":"https://github.com/citation-style-language/schema/raw/master/csl-citation.json"}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(Fisher et al., 2010)</w:t>
      </w:r>
      <w:r w:rsidRPr="004F3B77">
        <w:rPr>
          <w:rFonts w:ascii="Times New Roman" w:hAnsi="Times New Roman" w:cs="Times New Roman"/>
        </w:rPr>
        <w:fldChar w:fldCharType="end"/>
      </w:r>
      <w:r w:rsidRPr="004F3B77">
        <w:rPr>
          <w:rFonts w:ascii="Times New Roman" w:hAnsi="Times New Roman" w:cs="Times New Roman"/>
        </w:rPr>
        <w:t xml:space="preserve">. If this finding extends beyond COVID-related outcomes, that may lead to more accurate conclusions regarding the relationship between trust and outcomes such as policy preferences and compliance. This has theoretical consequences for the dominant trust-as-heuristic approach. Whilst trust is expected to have </w:t>
      </w:r>
      <w:r w:rsidRPr="004F3B77">
        <w:rPr>
          <w:rFonts w:ascii="Times New Roman" w:hAnsi="Times New Roman" w:cs="Times New Roman"/>
          <w:i/>
          <w:iCs/>
        </w:rPr>
        <w:t xml:space="preserve">general </w:t>
      </w:r>
      <w:r w:rsidRPr="004F3B77">
        <w:rPr>
          <w:rFonts w:ascii="Times New Roman" w:hAnsi="Times New Roman" w:cs="Times New Roman"/>
        </w:rPr>
        <w:t xml:space="preserve">consequences (such as increasing compliance and vaccination uptake in the case of COVID, or support for redistribution policy and other government-expanding policies in the wider literature), these results suggest the effect is at least in part </w:t>
      </w:r>
      <w:r w:rsidRPr="004F3B77">
        <w:rPr>
          <w:rFonts w:ascii="Times New Roman" w:hAnsi="Times New Roman" w:cs="Times New Roman"/>
          <w:i/>
          <w:iCs/>
        </w:rPr>
        <w:t xml:space="preserve">conditional </w:t>
      </w:r>
      <w:r w:rsidRPr="004F3B77">
        <w:rPr>
          <w:rFonts w:ascii="Times New Roman" w:hAnsi="Times New Roman" w:cs="Times New Roman"/>
        </w:rPr>
        <w:t xml:space="preserve">on the position of the trusted. Testing that proposition outside the context of the pandemic would be a fruitful avenue for future </w:t>
      </w:r>
      <w:proofErr w:type="spellStart"/>
      <w:r w:rsidRPr="004F3B77">
        <w:rPr>
          <w:rFonts w:ascii="Times New Roman" w:hAnsi="Times New Roman" w:cs="Times New Roman"/>
        </w:rPr>
        <w:t>stu</w:t>
      </w:r>
      <w:proofErr w:type="spellEnd"/>
      <w:r w:rsidR="00A82540" w:rsidRPr="004F3B77">
        <w:rPr>
          <w:rFonts w:ascii="Times New Roman" w:hAnsi="Times New Roman" w:cs="Times New Roman"/>
        </w:rPr>
        <w:t xml:space="preserve">``` </w:t>
      </w:r>
      <w:r w:rsidRPr="004F3B77">
        <w:rPr>
          <w:rFonts w:ascii="Times New Roman" w:hAnsi="Times New Roman" w:cs="Times New Roman"/>
        </w:rPr>
        <w:t>dies to expand upon our findings.</w:t>
      </w:r>
      <w:r w:rsidR="00A82540" w:rsidRPr="004F3B77">
        <w:rPr>
          <w:rFonts w:ascii="Times New Roman" w:hAnsi="Times New Roman" w:cs="Times New Roman"/>
        </w:rPr>
        <w:t xml:space="preserve"> It would also contribute to a more nuanced – and accurate - approach to integrating consideration of trust in public policy.</w:t>
      </w:r>
    </w:p>
    <w:p w14:paraId="5B145930" w14:textId="77777777" w:rsidR="00252DC9" w:rsidRPr="004F3B77" w:rsidRDefault="00252DC9" w:rsidP="00252DC9">
      <w:pPr>
        <w:rPr>
          <w:rFonts w:ascii="Times New Roman" w:hAnsi="Times New Roman" w:cs="Times New Roman"/>
        </w:rPr>
      </w:pPr>
    </w:p>
    <w:p w14:paraId="36AE65F9" w14:textId="77777777" w:rsidR="00252DC9" w:rsidRPr="004F3B77" w:rsidRDefault="00252DC9" w:rsidP="00252DC9">
      <w:pPr>
        <w:rPr>
          <w:rFonts w:ascii="Times New Roman" w:hAnsi="Times New Roman" w:cs="Times New Roman"/>
        </w:rPr>
      </w:pPr>
      <w:r w:rsidRPr="004F3B77">
        <w:rPr>
          <w:rFonts w:ascii="Times New Roman" w:hAnsi="Times New Roman" w:cs="Times New Roman"/>
        </w:rPr>
        <w:t xml:space="preserve">One of our more surprising conclusions is that trust is, on average, unrelated to risk and seriousness attitudes, despite competing expectations outlined in the theoretical section. It is possible trust in </w:t>
      </w:r>
      <w:r w:rsidRPr="004F3B77">
        <w:rPr>
          <w:rFonts w:ascii="Times New Roman" w:hAnsi="Times New Roman" w:cs="Times New Roman"/>
          <w:i/>
          <w:iCs/>
        </w:rPr>
        <w:t xml:space="preserve">government </w:t>
      </w:r>
      <w:r w:rsidRPr="004F3B77">
        <w:rPr>
          <w:rFonts w:ascii="Times New Roman" w:hAnsi="Times New Roman" w:cs="Times New Roman"/>
        </w:rPr>
        <w:t xml:space="preserve">(as opposed to other objects) is related to perceptions of greater risk/seriousness. As Figure 3 indicates, there are both positive and negative estimates, but this would likely be the case if the ‘true effect’ was zero. As such, we suggest that the mixed findings with respect to this outcome is because the value is zero, a conclusion reached by </w:t>
      </w:r>
      <w:proofErr w:type="spellStart"/>
      <w:r w:rsidRPr="004F3B77">
        <w:rPr>
          <w:rFonts w:ascii="Times New Roman" w:hAnsi="Times New Roman" w:cs="Times New Roman"/>
        </w:rPr>
        <w:t>Dryhurst</w:t>
      </w:r>
      <w:proofErr w:type="spellEnd"/>
      <w:r w:rsidRPr="004F3B77">
        <w:rPr>
          <w:rFonts w:ascii="Times New Roman" w:hAnsi="Times New Roman" w:cs="Times New Roman"/>
        </w:rPr>
        <w:t xml:space="preserve"> et al. (2020). We cannot say whether this generalises to other contexts, but we have no reason to expect that the pandemic is sufficiently different to other crises or epidemics to change our hypothesis of a null effect.</w:t>
      </w:r>
    </w:p>
    <w:p w14:paraId="5B8ACBA2" w14:textId="77777777" w:rsidR="00252DC9" w:rsidRPr="004F3B77" w:rsidRDefault="00252DC9" w:rsidP="00252DC9">
      <w:pPr>
        <w:rPr>
          <w:rFonts w:ascii="Times New Roman" w:hAnsi="Times New Roman" w:cs="Times New Roman"/>
        </w:rPr>
      </w:pPr>
    </w:p>
    <w:p w14:paraId="76B2FF4F" w14:textId="61F505BC" w:rsidR="00252DC9" w:rsidRPr="004F3B77" w:rsidRDefault="00252DC9" w:rsidP="00252DC9">
      <w:pPr>
        <w:rPr>
          <w:rFonts w:ascii="Times New Roman" w:hAnsi="Times New Roman" w:cs="Times New Roman"/>
        </w:rPr>
      </w:pPr>
      <w:proofErr w:type="gramStart"/>
      <w:r w:rsidRPr="004F3B77">
        <w:rPr>
          <w:rFonts w:ascii="Times New Roman" w:hAnsi="Times New Roman" w:cs="Times New Roman"/>
        </w:rPr>
        <w:t>This being said, we</w:t>
      </w:r>
      <w:proofErr w:type="gramEnd"/>
      <w:r w:rsidRPr="004F3B77">
        <w:rPr>
          <w:rFonts w:ascii="Times New Roman" w:hAnsi="Times New Roman" w:cs="Times New Roman"/>
        </w:rPr>
        <w:t xml:space="preserve"> show that the consequences of trust vary meaningfully across regions, with compliance only significantly related to trust in Europe and North America, though trust is important for vaccination around the world. We are not able to answer why this is the case, and it could be due to a range of factors such as the differential politicisation of aspects of the pandemic, cultural contexts, role of government, varying approaches to the pandemic and much else; what we can say with confidence is that these differences exist, are worth exploring, and provide some nuance to our results</w:t>
      </w:r>
      <w:r w:rsidR="00386C2E" w:rsidRPr="004F3B77">
        <w:rPr>
          <w:rFonts w:ascii="Times New Roman" w:hAnsi="Times New Roman" w:cs="Times New Roman"/>
        </w:rPr>
        <w:t>.</w:t>
      </w:r>
    </w:p>
    <w:p w14:paraId="4BF96466" w14:textId="77777777" w:rsidR="00252DC9" w:rsidRPr="004F3B77" w:rsidRDefault="00252DC9" w:rsidP="00252DC9">
      <w:pPr>
        <w:rPr>
          <w:rFonts w:ascii="Times New Roman" w:hAnsi="Times New Roman" w:cs="Times New Roman"/>
        </w:rPr>
      </w:pPr>
    </w:p>
    <w:p w14:paraId="398D69B5" w14:textId="680875FE" w:rsidR="00252DC9" w:rsidRPr="004F3B77" w:rsidRDefault="00252DC9" w:rsidP="00252DC9">
      <w:pPr>
        <w:rPr>
          <w:rFonts w:ascii="Times New Roman" w:hAnsi="Times New Roman" w:cs="Times New Roman"/>
        </w:rPr>
      </w:pPr>
      <w:r w:rsidRPr="004F3B77">
        <w:rPr>
          <w:rFonts w:ascii="Times New Roman" w:hAnsi="Times New Roman" w:cs="Times New Roman"/>
        </w:rPr>
        <w:lastRenderedPageBreak/>
        <w:t xml:space="preserve">Perhaps more importantly, our results are directly relevant for public policy: trust and trust-building have been a core strategy of world governments, especially within the OECD, for over a decade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{"citationID":"dbC7cWTD","properties":{"formattedCitation":"(Bouckaert, 2012; Brezzi et al., 2021; OECD, 2017)","plainCitation":"(Bouckaert, 2012; Brezzi et al., 2021; OECD, 2017)","noteIndex":0},"citationItems":[{"id":3770,"uris":["http://zotero.org/users/2674438/items/EAZTVQ8D"],"itemData":{"id":3770,"type":"book","collection-title":"OECD Public Governance Reviews","event-place":"OECD Publishing","publisher":"Paris","publisher-place":"OECD Publishing","title":"Trust and Public Policy: How Better Governance Can Help Rebuild Public Trust","author":[{"family":"OECD","given":""}],"issued":{"date-parts":[["2017"]]}}},{"id":15083,"uris":["http://zotero.org/users/2674438/items/G4M4WU2C"],"itemData":{"id":15083,"type":"article-journal","container-title":"OECD Working Papers on Public Governance","title":"An updated OECD framework on drivers of trust in public institutions to meet current and future challenges","volume":"48","author":[{"family":"Brezzi","given":"Monica"},{"family":"Gonzalez","given":"Santiago"},{"family":"Nguyen","given":"David"},{"family":"Prats","given":"Mariana"}],"issued":{"date-parts":[["2021"]]}}},{"id":15082,"uris":["http://zotero.org/users/2674438/items/UG65P36Z"],"itemData":{"id":15082,"type":"article-journal","abstract":"Within the public sector of OECD countries trust is increasingly becoming a crucial element of performance and for a performing public sector, especially with the current financial crisis. Reform strategies have been driven by agendas to increase trust in the public sector. Three clusters of trust are defined: from society in the public sector (T1), from the public sector in society (T2) and within the public sector (T3). However, there are some paradoxes in these strategies. For example, the New Public Management model is partly based on distrust, in that the public sector expects to be trusted but does not necessarily trust its citizens or other public sector agents. Trust levels are culturally determined and differ significantly within the OECD. This has an implication for public sector reform policies, which are linked to trust regimes. Taking trust regimes into account should contribute to trust building and trust keeping.","container-title":"Administration","issue":"1","language":"en","page":"91-115","source":"Zotero","title":"Trust and public administration","volume":"60","author":[{"family":"Bouckaert","given":"Geert"}],"issued":{"date-parts":[["2012"]]}}}],"schema":"https://github.com/citation-style-language/schema/raw/master/csl-citation.json"}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(Bouckaert, 2012; Brezzi et al., 2021; OECD, 2017)</w:t>
      </w:r>
      <w:r w:rsidRPr="004F3B77">
        <w:rPr>
          <w:rFonts w:ascii="Times New Roman" w:hAnsi="Times New Roman" w:cs="Times New Roman"/>
        </w:rPr>
        <w:fldChar w:fldCharType="end"/>
      </w:r>
      <w:r w:rsidRPr="004F3B77">
        <w:rPr>
          <w:rFonts w:ascii="Times New Roman" w:hAnsi="Times New Roman" w:cs="Times New Roman"/>
        </w:rPr>
        <w:t xml:space="preserve">. Specifically during the pandemic, trust has been cited as one of the core determinants of compliance, vaccination, and rejection of conspiracy theories </w:t>
      </w:r>
      <w:r w:rsidRPr="004F3B77">
        <w:rPr>
          <w:rFonts w:ascii="Times New Roman" w:hAnsi="Times New Roman" w:cs="Times New Roman"/>
        </w:rPr>
        <w:fldChar w:fldCharType="begin"/>
      </w:r>
      <w:r w:rsidR="00AF206A" w:rsidRPr="004F3B77">
        <w:rPr>
          <w:rFonts w:ascii="Times New Roman" w:hAnsi="Times New Roman" w:cs="Times New Roman"/>
        </w:rPr>
        <w:instrText xml:space="preserve"> ADDIN ZOTERO_ITEM CSL_CITATION {"citationID":"ScHKJ37o","properties":{"formattedCitation":"(Bollyky, Hulland, et al., 2022)","plainCitation":"(Bollyky, Hulland, et al., 2022)","noteIndex":0},"citationItems":[{"id":15080,"uris":["http://zotero.org/users/2674438/items/29Y5W5AZ"],"itemData":{"id":15080,"type":"article-journal","abstract":"Background National rates of COVID-19 infection and fatality have varied dramatically since the onset of the pandemic. Understanding the conditions associated with this cross-country variation is essential to guiding investment in more effective preparedness and response for future pandemics.","container-title":"The Lancet","DOI":"10.1016/S0140-6736(22)00172-6","ISSN":"01406736","issue":"10334","journalAbbreviation":"The Lancet","language":"en","page":"1489-1512","source":"DOI.org (Crossref)","title":"Pandemic preparedness and COVID-19: an exploratory analysis of infection and fatality rates, and contextual factors associated with preparedness in 177 countries, from Jan 1, 2020, to Sept 30, 2021","title-short":"Pandemic preparedness and COVID-19","volume":"399","author":[{"family":"Bollyky","given":"Thomas J"},{"family":"Hulland","given":"Erin N"},{"family":"Barber","given":"Ryan M"},{"family":"Collins","given":"James K"},{"family":"Kiernan","given":"Samantha"},{"family":"Moses","given":"Mark"},{"family":"Pigott","given":"David M"},{"family":"Reiner Jr","given":"Robert C"},{"family":"Sorensen","given":"Reed J D"},{"family":"Abbafati","given":"Cristiana"},{"family":"Adolph","given":"Christopher"},{"family":"Allorant","given":"Adrien"},{"family":"Amlag","given":"Joanne O"},{"family":"Aravkin","given":"Aleksandr Y"},{"family":"Bang-Jensen","given":"Bree"},{"family":"Carter","given":"Austin"},{"family":"Castellano","given":"Rachel"},{"family":"Castro","given":"Emma"},{"family":"Chakrabarti","given":"Suman"},{"family":"Combs","given":"Emily"},{"family":"Dai","given":"Xiaochen"},{"family":"Dangel","given":"William James"},{"family":"Dapper","given":"Carolyn"},{"family":"Deen","given":"Amanda"},{"family":"Duncan","given":"Bruce B"},{"family":"Earl","given":"Lucas"},{"family":"Erickson","given":"Megan"},{"family":"Ewald","given":"Samuel B"},{"family":"Fedosseeva","given":"Tatiana"},{"family":"Ferrari","given":"Alize J"},{"family":"Flaxman","given":"Abraham D"},{"family":"Fullman","given":"Nancy"},{"family":"Gakidou","given":"Emmanuela"},{"family":"Galal","given":"Bayan"},{"family":"Gallagher","given":"John"},{"family":"Giles","given":"John R"},{"family":"Guo","given":"Gaorui"},{"family":"He","given":"Jiawei"},{"family":"Helak","given":"Monika"},{"family":"Huntley","given":"Bethany M"},{"family":"Idrisov","given":"Bulat"},{"family":"Johanns","given":"Casey"},{"family":"LeGrand","given":"Kate E"},{"family":"Letourneau","given":"Ian D"},{"family":"Lindstrom","given":"Akiaja"},{"family":"Linebarger","given":"Emily"},{"family":"Lotufo","given":"Paulo A"},{"family":"Lozano","given":"Rafael"},{"family":"Magistro","given":"Beatrice"},{"family":"Malta","given":"Deborah Carvalho"},{"family":"Månsson","given":"Johan"},{"family":"Mantilla Herrera","given":"Ana M"},{"family":"Marinho","given":"Fatima"},{"family":"Mirkuzie","given":"Alemnesh H"},{"family":"Mokdad","given":"Ali H"},{"family":"Monasta","given":"Lorenzo"},{"family":"Naik","given":"Paulami"},{"family":"Nomura","given":"Shuhei"},{"family":"O'Halloran","given":"James Kevin"},{"family":"Odell","given":"Christopher M"},{"family":"Olana","given":"Latera Tesfaye"},{"family":"Ostroff","given":"Samuel M"},{"family":"Pasovic","given":"Maja"},{"family":"Passos","given":"Valeria Maria de Azeredo"},{"family":"Penberthy","given":"Louise"},{"family":"Reinke","given":"Grace"},{"family":"Santomauro","given":"Damian Francesco"},{"family":"Schmidt","given":"Maria Inês"},{"family":"Sholokhov","given":"Aleksei"},{"family":"Spurlock","given":"Emma"},{"family":"Troeger","given":"Christopher E"},{"family":"Varavikova","given":"Elena"},{"family":"Vo","given":"Anh T"},{"family":"Vos","given":"Theo"},{"family":"Walcott","given":"Rebecca"},{"family":"Walker","given":"Ally"},{"family":"Wigley","given":"Simon D"},{"family":"Wiysonge","given":"Charles Shey"},{"family":"Worku","given":"Nahom Alemseged"},{"family":"Wu","given":"Yifan"},{"family":"Wulf Hanson","given":"Sarah"},{"family":"Zheng","given":"Peng"},{"family":"Hay","given":"Simon I"},{"family":"Murray","given":"Christopher J L"},{"family":"Dieleman","given":"Joseph L"}],"issued":{"date-parts":[["2022",4]]}}}],"schema":"https://github.com/citation-style-language/schema/raw/master/csl-citation.json"} </w:instrText>
      </w:r>
      <w:r w:rsidRPr="004F3B77">
        <w:rPr>
          <w:rFonts w:ascii="Times New Roman" w:hAnsi="Times New Roman" w:cs="Times New Roman"/>
        </w:rPr>
        <w:fldChar w:fldCharType="separate"/>
      </w:r>
      <w:r w:rsidR="00AF206A" w:rsidRPr="004F3B77">
        <w:rPr>
          <w:rFonts w:ascii="Times New Roman" w:hAnsi="Times New Roman" w:cs="Times New Roman"/>
          <w:noProof/>
        </w:rPr>
        <w:t>(Bollyky, Hulland, et al., 2022)</w:t>
      </w:r>
      <w:r w:rsidRPr="004F3B77">
        <w:rPr>
          <w:rFonts w:ascii="Times New Roman" w:hAnsi="Times New Roman" w:cs="Times New Roman"/>
        </w:rPr>
        <w:fldChar w:fldCharType="end"/>
      </w:r>
      <w:r w:rsidRPr="004F3B77">
        <w:rPr>
          <w:rFonts w:ascii="Times New Roman" w:hAnsi="Times New Roman" w:cs="Times New Roman"/>
        </w:rPr>
        <w:t>. Our results support these claims and should encourage governments and international organizations to continue their efforts to rebuild political trust around the world. More specifically in the context of pandemic management, our findings suggest that vaccination policies may be better driven by public health authorities than governments, whilst compliance should be driven by (trusted) governments. The obvious policy implication is that messaging on vaccination should be delivered – at least publicly – by health authorities, with compliance and related measures delivered by governments.</w:t>
      </w:r>
    </w:p>
    <w:p w14:paraId="011D17A1" w14:textId="77777777" w:rsidR="00252DC9" w:rsidRPr="004F3B77" w:rsidRDefault="00252DC9" w:rsidP="00252DC9">
      <w:pPr>
        <w:rPr>
          <w:rFonts w:ascii="Times New Roman" w:hAnsi="Times New Roman" w:cs="Times New Roman"/>
        </w:rPr>
      </w:pPr>
    </w:p>
    <w:p w14:paraId="54202AEB" w14:textId="0AD26AA7" w:rsidR="00252DC9" w:rsidRPr="004F3B77" w:rsidRDefault="00252DC9" w:rsidP="00252DC9">
      <w:pPr>
        <w:rPr>
          <w:rFonts w:ascii="Times New Roman" w:hAnsi="Times New Roman" w:cs="Times New Roman"/>
        </w:rPr>
      </w:pPr>
      <w:r w:rsidRPr="004F3B77">
        <w:rPr>
          <w:rFonts w:ascii="Times New Roman" w:hAnsi="Times New Roman" w:cs="Times New Roman"/>
        </w:rPr>
        <w:t>Of course, our study is not without limitations. First, like all empirical analyses, our data is limited to the collection period and the coverage of the underlying studies covered here. This means that some regions are under-</w:t>
      </w:r>
      <w:proofErr w:type="gramStart"/>
      <w:r w:rsidRPr="004F3B77">
        <w:rPr>
          <w:rFonts w:ascii="Times New Roman" w:hAnsi="Times New Roman" w:cs="Times New Roman"/>
        </w:rPr>
        <w:t>represented</w:t>
      </w:r>
      <w:proofErr w:type="gramEnd"/>
      <w:r w:rsidRPr="004F3B77">
        <w:rPr>
          <w:rFonts w:ascii="Times New Roman" w:hAnsi="Times New Roman" w:cs="Times New Roman"/>
        </w:rPr>
        <w:t xml:space="preserve"> and we only cover the first year-and-a-half of the pandemic. Second, we note some important qualifications to the data of the underlying studies. Most obviously, as mentioned previously, almost </w:t>
      </w:r>
      <w:proofErr w:type="gramStart"/>
      <w:r w:rsidRPr="004F3B77">
        <w:rPr>
          <w:rFonts w:ascii="Times New Roman" w:hAnsi="Times New Roman" w:cs="Times New Roman"/>
        </w:rPr>
        <w:t>all of</w:t>
      </w:r>
      <w:proofErr w:type="gramEnd"/>
      <w:r w:rsidRPr="004F3B77">
        <w:rPr>
          <w:rFonts w:ascii="Times New Roman" w:hAnsi="Times New Roman" w:cs="Times New Roman"/>
        </w:rPr>
        <w:t xml:space="preserve"> the included studies are observational, and we cannot rule out reverse causality or some other confounding variable. We nonetheless strongly believe that summarising the existing literature – observational or otherwise – is an important, </w:t>
      </w:r>
      <w:proofErr w:type="gramStart"/>
      <w:r w:rsidRPr="004F3B77">
        <w:rPr>
          <w:rFonts w:ascii="Times New Roman" w:hAnsi="Times New Roman" w:cs="Times New Roman"/>
        </w:rPr>
        <w:t>worthwhile</w:t>
      </w:r>
      <w:proofErr w:type="gramEnd"/>
      <w:r w:rsidRPr="004F3B77">
        <w:rPr>
          <w:rFonts w:ascii="Times New Roman" w:hAnsi="Times New Roman" w:cs="Times New Roman"/>
        </w:rPr>
        <w:t xml:space="preserve"> and informative exercise that considerably advances our knowledge of this important topic. In addition, given the quite robust associations we and other studies have observed and the meaningful and expected differences, we would be surprised if the entirety of the relationship was explained by other factors; at least in the cases of vaccination and compliance, it seems less plausible that these would cause higher trust levels than the other way around. Similarly, almost all our data is self-reported (i.e., survey based), rather than based on ‘objective’ measures, which might provide more reliable results. Further systematic reviews and analyses filling in these gaps would be valuable.</w:t>
      </w:r>
    </w:p>
    <w:p w14:paraId="711B5262" w14:textId="77777777" w:rsidR="00252DC9" w:rsidRPr="004F3B77" w:rsidRDefault="00252DC9" w:rsidP="00252DC9">
      <w:pPr>
        <w:rPr>
          <w:rFonts w:ascii="Times New Roman" w:hAnsi="Times New Roman" w:cs="Times New Roman"/>
        </w:rPr>
      </w:pPr>
    </w:p>
    <w:p w14:paraId="40347D2D" w14:textId="324AC08E" w:rsidR="00386C2E" w:rsidRPr="004F3B77" w:rsidRDefault="00252DC9" w:rsidP="00252DC9">
      <w:pPr>
        <w:rPr>
          <w:rFonts w:ascii="Times New Roman" w:hAnsi="Times New Roman" w:cs="Times New Roman"/>
        </w:rPr>
      </w:pPr>
      <w:r w:rsidRPr="004F3B77">
        <w:rPr>
          <w:rFonts w:ascii="Times New Roman" w:hAnsi="Times New Roman" w:cs="Times New Roman"/>
        </w:rPr>
        <w:t xml:space="preserve">Nonetheless, by providing a rigorous, systematic analysis of the existing empirical literature, we show that trust is relevant for policy success, adding evidence to a fundamental proposition in the academic literature, about the role of political trust in democratic governance. </w:t>
      </w:r>
    </w:p>
    <w:p w14:paraId="4A9ADA65" w14:textId="60449F1D" w:rsidR="00FE2FB9" w:rsidRPr="004F3B77" w:rsidRDefault="00F70E1B" w:rsidP="00F70E1B">
      <w:pPr>
        <w:rPr>
          <w:rFonts w:ascii="Times New Roman" w:hAnsi="Times New Roman" w:cs="Times New Roman"/>
        </w:rPr>
      </w:pPr>
      <w:r w:rsidRPr="004F3B77">
        <w:rPr>
          <w:rFonts w:ascii="Times New Roman" w:hAnsi="Times New Roman" w:cs="Times New Roman"/>
        </w:rPr>
        <w:br w:type="page"/>
      </w:r>
      <w:r w:rsidR="00FE2FB9" w:rsidRPr="004F3B77">
        <w:rPr>
          <w:rFonts w:ascii="Times New Roman" w:hAnsi="Times New Roman" w:cs="Times New Roman"/>
          <w:b/>
          <w:bCs/>
        </w:rPr>
        <w:lastRenderedPageBreak/>
        <w:t>Acknowledgements</w:t>
      </w:r>
    </w:p>
    <w:p w14:paraId="35372F8E" w14:textId="21283A59" w:rsidR="00817317" w:rsidRPr="004F3B77" w:rsidRDefault="00817317" w:rsidP="000431CB">
      <w:pPr>
        <w:rPr>
          <w:rFonts w:ascii="Times New Roman" w:hAnsi="Times New Roman" w:cs="Times New Roman"/>
          <w:b/>
          <w:bCs/>
        </w:rPr>
      </w:pPr>
    </w:p>
    <w:p w14:paraId="1F53210E" w14:textId="7546C617" w:rsidR="00817317" w:rsidRPr="004F3B77" w:rsidRDefault="00817317" w:rsidP="000431CB">
      <w:pPr>
        <w:rPr>
          <w:rFonts w:ascii="Times New Roman" w:hAnsi="Times New Roman" w:cs="Times New Roman"/>
        </w:rPr>
      </w:pPr>
      <w:r w:rsidRPr="004F3B77">
        <w:rPr>
          <w:rFonts w:ascii="Times New Roman" w:hAnsi="Times New Roman" w:cs="Times New Roman"/>
        </w:rPr>
        <w:t>We’d like to thank all the authors we contacted for responding helpfully and providing any data or clarifications we required. We would also like to thank the four reviewers for extensive comments which changed the paper enormously and for the better.</w:t>
      </w:r>
    </w:p>
    <w:p w14:paraId="7FCFB01A" w14:textId="5DA3DC64" w:rsidR="00FE2FB9" w:rsidRPr="004F3B77" w:rsidRDefault="00FE2FB9" w:rsidP="000431CB">
      <w:pPr>
        <w:rPr>
          <w:rFonts w:ascii="Times New Roman" w:hAnsi="Times New Roman" w:cs="Times New Roman"/>
          <w:b/>
          <w:bCs/>
        </w:rPr>
      </w:pPr>
    </w:p>
    <w:p w14:paraId="724AC769" w14:textId="372A47FB" w:rsidR="00FE2FB9" w:rsidRPr="004F3B77" w:rsidRDefault="00FE2FB9" w:rsidP="000431CB">
      <w:pPr>
        <w:rPr>
          <w:rFonts w:ascii="Times New Roman" w:hAnsi="Times New Roman" w:cs="Times New Roman"/>
          <w:b/>
          <w:bCs/>
        </w:rPr>
      </w:pPr>
      <w:r w:rsidRPr="004F3B77">
        <w:rPr>
          <w:rFonts w:ascii="Times New Roman" w:hAnsi="Times New Roman" w:cs="Times New Roman"/>
          <w:b/>
          <w:bCs/>
        </w:rPr>
        <w:t>Disclosure statement</w:t>
      </w:r>
    </w:p>
    <w:p w14:paraId="6C184A1D" w14:textId="7AE023E2" w:rsidR="00817317" w:rsidRPr="004F3B77" w:rsidRDefault="00817317" w:rsidP="000431CB">
      <w:pPr>
        <w:rPr>
          <w:rFonts w:ascii="Times New Roman" w:hAnsi="Times New Roman" w:cs="Times New Roman"/>
          <w:b/>
          <w:bCs/>
        </w:rPr>
      </w:pPr>
    </w:p>
    <w:p w14:paraId="03CD7DEE" w14:textId="0EA8A77D" w:rsidR="00817317" w:rsidRPr="004F3B77" w:rsidRDefault="00817317" w:rsidP="000431CB">
      <w:pPr>
        <w:rPr>
          <w:rFonts w:ascii="Times New Roman" w:hAnsi="Times New Roman" w:cs="Times New Roman"/>
        </w:rPr>
      </w:pPr>
      <w:r w:rsidRPr="004F3B77">
        <w:rPr>
          <w:rFonts w:ascii="Times New Roman" w:hAnsi="Times New Roman" w:cs="Times New Roman"/>
        </w:rPr>
        <w:t>No potential conflict of interest was reported by the author(s).</w:t>
      </w:r>
    </w:p>
    <w:p w14:paraId="19125570" w14:textId="6F64572B" w:rsidR="00FE2FB9" w:rsidRPr="004F3B77" w:rsidRDefault="00FE2FB9" w:rsidP="000431CB">
      <w:pPr>
        <w:rPr>
          <w:rFonts w:ascii="Times New Roman" w:hAnsi="Times New Roman" w:cs="Times New Roman"/>
          <w:b/>
          <w:bCs/>
        </w:rPr>
      </w:pPr>
    </w:p>
    <w:p w14:paraId="7770F046" w14:textId="7BCA2540" w:rsidR="00FE2FB9" w:rsidRPr="004F3B77" w:rsidRDefault="00FE2FB9" w:rsidP="000431CB">
      <w:pPr>
        <w:rPr>
          <w:rFonts w:ascii="Times New Roman" w:hAnsi="Times New Roman" w:cs="Times New Roman"/>
          <w:b/>
          <w:bCs/>
        </w:rPr>
      </w:pPr>
      <w:r w:rsidRPr="004F3B77">
        <w:rPr>
          <w:rFonts w:ascii="Times New Roman" w:hAnsi="Times New Roman" w:cs="Times New Roman"/>
          <w:b/>
          <w:bCs/>
        </w:rPr>
        <w:t xml:space="preserve">Notes on contributors </w:t>
      </w:r>
    </w:p>
    <w:p w14:paraId="1503F712" w14:textId="542A39E4" w:rsidR="00FF739C" w:rsidRPr="004F3B77" w:rsidRDefault="00FF739C" w:rsidP="000431CB">
      <w:pPr>
        <w:rPr>
          <w:rFonts w:ascii="Times New Roman" w:hAnsi="Times New Roman" w:cs="Times New Roman"/>
          <w:b/>
          <w:bCs/>
        </w:rPr>
      </w:pPr>
    </w:p>
    <w:p w14:paraId="42B05DB9" w14:textId="49ED4660" w:rsidR="00FF739C" w:rsidRPr="004F3B77" w:rsidRDefault="00FF739C" w:rsidP="000431CB">
      <w:pPr>
        <w:rPr>
          <w:rFonts w:ascii="Times New Roman" w:hAnsi="Times New Roman" w:cs="Times New Roman"/>
          <w:i/>
          <w:iCs/>
        </w:rPr>
      </w:pPr>
      <w:r w:rsidRPr="004F3B77">
        <w:rPr>
          <w:rFonts w:ascii="Times New Roman" w:hAnsi="Times New Roman" w:cs="Times New Roman"/>
          <w:i/>
          <w:iCs/>
        </w:rPr>
        <w:t>Daniel Devine</w:t>
      </w:r>
      <w:r w:rsidR="002546E9" w:rsidRPr="004F3B77">
        <w:rPr>
          <w:rFonts w:ascii="Times New Roman" w:hAnsi="Times New Roman" w:cs="Times New Roman"/>
          <w:i/>
          <w:iCs/>
        </w:rPr>
        <w:t xml:space="preserve"> </w:t>
      </w:r>
      <w:r w:rsidR="002546E9" w:rsidRPr="004F3B77">
        <w:rPr>
          <w:rFonts w:ascii="Times New Roman" w:hAnsi="Times New Roman" w:cs="Times New Roman"/>
        </w:rPr>
        <w:t>is a Fellow in Political Sociology at St Hilda’s College, University of Oxford</w:t>
      </w:r>
      <w:r w:rsidRPr="004F3B77">
        <w:rPr>
          <w:rFonts w:ascii="Times New Roman" w:hAnsi="Times New Roman" w:cs="Times New Roman"/>
          <w:i/>
          <w:iCs/>
        </w:rPr>
        <w:t xml:space="preserve"> </w:t>
      </w:r>
    </w:p>
    <w:p w14:paraId="30F4F979" w14:textId="4CD63F71" w:rsidR="00FF739C" w:rsidRPr="004F3B77" w:rsidRDefault="00FF739C" w:rsidP="000431CB">
      <w:pPr>
        <w:rPr>
          <w:rFonts w:ascii="Times New Roman" w:hAnsi="Times New Roman" w:cs="Times New Roman"/>
        </w:rPr>
      </w:pPr>
      <w:r w:rsidRPr="004F3B77">
        <w:rPr>
          <w:rFonts w:ascii="Times New Roman" w:hAnsi="Times New Roman" w:cs="Times New Roman"/>
          <w:i/>
          <w:iCs/>
        </w:rPr>
        <w:t xml:space="preserve">Viktor </w:t>
      </w:r>
      <w:proofErr w:type="spellStart"/>
      <w:r w:rsidRPr="004F3B77">
        <w:rPr>
          <w:rFonts w:ascii="Times New Roman" w:hAnsi="Times New Roman" w:cs="Times New Roman"/>
          <w:i/>
          <w:iCs/>
        </w:rPr>
        <w:t>Valgarðsson</w:t>
      </w:r>
      <w:proofErr w:type="spellEnd"/>
      <w:r w:rsidR="002546E9" w:rsidRPr="004F3B77">
        <w:rPr>
          <w:rFonts w:ascii="Times New Roman" w:hAnsi="Times New Roman" w:cs="Times New Roman"/>
          <w:i/>
          <w:iCs/>
        </w:rPr>
        <w:t xml:space="preserve"> </w:t>
      </w:r>
      <w:r w:rsidR="002546E9" w:rsidRPr="004F3B77">
        <w:rPr>
          <w:rFonts w:ascii="Times New Roman" w:hAnsi="Times New Roman" w:cs="Times New Roman"/>
        </w:rPr>
        <w:t>is a Leverhulme Early Career Research</w:t>
      </w:r>
      <w:r w:rsidR="00B1720E" w:rsidRPr="004F3B77">
        <w:rPr>
          <w:rFonts w:ascii="Times New Roman" w:hAnsi="Times New Roman" w:cs="Times New Roman"/>
        </w:rPr>
        <w:t xml:space="preserve"> Fellow</w:t>
      </w:r>
      <w:r w:rsidR="002546E9" w:rsidRPr="004F3B77">
        <w:rPr>
          <w:rFonts w:ascii="Times New Roman" w:hAnsi="Times New Roman" w:cs="Times New Roman"/>
        </w:rPr>
        <w:t xml:space="preserve"> at the University of Southampton</w:t>
      </w:r>
      <w:r w:rsidR="002546E9" w:rsidRPr="004F3B77">
        <w:rPr>
          <w:rFonts w:ascii="Times New Roman" w:hAnsi="Times New Roman" w:cs="Times New Roman"/>
          <w:i/>
          <w:iCs/>
        </w:rPr>
        <w:t xml:space="preserve"> </w:t>
      </w:r>
    </w:p>
    <w:p w14:paraId="56BA7D7B" w14:textId="3BD2DC4F" w:rsidR="00FF739C" w:rsidRPr="004F3B77" w:rsidRDefault="00FF739C" w:rsidP="000431CB">
      <w:pPr>
        <w:rPr>
          <w:rFonts w:ascii="Times New Roman" w:hAnsi="Times New Roman" w:cs="Times New Roman"/>
        </w:rPr>
      </w:pPr>
      <w:r w:rsidRPr="004F3B77">
        <w:rPr>
          <w:rFonts w:ascii="Times New Roman" w:hAnsi="Times New Roman" w:cs="Times New Roman"/>
          <w:i/>
          <w:iCs/>
        </w:rPr>
        <w:t>Jessica Smith</w:t>
      </w:r>
      <w:r w:rsidR="002546E9" w:rsidRPr="004F3B77">
        <w:rPr>
          <w:rFonts w:ascii="Times New Roman" w:hAnsi="Times New Roman" w:cs="Times New Roman"/>
          <w:i/>
          <w:iCs/>
        </w:rPr>
        <w:t xml:space="preserve"> </w:t>
      </w:r>
      <w:r w:rsidR="002546E9" w:rsidRPr="004F3B77">
        <w:rPr>
          <w:rFonts w:ascii="Times New Roman" w:hAnsi="Times New Roman" w:cs="Times New Roman"/>
        </w:rPr>
        <w:t>is a Lecturer in Politics at the University of Edinburgh</w:t>
      </w:r>
    </w:p>
    <w:p w14:paraId="5D5453D3" w14:textId="0A52A0DE" w:rsidR="00FF739C" w:rsidRPr="004F3B77" w:rsidRDefault="00FF739C" w:rsidP="000431CB">
      <w:pPr>
        <w:rPr>
          <w:rFonts w:ascii="Times New Roman" w:hAnsi="Times New Roman" w:cs="Times New Roman"/>
        </w:rPr>
      </w:pPr>
      <w:r w:rsidRPr="004F3B77">
        <w:rPr>
          <w:rFonts w:ascii="Times New Roman" w:hAnsi="Times New Roman" w:cs="Times New Roman"/>
          <w:i/>
          <w:iCs/>
        </w:rPr>
        <w:t>Will Jennings</w:t>
      </w:r>
      <w:r w:rsidR="002546E9" w:rsidRPr="004F3B77">
        <w:rPr>
          <w:rFonts w:ascii="Times New Roman" w:hAnsi="Times New Roman" w:cs="Times New Roman"/>
        </w:rPr>
        <w:t xml:space="preserve"> is a Professor of Political Science and Public Policy at the University of Southampton</w:t>
      </w:r>
    </w:p>
    <w:p w14:paraId="739253A2" w14:textId="76B779A6" w:rsidR="002546E9" w:rsidRPr="004F3B77" w:rsidRDefault="00FF739C" w:rsidP="000431CB">
      <w:pPr>
        <w:rPr>
          <w:rFonts w:ascii="Times New Roman" w:hAnsi="Times New Roman" w:cs="Times New Roman"/>
        </w:rPr>
      </w:pPr>
      <w:r w:rsidRPr="004F3B77">
        <w:rPr>
          <w:rFonts w:ascii="Times New Roman" w:hAnsi="Times New Roman" w:cs="Times New Roman"/>
          <w:i/>
          <w:iCs/>
        </w:rPr>
        <w:t>Michele Scotto</w:t>
      </w:r>
      <w:r w:rsidRPr="004F3B77">
        <w:rPr>
          <w:rFonts w:ascii="Times New Roman" w:hAnsi="Times New Roman" w:cs="Times New Roman"/>
        </w:rPr>
        <w:t xml:space="preserve"> di </w:t>
      </w:r>
      <w:proofErr w:type="spellStart"/>
      <w:r w:rsidRPr="004F3B77">
        <w:rPr>
          <w:rFonts w:ascii="Times New Roman" w:hAnsi="Times New Roman" w:cs="Times New Roman"/>
        </w:rPr>
        <w:t>Vettimo</w:t>
      </w:r>
      <w:proofErr w:type="spellEnd"/>
      <w:r w:rsidR="002546E9" w:rsidRPr="004F3B77">
        <w:rPr>
          <w:rFonts w:ascii="Times New Roman" w:hAnsi="Times New Roman" w:cs="Times New Roman"/>
        </w:rPr>
        <w:t xml:space="preserve"> is a Postdoctoral Research Fellow at the University of Exeter</w:t>
      </w:r>
      <w:r w:rsidRPr="004F3B77">
        <w:rPr>
          <w:rFonts w:ascii="Times New Roman" w:hAnsi="Times New Roman" w:cs="Times New Roman"/>
        </w:rPr>
        <w:t xml:space="preserve"> </w:t>
      </w:r>
    </w:p>
    <w:p w14:paraId="30C83033" w14:textId="477850E1" w:rsidR="00FF739C" w:rsidRPr="004F3B77" w:rsidRDefault="00FF739C" w:rsidP="000431CB">
      <w:pPr>
        <w:rPr>
          <w:rFonts w:ascii="Times New Roman" w:hAnsi="Times New Roman" w:cs="Times New Roman"/>
        </w:rPr>
      </w:pPr>
      <w:r w:rsidRPr="004F3B77">
        <w:rPr>
          <w:rFonts w:ascii="Times New Roman" w:hAnsi="Times New Roman" w:cs="Times New Roman"/>
          <w:i/>
          <w:iCs/>
        </w:rPr>
        <w:t>Hannah Bunting</w:t>
      </w:r>
      <w:r w:rsidR="002546E9" w:rsidRPr="004F3B77">
        <w:rPr>
          <w:rFonts w:ascii="Times New Roman" w:hAnsi="Times New Roman" w:cs="Times New Roman"/>
          <w:i/>
          <w:iCs/>
        </w:rPr>
        <w:t xml:space="preserve"> </w:t>
      </w:r>
      <w:r w:rsidR="002546E9" w:rsidRPr="004F3B77">
        <w:rPr>
          <w:rFonts w:ascii="Times New Roman" w:hAnsi="Times New Roman" w:cs="Times New Roman"/>
        </w:rPr>
        <w:t>is a Lecturer in Quantitative British Politics at the University of Exeter</w:t>
      </w:r>
    </w:p>
    <w:p w14:paraId="72FBBD30" w14:textId="72408E01" w:rsidR="00FF739C" w:rsidRPr="004F3B77" w:rsidRDefault="00FF739C" w:rsidP="000431CB">
      <w:pPr>
        <w:rPr>
          <w:rFonts w:ascii="Times New Roman" w:hAnsi="Times New Roman" w:cs="Times New Roman"/>
        </w:rPr>
      </w:pPr>
      <w:r w:rsidRPr="004F3B77">
        <w:rPr>
          <w:rFonts w:ascii="Times New Roman" w:hAnsi="Times New Roman" w:cs="Times New Roman"/>
          <w:i/>
          <w:iCs/>
        </w:rPr>
        <w:t>Lawrence McKay</w:t>
      </w:r>
      <w:r w:rsidR="002546E9" w:rsidRPr="004F3B77">
        <w:rPr>
          <w:rFonts w:ascii="Times New Roman" w:hAnsi="Times New Roman" w:cs="Times New Roman"/>
          <w:i/>
          <w:iCs/>
        </w:rPr>
        <w:t xml:space="preserve"> </w:t>
      </w:r>
      <w:r w:rsidR="002546E9" w:rsidRPr="004F3B77">
        <w:rPr>
          <w:rFonts w:ascii="Times New Roman" w:hAnsi="Times New Roman" w:cs="Times New Roman"/>
        </w:rPr>
        <w:t>is a British Academy Postdoctoral Research Fellow at the University of Southampton</w:t>
      </w:r>
    </w:p>
    <w:p w14:paraId="3FB4FEDA" w14:textId="1DA1C2CB" w:rsidR="00817317" w:rsidRPr="004F3B77" w:rsidRDefault="00817317" w:rsidP="000431CB">
      <w:pPr>
        <w:rPr>
          <w:rFonts w:ascii="Times New Roman" w:hAnsi="Times New Roman" w:cs="Times New Roman"/>
          <w:b/>
          <w:bCs/>
        </w:rPr>
      </w:pPr>
    </w:p>
    <w:p w14:paraId="61BAB82A" w14:textId="0AEDEFA5" w:rsidR="00817317" w:rsidRPr="004F3B77" w:rsidRDefault="00817317" w:rsidP="000431CB">
      <w:pPr>
        <w:rPr>
          <w:rFonts w:ascii="Times New Roman" w:hAnsi="Times New Roman" w:cs="Times New Roman"/>
          <w:b/>
          <w:bCs/>
        </w:rPr>
      </w:pPr>
      <w:r w:rsidRPr="004F3B77">
        <w:rPr>
          <w:rFonts w:ascii="Times New Roman" w:hAnsi="Times New Roman" w:cs="Times New Roman"/>
          <w:b/>
          <w:bCs/>
        </w:rPr>
        <w:t>Funding</w:t>
      </w:r>
    </w:p>
    <w:p w14:paraId="650F3B9F" w14:textId="41052972" w:rsidR="00FF739C" w:rsidRPr="004F3B77" w:rsidRDefault="00FF739C" w:rsidP="000431CB">
      <w:pPr>
        <w:rPr>
          <w:rFonts w:ascii="Times New Roman" w:hAnsi="Times New Roman" w:cs="Times New Roman"/>
          <w:b/>
          <w:bCs/>
        </w:rPr>
      </w:pPr>
    </w:p>
    <w:p w14:paraId="7E13D466" w14:textId="3829E72D" w:rsidR="006D7E1D" w:rsidRPr="004F3B77" w:rsidRDefault="006D7E1D" w:rsidP="000431CB">
      <w:pPr>
        <w:rPr>
          <w:rFonts w:ascii="Times New Roman" w:hAnsi="Times New Roman" w:cs="Times New Roman"/>
        </w:rPr>
      </w:pPr>
      <w:r w:rsidRPr="004F3B77">
        <w:rPr>
          <w:rFonts w:ascii="Times New Roman" w:hAnsi="Times New Roman" w:cs="Times New Roman"/>
        </w:rPr>
        <w:t>This work was partially supported by the UK Economic and Social Research Council under Grant number ES/S009809/1 (</w:t>
      </w:r>
      <w:proofErr w:type="spellStart"/>
      <w:r w:rsidRPr="004F3B77">
        <w:rPr>
          <w:rFonts w:ascii="Times New Roman" w:hAnsi="Times New Roman" w:cs="Times New Roman"/>
        </w:rPr>
        <w:t>TrustGov</w:t>
      </w:r>
      <w:proofErr w:type="spellEnd"/>
      <w:r w:rsidRPr="004F3B77">
        <w:rPr>
          <w:rFonts w:ascii="Times New Roman" w:hAnsi="Times New Roman" w:cs="Times New Roman"/>
        </w:rPr>
        <w:t xml:space="preserve"> project, University of Southampton)</w:t>
      </w:r>
    </w:p>
    <w:p w14:paraId="0D098C0B" w14:textId="424E2729" w:rsidR="00817317" w:rsidRPr="004F3B77" w:rsidRDefault="00817317" w:rsidP="000431CB">
      <w:pPr>
        <w:rPr>
          <w:rFonts w:ascii="Times New Roman" w:hAnsi="Times New Roman" w:cs="Times New Roman"/>
        </w:rPr>
      </w:pPr>
    </w:p>
    <w:p w14:paraId="4B412D54" w14:textId="12B70CDB" w:rsidR="00817317" w:rsidRPr="004F3B77" w:rsidRDefault="00817317" w:rsidP="000431CB">
      <w:pPr>
        <w:rPr>
          <w:rFonts w:ascii="Times New Roman" w:hAnsi="Times New Roman" w:cs="Times New Roman"/>
          <w:b/>
          <w:bCs/>
        </w:rPr>
      </w:pPr>
      <w:r w:rsidRPr="004F3B77">
        <w:rPr>
          <w:rFonts w:ascii="Times New Roman" w:hAnsi="Times New Roman" w:cs="Times New Roman"/>
          <w:b/>
          <w:bCs/>
        </w:rPr>
        <w:t>ORCID</w:t>
      </w:r>
    </w:p>
    <w:p w14:paraId="1374DA5F" w14:textId="04EA2A75" w:rsidR="00FF739C" w:rsidRPr="004F3B77" w:rsidRDefault="00FF739C" w:rsidP="000431CB">
      <w:pPr>
        <w:rPr>
          <w:rFonts w:ascii="Times New Roman" w:hAnsi="Times New Roman" w:cs="Times New Roman"/>
          <w:b/>
          <w:bCs/>
        </w:rPr>
      </w:pPr>
    </w:p>
    <w:p w14:paraId="0698C32B" w14:textId="12CBAF3F" w:rsidR="00FF739C" w:rsidRPr="004F3B77" w:rsidRDefault="00FF739C" w:rsidP="000431CB">
      <w:pPr>
        <w:rPr>
          <w:rFonts w:ascii="Times New Roman" w:hAnsi="Times New Roman" w:cs="Times New Roman"/>
        </w:rPr>
      </w:pPr>
      <w:r w:rsidRPr="004F3B77">
        <w:rPr>
          <w:rFonts w:ascii="Times New Roman" w:hAnsi="Times New Roman" w:cs="Times New Roman"/>
        </w:rPr>
        <w:t>Daniel Devine</w:t>
      </w:r>
      <w:r w:rsidR="00727BF1" w:rsidRPr="004F3B77">
        <w:rPr>
          <w:rFonts w:ascii="Times New Roman" w:hAnsi="Times New Roman" w:cs="Times New Roman"/>
        </w:rPr>
        <w:t>: 0000-0002-0335-1776</w:t>
      </w:r>
    </w:p>
    <w:p w14:paraId="2D83F475" w14:textId="45EF112F" w:rsidR="00FF739C" w:rsidRPr="004F3B77" w:rsidRDefault="00FF739C" w:rsidP="000431CB">
      <w:pPr>
        <w:rPr>
          <w:rFonts w:ascii="Times New Roman" w:hAnsi="Times New Roman" w:cs="Times New Roman"/>
        </w:rPr>
      </w:pPr>
      <w:r w:rsidRPr="004F3B77">
        <w:rPr>
          <w:rFonts w:ascii="Times New Roman" w:hAnsi="Times New Roman" w:cs="Times New Roman"/>
        </w:rPr>
        <w:t xml:space="preserve">Viktor </w:t>
      </w:r>
      <w:proofErr w:type="spellStart"/>
      <w:r w:rsidRPr="004F3B77">
        <w:rPr>
          <w:rFonts w:ascii="Times New Roman" w:hAnsi="Times New Roman" w:cs="Times New Roman"/>
        </w:rPr>
        <w:t>Valgarðsson</w:t>
      </w:r>
      <w:proofErr w:type="spellEnd"/>
      <w:r w:rsidR="00B1720E" w:rsidRPr="004F3B77">
        <w:rPr>
          <w:rFonts w:ascii="Times New Roman" w:hAnsi="Times New Roman" w:cs="Times New Roman"/>
        </w:rPr>
        <w:t>: 0000-0003-2891-7489</w:t>
      </w:r>
    </w:p>
    <w:p w14:paraId="3A45E9F2" w14:textId="4CCAD92B" w:rsidR="00FF739C" w:rsidRPr="004F3B77" w:rsidRDefault="00FF739C" w:rsidP="000431CB">
      <w:pPr>
        <w:rPr>
          <w:rFonts w:ascii="Times New Roman" w:hAnsi="Times New Roman" w:cs="Times New Roman"/>
        </w:rPr>
      </w:pPr>
      <w:r w:rsidRPr="004F3B77">
        <w:rPr>
          <w:rFonts w:ascii="Times New Roman" w:hAnsi="Times New Roman" w:cs="Times New Roman"/>
        </w:rPr>
        <w:t>Jessica Smith</w:t>
      </w:r>
      <w:r w:rsidR="00727BF1" w:rsidRPr="004F3B77">
        <w:rPr>
          <w:rFonts w:ascii="Times New Roman" w:hAnsi="Times New Roman" w:cs="Times New Roman"/>
        </w:rPr>
        <w:t>: 0000-0002-4909-8884</w:t>
      </w:r>
    </w:p>
    <w:p w14:paraId="272CC0A8" w14:textId="6E95A4A6" w:rsidR="00FF739C" w:rsidRPr="004F3B77" w:rsidRDefault="00FF739C" w:rsidP="000431CB">
      <w:pPr>
        <w:rPr>
          <w:rFonts w:ascii="Times New Roman" w:hAnsi="Times New Roman" w:cs="Times New Roman"/>
        </w:rPr>
      </w:pPr>
      <w:r w:rsidRPr="004F3B77">
        <w:rPr>
          <w:rFonts w:ascii="Times New Roman" w:hAnsi="Times New Roman" w:cs="Times New Roman"/>
        </w:rPr>
        <w:t>Will Jennings</w:t>
      </w:r>
      <w:r w:rsidR="00B1720E" w:rsidRPr="004F3B77">
        <w:rPr>
          <w:rFonts w:ascii="Times New Roman" w:hAnsi="Times New Roman" w:cs="Times New Roman"/>
        </w:rPr>
        <w:t>: 0000-0001-9007-8896</w:t>
      </w:r>
    </w:p>
    <w:p w14:paraId="7AE7BB67" w14:textId="5A2B59B4" w:rsidR="00FF739C" w:rsidRPr="004F3B77" w:rsidRDefault="00FF739C" w:rsidP="000431CB">
      <w:pPr>
        <w:rPr>
          <w:rFonts w:ascii="Times New Roman" w:hAnsi="Times New Roman" w:cs="Times New Roman"/>
        </w:rPr>
      </w:pPr>
      <w:r w:rsidRPr="004F3B77">
        <w:rPr>
          <w:rFonts w:ascii="Times New Roman" w:hAnsi="Times New Roman" w:cs="Times New Roman"/>
        </w:rPr>
        <w:t xml:space="preserve">Michele Scotto di </w:t>
      </w:r>
      <w:proofErr w:type="spellStart"/>
      <w:r w:rsidRPr="004F3B77">
        <w:rPr>
          <w:rFonts w:ascii="Times New Roman" w:hAnsi="Times New Roman" w:cs="Times New Roman"/>
        </w:rPr>
        <w:t>Vettimo</w:t>
      </w:r>
      <w:proofErr w:type="spellEnd"/>
      <w:r w:rsidR="00B1720E" w:rsidRPr="004F3B77">
        <w:rPr>
          <w:rFonts w:ascii="Times New Roman" w:hAnsi="Times New Roman" w:cs="Times New Roman"/>
        </w:rPr>
        <w:t>: 0000-0002-7627-3975</w:t>
      </w:r>
    </w:p>
    <w:p w14:paraId="270D5E79" w14:textId="6EF301F9" w:rsidR="00FF739C" w:rsidRPr="004F3B77" w:rsidRDefault="00FF739C" w:rsidP="000431CB">
      <w:pPr>
        <w:rPr>
          <w:rFonts w:ascii="Times New Roman" w:hAnsi="Times New Roman" w:cs="Times New Roman"/>
        </w:rPr>
      </w:pPr>
      <w:r w:rsidRPr="004F3B77">
        <w:rPr>
          <w:rFonts w:ascii="Times New Roman" w:hAnsi="Times New Roman" w:cs="Times New Roman"/>
        </w:rPr>
        <w:t>Hannah Bunting</w:t>
      </w:r>
      <w:r w:rsidR="00B1720E" w:rsidRPr="004F3B77">
        <w:rPr>
          <w:rFonts w:ascii="Times New Roman" w:hAnsi="Times New Roman" w:cs="Times New Roman"/>
        </w:rPr>
        <w:t>: 0000-0002-9701-3064</w:t>
      </w:r>
    </w:p>
    <w:p w14:paraId="266B89F8" w14:textId="4FFE867C" w:rsidR="001D5C2B" w:rsidRPr="004F3B77" w:rsidRDefault="00FF739C" w:rsidP="000431CB">
      <w:pPr>
        <w:rPr>
          <w:rFonts w:ascii="Times New Roman" w:hAnsi="Times New Roman" w:cs="Times New Roman"/>
          <w:b/>
          <w:bCs/>
        </w:rPr>
      </w:pPr>
      <w:r w:rsidRPr="004F3B77">
        <w:rPr>
          <w:rFonts w:ascii="Times New Roman" w:hAnsi="Times New Roman" w:cs="Times New Roman"/>
        </w:rPr>
        <w:t>Lawrence McKay</w:t>
      </w:r>
      <w:r w:rsidR="00727BF1" w:rsidRPr="004F3B77">
        <w:rPr>
          <w:rFonts w:ascii="Times New Roman" w:hAnsi="Times New Roman" w:cs="Times New Roman"/>
        </w:rPr>
        <w:t>: 0000-0002-2071-3943</w:t>
      </w:r>
    </w:p>
    <w:p w14:paraId="56F8A678" w14:textId="77777777" w:rsidR="00FF739C" w:rsidRPr="004F3B77" w:rsidRDefault="00FF739C" w:rsidP="000431CB">
      <w:pPr>
        <w:rPr>
          <w:rFonts w:ascii="Times New Roman" w:hAnsi="Times New Roman" w:cs="Times New Roman"/>
          <w:b/>
          <w:bCs/>
        </w:rPr>
      </w:pPr>
    </w:p>
    <w:p w14:paraId="0462A6DF" w14:textId="7DDA70A2" w:rsidR="001D5C2B" w:rsidRPr="004F3B77" w:rsidRDefault="001D5C2B">
      <w:pPr>
        <w:rPr>
          <w:rFonts w:ascii="Times New Roman" w:hAnsi="Times New Roman" w:cs="Times New Roman"/>
        </w:rPr>
      </w:pPr>
      <w:r w:rsidRPr="004F3B77">
        <w:rPr>
          <w:rFonts w:ascii="Times New Roman" w:hAnsi="Times New Roman" w:cs="Times New Roman"/>
        </w:rPr>
        <w:br w:type="page"/>
      </w:r>
      <w:r w:rsidRPr="004F3B77">
        <w:rPr>
          <w:rFonts w:ascii="Times New Roman" w:hAnsi="Times New Roman" w:cs="Times New Roman"/>
        </w:rPr>
        <w:lastRenderedPageBreak/>
        <w:br w:type="page"/>
      </w:r>
    </w:p>
    <w:p w14:paraId="71937D62" w14:textId="77777777" w:rsidR="00817317" w:rsidRPr="004F3B77" w:rsidRDefault="00817317">
      <w:pPr>
        <w:pBdr>
          <w:bottom w:val="single" w:sz="6" w:space="1" w:color="auto"/>
        </w:pBdr>
        <w:rPr>
          <w:rFonts w:ascii="Times New Roman" w:hAnsi="Times New Roman" w:cs="Times New Roman"/>
        </w:rPr>
        <w:sectPr w:rsidR="00817317" w:rsidRPr="004F3B77" w:rsidSect="00CF7667">
          <w:pgSz w:w="11906" w:h="16838"/>
          <w:pgMar w:top="1440" w:right="1440" w:bottom="1440" w:left="1440" w:header="709" w:footer="709" w:gutter="0"/>
          <w:cols w:space="708"/>
          <w:docGrid w:linePitch="360"/>
        </w:sectPr>
      </w:pPr>
    </w:p>
    <w:p w14:paraId="69FD3197" w14:textId="5A5929DC" w:rsidR="0025269D" w:rsidRPr="004F3B77" w:rsidRDefault="0025269D" w:rsidP="00252DC9">
      <w:pPr>
        <w:rPr>
          <w:rFonts w:ascii="Times New Roman" w:hAnsi="Times New Roman" w:cs="Times New Roman"/>
          <w:b/>
          <w:bCs/>
        </w:rPr>
      </w:pPr>
      <w:r w:rsidRPr="004F3B77">
        <w:rPr>
          <w:rFonts w:ascii="Times New Roman" w:hAnsi="Times New Roman" w:cs="Times New Roman"/>
          <w:b/>
          <w:bCs/>
          <w:u w:val="single"/>
        </w:rPr>
        <w:lastRenderedPageBreak/>
        <w:t>References</w:t>
      </w:r>
    </w:p>
    <w:p w14:paraId="0628980A" w14:textId="77777777" w:rsidR="00964E63" w:rsidRPr="004F3B77" w:rsidRDefault="00964E63">
      <w:pPr>
        <w:rPr>
          <w:rFonts w:ascii="Times New Roman" w:hAnsi="Times New Roman" w:cs="Times New Roman"/>
        </w:rPr>
      </w:pPr>
    </w:p>
    <w:p w14:paraId="794A1370" w14:textId="77777777" w:rsidR="00505F8A" w:rsidRPr="004F3B77" w:rsidRDefault="00964E63" w:rsidP="00505F8A">
      <w:pPr>
        <w:pStyle w:val="Bibliography"/>
        <w:rPr>
          <w:rFonts w:ascii="Times New Roman" w:hAnsi="Times New Roman" w:cs="Times New Roman"/>
        </w:rPr>
      </w:pPr>
      <w:r w:rsidRPr="004F3B77">
        <w:rPr>
          <w:rFonts w:ascii="Times New Roman" w:hAnsi="Times New Roman" w:cs="Times New Roman"/>
        </w:rPr>
        <w:fldChar w:fldCharType="begin"/>
      </w:r>
      <w:r w:rsidR="00505F8A" w:rsidRPr="004F3B77">
        <w:rPr>
          <w:rFonts w:ascii="Times New Roman" w:hAnsi="Times New Roman" w:cs="Times New Roman"/>
        </w:rPr>
        <w:instrText xml:space="preserve"> ADDIN ZOTERO_BIBL {"uncited":[],"omitted":[],"custom":[]} CSL_BIBLIOGRAPHY </w:instrText>
      </w:r>
      <w:r w:rsidRPr="004F3B77">
        <w:rPr>
          <w:rFonts w:ascii="Times New Roman" w:hAnsi="Times New Roman" w:cs="Times New Roman"/>
        </w:rPr>
        <w:fldChar w:fldCharType="separate"/>
      </w:r>
      <w:r w:rsidR="00505F8A" w:rsidRPr="004F3B77">
        <w:rPr>
          <w:rFonts w:ascii="Times New Roman" w:hAnsi="Times New Roman" w:cs="Times New Roman"/>
        </w:rPr>
        <w:t xml:space="preserve">Aloe, A. M. (2014). An Empirical Investigation of Partial Effect Sizes in Meta-Analysis of Correlational Data. </w:t>
      </w:r>
      <w:r w:rsidR="00505F8A" w:rsidRPr="004F3B77">
        <w:rPr>
          <w:rFonts w:ascii="Times New Roman" w:hAnsi="Times New Roman" w:cs="Times New Roman"/>
          <w:i/>
          <w:iCs/>
        </w:rPr>
        <w:t>The Journal of General Psychology</w:t>
      </w:r>
      <w:r w:rsidR="00505F8A" w:rsidRPr="004F3B77">
        <w:rPr>
          <w:rFonts w:ascii="Times New Roman" w:hAnsi="Times New Roman" w:cs="Times New Roman"/>
        </w:rPr>
        <w:t xml:space="preserve">, </w:t>
      </w:r>
      <w:r w:rsidR="00505F8A" w:rsidRPr="004F3B77">
        <w:rPr>
          <w:rFonts w:ascii="Times New Roman" w:hAnsi="Times New Roman" w:cs="Times New Roman"/>
          <w:i/>
          <w:iCs/>
        </w:rPr>
        <w:t>141</w:t>
      </w:r>
      <w:r w:rsidR="00505F8A" w:rsidRPr="004F3B77">
        <w:rPr>
          <w:rFonts w:ascii="Times New Roman" w:hAnsi="Times New Roman" w:cs="Times New Roman"/>
        </w:rPr>
        <w:t>(1), 47–64. https://doi.org/10.1080/00221309.2013.853021</w:t>
      </w:r>
    </w:p>
    <w:p w14:paraId="29D8A9AC"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Bernardi, L., &amp; Gotlib, I. H. (2023). COVID-19 stressors, mental/emotional distress and political support. </w:t>
      </w:r>
      <w:r w:rsidRPr="004F3B77">
        <w:rPr>
          <w:rFonts w:ascii="Times New Roman" w:hAnsi="Times New Roman" w:cs="Times New Roman"/>
          <w:i/>
          <w:iCs/>
        </w:rPr>
        <w:t>West European Politics</w:t>
      </w:r>
      <w:r w:rsidRPr="004F3B77">
        <w:rPr>
          <w:rFonts w:ascii="Times New Roman" w:hAnsi="Times New Roman" w:cs="Times New Roman"/>
        </w:rPr>
        <w:t xml:space="preserve">, </w:t>
      </w:r>
      <w:r w:rsidRPr="004F3B77">
        <w:rPr>
          <w:rFonts w:ascii="Times New Roman" w:hAnsi="Times New Roman" w:cs="Times New Roman"/>
          <w:i/>
          <w:iCs/>
        </w:rPr>
        <w:t>46</w:t>
      </w:r>
      <w:r w:rsidRPr="004F3B77">
        <w:rPr>
          <w:rFonts w:ascii="Times New Roman" w:hAnsi="Times New Roman" w:cs="Times New Roman"/>
        </w:rPr>
        <w:t>(2), 425–436. https://doi.org/10.1080/01402382.2022.2055372</w:t>
      </w:r>
    </w:p>
    <w:p w14:paraId="77F1FA3B"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Blair, G., Christensen, D., &amp; Rudkin, A. (2021). Do Commodity Price Shocks Cause Armed Conflict? A Meta-Analysis of Natural Experiments. </w:t>
      </w:r>
      <w:r w:rsidRPr="004F3B77">
        <w:rPr>
          <w:rFonts w:ascii="Times New Roman" w:hAnsi="Times New Roman" w:cs="Times New Roman"/>
          <w:i/>
          <w:iCs/>
        </w:rPr>
        <w:t>American Political Science Review</w:t>
      </w:r>
      <w:r w:rsidRPr="004F3B77">
        <w:rPr>
          <w:rFonts w:ascii="Times New Roman" w:hAnsi="Times New Roman" w:cs="Times New Roman"/>
        </w:rPr>
        <w:t xml:space="preserve">, </w:t>
      </w:r>
      <w:r w:rsidRPr="004F3B77">
        <w:rPr>
          <w:rFonts w:ascii="Times New Roman" w:hAnsi="Times New Roman" w:cs="Times New Roman"/>
          <w:i/>
          <w:iCs/>
        </w:rPr>
        <w:t>115</w:t>
      </w:r>
      <w:r w:rsidRPr="004F3B77">
        <w:rPr>
          <w:rFonts w:ascii="Times New Roman" w:hAnsi="Times New Roman" w:cs="Times New Roman"/>
        </w:rPr>
        <w:t>(2), 709–716. https://doi.org/10.1017/S0003055420000957</w:t>
      </w:r>
    </w:p>
    <w:p w14:paraId="1919A5F8"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Bol, D., Giani, M., Blais, A., &amp; Loewen, P. J. (2021). The effect of COVID‐19 lockdowns on political support: Some good news for democracy? </w:t>
      </w:r>
      <w:r w:rsidRPr="004F3B77">
        <w:rPr>
          <w:rFonts w:ascii="Times New Roman" w:hAnsi="Times New Roman" w:cs="Times New Roman"/>
          <w:i/>
          <w:iCs/>
        </w:rPr>
        <w:t>European Journal of Political Research</w:t>
      </w:r>
      <w:r w:rsidRPr="004F3B77">
        <w:rPr>
          <w:rFonts w:ascii="Times New Roman" w:hAnsi="Times New Roman" w:cs="Times New Roman"/>
        </w:rPr>
        <w:t xml:space="preserve">, </w:t>
      </w:r>
      <w:r w:rsidRPr="004F3B77">
        <w:rPr>
          <w:rFonts w:ascii="Times New Roman" w:hAnsi="Times New Roman" w:cs="Times New Roman"/>
          <w:i/>
          <w:iCs/>
        </w:rPr>
        <w:t>60</w:t>
      </w:r>
      <w:r w:rsidRPr="004F3B77">
        <w:rPr>
          <w:rFonts w:ascii="Times New Roman" w:hAnsi="Times New Roman" w:cs="Times New Roman"/>
        </w:rPr>
        <w:t>(2), 497–505. https://doi.org/10.1111/1475-6765.12401</w:t>
      </w:r>
    </w:p>
    <w:p w14:paraId="0800CA61"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Bollyky, T. J., Dieleman, J. L., &amp; Hulland, E. N. (2022). Covid Is Less Deadly Where There Is Trust. </w:t>
      </w:r>
      <w:r w:rsidRPr="004F3B77">
        <w:rPr>
          <w:rFonts w:ascii="Times New Roman" w:hAnsi="Times New Roman" w:cs="Times New Roman"/>
          <w:i/>
          <w:iCs/>
        </w:rPr>
        <w:t>Wall Street Journal</w:t>
      </w:r>
      <w:r w:rsidRPr="004F3B77">
        <w:rPr>
          <w:rFonts w:ascii="Times New Roman" w:hAnsi="Times New Roman" w:cs="Times New Roman"/>
        </w:rPr>
        <w:t>. https://www.wsj.com/articles/covid-is-less-deadly-where-there-is-trust-11643906663</w:t>
      </w:r>
    </w:p>
    <w:p w14:paraId="21608FF5"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Bollyky, T. J., Hulland, E. N., Barber, R. M., Collins, J. K., Kiernan, S., Moses, M., Pigott, D. M., Reiner Jr, R. C., Sorensen, R. J. D., Abbafati, C., Adolph, C., Allorant, A., Amlag, J. O., Aravkin, A. Y., Bang-Jensen, B., Carter, A., Castellano, R., Castro, E., Chakrabarti, S., … Dieleman, J. L. (2022). Pandemic preparedness and COVID-19: An exploratory analysis of infection and fatality rates, and contextual factors associated with preparedness in 177 countries, from Jan 1, 2020, to Sept 30, 2021. </w:t>
      </w:r>
      <w:r w:rsidRPr="004F3B77">
        <w:rPr>
          <w:rFonts w:ascii="Times New Roman" w:hAnsi="Times New Roman" w:cs="Times New Roman"/>
          <w:i/>
          <w:iCs/>
        </w:rPr>
        <w:t>The Lancet</w:t>
      </w:r>
      <w:r w:rsidRPr="004F3B77">
        <w:rPr>
          <w:rFonts w:ascii="Times New Roman" w:hAnsi="Times New Roman" w:cs="Times New Roman"/>
        </w:rPr>
        <w:t xml:space="preserve">, </w:t>
      </w:r>
      <w:r w:rsidRPr="004F3B77">
        <w:rPr>
          <w:rFonts w:ascii="Times New Roman" w:hAnsi="Times New Roman" w:cs="Times New Roman"/>
          <w:i/>
          <w:iCs/>
        </w:rPr>
        <w:t>399</w:t>
      </w:r>
      <w:r w:rsidRPr="004F3B77">
        <w:rPr>
          <w:rFonts w:ascii="Times New Roman" w:hAnsi="Times New Roman" w:cs="Times New Roman"/>
        </w:rPr>
        <w:t>(10334), 1489–1512. https://doi.org/10.1016/S0140-6736(22)00172-6</w:t>
      </w:r>
    </w:p>
    <w:p w14:paraId="107F5DA2"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Bouckaert, G. (2012). Trust and public administration. </w:t>
      </w:r>
      <w:r w:rsidRPr="004F3B77">
        <w:rPr>
          <w:rFonts w:ascii="Times New Roman" w:hAnsi="Times New Roman" w:cs="Times New Roman"/>
          <w:i/>
          <w:iCs/>
        </w:rPr>
        <w:t>Administration</w:t>
      </w:r>
      <w:r w:rsidRPr="004F3B77">
        <w:rPr>
          <w:rFonts w:ascii="Times New Roman" w:hAnsi="Times New Roman" w:cs="Times New Roman"/>
        </w:rPr>
        <w:t xml:space="preserve">, </w:t>
      </w:r>
      <w:r w:rsidRPr="004F3B77">
        <w:rPr>
          <w:rFonts w:ascii="Times New Roman" w:hAnsi="Times New Roman" w:cs="Times New Roman"/>
          <w:i/>
          <w:iCs/>
        </w:rPr>
        <w:t>60</w:t>
      </w:r>
      <w:r w:rsidRPr="004F3B77">
        <w:rPr>
          <w:rFonts w:ascii="Times New Roman" w:hAnsi="Times New Roman" w:cs="Times New Roman"/>
        </w:rPr>
        <w:t>(1), 91–115.</w:t>
      </w:r>
    </w:p>
    <w:p w14:paraId="0137C91A"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lastRenderedPageBreak/>
        <w:t xml:space="preserve">Breznau, N., Rinke, E. M., Wuttke, A., Nguyen, H. H. V., Adem, M., Adriaans, J., Alvarez-Benjumea, A., Andersen, H. K., Azevedo, F., Bahnsen, O., Balzer, D., Bauer, G., Bauer, P. C., Baumann, M., Baute, S., Benoit, V., Bernauer, J., Berning, C., Bethke, F. S., … Żółtak, T. (2022). Observing Many Researchers Using the Same Data and Hypothesis Reveals a Hidden Universe of Uncertainty. </w:t>
      </w:r>
      <w:r w:rsidRPr="004F3B77">
        <w:rPr>
          <w:rFonts w:ascii="Times New Roman" w:hAnsi="Times New Roman" w:cs="Times New Roman"/>
          <w:i/>
          <w:iCs/>
        </w:rPr>
        <w:t>Proceedings of the National Academy of Sciences</w:t>
      </w:r>
      <w:r w:rsidRPr="004F3B77">
        <w:rPr>
          <w:rFonts w:ascii="Times New Roman" w:hAnsi="Times New Roman" w:cs="Times New Roman"/>
        </w:rPr>
        <w:t xml:space="preserve">, </w:t>
      </w:r>
      <w:r w:rsidRPr="004F3B77">
        <w:rPr>
          <w:rFonts w:ascii="Times New Roman" w:hAnsi="Times New Roman" w:cs="Times New Roman"/>
          <w:i/>
          <w:iCs/>
        </w:rPr>
        <w:t>119</w:t>
      </w:r>
      <w:r w:rsidRPr="004F3B77">
        <w:rPr>
          <w:rFonts w:ascii="Times New Roman" w:hAnsi="Times New Roman" w:cs="Times New Roman"/>
        </w:rPr>
        <w:t>(44), 1–8. https://doi.org/10.31222/osf.io/cd5j9</w:t>
      </w:r>
    </w:p>
    <w:p w14:paraId="542A953A"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Brezzi, M., Gonzalez, S., Nguyen, D., &amp; Prats, M. (2021). An updated OECD framework on drivers of trust in public institutions to meet current and future challenges. </w:t>
      </w:r>
      <w:r w:rsidRPr="004F3B77">
        <w:rPr>
          <w:rFonts w:ascii="Times New Roman" w:hAnsi="Times New Roman" w:cs="Times New Roman"/>
          <w:i/>
          <w:iCs/>
        </w:rPr>
        <w:t>OECD Working Papers on Public Governance</w:t>
      </w:r>
      <w:r w:rsidRPr="004F3B77">
        <w:rPr>
          <w:rFonts w:ascii="Times New Roman" w:hAnsi="Times New Roman" w:cs="Times New Roman"/>
        </w:rPr>
        <w:t xml:space="preserve">, </w:t>
      </w:r>
      <w:r w:rsidRPr="004F3B77">
        <w:rPr>
          <w:rFonts w:ascii="Times New Roman" w:hAnsi="Times New Roman" w:cs="Times New Roman"/>
          <w:i/>
          <w:iCs/>
        </w:rPr>
        <w:t>48</w:t>
      </w:r>
      <w:r w:rsidRPr="004F3B77">
        <w:rPr>
          <w:rFonts w:ascii="Times New Roman" w:hAnsi="Times New Roman" w:cs="Times New Roman"/>
        </w:rPr>
        <w:t>.</w:t>
      </w:r>
    </w:p>
    <w:p w14:paraId="00ABC76A"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Citkowicz, M., &amp; Vevea, J. L. (2017). A parsimonious weight function for modeling publication bias. </w:t>
      </w:r>
      <w:r w:rsidRPr="004F3B77">
        <w:rPr>
          <w:rFonts w:ascii="Times New Roman" w:hAnsi="Times New Roman" w:cs="Times New Roman"/>
          <w:i/>
          <w:iCs/>
        </w:rPr>
        <w:t>Psychological Methods</w:t>
      </w:r>
      <w:r w:rsidRPr="004F3B77">
        <w:rPr>
          <w:rFonts w:ascii="Times New Roman" w:hAnsi="Times New Roman" w:cs="Times New Roman"/>
        </w:rPr>
        <w:t xml:space="preserve">, </w:t>
      </w:r>
      <w:r w:rsidRPr="004F3B77">
        <w:rPr>
          <w:rFonts w:ascii="Times New Roman" w:hAnsi="Times New Roman" w:cs="Times New Roman"/>
          <w:i/>
          <w:iCs/>
        </w:rPr>
        <w:t>22</w:t>
      </w:r>
      <w:r w:rsidRPr="004F3B77">
        <w:rPr>
          <w:rFonts w:ascii="Times New Roman" w:hAnsi="Times New Roman" w:cs="Times New Roman"/>
        </w:rPr>
        <w:t>(1), 28–41. https://doi.org/10.1037/met0000119</w:t>
      </w:r>
    </w:p>
    <w:p w14:paraId="590DD751"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Citrin, J., &amp; Stoker, L. (2018). Political Trust in a Cynical Age. </w:t>
      </w:r>
      <w:r w:rsidRPr="004F3B77">
        <w:rPr>
          <w:rFonts w:ascii="Times New Roman" w:hAnsi="Times New Roman" w:cs="Times New Roman"/>
          <w:i/>
          <w:iCs/>
        </w:rPr>
        <w:t>Annual Review of Political Science</w:t>
      </w:r>
      <w:r w:rsidRPr="004F3B77">
        <w:rPr>
          <w:rFonts w:ascii="Times New Roman" w:hAnsi="Times New Roman" w:cs="Times New Roman"/>
        </w:rPr>
        <w:t xml:space="preserve">, </w:t>
      </w:r>
      <w:r w:rsidRPr="004F3B77">
        <w:rPr>
          <w:rFonts w:ascii="Times New Roman" w:hAnsi="Times New Roman" w:cs="Times New Roman"/>
          <w:i/>
          <w:iCs/>
        </w:rPr>
        <w:t>21</w:t>
      </w:r>
      <w:r w:rsidRPr="004F3B77">
        <w:rPr>
          <w:rFonts w:ascii="Times New Roman" w:hAnsi="Times New Roman" w:cs="Times New Roman"/>
        </w:rPr>
        <w:t>(1), 49–70. https://doi.org/10.1146/annurev-polisci-050316-092550</w:t>
      </w:r>
    </w:p>
    <w:p w14:paraId="030A25E8"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Cole, R. L. (1973). Toward as Model of Political Trust: A Causal Analysis. </w:t>
      </w:r>
      <w:r w:rsidRPr="004F3B77">
        <w:rPr>
          <w:rFonts w:ascii="Times New Roman" w:hAnsi="Times New Roman" w:cs="Times New Roman"/>
          <w:i/>
          <w:iCs/>
        </w:rPr>
        <w:t>American Journal of Political Science</w:t>
      </w:r>
      <w:r w:rsidRPr="004F3B77">
        <w:rPr>
          <w:rFonts w:ascii="Times New Roman" w:hAnsi="Times New Roman" w:cs="Times New Roman"/>
        </w:rPr>
        <w:t xml:space="preserve">, </w:t>
      </w:r>
      <w:r w:rsidRPr="004F3B77">
        <w:rPr>
          <w:rFonts w:ascii="Times New Roman" w:hAnsi="Times New Roman" w:cs="Times New Roman"/>
          <w:i/>
          <w:iCs/>
        </w:rPr>
        <w:t>17</w:t>
      </w:r>
      <w:r w:rsidRPr="004F3B77">
        <w:rPr>
          <w:rFonts w:ascii="Times New Roman" w:hAnsi="Times New Roman" w:cs="Times New Roman"/>
        </w:rPr>
        <w:t>(4), 809. https://doi.org/10.2307/2110610</w:t>
      </w:r>
    </w:p>
    <w:p w14:paraId="375CEE4D"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Davies, B., Lalot, F., Peitz, L., Heering, M. S., Ozkececi, H., Babaian, J., Davies Hayon, K., Broadwood, J., &amp; Abrams, D. (2021). Changes in political trust in Britain during the COVID-19 pandemic in 2020: Integrated public opinion evidence and implications. </w:t>
      </w:r>
      <w:r w:rsidRPr="004F3B77">
        <w:rPr>
          <w:rFonts w:ascii="Times New Roman" w:hAnsi="Times New Roman" w:cs="Times New Roman"/>
          <w:i/>
          <w:iCs/>
        </w:rPr>
        <w:t>Humanities &amp; Social Sciences Communications</w:t>
      </w:r>
      <w:r w:rsidRPr="004F3B77">
        <w:rPr>
          <w:rFonts w:ascii="Times New Roman" w:hAnsi="Times New Roman" w:cs="Times New Roman"/>
        </w:rPr>
        <w:t xml:space="preserve">, </w:t>
      </w:r>
      <w:r w:rsidRPr="004F3B77">
        <w:rPr>
          <w:rFonts w:ascii="Times New Roman" w:hAnsi="Times New Roman" w:cs="Times New Roman"/>
          <w:i/>
          <w:iCs/>
        </w:rPr>
        <w:t>8</w:t>
      </w:r>
      <w:r w:rsidRPr="004F3B77">
        <w:rPr>
          <w:rFonts w:ascii="Times New Roman" w:hAnsi="Times New Roman" w:cs="Times New Roman"/>
        </w:rPr>
        <w:t>(1), 166. https://doi.org/10.1057/s41599-021-00850-6</w:t>
      </w:r>
    </w:p>
    <w:p w14:paraId="032EE296"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De Vries, C. E., Bakker, B. N., Hobolt, S., &amp; Arceneaux, K. (2021). Crisis Signaling: How Italy’s Coronavirus Lockdown Affected Incumbent Support in Other European Countries. </w:t>
      </w:r>
      <w:r w:rsidRPr="004F3B77">
        <w:rPr>
          <w:rFonts w:ascii="Times New Roman" w:hAnsi="Times New Roman" w:cs="Times New Roman"/>
          <w:i/>
          <w:iCs/>
        </w:rPr>
        <w:t>Political Science Research and Methods</w:t>
      </w:r>
      <w:r w:rsidRPr="004F3B77">
        <w:rPr>
          <w:rFonts w:ascii="Times New Roman" w:hAnsi="Times New Roman" w:cs="Times New Roman"/>
        </w:rPr>
        <w:t xml:space="preserve">, </w:t>
      </w:r>
      <w:r w:rsidRPr="004F3B77">
        <w:rPr>
          <w:rFonts w:ascii="Times New Roman" w:hAnsi="Times New Roman" w:cs="Times New Roman"/>
          <w:i/>
          <w:iCs/>
        </w:rPr>
        <w:t>9</w:t>
      </w:r>
      <w:r w:rsidRPr="004F3B77">
        <w:rPr>
          <w:rFonts w:ascii="Times New Roman" w:hAnsi="Times New Roman" w:cs="Times New Roman"/>
        </w:rPr>
        <w:t>(3), 451–467. https://doi.org/10.2139/ssrn.3606149</w:t>
      </w:r>
    </w:p>
    <w:p w14:paraId="38B73A1B"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lastRenderedPageBreak/>
        <w:t xml:space="preserve">Devine, D. (2022). Trust Matters: A meta-analysis on the consequences of trust. </w:t>
      </w:r>
      <w:r w:rsidRPr="004F3B77">
        <w:rPr>
          <w:rFonts w:ascii="Times New Roman" w:hAnsi="Times New Roman" w:cs="Times New Roman"/>
          <w:i/>
          <w:iCs/>
        </w:rPr>
        <w:t>OSF Preprints</w:t>
      </w:r>
      <w:r w:rsidRPr="004F3B77">
        <w:rPr>
          <w:rFonts w:ascii="Times New Roman" w:hAnsi="Times New Roman" w:cs="Times New Roman"/>
        </w:rPr>
        <w:t>. https://osf.io/qtdwj</w:t>
      </w:r>
    </w:p>
    <w:p w14:paraId="683CFEB1"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Devine, D., Gaskell, J., Jennings, W., &amp; Stoker, G. (2021). Trust and the Coronavirus Pandemic: What are the Consequences of and for Trust? An Early Review of the Literature. </w:t>
      </w:r>
      <w:r w:rsidRPr="004F3B77">
        <w:rPr>
          <w:rFonts w:ascii="Times New Roman" w:hAnsi="Times New Roman" w:cs="Times New Roman"/>
          <w:i/>
          <w:iCs/>
        </w:rPr>
        <w:t>Political Studies Review</w:t>
      </w:r>
      <w:r w:rsidRPr="004F3B77">
        <w:rPr>
          <w:rFonts w:ascii="Times New Roman" w:hAnsi="Times New Roman" w:cs="Times New Roman"/>
        </w:rPr>
        <w:t xml:space="preserve">, </w:t>
      </w:r>
      <w:r w:rsidRPr="004F3B77">
        <w:rPr>
          <w:rFonts w:ascii="Times New Roman" w:hAnsi="Times New Roman" w:cs="Times New Roman"/>
          <w:i/>
          <w:iCs/>
        </w:rPr>
        <w:t>19</w:t>
      </w:r>
      <w:r w:rsidRPr="004F3B77">
        <w:rPr>
          <w:rFonts w:ascii="Times New Roman" w:hAnsi="Times New Roman" w:cs="Times New Roman"/>
        </w:rPr>
        <w:t>(2), 274–285. https://doi.org/10.1177/1478929920948684</w:t>
      </w:r>
    </w:p>
    <w:p w14:paraId="0703B7D4"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Dinesen, P. T., Schaeffer, M., &amp; Sønderskov, K. M. (2020). Ethnic Diversity and Social Trust: A Narrative and Meta-Analytical Review. </w:t>
      </w:r>
      <w:r w:rsidRPr="004F3B77">
        <w:rPr>
          <w:rFonts w:ascii="Times New Roman" w:hAnsi="Times New Roman" w:cs="Times New Roman"/>
          <w:i/>
          <w:iCs/>
        </w:rPr>
        <w:t>Annual Review of Political Science</w:t>
      </w:r>
      <w:r w:rsidRPr="004F3B77">
        <w:rPr>
          <w:rFonts w:ascii="Times New Roman" w:hAnsi="Times New Roman" w:cs="Times New Roman"/>
        </w:rPr>
        <w:t xml:space="preserve">, </w:t>
      </w:r>
      <w:r w:rsidRPr="004F3B77">
        <w:rPr>
          <w:rFonts w:ascii="Times New Roman" w:hAnsi="Times New Roman" w:cs="Times New Roman"/>
          <w:i/>
          <w:iCs/>
        </w:rPr>
        <w:t>23</w:t>
      </w:r>
      <w:r w:rsidRPr="004F3B77">
        <w:rPr>
          <w:rFonts w:ascii="Times New Roman" w:hAnsi="Times New Roman" w:cs="Times New Roman"/>
        </w:rPr>
        <w:t>(1), 441–465. https://doi.org/10.1146/annurev-polisci-052918-020708</w:t>
      </w:r>
    </w:p>
    <w:p w14:paraId="34AFE63B"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Dryhurst, S., Schneider, C. R., Kerr, J., Freeman, A. L. J., Recchia, G., van der Bles, A. M., Spiegelhalter, D., &amp; van der Linden, S. (2020). Risk perceptions of COVID-19 around the world. </w:t>
      </w:r>
      <w:r w:rsidRPr="004F3B77">
        <w:rPr>
          <w:rFonts w:ascii="Times New Roman" w:hAnsi="Times New Roman" w:cs="Times New Roman"/>
          <w:i/>
          <w:iCs/>
        </w:rPr>
        <w:t>Journal of Risk Research</w:t>
      </w:r>
      <w:r w:rsidRPr="004F3B77">
        <w:rPr>
          <w:rFonts w:ascii="Times New Roman" w:hAnsi="Times New Roman" w:cs="Times New Roman"/>
        </w:rPr>
        <w:t xml:space="preserve">, </w:t>
      </w:r>
      <w:r w:rsidRPr="004F3B77">
        <w:rPr>
          <w:rFonts w:ascii="Times New Roman" w:hAnsi="Times New Roman" w:cs="Times New Roman"/>
          <w:i/>
          <w:iCs/>
        </w:rPr>
        <w:t>23</w:t>
      </w:r>
      <w:r w:rsidRPr="004F3B77">
        <w:rPr>
          <w:rFonts w:ascii="Times New Roman" w:hAnsi="Times New Roman" w:cs="Times New Roman"/>
        </w:rPr>
        <w:t>(7–8), 994–1006. https://doi.org/10.1080/13669877.2020.1758193</w:t>
      </w:r>
    </w:p>
    <w:p w14:paraId="5B203156"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Easton, D. (1975). A Re-Assessment of the Concept of Political Support. </w:t>
      </w:r>
      <w:r w:rsidRPr="004F3B77">
        <w:rPr>
          <w:rFonts w:ascii="Times New Roman" w:hAnsi="Times New Roman" w:cs="Times New Roman"/>
          <w:i/>
          <w:iCs/>
        </w:rPr>
        <w:t>British Journal of Political Science</w:t>
      </w:r>
      <w:r w:rsidRPr="004F3B77">
        <w:rPr>
          <w:rFonts w:ascii="Times New Roman" w:hAnsi="Times New Roman" w:cs="Times New Roman"/>
        </w:rPr>
        <w:t xml:space="preserve">, </w:t>
      </w:r>
      <w:r w:rsidRPr="004F3B77">
        <w:rPr>
          <w:rFonts w:ascii="Times New Roman" w:hAnsi="Times New Roman" w:cs="Times New Roman"/>
          <w:i/>
          <w:iCs/>
        </w:rPr>
        <w:t>5</w:t>
      </w:r>
      <w:r w:rsidRPr="004F3B77">
        <w:rPr>
          <w:rFonts w:ascii="Times New Roman" w:hAnsi="Times New Roman" w:cs="Times New Roman"/>
        </w:rPr>
        <w:t>(4), 435–457.</w:t>
      </w:r>
    </w:p>
    <w:p w14:paraId="7D118A27"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Esaiasson, P., Sohlberg, J., Ghersetti, M., &amp; Johansson, B. (2021). How the coronavirus crisis affects citizen trust in institutions and in unknown others: Evidence from ‘the Swedish experiment’. </w:t>
      </w:r>
      <w:r w:rsidRPr="004F3B77">
        <w:rPr>
          <w:rFonts w:ascii="Times New Roman" w:hAnsi="Times New Roman" w:cs="Times New Roman"/>
          <w:i/>
          <w:iCs/>
        </w:rPr>
        <w:t>European Journal of Political Research</w:t>
      </w:r>
      <w:r w:rsidRPr="004F3B77">
        <w:rPr>
          <w:rFonts w:ascii="Times New Roman" w:hAnsi="Times New Roman" w:cs="Times New Roman"/>
        </w:rPr>
        <w:t xml:space="preserve">, </w:t>
      </w:r>
      <w:r w:rsidRPr="004F3B77">
        <w:rPr>
          <w:rFonts w:ascii="Times New Roman" w:hAnsi="Times New Roman" w:cs="Times New Roman"/>
          <w:i/>
          <w:iCs/>
        </w:rPr>
        <w:t>60</w:t>
      </w:r>
      <w:r w:rsidRPr="004F3B77">
        <w:rPr>
          <w:rFonts w:ascii="Times New Roman" w:hAnsi="Times New Roman" w:cs="Times New Roman"/>
        </w:rPr>
        <w:t>(3), 748–760. https://doi.org/10.1111/1475-6765.12419</w:t>
      </w:r>
    </w:p>
    <w:p w14:paraId="24EDF92C"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Faulkner, P., &amp; Simpson, T. (2017). </w:t>
      </w:r>
      <w:r w:rsidRPr="004F3B77">
        <w:rPr>
          <w:rFonts w:ascii="Times New Roman" w:hAnsi="Times New Roman" w:cs="Times New Roman"/>
          <w:i/>
          <w:iCs/>
        </w:rPr>
        <w:t>The Philosophy of Trust</w:t>
      </w:r>
      <w:r w:rsidRPr="004F3B77">
        <w:rPr>
          <w:rFonts w:ascii="Times New Roman" w:hAnsi="Times New Roman" w:cs="Times New Roman"/>
        </w:rPr>
        <w:t>. Oxford University Press.</w:t>
      </w:r>
    </w:p>
    <w:p w14:paraId="587CE254"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Fisher, J., Van Heerde, J., &amp; Tucker, A. (2010). Does One Trust Judgement Fit All? Linking Theory and Empirics. </w:t>
      </w:r>
      <w:r w:rsidRPr="004F3B77">
        <w:rPr>
          <w:rFonts w:ascii="Times New Roman" w:hAnsi="Times New Roman" w:cs="Times New Roman"/>
          <w:i/>
          <w:iCs/>
        </w:rPr>
        <w:t>British Journal of Politics and International Relations</w:t>
      </w:r>
      <w:r w:rsidRPr="004F3B77">
        <w:rPr>
          <w:rFonts w:ascii="Times New Roman" w:hAnsi="Times New Roman" w:cs="Times New Roman"/>
        </w:rPr>
        <w:t xml:space="preserve">, </w:t>
      </w:r>
      <w:r w:rsidRPr="004F3B77">
        <w:rPr>
          <w:rFonts w:ascii="Times New Roman" w:hAnsi="Times New Roman" w:cs="Times New Roman"/>
          <w:i/>
          <w:iCs/>
        </w:rPr>
        <w:t>12</w:t>
      </w:r>
      <w:r w:rsidRPr="004F3B77">
        <w:rPr>
          <w:rFonts w:ascii="Times New Roman" w:hAnsi="Times New Roman" w:cs="Times New Roman"/>
        </w:rPr>
        <w:t>(2), 161–188.</w:t>
      </w:r>
    </w:p>
    <w:p w14:paraId="4A038615"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Godefroidt, A. (2023). How Terrorism Does (and Does Not) Affect Citizens’ Political Attitudes: A Meta-Analysis. </w:t>
      </w:r>
      <w:r w:rsidRPr="004F3B77">
        <w:rPr>
          <w:rFonts w:ascii="Times New Roman" w:hAnsi="Times New Roman" w:cs="Times New Roman"/>
          <w:i/>
          <w:iCs/>
        </w:rPr>
        <w:t>American Journal of Political Science</w:t>
      </w:r>
      <w:r w:rsidRPr="004F3B77">
        <w:rPr>
          <w:rFonts w:ascii="Times New Roman" w:hAnsi="Times New Roman" w:cs="Times New Roman"/>
        </w:rPr>
        <w:t xml:space="preserve">, </w:t>
      </w:r>
      <w:r w:rsidRPr="004F3B77">
        <w:rPr>
          <w:rFonts w:ascii="Times New Roman" w:hAnsi="Times New Roman" w:cs="Times New Roman"/>
          <w:i/>
          <w:iCs/>
        </w:rPr>
        <w:t>67</w:t>
      </w:r>
      <w:r w:rsidRPr="004F3B77">
        <w:rPr>
          <w:rFonts w:ascii="Times New Roman" w:hAnsi="Times New Roman" w:cs="Times New Roman"/>
        </w:rPr>
        <w:t>(1), 22–38.</w:t>
      </w:r>
    </w:p>
    <w:p w14:paraId="043BBE1B"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lastRenderedPageBreak/>
        <w:t xml:space="preserve">Groeniger, J. O., Noordzij, K., van der Waal, J., &amp; de Koster, W. (2021). Dutch COVID-19 lockdown measures increased trust in government and trust in science: A difference-in-differences analysis. </w:t>
      </w:r>
      <w:r w:rsidRPr="004F3B77">
        <w:rPr>
          <w:rFonts w:ascii="Times New Roman" w:hAnsi="Times New Roman" w:cs="Times New Roman"/>
          <w:i/>
          <w:iCs/>
        </w:rPr>
        <w:t>Social Science &amp; Medicine</w:t>
      </w:r>
      <w:r w:rsidRPr="004F3B77">
        <w:rPr>
          <w:rFonts w:ascii="Times New Roman" w:hAnsi="Times New Roman" w:cs="Times New Roman"/>
        </w:rPr>
        <w:t xml:space="preserve">, </w:t>
      </w:r>
      <w:r w:rsidRPr="004F3B77">
        <w:rPr>
          <w:rFonts w:ascii="Times New Roman" w:hAnsi="Times New Roman" w:cs="Times New Roman"/>
          <w:i/>
          <w:iCs/>
        </w:rPr>
        <w:t>275</w:t>
      </w:r>
      <w:r w:rsidRPr="004F3B77">
        <w:rPr>
          <w:rFonts w:ascii="Times New Roman" w:hAnsi="Times New Roman" w:cs="Times New Roman"/>
        </w:rPr>
        <w:t>, 1–8. https://doi.org/10.1016/j.socscimed.2021.113819</w:t>
      </w:r>
    </w:p>
    <w:p w14:paraId="02F8C98F"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Hardin, R. (2002). </w:t>
      </w:r>
      <w:r w:rsidRPr="004F3B77">
        <w:rPr>
          <w:rFonts w:ascii="Times New Roman" w:hAnsi="Times New Roman" w:cs="Times New Roman"/>
          <w:i/>
          <w:iCs/>
        </w:rPr>
        <w:t>Trust and Trustworthiness</w:t>
      </w:r>
      <w:r w:rsidRPr="004F3B77">
        <w:rPr>
          <w:rFonts w:ascii="Times New Roman" w:hAnsi="Times New Roman" w:cs="Times New Roman"/>
        </w:rPr>
        <w:t>. Russell Sage.</w:t>
      </w:r>
    </w:p>
    <w:p w14:paraId="1D592BD2"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i/>
          <w:iCs/>
        </w:rPr>
        <w:t>HC Deb</w:t>
      </w:r>
      <w:r w:rsidRPr="004F3B77">
        <w:rPr>
          <w:rFonts w:ascii="Times New Roman" w:hAnsi="Times New Roman" w:cs="Times New Roman"/>
        </w:rPr>
        <w:t>. (2022). House of Commons Vol 707. https://hansard.parliament.uk/Commons/2022-01-19/debates/9E134503-624C-465D-870C-DFBCC1A0E4D2/Engagements?highlight=trust%20vaccine#contribution-2186D8CD-FFD7-4244-9E8B-9DA500D34C24</w:t>
      </w:r>
    </w:p>
    <w:p w14:paraId="00F2EBF7"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Hegewald, S., &amp; Schraff, D. (2022). Who rallies around the flag? Evidence from panel data during the Covid-19 pandemic. </w:t>
      </w:r>
      <w:r w:rsidRPr="004F3B77">
        <w:rPr>
          <w:rFonts w:ascii="Times New Roman" w:hAnsi="Times New Roman" w:cs="Times New Roman"/>
          <w:i/>
          <w:iCs/>
        </w:rPr>
        <w:t>Journal of Elections, Public Opinion and Parties</w:t>
      </w:r>
      <w:r w:rsidRPr="004F3B77">
        <w:rPr>
          <w:rFonts w:ascii="Times New Roman" w:hAnsi="Times New Roman" w:cs="Times New Roman"/>
        </w:rPr>
        <w:t>, 1–22. https://doi.org/10.1080/17457289.2022.2120886</w:t>
      </w:r>
    </w:p>
    <w:p w14:paraId="02531097"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Heimberger, P. (2021). Does economic globalization affect government spending? A meta-analysis. </w:t>
      </w:r>
      <w:r w:rsidRPr="004F3B77">
        <w:rPr>
          <w:rFonts w:ascii="Times New Roman" w:hAnsi="Times New Roman" w:cs="Times New Roman"/>
          <w:i/>
          <w:iCs/>
        </w:rPr>
        <w:t>Public Choice</w:t>
      </w:r>
      <w:r w:rsidRPr="004F3B77">
        <w:rPr>
          <w:rFonts w:ascii="Times New Roman" w:hAnsi="Times New Roman" w:cs="Times New Roman"/>
        </w:rPr>
        <w:t xml:space="preserve">, </w:t>
      </w:r>
      <w:r w:rsidRPr="004F3B77">
        <w:rPr>
          <w:rFonts w:ascii="Times New Roman" w:hAnsi="Times New Roman" w:cs="Times New Roman"/>
          <w:i/>
          <w:iCs/>
        </w:rPr>
        <w:t>187</w:t>
      </w:r>
      <w:r w:rsidRPr="004F3B77">
        <w:rPr>
          <w:rFonts w:ascii="Times New Roman" w:hAnsi="Times New Roman" w:cs="Times New Roman"/>
        </w:rPr>
        <w:t>, 349–374. https://doi.org/10.1007/s11127-020-00784-8</w:t>
      </w:r>
    </w:p>
    <w:p w14:paraId="47B02AA0"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Hetherington, M. J. (2005). </w:t>
      </w:r>
      <w:r w:rsidRPr="004F3B77">
        <w:rPr>
          <w:rFonts w:ascii="Times New Roman" w:hAnsi="Times New Roman" w:cs="Times New Roman"/>
          <w:i/>
          <w:iCs/>
        </w:rPr>
        <w:t>Why trust matters</w:t>
      </w:r>
      <w:r w:rsidRPr="004F3B77">
        <w:rPr>
          <w:rFonts w:ascii="Times New Roman" w:hAnsi="Times New Roman" w:cs="Times New Roman"/>
        </w:rPr>
        <w:t>. Princeton University Press.</w:t>
      </w:r>
    </w:p>
    <w:p w14:paraId="4C602330"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Hooghe, M., &amp; Marien, S. (2013). A Comparative Analysis of the Relation Between Political Trust and Forms of Political Participation in Europe. </w:t>
      </w:r>
      <w:r w:rsidRPr="004F3B77">
        <w:rPr>
          <w:rFonts w:ascii="Times New Roman" w:hAnsi="Times New Roman" w:cs="Times New Roman"/>
          <w:i/>
          <w:iCs/>
        </w:rPr>
        <w:t>European Societies</w:t>
      </w:r>
      <w:r w:rsidRPr="004F3B77">
        <w:rPr>
          <w:rFonts w:ascii="Times New Roman" w:hAnsi="Times New Roman" w:cs="Times New Roman"/>
        </w:rPr>
        <w:t xml:space="preserve">, </w:t>
      </w:r>
      <w:r w:rsidRPr="004F3B77">
        <w:rPr>
          <w:rFonts w:ascii="Times New Roman" w:hAnsi="Times New Roman" w:cs="Times New Roman"/>
          <w:i/>
          <w:iCs/>
        </w:rPr>
        <w:t>15</w:t>
      </w:r>
      <w:r w:rsidRPr="004F3B77">
        <w:rPr>
          <w:rFonts w:ascii="Times New Roman" w:hAnsi="Times New Roman" w:cs="Times New Roman"/>
        </w:rPr>
        <w:t>(1), 131–152. https://doi.org/10.1080/14616696.2012.692807</w:t>
      </w:r>
    </w:p>
    <w:p w14:paraId="1F32B89D"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Jacobs, A. M., &amp; Matthews, J. S. (2017). Policy Attitudes in Institutional Context: Rules, Uncertainty, and the Mass Politics of Public Investment. </w:t>
      </w:r>
      <w:r w:rsidRPr="004F3B77">
        <w:rPr>
          <w:rFonts w:ascii="Times New Roman" w:hAnsi="Times New Roman" w:cs="Times New Roman"/>
          <w:i/>
          <w:iCs/>
        </w:rPr>
        <w:t>American Journal of Political Science</w:t>
      </w:r>
      <w:r w:rsidRPr="004F3B77">
        <w:rPr>
          <w:rFonts w:ascii="Times New Roman" w:hAnsi="Times New Roman" w:cs="Times New Roman"/>
        </w:rPr>
        <w:t xml:space="preserve">, </w:t>
      </w:r>
      <w:r w:rsidRPr="004F3B77">
        <w:rPr>
          <w:rFonts w:ascii="Times New Roman" w:hAnsi="Times New Roman" w:cs="Times New Roman"/>
          <w:i/>
          <w:iCs/>
        </w:rPr>
        <w:t>61</w:t>
      </w:r>
      <w:r w:rsidRPr="004F3B77">
        <w:rPr>
          <w:rFonts w:ascii="Times New Roman" w:hAnsi="Times New Roman" w:cs="Times New Roman"/>
        </w:rPr>
        <w:t>(1), 194–207. https://doi.org/10.1111/ajps.12209</w:t>
      </w:r>
    </w:p>
    <w:p w14:paraId="77E12025"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Jennings, W., Stoker, G., Valgarðsson, V., Devine, D., &amp; Gaskell, J. (2021). How trust, mistrust and distrust shape the governance of the COVID-19 crisis. </w:t>
      </w:r>
      <w:r w:rsidRPr="004F3B77">
        <w:rPr>
          <w:rFonts w:ascii="Times New Roman" w:hAnsi="Times New Roman" w:cs="Times New Roman"/>
          <w:i/>
          <w:iCs/>
        </w:rPr>
        <w:t>Journal of European Public Policy</w:t>
      </w:r>
      <w:r w:rsidRPr="004F3B77">
        <w:rPr>
          <w:rFonts w:ascii="Times New Roman" w:hAnsi="Times New Roman" w:cs="Times New Roman"/>
        </w:rPr>
        <w:t xml:space="preserve">, </w:t>
      </w:r>
      <w:r w:rsidRPr="004F3B77">
        <w:rPr>
          <w:rFonts w:ascii="Times New Roman" w:hAnsi="Times New Roman" w:cs="Times New Roman"/>
          <w:i/>
          <w:iCs/>
        </w:rPr>
        <w:t>28</w:t>
      </w:r>
      <w:r w:rsidRPr="004F3B77">
        <w:rPr>
          <w:rFonts w:ascii="Times New Roman" w:hAnsi="Times New Roman" w:cs="Times New Roman"/>
        </w:rPr>
        <w:t>(8), 1174–1196. http://dx.doi.org/10.1080/13501763.2021.1942151</w:t>
      </w:r>
    </w:p>
    <w:p w14:paraId="129B25BA"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lastRenderedPageBreak/>
        <w:t xml:space="preserve">Kritzinger, S., Foucault, M., Lachat, R., Partheymüller, J., Plescia, C., &amp; Brouard, S. (2021). ‘Rally round the flag’: The COVID-19 crisis and trust in the national government. </w:t>
      </w:r>
      <w:r w:rsidRPr="004F3B77">
        <w:rPr>
          <w:rFonts w:ascii="Times New Roman" w:hAnsi="Times New Roman" w:cs="Times New Roman"/>
          <w:i/>
          <w:iCs/>
        </w:rPr>
        <w:t>West European Politics</w:t>
      </w:r>
      <w:r w:rsidRPr="004F3B77">
        <w:rPr>
          <w:rFonts w:ascii="Times New Roman" w:hAnsi="Times New Roman" w:cs="Times New Roman"/>
        </w:rPr>
        <w:t xml:space="preserve">, </w:t>
      </w:r>
      <w:r w:rsidRPr="004F3B77">
        <w:rPr>
          <w:rFonts w:ascii="Times New Roman" w:hAnsi="Times New Roman" w:cs="Times New Roman"/>
          <w:i/>
          <w:iCs/>
        </w:rPr>
        <w:t>44</w:t>
      </w:r>
      <w:r w:rsidRPr="004F3B77">
        <w:rPr>
          <w:rFonts w:ascii="Times New Roman" w:hAnsi="Times New Roman" w:cs="Times New Roman"/>
        </w:rPr>
        <w:t>(5–6), 1205–1231. http://dx.doi.org/10.1080/01402382.2021.1925017</w:t>
      </w:r>
    </w:p>
    <w:p w14:paraId="650314D4"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Letki, N. (2006). Investigating the Roots of Civic Morality: Trust, Social Capital, and Institutional Performance. </w:t>
      </w:r>
      <w:r w:rsidRPr="004F3B77">
        <w:rPr>
          <w:rFonts w:ascii="Times New Roman" w:hAnsi="Times New Roman" w:cs="Times New Roman"/>
          <w:i/>
          <w:iCs/>
        </w:rPr>
        <w:t>Political Behavior</w:t>
      </w:r>
      <w:r w:rsidRPr="004F3B77">
        <w:rPr>
          <w:rFonts w:ascii="Times New Roman" w:hAnsi="Times New Roman" w:cs="Times New Roman"/>
        </w:rPr>
        <w:t xml:space="preserve">, </w:t>
      </w:r>
      <w:r w:rsidRPr="004F3B77">
        <w:rPr>
          <w:rFonts w:ascii="Times New Roman" w:hAnsi="Times New Roman" w:cs="Times New Roman"/>
          <w:i/>
          <w:iCs/>
        </w:rPr>
        <w:t>28</w:t>
      </w:r>
      <w:r w:rsidRPr="004F3B77">
        <w:rPr>
          <w:rFonts w:ascii="Times New Roman" w:hAnsi="Times New Roman" w:cs="Times New Roman"/>
        </w:rPr>
        <w:t>(4), 305–325. https://doi.org/10.1007/s11109-006-9013-6</w:t>
      </w:r>
    </w:p>
    <w:p w14:paraId="4242F510"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Marien, S., &amp; Hooghe, M. (2011). Does political trust matter? An empirical investigation into the relation between political trust and support for law compliance. </w:t>
      </w:r>
      <w:r w:rsidRPr="004F3B77">
        <w:rPr>
          <w:rFonts w:ascii="Times New Roman" w:hAnsi="Times New Roman" w:cs="Times New Roman"/>
          <w:i/>
          <w:iCs/>
        </w:rPr>
        <w:t>European Journal of Political Research</w:t>
      </w:r>
      <w:r w:rsidRPr="004F3B77">
        <w:rPr>
          <w:rFonts w:ascii="Times New Roman" w:hAnsi="Times New Roman" w:cs="Times New Roman"/>
        </w:rPr>
        <w:t xml:space="preserve">, </w:t>
      </w:r>
      <w:r w:rsidRPr="004F3B77">
        <w:rPr>
          <w:rFonts w:ascii="Times New Roman" w:hAnsi="Times New Roman" w:cs="Times New Roman"/>
          <w:i/>
          <w:iCs/>
        </w:rPr>
        <w:t>50</w:t>
      </w:r>
      <w:r w:rsidRPr="004F3B77">
        <w:rPr>
          <w:rFonts w:ascii="Times New Roman" w:hAnsi="Times New Roman" w:cs="Times New Roman"/>
        </w:rPr>
        <w:t>(2), 267–291. https://doi.org/10.1111/j.1475-6765.2010.01930.x</w:t>
      </w:r>
    </w:p>
    <w:p w14:paraId="1DC03DCF"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Mavridis, D., &amp; Salanti, G. (2014). How to assess publication bias: Funnel plot, trim-and-fill method and selection models. </w:t>
      </w:r>
      <w:r w:rsidRPr="004F3B77">
        <w:rPr>
          <w:rFonts w:ascii="Times New Roman" w:hAnsi="Times New Roman" w:cs="Times New Roman"/>
          <w:i/>
          <w:iCs/>
        </w:rPr>
        <w:t>Evidence Based Mental Health</w:t>
      </w:r>
      <w:r w:rsidRPr="004F3B77">
        <w:rPr>
          <w:rFonts w:ascii="Times New Roman" w:hAnsi="Times New Roman" w:cs="Times New Roman"/>
        </w:rPr>
        <w:t xml:space="preserve">, </w:t>
      </w:r>
      <w:r w:rsidRPr="004F3B77">
        <w:rPr>
          <w:rFonts w:ascii="Times New Roman" w:hAnsi="Times New Roman" w:cs="Times New Roman"/>
          <w:i/>
          <w:iCs/>
        </w:rPr>
        <w:t>17</w:t>
      </w:r>
      <w:r w:rsidRPr="004F3B77">
        <w:rPr>
          <w:rFonts w:ascii="Times New Roman" w:hAnsi="Times New Roman" w:cs="Times New Roman"/>
        </w:rPr>
        <w:t>(1), 30–30. https://doi.org/10.1136/eb-2013-101699</w:t>
      </w:r>
    </w:p>
    <w:p w14:paraId="730FDD40"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Miller, A. H. (1974). Political Issues and Trust in Government: 1964-1970. </w:t>
      </w:r>
      <w:r w:rsidRPr="004F3B77">
        <w:rPr>
          <w:rFonts w:ascii="Times New Roman" w:hAnsi="Times New Roman" w:cs="Times New Roman"/>
          <w:i/>
          <w:iCs/>
        </w:rPr>
        <w:t>The American Political Science Review</w:t>
      </w:r>
      <w:r w:rsidRPr="004F3B77">
        <w:rPr>
          <w:rFonts w:ascii="Times New Roman" w:hAnsi="Times New Roman" w:cs="Times New Roman"/>
        </w:rPr>
        <w:t xml:space="preserve">, </w:t>
      </w:r>
      <w:r w:rsidRPr="004F3B77">
        <w:rPr>
          <w:rFonts w:ascii="Times New Roman" w:hAnsi="Times New Roman" w:cs="Times New Roman"/>
          <w:i/>
          <w:iCs/>
        </w:rPr>
        <w:t>68</w:t>
      </w:r>
      <w:r w:rsidRPr="004F3B77">
        <w:rPr>
          <w:rFonts w:ascii="Times New Roman" w:hAnsi="Times New Roman" w:cs="Times New Roman"/>
        </w:rPr>
        <w:t>(3), 951–972. https://doi.org/10.2307/1959140</w:t>
      </w:r>
    </w:p>
    <w:p w14:paraId="42A7E326"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Mueller, J. E. (1970). Presidential Popularity from Truman to Johnson. </w:t>
      </w:r>
      <w:r w:rsidRPr="004F3B77">
        <w:rPr>
          <w:rFonts w:ascii="Times New Roman" w:hAnsi="Times New Roman" w:cs="Times New Roman"/>
          <w:i/>
          <w:iCs/>
        </w:rPr>
        <w:t>American Political Science Review</w:t>
      </w:r>
      <w:r w:rsidRPr="004F3B77">
        <w:rPr>
          <w:rFonts w:ascii="Times New Roman" w:hAnsi="Times New Roman" w:cs="Times New Roman"/>
        </w:rPr>
        <w:t xml:space="preserve">, </w:t>
      </w:r>
      <w:r w:rsidRPr="004F3B77">
        <w:rPr>
          <w:rFonts w:ascii="Times New Roman" w:hAnsi="Times New Roman" w:cs="Times New Roman"/>
          <w:i/>
          <w:iCs/>
        </w:rPr>
        <w:t>64</w:t>
      </w:r>
      <w:r w:rsidRPr="004F3B77">
        <w:rPr>
          <w:rFonts w:ascii="Times New Roman" w:hAnsi="Times New Roman" w:cs="Times New Roman"/>
        </w:rPr>
        <w:t>(1), 18–34. https://doi.org/10.2307/1955610</w:t>
      </w:r>
    </w:p>
    <w:p w14:paraId="3DC20F3B"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OECD. (2017). </w:t>
      </w:r>
      <w:r w:rsidRPr="004F3B77">
        <w:rPr>
          <w:rFonts w:ascii="Times New Roman" w:hAnsi="Times New Roman" w:cs="Times New Roman"/>
          <w:i/>
          <w:iCs/>
        </w:rPr>
        <w:t>Trust and Public Policy: How Better Governance Can Help Rebuild Public Trust</w:t>
      </w:r>
      <w:r w:rsidRPr="004F3B77">
        <w:rPr>
          <w:rFonts w:ascii="Times New Roman" w:hAnsi="Times New Roman" w:cs="Times New Roman"/>
        </w:rPr>
        <w:t>. Paris.</w:t>
      </w:r>
    </w:p>
    <w:p w14:paraId="58CF2FE3"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Putnam, R. D. (2000). </w:t>
      </w:r>
      <w:r w:rsidRPr="004F3B77">
        <w:rPr>
          <w:rFonts w:ascii="Times New Roman" w:hAnsi="Times New Roman" w:cs="Times New Roman"/>
          <w:i/>
          <w:iCs/>
        </w:rPr>
        <w:t>Bowling Alone: The Collapse and Revival of American Community</w:t>
      </w:r>
      <w:r w:rsidRPr="004F3B77">
        <w:rPr>
          <w:rFonts w:ascii="Times New Roman" w:hAnsi="Times New Roman" w:cs="Times New Roman"/>
        </w:rPr>
        <w:t>. Simon and Schuster.</w:t>
      </w:r>
    </w:p>
    <w:p w14:paraId="1F6CEF0F"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Robbins, B. G. (2016). What is Trust? A Multidisciplinary Review, Critique, and Synthesis. </w:t>
      </w:r>
      <w:r w:rsidRPr="004F3B77">
        <w:rPr>
          <w:rFonts w:ascii="Times New Roman" w:hAnsi="Times New Roman" w:cs="Times New Roman"/>
          <w:i/>
          <w:iCs/>
        </w:rPr>
        <w:t>Sociology Compass</w:t>
      </w:r>
      <w:r w:rsidRPr="004F3B77">
        <w:rPr>
          <w:rFonts w:ascii="Times New Roman" w:hAnsi="Times New Roman" w:cs="Times New Roman"/>
        </w:rPr>
        <w:t xml:space="preserve">, </w:t>
      </w:r>
      <w:r w:rsidRPr="004F3B77">
        <w:rPr>
          <w:rFonts w:ascii="Times New Roman" w:hAnsi="Times New Roman" w:cs="Times New Roman"/>
          <w:i/>
          <w:iCs/>
        </w:rPr>
        <w:t>10</w:t>
      </w:r>
      <w:r w:rsidRPr="004F3B77">
        <w:rPr>
          <w:rFonts w:ascii="Times New Roman" w:hAnsi="Times New Roman" w:cs="Times New Roman"/>
        </w:rPr>
        <w:t>(10), 972–986. https://doi.org/10.1111/soc4.12391</w:t>
      </w:r>
    </w:p>
    <w:p w14:paraId="311BD2E4"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lastRenderedPageBreak/>
        <w:t xml:space="preserve">Rudolph, T. J., Zmerli, S., &amp; Van Der Meer, T. W. G. (2017). Political trust as a heuristic. In </w:t>
      </w:r>
      <w:r w:rsidRPr="004F3B77">
        <w:rPr>
          <w:rFonts w:ascii="Times New Roman" w:hAnsi="Times New Roman" w:cs="Times New Roman"/>
          <w:i/>
          <w:iCs/>
        </w:rPr>
        <w:t>Handbook on Political Trust</w:t>
      </w:r>
      <w:r w:rsidRPr="004F3B77">
        <w:rPr>
          <w:rFonts w:ascii="Times New Roman" w:hAnsi="Times New Roman" w:cs="Times New Roman"/>
        </w:rPr>
        <w:t>. Edward Elgar Publishing.</w:t>
      </w:r>
    </w:p>
    <w:p w14:paraId="13763066"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Scholz, J. T., &amp; Lubell, M. (1998). Trust and Taxpaying: Testing the Heuristic Approach to Collective Action. </w:t>
      </w:r>
      <w:r w:rsidRPr="004F3B77">
        <w:rPr>
          <w:rFonts w:ascii="Times New Roman" w:hAnsi="Times New Roman" w:cs="Times New Roman"/>
          <w:i/>
          <w:iCs/>
        </w:rPr>
        <w:t>American Journal of Political Science</w:t>
      </w:r>
      <w:r w:rsidRPr="004F3B77">
        <w:rPr>
          <w:rFonts w:ascii="Times New Roman" w:hAnsi="Times New Roman" w:cs="Times New Roman"/>
        </w:rPr>
        <w:t xml:space="preserve">, </w:t>
      </w:r>
      <w:r w:rsidRPr="004F3B77">
        <w:rPr>
          <w:rFonts w:ascii="Times New Roman" w:hAnsi="Times New Roman" w:cs="Times New Roman"/>
          <w:i/>
          <w:iCs/>
        </w:rPr>
        <w:t>42</w:t>
      </w:r>
      <w:r w:rsidRPr="004F3B77">
        <w:rPr>
          <w:rFonts w:ascii="Times New Roman" w:hAnsi="Times New Roman" w:cs="Times New Roman"/>
        </w:rPr>
        <w:t>(2), 398–417. https://doi.org/10.2307/2991764</w:t>
      </w:r>
    </w:p>
    <w:p w14:paraId="382B7C0B"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Schraff, D. (2021). Political trust during the Covid‐19 pandemic: Rally around the flag or lockdown effects? </w:t>
      </w:r>
      <w:r w:rsidRPr="004F3B77">
        <w:rPr>
          <w:rFonts w:ascii="Times New Roman" w:hAnsi="Times New Roman" w:cs="Times New Roman"/>
          <w:i/>
          <w:iCs/>
        </w:rPr>
        <w:t>European Journal of Political Research</w:t>
      </w:r>
      <w:r w:rsidRPr="004F3B77">
        <w:rPr>
          <w:rFonts w:ascii="Times New Roman" w:hAnsi="Times New Roman" w:cs="Times New Roman"/>
        </w:rPr>
        <w:t xml:space="preserve">, </w:t>
      </w:r>
      <w:r w:rsidRPr="004F3B77">
        <w:rPr>
          <w:rFonts w:ascii="Times New Roman" w:hAnsi="Times New Roman" w:cs="Times New Roman"/>
          <w:i/>
          <w:iCs/>
        </w:rPr>
        <w:t>60</w:t>
      </w:r>
      <w:r w:rsidRPr="004F3B77">
        <w:rPr>
          <w:rFonts w:ascii="Times New Roman" w:hAnsi="Times New Roman" w:cs="Times New Roman"/>
        </w:rPr>
        <w:t>(4), 1007–1017. https://doi.org/10.1111/1475-6765.12425</w:t>
      </w:r>
    </w:p>
    <w:p w14:paraId="7742744E"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Sibley, C. G., Greaves, L. M., Satherley, N., Wilson, M. S., Overall, N. C., Lee, C. H. J., Milojev, P., Bulbulia, J., Osborne, D., Milfont, T. L., Houkamau, C. A., Duck, I. M., Vickers-Jones, R., &amp; Barlow, F. K. (2020). Effects of the COVID-19 pandemic and nationwide lockdown on trust, attitudes toward government, and well-being. </w:t>
      </w:r>
      <w:r w:rsidRPr="004F3B77">
        <w:rPr>
          <w:rFonts w:ascii="Times New Roman" w:hAnsi="Times New Roman" w:cs="Times New Roman"/>
          <w:i/>
          <w:iCs/>
        </w:rPr>
        <w:t>American Psychologist</w:t>
      </w:r>
      <w:r w:rsidRPr="004F3B77">
        <w:rPr>
          <w:rFonts w:ascii="Times New Roman" w:hAnsi="Times New Roman" w:cs="Times New Roman"/>
        </w:rPr>
        <w:t xml:space="preserve">, </w:t>
      </w:r>
      <w:r w:rsidRPr="004F3B77">
        <w:rPr>
          <w:rFonts w:ascii="Times New Roman" w:hAnsi="Times New Roman" w:cs="Times New Roman"/>
          <w:i/>
          <w:iCs/>
        </w:rPr>
        <w:t>75</w:t>
      </w:r>
      <w:r w:rsidRPr="004F3B77">
        <w:rPr>
          <w:rFonts w:ascii="Times New Roman" w:hAnsi="Times New Roman" w:cs="Times New Roman"/>
        </w:rPr>
        <w:t>(5), 618–630. https://doi.org/10.1037/amp0000662</w:t>
      </w:r>
    </w:p>
    <w:p w14:paraId="4B74CB06"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Srol, J., Mikuskova, E. B., &amp; Cavojova, V. (2021). When we are worried, what are we thinking? Anxiety, lack of control, and conspiracy beliefs amidst the COVID-19 pandemic. </w:t>
      </w:r>
      <w:r w:rsidRPr="004F3B77">
        <w:rPr>
          <w:rFonts w:ascii="Times New Roman" w:hAnsi="Times New Roman" w:cs="Times New Roman"/>
          <w:i/>
          <w:iCs/>
        </w:rPr>
        <w:t>Applied Cognitive Psychology</w:t>
      </w:r>
      <w:r w:rsidRPr="004F3B77">
        <w:rPr>
          <w:rFonts w:ascii="Times New Roman" w:hAnsi="Times New Roman" w:cs="Times New Roman"/>
        </w:rPr>
        <w:t xml:space="preserve">, </w:t>
      </w:r>
      <w:r w:rsidRPr="004F3B77">
        <w:rPr>
          <w:rFonts w:ascii="Times New Roman" w:hAnsi="Times New Roman" w:cs="Times New Roman"/>
          <w:i/>
          <w:iCs/>
        </w:rPr>
        <w:t>35</w:t>
      </w:r>
      <w:r w:rsidRPr="004F3B77">
        <w:rPr>
          <w:rFonts w:ascii="Times New Roman" w:hAnsi="Times New Roman" w:cs="Times New Roman"/>
        </w:rPr>
        <w:t>(3), 720–729. https://doi.org/10.1002/acp.3798</w:t>
      </w:r>
    </w:p>
    <w:p w14:paraId="5A9D743A"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Sterne, J. A. C., Sutton, A. J., Ioannidis, J. P. A., Terrin, N., Jones, D. R., Lau, J., Carpenter, J., Rucker, G., Harbord, R. M., Schmid, C. H., Tetzlaff, J., Deeks, J. J., Peters, J., Macaskill, P., Schwarzer, G., Duval, S., Altman, D. G., Moher, D., &amp; Higgins, J. P. T. (2011). Recommendations for examining and interpreting funnel plot asymmetry in meta-analyses of randomised controlled trials. </w:t>
      </w:r>
      <w:r w:rsidRPr="004F3B77">
        <w:rPr>
          <w:rFonts w:ascii="Times New Roman" w:hAnsi="Times New Roman" w:cs="Times New Roman"/>
          <w:i/>
          <w:iCs/>
        </w:rPr>
        <w:t>BMJ</w:t>
      </w:r>
      <w:r w:rsidRPr="004F3B77">
        <w:rPr>
          <w:rFonts w:ascii="Times New Roman" w:hAnsi="Times New Roman" w:cs="Times New Roman"/>
        </w:rPr>
        <w:t xml:space="preserve">, </w:t>
      </w:r>
      <w:r w:rsidRPr="004F3B77">
        <w:rPr>
          <w:rFonts w:ascii="Times New Roman" w:hAnsi="Times New Roman" w:cs="Times New Roman"/>
          <w:i/>
          <w:iCs/>
        </w:rPr>
        <w:t>343</w:t>
      </w:r>
      <w:r w:rsidRPr="004F3B77">
        <w:rPr>
          <w:rFonts w:ascii="Times New Roman" w:hAnsi="Times New Roman" w:cs="Times New Roman"/>
        </w:rPr>
        <w:t>(1), 1–8. https://doi.org/10.1136/bmj.d4002</w:t>
      </w:r>
    </w:p>
    <w:p w14:paraId="6580C71C"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Surina, S., Martinsone, K., Perepjolkina, V., Kolesnikova, J., Vainik, U., Ruza, A., Vrublevska, J., Smirnova, D., Fountoulakis, K. N., &amp; Rancans, E. (2021). Factors </w:t>
      </w:r>
      <w:r w:rsidRPr="004F3B77">
        <w:rPr>
          <w:rFonts w:ascii="Times New Roman" w:hAnsi="Times New Roman" w:cs="Times New Roman"/>
        </w:rPr>
        <w:lastRenderedPageBreak/>
        <w:t xml:space="preserve">related to COVID-19 preventive behaviors: A structural equation model. </w:t>
      </w:r>
      <w:r w:rsidRPr="004F3B77">
        <w:rPr>
          <w:rFonts w:ascii="Times New Roman" w:hAnsi="Times New Roman" w:cs="Times New Roman"/>
          <w:i/>
          <w:iCs/>
        </w:rPr>
        <w:t>Frontiers in Psychology</w:t>
      </w:r>
      <w:r w:rsidRPr="004F3B77">
        <w:rPr>
          <w:rFonts w:ascii="Times New Roman" w:hAnsi="Times New Roman" w:cs="Times New Roman"/>
        </w:rPr>
        <w:t xml:space="preserve">, </w:t>
      </w:r>
      <w:r w:rsidRPr="004F3B77">
        <w:rPr>
          <w:rFonts w:ascii="Times New Roman" w:hAnsi="Times New Roman" w:cs="Times New Roman"/>
          <w:i/>
          <w:iCs/>
        </w:rPr>
        <w:t>12</w:t>
      </w:r>
      <w:r w:rsidRPr="004F3B77">
        <w:rPr>
          <w:rFonts w:ascii="Times New Roman" w:hAnsi="Times New Roman" w:cs="Times New Roman"/>
        </w:rPr>
        <w:t>. https://doi.org/10.3389/fpsyg.2021.676521</w:t>
      </w:r>
    </w:p>
    <w:p w14:paraId="1863688C"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Toshkov, D., Carroll, B., &amp; Yesilkagit, K. (2021). Government capacity, societal trust or party preferences: What accounts for the variety of national policy responses to the COVID-19 pandemic in Europe? </w:t>
      </w:r>
      <w:r w:rsidRPr="004F3B77">
        <w:rPr>
          <w:rFonts w:ascii="Times New Roman" w:hAnsi="Times New Roman" w:cs="Times New Roman"/>
          <w:i/>
          <w:iCs/>
        </w:rPr>
        <w:t>Journal of European Public Policy</w:t>
      </w:r>
      <w:r w:rsidRPr="004F3B77">
        <w:rPr>
          <w:rFonts w:ascii="Times New Roman" w:hAnsi="Times New Roman" w:cs="Times New Roman"/>
        </w:rPr>
        <w:t xml:space="preserve">, </w:t>
      </w:r>
      <w:r w:rsidRPr="004F3B77">
        <w:rPr>
          <w:rFonts w:ascii="Times New Roman" w:hAnsi="Times New Roman" w:cs="Times New Roman"/>
          <w:i/>
          <w:iCs/>
        </w:rPr>
        <w:t>29</w:t>
      </w:r>
      <w:r w:rsidRPr="004F3B77">
        <w:rPr>
          <w:rFonts w:ascii="Times New Roman" w:hAnsi="Times New Roman" w:cs="Times New Roman"/>
        </w:rPr>
        <w:t>(7), 1009–1028. https://doi.org/10.1080/13501763.2021.1928270</w:t>
      </w:r>
    </w:p>
    <w:p w14:paraId="38AE8180"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Uslaner, E. M. (2018). The Study of Trust. In E. M. Uslaner (Ed.), </w:t>
      </w:r>
      <w:r w:rsidRPr="004F3B77">
        <w:rPr>
          <w:rFonts w:ascii="Times New Roman" w:hAnsi="Times New Roman" w:cs="Times New Roman"/>
          <w:i/>
          <w:iCs/>
        </w:rPr>
        <w:t>The Oxford Handbook of Social and Political Trust</w:t>
      </w:r>
      <w:r w:rsidRPr="004F3B77">
        <w:rPr>
          <w:rFonts w:ascii="Times New Roman" w:hAnsi="Times New Roman" w:cs="Times New Roman"/>
        </w:rPr>
        <w:t xml:space="preserve"> (pp. 1–12). Oxford University Press.</w:t>
      </w:r>
    </w:p>
    <w:p w14:paraId="19AADFA6"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van der Meer, T. W. G. (2017). Political Trust and the “Crisis of Democracy”. In T. W. G. van der Meer, </w:t>
      </w:r>
      <w:r w:rsidRPr="004F3B77">
        <w:rPr>
          <w:rFonts w:ascii="Times New Roman" w:hAnsi="Times New Roman" w:cs="Times New Roman"/>
          <w:i/>
          <w:iCs/>
        </w:rPr>
        <w:t>Oxford Research Encyclopedia of Politics</w:t>
      </w:r>
      <w:r w:rsidRPr="004F3B77">
        <w:rPr>
          <w:rFonts w:ascii="Times New Roman" w:hAnsi="Times New Roman" w:cs="Times New Roman"/>
        </w:rPr>
        <w:t>. Oxford University Press. https://doi.org/10.1093/acrefore/9780190228637.013.77</w:t>
      </w:r>
    </w:p>
    <w:p w14:paraId="4B52961B"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van der Meer, T., &amp; Zmerli, S. (2017). The deeply rooted concern with political trust. In S. Zmerli &amp; T. van der Meer (Eds.), </w:t>
      </w:r>
      <w:r w:rsidRPr="004F3B77">
        <w:rPr>
          <w:rFonts w:ascii="Times New Roman" w:hAnsi="Times New Roman" w:cs="Times New Roman"/>
          <w:i/>
          <w:iCs/>
        </w:rPr>
        <w:t>The Handbook on Political Trust</w:t>
      </w:r>
      <w:r w:rsidRPr="004F3B77">
        <w:rPr>
          <w:rFonts w:ascii="Times New Roman" w:hAnsi="Times New Roman" w:cs="Times New Roman"/>
        </w:rPr>
        <w:t>. Edward Elgar Publishing.</w:t>
      </w:r>
    </w:p>
    <w:p w14:paraId="3A55697E"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Viechtbauer, W. (2010). Conducting Meta-Analyses in R with the metafor Package. </w:t>
      </w:r>
      <w:r w:rsidRPr="004F3B77">
        <w:rPr>
          <w:rFonts w:ascii="Times New Roman" w:hAnsi="Times New Roman" w:cs="Times New Roman"/>
          <w:i/>
          <w:iCs/>
        </w:rPr>
        <w:t>Journal of Statistical Software</w:t>
      </w:r>
      <w:r w:rsidRPr="004F3B77">
        <w:rPr>
          <w:rFonts w:ascii="Times New Roman" w:hAnsi="Times New Roman" w:cs="Times New Roman"/>
        </w:rPr>
        <w:t xml:space="preserve">, </w:t>
      </w:r>
      <w:r w:rsidRPr="004F3B77">
        <w:rPr>
          <w:rFonts w:ascii="Times New Roman" w:hAnsi="Times New Roman" w:cs="Times New Roman"/>
          <w:i/>
          <w:iCs/>
        </w:rPr>
        <w:t>36</w:t>
      </w:r>
      <w:r w:rsidRPr="004F3B77">
        <w:rPr>
          <w:rFonts w:ascii="Times New Roman" w:hAnsi="Times New Roman" w:cs="Times New Roman"/>
        </w:rPr>
        <w:t>(3). https://doi.org/10.18637/jss.v036.i03</w:t>
      </w:r>
    </w:p>
    <w:p w14:paraId="79BCDEE3"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Wong, C. M. L., &amp; Jensen, O. (2020). The paradox of trust: Perceived risk and public compliance during the COVID-19 pandemic in Singapore. </w:t>
      </w:r>
      <w:r w:rsidRPr="004F3B77">
        <w:rPr>
          <w:rFonts w:ascii="Times New Roman" w:hAnsi="Times New Roman" w:cs="Times New Roman"/>
          <w:i/>
          <w:iCs/>
        </w:rPr>
        <w:t>Journal of Risk Research</w:t>
      </w:r>
      <w:r w:rsidRPr="004F3B77">
        <w:rPr>
          <w:rFonts w:ascii="Times New Roman" w:hAnsi="Times New Roman" w:cs="Times New Roman"/>
        </w:rPr>
        <w:t xml:space="preserve">, </w:t>
      </w:r>
      <w:r w:rsidRPr="004F3B77">
        <w:rPr>
          <w:rFonts w:ascii="Times New Roman" w:hAnsi="Times New Roman" w:cs="Times New Roman"/>
          <w:i/>
          <w:iCs/>
        </w:rPr>
        <w:t>23</w:t>
      </w:r>
      <w:r w:rsidRPr="004F3B77">
        <w:rPr>
          <w:rFonts w:ascii="Times New Roman" w:hAnsi="Times New Roman" w:cs="Times New Roman"/>
        </w:rPr>
        <w:t>(7–8), 1021–1030. https://doi.org/10.1080/13669877.2020.1756386</w:t>
      </w:r>
    </w:p>
    <w:p w14:paraId="5DBF9BAE"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Yue, R. P. H., Lau, B. H. P., Chan, C. L. W., &amp; Ng, S.-M. (2022). Risk perception as a double-edged sword in policy compliance in COVID-19 pandemic? A two-phase evaluation from Hong Kong. </w:t>
      </w:r>
      <w:r w:rsidRPr="004F3B77">
        <w:rPr>
          <w:rFonts w:ascii="Times New Roman" w:hAnsi="Times New Roman" w:cs="Times New Roman"/>
          <w:i/>
          <w:iCs/>
        </w:rPr>
        <w:t>Journal of Risk Research</w:t>
      </w:r>
      <w:r w:rsidRPr="004F3B77">
        <w:rPr>
          <w:rFonts w:ascii="Times New Roman" w:hAnsi="Times New Roman" w:cs="Times New Roman"/>
        </w:rPr>
        <w:t xml:space="preserve">, </w:t>
      </w:r>
      <w:r w:rsidRPr="004F3B77">
        <w:rPr>
          <w:rFonts w:ascii="Times New Roman" w:hAnsi="Times New Roman" w:cs="Times New Roman"/>
          <w:i/>
          <w:iCs/>
        </w:rPr>
        <w:t>25</w:t>
      </w:r>
      <w:r w:rsidRPr="004F3B77">
        <w:rPr>
          <w:rFonts w:ascii="Times New Roman" w:hAnsi="Times New Roman" w:cs="Times New Roman"/>
        </w:rPr>
        <w:t>(9), 1131–1145. https://doi.org/10.1080/13669877.2021.1936612</w:t>
      </w:r>
    </w:p>
    <w:p w14:paraId="1AC44DBC" w14:textId="77777777" w:rsidR="00505F8A" w:rsidRPr="004F3B77" w:rsidRDefault="00505F8A" w:rsidP="00505F8A">
      <w:pPr>
        <w:pStyle w:val="Bibliography"/>
        <w:rPr>
          <w:rFonts w:ascii="Times New Roman" w:hAnsi="Times New Roman" w:cs="Times New Roman"/>
        </w:rPr>
      </w:pPr>
      <w:r w:rsidRPr="004F3B77">
        <w:rPr>
          <w:rFonts w:ascii="Times New Roman" w:hAnsi="Times New Roman" w:cs="Times New Roman"/>
        </w:rPr>
        <w:t xml:space="preserve">Zmerli, S., &amp; van der Meer, T. (Eds.). (2017). </w:t>
      </w:r>
      <w:r w:rsidRPr="004F3B77">
        <w:rPr>
          <w:rFonts w:ascii="Times New Roman" w:hAnsi="Times New Roman" w:cs="Times New Roman"/>
          <w:i/>
          <w:iCs/>
        </w:rPr>
        <w:t>Handbook on political trust</w:t>
      </w:r>
      <w:r w:rsidRPr="004F3B77">
        <w:rPr>
          <w:rFonts w:ascii="Times New Roman" w:hAnsi="Times New Roman" w:cs="Times New Roman"/>
        </w:rPr>
        <w:t>. Edward Elgar Publishing.</w:t>
      </w:r>
    </w:p>
    <w:p w14:paraId="453A45D7" w14:textId="313C5410" w:rsidR="009E5C88" w:rsidRPr="004F3B77" w:rsidRDefault="00964E63" w:rsidP="003E310C">
      <w:pPr>
        <w:rPr>
          <w:rFonts w:ascii="Times New Roman" w:hAnsi="Times New Roman" w:cs="Times New Roman"/>
        </w:rPr>
      </w:pPr>
      <w:r w:rsidRPr="004F3B77">
        <w:rPr>
          <w:rFonts w:ascii="Times New Roman" w:hAnsi="Times New Roman" w:cs="Times New Roman"/>
        </w:rPr>
        <w:lastRenderedPageBreak/>
        <w:fldChar w:fldCharType="end"/>
      </w:r>
    </w:p>
    <w:sectPr w:rsidR="009E5C88" w:rsidRPr="004F3B77" w:rsidSect="00CF766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D9EC0" w14:textId="77777777" w:rsidR="00C56A2B" w:rsidRDefault="00C56A2B" w:rsidP="006B6D9D">
      <w:r>
        <w:separator/>
      </w:r>
    </w:p>
  </w:endnote>
  <w:endnote w:type="continuationSeparator" w:id="0">
    <w:p w14:paraId="59DE8D19" w14:textId="77777777" w:rsidR="00C56A2B" w:rsidRDefault="00C56A2B" w:rsidP="006B6D9D">
      <w:r>
        <w:continuationSeparator/>
      </w:r>
    </w:p>
  </w:endnote>
  <w:endnote w:id="1">
    <w:p w14:paraId="3F0D9881" w14:textId="525FED61" w:rsidR="00E32D96" w:rsidRPr="00F960AF" w:rsidRDefault="00E32D96" w:rsidP="00B93E0C">
      <w:pPr>
        <w:pStyle w:val="EndnoteText"/>
        <w:rPr>
          <w:b/>
          <w:bCs/>
          <w:sz w:val="28"/>
          <w:szCs w:val="28"/>
        </w:rPr>
      </w:pPr>
      <w:r w:rsidRPr="00F960AF">
        <w:rPr>
          <w:b/>
          <w:bCs/>
          <w:sz w:val="28"/>
          <w:szCs w:val="28"/>
        </w:rPr>
        <w:t xml:space="preserve">Notes </w:t>
      </w:r>
    </w:p>
    <w:p w14:paraId="45228452" w14:textId="77777777" w:rsidR="00E32D96" w:rsidRPr="00E32D96" w:rsidRDefault="00E32D96" w:rsidP="00B93E0C">
      <w:pPr>
        <w:pStyle w:val="EndnoteText"/>
        <w:rPr>
          <w:b/>
          <w:bCs/>
        </w:rPr>
      </w:pPr>
    </w:p>
    <w:p w14:paraId="2DF82E66" w14:textId="220BF047" w:rsidR="00386C2E" w:rsidRPr="00CF7667" w:rsidRDefault="00386C2E" w:rsidP="00B93E0C">
      <w:pPr>
        <w:pStyle w:val="EndnoteText"/>
      </w:pPr>
      <w:r w:rsidRPr="00CF7667">
        <w:rPr>
          <w:rStyle w:val="EndnoteReference"/>
        </w:rPr>
        <w:endnoteRef/>
      </w:r>
      <w:r w:rsidRPr="00CF7667">
        <w:t xml:space="preserve"> </w:t>
      </w:r>
      <w:r w:rsidRPr="00CF7667">
        <w:rPr>
          <w:rFonts w:ascii="Times New Roman" w:hAnsi="Times New Roman" w:cs="Times New Roman"/>
        </w:rPr>
        <w:t xml:space="preserve">The anonymised pre-registration can be found on the OSF: </w:t>
      </w:r>
      <w:hyperlink r:id="rId1" w:history="1">
        <w:r w:rsidRPr="00CF7667">
          <w:rPr>
            <w:rStyle w:val="Hyperlink"/>
            <w:rFonts w:ascii="Times New Roman" w:hAnsi="Times New Roman" w:cs="Times New Roman"/>
            <w:color w:val="auto"/>
          </w:rPr>
          <w:t>https://osf.io/wgy5s/?view_only=3059eb2fe2764dcba1d4b9f130bae7a0</w:t>
        </w:r>
      </w:hyperlink>
      <w:r w:rsidRPr="00CF7667">
        <w:rPr>
          <w:rFonts w:ascii="Times New Roman" w:hAnsi="Times New Roman" w:cs="Times New Roman"/>
        </w:rPr>
        <w:t xml:space="preserve">. Deviations from registration are described in Appendix Section 8. </w:t>
      </w:r>
    </w:p>
  </w:endnote>
  <w:endnote w:id="2">
    <w:p w14:paraId="34729CBB" w14:textId="0CCB41FB" w:rsidR="00386C2E" w:rsidRPr="00CF7667" w:rsidRDefault="00386C2E" w:rsidP="00B26512">
      <w:pPr>
        <w:pStyle w:val="EndnoteText"/>
        <w:rPr>
          <w:rFonts w:ascii="Times New Roman" w:hAnsi="Times New Roman" w:cs="Times New Roman"/>
        </w:rPr>
      </w:pPr>
      <w:r w:rsidRPr="00CF7667">
        <w:rPr>
          <w:rStyle w:val="EndnoteReference"/>
          <w:rFonts w:ascii="Times New Roman" w:hAnsi="Times New Roman" w:cs="Times New Roman"/>
        </w:rPr>
        <w:endnoteRef/>
      </w:r>
      <w:r w:rsidRPr="00CF7667">
        <w:rPr>
          <w:rFonts w:ascii="Times New Roman" w:hAnsi="Times New Roman" w:cs="Times New Roman"/>
        </w:rPr>
        <w:t xml:space="preserve"> A previous meta-analysis found just five in five leading political science journals between 1999 and 2018 </w:t>
      </w:r>
      <w:r w:rsidRPr="00CF7667">
        <w:rPr>
          <w:rFonts w:ascii="Times New Roman" w:hAnsi="Times New Roman" w:cs="Times New Roman"/>
        </w:rPr>
        <w:fldChar w:fldCharType="begin"/>
      </w:r>
      <w:r w:rsidR="009E3B4E">
        <w:rPr>
          <w:rFonts w:ascii="Times New Roman" w:hAnsi="Times New Roman" w:cs="Times New Roman"/>
        </w:rPr>
        <w:instrText xml:space="preserve"> ADDIN ZOTERO_ITEM CSL_CITATION {"citationID":"ZS27yx1T","properties":{"formattedCitation":"(Blair et al., 2021)","plainCitation":"(Blair et al., 2021)","noteIndex":2},"citationItems":[{"id":14967,"uris":["http://zotero.org/users/2674438/items/6KAFXKQE"],"itemData":{"id":14967,"type":"article-journal","abstract":"Scholars of the resource curse argue that reliance on primary commodities destabilizes governments: price fluctuations generate windfalls or periods of austerity that provoke or intensify civil conflict. Over 350 quantitative studies test this claim, but prominent results point in different directions, making it difficult to discern which results reliably hold across contexts. We conduct a meta-analysis of 46 natural experiments that use difference-in-difference designs to estimate the causal effect of commodity price changes on armed civil conflict. We show that commodity price changes, on average, do not change the likelihood of conflict. However, there are cross-cutting effects by commodity type. In line with theory, we find price increases for labor-intensive agricultural commodities reduce conflict, while increases in the price of oil, a capital-intensive commodity, provoke conflict. We also find that price increases for lootable artisanal minerals provoke conflict. Our meta-analysis consolidates existing evidence, but also highlights opportunities for future research.","container-title":"American Political Science Review","DOI":"10.1017/S0003055420000957","ISSN":"0003-0554, 1537-5943","issue":"2","journalAbbreviation":"Am Polit Sci Rev","language":"en","page":"709-716","source":"DOI.org (Crossref)","title":"Do Commodity Price Shocks Cause Armed Conflict? A Meta-Analysis of Natural Experiments","title-short":"Do Commodity Price Shocks Cause Armed Conflict?","volume":"115","author":[{"family":"Blair","given":"Graeme"},{"family":"Christensen","given":"Darin"},{"family":"Rudkin","given":"Aaron"}],"issued":{"date-parts":[["2021",5]]}}}],"schema":"https://github.com/citation-style-language/schema/raw/master/csl-citation.json"} </w:instrText>
      </w:r>
      <w:r w:rsidRPr="00CF7667">
        <w:rPr>
          <w:rFonts w:ascii="Times New Roman" w:hAnsi="Times New Roman" w:cs="Times New Roman"/>
        </w:rPr>
        <w:fldChar w:fldCharType="separate"/>
      </w:r>
      <w:r w:rsidR="00AF206A">
        <w:rPr>
          <w:rFonts w:ascii="Times New Roman" w:hAnsi="Times New Roman" w:cs="Times New Roman"/>
          <w:noProof/>
        </w:rPr>
        <w:t>(Blair et al., 2021)</w:t>
      </w:r>
      <w:r w:rsidRPr="00CF7667">
        <w:rPr>
          <w:rFonts w:ascii="Times New Roman" w:hAnsi="Times New Roman" w:cs="Times New Roman"/>
        </w:rPr>
        <w:fldChar w:fldCharType="end"/>
      </w:r>
    </w:p>
  </w:endnote>
  <w:endnote w:id="3">
    <w:p w14:paraId="28170954" w14:textId="2648FDFD" w:rsidR="00386C2E" w:rsidRPr="00CF7667" w:rsidRDefault="00386C2E">
      <w:pPr>
        <w:pStyle w:val="EndnoteText"/>
        <w:rPr>
          <w:rFonts w:ascii="Times New Roman" w:hAnsi="Times New Roman" w:cs="Times New Roman"/>
        </w:rPr>
      </w:pPr>
      <w:r w:rsidRPr="00CF7667">
        <w:rPr>
          <w:rStyle w:val="EndnoteReference"/>
          <w:rFonts w:ascii="Times New Roman" w:hAnsi="Times New Roman" w:cs="Times New Roman"/>
        </w:rPr>
        <w:endnoteRef/>
      </w:r>
      <w:r w:rsidRPr="00CF7667">
        <w:rPr>
          <w:rFonts w:ascii="Times New Roman" w:hAnsi="Times New Roman" w:cs="Times New Roman"/>
        </w:rPr>
        <w:t xml:space="preserve"> It is also of course possible that the relationship is reversed, such that high anxiety and risk may have heterogeneous effects on political trust. We address this general concern in the concluding discussion.</w:t>
      </w:r>
    </w:p>
  </w:endnote>
  <w:endnote w:id="4">
    <w:p w14:paraId="0FF41D52" w14:textId="54EA703E" w:rsidR="00386C2E" w:rsidRPr="00CF7667" w:rsidRDefault="00386C2E">
      <w:pPr>
        <w:pStyle w:val="EndnoteText"/>
        <w:rPr>
          <w:rFonts w:ascii="Times New Roman" w:hAnsi="Times New Roman" w:cs="Times New Roman"/>
        </w:rPr>
      </w:pPr>
      <w:r w:rsidRPr="00CF7667">
        <w:rPr>
          <w:rStyle w:val="EndnoteReference"/>
          <w:rFonts w:ascii="Times New Roman" w:hAnsi="Times New Roman" w:cs="Times New Roman"/>
        </w:rPr>
        <w:endnoteRef/>
      </w:r>
      <w:r w:rsidRPr="00CF7667">
        <w:rPr>
          <w:rFonts w:ascii="Times New Roman" w:hAnsi="Times New Roman" w:cs="Times New Roman"/>
        </w:rPr>
        <w:t xml:space="preserve"> The asterisk (*) stands in for any characters, including no characters, so that ‘vaccin*’ can be ‘vaccines’, ‘vaccine’, or ‘vaccination’. The dollar sign ($) represents zero or one character such that ‘behavio$r’ can be ‘behavior’ or ‘behaviour’. </w:t>
      </w:r>
    </w:p>
  </w:endnote>
  <w:endnote w:id="5">
    <w:p w14:paraId="45C73AE3" w14:textId="1C6E746E" w:rsidR="00386C2E" w:rsidRPr="00CF7667" w:rsidRDefault="00386C2E">
      <w:pPr>
        <w:pStyle w:val="EndnoteText"/>
        <w:rPr>
          <w:rFonts w:ascii="Times New Roman" w:hAnsi="Times New Roman" w:cs="Times New Roman"/>
        </w:rPr>
      </w:pPr>
      <w:r w:rsidRPr="00CF7667">
        <w:rPr>
          <w:rStyle w:val="EndnoteReference"/>
          <w:rFonts w:ascii="Times New Roman" w:hAnsi="Times New Roman" w:cs="Times New Roman"/>
        </w:rPr>
        <w:endnoteRef/>
      </w:r>
      <w:r w:rsidRPr="00CF7667">
        <w:rPr>
          <w:rFonts w:ascii="Times New Roman" w:hAnsi="Times New Roman" w:cs="Times New Roman"/>
        </w:rPr>
        <w:t xml:space="preserve"> We did not specify whether the returns had to be ‘objective’ (such as recorded deaths) or ‘subjective’ (such as reported compliance). The vast majority of our included studies are the latter; just 14 were the former.</w:t>
      </w:r>
    </w:p>
  </w:endnote>
  <w:endnote w:id="6">
    <w:p w14:paraId="0BEC6936" w14:textId="105417CA" w:rsidR="00386C2E" w:rsidRPr="00CF7667" w:rsidRDefault="00386C2E">
      <w:pPr>
        <w:pStyle w:val="EndnoteText"/>
      </w:pPr>
      <w:r w:rsidRPr="00CF7667">
        <w:rPr>
          <w:rStyle w:val="EndnoteReference"/>
          <w:rFonts w:ascii="Times New Roman" w:hAnsi="Times New Roman" w:cs="Times New Roman"/>
        </w:rPr>
        <w:endnoteRef/>
      </w:r>
      <w:r w:rsidRPr="00CF7667">
        <w:rPr>
          <w:rFonts w:ascii="Times New Roman" w:hAnsi="Times New Roman" w:cs="Times New Roman"/>
        </w:rPr>
        <w:t xml:space="preserve"> Please see Appendix Section 8 for a description of what this harmonisation involved.</w:t>
      </w:r>
    </w:p>
  </w:endnote>
  <w:endnote w:id="7">
    <w:p w14:paraId="74CD447F" w14:textId="2A895F77" w:rsidR="00386C2E" w:rsidRPr="00CF7667" w:rsidRDefault="00386C2E" w:rsidP="00B475CE">
      <w:pPr>
        <w:pStyle w:val="EndnoteText"/>
      </w:pPr>
      <w:r w:rsidRPr="00CF7667">
        <w:rPr>
          <w:rStyle w:val="EndnoteReference"/>
        </w:rPr>
        <w:endnoteRef/>
      </w:r>
      <w:r w:rsidRPr="00CF7667">
        <w:t xml:space="preserve"> </w:t>
      </w:r>
      <w:r w:rsidRPr="00CF7667">
        <w:rPr>
          <w:rFonts w:ascii="Times New Roman" w:hAnsi="Times New Roman" w:cs="Times New Roman"/>
        </w:rPr>
        <w:t>‘Preferred Reporting Items for Systematic Reviews and Meta-Analyses’ (PRISMA), see http://www. prisma-statement.org.</w:t>
      </w:r>
      <w:r w:rsidRPr="00CF7667">
        <w:t xml:space="preserve"> </w:t>
      </w:r>
    </w:p>
  </w:endnote>
  <w:endnote w:id="8">
    <w:p w14:paraId="5582605D" w14:textId="7320318B" w:rsidR="00386C2E" w:rsidRPr="00CF7667" w:rsidRDefault="00386C2E">
      <w:pPr>
        <w:pStyle w:val="EndnoteText"/>
        <w:rPr>
          <w:rFonts w:ascii="Times New Roman" w:eastAsiaTheme="minorEastAsia" w:hAnsi="Times New Roman" w:cs="Times New Roman"/>
        </w:rPr>
      </w:pPr>
      <w:r w:rsidRPr="00CF7667">
        <w:rPr>
          <w:rStyle w:val="EndnoteReference"/>
        </w:rPr>
        <w:endnoteRef/>
      </w:r>
      <w:r w:rsidRPr="00CF7667">
        <w:t xml:space="preserve"> </w:t>
      </w:r>
      <w:r w:rsidRPr="00CF7667">
        <w:rPr>
          <w:rFonts w:ascii="Times New Roman" w:hAnsi="Times New Roman" w:cs="Times New Roman"/>
        </w:rPr>
        <w:t xml:space="preserve">The partial correlation is given by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p1</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f</m:t>
                </m:r>
              </m:sub>
            </m:sSub>
            <m:ctrlPr>
              <w:rPr>
                <w:rFonts w:ascii="Cambria Math" w:hAnsi="Cambria Math" w:cs="Times New Roman"/>
                <w:i/>
              </w:rPr>
            </m:ctrlPr>
          </m:num>
          <m:den>
            <m:rad>
              <m:radPr>
                <m:degHide m:val="1"/>
                <m:ctrlPr>
                  <w:rPr>
                    <w:rFonts w:ascii="Cambria Math" w:hAnsi="Cambria Math" w:cs="Times New Roman"/>
                  </w:rPr>
                </m:ctrlPr>
              </m:radPr>
              <m:deg>
                <m:ctrlPr>
                  <w:rPr>
                    <w:rFonts w:ascii="Cambria Math" w:hAnsi="Cambria Math" w:cs="Times New Roman"/>
                    <w:i/>
                  </w:rPr>
                </m:ctrlPr>
              </m:deg>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f</m:t>
                    </m:r>
                  </m:sub>
                  <m:sup>
                    <m:r>
                      <w:rPr>
                        <w:rFonts w:ascii="Cambria Math" w:hAnsi="Cambria Math" w:cs="Times New Roman"/>
                      </w:rPr>
                      <m:t>2</m:t>
                    </m:r>
                  </m:sup>
                </m:sSub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n-p-1</m:t>
                    </m:r>
                  </m:e>
                </m:d>
              </m:e>
            </m:rad>
            <m:ctrlPr>
              <w:rPr>
                <w:rFonts w:ascii="Cambria Math" w:hAnsi="Cambria Math" w:cs="Times New Roman"/>
                <w:i/>
              </w:rPr>
            </m:ctrlPr>
          </m:den>
        </m:f>
      </m:oMath>
      <w:r w:rsidRPr="00CF7667">
        <w:rPr>
          <w:rFonts w:ascii="Times New Roman" w:eastAsiaTheme="minorEastAsia" w:hAnsi="Times New Roman" w:cs="Times New Roman"/>
        </w:rPr>
        <w:t xml:space="preserve"> where </w:t>
      </w:r>
      <w:r w:rsidRPr="00CF7667">
        <w:rPr>
          <w:rFonts w:ascii="Times New Roman" w:eastAsiaTheme="minorEastAsia" w:hAnsi="Times New Roman" w:cs="Times New Roman"/>
          <w:i/>
          <w:iCs/>
        </w:rPr>
        <w:t>t</w:t>
      </w:r>
      <w:r w:rsidRPr="00CF7667">
        <w:rPr>
          <w:rFonts w:ascii="Times New Roman" w:eastAsiaTheme="minorEastAsia" w:hAnsi="Times New Roman" w:cs="Times New Roman"/>
          <w:i/>
          <w:iCs/>
          <w:vertAlign w:val="subscript"/>
        </w:rPr>
        <w:t>f</w:t>
      </w:r>
      <w:r w:rsidRPr="00CF7667">
        <w:rPr>
          <w:rFonts w:ascii="Times New Roman" w:eastAsiaTheme="minorEastAsia" w:hAnsi="Times New Roman" w:cs="Times New Roman"/>
        </w:rPr>
        <w:t xml:space="preserve"> is the t-test of the regression coefficient, </w:t>
      </w:r>
      <w:r w:rsidRPr="00CF7667">
        <w:rPr>
          <w:rFonts w:ascii="Times New Roman" w:eastAsiaTheme="minorEastAsia" w:hAnsi="Times New Roman" w:cs="Times New Roman"/>
          <w:i/>
          <w:iCs/>
        </w:rPr>
        <w:t>n – p – 1</w:t>
      </w:r>
      <w:r w:rsidRPr="00CF7667">
        <w:rPr>
          <w:rFonts w:ascii="Times New Roman" w:eastAsiaTheme="minorEastAsia" w:hAnsi="Times New Roman" w:cs="Times New Roman"/>
        </w:rPr>
        <w:t xml:space="preserve"> is the degrees of freedom in which p is the number of predictors and n number of cases (sample size). The product of this, </w:t>
      </w:r>
      <w:r w:rsidRPr="00CF7667">
        <w:rPr>
          <w:rFonts w:ascii="Times New Roman" w:eastAsiaTheme="minorEastAsia" w:hAnsi="Times New Roman" w:cs="Times New Roman"/>
          <w:i/>
          <w:iCs/>
        </w:rPr>
        <w:t xml:space="preserve">r, </w:t>
      </w:r>
      <w:r w:rsidRPr="00CF7667">
        <w:rPr>
          <w:rFonts w:ascii="Times New Roman" w:eastAsiaTheme="minorEastAsia" w:hAnsi="Times New Roman" w:cs="Times New Roman"/>
        </w:rPr>
        <w:t xml:space="preserve">is then z-transformed by </w:t>
      </w:r>
      <m:oMath>
        <m:r>
          <m:rPr>
            <m:sty m:val="p"/>
          </m:rPr>
          <w:rPr>
            <w:rFonts w:ascii="Cambria Math" w:eastAsiaTheme="minorEastAsia" w:hAnsi="Cambria Math" w:cs="Times New Roman"/>
          </w:rPr>
          <m:t>z=</m:t>
        </m:r>
        <m:f>
          <m:fPr>
            <m:ctrlPr>
              <w:rPr>
                <w:rFonts w:ascii="Cambria Math" w:eastAsiaTheme="minorEastAsia" w:hAnsi="Cambria Math" w:cs="Times New Roman"/>
              </w:rPr>
            </m:ctrlPr>
          </m:fPr>
          <m:num>
            <m:r>
              <m:rPr>
                <m:sty m:val="p"/>
              </m:rPr>
              <w:rPr>
                <w:rFonts w:ascii="Cambria Math" w:eastAsiaTheme="minorEastAsia" w:hAnsi="Cambria Math" w:cs="Times New Roman"/>
              </w:rPr>
              <m:t>1</m:t>
            </m:r>
          </m:num>
          <m:den>
            <m:r>
              <m:rPr>
                <m:sty m:val="p"/>
              </m:rPr>
              <w:rPr>
                <w:rFonts w:ascii="Cambria Math" w:eastAsiaTheme="minorEastAsia" w:hAnsi="Cambria Math" w:cs="Times New Roman"/>
              </w:rPr>
              <m:t>2</m:t>
            </m:r>
          </m:den>
        </m:f>
        <m:func>
          <m:funcPr>
            <m:ctrlPr>
              <w:rPr>
                <w:rFonts w:ascii="Cambria Math" w:eastAsiaTheme="minorEastAsia" w:hAnsi="Cambria Math" w:cs="Times New Roman"/>
              </w:rPr>
            </m:ctrlPr>
          </m:funcPr>
          <m:fName>
            <m:r>
              <m:rPr>
                <m:sty m:val="p"/>
              </m:rPr>
              <w:rPr>
                <w:rFonts w:ascii="Cambria Math" w:eastAsiaTheme="minorEastAsia" w:hAnsi="Cambria Math" w:cs="Times New Roman"/>
              </w:rPr>
              <m:t>log</m:t>
            </m:r>
          </m:fName>
          <m:e>
            <m:f>
              <m:fPr>
                <m:ctrlPr>
                  <w:rPr>
                    <w:rFonts w:ascii="Cambria Math" w:eastAsiaTheme="minorEastAsia" w:hAnsi="Cambria Math" w:cs="Times New Roman"/>
                  </w:rPr>
                </m:ctrlPr>
              </m:fPr>
              <m:num>
                <m:r>
                  <m:rPr>
                    <m:sty m:val="p"/>
                  </m:rPr>
                  <w:rPr>
                    <w:rFonts w:ascii="Cambria Math" w:eastAsiaTheme="minorEastAsia" w:hAnsi="Cambria Math" w:cs="Times New Roman"/>
                  </w:rPr>
                  <m:t>1+r</m:t>
                </m:r>
              </m:num>
              <m:den>
                <m:r>
                  <m:rPr>
                    <m:sty m:val="p"/>
                  </m:rPr>
                  <w:rPr>
                    <w:rFonts w:ascii="Cambria Math" w:eastAsiaTheme="minorEastAsia" w:hAnsi="Cambria Math" w:cs="Times New Roman"/>
                  </w:rPr>
                  <m:t>1-r</m:t>
                </m:r>
              </m:den>
            </m:f>
            <m:r>
              <m:rPr>
                <m:sty m:val="p"/>
              </m:rPr>
              <w:rPr>
                <w:rFonts w:ascii="Cambria Math" w:eastAsiaTheme="minorEastAsia" w:hAnsi="Cambria Math" w:cs="Times New Roman"/>
              </w:rPr>
              <m:t xml:space="preserve"> </m:t>
            </m:r>
          </m:e>
        </m:func>
      </m:oMath>
      <w:r w:rsidRPr="00CF7667">
        <w:rPr>
          <w:rFonts w:ascii="Times New Roman" w:eastAsiaTheme="minorEastAsia" w:hAnsi="Times New Roman" w:cs="Times New Roman"/>
        </w:rPr>
        <w:t>. The Z transformation means the effect sizes are more normally distributed (without the transformation, the distribution would be negatively skewed), and the coefficients from different samples can be compared.</w:t>
      </w:r>
    </w:p>
  </w:endnote>
  <w:endnote w:id="9">
    <w:p w14:paraId="51A519D1" w14:textId="2566D384" w:rsidR="00386C2E" w:rsidRPr="00CF7667" w:rsidRDefault="00386C2E">
      <w:pPr>
        <w:pStyle w:val="EndnoteText"/>
        <w:rPr>
          <w:rFonts w:ascii="Times New Roman" w:hAnsi="Times New Roman" w:cs="Times New Roman"/>
        </w:rPr>
      </w:pPr>
      <w:r w:rsidRPr="00CF7667">
        <w:rPr>
          <w:rStyle w:val="EndnoteReference"/>
          <w:rFonts w:ascii="Times New Roman" w:hAnsi="Times New Roman" w:cs="Times New Roman"/>
        </w:rPr>
        <w:endnoteRef/>
      </w:r>
      <w:r w:rsidRPr="00CF7667">
        <w:rPr>
          <w:rFonts w:ascii="Times New Roman" w:hAnsi="Times New Roman" w:cs="Times New Roman"/>
        </w:rPr>
        <w:t xml:space="preserve"> The I</w:t>
      </w:r>
      <w:r w:rsidRPr="00CF7667">
        <w:rPr>
          <w:rFonts w:ascii="Times New Roman" w:hAnsi="Times New Roman" w:cs="Times New Roman"/>
          <w:vertAlign w:val="superscript"/>
        </w:rPr>
        <w:t xml:space="preserve">2 </w:t>
      </w:r>
      <w:r w:rsidRPr="00CF7667">
        <w:rPr>
          <w:rFonts w:ascii="Times New Roman" w:hAnsi="Times New Roman" w:cs="Times New Roman"/>
        </w:rPr>
        <w:t>statistics, which indicate the percentage of variability in effects due to heterogeneity rather than chance, range from 96% to 99% and the Q test for heterogeneity is significant at the p &lt; 0.0001 level for all models.</w:t>
      </w:r>
    </w:p>
  </w:endnote>
  <w:endnote w:id="10">
    <w:p w14:paraId="59EA009A" w14:textId="45D91FFC" w:rsidR="00386C2E" w:rsidRDefault="00386C2E" w:rsidP="008564CC">
      <w:pPr>
        <w:pStyle w:val="EndnoteText"/>
      </w:pPr>
      <w:r w:rsidRPr="00CF7667">
        <w:rPr>
          <w:rStyle w:val="EndnoteReference"/>
        </w:rPr>
        <w:endnoteRef/>
      </w:r>
      <w:r w:rsidRPr="00CF7667">
        <w:t xml:space="preserve"> </w:t>
      </w:r>
      <w:r w:rsidRPr="00CF7667">
        <w:rPr>
          <w:rFonts w:ascii="Times New Roman" w:hAnsi="Times New Roman" w:cs="Times New Roman"/>
        </w:rPr>
        <w:t>We keep to the simplest case of time since the global onset of the pandemic, as waves and other measures vary substantially by country.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BA797" w14:textId="77777777" w:rsidR="00C56A2B" w:rsidRDefault="00C56A2B" w:rsidP="006B6D9D">
      <w:r>
        <w:separator/>
      </w:r>
    </w:p>
  </w:footnote>
  <w:footnote w:type="continuationSeparator" w:id="0">
    <w:p w14:paraId="3B33B549" w14:textId="77777777" w:rsidR="00C56A2B" w:rsidRDefault="00C56A2B" w:rsidP="006B6D9D">
      <w:r>
        <w:continuationSeparator/>
      </w:r>
    </w:p>
  </w:footnote>
  <w:footnote w:id="1">
    <w:p w14:paraId="2739AB95" w14:textId="77777777" w:rsidR="00A80C63" w:rsidRPr="001D7B22" w:rsidRDefault="00A80C63" w:rsidP="00A80C63">
      <w:pPr>
        <w:pStyle w:val="FootnoteText"/>
        <w:rPr>
          <w:rFonts w:ascii="Times New Roman" w:hAnsi="Times New Roman" w:cs="Times New Roman"/>
        </w:rPr>
      </w:pPr>
      <w:r w:rsidRPr="008A1398">
        <w:rPr>
          <w:rStyle w:val="FootnoteReference"/>
        </w:rPr>
        <w:footnoteRef/>
      </w:r>
      <w:r w:rsidRPr="001D7B22">
        <w:rPr>
          <w:rFonts w:ascii="Times New Roman" w:hAnsi="Times New Roman" w:cs="Times New Roman"/>
        </w:rPr>
        <w:t xml:space="preserve"> St Hilda’s College, University of Oxford. Corresponding author (Daniel.devine@st-hildas.ox.ac.uk).</w:t>
      </w:r>
    </w:p>
  </w:footnote>
  <w:footnote w:id="2">
    <w:p w14:paraId="6A782F25" w14:textId="77777777" w:rsidR="00A80C63" w:rsidRPr="001D7B22" w:rsidRDefault="00A80C63" w:rsidP="00A80C63">
      <w:pPr>
        <w:pStyle w:val="FootnoteText"/>
        <w:rPr>
          <w:rFonts w:ascii="Times New Roman" w:hAnsi="Times New Roman" w:cs="Times New Roman"/>
        </w:rPr>
      </w:pPr>
      <w:r w:rsidRPr="008A1398">
        <w:rPr>
          <w:rStyle w:val="FootnoteReference"/>
        </w:rPr>
        <w:footnoteRef/>
      </w:r>
      <w:r w:rsidRPr="001D7B22">
        <w:rPr>
          <w:rFonts w:ascii="Times New Roman" w:hAnsi="Times New Roman" w:cs="Times New Roman"/>
        </w:rPr>
        <w:t xml:space="preserve"> University of Southampton</w:t>
      </w:r>
    </w:p>
  </w:footnote>
  <w:footnote w:id="3">
    <w:p w14:paraId="1FB58B3D" w14:textId="40DF879F" w:rsidR="00A80C63" w:rsidRPr="001D7B22" w:rsidRDefault="00A80C63" w:rsidP="00A80C63">
      <w:pPr>
        <w:pStyle w:val="FootnoteText"/>
        <w:rPr>
          <w:rFonts w:ascii="Times New Roman" w:hAnsi="Times New Roman" w:cs="Times New Roman"/>
        </w:rPr>
      </w:pPr>
      <w:r w:rsidRPr="008A1398">
        <w:rPr>
          <w:rStyle w:val="FootnoteReference"/>
        </w:rPr>
        <w:footnoteRef/>
      </w:r>
      <w:r w:rsidRPr="001D7B22">
        <w:rPr>
          <w:rFonts w:ascii="Times New Roman" w:hAnsi="Times New Roman" w:cs="Times New Roman"/>
        </w:rPr>
        <w:t xml:space="preserve"> University of </w:t>
      </w:r>
      <w:r w:rsidR="002546E9">
        <w:rPr>
          <w:rFonts w:ascii="Times New Roman" w:hAnsi="Times New Roman" w:cs="Times New Roman"/>
        </w:rPr>
        <w:t>Edinburgh</w:t>
      </w:r>
    </w:p>
  </w:footnote>
  <w:footnote w:id="4">
    <w:p w14:paraId="12AB731D" w14:textId="77777777" w:rsidR="00A80C63" w:rsidRPr="001D7B22" w:rsidRDefault="00A80C63" w:rsidP="00A80C63">
      <w:pPr>
        <w:pStyle w:val="FootnoteText"/>
        <w:rPr>
          <w:rFonts w:ascii="Times New Roman" w:hAnsi="Times New Roman" w:cs="Times New Roman"/>
        </w:rPr>
      </w:pPr>
      <w:r w:rsidRPr="008A1398">
        <w:rPr>
          <w:rStyle w:val="FootnoteReference"/>
        </w:rPr>
        <w:footnoteRef/>
      </w:r>
      <w:r w:rsidRPr="001D7B22">
        <w:rPr>
          <w:rFonts w:ascii="Times New Roman" w:hAnsi="Times New Roman" w:cs="Times New Roman"/>
        </w:rPr>
        <w:t xml:space="preserve"> University of Southampton</w:t>
      </w:r>
    </w:p>
  </w:footnote>
  <w:footnote w:id="5">
    <w:p w14:paraId="566BCBBE" w14:textId="77777777" w:rsidR="00A80C63" w:rsidRPr="001D7B22" w:rsidRDefault="00A80C63" w:rsidP="00A80C63">
      <w:pPr>
        <w:pStyle w:val="FootnoteText"/>
        <w:rPr>
          <w:rFonts w:ascii="Times New Roman" w:hAnsi="Times New Roman" w:cs="Times New Roman"/>
        </w:rPr>
      </w:pPr>
      <w:r w:rsidRPr="008A1398">
        <w:rPr>
          <w:rStyle w:val="FootnoteReference"/>
        </w:rPr>
        <w:footnoteRef/>
      </w:r>
      <w:r w:rsidRPr="001D7B22">
        <w:rPr>
          <w:rFonts w:ascii="Times New Roman" w:hAnsi="Times New Roman" w:cs="Times New Roman"/>
        </w:rPr>
        <w:t xml:space="preserve"> University of Exeter</w:t>
      </w:r>
    </w:p>
  </w:footnote>
  <w:footnote w:id="6">
    <w:p w14:paraId="0074184F" w14:textId="77777777" w:rsidR="00A80C63" w:rsidRPr="001D7B22" w:rsidRDefault="00A80C63" w:rsidP="00A80C63">
      <w:pPr>
        <w:pStyle w:val="FootnoteText"/>
        <w:rPr>
          <w:rFonts w:ascii="Times New Roman" w:hAnsi="Times New Roman" w:cs="Times New Roman"/>
        </w:rPr>
      </w:pPr>
      <w:r w:rsidRPr="008A1398">
        <w:rPr>
          <w:rStyle w:val="FootnoteReference"/>
        </w:rPr>
        <w:footnoteRef/>
      </w:r>
      <w:r w:rsidRPr="001D7B22">
        <w:rPr>
          <w:rFonts w:ascii="Times New Roman" w:hAnsi="Times New Roman" w:cs="Times New Roman"/>
        </w:rPr>
        <w:t xml:space="preserve"> University of Exeter</w:t>
      </w:r>
    </w:p>
  </w:footnote>
  <w:footnote w:id="7">
    <w:p w14:paraId="00D551D7" w14:textId="77777777" w:rsidR="00A80C63" w:rsidRDefault="00A80C63" w:rsidP="00A80C63">
      <w:pPr>
        <w:pStyle w:val="FootnoteText"/>
      </w:pPr>
      <w:r w:rsidRPr="008A1398">
        <w:rPr>
          <w:rStyle w:val="FootnoteReference"/>
        </w:rPr>
        <w:footnoteRef/>
      </w:r>
      <w:r w:rsidRPr="001D7B22">
        <w:rPr>
          <w:rFonts w:ascii="Times New Roman" w:hAnsi="Times New Roman" w:cs="Times New Roman"/>
        </w:rPr>
        <w:t xml:space="preserve"> University of Southampton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D62"/>
    <w:multiLevelType w:val="hybridMultilevel"/>
    <w:tmpl w:val="E06C2924"/>
    <w:lvl w:ilvl="0" w:tplc="E3B646E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3F65FF"/>
    <w:multiLevelType w:val="hybridMultilevel"/>
    <w:tmpl w:val="D42E6D28"/>
    <w:lvl w:ilvl="0" w:tplc="15E664C2">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633241"/>
    <w:multiLevelType w:val="hybridMultilevel"/>
    <w:tmpl w:val="3A4E1BDE"/>
    <w:lvl w:ilvl="0" w:tplc="E61A29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B0C7E4E"/>
    <w:multiLevelType w:val="hybridMultilevel"/>
    <w:tmpl w:val="DB4EC0FA"/>
    <w:lvl w:ilvl="0" w:tplc="3F5286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001986"/>
    <w:multiLevelType w:val="hybridMultilevel"/>
    <w:tmpl w:val="7494F25A"/>
    <w:lvl w:ilvl="0" w:tplc="21B441B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782246"/>
    <w:multiLevelType w:val="hybridMultilevel"/>
    <w:tmpl w:val="F1E0A660"/>
    <w:lvl w:ilvl="0" w:tplc="DDA2510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5A1BD4"/>
    <w:multiLevelType w:val="hybridMultilevel"/>
    <w:tmpl w:val="EE888AB8"/>
    <w:lvl w:ilvl="0" w:tplc="74426F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3111908">
    <w:abstractNumId w:val="0"/>
  </w:num>
  <w:num w:numId="2" w16cid:durableId="803428705">
    <w:abstractNumId w:val="6"/>
  </w:num>
  <w:num w:numId="3" w16cid:durableId="790322115">
    <w:abstractNumId w:val="3"/>
  </w:num>
  <w:num w:numId="4" w16cid:durableId="1774352251">
    <w:abstractNumId w:val="1"/>
  </w:num>
  <w:num w:numId="5" w16cid:durableId="44523960">
    <w:abstractNumId w:val="4"/>
  </w:num>
  <w:num w:numId="6" w16cid:durableId="97525654">
    <w:abstractNumId w:val="2"/>
  </w:num>
  <w:num w:numId="7" w16cid:durableId="1219708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6B"/>
    <w:rsid w:val="0000049A"/>
    <w:rsid w:val="00004686"/>
    <w:rsid w:val="00007A18"/>
    <w:rsid w:val="00007EDA"/>
    <w:rsid w:val="0001059B"/>
    <w:rsid w:val="000129E9"/>
    <w:rsid w:val="00026356"/>
    <w:rsid w:val="0002769C"/>
    <w:rsid w:val="00027F15"/>
    <w:rsid w:val="00032535"/>
    <w:rsid w:val="00040E97"/>
    <w:rsid w:val="000431CB"/>
    <w:rsid w:val="00045B23"/>
    <w:rsid w:val="0005270E"/>
    <w:rsid w:val="000604A1"/>
    <w:rsid w:val="0006255A"/>
    <w:rsid w:val="000650AF"/>
    <w:rsid w:val="00081661"/>
    <w:rsid w:val="00084207"/>
    <w:rsid w:val="000868A3"/>
    <w:rsid w:val="0008785B"/>
    <w:rsid w:val="00090758"/>
    <w:rsid w:val="00096C78"/>
    <w:rsid w:val="00097064"/>
    <w:rsid w:val="000A2B25"/>
    <w:rsid w:val="000A5F41"/>
    <w:rsid w:val="000A6A07"/>
    <w:rsid w:val="000B0EBC"/>
    <w:rsid w:val="000B1DCB"/>
    <w:rsid w:val="000C5A4F"/>
    <w:rsid w:val="000D32C6"/>
    <w:rsid w:val="000D526A"/>
    <w:rsid w:val="000D5C1B"/>
    <w:rsid w:val="000F2E71"/>
    <w:rsid w:val="000F5BCC"/>
    <w:rsid w:val="00101403"/>
    <w:rsid w:val="00104D40"/>
    <w:rsid w:val="0011360B"/>
    <w:rsid w:val="00114D80"/>
    <w:rsid w:val="00115C39"/>
    <w:rsid w:val="0012102C"/>
    <w:rsid w:val="00125EF8"/>
    <w:rsid w:val="00130806"/>
    <w:rsid w:val="00134C08"/>
    <w:rsid w:val="00136DC7"/>
    <w:rsid w:val="001425E9"/>
    <w:rsid w:val="0014347A"/>
    <w:rsid w:val="001461FD"/>
    <w:rsid w:val="0015100D"/>
    <w:rsid w:val="00153A2D"/>
    <w:rsid w:val="00156707"/>
    <w:rsid w:val="00161091"/>
    <w:rsid w:val="00162B70"/>
    <w:rsid w:val="001679B1"/>
    <w:rsid w:val="00180327"/>
    <w:rsid w:val="00181FDF"/>
    <w:rsid w:val="00184DF0"/>
    <w:rsid w:val="00187121"/>
    <w:rsid w:val="0019132D"/>
    <w:rsid w:val="00191A9A"/>
    <w:rsid w:val="001933E1"/>
    <w:rsid w:val="001935ED"/>
    <w:rsid w:val="001A1C84"/>
    <w:rsid w:val="001A22B2"/>
    <w:rsid w:val="001A2318"/>
    <w:rsid w:val="001B340C"/>
    <w:rsid w:val="001C5885"/>
    <w:rsid w:val="001C7E16"/>
    <w:rsid w:val="001D3A22"/>
    <w:rsid w:val="001D3F6C"/>
    <w:rsid w:val="001D5C2B"/>
    <w:rsid w:val="001D6A8D"/>
    <w:rsid w:val="001E3267"/>
    <w:rsid w:val="001E638B"/>
    <w:rsid w:val="00203556"/>
    <w:rsid w:val="00222393"/>
    <w:rsid w:val="0022323A"/>
    <w:rsid w:val="00223C90"/>
    <w:rsid w:val="00225CC1"/>
    <w:rsid w:val="002403FD"/>
    <w:rsid w:val="00247DD1"/>
    <w:rsid w:val="0025269D"/>
    <w:rsid w:val="00252DC9"/>
    <w:rsid w:val="002546E9"/>
    <w:rsid w:val="00256F71"/>
    <w:rsid w:val="00257D35"/>
    <w:rsid w:val="0026793C"/>
    <w:rsid w:val="00273020"/>
    <w:rsid w:val="00285492"/>
    <w:rsid w:val="002910AE"/>
    <w:rsid w:val="002930C1"/>
    <w:rsid w:val="00295F33"/>
    <w:rsid w:val="002A13FB"/>
    <w:rsid w:val="002A1C1F"/>
    <w:rsid w:val="002A21A3"/>
    <w:rsid w:val="002A464B"/>
    <w:rsid w:val="002B7F7D"/>
    <w:rsid w:val="002C161A"/>
    <w:rsid w:val="002C7F38"/>
    <w:rsid w:val="002D297F"/>
    <w:rsid w:val="002D372D"/>
    <w:rsid w:val="002D698F"/>
    <w:rsid w:val="002D6D0C"/>
    <w:rsid w:val="002E1A01"/>
    <w:rsid w:val="002E2C29"/>
    <w:rsid w:val="002E3D92"/>
    <w:rsid w:val="002F0BAA"/>
    <w:rsid w:val="002F180C"/>
    <w:rsid w:val="002F38E7"/>
    <w:rsid w:val="002F5538"/>
    <w:rsid w:val="00304F80"/>
    <w:rsid w:val="0030690A"/>
    <w:rsid w:val="00313F17"/>
    <w:rsid w:val="00315EA6"/>
    <w:rsid w:val="00326070"/>
    <w:rsid w:val="00327A50"/>
    <w:rsid w:val="00327EDF"/>
    <w:rsid w:val="0033171E"/>
    <w:rsid w:val="003374F7"/>
    <w:rsid w:val="00343FD1"/>
    <w:rsid w:val="00344562"/>
    <w:rsid w:val="003510FA"/>
    <w:rsid w:val="003518B5"/>
    <w:rsid w:val="00354F24"/>
    <w:rsid w:val="0035723C"/>
    <w:rsid w:val="0037180B"/>
    <w:rsid w:val="00373EEB"/>
    <w:rsid w:val="00381ED9"/>
    <w:rsid w:val="00386C2E"/>
    <w:rsid w:val="003937DD"/>
    <w:rsid w:val="003A24FC"/>
    <w:rsid w:val="003B0CC6"/>
    <w:rsid w:val="003B3096"/>
    <w:rsid w:val="003B6B02"/>
    <w:rsid w:val="003B770F"/>
    <w:rsid w:val="003C558B"/>
    <w:rsid w:val="003D0621"/>
    <w:rsid w:val="003D7951"/>
    <w:rsid w:val="003E310C"/>
    <w:rsid w:val="003E751A"/>
    <w:rsid w:val="003E7B66"/>
    <w:rsid w:val="003F6644"/>
    <w:rsid w:val="003F70B5"/>
    <w:rsid w:val="003F7607"/>
    <w:rsid w:val="00406551"/>
    <w:rsid w:val="0041587D"/>
    <w:rsid w:val="004159E3"/>
    <w:rsid w:val="004229DD"/>
    <w:rsid w:val="0042348D"/>
    <w:rsid w:val="00431CC8"/>
    <w:rsid w:val="00432F00"/>
    <w:rsid w:val="00441F25"/>
    <w:rsid w:val="00442312"/>
    <w:rsid w:val="00457999"/>
    <w:rsid w:val="0046032E"/>
    <w:rsid w:val="00461132"/>
    <w:rsid w:val="004671A9"/>
    <w:rsid w:val="00467AF3"/>
    <w:rsid w:val="0047380D"/>
    <w:rsid w:val="00481A5B"/>
    <w:rsid w:val="00483D6A"/>
    <w:rsid w:val="004842DD"/>
    <w:rsid w:val="00490997"/>
    <w:rsid w:val="00495400"/>
    <w:rsid w:val="00495829"/>
    <w:rsid w:val="004A25E2"/>
    <w:rsid w:val="004A5504"/>
    <w:rsid w:val="004A7B0B"/>
    <w:rsid w:val="004B66CC"/>
    <w:rsid w:val="004B76DC"/>
    <w:rsid w:val="004C0D5D"/>
    <w:rsid w:val="004C7BBC"/>
    <w:rsid w:val="004D54DC"/>
    <w:rsid w:val="004D5B93"/>
    <w:rsid w:val="004F0000"/>
    <w:rsid w:val="004F3B77"/>
    <w:rsid w:val="004F42EE"/>
    <w:rsid w:val="004F4CA5"/>
    <w:rsid w:val="0050030F"/>
    <w:rsid w:val="005054E4"/>
    <w:rsid w:val="005057BB"/>
    <w:rsid w:val="00505F8A"/>
    <w:rsid w:val="00510136"/>
    <w:rsid w:val="00510E34"/>
    <w:rsid w:val="00510F0F"/>
    <w:rsid w:val="00520549"/>
    <w:rsid w:val="00523500"/>
    <w:rsid w:val="00527E07"/>
    <w:rsid w:val="005402B8"/>
    <w:rsid w:val="00541410"/>
    <w:rsid w:val="00541537"/>
    <w:rsid w:val="00544326"/>
    <w:rsid w:val="0054523B"/>
    <w:rsid w:val="00550057"/>
    <w:rsid w:val="005537A8"/>
    <w:rsid w:val="005652EB"/>
    <w:rsid w:val="005678BB"/>
    <w:rsid w:val="00574956"/>
    <w:rsid w:val="00575D96"/>
    <w:rsid w:val="005766F3"/>
    <w:rsid w:val="00582396"/>
    <w:rsid w:val="00587DE7"/>
    <w:rsid w:val="00592C7A"/>
    <w:rsid w:val="00593876"/>
    <w:rsid w:val="005938C4"/>
    <w:rsid w:val="00594CB4"/>
    <w:rsid w:val="00594DA0"/>
    <w:rsid w:val="00596F43"/>
    <w:rsid w:val="005A09CC"/>
    <w:rsid w:val="005A19E1"/>
    <w:rsid w:val="005A6EF7"/>
    <w:rsid w:val="005B0463"/>
    <w:rsid w:val="005B1215"/>
    <w:rsid w:val="005B7E6D"/>
    <w:rsid w:val="005C4887"/>
    <w:rsid w:val="005D1157"/>
    <w:rsid w:val="005D1874"/>
    <w:rsid w:val="005D7784"/>
    <w:rsid w:val="005E3EB0"/>
    <w:rsid w:val="005F0E9F"/>
    <w:rsid w:val="005F3CBA"/>
    <w:rsid w:val="0060046B"/>
    <w:rsid w:val="00604122"/>
    <w:rsid w:val="0061540E"/>
    <w:rsid w:val="00630AB4"/>
    <w:rsid w:val="00645A9C"/>
    <w:rsid w:val="00652BE0"/>
    <w:rsid w:val="006534AA"/>
    <w:rsid w:val="00653795"/>
    <w:rsid w:val="00655428"/>
    <w:rsid w:val="00662976"/>
    <w:rsid w:val="00663228"/>
    <w:rsid w:val="00673E46"/>
    <w:rsid w:val="00675CEE"/>
    <w:rsid w:val="00682F88"/>
    <w:rsid w:val="00696EE5"/>
    <w:rsid w:val="00697E66"/>
    <w:rsid w:val="006A304A"/>
    <w:rsid w:val="006A61A1"/>
    <w:rsid w:val="006B0B52"/>
    <w:rsid w:val="006B6D9D"/>
    <w:rsid w:val="006D17C5"/>
    <w:rsid w:val="006D4E35"/>
    <w:rsid w:val="006D66D1"/>
    <w:rsid w:val="006D7E1D"/>
    <w:rsid w:val="006E082B"/>
    <w:rsid w:val="006E7E8C"/>
    <w:rsid w:val="006F0229"/>
    <w:rsid w:val="006F2BF0"/>
    <w:rsid w:val="006F64BF"/>
    <w:rsid w:val="006F6EA9"/>
    <w:rsid w:val="00700803"/>
    <w:rsid w:val="007028FB"/>
    <w:rsid w:val="00703C25"/>
    <w:rsid w:val="007054DA"/>
    <w:rsid w:val="00706001"/>
    <w:rsid w:val="00714778"/>
    <w:rsid w:val="00722210"/>
    <w:rsid w:val="00723C50"/>
    <w:rsid w:val="00727BF1"/>
    <w:rsid w:val="007354DF"/>
    <w:rsid w:val="007508AD"/>
    <w:rsid w:val="00751391"/>
    <w:rsid w:val="00751DE3"/>
    <w:rsid w:val="007612E4"/>
    <w:rsid w:val="0076151B"/>
    <w:rsid w:val="00761C1F"/>
    <w:rsid w:val="00766C81"/>
    <w:rsid w:val="0077010B"/>
    <w:rsid w:val="00774671"/>
    <w:rsid w:val="00783C62"/>
    <w:rsid w:val="007852B6"/>
    <w:rsid w:val="0079097B"/>
    <w:rsid w:val="007962A3"/>
    <w:rsid w:val="007A0EDE"/>
    <w:rsid w:val="007A3BA2"/>
    <w:rsid w:val="007A4FCC"/>
    <w:rsid w:val="007B41B4"/>
    <w:rsid w:val="007C25E3"/>
    <w:rsid w:val="007C4B90"/>
    <w:rsid w:val="007C6077"/>
    <w:rsid w:val="007C7A3E"/>
    <w:rsid w:val="007D0800"/>
    <w:rsid w:val="007E20A6"/>
    <w:rsid w:val="007E35B1"/>
    <w:rsid w:val="007E3D6A"/>
    <w:rsid w:val="007E6C8B"/>
    <w:rsid w:val="007E794A"/>
    <w:rsid w:val="007E7E40"/>
    <w:rsid w:val="007F10B4"/>
    <w:rsid w:val="007F16CD"/>
    <w:rsid w:val="007F384C"/>
    <w:rsid w:val="007F7D77"/>
    <w:rsid w:val="0081195B"/>
    <w:rsid w:val="00816267"/>
    <w:rsid w:val="00817317"/>
    <w:rsid w:val="008265B1"/>
    <w:rsid w:val="00830925"/>
    <w:rsid w:val="0083225B"/>
    <w:rsid w:val="00833506"/>
    <w:rsid w:val="00835534"/>
    <w:rsid w:val="008366D4"/>
    <w:rsid w:val="008373CC"/>
    <w:rsid w:val="00842F74"/>
    <w:rsid w:val="00855511"/>
    <w:rsid w:val="008564CC"/>
    <w:rsid w:val="0086353E"/>
    <w:rsid w:val="00867046"/>
    <w:rsid w:val="00871443"/>
    <w:rsid w:val="00880D28"/>
    <w:rsid w:val="0088205E"/>
    <w:rsid w:val="008821F2"/>
    <w:rsid w:val="008828D8"/>
    <w:rsid w:val="00884D6B"/>
    <w:rsid w:val="008A0B40"/>
    <w:rsid w:val="008A1398"/>
    <w:rsid w:val="008B3EC8"/>
    <w:rsid w:val="008C274D"/>
    <w:rsid w:val="008C2D4C"/>
    <w:rsid w:val="008C54F3"/>
    <w:rsid w:val="008C7418"/>
    <w:rsid w:val="008D3BAC"/>
    <w:rsid w:val="008D3C98"/>
    <w:rsid w:val="008D43AA"/>
    <w:rsid w:val="008D45E2"/>
    <w:rsid w:val="008D77B9"/>
    <w:rsid w:val="008E038A"/>
    <w:rsid w:val="008E19A3"/>
    <w:rsid w:val="008E34AC"/>
    <w:rsid w:val="008E5D25"/>
    <w:rsid w:val="008E66D0"/>
    <w:rsid w:val="008F09CC"/>
    <w:rsid w:val="008F3174"/>
    <w:rsid w:val="008F340F"/>
    <w:rsid w:val="00901528"/>
    <w:rsid w:val="00910658"/>
    <w:rsid w:val="00921254"/>
    <w:rsid w:val="00921A49"/>
    <w:rsid w:val="00922771"/>
    <w:rsid w:val="009333D0"/>
    <w:rsid w:val="00934F87"/>
    <w:rsid w:val="00936179"/>
    <w:rsid w:val="009407E3"/>
    <w:rsid w:val="009426D3"/>
    <w:rsid w:val="0094273E"/>
    <w:rsid w:val="00942D2C"/>
    <w:rsid w:val="00952D4D"/>
    <w:rsid w:val="00955C0D"/>
    <w:rsid w:val="00956FB5"/>
    <w:rsid w:val="00963747"/>
    <w:rsid w:val="00964E63"/>
    <w:rsid w:val="00972AB8"/>
    <w:rsid w:val="009730A7"/>
    <w:rsid w:val="0097586C"/>
    <w:rsid w:val="00976578"/>
    <w:rsid w:val="00986548"/>
    <w:rsid w:val="009868BB"/>
    <w:rsid w:val="00987672"/>
    <w:rsid w:val="00995F98"/>
    <w:rsid w:val="009962DB"/>
    <w:rsid w:val="00997ADD"/>
    <w:rsid w:val="009A0EBA"/>
    <w:rsid w:val="009A2877"/>
    <w:rsid w:val="009A544F"/>
    <w:rsid w:val="009A77DF"/>
    <w:rsid w:val="009B6B12"/>
    <w:rsid w:val="009B76FC"/>
    <w:rsid w:val="009C3B73"/>
    <w:rsid w:val="009D0FD1"/>
    <w:rsid w:val="009D3EA8"/>
    <w:rsid w:val="009E21AB"/>
    <w:rsid w:val="009E2760"/>
    <w:rsid w:val="009E3B4E"/>
    <w:rsid w:val="009E5C88"/>
    <w:rsid w:val="00A027AE"/>
    <w:rsid w:val="00A02DFD"/>
    <w:rsid w:val="00A06E61"/>
    <w:rsid w:val="00A24120"/>
    <w:rsid w:val="00A2591D"/>
    <w:rsid w:val="00A34E51"/>
    <w:rsid w:val="00A55BFD"/>
    <w:rsid w:val="00A610A4"/>
    <w:rsid w:val="00A631A0"/>
    <w:rsid w:val="00A63488"/>
    <w:rsid w:val="00A63B8D"/>
    <w:rsid w:val="00A66201"/>
    <w:rsid w:val="00A66A9E"/>
    <w:rsid w:val="00A67A99"/>
    <w:rsid w:val="00A67F71"/>
    <w:rsid w:val="00A70DF3"/>
    <w:rsid w:val="00A7358C"/>
    <w:rsid w:val="00A77261"/>
    <w:rsid w:val="00A80C63"/>
    <w:rsid w:val="00A81B43"/>
    <w:rsid w:val="00A82540"/>
    <w:rsid w:val="00A82F9F"/>
    <w:rsid w:val="00A8673B"/>
    <w:rsid w:val="00A86B81"/>
    <w:rsid w:val="00A949FA"/>
    <w:rsid w:val="00A96F85"/>
    <w:rsid w:val="00AA6217"/>
    <w:rsid w:val="00AA622E"/>
    <w:rsid w:val="00AB6C6D"/>
    <w:rsid w:val="00AB7065"/>
    <w:rsid w:val="00AB7295"/>
    <w:rsid w:val="00AB7A65"/>
    <w:rsid w:val="00AC2294"/>
    <w:rsid w:val="00AC34BB"/>
    <w:rsid w:val="00AC434F"/>
    <w:rsid w:val="00AE39C2"/>
    <w:rsid w:val="00AF206A"/>
    <w:rsid w:val="00AF4317"/>
    <w:rsid w:val="00AF4A71"/>
    <w:rsid w:val="00AF5CE4"/>
    <w:rsid w:val="00B03BAD"/>
    <w:rsid w:val="00B0588C"/>
    <w:rsid w:val="00B113A6"/>
    <w:rsid w:val="00B11CC1"/>
    <w:rsid w:val="00B151E0"/>
    <w:rsid w:val="00B1720E"/>
    <w:rsid w:val="00B179EF"/>
    <w:rsid w:val="00B2158A"/>
    <w:rsid w:val="00B25477"/>
    <w:rsid w:val="00B26512"/>
    <w:rsid w:val="00B33B70"/>
    <w:rsid w:val="00B40785"/>
    <w:rsid w:val="00B44CFD"/>
    <w:rsid w:val="00B475CE"/>
    <w:rsid w:val="00B51589"/>
    <w:rsid w:val="00B6498D"/>
    <w:rsid w:val="00B66652"/>
    <w:rsid w:val="00B82ABE"/>
    <w:rsid w:val="00B83031"/>
    <w:rsid w:val="00B85481"/>
    <w:rsid w:val="00B909C2"/>
    <w:rsid w:val="00B93E0C"/>
    <w:rsid w:val="00BA56C2"/>
    <w:rsid w:val="00BA5EA9"/>
    <w:rsid w:val="00BB226F"/>
    <w:rsid w:val="00BB2F68"/>
    <w:rsid w:val="00BB53A3"/>
    <w:rsid w:val="00BD0749"/>
    <w:rsid w:val="00BF6DFD"/>
    <w:rsid w:val="00BF75F3"/>
    <w:rsid w:val="00C013C1"/>
    <w:rsid w:val="00C02216"/>
    <w:rsid w:val="00C03B75"/>
    <w:rsid w:val="00C03FE7"/>
    <w:rsid w:val="00C056A4"/>
    <w:rsid w:val="00C05DF0"/>
    <w:rsid w:val="00C06FBC"/>
    <w:rsid w:val="00C13FA5"/>
    <w:rsid w:val="00C204D8"/>
    <w:rsid w:val="00C21688"/>
    <w:rsid w:val="00C36AC9"/>
    <w:rsid w:val="00C46D54"/>
    <w:rsid w:val="00C56A2B"/>
    <w:rsid w:val="00C644C2"/>
    <w:rsid w:val="00C705BA"/>
    <w:rsid w:val="00C71F42"/>
    <w:rsid w:val="00C826DA"/>
    <w:rsid w:val="00C86B7F"/>
    <w:rsid w:val="00C96D5B"/>
    <w:rsid w:val="00CA1132"/>
    <w:rsid w:val="00CA3907"/>
    <w:rsid w:val="00CA4CA3"/>
    <w:rsid w:val="00CA60D5"/>
    <w:rsid w:val="00CB0C8D"/>
    <w:rsid w:val="00CC203E"/>
    <w:rsid w:val="00CC463A"/>
    <w:rsid w:val="00CC4968"/>
    <w:rsid w:val="00CD5F82"/>
    <w:rsid w:val="00CD6A50"/>
    <w:rsid w:val="00CF0296"/>
    <w:rsid w:val="00CF452E"/>
    <w:rsid w:val="00CF58DD"/>
    <w:rsid w:val="00CF7667"/>
    <w:rsid w:val="00D00EDE"/>
    <w:rsid w:val="00D013A1"/>
    <w:rsid w:val="00D0218C"/>
    <w:rsid w:val="00D034F2"/>
    <w:rsid w:val="00D13E7F"/>
    <w:rsid w:val="00D1614E"/>
    <w:rsid w:val="00D21B57"/>
    <w:rsid w:val="00D23840"/>
    <w:rsid w:val="00D275B7"/>
    <w:rsid w:val="00D35BB0"/>
    <w:rsid w:val="00D3767C"/>
    <w:rsid w:val="00D405B8"/>
    <w:rsid w:val="00D40854"/>
    <w:rsid w:val="00D52C31"/>
    <w:rsid w:val="00D53B77"/>
    <w:rsid w:val="00D54FC6"/>
    <w:rsid w:val="00D570EF"/>
    <w:rsid w:val="00D64B4E"/>
    <w:rsid w:val="00D6647E"/>
    <w:rsid w:val="00D72F9F"/>
    <w:rsid w:val="00D767B1"/>
    <w:rsid w:val="00D81604"/>
    <w:rsid w:val="00D93538"/>
    <w:rsid w:val="00D96336"/>
    <w:rsid w:val="00D971DD"/>
    <w:rsid w:val="00DA060D"/>
    <w:rsid w:val="00DA7CD3"/>
    <w:rsid w:val="00DB3EA6"/>
    <w:rsid w:val="00DB5215"/>
    <w:rsid w:val="00DB7303"/>
    <w:rsid w:val="00DC33C3"/>
    <w:rsid w:val="00DC47C8"/>
    <w:rsid w:val="00DD255F"/>
    <w:rsid w:val="00DD43F4"/>
    <w:rsid w:val="00DF3DF3"/>
    <w:rsid w:val="00E0262B"/>
    <w:rsid w:val="00E0714F"/>
    <w:rsid w:val="00E15A44"/>
    <w:rsid w:val="00E2336B"/>
    <w:rsid w:val="00E25342"/>
    <w:rsid w:val="00E3009C"/>
    <w:rsid w:val="00E307A7"/>
    <w:rsid w:val="00E30A6E"/>
    <w:rsid w:val="00E30B75"/>
    <w:rsid w:val="00E32D96"/>
    <w:rsid w:val="00E46642"/>
    <w:rsid w:val="00E47565"/>
    <w:rsid w:val="00E55255"/>
    <w:rsid w:val="00E55D41"/>
    <w:rsid w:val="00E57AD9"/>
    <w:rsid w:val="00E601A9"/>
    <w:rsid w:val="00E652C3"/>
    <w:rsid w:val="00E74EAA"/>
    <w:rsid w:val="00E7687F"/>
    <w:rsid w:val="00E81091"/>
    <w:rsid w:val="00E82D11"/>
    <w:rsid w:val="00E8313A"/>
    <w:rsid w:val="00E921F1"/>
    <w:rsid w:val="00E95DE6"/>
    <w:rsid w:val="00E97521"/>
    <w:rsid w:val="00EA0E9C"/>
    <w:rsid w:val="00EA0F4C"/>
    <w:rsid w:val="00EA5114"/>
    <w:rsid w:val="00EA70E2"/>
    <w:rsid w:val="00EB0623"/>
    <w:rsid w:val="00EB78E7"/>
    <w:rsid w:val="00EC507E"/>
    <w:rsid w:val="00EC6F67"/>
    <w:rsid w:val="00ED00FC"/>
    <w:rsid w:val="00ED3035"/>
    <w:rsid w:val="00ED351A"/>
    <w:rsid w:val="00EE44A2"/>
    <w:rsid w:val="00EE563B"/>
    <w:rsid w:val="00EF1C1B"/>
    <w:rsid w:val="00EF4995"/>
    <w:rsid w:val="00F03B4B"/>
    <w:rsid w:val="00F047D9"/>
    <w:rsid w:val="00F154F7"/>
    <w:rsid w:val="00F15D16"/>
    <w:rsid w:val="00F25125"/>
    <w:rsid w:val="00F25C7D"/>
    <w:rsid w:val="00F278DA"/>
    <w:rsid w:val="00F345B3"/>
    <w:rsid w:val="00F35E13"/>
    <w:rsid w:val="00F374CF"/>
    <w:rsid w:val="00F446C3"/>
    <w:rsid w:val="00F52202"/>
    <w:rsid w:val="00F53FB9"/>
    <w:rsid w:val="00F61201"/>
    <w:rsid w:val="00F6719A"/>
    <w:rsid w:val="00F70E1B"/>
    <w:rsid w:val="00F716F2"/>
    <w:rsid w:val="00F717AA"/>
    <w:rsid w:val="00F73E8E"/>
    <w:rsid w:val="00F91C47"/>
    <w:rsid w:val="00F93E88"/>
    <w:rsid w:val="00F95D01"/>
    <w:rsid w:val="00F960AF"/>
    <w:rsid w:val="00F97E16"/>
    <w:rsid w:val="00FC456D"/>
    <w:rsid w:val="00FC523C"/>
    <w:rsid w:val="00FC7B38"/>
    <w:rsid w:val="00FD0398"/>
    <w:rsid w:val="00FD303F"/>
    <w:rsid w:val="00FD3D08"/>
    <w:rsid w:val="00FD4230"/>
    <w:rsid w:val="00FD6783"/>
    <w:rsid w:val="00FE2FB9"/>
    <w:rsid w:val="00FE3FF9"/>
    <w:rsid w:val="00FF2E1E"/>
    <w:rsid w:val="00FF327C"/>
    <w:rsid w:val="00FF562F"/>
    <w:rsid w:val="00FF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39A4"/>
  <w15:chartTrackingRefBased/>
  <w15:docId w15:val="{5D157C16-2126-FB4B-9623-29108266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D9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6D9D"/>
    <w:rPr>
      <w:sz w:val="20"/>
      <w:szCs w:val="20"/>
    </w:rPr>
  </w:style>
  <w:style w:type="character" w:customStyle="1" w:styleId="FootnoteTextChar">
    <w:name w:val="Footnote Text Char"/>
    <w:basedOn w:val="DefaultParagraphFont"/>
    <w:link w:val="FootnoteText"/>
    <w:uiPriority w:val="99"/>
    <w:semiHidden/>
    <w:rsid w:val="006B6D9D"/>
    <w:rPr>
      <w:sz w:val="20"/>
      <w:szCs w:val="20"/>
    </w:rPr>
  </w:style>
  <w:style w:type="character" w:styleId="FootnoteReference">
    <w:name w:val="footnote reference"/>
    <w:basedOn w:val="DefaultParagraphFont"/>
    <w:uiPriority w:val="99"/>
    <w:semiHidden/>
    <w:unhideWhenUsed/>
    <w:rsid w:val="006B6D9D"/>
    <w:rPr>
      <w:vertAlign w:val="superscript"/>
    </w:rPr>
  </w:style>
  <w:style w:type="paragraph" w:styleId="ListParagraph">
    <w:name w:val="List Paragraph"/>
    <w:basedOn w:val="Normal"/>
    <w:uiPriority w:val="34"/>
    <w:qFormat/>
    <w:rsid w:val="00B179EF"/>
    <w:pPr>
      <w:ind w:left="720"/>
      <w:contextualSpacing/>
    </w:pPr>
  </w:style>
  <w:style w:type="character" w:styleId="Hyperlink">
    <w:name w:val="Hyperlink"/>
    <w:basedOn w:val="DefaultParagraphFont"/>
    <w:uiPriority w:val="99"/>
    <w:unhideWhenUsed/>
    <w:rsid w:val="00406551"/>
    <w:rPr>
      <w:color w:val="0563C1" w:themeColor="hyperlink"/>
      <w:u w:val="single"/>
    </w:rPr>
  </w:style>
  <w:style w:type="character" w:styleId="UnresolvedMention">
    <w:name w:val="Unresolved Mention"/>
    <w:basedOn w:val="DefaultParagraphFont"/>
    <w:uiPriority w:val="99"/>
    <w:semiHidden/>
    <w:unhideWhenUsed/>
    <w:rsid w:val="00406551"/>
    <w:rPr>
      <w:color w:val="605E5C"/>
      <w:shd w:val="clear" w:color="auto" w:fill="E1DFDD"/>
    </w:rPr>
  </w:style>
  <w:style w:type="paragraph" w:styleId="CommentText">
    <w:name w:val="annotation text"/>
    <w:basedOn w:val="Normal"/>
    <w:link w:val="CommentTextChar"/>
    <w:uiPriority w:val="99"/>
    <w:unhideWhenUsed/>
    <w:rsid w:val="006D17C5"/>
    <w:pPr>
      <w:spacing w:after="160"/>
    </w:pPr>
    <w:rPr>
      <w:rFonts w:eastAsiaTheme="minorEastAsia"/>
      <w:sz w:val="20"/>
      <w:szCs w:val="20"/>
      <w:lang w:val="en-AU" w:eastAsia="zh-CN"/>
    </w:rPr>
  </w:style>
  <w:style w:type="character" w:customStyle="1" w:styleId="CommentTextChar">
    <w:name w:val="Comment Text Char"/>
    <w:basedOn w:val="DefaultParagraphFont"/>
    <w:link w:val="CommentText"/>
    <w:uiPriority w:val="99"/>
    <w:rsid w:val="006D17C5"/>
    <w:rPr>
      <w:rFonts w:eastAsiaTheme="minorEastAsia"/>
      <w:sz w:val="20"/>
      <w:szCs w:val="20"/>
      <w:lang w:val="en-AU" w:eastAsia="zh-CN"/>
    </w:rPr>
  </w:style>
  <w:style w:type="character" w:styleId="PlaceholderText">
    <w:name w:val="Placeholder Text"/>
    <w:basedOn w:val="DefaultParagraphFont"/>
    <w:uiPriority w:val="99"/>
    <w:semiHidden/>
    <w:rsid w:val="00181FDF"/>
    <w:rPr>
      <w:color w:val="808080"/>
    </w:rPr>
  </w:style>
  <w:style w:type="character" w:styleId="FollowedHyperlink">
    <w:name w:val="FollowedHyperlink"/>
    <w:basedOn w:val="DefaultParagraphFont"/>
    <w:uiPriority w:val="99"/>
    <w:semiHidden/>
    <w:unhideWhenUsed/>
    <w:rsid w:val="003E7B66"/>
    <w:rPr>
      <w:color w:val="954F72" w:themeColor="followedHyperlink"/>
      <w:u w:val="single"/>
    </w:rPr>
  </w:style>
  <w:style w:type="table" w:styleId="TableGrid">
    <w:name w:val="Table Grid"/>
    <w:basedOn w:val="TableNormal"/>
    <w:uiPriority w:val="39"/>
    <w:rsid w:val="0049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492"/>
    <w:rPr>
      <w:rFonts w:ascii="Times New Roman" w:hAnsi="Times New Roman" w:cs="Times New Roman"/>
    </w:rPr>
  </w:style>
  <w:style w:type="paragraph" w:styleId="Bibliography">
    <w:name w:val="Bibliography"/>
    <w:basedOn w:val="Normal"/>
    <w:next w:val="Normal"/>
    <w:uiPriority w:val="37"/>
    <w:unhideWhenUsed/>
    <w:rsid w:val="00AF4317"/>
    <w:pPr>
      <w:spacing w:line="480" w:lineRule="auto"/>
      <w:ind w:left="720" w:hanging="720"/>
    </w:pPr>
  </w:style>
  <w:style w:type="character" w:styleId="CommentReference">
    <w:name w:val="annotation reference"/>
    <w:basedOn w:val="DefaultParagraphFont"/>
    <w:uiPriority w:val="99"/>
    <w:semiHidden/>
    <w:unhideWhenUsed/>
    <w:rsid w:val="0081195B"/>
    <w:rPr>
      <w:sz w:val="16"/>
      <w:szCs w:val="16"/>
    </w:rPr>
  </w:style>
  <w:style w:type="paragraph" w:styleId="CommentSubject">
    <w:name w:val="annotation subject"/>
    <w:basedOn w:val="CommentText"/>
    <w:next w:val="CommentText"/>
    <w:link w:val="CommentSubjectChar"/>
    <w:uiPriority w:val="99"/>
    <w:semiHidden/>
    <w:unhideWhenUsed/>
    <w:rsid w:val="0081195B"/>
    <w:pPr>
      <w:spacing w:after="0"/>
    </w:pPr>
    <w:rPr>
      <w:rFonts w:eastAsiaTheme="minorHAnsi"/>
      <w:b/>
      <w:bCs/>
      <w:lang w:val="en-GB" w:eastAsia="en-US"/>
    </w:rPr>
  </w:style>
  <w:style w:type="character" w:customStyle="1" w:styleId="CommentSubjectChar">
    <w:name w:val="Comment Subject Char"/>
    <w:basedOn w:val="CommentTextChar"/>
    <w:link w:val="CommentSubject"/>
    <w:uiPriority w:val="99"/>
    <w:semiHidden/>
    <w:rsid w:val="0081195B"/>
    <w:rPr>
      <w:rFonts w:eastAsiaTheme="minorEastAsia"/>
      <w:b/>
      <w:bCs/>
      <w:sz w:val="20"/>
      <w:szCs w:val="20"/>
      <w:lang w:val="en-AU" w:eastAsia="zh-CN"/>
    </w:rPr>
  </w:style>
  <w:style w:type="paragraph" w:styleId="Caption">
    <w:name w:val="caption"/>
    <w:basedOn w:val="Normal"/>
    <w:next w:val="Normal"/>
    <w:uiPriority w:val="35"/>
    <w:unhideWhenUsed/>
    <w:qFormat/>
    <w:rsid w:val="009333D0"/>
    <w:pPr>
      <w:spacing w:after="200"/>
    </w:pPr>
    <w:rPr>
      <w:i/>
      <w:iCs/>
      <w:color w:val="44546A" w:themeColor="text2"/>
      <w:sz w:val="18"/>
      <w:szCs w:val="18"/>
    </w:rPr>
  </w:style>
  <w:style w:type="paragraph" w:styleId="Header">
    <w:name w:val="header"/>
    <w:basedOn w:val="Normal"/>
    <w:link w:val="HeaderChar"/>
    <w:uiPriority w:val="99"/>
    <w:unhideWhenUsed/>
    <w:rsid w:val="00A67F71"/>
    <w:pPr>
      <w:tabs>
        <w:tab w:val="center" w:pos="4513"/>
        <w:tab w:val="right" w:pos="9026"/>
      </w:tabs>
    </w:pPr>
  </w:style>
  <w:style w:type="character" w:customStyle="1" w:styleId="HeaderChar">
    <w:name w:val="Header Char"/>
    <w:basedOn w:val="DefaultParagraphFont"/>
    <w:link w:val="Header"/>
    <w:uiPriority w:val="99"/>
    <w:rsid w:val="00A67F71"/>
  </w:style>
  <w:style w:type="paragraph" w:styleId="Footer">
    <w:name w:val="footer"/>
    <w:basedOn w:val="Normal"/>
    <w:link w:val="FooterChar"/>
    <w:uiPriority w:val="99"/>
    <w:unhideWhenUsed/>
    <w:rsid w:val="00A67F71"/>
    <w:pPr>
      <w:tabs>
        <w:tab w:val="center" w:pos="4513"/>
        <w:tab w:val="right" w:pos="9026"/>
      </w:tabs>
    </w:pPr>
  </w:style>
  <w:style w:type="character" w:customStyle="1" w:styleId="FooterChar">
    <w:name w:val="Footer Char"/>
    <w:basedOn w:val="DefaultParagraphFont"/>
    <w:link w:val="Footer"/>
    <w:uiPriority w:val="99"/>
    <w:rsid w:val="00A67F71"/>
  </w:style>
  <w:style w:type="paragraph" w:styleId="Revision">
    <w:name w:val="Revision"/>
    <w:hidden/>
    <w:uiPriority w:val="99"/>
    <w:semiHidden/>
    <w:rsid w:val="005D1157"/>
  </w:style>
  <w:style w:type="paragraph" w:styleId="EndnoteText">
    <w:name w:val="endnote text"/>
    <w:basedOn w:val="Normal"/>
    <w:link w:val="EndnoteTextChar"/>
    <w:uiPriority w:val="99"/>
    <w:semiHidden/>
    <w:unhideWhenUsed/>
    <w:rsid w:val="00CF7667"/>
    <w:rPr>
      <w:sz w:val="20"/>
      <w:szCs w:val="20"/>
    </w:rPr>
  </w:style>
  <w:style w:type="character" w:customStyle="1" w:styleId="EndnoteTextChar">
    <w:name w:val="Endnote Text Char"/>
    <w:basedOn w:val="DefaultParagraphFont"/>
    <w:link w:val="EndnoteText"/>
    <w:uiPriority w:val="99"/>
    <w:semiHidden/>
    <w:rsid w:val="00CF7667"/>
    <w:rPr>
      <w:sz w:val="20"/>
      <w:szCs w:val="20"/>
    </w:rPr>
  </w:style>
  <w:style w:type="character" w:styleId="EndnoteReference">
    <w:name w:val="endnote reference"/>
    <w:basedOn w:val="DefaultParagraphFont"/>
    <w:uiPriority w:val="99"/>
    <w:semiHidden/>
    <w:unhideWhenUsed/>
    <w:rsid w:val="00CF7667"/>
    <w:rPr>
      <w:vertAlign w:val="superscript"/>
    </w:rPr>
  </w:style>
  <w:style w:type="character" w:customStyle="1" w:styleId="Heading1Char">
    <w:name w:val="Heading 1 Char"/>
    <w:basedOn w:val="DefaultParagraphFont"/>
    <w:link w:val="Heading1"/>
    <w:uiPriority w:val="9"/>
    <w:rsid w:val="00E32D96"/>
    <w:rPr>
      <w:rFonts w:asciiTheme="majorHAnsi" w:eastAsiaTheme="majorEastAsia" w:hAnsiTheme="majorHAnsi" w:cstheme="majorBidi"/>
      <w:b/>
      <w:bCs/>
      <w:color w:val="2F5496" w:themeColor="accent1" w:themeShade="BF"/>
      <w:sz w:val="28"/>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8317">
      <w:bodyDiv w:val="1"/>
      <w:marLeft w:val="0"/>
      <w:marRight w:val="0"/>
      <w:marTop w:val="0"/>
      <w:marBottom w:val="0"/>
      <w:divBdr>
        <w:top w:val="none" w:sz="0" w:space="0" w:color="auto"/>
        <w:left w:val="none" w:sz="0" w:space="0" w:color="auto"/>
        <w:bottom w:val="none" w:sz="0" w:space="0" w:color="auto"/>
        <w:right w:val="none" w:sz="0" w:space="0" w:color="auto"/>
      </w:divBdr>
      <w:divsChild>
        <w:div w:id="726878353">
          <w:marLeft w:val="0"/>
          <w:marRight w:val="0"/>
          <w:marTop w:val="0"/>
          <w:marBottom w:val="0"/>
          <w:divBdr>
            <w:top w:val="none" w:sz="0" w:space="0" w:color="auto"/>
            <w:left w:val="none" w:sz="0" w:space="0" w:color="auto"/>
            <w:bottom w:val="none" w:sz="0" w:space="0" w:color="auto"/>
            <w:right w:val="none" w:sz="0" w:space="0" w:color="auto"/>
          </w:divBdr>
          <w:divsChild>
            <w:div w:id="730815249">
              <w:marLeft w:val="0"/>
              <w:marRight w:val="0"/>
              <w:marTop w:val="0"/>
              <w:marBottom w:val="0"/>
              <w:divBdr>
                <w:top w:val="none" w:sz="0" w:space="0" w:color="auto"/>
                <w:left w:val="none" w:sz="0" w:space="0" w:color="auto"/>
                <w:bottom w:val="none" w:sz="0" w:space="0" w:color="auto"/>
                <w:right w:val="none" w:sz="0" w:space="0" w:color="auto"/>
              </w:divBdr>
              <w:divsChild>
                <w:div w:id="4280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3433">
      <w:bodyDiv w:val="1"/>
      <w:marLeft w:val="0"/>
      <w:marRight w:val="0"/>
      <w:marTop w:val="0"/>
      <w:marBottom w:val="0"/>
      <w:divBdr>
        <w:top w:val="none" w:sz="0" w:space="0" w:color="auto"/>
        <w:left w:val="none" w:sz="0" w:space="0" w:color="auto"/>
        <w:bottom w:val="none" w:sz="0" w:space="0" w:color="auto"/>
        <w:right w:val="none" w:sz="0" w:space="0" w:color="auto"/>
      </w:divBdr>
    </w:div>
    <w:div w:id="188572420">
      <w:bodyDiv w:val="1"/>
      <w:marLeft w:val="0"/>
      <w:marRight w:val="0"/>
      <w:marTop w:val="0"/>
      <w:marBottom w:val="0"/>
      <w:divBdr>
        <w:top w:val="none" w:sz="0" w:space="0" w:color="auto"/>
        <w:left w:val="none" w:sz="0" w:space="0" w:color="auto"/>
        <w:bottom w:val="none" w:sz="0" w:space="0" w:color="auto"/>
        <w:right w:val="none" w:sz="0" w:space="0" w:color="auto"/>
      </w:divBdr>
    </w:div>
    <w:div w:id="498274953">
      <w:bodyDiv w:val="1"/>
      <w:marLeft w:val="0"/>
      <w:marRight w:val="0"/>
      <w:marTop w:val="0"/>
      <w:marBottom w:val="0"/>
      <w:divBdr>
        <w:top w:val="none" w:sz="0" w:space="0" w:color="auto"/>
        <w:left w:val="none" w:sz="0" w:space="0" w:color="auto"/>
        <w:bottom w:val="none" w:sz="0" w:space="0" w:color="auto"/>
        <w:right w:val="none" w:sz="0" w:space="0" w:color="auto"/>
      </w:divBdr>
    </w:div>
    <w:div w:id="504513941">
      <w:bodyDiv w:val="1"/>
      <w:marLeft w:val="0"/>
      <w:marRight w:val="0"/>
      <w:marTop w:val="0"/>
      <w:marBottom w:val="0"/>
      <w:divBdr>
        <w:top w:val="none" w:sz="0" w:space="0" w:color="auto"/>
        <w:left w:val="none" w:sz="0" w:space="0" w:color="auto"/>
        <w:bottom w:val="none" w:sz="0" w:space="0" w:color="auto"/>
        <w:right w:val="none" w:sz="0" w:space="0" w:color="auto"/>
      </w:divBdr>
    </w:div>
    <w:div w:id="534192601">
      <w:bodyDiv w:val="1"/>
      <w:marLeft w:val="0"/>
      <w:marRight w:val="0"/>
      <w:marTop w:val="0"/>
      <w:marBottom w:val="0"/>
      <w:divBdr>
        <w:top w:val="none" w:sz="0" w:space="0" w:color="auto"/>
        <w:left w:val="none" w:sz="0" w:space="0" w:color="auto"/>
        <w:bottom w:val="none" w:sz="0" w:space="0" w:color="auto"/>
        <w:right w:val="none" w:sz="0" w:space="0" w:color="auto"/>
      </w:divBdr>
      <w:divsChild>
        <w:div w:id="1000892250">
          <w:marLeft w:val="0"/>
          <w:marRight w:val="0"/>
          <w:marTop w:val="0"/>
          <w:marBottom w:val="0"/>
          <w:divBdr>
            <w:top w:val="none" w:sz="0" w:space="0" w:color="auto"/>
            <w:left w:val="none" w:sz="0" w:space="0" w:color="auto"/>
            <w:bottom w:val="none" w:sz="0" w:space="0" w:color="auto"/>
            <w:right w:val="none" w:sz="0" w:space="0" w:color="auto"/>
          </w:divBdr>
          <w:divsChild>
            <w:div w:id="1098064022">
              <w:marLeft w:val="0"/>
              <w:marRight w:val="0"/>
              <w:marTop w:val="0"/>
              <w:marBottom w:val="0"/>
              <w:divBdr>
                <w:top w:val="none" w:sz="0" w:space="0" w:color="auto"/>
                <w:left w:val="none" w:sz="0" w:space="0" w:color="auto"/>
                <w:bottom w:val="none" w:sz="0" w:space="0" w:color="auto"/>
                <w:right w:val="none" w:sz="0" w:space="0" w:color="auto"/>
              </w:divBdr>
              <w:divsChild>
                <w:div w:id="1483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4755">
      <w:bodyDiv w:val="1"/>
      <w:marLeft w:val="0"/>
      <w:marRight w:val="0"/>
      <w:marTop w:val="0"/>
      <w:marBottom w:val="0"/>
      <w:divBdr>
        <w:top w:val="none" w:sz="0" w:space="0" w:color="auto"/>
        <w:left w:val="none" w:sz="0" w:space="0" w:color="auto"/>
        <w:bottom w:val="none" w:sz="0" w:space="0" w:color="auto"/>
        <w:right w:val="none" w:sz="0" w:space="0" w:color="auto"/>
      </w:divBdr>
      <w:divsChild>
        <w:div w:id="1169178837">
          <w:marLeft w:val="0"/>
          <w:marRight w:val="0"/>
          <w:marTop w:val="0"/>
          <w:marBottom w:val="0"/>
          <w:divBdr>
            <w:top w:val="none" w:sz="0" w:space="0" w:color="auto"/>
            <w:left w:val="none" w:sz="0" w:space="0" w:color="auto"/>
            <w:bottom w:val="none" w:sz="0" w:space="0" w:color="auto"/>
            <w:right w:val="none" w:sz="0" w:space="0" w:color="auto"/>
          </w:divBdr>
        </w:div>
        <w:div w:id="1051998702">
          <w:marLeft w:val="0"/>
          <w:marRight w:val="0"/>
          <w:marTop w:val="0"/>
          <w:marBottom w:val="0"/>
          <w:divBdr>
            <w:top w:val="none" w:sz="0" w:space="0" w:color="auto"/>
            <w:left w:val="none" w:sz="0" w:space="0" w:color="auto"/>
            <w:bottom w:val="none" w:sz="0" w:space="0" w:color="auto"/>
            <w:right w:val="none" w:sz="0" w:space="0" w:color="auto"/>
          </w:divBdr>
        </w:div>
        <w:div w:id="1711029303">
          <w:marLeft w:val="0"/>
          <w:marRight w:val="0"/>
          <w:marTop w:val="0"/>
          <w:marBottom w:val="0"/>
          <w:divBdr>
            <w:top w:val="none" w:sz="0" w:space="0" w:color="auto"/>
            <w:left w:val="none" w:sz="0" w:space="0" w:color="auto"/>
            <w:bottom w:val="none" w:sz="0" w:space="0" w:color="auto"/>
            <w:right w:val="none" w:sz="0" w:space="0" w:color="auto"/>
          </w:divBdr>
        </w:div>
        <w:div w:id="435248550">
          <w:marLeft w:val="0"/>
          <w:marRight w:val="0"/>
          <w:marTop w:val="0"/>
          <w:marBottom w:val="0"/>
          <w:divBdr>
            <w:top w:val="none" w:sz="0" w:space="0" w:color="auto"/>
            <w:left w:val="none" w:sz="0" w:space="0" w:color="auto"/>
            <w:bottom w:val="none" w:sz="0" w:space="0" w:color="auto"/>
            <w:right w:val="none" w:sz="0" w:space="0" w:color="auto"/>
          </w:divBdr>
        </w:div>
        <w:div w:id="980501553">
          <w:marLeft w:val="0"/>
          <w:marRight w:val="0"/>
          <w:marTop w:val="0"/>
          <w:marBottom w:val="0"/>
          <w:divBdr>
            <w:top w:val="none" w:sz="0" w:space="0" w:color="auto"/>
            <w:left w:val="none" w:sz="0" w:space="0" w:color="auto"/>
            <w:bottom w:val="none" w:sz="0" w:space="0" w:color="auto"/>
            <w:right w:val="none" w:sz="0" w:space="0" w:color="auto"/>
          </w:divBdr>
        </w:div>
      </w:divsChild>
    </w:div>
    <w:div w:id="597524006">
      <w:bodyDiv w:val="1"/>
      <w:marLeft w:val="0"/>
      <w:marRight w:val="0"/>
      <w:marTop w:val="0"/>
      <w:marBottom w:val="0"/>
      <w:divBdr>
        <w:top w:val="none" w:sz="0" w:space="0" w:color="auto"/>
        <w:left w:val="none" w:sz="0" w:space="0" w:color="auto"/>
        <w:bottom w:val="none" w:sz="0" w:space="0" w:color="auto"/>
        <w:right w:val="none" w:sz="0" w:space="0" w:color="auto"/>
      </w:divBdr>
    </w:div>
    <w:div w:id="630211607">
      <w:bodyDiv w:val="1"/>
      <w:marLeft w:val="0"/>
      <w:marRight w:val="0"/>
      <w:marTop w:val="0"/>
      <w:marBottom w:val="0"/>
      <w:divBdr>
        <w:top w:val="none" w:sz="0" w:space="0" w:color="auto"/>
        <w:left w:val="none" w:sz="0" w:space="0" w:color="auto"/>
        <w:bottom w:val="none" w:sz="0" w:space="0" w:color="auto"/>
        <w:right w:val="none" w:sz="0" w:space="0" w:color="auto"/>
      </w:divBdr>
    </w:div>
    <w:div w:id="649559075">
      <w:bodyDiv w:val="1"/>
      <w:marLeft w:val="0"/>
      <w:marRight w:val="0"/>
      <w:marTop w:val="0"/>
      <w:marBottom w:val="0"/>
      <w:divBdr>
        <w:top w:val="none" w:sz="0" w:space="0" w:color="auto"/>
        <w:left w:val="none" w:sz="0" w:space="0" w:color="auto"/>
        <w:bottom w:val="none" w:sz="0" w:space="0" w:color="auto"/>
        <w:right w:val="none" w:sz="0" w:space="0" w:color="auto"/>
      </w:divBdr>
    </w:div>
    <w:div w:id="819544789">
      <w:bodyDiv w:val="1"/>
      <w:marLeft w:val="0"/>
      <w:marRight w:val="0"/>
      <w:marTop w:val="0"/>
      <w:marBottom w:val="0"/>
      <w:divBdr>
        <w:top w:val="none" w:sz="0" w:space="0" w:color="auto"/>
        <w:left w:val="none" w:sz="0" w:space="0" w:color="auto"/>
        <w:bottom w:val="none" w:sz="0" w:space="0" w:color="auto"/>
        <w:right w:val="none" w:sz="0" w:space="0" w:color="auto"/>
      </w:divBdr>
    </w:div>
    <w:div w:id="903955180">
      <w:bodyDiv w:val="1"/>
      <w:marLeft w:val="0"/>
      <w:marRight w:val="0"/>
      <w:marTop w:val="0"/>
      <w:marBottom w:val="0"/>
      <w:divBdr>
        <w:top w:val="none" w:sz="0" w:space="0" w:color="auto"/>
        <w:left w:val="none" w:sz="0" w:space="0" w:color="auto"/>
        <w:bottom w:val="none" w:sz="0" w:space="0" w:color="auto"/>
        <w:right w:val="none" w:sz="0" w:space="0" w:color="auto"/>
      </w:divBdr>
      <w:divsChild>
        <w:div w:id="229658747">
          <w:marLeft w:val="0"/>
          <w:marRight w:val="0"/>
          <w:marTop w:val="0"/>
          <w:marBottom w:val="0"/>
          <w:divBdr>
            <w:top w:val="single" w:sz="6" w:space="0" w:color="CCCCCC"/>
            <w:left w:val="none" w:sz="0" w:space="0" w:color="auto"/>
            <w:bottom w:val="none" w:sz="0" w:space="0" w:color="auto"/>
            <w:right w:val="none" w:sz="0" w:space="0" w:color="auto"/>
          </w:divBdr>
        </w:div>
        <w:div w:id="410198637">
          <w:marLeft w:val="0"/>
          <w:marRight w:val="0"/>
          <w:marTop w:val="0"/>
          <w:marBottom w:val="0"/>
          <w:divBdr>
            <w:top w:val="single" w:sz="6" w:space="0" w:color="CCCCCC"/>
            <w:left w:val="none" w:sz="0" w:space="0" w:color="auto"/>
            <w:bottom w:val="none" w:sz="0" w:space="0" w:color="auto"/>
            <w:right w:val="none" w:sz="0" w:space="0" w:color="auto"/>
          </w:divBdr>
        </w:div>
      </w:divsChild>
    </w:div>
    <w:div w:id="962230032">
      <w:bodyDiv w:val="1"/>
      <w:marLeft w:val="0"/>
      <w:marRight w:val="0"/>
      <w:marTop w:val="0"/>
      <w:marBottom w:val="0"/>
      <w:divBdr>
        <w:top w:val="none" w:sz="0" w:space="0" w:color="auto"/>
        <w:left w:val="none" w:sz="0" w:space="0" w:color="auto"/>
        <w:bottom w:val="none" w:sz="0" w:space="0" w:color="auto"/>
        <w:right w:val="none" w:sz="0" w:space="0" w:color="auto"/>
      </w:divBdr>
      <w:divsChild>
        <w:div w:id="2117871397">
          <w:marLeft w:val="0"/>
          <w:marRight w:val="0"/>
          <w:marTop w:val="0"/>
          <w:marBottom w:val="0"/>
          <w:divBdr>
            <w:top w:val="none" w:sz="0" w:space="0" w:color="auto"/>
            <w:left w:val="none" w:sz="0" w:space="0" w:color="auto"/>
            <w:bottom w:val="none" w:sz="0" w:space="0" w:color="auto"/>
            <w:right w:val="none" w:sz="0" w:space="0" w:color="auto"/>
          </w:divBdr>
          <w:divsChild>
            <w:div w:id="1956599053">
              <w:marLeft w:val="0"/>
              <w:marRight w:val="0"/>
              <w:marTop w:val="0"/>
              <w:marBottom w:val="0"/>
              <w:divBdr>
                <w:top w:val="none" w:sz="0" w:space="0" w:color="auto"/>
                <w:left w:val="none" w:sz="0" w:space="0" w:color="auto"/>
                <w:bottom w:val="none" w:sz="0" w:space="0" w:color="auto"/>
                <w:right w:val="none" w:sz="0" w:space="0" w:color="auto"/>
              </w:divBdr>
              <w:divsChild>
                <w:div w:id="5756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1368">
      <w:bodyDiv w:val="1"/>
      <w:marLeft w:val="0"/>
      <w:marRight w:val="0"/>
      <w:marTop w:val="0"/>
      <w:marBottom w:val="0"/>
      <w:divBdr>
        <w:top w:val="none" w:sz="0" w:space="0" w:color="auto"/>
        <w:left w:val="none" w:sz="0" w:space="0" w:color="auto"/>
        <w:bottom w:val="none" w:sz="0" w:space="0" w:color="auto"/>
        <w:right w:val="none" w:sz="0" w:space="0" w:color="auto"/>
      </w:divBdr>
      <w:divsChild>
        <w:div w:id="954410105">
          <w:marLeft w:val="0"/>
          <w:marRight w:val="0"/>
          <w:marTop w:val="0"/>
          <w:marBottom w:val="0"/>
          <w:divBdr>
            <w:top w:val="none" w:sz="0" w:space="0" w:color="auto"/>
            <w:left w:val="none" w:sz="0" w:space="0" w:color="auto"/>
            <w:bottom w:val="none" w:sz="0" w:space="0" w:color="auto"/>
            <w:right w:val="none" w:sz="0" w:space="0" w:color="auto"/>
          </w:divBdr>
          <w:divsChild>
            <w:div w:id="1728986825">
              <w:marLeft w:val="0"/>
              <w:marRight w:val="0"/>
              <w:marTop w:val="0"/>
              <w:marBottom w:val="0"/>
              <w:divBdr>
                <w:top w:val="none" w:sz="0" w:space="0" w:color="auto"/>
                <w:left w:val="none" w:sz="0" w:space="0" w:color="auto"/>
                <w:bottom w:val="none" w:sz="0" w:space="0" w:color="auto"/>
                <w:right w:val="none" w:sz="0" w:space="0" w:color="auto"/>
              </w:divBdr>
              <w:divsChild>
                <w:div w:id="1619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0964">
      <w:bodyDiv w:val="1"/>
      <w:marLeft w:val="0"/>
      <w:marRight w:val="0"/>
      <w:marTop w:val="0"/>
      <w:marBottom w:val="0"/>
      <w:divBdr>
        <w:top w:val="none" w:sz="0" w:space="0" w:color="auto"/>
        <w:left w:val="none" w:sz="0" w:space="0" w:color="auto"/>
        <w:bottom w:val="none" w:sz="0" w:space="0" w:color="auto"/>
        <w:right w:val="none" w:sz="0" w:space="0" w:color="auto"/>
      </w:divBdr>
    </w:div>
    <w:div w:id="1232615740">
      <w:bodyDiv w:val="1"/>
      <w:marLeft w:val="0"/>
      <w:marRight w:val="0"/>
      <w:marTop w:val="0"/>
      <w:marBottom w:val="0"/>
      <w:divBdr>
        <w:top w:val="none" w:sz="0" w:space="0" w:color="auto"/>
        <w:left w:val="none" w:sz="0" w:space="0" w:color="auto"/>
        <w:bottom w:val="none" w:sz="0" w:space="0" w:color="auto"/>
        <w:right w:val="none" w:sz="0" w:space="0" w:color="auto"/>
      </w:divBdr>
    </w:div>
    <w:div w:id="1240097289">
      <w:bodyDiv w:val="1"/>
      <w:marLeft w:val="0"/>
      <w:marRight w:val="0"/>
      <w:marTop w:val="0"/>
      <w:marBottom w:val="0"/>
      <w:divBdr>
        <w:top w:val="none" w:sz="0" w:space="0" w:color="auto"/>
        <w:left w:val="none" w:sz="0" w:space="0" w:color="auto"/>
        <w:bottom w:val="none" w:sz="0" w:space="0" w:color="auto"/>
        <w:right w:val="none" w:sz="0" w:space="0" w:color="auto"/>
      </w:divBdr>
      <w:divsChild>
        <w:div w:id="164631438">
          <w:marLeft w:val="0"/>
          <w:marRight w:val="0"/>
          <w:marTop w:val="0"/>
          <w:marBottom w:val="0"/>
          <w:divBdr>
            <w:top w:val="none" w:sz="0" w:space="0" w:color="auto"/>
            <w:left w:val="none" w:sz="0" w:space="0" w:color="auto"/>
            <w:bottom w:val="none" w:sz="0" w:space="0" w:color="auto"/>
            <w:right w:val="none" w:sz="0" w:space="0" w:color="auto"/>
          </w:divBdr>
          <w:divsChild>
            <w:div w:id="1808550911">
              <w:marLeft w:val="0"/>
              <w:marRight w:val="0"/>
              <w:marTop w:val="0"/>
              <w:marBottom w:val="0"/>
              <w:divBdr>
                <w:top w:val="none" w:sz="0" w:space="0" w:color="auto"/>
                <w:left w:val="none" w:sz="0" w:space="0" w:color="auto"/>
                <w:bottom w:val="none" w:sz="0" w:space="0" w:color="auto"/>
                <w:right w:val="none" w:sz="0" w:space="0" w:color="auto"/>
              </w:divBdr>
              <w:divsChild>
                <w:div w:id="7426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38257">
      <w:bodyDiv w:val="1"/>
      <w:marLeft w:val="0"/>
      <w:marRight w:val="0"/>
      <w:marTop w:val="0"/>
      <w:marBottom w:val="0"/>
      <w:divBdr>
        <w:top w:val="none" w:sz="0" w:space="0" w:color="auto"/>
        <w:left w:val="none" w:sz="0" w:space="0" w:color="auto"/>
        <w:bottom w:val="none" w:sz="0" w:space="0" w:color="auto"/>
        <w:right w:val="none" w:sz="0" w:space="0" w:color="auto"/>
      </w:divBdr>
      <w:divsChild>
        <w:div w:id="1614821886">
          <w:marLeft w:val="0"/>
          <w:marRight w:val="0"/>
          <w:marTop w:val="0"/>
          <w:marBottom w:val="0"/>
          <w:divBdr>
            <w:top w:val="none" w:sz="0" w:space="0" w:color="auto"/>
            <w:left w:val="none" w:sz="0" w:space="0" w:color="auto"/>
            <w:bottom w:val="none" w:sz="0" w:space="0" w:color="auto"/>
            <w:right w:val="none" w:sz="0" w:space="0" w:color="auto"/>
          </w:divBdr>
        </w:div>
        <w:div w:id="1600672543">
          <w:marLeft w:val="0"/>
          <w:marRight w:val="0"/>
          <w:marTop w:val="0"/>
          <w:marBottom w:val="0"/>
          <w:divBdr>
            <w:top w:val="none" w:sz="0" w:space="0" w:color="auto"/>
            <w:left w:val="none" w:sz="0" w:space="0" w:color="auto"/>
            <w:bottom w:val="none" w:sz="0" w:space="0" w:color="auto"/>
            <w:right w:val="none" w:sz="0" w:space="0" w:color="auto"/>
          </w:divBdr>
        </w:div>
        <w:div w:id="2015762919">
          <w:marLeft w:val="0"/>
          <w:marRight w:val="0"/>
          <w:marTop w:val="0"/>
          <w:marBottom w:val="0"/>
          <w:divBdr>
            <w:top w:val="none" w:sz="0" w:space="0" w:color="auto"/>
            <w:left w:val="none" w:sz="0" w:space="0" w:color="auto"/>
            <w:bottom w:val="none" w:sz="0" w:space="0" w:color="auto"/>
            <w:right w:val="none" w:sz="0" w:space="0" w:color="auto"/>
          </w:divBdr>
        </w:div>
        <w:div w:id="1025863741">
          <w:marLeft w:val="0"/>
          <w:marRight w:val="0"/>
          <w:marTop w:val="0"/>
          <w:marBottom w:val="0"/>
          <w:divBdr>
            <w:top w:val="none" w:sz="0" w:space="0" w:color="auto"/>
            <w:left w:val="none" w:sz="0" w:space="0" w:color="auto"/>
            <w:bottom w:val="none" w:sz="0" w:space="0" w:color="auto"/>
            <w:right w:val="none" w:sz="0" w:space="0" w:color="auto"/>
          </w:divBdr>
        </w:div>
        <w:div w:id="1866671889">
          <w:marLeft w:val="0"/>
          <w:marRight w:val="0"/>
          <w:marTop w:val="0"/>
          <w:marBottom w:val="0"/>
          <w:divBdr>
            <w:top w:val="none" w:sz="0" w:space="0" w:color="auto"/>
            <w:left w:val="none" w:sz="0" w:space="0" w:color="auto"/>
            <w:bottom w:val="none" w:sz="0" w:space="0" w:color="auto"/>
            <w:right w:val="none" w:sz="0" w:space="0" w:color="auto"/>
          </w:divBdr>
        </w:div>
      </w:divsChild>
    </w:div>
    <w:div w:id="1332565507">
      <w:bodyDiv w:val="1"/>
      <w:marLeft w:val="0"/>
      <w:marRight w:val="0"/>
      <w:marTop w:val="0"/>
      <w:marBottom w:val="0"/>
      <w:divBdr>
        <w:top w:val="none" w:sz="0" w:space="0" w:color="auto"/>
        <w:left w:val="none" w:sz="0" w:space="0" w:color="auto"/>
        <w:bottom w:val="none" w:sz="0" w:space="0" w:color="auto"/>
        <w:right w:val="none" w:sz="0" w:space="0" w:color="auto"/>
      </w:divBdr>
      <w:divsChild>
        <w:div w:id="1033772753">
          <w:marLeft w:val="0"/>
          <w:marRight w:val="0"/>
          <w:marTop w:val="0"/>
          <w:marBottom w:val="0"/>
          <w:divBdr>
            <w:top w:val="none" w:sz="0" w:space="0" w:color="auto"/>
            <w:left w:val="none" w:sz="0" w:space="0" w:color="auto"/>
            <w:bottom w:val="none" w:sz="0" w:space="0" w:color="auto"/>
            <w:right w:val="none" w:sz="0" w:space="0" w:color="auto"/>
          </w:divBdr>
          <w:divsChild>
            <w:div w:id="1242253599">
              <w:marLeft w:val="0"/>
              <w:marRight w:val="0"/>
              <w:marTop w:val="0"/>
              <w:marBottom w:val="0"/>
              <w:divBdr>
                <w:top w:val="none" w:sz="0" w:space="0" w:color="auto"/>
                <w:left w:val="none" w:sz="0" w:space="0" w:color="auto"/>
                <w:bottom w:val="none" w:sz="0" w:space="0" w:color="auto"/>
                <w:right w:val="none" w:sz="0" w:space="0" w:color="auto"/>
              </w:divBdr>
              <w:divsChild>
                <w:div w:id="1033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09493">
      <w:bodyDiv w:val="1"/>
      <w:marLeft w:val="0"/>
      <w:marRight w:val="0"/>
      <w:marTop w:val="0"/>
      <w:marBottom w:val="0"/>
      <w:divBdr>
        <w:top w:val="none" w:sz="0" w:space="0" w:color="auto"/>
        <w:left w:val="none" w:sz="0" w:space="0" w:color="auto"/>
        <w:bottom w:val="none" w:sz="0" w:space="0" w:color="auto"/>
        <w:right w:val="none" w:sz="0" w:space="0" w:color="auto"/>
      </w:divBdr>
    </w:div>
    <w:div w:id="1608007093">
      <w:bodyDiv w:val="1"/>
      <w:marLeft w:val="0"/>
      <w:marRight w:val="0"/>
      <w:marTop w:val="0"/>
      <w:marBottom w:val="0"/>
      <w:divBdr>
        <w:top w:val="none" w:sz="0" w:space="0" w:color="auto"/>
        <w:left w:val="none" w:sz="0" w:space="0" w:color="auto"/>
        <w:bottom w:val="none" w:sz="0" w:space="0" w:color="auto"/>
        <w:right w:val="none" w:sz="0" w:space="0" w:color="auto"/>
      </w:divBdr>
      <w:divsChild>
        <w:div w:id="1630697006">
          <w:marLeft w:val="0"/>
          <w:marRight w:val="0"/>
          <w:marTop w:val="0"/>
          <w:marBottom w:val="0"/>
          <w:divBdr>
            <w:top w:val="none" w:sz="0" w:space="0" w:color="auto"/>
            <w:left w:val="none" w:sz="0" w:space="0" w:color="auto"/>
            <w:bottom w:val="none" w:sz="0" w:space="0" w:color="auto"/>
            <w:right w:val="none" w:sz="0" w:space="0" w:color="auto"/>
          </w:divBdr>
          <w:divsChild>
            <w:div w:id="540555751">
              <w:marLeft w:val="0"/>
              <w:marRight w:val="0"/>
              <w:marTop w:val="0"/>
              <w:marBottom w:val="0"/>
              <w:divBdr>
                <w:top w:val="none" w:sz="0" w:space="0" w:color="auto"/>
                <w:left w:val="none" w:sz="0" w:space="0" w:color="auto"/>
                <w:bottom w:val="none" w:sz="0" w:space="0" w:color="auto"/>
                <w:right w:val="none" w:sz="0" w:space="0" w:color="auto"/>
              </w:divBdr>
              <w:divsChild>
                <w:div w:id="3318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1276">
      <w:bodyDiv w:val="1"/>
      <w:marLeft w:val="0"/>
      <w:marRight w:val="0"/>
      <w:marTop w:val="0"/>
      <w:marBottom w:val="0"/>
      <w:divBdr>
        <w:top w:val="none" w:sz="0" w:space="0" w:color="auto"/>
        <w:left w:val="none" w:sz="0" w:space="0" w:color="auto"/>
        <w:bottom w:val="none" w:sz="0" w:space="0" w:color="auto"/>
        <w:right w:val="none" w:sz="0" w:space="0" w:color="auto"/>
      </w:divBdr>
      <w:divsChild>
        <w:div w:id="2073041844">
          <w:marLeft w:val="0"/>
          <w:marRight w:val="0"/>
          <w:marTop w:val="0"/>
          <w:marBottom w:val="0"/>
          <w:divBdr>
            <w:top w:val="none" w:sz="0" w:space="0" w:color="auto"/>
            <w:left w:val="none" w:sz="0" w:space="0" w:color="auto"/>
            <w:bottom w:val="none" w:sz="0" w:space="0" w:color="auto"/>
            <w:right w:val="none" w:sz="0" w:space="0" w:color="auto"/>
          </w:divBdr>
          <w:divsChild>
            <w:div w:id="725221843">
              <w:marLeft w:val="0"/>
              <w:marRight w:val="0"/>
              <w:marTop w:val="0"/>
              <w:marBottom w:val="0"/>
              <w:divBdr>
                <w:top w:val="none" w:sz="0" w:space="0" w:color="auto"/>
                <w:left w:val="none" w:sz="0" w:space="0" w:color="auto"/>
                <w:bottom w:val="none" w:sz="0" w:space="0" w:color="auto"/>
                <w:right w:val="none" w:sz="0" w:space="0" w:color="auto"/>
              </w:divBdr>
              <w:divsChild>
                <w:div w:id="16201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74256">
      <w:bodyDiv w:val="1"/>
      <w:marLeft w:val="0"/>
      <w:marRight w:val="0"/>
      <w:marTop w:val="0"/>
      <w:marBottom w:val="0"/>
      <w:divBdr>
        <w:top w:val="none" w:sz="0" w:space="0" w:color="auto"/>
        <w:left w:val="none" w:sz="0" w:space="0" w:color="auto"/>
        <w:bottom w:val="none" w:sz="0" w:space="0" w:color="auto"/>
        <w:right w:val="none" w:sz="0" w:space="0" w:color="auto"/>
      </w:divBdr>
    </w:div>
    <w:div w:id="1855613849">
      <w:bodyDiv w:val="1"/>
      <w:marLeft w:val="0"/>
      <w:marRight w:val="0"/>
      <w:marTop w:val="0"/>
      <w:marBottom w:val="0"/>
      <w:divBdr>
        <w:top w:val="none" w:sz="0" w:space="0" w:color="auto"/>
        <w:left w:val="none" w:sz="0" w:space="0" w:color="auto"/>
        <w:bottom w:val="none" w:sz="0" w:space="0" w:color="auto"/>
        <w:right w:val="none" w:sz="0" w:space="0" w:color="auto"/>
      </w:divBdr>
    </w:div>
    <w:div w:id="1967275110">
      <w:bodyDiv w:val="1"/>
      <w:marLeft w:val="0"/>
      <w:marRight w:val="0"/>
      <w:marTop w:val="0"/>
      <w:marBottom w:val="0"/>
      <w:divBdr>
        <w:top w:val="none" w:sz="0" w:space="0" w:color="auto"/>
        <w:left w:val="none" w:sz="0" w:space="0" w:color="auto"/>
        <w:bottom w:val="none" w:sz="0" w:space="0" w:color="auto"/>
        <w:right w:val="none" w:sz="0" w:space="0" w:color="auto"/>
      </w:divBdr>
      <w:divsChild>
        <w:div w:id="643782448">
          <w:marLeft w:val="0"/>
          <w:marRight w:val="0"/>
          <w:marTop w:val="0"/>
          <w:marBottom w:val="0"/>
          <w:divBdr>
            <w:top w:val="none" w:sz="0" w:space="0" w:color="auto"/>
            <w:left w:val="none" w:sz="0" w:space="0" w:color="auto"/>
            <w:bottom w:val="none" w:sz="0" w:space="0" w:color="auto"/>
            <w:right w:val="none" w:sz="0" w:space="0" w:color="auto"/>
          </w:divBdr>
          <w:divsChild>
            <w:div w:id="551576227">
              <w:marLeft w:val="0"/>
              <w:marRight w:val="0"/>
              <w:marTop w:val="0"/>
              <w:marBottom w:val="0"/>
              <w:divBdr>
                <w:top w:val="none" w:sz="0" w:space="0" w:color="auto"/>
                <w:left w:val="none" w:sz="0" w:space="0" w:color="auto"/>
                <w:bottom w:val="none" w:sz="0" w:space="0" w:color="auto"/>
                <w:right w:val="none" w:sz="0" w:space="0" w:color="auto"/>
              </w:divBdr>
              <w:divsChild>
                <w:div w:id="19218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2553">
      <w:bodyDiv w:val="1"/>
      <w:marLeft w:val="0"/>
      <w:marRight w:val="0"/>
      <w:marTop w:val="0"/>
      <w:marBottom w:val="0"/>
      <w:divBdr>
        <w:top w:val="none" w:sz="0" w:space="0" w:color="auto"/>
        <w:left w:val="none" w:sz="0" w:space="0" w:color="auto"/>
        <w:bottom w:val="none" w:sz="0" w:space="0" w:color="auto"/>
        <w:right w:val="none" w:sz="0" w:space="0" w:color="auto"/>
      </w:divBdr>
      <w:divsChild>
        <w:div w:id="1293635716">
          <w:marLeft w:val="0"/>
          <w:marRight w:val="0"/>
          <w:marTop w:val="0"/>
          <w:marBottom w:val="0"/>
          <w:divBdr>
            <w:top w:val="none" w:sz="0" w:space="0" w:color="auto"/>
            <w:left w:val="none" w:sz="0" w:space="0" w:color="auto"/>
            <w:bottom w:val="none" w:sz="0" w:space="0" w:color="auto"/>
            <w:right w:val="none" w:sz="0" w:space="0" w:color="auto"/>
          </w:divBdr>
          <w:divsChild>
            <w:div w:id="1273174897">
              <w:marLeft w:val="0"/>
              <w:marRight w:val="0"/>
              <w:marTop w:val="0"/>
              <w:marBottom w:val="0"/>
              <w:divBdr>
                <w:top w:val="none" w:sz="0" w:space="0" w:color="auto"/>
                <w:left w:val="none" w:sz="0" w:space="0" w:color="auto"/>
                <w:bottom w:val="none" w:sz="0" w:space="0" w:color="auto"/>
                <w:right w:val="none" w:sz="0" w:space="0" w:color="auto"/>
              </w:divBdr>
              <w:divsChild>
                <w:div w:id="6440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10073">
      <w:bodyDiv w:val="1"/>
      <w:marLeft w:val="0"/>
      <w:marRight w:val="0"/>
      <w:marTop w:val="0"/>
      <w:marBottom w:val="0"/>
      <w:divBdr>
        <w:top w:val="none" w:sz="0" w:space="0" w:color="auto"/>
        <w:left w:val="none" w:sz="0" w:space="0" w:color="auto"/>
        <w:bottom w:val="none" w:sz="0" w:space="0" w:color="auto"/>
        <w:right w:val="none" w:sz="0" w:space="0" w:color="auto"/>
      </w:divBdr>
      <w:divsChild>
        <w:div w:id="1462461040">
          <w:marLeft w:val="0"/>
          <w:marRight w:val="0"/>
          <w:marTop w:val="0"/>
          <w:marBottom w:val="0"/>
          <w:divBdr>
            <w:top w:val="single" w:sz="6" w:space="0" w:color="CCCCCC"/>
            <w:left w:val="none" w:sz="0" w:space="0" w:color="auto"/>
            <w:bottom w:val="none" w:sz="0" w:space="0" w:color="auto"/>
            <w:right w:val="none" w:sz="0" w:space="0" w:color="auto"/>
          </w:divBdr>
        </w:div>
        <w:div w:id="423573754">
          <w:marLeft w:val="0"/>
          <w:marRight w:val="0"/>
          <w:marTop w:val="0"/>
          <w:marBottom w:val="0"/>
          <w:divBdr>
            <w:top w:val="single" w:sz="6" w:space="0" w:color="CCCCCC"/>
            <w:left w:val="none" w:sz="0" w:space="0" w:color="auto"/>
            <w:bottom w:val="none" w:sz="0" w:space="0" w:color="auto"/>
            <w:right w:val="none" w:sz="0" w:space="0" w:color="auto"/>
          </w:divBdr>
        </w:div>
      </w:divsChild>
    </w:div>
    <w:div w:id="2106070187">
      <w:bodyDiv w:val="1"/>
      <w:marLeft w:val="0"/>
      <w:marRight w:val="0"/>
      <w:marTop w:val="0"/>
      <w:marBottom w:val="0"/>
      <w:divBdr>
        <w:top w:val="none" w:sz="0" w:space="0" w:color="auto"/>
        <w:left w:val="none" w:sz="0" w:space="0" w:color="auto"/>
        <w:bottom w:val="none" w:sz="0" w:space="0" w:color="auto"/>
        <w:right w:val="none" w:sz="0" w:space="0" w:color="auto"/>
      </w:divBdr>
    </w:div>
    <w:div w:id="21307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endnotes.xml.rels><?xml version="1.0" encoding="UTF-8" standalone="yes"?>
<Relationships xmlns="http://schemas.openxmlformats.org/package/2006/relationships"><Relationship Id="rId1" Type="http://schemas.openxmlformats.org/officeDocument/2006/relationships/hyperlink" Target="https://osf.io/wgy5s/?view_only=3059eb2fe2764dcba1d4b9f130bae7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27694FF9-9A32-8246-83F3-834A503E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25689</Words>
  <Characters>146429</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Devine</dc:creator>
  <cp:keywords/>
  <dc:description/>
  <cp:lastModifiedBy>Daniel Devine</cp:lastModifiedBy>
  <cp:revision>3</cp:revision>
  <cp:lastPrinted>2023-01-10T10:36:00Z</cp:lastPrinted>
  <dcterms:created xsi:type="dcterms:W3CDTF">2023-01-10T10:36:00Z</dcterms:created>
  <dcterms:modified xsi:type="dcterms:W3CDTF">2023-01-10T10:53:00Z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id="szsY1DVc"/&gt;&lt;style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